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9.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8.xml" ContentType="application/vnd.openxmlformats-officedocument.themeOverride+xml"/>
  <Override PartName="/word/charts/chart30.xml" ContentType="application/vnd.openxmlformats-officedocument.drawingml.chart+xml"/>
  <Override PartName="/word/theme/themeOverride29.xml" ContentType="application/vnd.openxmlformats-officedocument.themeOverride+xml"/>
  <Override PartName="/word/charts/chart31.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2.xml" ContentType="application/vnd.openxmlformats-officedocument.drawingml.chart+xml"/>
  <Override PartName="/word/charts/chart33.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4.xml" ContentType="application/vnd.openxmlformats-officedocument.drawingml.chart+xml"/>
  <Override PartName="/word/charts/chart35.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6.xml" ContentType="application/vnd.openxmlformats-officedocument.drawingml.chart+xml"/>
  <Override PartName="/word/theme/themeOverride30.xml" ContentType="application/vnd.openxmlformats-officedocument.themeOverride+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1.xml" ContentType="application/vnd.openxmlformats-officedocument.themeOverride+xml"/>
  <Override PartName="/word/charts/chart42.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2.xml" ContentType="application/vnd.openxmlformats-officedocument.themeOverride+xml"/>
  <Override PartName="/word/drawings/drawing1.xml" ContentType="application/vnd.openxmlformats-officedocument.drawingml.chartshapes+xml"/>
  <Override PartName="/word/charts/chart43.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3.xml" ContentType="application/vnd.openxmlformats-officedocument.themeOverride+xml"/>
  <Override PartName="/word/charts/chart44.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4.xml" ContentType="application/vnd.openxmlformats-officedocument.themeOverride+xml"/>
  <Override PartName="/word/charts/chart45.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5.xml" ContentType="application/vnd.openxmlformats-officedocument.themeOverride+xml"/>
  <Override PartName="/word/charts/chart4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7.xml" ContentType="application/vnd.openxmlformats-officedocument.drawingml.chart+xml"/>
  <Override PartName="/word/theme/themeOverride36.xml" ContentType="application/vnd.openxmlformats-officedocument.themeOverride+xml"/>
  <Override PartName="/word/charts/chart48.xml" ContentType="application/vnd.openxmlformats-officedocument.drawingml.chart+xml"/>
  <Override PartName="/word/theme/themeOverride37.xml" ContentType="application/vnd.openxmlformats-officedocument.themeOverride+xml"/>
  <Override PartName="/word/charts/chart49.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8.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A721D4" w14:textId="7E10C83B" w:rsidR="00C6372D" w:rsidRDefault="004562E6" w:rsidP="007F6CE3">
      <w:pPr>
        <w:spacing w:line="360" w:lineRule="auto"/>
        <w:jc w:val="center"/>
        <w:rPr>
          <w:sz w:val="20"/>
          <w:szCs w:val="20"/>
        </w:rPr>
      </w:pPr>
      <w:bookmarkStart w:id="0" w:name="_Hlk193281645"/>
      <w:bookmarkStart w:id="1" w:name="_Hlk193281646"/>
      <w:r>
        <w:rPr>
          <w:noProof/>
          <w:sz w:val="20"/>
          <w:szCs w:val="20"/>
        </w:rPr>
        <w:drawing>
          <wp:inline distT="0" distB="0" distL="0" distR="0" wp14:anchorId="64DE743F" wp14:editId="728CDCDA">
            <wp:extent cx="7545705" cy="10692130"/>
            <wp:effectExtent l="0" t="0" r="0" b="0"/>
            <wp:docPr id="472541984" name="Obraz 4725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41984" name="Okładka - Sprawozdanie (1) obcięte_popr.jpg"/>
                    <pic:cNvPicPr/>
                  </pic:nvPicPr>
                  <pic:blipFill>
                    <a:blip r:embed="rId8">
                      <a:extLst>
                        <a:ext uri="{28A0092B-C50C-407E-A947-70E740481C1C}">
                          <a14:useLocalDpi xmlns:a14="http://schemas.microsoft.com/office/drawing/2010/main" val="0"/>
                        </a:ext>
                      </a:extLst>
                    </a:blip>
                    <a:stretch>
                      <a:fillRect/>
                    </a:stretch>
                  </pic:blipFill>
                  <pic:spPr>
                    <a:xfrm>
                      <a:off x="0" y="0"/>
                      <a:ext cx="7545705" cy="10692130"/>
                    </a:xfrm>
                    <a:prstGeom prst="rect">
                      <a:avLst/>
                    </a:prstGeom>
                  </pic:spPr>
                </pic:pic>
              </a:graphicData>
            </a:graphic>
          </wp:inline>
        </w:drawing>
      </w:r>
    </w:p>
    <w:p w14:paraId="0F3E5B8D" w14:textId="77777777" w:rsidR="00C5741A" w:rsidRDefault="00C5741A" w:rsidP="00C5741A">
      <w:pPr>
        <w:spacing w:line="360" w:lineRule="auto"/>
        <w:jc w:val="left"/>
        <w:rPr>
          <w:sz w:val="20"/>
          <w:szCs w:val="20"/>
        </w:rPr>
        <w:sectPr w:rsidR="00C5741A" w:rsidSect="00EE2EB5">
          <w:footerReference w:type="even" r:id="rId9"/>
          <w:footerReference w:type="first" r:id="rId10"/>
          <w:type w:val="oddPage"/>
          <w:pgSz w:w="11906" w:h="16838" w:code="9"/>
          <w:pgMar w:top="0" w:right="0" w:bottom="0" w:left="0" w:header="709" w:footer="709" w:gutter="0"/>
          <w:pgNumType w:start="0"/>
          <w:cols w:space="708"/>
          <w:docGrid w:linePitch="299"/>
        </w:sectPr>
      </w:pPr>
    </w:p>
    <w:p w14:paraId="1584F59D" w14:textId="27C9C3B8" w:rsidR="00C44188" w:rsidRDefault="00C44188" w:rsidP="00F056A2">
      <w:pPr>
        <w:spacing w:line="360" w:lineRule="auto"/>
        <w:jc w:val="right"/>
        <w:rPr>
          <w:sz w:val="20"/>
          <w:szCs w:val="20"/>
        </w:rPr>
      </w:pPr>
      <w:r>
        <w:rPr>
          <w:noProof/>
        </w:rPr>
        <w:lastRenderedPageBreak/>
        <w:drawing>
          <wp:inline distT="0" distB="0" distL="0" distR="0" wp14:anchorId="7A5544AC" wp14:editId="6E8B06AF">
            <wp:extent cx="2737485" cy="1061720"/>
            <wp:effectExtent l="0" t="0" r="0" b="0"/>
            <wp:docPr id="1894134457" name="Obraz 1894134457" descr="Obraz zawierający symbol, koro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716150" name="Obraz 1192716150" descr="Obraz zawierający symbol, korona&#10;&#10;Opis wygenerowany automatyczni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737485" cy="1061720"/>
                    </a:xfrm>
                    <a:prstGeom prst="rect">
                      <a:avLst/>
                    </a:prstGeom>
                    <a:noFill/>
                    <a:ln>
                      <a:noFill/>
                    </a:ln>
                    <a:extLst>
                      <a:ext uri="{53640926-AAD7-44D8-BBD7-CCE9431645EC}">
                        <a14:shadowObscured xmlns:a14="http://schemas.microsoft.com/office/drawing/2010/main"/>
                      </a:ext>
                    </a:extLst>
                  </pic:spPr>
                </pic:pic>
              </a:graphicData>
            </a:graphic>
          </wp:inline>
        </w:drawing>
      </w:r>
      <w:bookmarkEnd w:id="0"/>
      <w:bookmarkEnd w:id="1"/>
    </w:p>
    <w:p w14:paraId="27403EF4" w14:textId="77777777" w:rsidR="001B51EB" w:rsidRPr="00F26B52" w:rsidRDefault="001B51EB" w:rsidP="00C44188">
      <w:pPr>
        <w:spacing w:before="3600" w:line="360" w:lineRule="auto"/>
        <w:jc w:val="left"/>
        <w:rPr>
          <w:b/>
          <w:color w:val="0070C0"/>
          <w:sz w:val="48"/>
          <w:szCs w:val="48"/>
        </w:rPr>
      </w:pPr>
      <w:r w:rsidRPr="00F26B52">
        <w:rPr>
          <w:b/>
          <w:color w:val="0070C0"/>
          <w:sz w:val="48"/>
          <w:szCs w:val="48"/>
        </w:rPr>
        <w:t>Sprawozdanie</w:t>
      </w:r>
    </w:p>
    <w:p w14:paraId="66BBD774" w14:textId="77777777" w:rsidR="001B51EB" w:rsidRPr="00F26B52" w:rsidRDefault="001B51EB" w:rsidP="008F2675">
      <w:pPr>
        <w:spacing w:line="360" w:lineRule="auto"/>
        <w:jc w:val="left"/>
        <w:rPr>
          <w:b/>
          <w:color w:val="0070C0"/>
          <w:sz w:val="48"/>
          <w:szCs w:val="48"/>
        </w:rPr>
      </w:pPr>
      <w:r w:rsidRPr="00F26B52">
        <w:rPr>
          <w:b/>
          <w:color w:val="0070C0"/>
          <w:sz w:val="48"/>
          <w:szCs w:val="48"/>
        </w:rPr>
        <w:t>Prezesa Urzędu Zamówień Publicznych</w:t>
      </w:r>
    </w:p>
    <w:p w14:paraId="4F455B8D" w14:textId="353E159C" w:rsidR="001B51EB" w:rsidRPr="009B27B2" w:rsidRDefault="001B51EB" w:rsidP="008F2675">
      <w:pPr>
        <w:spacing w:line="360" w:lineRule="auto"/>
        <w:jc w:val="left"/>
        <w:rPr>
          <w:b/>
          <w:color w:val="0070C0"/>
          <w:sz w:val="32"/>
          <w:szCs w:val="32"/>
        </w:rPr>
      </w:pPr>
      <w:r w:rsidRPr="009B27B2">
        <w:rPr>
          <w:b/>
          <w:color w:val="0070C0"/>
          <w:sz w:val="32"/>
          <w:szCs w:val="32"/>
        </w:rPr>
        <w:t>z funkcjonowania systemu zamówień publicznych w 202</w:t>
      </w:r>
      <w:r w:rsidR="00C91EC8" w:rsidRPr="009B27B2">
        <w:rPr>
          <w:b/>
          <w:color w:val="0070C0"/>
          <w:sz w:val="32"/>
          <w:szCs w:val="32"/>
        </w:rPr>
        <w:t>5</w:t>
      </w:r>
      <w:r w:rsidRPr="009B27B2">
        <w:rPr>
          <w:b/>
          <w:color w:val="0070C0"/>
          <w:sz w:val="32"/>
          <w:szCs w:val="32"/>
        </w:rPr>
        <w:t xml:space="preserve"> r.</w:t>
      </w:r>
    </w:p>
    <w:p w14:paraId="2BD1322F" w14:textId="5D49E775" w:rsidR="001B51EB" w:rsidRPr="001D6327" w:rsidRDefault="001B51EB" w:rsidP="00A40E5A">
      <w:pPr>
        <w:shd w:val="clear" w:color="auto" w:fill="FFFFFF"/>
        <w:spacing w:before="5640" w:line="360" w:lineRule="auto"/>
        <w:jc w:val="left"/>
        <w:rPr>
          <w:b/>
          <w:noProof/>
          <w:sz w:val="24"/>
        </w:rPr>
      </w:pPr>
      <w:r w:rsidRPr="001D6327">
        <w:rPr>
          <w:b/>
          <w:noProof/>
          <w:sz w:val="24"/>
        </w:rPr>
        <w:t xml:space="preserve">Warszawa, </w:t>
      </w:r>
      <w:r w:rsidR="00E67BF4">
        <w:rPr>
          <w:b/>
          <w:noProof/>
          <w:sz w:val="24"/>
        </w:rPr>
        <w:t>czerwiec</w:t>
      </w:r>
      <w:r w:rsidR="00C91EC8" w:rsidRPr="001D6327">
        <w:rPr>
          <w:b/>
          <w:noProof/>
          <w:sz w:val="24"/>
        </w:rPr>
        <w:t xml:space="preserve"> </w:t>
      </w:r>
      <w:r w:rsidRPr="001D6327">
        <w:rPr>
          <w:b/>
          <w:noProof/>
          <w:sz w:val="24"/>
        </w:rPr>
        <w:t>202</w:t>
      </w:r>
      <w:r w:rsidR="00C91EC8" w:rsidRPr="001D6327">
        <w:rPr>
          <w:b/>
          <w:noProof/>
          <w:sz w:val="24"/>
        </w:rPr>
        <w:t>6</w:t>
      </w:r>
      <w:r w:rsidRPr="001D6327">
        <w:rPr>
          <w:b/>
          <w:noProof/>
          <w:sz w:val="24"/>
        </w:rPr>
        <w:t xml:space="preserve"> r.</w:t>
      </w:r>
    </w:p>
    <w:p w14:paraId="31B65CAE" w14:textId="376D7196" w:rsidR="00960AEA" w:rsidRDefault="00960AEA" w:rsidP="008F2675">
      <w:pPr>
        <w:shd w:val="clear" w:color="auto" w:fill="FFFFFF"/>
        <w:spacing w:line="360" w:lineRule="auto"/>
        <w:ind w:right="-2"/>
        <w:jc w:val="left"/>
        <w:rPr>
          <w:noProof/>
          <w:szCs w:val="22"/>
        </w:rPr>
      </w:pPr>
    </w:p>
    <w:p w14:paraId="18836CD5" w14:textId="77777777" w:rsidR="00333F5B" w:rsidRDefault="00333F5B" w:rsidP="008F2675">
      <w:pPr>
        <w:shd w:val="clear" w:color="auto" w:fill="FFFFFF"/>
        <w:spacing w:line="360" w:lineRule="auto"/>
        <w:ind w:right="-2"/>
        <w:jc w:val="left"/>
        <w:rPr>
          <w:noProof/>
          <w:szCs w:val="22"/>
        </w:rPr>
        <w:sectPr w:rsidR="00333F5B" w:rsidSect="00C5741A">
          <w:pgSz w:w="11906" w:h="16838"/>
          <w:pgMar w:top="1418" w:right="1418" w:bottom="1418" w:left="1418" w:header="709" w:footer="709" w:gutter="0"/>
          <w:pgNumType w:start="0"/>
          <w:cols w:space="708"/>
          <w:docGrid w:linePitch="299"/>
        </w:sectPr>
      </w:pPr>
    </w:p>
    <w:p w14:paraId="2614FEF4" w14:textId="4B3536A0" w:rsidR="00ED5EFB" w:rsidRPr="00703314" w:rsidRDefault="00ED5EFB" w:rsidP="005B3FFE">
      <w:pPr>
        <w:pStyle w:val="Nagwek1"/>
      </w:pPr>
      <w:bookmarkStart w:id="2" w:name="_Toc233203255"/>
      <w:r w:rsidRPr="00703314">
        <w:lastRenderedPageBreak/>
        <w:t>SPIS TREŚCI</w:t>
      </w:r>
      <w:bookmarkEnd w:id="2"/>
    </w:p>
    <w:p w14:paraId="1015699C" w14:textId="17F51E96" w:rsidR="00CF19BD" w:rsidRDefault="00663C05">
      <w:pPr>
        <w:pStyle w:val="Spistreci1"/>
        <w:rPr>
          <w:rFonts w:asciiTheme="minorHAnsi" w:eastAsiaTheme="minorEastAsia" w:hAnsiTheme="minorHAnsi" w:cstheme="minorBidi"/>
          <w:b w:val="0"/>
          <w:color w:val="auto"/>
          <w:szCs w:val="22"/>
        </w:rPr>
      </w:pPr>
      <w:r w:rsidRPr="00663C05">
        <w:rPr>
          <w:szCs w:val="22"/>
        </w:rPr>
        <w:fldChar w:fldCharType="begin"/>
      </w:r>
      <w:r w:rsidRPr="00663C05">
        <w:rPr>
          <w:szCs w:val="22"/>
        </w:rPr>
        <w:instrText xml:space="preserve"> TOC \o "1-3" \h \z \u </w:instrText>
      </w:r>
      <w:r w:rsidRPr="00663C05">
        <w:rPr>
          <w:szCs w:val="22"/>
        </w:rPr>
        <w:fldChar w:fldCharType="separate"/>
      </w:r>
      <w:hyperlink w:anchor="_Toc233203255" w:history="1">
        <w:r w:rsidR="00CF19BD" w:rsidRPr="008133E0">
          <w:rPr>
            <w:rStyle w:val="Hipercze"/>
          </w:rPr>
          <w:t>SPIS TREŚCI</w:t>
        </w:r>
        <w:r w:rsidR="00CF19BD">
          <w:rPr>
            <w:webHidden/>
          </w:rPr>
          <w:tab/>
        </w:r>
        <w:r w:rsidR="00CF19BD">
          <w:rPr>
            <w:webHidden/>
          </w:rPr>
          <w:fldChar w:fldCharType="begin"/>
        </w:r>
        <w:r w:rsidR="00CF19BD">
          <w:rPr>
            <w:webHidden/>
          </w:rPr>
          <w:instrText xml:space="preserve"> PAGEREF _Toc233203255 \h </w:instrText>
        </w:r>
        <w:r w:rsidR="00CF19BD">
          <w:rPr>
            <w:webHidden/>
          </w:rPr>
        </w:r>
        <w:r w:rsidR="00CF19BD">
          <w:rPr>
            <w:webHidden/>
          </w:rPr>
          <w:fldChar w:fldCharType="separate"/>
        </w:r>
        <w:r w:rsidR="00CF19BD">
          <w:rPr>
            <w:webHidden/>
          </w:rPr>
          <w:t>1</w:t>
        </w:r>
        <w:r w:rsidR="00CF19BD">
          <w:rPr>
            <w:webHidden/>
          </w:rPr>
          <w:fldChar w:fldCharType="end"/>
        </w:r>
      </w:hyperlink>
    </w:p>
    <w:p w14:paraId="208137EA" w14:textId="6630FFB3" w:rsidR="00CF19BD" w:rsidRDefault="00CF19BD">
      <w:pPr>
        <w:pStyle w:val="Spistreci1"/>
        <w:rPr>
          <w:rFonts w:asciiTheme="minorHAnsi" w:eastAsiaTheme="minorEastAsia" w:hAnsiTheme="minorHAnsi" w:cstheme="minorBidi"/>
          <w:b w:val="0"/>
          <w:color w:val="auto"/>
          <w:szCs w:val="22"/>
        </w:rPr>
      </w:pPr>
      <w:hyperlink w:anchor="_Toc233203256" w:history="1">
        <w:r w:rsidRPr="008133E0">
          <w:rPr>
            <w:rStyle w:val="Hipercze"/>
          </w:rPr>
          <w:t>WSTĘP</w:t>
        </w:r>
        <w:r>
          <w:rPr>
            <w:webHidden/>
          </w:rPr>
          <w:tab/>
        </w:r>
        <w:r>
          <w:rPr>
            <w:webHidden/>
          </w:rPr>
          <w:fldChar w:fldCharType="begin"/>
        </w:r>
        <w:r>
          <w:rPr>
            <w:webHidden/>
          </w:rPr>
          <w:instrText xml:space="preserve"> PAGEREF _Toc233203256 \h </w:instrText>
        </w:r>
        <w:r>
          <w:rPr>
            <w:webHidden/>
          </w:rPr>
        </w:r>
        <w:r>
          <w:rPr>
            <w:webHidden/>
          </w:rPr>
          <w:fldChar w:fldCharType="separate"/>
        </w:r>
        <w:r>
          <w:rPr>
            <w:webHidden/>
          </w:rPr>
          <w:t>4</w:t>
        </w:r>
        <w:r>
          <w:rPr>
            <w:webHidden/>
          </w:rPr>
          <w:fldChar w:fldCharType="end"/>
        </w:r>
      </w:hyperlink>
    </w:p>
    <w:p w14:paraId="184AD61D" w14:textId="642AAA49" w:rsidR="00CF19BD" w:rsidRDefault="00CF19BD">
      <w:pPr>
        <w:pStyle w:val="Spistreci1"/>
        <w:rPr>
          <w:rFonts w:asciiTheme="minorHAnsi" w:eastAsiaTheme="minorEastAsia" w:hAnsiTheme="minorHAnsi" w:cstheme="minorBidi"/>
          <w:b w:val="0"/>
          <w:color w:val="auto"/>
          <w:szCs w:val="22"/>
        </w:rPr>
      </w:pPr>
      <w:hyperlink w:anchor="_Toc233203257" w:history="1">
        <w:r w:rsidRPr="008133E0">
          <w:rPr>
            <w:rStyle w:val="Hipercze"/>
          </w:rPr>
          <w:t>ZAMÓWIENIA PUBLICZNE W LICZBACH</w:t>
        </w:r>
        <w:r>
          <w:rPr>
            <w:webHidden/>
          </w:rPr>
          <w:tab/>
        </w:r>
        <w:r>
          <w:rPr>
            <w:webHidden/>
          </w:rPr>
          <w:fldChar w:fldCharType="begin"/>
        </w:r>
        <w:r>
          <w:rPr>
            <w:webHidden/>
          </w:rPr>
          <w:instrText xml:space="preserve"> PAGEREF _Toc233203257 \h </w:instrText>
        </w:r>
        <w:r>
          <w:rPr>
            <w:webHidden/>
          </w:rPr>
        </w:r>
        <w:r>
          <w:rPr>
            <w:webHidden/>
          </w:rPr>
          <w:fldChar w:fldCharType="separate"/>
        </w:r>
        <w:r>
          <w:rPr>
            <w:webHidden/>
          </w:rPr>
          <w:t>6</w:t>
        </w:r>
        <w:r>
          <w:rPr>
            <w:webHidden/>
          </w:rPr>
          <w:fldChar w:fldCharType="end"/>
        </w:r>
      </w:hyperlink>
    </w:p>
    <w:p w14:paraId="0A04E2AA" w14:textId="1DD9EAA8" w:rsidR="00CF19BD" w:rsidRDefault="00CF19BD">
      <w:pPr>
        <w:pStyle w:val="Spistreci1"/>
        <w:rPr>
          <w:rFonts w:asciiTheme="minorHAnsi" w:eastAsiaTheme="minorEastAsia" w:hAnsiTheme="minorHAnsi" w:cstheme="minorBidi"/>
          <w:b w:val="0"/>
          <w:color w:val="auto"/>
          <w:szCs w:val="22"/>
        </w:rPr>
      </w:pPr>
      <w:hyperlink w:anchor="_Toc233203258" w:history="1">
        <w:r w:rsidRPr="008133E0">
          <w:rPr>
            <w:rStyle w:val="Hipercze"/>
          </w:rPr>
          <w:t>I. RYNEK ZAMÓWIEŃ PUBLICZNYCH</w:t>
        </w:r>
        <w:r>
          <w:rPr>
            <w:webHidden/>
          </w:rPr>
          <w:tab/>
        </w:r>
        <w:r>
          <w:rPr>
            <w:webHidden/>
          </w:rPr>
          <w:fldChar w:fldCharType="begin"/>
        </w:r>
        <w:r>
          <w:rPr>
            <w:webHidden/>
          </w:rPr>
          <w:instrText xml:space="preserve"> PAGEREF _Toc233203258 \h </w:instrText>
        </w:r>
        <w:r>
          <w:rPr>
            <w:webHidden/>
          </w:rPr>
        </w:r>
        <w:r>
          <w:rPr>
            <w:webHidden/>
          </w:rPr>
          <w:fldChar w:fldCharType="separate"/>
        </w:r>
        <w:r>
          <w:rPr>
            <w:webHidden/>
          </w:rPr>
          <w:t>7</w:t>
        </w:r>
        <w:r>
          <w:rPr>
            <w:webHidden/>
          </w:rPr>
          <w:fldChar w:fldCharType="end"/>
        </w:r>
      </w:hyperlink>
    </w:p>
    <w:p w14:paraId="78785C36" w14:textId="46111FF1" w:rsidR="00CF19BD" w:rsidRDefault="00CF19BD">
      <w:pPr>
        <w:pStyle w:val="Spistreci2"/>
        <w:rPr>
          <w:rFonts w:asciiTheme="minorHAnsi" w:eastAsiaTheme="minorEastAsia" w:hAnsiTheme="minorHAnsi" w:cstheme="minorBidi"/>
          <w:b w:val="0"/>
          <w:bCs w:val="0"/>
          <w:sz w:val="22"/>
          <w:szCs w:val="22"/>
        </w:rPr>
      </w:pPr>
      <w:hyperlink w:anchor="_Toc233203259" w:history="1">
        <w:r w:rsidRPr="008133E0">
          <w:rPr>
            <w:rStyle w:val="Hipercze"/>
          </w:rPr>
          <w:t>I.1. Charakterystyka rynku zamówień publicznych</w:t>
        </w:r>
        <w:r>
          <w:rPr>
            <w:webHidden/>
          </w:rPr>
          <w:tab/>
        </w:r>
        <w:r>
          <w:rPr>
            <w:webHidden/>
          </w:rPr>
          <w:fldChar w:fldCharType="begin"/>
        </w:r>
        <w:r>
          <w:rPr>
            <w:webHidden/>
          </w:rPr>
          <w:instrText xml:space="preserve"> PAGEREF _Toc233203259 \h </w:instrText>
        </w:r>
        <w:r>
          <w:rPr>
            <w:webHidden/>
          </w:rPr>
        </w:r>
        <w:r>
          <w:rPr>
            <w:webHidden/>
          </w:rPr>
          <w:fldChar w:fldCharType="separate"/>
        </w:r>
        <w:r>
          <w:rPr>
            <w:webHidden/>
          </w:rPr>
          <w:t>8</w:t>
        </w:r>
        <w:r>
          <w:rPr>
            <w:webHidden/>
          </w:rPr>
          <w:fldChar w:fldCharType="end"/>
        </w:r>
      </w:hyperlink>
    </w:p>
    <w:p w14:paraId="3C767642" w14:textId="07846AF1" w:rsidR="00CF19BD" w:rsidRDefault="00CF19BD">
      <w:pPr>
        <w:pStyle w:val="Spistreci3"/>
        <w:rPr>
          <w:rFonts w:asciiTheme="minorHAnsi" w:eastAsiaTheme="minorEastAsia" w:hAnsiTheme="minorHAnsi" w:cstheme="minorBidi"/>
          <w:sz w:val="22"/>
          <w:szCs w:val="22"/>
        </w:rPr>
      </w:pPr>
      <w:hyperlink w:anchor="_Toc233203260" w:history="1">
        <w:r w:rsidRPr="008133E0">
          <w:rPr>
            <w:rStyle w:val="Hipercze"/>
          </w:rPr>
          <w:t>I.1.1. Wielkość rynku</w:t>
        </w:r>
        <w:r>
          <w:rPr>
            <w:webHidden/>
          </w:rPr>
          <w:tab/>
        </w:r>
        <w:r>
          <w:rPr>
            <w:webHidden/>
          </w:rPr>
          <w:fldChar w:fldCharType="begin"/>
        </w:r>
        <w:r>
          <w:rPr>
            <w:webHidden/>
          </w:rPr>
          <w:instrText xml:space="preserve"> PAGEREF _Toc233203260 \h </w:instrText>
        </w:r>
        <w:r>
          <w:rPr>
            <w:webHidden/>
          </w:rPr>
        </w:r>
        <w:r>
          <w:rPr>
            <w:webHidden/>
          </w:rPr>
          <w:fldChar w:fldCharType="separate"/>
        </w:r>
        <w:r>
          <w:rPr>
            <w:webHidden/>
          </w:rPr>
          <w:t>10</w:t>
        </w:r>
        <w:r>
          <w:rPr>
            <w:webHidden/>
          </w:rPr>
          <w:fldChar w:fldCharType="end"/>
        </w:r>
      </w:hyperlink>
    </w:p>
    <w:p w14:paraId="27A39885" w14:textId="44809B2B" w:rsidR="00CF19BD" w:rsidRDefault="00CF19BD">
      <w:pPr>
        <w:pStyle w:val="Spistreci3"/>
        <w:rPr>
          <w:rFonts w:asciiTheme="minorHAnsi" w:eastAsiaTheme="minorEastAsia" w:hAnsiTheme="minorHAnsi" w:cstheme="minorBidi"/>
          <w:sz w:val="22"/>
          <w:szCs w:val="22"/>
        </w:rPr>
      </w:pPr>
      <w:hyperlink w:anchor="_Toc233203261" w:history="1">
        <w:r w:rsidRPr="008133E0">
          <w:rPr>
            <w:rStyle w:val="Hipercze"/>
          </w:rPr>
          <w:t>I.1.2. Zamawiający</w:t>
        </w:r>
        <w:r>
          <w:rPr>
            <w:webHidden/>
          </w:rPr>
          <w:tab/>
        </w:r>
        <w:r>
          <w:rPr>
            <w:webHidden/>
          </w:rPr>
          <w:fldChar w:fldCharType="begin"/>
        </w:r>
        <w:r>
          <w:rPr>
            <w:webHidden/>
          </w:rPr>
          <w:instrText xml:space="preserve"> PAGEREF _Toc233203261 \h </w:instrText>
        </w:r>
        <w:r>
          <w:rPr>
            <w:webHidden/>
          </w:rPr>
        </w:r>
        <w:r>
          <w:rPr>
            <w:webHidden/>
          </w:rPr>
          <w:fldChar w:fldCharType="separate"/>
        </w:r>
        <w:r>
          <w:rPr>
            <w:webHidden/>
          </w:rPr>
          <w:t>11</w:t>
        </w:r>
        <w:r>
          <w:rPr>
            <w:webHidden/>
          </w:rPr>
          <w:fldChar w:fldCharType="end"/>
        </w:r>
      </w:hyperlink>
    </w:p>
    <w:p w14:paraId="4A1EF84A" w14:textId="189D1CDC" w:rsidR="00CF19BD" w:rsidRDefault="00CF19BD">
      <w:pPr>
        <w:pStyle w:val="Spistreci3"/>
        <w:rPr>
          <w:rFonts w:asciiTheme="minorHAnsi" w:eastAsiaTheme="minorEastAsia" w:hAnsiTheme="minorHAnsi" w:cstheme="minorBidi"/>
          <w:sz w:val="22"/>
          <w:szCs w:val="22"/>
        </w:rPr>
      </w:pPr>
      <w:hyperlink w:anchor="_Toc233203262" w:history="1">
        <w:r w:rsidRPr="008133E0">
          <w:rPr>
            <w:rStyle w:val="Hipercze"/>
          </w:rPr>
          <w:t>I.1.3. Wykonawcy</w:t>
        </w:r>
        <w:r>
          <w:rPr>
            <w:webHidden/>
          </w:rPr>
          <w:tab/>
        </w:r>
        <w:r>
          <w:rPr>
            <w:webHidden/>
          </w:rPr>
          <w:fldChar w:fldCharType="begin"/>
        </w:r>
        <w:r>
          <w:rPr>
            <w:webHidden/>
          </w:rPr>
          <w:instrText xml:space="preserve"> PAGEREF _Toc233203262 \h </w:instrText>
        </w:r>
        <w:r>
          <w:rPr>
            <w:webHidden/>
          </w:rPr>
        </w:r>
        <w:r>
          <w:rPr>
            <w:webHidden/>
          </w:rPr>
          <w:fldChar w:fldCharType="separate"/>
        </w:r>
        <w:r>
          <w:rPr>
            <w:webHidden/>
          </w:rPr>
          <w:t>11</w:t>
        </w:r>
        <w:r>
          <w:rPr>
            <w:webHidden/>
          </w:rPr>
          <w:fldChar w:fldCharType="end"/>
        </w:r>
      </w:hyperlink>
    </w:p>
    <w:p w14:paraId="2127FDC9" w14:textId="0228A943" w:rsidR="00CF19BD" w:rsidRDefault="00CF19BD">
      <w:pPr>
        <w:pStyle w:val="Spistreci3"/>
        <w:rPr>
          <w:rFonts w:asciiTheme="minorHAnsi" w:eastAsiaTheme="minorEastAsia" w:hAnsiTheme="minorHAnsi" w:cstheme="minorBidi"/>
          <w:sz w:val="22"/>
          <w:szCs w:val="22"/>
        </w:rPr>
      </w:pPr>
      <w:hyperlink w:anchor="_Toc233203263" w:history="1">
        <w:r w:rsidRPr="008133E0">
          <w:rPr>
            <w:rStyle w:val="Hipercze"/>
          </w:rPr>
          <w:t>I.1.4. Struktura rynku</w:t>
        </w:r>
        <w:r>
          <w:rPr>
            <w:webHidden/>
          </w:rPr>
          <w:tab/>
        </w:r>
        <w:r>
          <w:rPr>
            <w:webHidden/>
          </w:rPr>
          <w:fldChar w:fldCharType="begin"/>
        </w:r>
        <w:r>
          <w:rPr>
            <w:webHidden/>
          </w:rPr>
          <w:instrText xml:space="preserve"> PAGEREF _Toc233203263 \h </w:instrText>
        </w:r>
        <w:r>
          <w:rPr>
            <w:webHidden/>
          </w:rPr>
        </w:r>
        <w:r>
          <w:rPr>
            <w:webHidden/>
          </w:rPr>
          <w:fldChar w:fldCharType="separate"/>
        </w:r>
        <w:r>
          <w:rPr>
            <w:webHidden/>
          </w:rPr>
          <w:t>12</w:t>
        </w:r>
        <w:r>
          <w:rPr>
            <w:webHidden/>
          </w:rPr>
          <w:fldChar w:fldCharType="end"/>
        </w:r>
      </w:hyperlink>
    </w:p>
    <w:p w14:paraId="163FC5C3" w14:textId="2A16BE11" w:rsidR="00CF19BD" w:rsidRDefault="00CF19BD">
      <w:pPr>
        <w:pStyle w:val="Spistreci3"/>
        <w:rPr>
          <w:rFonts w:asciiTheme="minorHAnsi" w:eastAsiaTheme="minorEastAsia" w:hAnsiTheme="minorHAnsi" w:cstheme="minorBidi"/>
          <w:sz w:val="22"/>
          <w:szCs w:val="22"/>
        </w:rPr>
      </w:pPr>
      <w:hyperlink w:anchor="_Toc233203264" w:history="1">
        <w:r w:rsidRPr="008133E0">
          <w:rPr>
            <w:rStyle w:val="Hipercze"/>
          </w:rPr>
          <w:t>I.1.5. Zamówienia sektorowe</w:t>
        </w:r>
        <w:r>
          <w:rPr>
            <w:webHidden/>
          </w:rPr>
          <w:tab/>
        </w:r>
        <w:r>
          <w:rPr>
            <w:webHidden/>
          </w:rPr>
          <w:fldChar w:fldCharType="begin"/>
        </w:r>
        <w:r>
          <w:rPr>
            <w:webHidden/>
          </w:rPr>
          <w:instrText xml:space="preserve"> PAGEREF _Toc233203264 \h </w:instrText>
        </w:r>
        <w:r>
          <w:rPr>
            <w:webHidden/>
          </w:rPr>
        </w:r>
        <w:r>
          <w:rPr>
            <w:webHidden/>
          </w:rPr>
          <w:fldChar w:fldCharType="separate"/>
        </w:r>
        <w:r>
          <w:rPr>
            <w:webHidden/>
          </w:rPr>
          <w:t>13</w:t>
        </w:r>
        <w:r>
          <w:rPr>
            <w:webHidden/>
          </w:rPr>
          <w:fldChar w:fldCharType="end"/>
        </w:r>
      </w:hyperlink>
    </w:p>
    <w:p w14:paraId="27929718" w14:textId="79878A65" w:rsidR="00CF19BD" w:rsidRDefault="00CF19BD">
      <w:pPr>
        <w:pStyle w:val="Spistreci3"/>
        <w:rPr>
          <w:rFonts w:asciiTheme="minorHAnsi" w:eastAsiaTheme="minorEastAsia" w:hAnsiTheme="minorHAnsi" w:cstheme="minorBidi"/>
          <w:sz w:val="22"/>
          <w:szCs w:val="22"/>
        </w:rPr>
      </w:pPr>
      <w:hyperlink w:anchor="_Toc233203265" w:history="1">
        <w:r w:rsidRPr="008133E0">
          <w:rPr>
            <w:rStyle w:val="Hipercze"/>
          </w:rPr>
          <w:t>I.1.6. Zamówienia w dziedzinach obronności i bezpieczeństwa</w:t>
        </w:r>
        <w:r>
          <w:rPr>
            <w:webHidden/>
          </w:rPr>
          <w:tab/>
        </w:r>
        <w:r>
          <w:rPr>
            <w:webHidden/>
          </w:rPr>
          <w:fldChar w:fldCharType="begin"/>
        </w:r>
        <w:r>
          <w:rPr>
            <w:webHidden/>
          </w:rPr>
          <w:instrText xml:space="preserve"> PAGEREF _Toc233203265 \h </w:instrText>
        </w:r>
        <w:r>
          <w:rPr>
            <w:webHidden/>
          </w:rPr>
        </w:r>
        <w:r>
          <w:rPr>
            <w:webHidden/>
          </w:rPr>
          <w:fldChar w:fldCharType="separate"/>
        </w:r>
        <w:r>
          <w:rPr>
            <w:webHidden/>
          </w:rPr>
          <w:t>14</w:t>
        </w:r>
        <w:r>
          <w:rPr>
            <w:webHidden/>
          </w:rPr>
          <w:fldChar w:fldCharType="end"/>
        </w:r>
      </w:hyperlink>
    </w:p>
    <w:p w14:paraId="3DBB319C" w14:textId="6514A9CF" w:rsidR="00CF19BD" w:rsidRDefault="00CF19BD">
      <w:pPr>
        <w:pStyle w:val="Spistreci3"/>
        <w:rPr>
          <w:rFonts w:asciiTheme="minorHAnsi" w:eastAsiaTheme="minorEastAsia" w:hAnsiTheme="minorHAnsi" w:cstheme="minorBidi"/>
          <w:sz w:val="22"/>
          <w:szCs w:val="22"/>
        </w:rPr>
      </w:pPr>
      <w:hyperlink w:anchor="_Toc233203266" w:history="1">
        <w:r w:rsidRPr="008133E0">
          <w:rPr>
            <w:rStyle w:val="Hipercze"/>
          </w:rPr>
          <w:t>I.1.7. Koncesje na roboty budowlane lub usługi</w:t>
        </w:r>
        <w:r>
          <w:rPr>
            <w:webHidden/>
          </w:rPr>
          <w:tab/>
        </w:r>
        <w:r>
          <w:rPr>
            <w:webHidden/>
          </w:rPr>
          <w:fldChar w:fldCharType="begin"/>
        </w:r>
        <w:r>
          <w:rPr>
            <w:webHidden/>
          </w:rPr>
          <w:instrText xml:space="preserve"> PAGEREF _Toc233203266 \h </w:instrText>
        </w:r>
        <w:r>
          <w:rPr>
            <w:webHidden/>
          </w:rPr>
        </w:r>
        <w:r>
          <w:rPr>
            <w:webHidden/>
          </w:rPr>
          <w:fldChar w:fldCharType="separate"/>
        </w:r>
        <w:r>
          <w:rPr>
            <w:webHidden/>
          </w:rPr>
          <w:t>14</w:t>
        </w:r>
        <w:r>
          <w:rPr>
            <w:webHidden/>
          </w:rPr>
          <w:fldChar w:fldCharType="end"/>
        </w:r>
      </w:hyperlink>
    </w:p>
    <w:p w14:paraId="516B08DC" w14:textId="69C53418" w:rsidR="00CF19BD" w:rsidRDefault="00CF19BD">
      <w:pPr>
        <w:pStyle w:val="Spistreci3"/>
        <w:rPr>
          <w:rFonts w:asciiTheme="minorHAnsi" w:eastAsiaTheme="minorEastAsia" w:hAnsiTheme="minorHAnsi" w:cstheme="minorBidi"/>
          <w:sz w:val="22"/>
          <w:szCs w:val="22"/>
        </w:rPr>
      </w:pPr>
      <w:hyperlink w:anchor="_Toc233203267" w:history="1">
        <w:r w:rsidRPr="008133E0">
          <w:rPr>
            <w:rStyle w:val="Hipercze"/>
          </w:rPr>
          <w:t>I.1.8. Zamówienia in-house</w:t>
        </w:r>
        <w:r>
          <w:rPr>
            <w:webHidden/>
          </w:rPr>
          <w:tab/>
        </w:r>
        <w:r>
          <w:rPr>
            <w:webHidden/>
          </w:rPr>
          <w:fldChar w:fldCharType="begin"/>
        </w:r>
        <w:r>
          <w:rPr>
            <w:webHidden/>
          </w:rPr>
          <w:instrText xml:space="preserve"> PAGEREF _Toc233203267 \h </w:instrText>
        </w:r>
        <w:r>
          <w:rPr>
            <w:webHidden/>
          </w:rPr>
        </w:r>
        <w:r>
          <w:rPr>
            <w:webHidden/>
          </w:rPr>
          <w:fldChar w:fldCharType="separate"/>
        </w:r>
        <w:r>
          <w:rPr>
            <w:webHidden/>
          </w:rPr>
          <w:t>14</w:t>
        </w:r>
        <w:r>
          <w:rPr>
            <w:webHidden/>
          </w:rPr>
          <w:fldChar w:fldCharType="end"/>
        </w:r>
      </w:hyperlink>
    </w:p>
    <w:p w14:paraId="123FBBF0" w14:textId="50CD7437" w:rsidR="00CF19BD" w:rsidRDefault="00CF19BD">
      <w:pPr>
        <w:pStyle w:val="Spistreci3"/>
        <w:rPr>
          <w:rFonts w:asciiTheme="minorHAnsi" w:eastAsiaTheme="minorEastAsia" w:hAnsiTheme="minorHAnsi" w:cstheme="minorBidi"/>
          <w:sz w:val="22"/>
          <w:szCs w:val="22"/>
        </w:rPr>
      </w:pPr>
      <w:hyperlink w:anchor="_Toc233203268" w:history="1">
        <w:r w:rsidRPr="008133E0">
          <w:rPr>
            <w:rStyle w:val="Hipercze"/>
          </w:rPr>
          <w:t>I.1.9. Konkursy</w:t>
        </w:r>
        <w:r>
          <w:rPr>
            <w:webHidden/>
          </w:rPr>
          <w:tab/>
        </w:r>
        <w:r>
          <w:rPr>
            <w:webHidden/>
          </w:rPr>
          <w:fldChar w:fldCharType="begin"/>
        </w:r>
        <w:r>
          <w:rPr>
            <w:webHidden/>
          </w:rPr>
          <w:instrText xml:space="preserve"> PAGEREF _Toc233203268 \h </w:instrText>
        </w:r>
        <w:r>
          <w:rPr>
            <w:webHidden/>
          </w:rPr>
        </w:r>
        <w:r>
          <w:rPr>
            <w:webHidden/>
          </w:rPr>
          <w:fldChar w:fldCharType="separate"/>
        </w:r>
        <w:r>
          <w:rPr>
            <w:webHidden/>
          </w:rPr>
          <w:t>15</w:t>
        </w:r>
        <w:r>
          <w:rPr>
            <w:webHidden/>
          </w:rPr>
          <w:fldChar w:fldCharType="end"/>
        </w:r>
      </w:hyperlink>
    </w:p>
    <w:p w14:paraId="32199BC3" w14:textId="113F4612" w:rsidR="00CF19BD" w:rsidRDefault="00CF19BD">
      <w:pPr>
        <w:pStyle w:val="Spistreci3"/>
        <w:rPr>
          <w:rFonts w:asciiTheme="minorHAnsi" w:eastAsiaTheme="minorEastAsia" w:hAnsiTheme="minorHAnsi" w:cstheme="minorBidi"/>
          <w:sz w:val="22"/>
          <w:szCs w:val="22"/>
        </w:rPr>
      </w:pPr>
      <w:hyperlink w:anchor="_Toc233203269" w:history="1">
        <w:r w:rsidRPr="008133E0">
          <w:rPr>
            <w:rStyle w:val="Hipercze"/>
          </w:rPr>
          <w:t>I.1.10. Dynamiczny system zakupów</w:t>
        </w:r>
        <w:r>
          <w:rPr>
            <w:webHidden/>
          </w:rPr>
          <w:tab/>
        </w:r>
        <w:r>
          <w:rPr>
            <w:webHidden/>
          </w:rPr>
          <w:fldChar w:fldCharType="begin"/>
        </w:r>
        <w:r>
          <w:rPr>
            <w:webHidden/>
          </w:rPr>
          <w:instrText xml:space="preserve"> PAGEREF _Toc233203269 \h </w:instrText>
        </w:r>
        <w:r>
          <w:rPr>
            <w:webHidden/>
          </w:rPr>
        </w:r>
        <w:r>
          <w:rPr>
            <w:webHidden/>
          </w:rPr>
          <w:fldChar w:fldCharType="separate"/>
        </w:r>
        <w:r>
          <w:rPr>
            <w:webHidden/>
          </w:rPr>
          <w:t>15</w:t>
        </w:r>
        <w:r>
          <w:rPr>
            <w:webHidden/>
          </w:rPr>
          <w:fldChar w:fldCharType="end"/>
        </w:r>
      </w:hyperlink>
    </w:p>
    <w:p w14:paraId="1B795CD0" w14:textId="55FA68A6" w:rsidR="00CF19BD" w:rsidRDefault="00CF19BD">
      <w:pPr>
        <w:pStyle w:val="Spistreci3"/>
        <w:rPr>
          <w:rFonts w:asciiTheme="minorHAnsi" w:eastAsiaTheme="minorEastAsia" w:hAnsiTheme="minorHAnsi" w:cstheme="minorBidi"/>
          <w:sz w:val="22"/>
          <w:szCs w:val="22"/>
        </w:rPr>
      </w:pPr>
      <w:hyperlink w:anchor="_Toc233203270" w:history="1">
        <w:r w:rsidRPr="008133E0">
          <w:rPr>
            <w:rStyle w:val="Hipercze"/>
          </w:rPr>
          <w:t>I.1.11. Umowy ramowe</w:t>
        </w:r>
        <w:r>
          <w:rPr>
            <w:webHidden/>
          </w:rPr>
          <w:tab/>
        </w:r>
        <w:r>
          <w:rPr>
            <w:webHidden/>
          </w:rPr>
          <w:fldChar w:fldCharType="begin"/>
        </w:r>
        <w:r>
          <w:rPr>
            <w:webHidden/>
          </w:rPr>
          <w:instrText xml:space="preserve"> PAGEREF _Toc233203270 \h </w:instrText>
        </w:r>
        <w:r>
          <w:rPr>
            <w:webHidden/>
          </w:rPr>
        </w:r>
        <w:r>
          <w:rPr>
            <w:webHidden/>
          </w:rPr>
          <w:fldChar w:fldCharType="separate"/>
        </w:r>
        <w:r>
          <w:rPr>
            <w:webHidden/>
          </w:rPr>
          <w:t>16</w:t>
        </w:r>
        <w:r>
          <w:rPr>
            <w:webHidden/>
          </w:rPr>
          <w:fldChar w:fldCharType="end"/>
        </w:r>
      </w:hyperlink>
    </w:p>
    <w:p w14:paraId="19EA4A4B" w14:textId="647D2497" w:rsidR="00CF19BD" w:rsidRDefault="00CF19BD">
      <w:pPr>
        <w:pStyle w:val="Spistreci3"/>
        <w:rPr>
          <w:rFonts w:asciiTheme="minorHAnsi" w:eastAsiaTheme="minorEastAsia" w:hAnsiTheme="minorHAnsi" w:cstheme="minorBidi"/>
          <w:sz w:val="22"/>
          <w:szCs w:val="22"/>
        </w:rPr>
      </w:pPr>
      <w:hyperlink w:anchor="_Toc233203271" w:history="1">
        <w:r w:rsidRPr="008133E0">
          <w:rPr>
            <w:rStyle w:val="Hipercze"/>
          </w:rPr>
          <w:t>I.1.12. Zamówienia udzielane na podstawie niektórych wyłączeń stosowania ustawy Pzp określonych w innych ustawach</w:t>
        </w:r>
        <w:r>
          <w:rPr>
            <w:webHidden/>
          </w:rPr>
          <w:tab/>
        </w:r>
        <w:r>
          <w:rPr>
            <w:webHidden/>
          </w:rPr>
          <w:fldChar w:fldCharType="begin"/>
        </w:r>
        <w:r>
          <w:rPr>
            <w:webHidden/>
          </w:rPr>
          <w:instrText xml:space="preserve"> PAGEREF _Toc233203271 \h </w:instrText>
        </w:r>
        <w:r>
          <w:rPr>
            <w:webHidden/>
          </w:rPr>
        </w:r>
        <w:r>
          <w:rPr>
            <w:webHidden/>
          </w:rPr>
          <w:fldChar w:fldCharType="separate"/>
        </w:r>
        <w:r>
          <w:rPr>
            <w:webHidden/>
          </w:rPr>
          <w:t>16</w:t>
        </w:r>
        <w:r>
          <w:rPr>
            <w:webHidden/>
          </w:rPr>
          <w:fldChar w:fldCharType="end"/>
        </w:r>
      </w:hyperlink>
    </w:p>
    <w:p w14:paraId="4C30D199" w14:textId="41A3481E" w:rsidR="00CF19BD" w:rsidRDefault="00CF19BD">
      <w:pPr>
        <w:pStyle w:val="Spistreci2"/>
        <w:rPr>
          <w:rFonts w:asciiTheme="minorHAnsi" w:eastAsiaTheme="minorEastAsia" w:hAnsiTheme="minorHAnsi" w:cstheme="minorBidi"/>
          <w:b w:val="0"/>
          <w:bCs w:val="0"/>
          <w:sz w:val="22"/>
          <w:szCs w:val="22"/>
        </w:rPr>
      </w:pPr>
      <w:hyperlink w:anchor="_Toc233203272" w:history="1">
        <w:r w:rsidRPr="008133E0">
          <w:rPr>
            <w:rStyle w:val="Hipercze"/>
          </w:rPr>
          <w:t>I.2. Funkcjonowanie rynku</w:t>
        </w:r>
        <w:r>
          <w:rPr>
            <w:webHidden/>
          </w:rPr>
          <w:tab/>
        </w:r>
        <w:r>
          <w:rPr>
            <w:webHidden/>
          </w:rPr>
          <w:fldChar w:fldCharType="begin"/>
        </w:r>
        <w:r>
          <w:rPr>
            <w:webHidden/>
          </w:rPr>
          <w:instrText xml:space="preserve"> PAGEREF _Toc233203272 \h </w:instrText>
        </w:r>
        <w:r>
          <w:rPr>
            <w:webHidden/>
          </w:rPr>
        </w:r>
        <w:r>
          <w:rPr>
            <w:webHidden/>
          </w:rPr>
          <w:fldChar w:fldCharType="separate"/>
        </w:r>
        <w:r>
          <w:rPr>
            <w:webHidden/>
          </w:rPr>
          <w:t>18</w:t>
        </w:r>
        <w:r>
          <w:rPr>
            <w:webHidden/>
          </w:rPr>
          <w:fldChar w:fldCharType="end"/>
        </w:r>
      </w:hyperlink>
    </w:p>
    <w:p w14:paraId="07E5B6D3" w14:textId="40C246E3" w:rsidR="00CF19BD" w:rsidRDefault="00CF19BD">
      <w:pPr>
        <w:pStyle w:val="Spistreci3"/>
        <w:rPr>
          <w:rFonts w:asciiTheme="minorHAnsi" w:eastAsiaTheme="minorEastAsia" w:hAnsiTheme="minorHAnsi" w:cstheme="minorBidi"/>
          <w:sz w:val="22"/>
          <w:szCs w:val="22"/>
        </w:rPr>
      </w:pPr>
      <w:hyperlink w:anchor="_Toc233203273" w:history="1">
        <w:r w:rsidRPr="008133E0">
          <w:rPr>
            <w:rStyle w:val="Hipercze"/>
          </w:rPr>
          <w:t>I.2.1. Tryby stosowane w zamówieniach publicznych</w:t>
        </w:r>
        <w:r>
          <w:rPr>
            <w:webHidden/>
          </w:rPr>
          <w:tab/>
        </w:r>
        <w:r>
          <w:rPr>
            <w:webHidden/>
          </w:rPr>
          <w:fldChar w:fldCharType="begin"/>
        </w:r>
        <w:r>
          <w:rPr>
            <w:webHidden/>
          </w:rPr>
          <w:instrText xml:space="preserve"> PAGEREF _Toc233203273 \h </w:instrText>
        </w:r>
        <w:r>
          <w:rPr>
            <w:webHidden/>
          </w:rPr>
        </w:r>
        <w:r>
          <w:rPr>
            <w:webHidden/>
          </w:rPr>
          <w:fldChar w:fldCharType="separate"/>
        </w:r>
        <w:r>
          <w:rPr>
            <w:webHidden/>
          </w:rPr>
          <w:t>19</w:t>
        </w:r>
        <w:r>
          <w:rPr>
            <w:webHidden/>
          </w:rPr>
          <w:fldChar w:fldCharType="end"/>
        </w:r>
      </w:hyperlink>
    </w:p>
    <w:p w14:paraId="12A360C5" w14:textId="63BD0854" w:rsidR="00CF19BD" w:rsidRDefault="00CF19BD">
      <w:pPr>
        <w:pStyle w:val="Spistreci3"/>
        <w:rPr>
          <w:rFonts w:asciiTheme="minorHAnsi" w:eastAsiaTheme="minorEastAsia" w:hAnsiTheme="minorHAnsi" w:cstheme="minorBidi"/>
          <w:sz w:val="22"/>
          <w:szCs w:val="22"/>
        </w:rPr>
      </w:pPr>
      <w:hyperlink w:anchor="_Toc233203274" w:history="1">
        <w:r w:rsidRPr="008133E0">
          <w:rPr>
            <w:rStyle w:val="Hipercze"/>
          </w:rPr>
          <w:t>I.2.2. Czas trwania postępowania o udzielenie zamówienia publicznego</w:t>
        </w:r>
        <w:r>
          <w:rPr>
            <w:webHidden/>
          </w:rPr>
          <w:tab/>
        </w:r>
        <w:r>
          <w:rPr>
            <w:webHidden/>
          </w:rPr>
          <w:fldChar w:fldCharType="begin"/>
        </w:r>
        <w:r>
          <w:rPr>
            <w:webHidden/>
          </w:rPr>
          <w:instrText xml:space="preserve"> PAGEREF _Toc233203274 \h </w:instrText>
        </w:r>
        <w:r>
          <w:rPr>
            <w:webHidden/>
          </w:rPr>
        </w:r>
        <w:r>
          <w:rPr>
            <w:webHidden/>
          </w:rPr>
          <w:fldChar w:fldCharType="separate"/>
        </w:r>
        <w:r>
          <w:rPr>
            <w:webHidden/>
          </w:rPr>
          <w:t>22</w:t>
        </w:r>
        <w:r>
          <w:rPr>
            <w:webHidden/>
          </w:rPr>
          <w:fldChar w:fldCharType="end"/>
        </w:r>
      </w:hyperlink>
    </w:p>
    <w:p w14:paraId="20C42E2D" w14:textId="0F1667BA" w:rsidR="00CF19BD" w:rsidRDefault="00CF19BD">
      <w:pPr>
        <w:pStyle w:val="Spistreci3"/>
        <w:rPr>
          <w:rFonts w:asciiTheme="minorHAnsi" w:eastAsiaTheme="minorEastAsia" w:hAnsiTheme="minorHAnsi" w:cstheme="minorBidi"/>
          <w:sz w:val="22"/>
          <w:szCs w:val="22"/>
        </w:rPr>
      </w:pPr>
      <w:hyperlink w:anchor="_Toc233203275" w:history="1">
        <w:r w:rsidRPr="008133E0">
          <w:rPr>
            <w:rStyle w:val="Hipercze"/>
          </w:rPr>
          <w:t>I.2.3. Kryteria oceny ofert</w:t>
        </w:r>
        <w:r>
          <w:rPr>
            <w:webHidden/>
          </w:rPr>
          <w:tab/>
        </w:r>
        <w:r>
          <w:rPr>
            <w:webHidden/>
          </w:rPr>
          <w:fldChar w:fldCharType="begin"/>
        </w:r>
        <w:r>
          <w:rPr>
            <w:webHidden/>
          </w:rPr>
          <w:instrText xml:space="preserve"> PAGEREF _Toc233203275 \h </w:instrText>
        </w:r>
        <w:r>
          <w:rPr>
            <w:webHidden/>
          </w:rPr>
        </w:r>
        <w:r>
          <w:rPr>
            <w:webHidden/>
          </w:rPr>
          <w:fldChar w:fldCharType="separate"/>
        </w:r>
        <w:r>
          <w:rPr>
            <w:webHidden/>
          </w:rPr>
          <w:t>24</w:t>
        </w:r>
        <w:r>
          <w:rPr>
            <w:webHidden/>
          </w:rPr>
          <w:fldChar w:fldCharType="end"/>
        </w:r>
      </w:hyperlink>
    </w:p>
    <w:p w14:paraId="212C2833" w14:textId="02603200" w:rsidR="00CF19BD" w:rsidRDefault="00CF19BD">
      <w:pPr>
        <w:pStyle w:val="Spistreci3"/>
        <w:rPr>
          <w:rFonts w:asciiTheme="minorHAnsi" w:eastAsiaTheme="minorEastAsia" w:hAnsiTheme="minorHAnsi" w:cstheme="minorBidi"/>
          <w:sz w:val="22"/>
          <w:szCs w:val="22"/>
        </w:rPr>
      </w:pPr>
      <w:hyperlink w:anchor="_Toc233203276" w:history="1">
        <w:r w:rsidRPr="008133E0">
          <w:rPr>
            <w:rStyle w:val="Hipercze"/>
          </w:rPr>
          <w:t>I.2.4. Konkurencyjność postępowań</w:t>
        </w:r>
        <w:r>
          <w:rPr>
            <w:webHidden/>
          </w:rPr>
          <w:tab/>
        </w:r>
        <w:r>
          <w:rPr>
            <w:webHidden/>
          </w:rPr>
          <w:fldChar w:fldCharType="begin"/>
        </w:r>
        <w:r>
          <w:rPr>
            <w:webHidden/>
          </w:rPr>
          <w:instrText xml:space="preserve"> PAGEREF _Toc233203276 \h </w:instrText>
        </w:r>
        <w:r>
          <w:rPr>
            <w:webHidden/>
          </w:rPr>
        </w:r>
        <w:r>
          <w:rPr>
            <w:webHidden/>
          </w:rPr>
          <w:fldChar w:fldCharType="separate"/>
        </w:r>
        <w:r>
          <w:rPr>
            <w:webHidden/>
          </w:rPr>
          <w:t>26</w:t>
        </w:r>
        <w:r>
          <w:rPr>
            <w:webHidden/>
          </w:rPr>
          <w:fldChar w:fldCharType="end"/>
        </w:r>
      </w:hyperlink>
    </w:p>
    <w:p w14:paraId="360EFAAE" w14:textId="3CC565D7" w:rsidR="00CF19BD" w:rsidRDefault="00CF19BD">
      <w:pPr>
        <w:pStyle w:val="Spistreci3"/>
        <w:rPr>
          <w:rFonts w:asciiTheme="minorHAnsi" w:eastAsiaTheme="minorEastAsia" w:hAnsiTheme="minorHAnsi" w:cstheme="minorBidi"/>
          <w:sz w:val="22"/>
          <w:szCs w:val="22"/>
        </w:rPr>
      </w:pPr>
      <w:hyperlink w:anchor="_Toc233203277" w:history="1">
        <w:r w:rsidRPr="008133E0">
          <w:rPr>
            <w:rStyle w:val="Hipercze"/>
          </w:rPr>
          <w:t>I.2.5. Unieważnienia postępowań o udzielenie zamówienia publicznego</w:t>
        </w:r>
        <w:r>
          <w:rPr>
            <w:webHidden/>
          </w:rPr>
          <w:tab/>
        </w:r>
        <w:r>
          <w:rPr>
            <w:webHidden/>
          </w:rPr>
          <w:fldChar w:fldCharType="begin"/>
        </w:r>
        <w:r>
          <w:rPr>
            <w:webHidden/>
          </w:rPr>
          <w:instrText xml:space="preserve"> PAGEREF _Toc233203277 \h </w:instrText>
        </w:r>
        <w:r>
          <w:rPr>
            <w:webHidden/>
          </w:rPr>
        </w:r>
        <w:r>
          <w:rPr>
            <w:webHidden/>
          </w:rPr>
          <w:fldChar w:fldCharType="separate"/>
        </w:r>
        <w:r>
          <w:rPr>
            <w:webHidden/>
          </w:rPr>
          <w:t>29</w:t>
        </w:r>
        <w:r>
          <w:rPr>
            <w:webHidden/>
          </w:rPr>
          <w:fldChar w:fldCharType="end"/>
        </w:r>
      </w:hyperlink>
    </w:p>
    <w:p w14:paraId="77B3A9FE" w14:textId="0A2DB38F" w:rsidR="00CF19BD" w:rsidRDefault="00CF19BD">
      <w:pPr>
        <w:pStyle w:val="Spistreci3"/>
        <w:rPr>
          <w:rFonts w:asciiTheme="minorHAnsi" w:eastAsiaTheme="minorEastAsia" w:hAnsiTheme="minorHAnsi" w:cstheme="minorBidi"/>
          <w:sz w:val="22"/>
          <w:szCs w:val="22"/>
        </w:rPr>
      </w:pPr>
      <w:hyperlink w:anchor="_Toc233203278" w:history="1">
        <w:r w:rsidRPr="008133E0">
          <w:rPr>
            <w:rStyle w:val="Hipercze"/>
          </w:rPr>
          <w:t>I.2.6. Udział w zamówieniach publicznych wykonawców z sektora MŚP</w:t>
        </w:r>
        <w:r>
          <w:rPr>
            <w:webHidden/>
          </w:rPr>
          <w:tab/>
        </w:r>
        <w:r>
          <w:rPr>
            <w:webHidden/>
          </w:rPr>
          <w:fldChar w:fldCharType="begin"/>
        </w:r>
        <w:r>
          <w:rPr>
            <w:webHidden/>
          </w:rPr>
          <w:instrText xml:space="preserve"> PAGEREF _Toc233203278 \h </w:instrText>
        </w:r>
        <w:r>
          <w:rPr>
            <w:webHidden/>
          </w:rPr>
        </w:r>
        <w:r>
          <w:rPr>
            <w:webHidden/>
          </w:rPr>
          <w:fldChar w:fldCharType="separate"/>
        </w:r>
        <w:r>
          <w:rPr>
            <w:webHidden/>
          </w:rPr>
          <w:t>31</w:t>
        </w:r>
        <w:r>
          <w:rPr>
            <w:webHidden/>
          </w:rPr>
          <w:fldChar w:fldCharType="end"/>
        </w:r>
      </w:hyperlink>
    </w:p>
    <w:p w14:paraId="428D6BBC" w14:textId="0E2E0DAF" w:rsidR="00CF19BD" w:rsidRDefault="00CF19BD">
      <w:pPr>
        <w:pStyle w:val="Spistreci3"/>
        <w:rPr>
          <w:rFonts w:asciiTheme="minorHAnsi" w:eastAsiaTheme="minorEastAsia" w:hAnsiTheme="minorHAnsi" w:cstheme="minorBidi"/>
          <w:sz w:val="22"/>
          <w:szCs w:val="22"/>
        </w:rPr>
      </w:pPr>
      <w:hyperlink w:anchor="_Toc233203279" w:history="1">
        <w:r w:rsidRPr="008133E0">
          <w:rPr>
            <w:rStyle w:val="Hipercze"/>
          </w:rPr>
          <w:t>I.2.7. Udział polskich przedsiębiorców w rynku europejskim</w:t>
        </w:r>
        <w:r>
          <w:rPr>
            <w:webHidden/>
          </w:rPr>
          <w:tab/>
        </w:r>
        <w:r>
          <w:rPr>
            <w:webHidden/>
          </w:rPr>
          <w:fldChar w:fldCharType="begin"/>
        </w:r>
        <w:r>
          <w:rPr>
            <w:webHidden/>
          </w:rPr>
          <w:instrText xml:space="preserve"> PAGEREF _Toc233203279 \h </w:instrText>
        </w:r>
        <w:r>
          <w:rPr>
            <w:webHidden/>
          </w:rPr>
        </w:r>
        <w:r>
          <w:rPr>
            <w:webHidden/>
          </w:rPr>
          <w:fldChar w:fldCharType="separate"/>
        </w:r>
        <w:r>
          <w:rPr>
            <w:webHidden/>
          </w:rPr>
          <w:t>35</w:t>
        </w:r>
        <w:r>
          <w:rPr>
            <w:webHidden/>
          </w:rPr>
          <w:fldChar w:fldCharType="end"/>
        </w:r>
      </w:hyperlink>
    </w:p>
    <w:p w14:paraId="466AEBE1" w14:textId="66E1C88E" w:rsidR="00CF19BD" w:rsidRDefault="00CF19BD">
      <w:pPr>
        <w:pStyle w:val="Spistreci3"/>
        <w:rPr>
          <w:rFonts w:asciiTheme="minorHAnsi" w:eastAsiaTheme="minorEastAsia" w:hAnsiTheme="minorHAnsi" w:cstheme="minorBidi"/>
          <w:sz w:val="22"/>
          <w:szCs w:val="22"/>
        </w:rPr>
      </w:pPr>
      <w:hyperlink w:anchor="_Toc233203280" w:history="1">
        <w:r w:rsidRPr="008133E0">
          <w:rPr>
            <w:rStyle w:val="Hipercze"/>
          </w:rPr>
          <w:t>I.2.8. Korzystanie ze środków ochrony prawnej</w:t>
        </w:r>
        <w:r>
          <w:rPr>
            <w:webHidden/>
          </w:rPr>
          <w:tab/>
        </w:r>
        <w:r>
          <w:rPr>
            <w:webHidden/>
          </w:rPr>
          <w:fldChar w:fldCharType="begin"/>
        </w:r>
        <w:r>
          <w:rPr>
            <w:webHidden/>
          </w:rPr>
          <w:instrText xml:space="preserve"> PAGEREF _Toc233203280 \h </w:instrText>
        </w:r>
        <w:r>
          <w:rPr>
            <w:webHidden/>
          </w:rPr>
        </w:r>
        <w:r>
          <w:rPr>
            <w:webHidden/>
          </w:rPr>
          <w:fldChar w:fldCharType="separate"/>
        </w:r>
        <w:r>
          <w:rPr>
            <w:webHidden/>
          </w:rPr>
          <w:t>36</w:t>
        </w:r>
        <w:r>
          <w:rPr>
            <w:webHidden/>
          </w:rPr>
          <w:fldChar w:fldCharType="end"/>
        </w:r>
      </w:hyperlink>
    </w:p>
    <w:p w14:paraId="0EE7F5C0" w14:textId="3A387FF7" w:rsidR="00CF19BD" w:rsidRDefault="00CF19BD">
      <w:pPr>
        <w:pStyle w:val="Spistreci3"/>
        <w:rPr>
          <w:rFonts w:asciiTheme="minorHAnsi" w:eastAsiaTheme="minorEastAsia" w:hAnsiTheme="minorHAnsi" w:cstheme="minorBidi"/>
          <w:sz w:val="22"/>
          <w:szCs w:val="22"/>
        </w:rPr>
      </w:pPr>
      <w:hyperlink w:anchor="_Toc233203281" w:history="1">
        <w:r w:rsidRPr="008133E0">
          <w:rPr>
            <w:rStyle w:val="Hipercze"/>
          </w:rPr>
          <w:t>I.2.9. Stan zrównoważonych zamówień publicznych w 2025 r.</w:t>
        </w:r>
        <w:r>
          <w:rPr>
            <w:webHidden/>
          </w:rPr>
          <w:tab/>
        </w:r>
        <w:r>
          <w:rPr>
            <w:webHidden/>
          </w:rPr>
          <w:fldChar w:fldCharType="begin"/>
        </w:r>
        <w:r>
          <w:rPr>
            <w:webHidden/>
          </w:rPr>
          <w:instrText xml:space="preserve"> PAGEREF _Toc233203281 \h </w:instrText>
        </w:r>
        <w:r>
          <w:rPr>
            <w:webHidden/>
          </w:rPr>
        </w:r>
        <w:r>
          <w:rPr>
            <w:webHidden/>
          </w:rPr>
          <w:fldChar w:fldCharType="separate"/>
        </w:r>
        <w:r>
          <w:rPr>
            <w:webHidden/>
          </w:rPr>
          <w:t>40</w:t>
        </w:r>
        <w:r>
          <w:rPr>
            <w:webHidden/>
          </w:rPr>
          <w:fldChar w:fldCharType="end"/>
        </w:r>
      </w:hyperlink>
    </w:p>
    <w:p w14:paraId="73CB8683" w14:textId="412E524C" w:rsidR="00CF19BD" w:rsidRDefault="00CF19BD">
      <w:pPr>
        <w:pStyle w:val="Spistreci2"/>
        <w:rPr>
          <w:rFonts w:asciiTheme="minorHAnsi" w:eastAsiaTheme="minorEastAsia" w:hAnsiTheme="minorHAnsi" w:cstheme="minorBidi"/>
          <w:b w:val="0"/>
          <w:bCs w:val="0"/>
          <w:sz w:val="22"/>
          <w:szCs w:val="22"/>
        </w:rPr>
      </w:pPr>
      <w:hyperlink w:anchor="_Toc233203282" w:history="1">
        <w:r w:rsidRPr="008133E0">
          <w:rPr>
            <w:rStyle w:val="Hipercze"/>
          </w:rPr>
          <w:t>I.3. Inne dane dotyczące rynku zamówień publicznych</w:t>
        </w:r>
        <w:r>
          <w:rPr>
            <w:webHidden/>
          </w:rPr>
          <w:tab/>
        </w:r>
        <w:r>
          <w:rPr>
            <w:webHidden/>
          </w:rPr>
          <w:fldChar w:fldCharType="begin"/>
        </w:r>
        <w:r>
          <w:rPr>
            <w:webHidden/>
          </w:rPr>
          <w:instrText xml:space="preserve"> PAGEREF _Toc233203282 \h </w:instrText>
        </w:r>
        <w:r>
          <w:rPr>
            <w:webHidden/>
          </w:rPr>
        </w:r>
        <w:r>
          <w:rPr>
            <w:webHidden/>
          </w:rPr>
          <w:fldChar w:fldCharType="separate"/>
        </w:r>
        <w:r>
          <w:rPr>
            <w:webHidden/>
          </w:rPr>
          <w:t>73</w:t>
        </w:r>
        <w:r>
          <w:rPr>
            <w:webHidden/>
          </w:rPr>
          <w:fldChar w:fldCharType="end"/>
        </w:r>
      </w:hyperlink>
    </w:p>
    <w:p w14:paraId="61F43F88" w14:textId="59A42AB4" w:rsidR="00CF19BD" w:rsidRDefault="00CF19BD">
      <w:pPr>
        <w:pStyle w:val="Spistreci3"/>
        <w:rPr>
          <w:rFonts w:asciiTheme="minorHAnsi" w:eastAsiaTheme="minorEastAsia" w:hAnsiTheme="minorHAnsi" w:cstheme="minorBidi"/>
          <w:sz w:val="22"/>
          <w:szCs w:val="22"/>
        </w:rPr>
      </w:pPr>
      <w:hyperlink w:anchor="_Toc233203283" w:history="1">
        <w:r w:rsidRPr="008133E0">
          <w:rPr>
            <w:rStyle w:val="Hipercze"/>
          </w:rPr>
          <w:t>I.3.1. Ogłoszenia o zamiarze zawarcia umowy</w:t>
        </w:r>
        <w:r>
          <w:rPr>
            <w:webHidden/>
          </w:rPr>
          <w:tab/>
        </w:r>
        <w:r>
          <w:rPr>
            <w:webHidden/>
          </w:rPr>
          <w:fldChar w:fldCharType="begin"/>
        </w:r>
        <w:r>
          <w:rPr>
            <w:webHidden/>
          </w:rPr>
          <w:instrText xml:space="preserve"> PAGEREF _Toc233203283 \h </w:instrText>
        </w:r>
        <w:r>
          <w:rPr>
            <w:webHidden/>
          </w:rPr>
        </w:r>
        <w:r>
          <w:rPr>
            <w:webHidden/>
          </w:rPr>
          <w:fldChar w:fldCharType="separate"/>
        </w:r>
        <w:r>
          <w:rPr>
            <w:webHidden/>
          </w:rPr>
          <w:t>74</w:t>
        </w:r>
        <w:r>
          <w:rPr>
            <w:webHidden/>
          </w:rPr>
          <w:fldChar w:fldCharType="end"/>
        </w:r>
      </w:hyperlink>
    </w:p>
    <w:p w14:paraId="72362CA1" w14:textId="1B5AD24A" w:rsidR="00CF19BD" w:rsidRDefault="00CF19BD">
      <w:pPr>
        <w:pStyle w:val="Spistreci3"/>
        <w:rPr>
          <w:rFonts w:asciiTheme="minorHAnsi" w:eastAsiaTheme="minorEastAsia" w:hAnsiTheme="minorHAnsi" w:cstheme="minorBidi"/>
          <w:sz w:val="22"/>
          <w:szCs w:val="22"/>
        </w:rPr>
      </w:pPr>
      <w:hyperlink w:anchor="_Toc233203284" w:history="1">
        <w:r w:rsidRPr="008133E0">
          <w:rPr>
            <w:rStyle w:val="Hipercze"/>
          </w:rPr>
          <w:t>I.3.2. Postępowania o udzielenie zamówienia publicznego, w których przewidziano zaliczkowanie</w:t>
        </w:r>
        <w:r>
          <w:rPr>
            <w:webHidden/>
          </w:rPr>
          <w:tab/>
        </w:r>
        <w:r>
          <w:rPr>
            <w:webHidden/>
          </w:rPr>
          <w:fldChar w:fldCharType="begin"/>
        </w:r>
        <w:r>
          <w:rPr>
            <w:webHidden/>
          </w:rPr>
          <w:instrText xml:space="preserve"> PAGEREF _Toc233203284 \h </w:instrText>
        </w:r>
        <w:r>
          <w:rPr>
            <w:webHidden/>
          </w:rPr>
        </w:r>
        <w:r>
          <w:rPr>
            <w:webHidden/>
          </w:rPr>
          <w:fldChar w:fldCharType="separate"/>
        </w:r>
        <w:r>
          <w:rPr>
            <w:webHidden/>
          </w:rPr>
          <w:t>74</w:t>
        </w:r>
        <w:r>
          <w:rPr>
            <w:webHidden/>
          </w:rPr>
          <w:fldChar w:fldCharType="end"/>
        </w:r>
      </w:hyperlink>
    </w:p>
    <w:p w14:paraId="235B0FBB" w14:textId="01D60B3A" w:rsidR="00CF19BD" w:rsidRDefault="00CF19BD">
      <w:pPr>
        <w:pStyle w:val="Spistreci3"/>
        <w:rPr>
          <w:rFonts w:asciiTheme="minorHAnsi" w:eastAsiaTheme="minorEastAsia" w:hAnsiTheme="minorHAnsi" w:cstheme="minorBidi"/>
          <w:sz w:val="22"/>
          <w:szCs w:val="22"/>
        </w:rPr>
      </w:pPr>
      <w:hyperlink w:anchor="_Toc233203285" w:history="1">
        <w:r w:rsidRPr="008133E0">
          <w:rPr>
            <w:rStyle w:val="Hipercze"/>
          </w:rPr>
          <w:t xml:space="preserve">I.3.3. Postępowania o udzielenie zamówienia publicznego, w których zamawiający zastrzegł, że o udzielenie zamówienia mogą ubiegać się wyłącznie wykonawcy mający status zakładu pracy chronionej, spółdzielnie socjalne oraz inni wykonawcy, których głównym celem lub głównym </w:t>
        </w:r>
        <w:r w:rsidRPr="008133E0">
          <w:rPr>
            <w:rStyle w:val="Hipercze"/>
          </w:rPr>
          <w:lastRenderedPageBreak/>
          <w:t>celem działalności ich wyodrębnionych organizacyjnie jednostek, które będą realizowały zamówienie, jest społeczna i zawodowa integracja osób społecznie marginalizowanych</w:t>
        </w:r>
        <w:r>
          <w:rPr>
            <w:webHidden/>
          </w:rPr>
          <w:tab/>
        </w:r>
        <w:r>
          <w:rPr>
            <w:webHidden/>
          </w:rPr>
          <w:fldChar w:fldCharType="begin"/>
        </w:r>
        <w:r>
          <w:rPr>
            <w:webHidden/>
          </w:rPr>
          <w:instrText xml:space="preserve"> PAGEREF _Toc233203285 \h </w:instrText>
        </w:r>
        <w:r>
          <w:rPr>
            <w:webHidden/>
          </w:rPr>
        </w:r>
        <w:r>
          <w:rPr>
            <w:webHidden/>
          </w:rPr>
          <w:fldChar w:fldCharType="separate"/>
        </w:r>
        <w:r>
          <w:rPr>
            <w:webHidden/>
          </w:rPr>
          <w:t>75</w:t>
        </w:r>
        <w:r>
          <w:rPr>
            <w:webHidden/>
          </w:rPr>
          <w:fldChar w:fldCharType="end"/>
        </w:r>
      </w:hyperlink>
    </w:p>
    <w:p w14:paraId="77773A7E" w14:textId="44BEDE5A" w:rsidR="00CF19BD" w:rsidRDefault="00CF19BD">
      <w:pPr>
        <w:pStyle w:val="Spistreci3"/>
        <w:rPr>
          <w:rFonts w:asciiTheme="minorHAnsi" w:eastAsiaTheme="minorEastAsia" w:hAnsiTheme="minorHAnsi" w:cstheme="minorBidi"/>
          <w:sz w:val="22"/>
          <w:szCs w:val="22"/>
        </w:rPr>
      </w:pPr>
      <w:hyperlink w:anchor="_Toc233203286" w:history="1">
        <w:r w:rsidRPr="008133E0">
          <w:rPr>
            <w:rStyle w:val="Hipercze"/>
          </w:rPr>
          <w:t>I.3.4. Postępowania o udzielenie zamówienia publicznego, w których przed wszczęciem postępowania przeprowadzono wstępne konsultacje rynkowe</w:t>
        </w:r>
        <w:r>
          <w:rPr>
            <w:webHidden/>
          </w:rPr>
          <w:tab/>
        </w:r>
        <w:r>
          <w:rPr>
            <w:webHidden/>
          </w:rPr>
          <w:fldChar w:fldCharType="begin"/>
        </w:r>
        <w:r>
          <w:rPr>
            <w:webHidden/>
          </w:rPr>
          <w:instrText xml:space="preserve"> PAGEREF _Toc233203286 \h </w:instrText>
        </w:r>
        <w:r>
          <w:rPr>
            <w:webHidden/>
          </w:rPr>
        </w:r>
        <w:r>
          <w:rPr>
            <w:webHidden/>
          </w:rPr>
          <w:fldChar w:fldCharType="separate"/>
        </w:r>
        <w:r>
          <w:rPr>
            <w:webHidden/>
          </w:rPr>
          <w:t>76</w:t>
        </w:r>
        <w:r>
          <w:rPr>
            <w:webHidden/>
          </w:rPr>
          <w:fldChar w:fldCharType="end"/>
        </w:r>
      </w:hyperlink>
    </w:p>
    <w:p w14:paraId="340BF181" w14:textId="41DAD69E" w:rsidR="00CF19BD" w:rsidRDefault="00CF19BD">
      <w:pPr>
        <w:pStyle w:val="Spistreci1"/>
        <w:rPr>
          <w:rFonts w:asciiTheme="minorHAnsi" w:eastAsiaTheme="minorEastAsia" w:hAnsiTheme="minorHAnsi" w:cstheme="minorBidi"/>
          <w:b w:val="0"/>
          <w:color w:val="auto"/>
          <w:szCs w:val="22"/>
        </w:rPr>
      </w:pPr>
      <w:hyperlink w:anchor="_Toc233203287" w:history="1">
        <w:r w:rsidRPr="008133E0">
          <w:rPr>
            <w:rStyle w:val="Hipercze"/>
          </w:rPr>
          <w:t>II. ZMIANY AKTÓW PRAWNYCH MAJĄCYCH WPŁYW NA SYSTEM ZAMÓWIEŃ PUBLICZNYCH W POLSCE</w:t>
        </w:r>
        <w:r>
          <w:rPr>
            <w:webHidden/>
          </w:rPr>
          <w:tab/>
        </w:r>
        <w:r>
          <w:rPr>
            <w:webHidden/>
          </w:rPr>
          <w:fldChar w:fldCharType="begin"/>
        </w:r>
        <w:r>
          <w:rPr>
            <w:webHidden/>
          </w:rPr>
          <w:instrText xml:space="preserve"> PAGEREF _Toc233203287 \h </w:instrText>
        </w:r>
        <w:r>
          <w:rPr>
            <w:webHidden/>
          </w:rPr>
        </w:r>
        <w:r>
          <w:rPr>
            <w:webHidden/>
          </w:rPr>
          <w:fldChar w:fldCharType="separate"/>
        </w:r>
        <w:r>
          <w:rPr>
            <w:webHidden/>
          </w:rPr>
          <w:t>79</w:t>
        </w:r>
        <w:r>
          <w:rPr>
            <w:webHidden/>
          </w:rPr>
          <w:fldChar w:fldCharType="end"/>
        </w:r>
      </w:hyperlink>
    </w:p>
    <w:p w14:paraId="493CB3E9" w14:textId="0FC3F1D6" w:rsidR="00CF19BD" w:rsidRDefault="00CF19BD">
      <w:pPr>
        <w:pStyle w:val="Spistreci2"/>
        <w:rPr>
          <w:rFonts w:asciiTheme="minorHAnsi" w:eastAsiaTheme="minorEastAsia" w:hAnsiTheme="minorHAnsi" w:cstheme="minorBidi"/>
          <w:b w:val="0"/>
          <w:bCs w:val="0"/>
          <w:sz w:val="22"/>
          <w:szCs w:val="22"/>
        </w:rPr>
      </w:pPr>
      <w:hyperlink w:anchor="_Toc233203288" w:history="1">
        <w:r w:rsidRPr="008133E0">
          <w:rPr>
            <w:rStyle w:val="Hipercze"/>
          </w:rPr>
          <w:t>II.1. Ustawa – Prawo zamówień publicznych i ustawa o umowie koncesji na roboty budowlane lub usługi</w:t>
        </w:r>
        <w:r>
          <w:rPr>
            <w:webHidden/>
          </w:rPr>
          <w:tab/>
        </w:r>
        <w:r>
          <w:rPr>
            <w:webHidden/>
          </w:rPr>
          <w:fldChar w:fldCharType="begin"/>
        </w:r>
        <w:r>
          <w:rPr>
            <w:webHidden/>
          </w:rPr>
          <w:instrText xml:space="preserve"> PAGEREF _Toc233203288 \h </w:instrText>
        </w:r>
        <w:r>
          <w:rPr>
            <w:webHidden/>
          </w:rPr>
        </w:r>
        <w:r>
          <w:rPr>
            <w:webHidden/>
          </w:rPr>
          <w:fldChar w:fldCharType="separate"/>
        </w:r>
        <w:r>
          <w:rPr>
            <w:webHidden/>
          </w:rPr>
          <w:t>79</w:t>
        </w:r>
        <w:r>
          <w:rPr>
            <w:webHidden/>
          </w:rPr>
          <w:fldChar w:fldCharType="end"/>
        </w:r>
      </w:hyperlink>
    </w:p>
    <w:p w14:paraId="38CEC783" w14:textId="106FF7AB" w:rsidR="00CF19BD" w:rsidRDefault="00CF19BD">
      <w:pPr>
        <w:pStyle w:val="Spistreci3"/>
        <w:rPr>
          <w:rFonts w:asciiTheme="minorHAnsi" w:eastAsiaTheme="minorEastAsia" w:hAnsiTheme="minorHAnsi" w:cstheme="minorBidi"/>
          <w:sz w:val="22"/>
          <w:szCs w:val="22"/>
        </w:rPr>
      </w:pPr>
      <w:hyperlink w:anchor="_Toc233203289" w:history="1">
        <w:r w:rsidRPr="008133E0">
          <w:rPr>
            <w:rStyle w:val="Hipercze"/>
          </w:rPr>
          <w:t>II.1.1. Ustawa Prawo zamówień publicznych</w:t>
        </w:r>
        <w:r>
          <w:rPr>
            <w:webHidden/>
          </w:rPr>
          <w:tab/>
        </w:r>
        <w:r>
          <w:rPr>
            <w:webHidden/>
          </w:rPr>
          <w:fldChar w:fldCharType="begin"/>
        </w:r>
        <w:r>
          <w:rPr>
            <w:webHidden/>
          </w:rPr>
          <w:instrText xml:space="preserve"> PAGEREF _Toc233203289 \h </w:instrText>
        </w:r>
        <w:r>
          <w:rPr>
            <w:webHidden/>
          </w:rPr>
        </w:r>
        <w:r>
          <w:rPr>
            <w:webHidden/>
          </w:rPr>
          <w:fldChar w:fldCharType="separate"/>
        </w:r>
        <w:r>
          <w:rPr>
            <w:webHidden/>
          </w:rPr>
          <w:t>79</w:t>
        </w:r>
        <w:r>
          <w:rPr>
            <w:webHidden/>
          </w:rPr>
          <w:fldChar w:fldCharType="end"/>
        </w:r>
      </w:hyperlink>
    </w:p>
    <w:p w14:paraId="6FC8CC92" w14:textId="7EE70875" w:rsidR="00CF19BD" w:rsidRDefault="00CF19BD">
      <w:pPr>
        <w:pStyle w:val="Spistreci3"/>
        <w:rPr>
          <w:rFonts w:asciiTheme="minorHAnsi" w:eastAsiaTheme="minorEastAsia" w:hAnsiTheme="minorHAnsi" w:cstheme="minorBidi"/>
          <w:sz w:val="22"/>
          <w:szCs w:val="22"/>
        </w:rPr>
      </w:pPr>
      <w:hyperlink w:anchor="_Toc233203290" w:history="1">
        <w:r w:rsidRPr="008133E0">
          <w:rPr>
            <w:rStyle w:val="Hipercze"/>
          </w:rPr>
          <w:t>II.1.2. Ustawa z dnia 21 października 2016 r. o umowie koncesji na roboty budowlane lub usługi (Dz.U. z 2025 r. poz. 1688)</w:t>
        </w:r>
        <w:r>
          <w:rPr>
            <w:webHidden/>
          </w:rPr>
          <w:tab/>
        </w:r>
        <w:r>
          <w:rPr>
            <w:webHidden/>
          </w:rPr>
          <w:fldChar w:fldCharType="begin"/>
        </w:r>
        <w:r>
          <w:rPr>
            <w:webHidden/>
          </w:rPr>
          <w:instrText xml:space="preserve"> PAGEREF _Toc233203290 \h </w:instrText>
        </w:r>
        <w:r>
          <w:rPr>
            <w:webHidden/>
          </w:rPr>
        </w:r>
        <w:r>
          <w:rPr>
            <w:webHidden/>
          </w:rPr>
          <w:fldChar w:fldCharType="separate"/>
        </w:r>
        <w:r>
          <w:rPr>
            <w:webHidden/>
          </w:rPr>
          <w:t>84</w:t>
        </w:r>
        <w:r>
          <w:rPr>
            <w:webHidden/>
          </w:rPr>
          <w:fldChar w:fldCharType="end"/>
        </w:r>
      </w:hyperlink>
    </w:p>
    <w:p w14:paraId="055CF108" w14:textId="77B42578" w:rsidR="00CF19BD" w:rsidRDefault="00CF19BD">
      <w:pPr>
        <w:pStyle w:val="Spistreci2"/>
        <w:rPr>
          <w:rFonts w:asciiTheme="minorHAnsi" w:eastAsiaTheme="minorEastAsia" w:hAnsiTheme="minorHAnsi" w:cstheme="minorBidi"/>
          <w:b w:val="0"/>
          <w:bCs w:val="0"/>
          <w:sz w:val="22"/>
          <w:szCs w:val="22"/>
        </w:rPr>
      </w:pPr>
      <w:hyperlink w:anchor="_Toc233203291" w:history="1">
        <w:r w:rsidRPr="008133E0">
          <w:rPr>
            <w:rStyle w:val="Hipercze"/>
          </w:rPr>
          <w:t>II.2. Inne regulacje</w:t>
        </w:r>
        <w:r>
          <w:rPr>
            <w:webHidden/>
          </w:rPr>
          <w:tab/>
        </w:r>
        <w:r>
          <w:rPr>
            <w:webHidden/>
          </w:rPr>
          <w:fldChar w:fldCharType="begin"/>
        </w:r>
        <w:r>
          <w:rPr>
            <w:webHidden/>
          </w:rPr>
          <w:instrText xml:space="preserve"> PAGEREF _Toc233203291 \h </w:instrText>
        </w:r>
        <w:r>
          <w:rPr>
            <w:webHidden/>
          </w:rPr>
        </w:r>
        <w:r>
          <w:rPr>
            <w:webHidden/>
          </w:rPr>
          <w:fldChar w:fldCharType="separate"/>
        </w:r>
        <w:r>
          <w:rPr>
            <w:webHidden/>
          </w:rPr>
          <w:t>87</w:t>
        </w:r>
        <w:r>
          <w:rPr>
            <w:webHidden/>
          </w:rPr>
          <w:fldChar w:fldCharType="end"/>
        </w:r>
      </w:hyperlink>
    </w:p>
    <w:p w14:paraId="59977A46" w14:textId="57B4804C" w:rsidR="00CF19BD" w:rsidRDefault="00CF19BD">
      <w:pPr>
        <w:pStyle w:val="Spistreci2"/>
        <w:rPr>
          <w:rFonts w:asciiTheme="minorHAnsi" w:eastAsiaTheme="minorEastAsia" w:hAnsiTheme="minorHAnsi" w:cstheme="minorBidi"/>
          <w:b w:val="0"/>
          <w:bCs w:val="0"/>
          <w:sz w:val="22"/>
          <w:szCs w:val="22"/>
        </w:rPr>
      </w:pPr>
      <w:hyperlink w:anchor="_Toc233203292" w:history="1">
        <w:r w:rsidRPr="008133E0">
          <w:rPr>
            <w:rStyle w:val="Hipercze"/>
          </w:rPr>
          <w:t>II.3. Regulacje i dokumenty dotyczące zamówień publicznych i koncesji na roboty budowlane lub usługi w Unii Europejskiej</w:t>
        </w:r>
        <w:r>
          <w:rPr>
            <w:webHidden/>
          </w:rPr>
          <w:tab/>
        </w:r>
        <w:r>
          <w:rPr>
            <w:webHidden/>
          </w:rPr>
          <w:fldChar w:fldCharType="begin"/>
        </w:r>
        <w:r>
          <w:rPr>
            <w:webHidden/>
          </w:rPr>
          <w:instrText xml:space="preserve"> PAGEREF _Toc233203292 \h </w:instrText>
        </w:r>
        <w:r>
          <w:rPr>
            <w:webHidden/>
          </w:rPr>
        </w:r>
        <w:r>
          <w:rPr>
            <w:webHidden/>
          </w:rPr>
          <w:fldChar w:fldCharType="separate"/>
        </w:r>
        <w:r>
          <w:rPr>
            <w:webHidden/>
          </w:rPr>
          <w:t>88</w:t>
        </w:r>
        <w:r>
          <w:rPr>
            <w:webHidden/>
          </w:rPr>
          <w:fldChar w:fldCharType="end"/>
        </w:r>
      </w:hyperlink>
    </w:p>
    <w:p w14:paraId="233ABC61" w14:textId="63255044" w:rsidR="00CF19BD" w:rsidRDefault="00CF19BD">
      <w:pPr>
        <w:pStyle w:val="Spistreci3"/>
        <w:rPr>
          <w:rFonts w:asciiTheme="minorHAnsi" w:eastAsiaTheme="minorEastAsia" w:hAnsiTheme="minorHAnsi" w:cstheme="minorBidi"/>
          <w:sz w:val="22"/>
          <w:szCs w:val="22"/>
        </w:rPr>
      </w:pPr>
      <w:hyperlink w:anchor="_Toc233203293" w:history="1">
        <w:r w:rsidRPr="008133E0">
          <w:rPr>
            <w:rStyle w:val="Hipercze"/>
          </w:rPr>
          <w:t>II.3.1. Akty prawne</w:t>
        </w:r>
        <w:r>
          <w:rPr>
            <w:webHidden/>
          </w:rPr>
          <w:tab/>
        </w:r>
        <w:r>
          <w:rPr>
            <w:webHidden/>
          </w:rPr>
          <w:fldChar w:fldCharType="begin"/>
        </w:r>
        <w:r>
          <w:rPr>
            <w:webHidden/>
          </w:rPr>
          <w:instrText xml:space="preserve"> PAGEREF _Toc233203293 \h </w:instrText>
        </w:r>
        <w:r>
          <w:rPr>
            <w:webHidden/>
          </w:rPr>
        </w:r>
        <w:r>
          <w:rPr>
            <w:webHidden/>
          </w:rPr>
          <w:fldChar w:fldCharType="separate"/>
        </w:r>
        <w:r>
          <w:rPr>
            <w:webHidden/>
          </w:rPr>
          <w:t>88</w:t>
        </w:r>
        <w:r>
          <w:rPr>
            <w:webHidden/>
          </w:rPr>
          <w:fldChar w:fldCharType="end"/>
        </w:r>
      </w:hyperlink>
    </w:p>
    <w:p w14:paraId="1F598CC3" w14:textId="118F873A" w:rsidR="00CF19BD" w:rsidRDefault="00CF19BD">
      <w:pPr>
        <w:pStyle w:val="Spistreci3"/>
        <w:rPr>
          <w:rFonts w:asciiTheme="minorHAnsi" w:eastAsiaTheme="minorEastAsia" w:hAnsiTheme="minorHAnsi" w:cstheme="minorBidi"/>
          <w:sz w:val="22"/>
          <w:szCs w:val="22"/>
        </w:rPr>
      </w:pPr>
      <w:hyperlink w:anchor="_Toc233203294" w:history="1">
        <w:r w:rsidRPr="008133E0">
          <w:rPr>
            <w:rStyle w:val="Hipercze"/>
          </w:rPr>
          <w:t>II.3.2. Orzecznictwo Trybunału Sprawiedliwości UE</w:t>
        </w:r>
        <w:r>
          <w:rPr>
            <w:webHidden/>
          </w:rPr>
          <w:tab/>
        </w:r>
        <w:r>
          <w:rPr>
            <w:webHidden/>
          </w:rPr>
          <w:fldChar w:fldCharType="begin"/>
        </w:r>
        <w:r>
          <w:rPr>
            <w:webHidden/>
          </w:rPr>
          <w:instrText xml:space="preserve"> PAGEREF _Toc233203294 \h </w:instrText>
        </w:r>
        <w:r>
          <w:rPr>
            <w:webHidden/>
          </w:rPr>
        </w:r>
        <w:r>
          <w:rPr>
            <w:webHidden/>
          </w:rPr>
          <w:fldChar w:fldCharType="separate"/>
        </w:r>
        <w:r>
          <w:rPr>
            <w:webHidden/>
          </w:rPr>
          <w:t>91</w:t>
        </w:r>
        <w:r>
          <w:rPr>
            <w:webHidden/>
          </w:rPr>
          <w:fldChar w:fldCharType="end"/>
        </w:r>
      </w:hyperlink>
    </w:p>
    <w:p w14:paraId="4979DF2B" w14:textId="0B2F633B" w:rsidR="00CF19BD" w:rsidRDefault="00CF19BD">
      <w:pPr>
        <w:pStyle w:val="Spistreci3"/>
        <w:rPr>
          <w:rFonts w:asciiTheme="minorHAnsi" w:eastAsiaTheme="minorEastAsia" w:hAnsiTheme="minorHAnsi" w:cstheme="minorBidi"/>
          <w:sz w:val="22"/>
          <w:szCs w:val="22"/>
        </w:rPr>
      </w:pPr>
      <w:hyperlink w:anchor="_Toc233203295" w:history="1">
        <w:r w:rsidRPr="008133E0">
          <w:rPr>
            <w:rStyle w:val="Hipercze"/>
          </w:rPr>
          <w:t>II.3.3. Wnioski i rekomendacje w zakresie prawa UE</w:t>
        </w:r>
        <w:r>
          <w:rPr>
            <w:webHidden/>
          </w:rPr>
          <w:tab/>
        </w:r>
        <w:r>
          <w:rPr>
            <w:webHidden/>
          </w:rPr>
          <w:fldChar w:fldCharType="begin"/>
        </w:r>
        <w:r>
          <w:rPr>
            <w:webHidden/>
          </w:rPr>
          <w:instrText xml:space="preserve"> PAGEREF _Toc233203295 \h </w:instrText>
        </w:r>
        <w:r>
          <w:rPr>
            <w:webHidden/>
          </w:rPr>
        </w:r>
        <w:r>
          <w:rPr>
            <w:webHidden/>
          </w:rPr>
          <w:fldChar w:fldCharType="separate"/>
        </w:r>
        <w:r>
          <w:rPr>
            <w:webHidden/>
          </w:rPr>
          <w:t>93</w:t>
        </w:r>
        <w:r>
          <w:rPr>
            <w:webHidden/>
          </w:rPr>
          <w:fldChar w:fldCharType="end"/>
        </w:r>
      </w:hyperlink>
    </w:p>
    <w:p w14:paraId="637355A7" w14:textId="093128F7" w:rsidR="00CF19BD" w:rsidRDefault="00CF19BD">
      <w:pPr>
        <w:pStyle w:val="Spistreci2"/>
        <w:rPr>
          <w:rFonts w:asciiTheme="minorHAnsi" w:eastAsiaTheme="minorEastAsia" w:hAnsiTheme="minorHAnsi" w:cstheme="minorBidi"/>
          <w:b w:val="0"/>
          <w:bCs w:val="0"/>
          <w:sz w:val="22"/>
          <w:szCs w:val="22"/>
        </w:rPr>
      </w:pPr>
      <w:hyperlink w:anchor="_Toc233203296" w:history="1">
        <w:r w:rsidRPr="008133E0">
          <w:rPr>
            <w:rStyle w:val="Hipercze"/>
          </w:rPr>
          <w:t>II.4. Umowy międzynarodowe zawierane przez UE, określające zasady dostępu do zamówień publicznych państw UE</w:t>
        </w:r>
        <w:r>
          <w:rPr>
            <w:webHidden/>
          </w:rPr>
          <w:tab/>
        </w:r>
        <w:r>
          <w:rPr>
            <w:webHidden/>
          </w:rPr>
          <w:fldChar w:fldCharType="begin"/>
        </w:r>
        <w:r>
          <w:rPr>
            <w:webHidden/>
          </w:rPr>
          <w:instrText xml:space="preserve"> PAGEREF _Toc233203296 \h </w:instrText>
        </w:r>
        <w:r>
          <w:rPr>
            <w:webHidden/>
          </w:rPr>
        </w:r>
        <w:r>
          <w:rPr>
            <w:webHidden/>
          </w:rPr>
          <w:fldChar w:fldCharType="separate"/>
        </w:r>
        <w:r>
          <w:rPr>
            <w:webHidden/>
          </w:rPr>
          <w:t>94</w:t>
        </w:r>
        <w:r>
          <w:rPr>
            <w:webHidden/>
          </w:rPr>
          <w:fldChar w:fldCharType="end"/>
        </w:r>
      </w:hyperlink>
    </w:p>
    <w:p w14:paraId="5AA9CA1F" w14:textId="665FAE9F" w:rsidR="00CF19BD" w:rsidRDefault="00CF19BD">
      <w:pPr>
        <w:pStyle w:val="Spistreci3"/>
        <w:rPr>
          <w:rFonts w:asciiTheme="minorHAnsi" w:eastAsiaTheme="minorEastAsia" w:hAnsiTheme="minorHAnsi" w:cstheme="minorBidi"/>
          <w:sz w:val="22"/>
          <w:szCs w:val="22"/>
        </w:rPr>
      </w:pPr>
      <w:hyperlink w:anchor="_Toc233203297" w:history="1">
        <w:r w:rsidRPr="008133E0">
          <w:rPr>
            <w:rStyle w:val="Hipercze"/>
          </w:rPr>
          <w:t>II.4.1. Porozumienie ws. Zamówień Rządowych (Porozumienie GPA)</w:t>
        </w:r>
        <w:r>
          <w:rPr>
            <w:webHidden/>
          </w:rPr>
          <w:tab/>
        </w:r>
        <w:r>
          <w:rPr>
            <w:webHidden/>
          </w:rPr>
          <w:fldChar w:fldCharType="begin"/>
        </w:r>
        <w:r>
          <w:rPr>
            <w:webHidden/>
          </w:rPr>
          <w:instrText xml:space="preserve"> PAGEREF _Toc233203297 \h </w:instrText>
        </w:r>
        <w:r>
          <w:rPr>
            <w:webHidden/>
          </w:rPr>
        </w:r>
        <w:r>
          <w:rPr>
            <w:webHidden/>
          </w:rPr>
          <w:fldChar w:fldCharType="separate"/>
        </w:r>
        <w:r>
          <w:rPr>
            <w:webHidden/>
          </w:rPr>
          <w:t>95</w:t>
        </w:r>
        <w:r>
          <w:rPr>
            <w:webHidden/>
          </w:rPr>
          <w:fldChar w:fldCharType="end"/>
        </w:r>
      </w:hyperlink>
    </w:p>
    <w:p w14:paraId="3EBBFB07" w14:textId="0AEDFDF1" w:rsidR="00CF19BD" w:rsidRDefault="00CF19BD">
      <w:pPr>
        <w:pStyle w:val="Spistreci3"/>
        <w:rPr>
          <w:rFonts w:asciiTheme="minorHAnsi" w:eastAsiaTheme="minorEastAsia" w:hAnsiTheme="minorHAnsi" w:cstheme="minorBidi"/>
          <w:sz w:val="22"/>
          <w:szCs w:val="22"/>
        </w:rPr>
      </w:pPr>
      <w:hyperlink w:anchor="_Toc233203298" w:history="1">
        <w:r w:rsidRPr="008133E0">
          <w:rPr>
            <w:rStyle w:val="Hipercze"/>
          </w:rPr>
          <w:t>II.4.2. Obowiązujące umowy dwustronne zawarte przez UE, określające zobowiązania UE dopuszczenia do unijnego rynku zamówień publicznych</w:t>
        </w:r>
        <w:r>
          <w:rPr>
            <w:webHidden/>
          </w:rPr>
          <w:tab/>
        </w:r>
        <w:r>
          <w:rPr>
            <w:webHidden/>
          </w:rPr>
          <w:fldChar w:fldCharType="begin"/>
        </w:r>
        <w:r>
          <w:rPr>
            <w:webHidden/>
          </w:rPr>
          <w:instrText xml:space="preserve"> PAGEREF _Toc233203298 \h </w:instrText>
        </w:r>
        <w:r>
          <w:rPr>
            <w:webHidden/>
          </w:rPr>
        </w:r>
        <w:r>
          <w:rPr>
            <w:webHidden/>
          </w:rPr>
          <w:fldChar w:fldCharType="separate"/>
        </w:r>
        <w:r>
          <w:rPr>
            <w:webHidden/>
          </w:rPr>
          <w:t>96</w:t>
        </w:r>
        <w:r>
          <w:rPr>
            <w:webHidden/>
          </w:rPr>
          <w:fldChar w:fldCharType="end"/>
        </w:r>
      </w:hyperlink>
    </w:p>
    <w:p w14:paraId="4C9A075F" w14:textId="7812F72F" w:rsidR="00CF19BD" w:rsidRDefault="00CF19BD">
      <w:pPr>
        <w:pStyle w:val="Spistreci1"/>
        <w:rPr>
          <w:rFonts w:asciiTheme="minorHAnsi" w:eastAsiaTheme="minorEastAsia" w:hAnsiTheme="minorHAnsi" w:cstheme="minorBidi"/>
          <w:b w:val="0"/>
          <w:color w:val="auto"/>
          <w:szCs w:val="22"/>
        </w:rPr>
      </w:pPr>
      <w:hyperlink w:anchor="_Toc233203299" w:history="1">
        <w:r w:rsidRPr="008133E0">
          <w:rPr>
            <w:rStyle w:val="Hipercze"/>
          </w:rPr>
          <w:t>III. ASPEKTY INSTYTUCJONALNE FUNKCJONOWANIA SYSTEMU ZAMÓWIEŃ PUBLICZNYCH W POLSCE</w:t>
        </w:r>
        <w:r>
          <w:rPr>
            <w:webHidden/>
          </w:rPr>
          <w:tab/>
        </w:r>
        <w:r>
          <w:rPr>
            <w:webHidden/>
          </w:rPr>
          <w:fldChar w:fldCharType="begin"/>
        </w:r>
        <w:r>
          <w:rPr>
            <w:webHidden/>
          </w:rPr>
          <w:instrText xml:space="preserve"> PAGEREF _Toc233203299 \h </w:instrText>
        </w:r>
        <w:r>
          <w:rPr>
            <w:webHidden/>
          </w:rPr>
        </w:r>
        <w:r>
          <w:rPr>
            <w:webHidden/>
          </w:rPr>
          <w:fldChar w:fldCharType="separate"/>
        </w:r>
        <w:r>
          <w:rPr>
            <w:webHidden/>
          </w:rPr>
          <w:t>99</w:t>
        </w:r>
        <w:r>
          <w:rPr>
            <w:webHidden/>
          </w:rPr>
          <w:fldChar w:fldCharType="end"/>
        </w:r>
      </w:hyperlink>
    </w:p>
    <w:p w14:paraId="4C199A75" w14:textId="5E36AA69" w:rsidR="00CF19BD" w:rsidRDefault="00CF19BD">
      <w:pPr>
        <w:pStyle w:val="Spistreci2"/>
        <w:rPr>
          <w:rFonts w:asciiTheme="minorHAnsi" w:eastAsiaTheme="minorEastAsia" w:hAnsiTheme="minorHAnsi" w:cstheme="minorBidi"/>
          <w:b w:val="0"/>
          <w:bCs w:val="0"/>
          <w:sz w:val="22"/>
          <w:szCs w:val="22"/>
        </w:rPr>
      </w:pPr>
      <w:hyperlink w:anchor="_Toc233203300" w:history="1">
        <w:r w:rsidRPr="008133E0">
          <w:rPr>
            <w:rStyle w:val="Hipercze"/>
          </w:rPr>
          <w:t>III.1. Kompetencje Prezesa Urzędu Zamówień Publicznych</w:t>
        </w:r>
        <w:r>
          <w:rPr>
            <w:webHidden/>
          </w:rPr>
          <w:tab/>
        </w:r>
        <w:r>
          <w:rPr>
            <w:webHidden/>
          </w:rPr>
          <w:fldChar w:fldCharType="begin"/>
        </w:r>
        <w:r>
          <w:rPr>
            <w:webHidden/>
          </w:rPr>
          <w:instrText xml:space="preserve"> PAGEREF _Toc233203300 \h </w:instrText>
        </w:r>
        <w:r>
          <w:rPr>
            <w:webHidden/>
          </w:rPr>
        </w:r>
        <w:r>
          <w:rPr>
            <w:webHidden/>
          </w:rPr>
          <w:fldChar w:fldCharType="separate"/>
        </w:r>
        <w:r>
          <w:rPr>
            <w:webHidden/>
          </w:rPr>
          <w:t>99</w:t>
        </w:r>
        <w:r>
          <w:rPr>
            <w:webHidden/>
          </w:rPr>
          <w:fldChar w:fldCharType="end"/>
        </w:r>
      </w:hyperlink>
    </w:p>
    <w:p w14:paraId="0D475745" w14:textId="51B15B4E" w:rsidR="00CF19BD" w:rsidRDefault="00CF19BD">
      <w:pPr>
        <w:pStyle w:val="Spistreci3"/>
        <w:rPr>
          <w:rFonts w:asciiTheme="minorHAnsi" w:eastAsiaTheme="minorEastAsia" w:hAnsiTheme="minorHAnsi" w:cstheme="minorBidi"/>
          <w:sz w:val="22"/>
          <w:szCs w:val="22"/>
        </w:rPr>
      </w:pPr>
      <w:hyperlink w:anchor="_Toc233203301" w:history="1">
        <w:r w:rsidRPr="008133E0">
          <w:rPr>
            <w:rStyle w:val="Hipercze"/>
          </w:rPr>
          <w:t>III.1.1. Realizacja zadania dążenia do zapewnienia jednolitego stosowania przepisów o zamówieniach</w:t>
        </w:r>
        <w:r>
          <w:rPr>
            <w:webHidden/>
          </w:rPr>
          <w:tab/>
        </w:r>
        <w:r>
          <w:rPr>
            <w:webHidden/>
          </w:rPr>
          <w:fldChar w:fldCharType="begin"/>
        </w:r>
        <w:r>
          <w:rPr>
            <w:webHidden/>
          </w:rPr>
          <w:instrText xml:space="preserve"> PAGEREF _Toc233203301 \h </w:instrText>
        </w:r>
        <w:r>
          <w:rPr>
            <w:webHidden/>
          </w:rPr>
        </w:r>
        <w:r>
          <w:rPr>
            <w:webHidden/>
          </w:rPr>
          <w:fldChar w:fldCharType="separate"/>
        </w:r>
        <w:r>
          <w:rPr>
            <w:webHidden/>
          </w:rPr>
          <w:t>100</w:t>
        </w:r>
        <w:r>
          <w:rPr>
            <w:webHidden/>
          </w:rPr>
          <w:fldChar w:fldCharType="end"/>
        </w:r>
      </w:hyperlink>
    </w:p>
    <w:p w14:paraId="04EBA09A" w14:textId="5A198822" w:rsidR="00CF19BD" w:rsidRDefault="00CF19BD">
      <w:pPr>
        <w:pStyle w:val="Spistreci3"/>
        <w:rPr>
          <w:rFonts w:asciiTheme="minorHAnsi" w:eastAsiaTheme="minorEastAsia" w:hAnsiTheme="minorHAnsi" w:cstheme="minorBidi"/>
          <w:sz w:val="22"/>
          <w:szCs w:val="22"/>
        </w:rPr>
      </w:pPr>
      <w:hyperlink w:anchor="_Toc233203302" w:history="1">
        <w:r w:rsidRPr="008133E0">
          <w:rPr>
            <w:rStyle w:val="Hipercze"/>
          </w:rPr>
          <w:t>III.1.2. Kontrola udzielania zamówień publicznych</w:t>
        </w:r>
        <w:r>
          <w:rPr>
            <w:webHidden/>
          </w:rPr>
          <w:tab/>
        </w:r>
        <w:r>
          <w:rPr>
            <w:webHidden/>
          </w:rPr>
          <w:fldChar w:fldCharType="begin"/>
        </w:r>
        <w:r>
          <w:rPr>
            <w:webHidden/>
          </w:rPr>
          <w:instrText xml:space="preserve"> PAGEREF _Toc233203302 \h </w:instrText>
        </w:r>
        <w:r>
          <w:rPr>
            <w:webHidden/>
          </w:rPr>
        </w:r>
        <w:r>
          <w:rPr>
            <w:webHidden/>
          </w:rPr>
          <w:fldChar w:fldCharType="separate"/>
        </w:r>
        <w:r>
          <w:rPr>
            <w:webHidden/>
          </w:rPr>
          <w:t>102</w:t>
        </w:r>
        <w:r>
          <w:rPr>
            <w:webHidden/>
          </w:rPr>
          <w:fldChar w:fldCharType="end"/>
        </w:r>
      </w:hyperlink>
    </w:p>
    <w:p w14:paraId="5E7CDFB4" w14:textId="48F8195F" w:rsidR="00CF19BD" w:rsidRDefault="00CF19BD">
      <w:pPr>
        <w:pStyle w:val="Spistreci3"/>
        <w:rPr>
          <w:rFonts w:asciiTheme="minorHAnsi" w:eastAsiaTheme="minorEastAsia" w:hAnsiTheme="minorHAnsi" w:cstheme="minorBidi"/>
          <w:sz w:val="22"/>
          <w:szCs w:val="22"/>
        </w:rPr>
      </w:pPr>
      <w:hyperlink w:anchor="_Toc233203303" w:history="1">
        <w:r w:rsidRPr="008133E0">
          <w:rPr>
            <w:rStyle w:val="Hipercze"/>
          </w:rPr>
          <w:t>III.1.3. Realizacja zadania przygotowywania i upowszechniania przykładowych wzorów umów w sprawach zamówień publicznych, regulaminów oraz innych dokumentów stosowanych przy udzielaniu zamówień</w:t>
        </w:r>
        <w:r>
          <w:rPr>
            <w:webHidden/>
          </w:rPr>
          <w:tab/>
        </w:r>
        <w:r>
          <w:rPr>
            <w:webHidden/>
          </w:rPr>
          <w:fldChar w:fldCharType="begin"/>
        </w:r>
        <w:r>
          <w:rPr>
            <w:webHidden/>
          </w:rPr>
          <w:instrText xml:space="preserve"> PAGEREF _Toc233203303 \h </w:instrText>
        </w:r>
        <w:r>
          <w:rPr>
            <w:webHidden/>
          </w:rPr>
        </w:r>
        <w:r>
          <w:rPr>
            <w:webHidden/>
          </w:rPr>
          <w:fldChar w:fldCharType="separate"/>
        </w:r>
        <w:r>
          <w:rPr>
            <w:webHidden/>
          </w:rPr>
          <w:t>120</w:t>
        </w:r>
        <w:r>
          <w:rPr>
            <w:webHidden/>
          </w:rPr>
          <w:fldChar w:fldCharType="end"/>
        </w:r>
      </w:hyperlink>
    </w:p>
    <w:p w14:paraId="779ED939" w14:textId="7656832E" w:rsidR="00CF19BD" w:rsidRDefault="00CF19BD">
      <w:pPr>
        <w:pStyle w:val="Spistreci3"/>
        <w:rPr>
          <w:rFonts w:asciiTheme="minorHAnsi" w:eastAsiaTheme="minorEastAsia" w:hAnsiTheme="minorHAnsi" w:cstheme="minorBidi"/>
          <w:sz w:val="22"/>
          <w:szCs w:val="22"/>
        </w:rPr>
      </w:pPr>
      <w:hyperlink w:anchor="_Toc233203304" w:history="1">
        <w:r w:rsidRPr="008133E0">
          <w:rPr>
            <w:rStyle w:val="Hipercze"/>
          </w:rPr>
          <w:t>III.1.4. Działalność edukacyjno-informacyjna realizowana przez Urząd, wspierająca uczestników systemu zamówień publicznych</w:t>
        </w:r>
        <w:r>
          <w:rPr>
            <w:webHidden/>
          </w:rPr>
          <w:tab/>
        </w:r>
        <w:r>
          <w:rPr>
            <w:webHidden/>
          </w:rPr>
          <w:fldChar w:fldCharType="begin"/>
        </w:r>
        <w:r>
          <w:rPr>
            <w:webHidden/>
          </w:rPr>
          <w:instrText xml:space="preserve"> PAGEREF _Toc233203304 \h </w:instrText>
        </w:r>
        <w:r>
          <w:rPr>
            <w:webHidden/>
          </w:rPr>
        </w:r>
        <w:r>
          <w:rPr>
            <w:webHidden/>
          </w:rPr>
          <w:fldChar w:fldCharType="separate"/>
        </w:r>
        <w:r>
          <w:rPr>
            <w:webHidden/>
          </w:rPr>
          <w:t>121</w:t>
        </w:r>
        <w:r>
          <w:rPr>
            <w:webHidden/>
          </w:rPr>
          <w:fldChar w:fldCharType="end"/>
        </w:r>
      </w:hyperlink>
    </w:p>
    <w:p w14:paraId="240061EF" w14:textId="2BBCDC66" w:rsidR="00CF19BD" w:rsidRDefault="00CF19BD">
      <w:pPr>
        <w:pStyle w:val="Spistreci3"/>
        <w:rPr>
          <w:rFonts w:asciiTheme="minorHAnsi" w:eastAsiaTheme="minorEastAsia" w:hAnsiTheme="minorHAnsi" w:cstheme="minorBidi"/>
          <w:sz w:val="22"/>
          <w:szCs w:val="22"/>
        </w:rPr>
      </w:pPr>
      <w:hyperlink w:anchor="_Toc233203305" w:history="1">
        <w:r w:rsidRPr="008133E0">
          <w:rPr>
            <w:rStyle w:val="Hipercze"/>
          </w:rPr>
          <w:t>III.1.5. Realizacja działań edukacyjnych dotyczących zrównoważonych zamówień publicznych</w:t>
        </w:r>
        <w:r>
          <w:rPr>
            <w:webHidden/>
          </w:rPr>
          <w:tab/>
        </w:r>
        <w:r>
          <w:rPr>
            <w:webHidden/>
          </w:rPr>
          <w:fldChar w:fldCharType="begin"/>
        </w:r>
        <w:r>
          <w:rPr>
            <w:webHidden/>
          </w:rPr>
          <w:instrText xml:space="preserve"> PAGEREF _Toc233203305 \h </w:instrText>
        </w:r>
        <w:r>
          <w:rPr>
            <w:webHidden/>
          </w:rPr>
        </w:r>
        <w:r>
          <w:rPr>
            <w:webHidden/>
          </w:rPr>
          <w:fldChar w:fldCharType="separate"/>
        </w:r>
        <w:r>
          <w:rPr>
            <w:webHidden/>
          </w:rPr>
          <w:t>141</w:t>
        </w:r>
        <w:r>
          <w:rPr>
            <w:webHidden/>
          </w:rPr>
          <w:fldChar w:fldCharType="end"/>
        </w:r>
      </w:hyperlink>
    </w:p>
    <w:p w14:paraId="3DB9DBFA" w14:textId="02AB5134" w:rsidR="00CF19BD" w:rsidRDefault="00CF19BD">
      <w:pPr>
        <w:pStyle w:val="Spistreci3"/>
        <w:rPr>
          <w:rFonts w:asciiTheme="minorHAnsi" w:eastAsiaTheme="minorEastAsia" w:hAnsiTheme="minorHAnsi" w:cstheme="minorBidi"/>
          <w:sz w:val="22"/>
          <w:szCs w:val="22"/>
        </w:rPr>
      </w:pPr>
      <w:hyperlink w:anchor="_Toc233203306" w:history="1">
        <w:r w:rsidRPr="008133E0">
          <w:rPr>
            <w:rStyle w:val="Hipercze"/>
          </w:rPr>
          <w:t>III.1.6. Wydawanie Biuletynu Zamówień Publicznych</w:t>
        </w:r>
        <w:r>
          <w:rPr>
            <w:webHidden/>
          </w:rPr>
          <w:tab/>
        </w:r>
        <w:r>
          <w:rPr>
            <w:webHidden/>
          </w:rPr>
          <w:fldChar w:fldCharType="begin"/>
        </w:r>
        <w:r>
          <w:rPr>
            <w:webHidden/>
          </w:rPr>
          <w:instrText xml:space="preserve"> PAGEREF _Toc233203306 \h </w:instrText>
        </w:r>
        <w:r>
          <w:rPr>
            <w:webHidden/>
          </w:rPr>
        </w:r>
        <w:r>
          <w:rPr>
            <w:webHidden/>
          </w:rPr>
          <w:fldChar w:fldCharType="separate"/>
        </w:r>
        <w:r>
          <w:rPr>
            <w:webHidden/>
          </w:rPr>
          <w:t>146</w:t>
        </w:r>
        <w:r>
          <w:rPr>
            <w:webHidden/>
          </w:rPr>
          <w:fldChar w:fldCharType="end"/>
        </w:r>
      </w:hyperlink>
    </w:p>
    <w:p w14:paraId="1E38CA9B" w14:textId="3DAF01F6" w:rsidR="00CF19BD" w:rsidRDefault="00CF19BD">
      <w:pPr>
        <w:pStyle w:val="Spistreci3"/>
        <w:rPr>
          <w:rFonts w:asciiTheme="minorHAnsi" w:eastAsiaTheme="minorEastAsia" w:hAnsiTheme="minorHAnsi" w:cstheme="minorBidi"/>
          <w:sz w:val="22"/>
          <w:szCs w:val="22"/>
        </w:rPr>
      </w:pPr>
      <w:hyperlink w:anchor="_Toc233203307" w:history="1">
        <w:r w:rsidRPr="008133E0">
          <w:rPr>
            <w:rStyle w:val="Hipercze"/>
          </w:rPr>
          <w:t>III.1.7. Działania związane z informatyzacją systemu zamówień publicznych</w:t>
        </w:r>
        <w:r>
          <w:rPr>
            <w:webHidden/>
          </w:rPr>
          <w:tab/>
        </w:r>
        <w:r>
          <w:rPr>
            <w:webHidden/>
          </w:rPr>
          <w:fldChar w:fldCharType="begin"/>
        </w:r>
        <w:r>
          <w:rPr>
            <w:webHidden/>
          </w:rPr>
          <w:instrText xml:space="preserve"> PAGEREF _Toc233203307 \h </w:instrText>
        </w:r>
        <w:r>
          <w:rPr>
            <w:webHidden/>
          </w:rPr>
        </w:r>
        <w:r>
          <w:rPr>
            <w:webHidden/>
          </w:rPr>
          <w:fldChar w:fldCharType="separate"/>
        </w:r>
        <w:r>
          <w:rPr>
            <w:webHidden/>
          </w:rPr>
          <w:t>148</w:t>
        </w:r>
        <w:r>
          <w:rPr>
            <w:webHidden/>
          </w:rPr>
          <w:fldChar w:fldCharType="end"/>
        </w:r>
      </w:hyperlink>
    </w:p>
    <w:p w14:paraId="03C16C69" w14:textId="347328DB" w:rsidR="00CF19BD" w:rsidRDefault="00CF19BD">
      <w:pPr>
        <w:pStyle w:val="Spistreci3"/>
        <w:rPr>
          <w:rFonts w:asciiTheme="minorHAnsi" w:eastAsiaTheme="minorEastAsia" w:hAnsiTheme="minorHAnsi" w:cstheme="minorBidi"/>
          <w:sz w:val="22"/>
          <w:szCs w:val="22"/>
        </w:rPr>
      </w:pPr>
      <w:hyperlink w:anchor="_Toc233203308" w:history="1">
        <w:r w:rsidRPr="008133E0">
          <w:rPr>
            <w:rStyle w:val="Hipercze"/>
          </w:rPr>
          <w:t>III.1.8. Decyzje administracyjne</w:t>
        </w:r>
        <w:r>
          <w:rPr>
            <w:webHidden/>
          </w:rPr>
          <w:tab/>
        </w:r>
        <w:r>
          <w:rPr>
            <w:webHidden/>
          </w:rPr>
          <w:fldChar w:fldCharType="begin"/>
        </w:r>
        <w:r>
          <w:rPr>
            <w:webHidden/>
          </w:rPr>
          <w:instrText xml:space="preserve"> PAGEREF _Toc233203308 \h </w:instrText>
        </w:r>
        <w:r>
          <w:rPr>
            <w:webHidden/>
          </w:rPr>
        </w:r>
        <w:r>
          <w:rPr>
            <w:webHidden/>
          </w:rPr>
          <w:fldChar w:fldCharType="separate"/>
        </w:r>
        <w:r>
          <w:rPr>
            <w:webHidden/>
          </w:rPr>
          <w:t>151</w:t>
        </w:r>
        <w:r>
          <w:rPr>
            <w:webHidden/>
          </w:rPr>
          <w:fldChar w:fldCharType="end"/>
        </w:r>
      </w:hyperlink>
    </w:p>
    <w:p w14:paraId="2E68B24A" w14:textId="61120D00" w:rsidR="00CF19BD" w:rsidRDefault="00CF19BD">
      <w:pPr>
        <w:pStyle w:val="Spistreci3"/>
        <w:rPr>
          <w:rFonts w:asciiTheme="minorHAnsi" w:eastAsiaTheme="minorEastAsia" w:hAnsiTheme="minorHAnsi" w:cstheme="minorBidi"/>
          <w:sz w:val="22"/>
          <w:szCs w:val="22"/>
        </w:rPr>
      </w:pPr>
      <w:hyperlink w:anchor="_Toc233203309" w:history="1">
        <w:r w:rsidRPr="008133E0">
          <w:rPr>
            <w:rStyle w:val="Hipercze"/>
          </w:rPr>
          <w:t>III.1.9. Sprawy sądowe prowadzone przez Prezesa UZP</w:t>
        </w:r>
        <w:r>
          <w:rPr>
            <w:webHidden/>
          </w:rPr>
          <w:tab/>
        </w:r>
        <w:r>
          <w:rPr>
            <w:webHidden/>
          </w:rPr>
          <w:fldChar w:fldCharType="begin"/>
        </w:r>
        <w:r>
          <w:rPr>
            <w:webHidden/>
          </w:rPr>
          <w:instrText xml:space="preserve"> PAGEREF _Toc233203309 \h </w:instrText>
        </w:r>
        <w:r>
          <w:rPr>
            <w:webHidden/>
          </w:rPr>
        </w:r>
        <w:r>
          <w:rPr>
            <w:webHidden/>
          </w:rPr>
          <w:fldChar w:fldCharType="separate"/>
        </w:r>
        <w:r>
          <w:rPr>
            <w:webHidden/>
          </w:rPr>
          <w:t>155</w:t>
        </w:r>
        <w:r>
          <w:rPr>
            <w:webHidden/>
          </w:rPr>
          <w:fldChar w:fldCharType="end"/>
        </w:r>
      </w:hyperlink>
    </w:p>
    <w:p w14:paraId="018C98ED" w14:textId="34DC2F5B" w:rsidR="00CF19BD" w:rsidRDefault="00CF19BD">
      <w:pPr>
        <w:pStyle w:val="Spistreci3"/>
        <w:rPr>
          <w:rFonts w:asciiTheme="minorHAnsi" w:eastAsiaTheme="minorEastAsia" w:hAnsiTheme="minorHAnsi" w:cstheme="minorBidi"/>
          <w:sz w:val="22"/>
          <w:szCs w:val="22"/>
        </w:rPr>
      </w:pPr>
      <w:hyperlink w:anchor="_Toc233203310" w:history="1">
        <w:r w:rsidRPr="008133E0">
          <w:rPr>
            <w:rStyle w:val="Hipercze"/>
          </w:rPr>
          <w:t>III.1.10. Polskie Przewodnictwo w Radzie Unii Europejskiej</w:t>
        </w:r>
        <w:r>
          <w:rPr>
            <w:webHidden/>
          </w:rPr>
          <w:tab/>
        </w:r>
        <w:r>
          <w:rPr>
            <w:webHidden/>
          </w:rPr>
          <w:fldChar w:fldCharType="begin"/>
        </w:r>
        <w:r>
          <w:rPr>
            <w:webHidden/>
          </w:rPr>
          <w:instrText xml:space="preserve"> PAGEREF _Toc233203310 \h </w:instrText>
        </w:r>
        <w:r>
          <w:rPr>
            <w:webHidden/>
          </w:rPr>
        </w:r>
        <w:r>
          <w:rPr>
            <w:webHidden/>
          </w:rPr>
          <w:fldChar w:fldCharType="separate"/>
        </w:r>
        <w:r>
          <w:rPr>
            <w:webHidden/>
          </w:rPr>
          <w:t>157</w:t>
        </w:r>
        <w:r>
          <w:rPr>
            <w:webHidden/>
          </w:rPr>
          <w:fldChar w:fldCharType="end"/>
        </w:r>
      </w:hyperlink>
    </w:p>
    <w:p w14:paraId="09D37FFC" w14:textId="66B84E64" w:rsidR="00CF19BD" w:rsidRDefault="00CF19BD">
      <w:pPr>
        <w:pStyle w:val="Spistreci3"/>
        <w:rPr>
          <w:rFonts w:asciiTheme="minorHAnsi" w:eastAsiaTheme="minorEastAsia" w:hAnsiTheme="minorHAnsi" w:cstheme="minorBidi"/>
          <w:sz w:val="22"/>
          <w:szCs w:val="22"/>
        </w:rPr>
      </w:pPr>
      <w:hyperlink w:anchor="_Toc233203311" w:history="1">
        <w:r w:rsidRPr="008133E0">
          <w:rPr>
            <w:rStyle w:val="Hipercze"/>
          </w:rPr>
          <w:t>III.1.11. Współpraca międzynarodowa</w:t>
        </w:r>
        <w:r>
          <w:rPr>
            <w:webHidden/>
          </w:rPr>
          <w:tab/>
        </w:r>
        <w:r>
          <w:rPr>
            <w:webHidden/>
          </w:rPr>
          <w:fldChar w:fldCharType="begin"/>
        </w:r>
        <w:r>
          <w:rPr>
            <w:webHidden/>
          </w:rPr>
          <w:instrText xml:space="preserve"> PAGEREF _Toc233203311 \h </w:instrText>
        </w:r>
        <w:r>
          <w:rPr>
            <w:webHidden/>
          </w:rPr>
        </w:r>
        <w:r>
          <w:rPr>
            <w:webHidden/>
          </w:rPr>
          <w:fldChar w:fldCharType="separate"/>
        </w:r>
        <w:r>
          <w:rPr>
            <w:webHidden/>
          </w:rPr>
          <w:t>160</w:t>
        </w:r>
        <w:r>
          <w:rPr>
            <w:webHidden/>
          </w:rPr>
          <w:fldChar w:fldCharType="end"/>
        </w:r>
      </w:hyperlink>
    </w:p>
    <w:p w14:paraId="11E1AFC2" w14:textId="6278F17B" w:rsidR="00CF19BD" w:rsidRDefault="00CF19BD">
      <w:pPr>
        <w:pStyle w:val="Spistreci2"/>
        <w:rPr>
          <w:rFonts w:asciiTheme="minorHAnsi" w:eastAsiaTheme="minorEastAsia" w:hAnsiTheme="minorHAnsi" w:cstheme="minorBidi"/>
          <w:b w:val="0"/>
          <w:bCs w:val="0"/>
          <w:sz w:val="22"/>
          <w:szCs w:val="22"/>
        </w:rPr>
      </w:pPr>
      <w:hyperlink w:anchor="_Toc233203312" w:history="1">
        <w:r w:rsidRPr="008133E0">
          <w:rPr>
            <w:rStyle w:val="Hipercze"/>
          </w:rPr>
          <w:t>III.2. Rada Zamówień Publicznych</w:t>
        </w:r>
        <w:r>
          <w:rPr>
            <w:webHidden/>
          </w:rPr>
          <w:tab/>
        </w:r>
        <w:r>
          <w:rPr>
            <w:webHidden/>
          </w:rPr>
          <w:fldChar w:fldCharType="begin"/>
        </w:r>
        <w:r>
          <w:rPr>
            <w:webHidden/>
          </w:rPr>
          <w:instrText xml:space="preserve"> PAGEREF _Toc233203312 \h </w:instrText>
        </w:r>
        <w:r>
          <w:rPr>
            <w:webHidden/>
          </w:rPr>
        </w:r>
        <w:r>
          <w:rPr>
            <w:webHidden/>
          </w:rPr>
          <w:fldChar w:fldCharType="separate"/>
        </w:r>
        <w:r>
          <w:rPr>
            <w:webHidden/>
          </w:rPr>
          <w:t>171</w:t>
        </w:r>
        <w:r>
          <w:rPr>
            <w:webHidden/>
          </w:rPr>
          <w:fldChar w:fldCharType="end"/>
        </w:r>
      </w:hyperlink>
    </w:p>
    <w:p w14:paraId="1A204FDA" w14:textId="21147B64" w:rsidR="00CF19BD" w:rsidRDefault="00CF19BD">
      <w:pPr>
        <w:pStyle w:val="Spistreci2"/>
        <w:rPr>
          <w:rFonts w:asciiTheme="minorHAnsi" w:eastAsiaTheme="minorEastAsia" w:hAnsiTheme="minorHAnsi" w:cstheme="minorBidi"/>
          <w:b w:val="0"/>
          <w:bCs w:val="0"/>
          <w:sz w:val="22"/>
          <w:szCs w:val="22"/>
        </w:rPr>
      </w:pPr>
      <w:hyperlink w:anchor="_Toc233203313" w:history="1">
        <w:r w:rsidRPr="008133E0">
          <w:rPr>
            <w:rStyle w:val="Hipercze"/>
          </w:rPr>
          <w:t>III.3. Struktura organizacyjna i budżet Urzędu Zamówień Publicznych</w:t>
        </w:r>
        <w:r>
          <w:rPr>
            <w:webHidden/>
          </w:rPr>
          <w:tab/>
        </w:r>
        <w:r>
          <w:rPr>
            <w:webHidden/>
          </w:rPr>
          <w:fldChar w:fldCharType="begin"/>
        </w:r>
        <w:r>
          <w:rPr>
            <w:webHidden/>
          </w:rPr>
          <w:instrText xml:space="preserve"> PAGEREF _Toc233203313 \h </w:instrText>
        </w:r>
        <w:r>
          <w:rPr>
            <w:webHidden/>
          </w:rPr>
        </w:r>
        <w:r>
          <w:rPr>
            <w:webHidden/>
          </w:rPr>
          <w:fldChar w:fldCharType="separate"/>
        </w:r>
        <w:r>
          <w:rPr>
            <w:webHidden/>
          </w:rPr>
          <w:t>173</w:t>
        </w:r>
        <w:r>
          <w:rPr>
            <w:webHidden/>
          </w:rPr>
          <w:fldChar w:fldCharType="end"/>
        </w:r>
      </w:hyperlink>
    </w:p>
    <w:p w14:paraId="64A41A06" w14:textId="186F0D23" w:rsidR="00CF19BD" w:rsidRDefault="00CF19BD">
      <w:pPr>
        <w:pStyle w:val="Spistreci3"/>
        <w:rPr>
          <w:rFonts w:asciiTheme="minorHAnsi" w:eastAsiaTheme="minorEastAsia" w:hAnsiTheme="minorHAnsi" w:cstheme="minorBidi"/>
          <w:sz w:val="22"/>
          <w:szCs w:val="22"/>
        </w:rPr>
      </w:pPr>
      <w:hyperlink w:anchor="_Toc233203314" w:history="1">
        <w:r w:rsidRPr="008133E0">
          <w:rPr>
            <w:rStyle w:val="Hipercze"/>
          </w:rPr>
          <w:t>III.3.1. Struktura organizacyjna</w:t>
        </w:r>
        <w:r>
          <w:rPr>
            <w:webHidden/>
          </w:rPr>
          <w:tab/>
        </w:r>
        <w:r>
          <w:rPr>
            <w:webHidden/>
          </w:rPr>
          <w:fldChar w:fldCharType="begin"/>
        </w:r>
        <w:r>
          <w:rPr>
            <w:webHidden/>
          </w:rPr>
          <w:instrText xml:space="preserve"> PAGEREF _Toc233203314 \h </w:instrText>
        </w:r>
        <w:r>
          <w:rPr>
            <w:webHidden/>
          </w:rPr>
        </w:r>
        <w:r>
          <w:rPr>
            <w:webHidden/>
          </w:rPr>
          <w:fldChar w:fldCharType="separate"/>
        </w:r>
        <w:r>
          <w:rPr>
            <w:webHidden/>
          </w:rPr>
          <w:t>173</w:t>
        </w:r>
        <w:r>
          <w:rPr>
            <w:webHidden/>
          </w:rPr>
          <w:fldChar w:fldCharType="end"/>
        </w:r>
      </w:hyperlink>
    </w:p>
    <w:p w14:paraId="068746BD" w14:textId="76B53F67" w:rsidR="00CF19BD" w:rsidRDefault="00CF19BD">
      <w:pPr>
        <w:pStyle w:val="Spistreci3"/>
        <w:rPr>
          <w:rFonts w:asciiTheme="minorHAnsi" w:eastAsiaTheme="minorEastAsia" w:hAnsiTheme="minorHAnsi" w:cstheme="minorBidi"/>
          <w:sz w:val="22"/>
          <w:szCs w:val="22"/>
        </w:rPr>
      </w:pPr>
      <w:hyperlink w:anchor="_Toc233203315" w:history="1">
        <w:r w:rsidRPr="008133E0">
          <w:rPr>
            <w:rStyle w:val="Hipercze"/>
          </w:rPr>
          <w:t>III.3.2. Wykonanie budżetu</w:t>
        </w:r>
        <w:r>
          <w:rPr>
            <w:webHidden/>
          </w:rPr>
          <w:tab/>
        </w:r>
        <w:r>
          <w:rPr>
            <w:webHidden/>
          </w:rPr>
          <w:fldChar w:fldCharType="begin"/>
        </w:r>
        <w:r>
          <w:rPr>
            <w:webHidden/>
          </w:rPr>
          <w:instrText xml:space="preserve"> PAGEREF _Toc233203315 \h </w:instrText>
        </w:r>
        <w:r>
          <w:rPr>
            <w:webHidden/>
          </w:rPr>
        </w:r>
        <w:r>
          <w:rPr>
            <w:webHidden/>
          </w:rPr>
          <w:fldChar w:fldCharType="separate"/>
        </w:r>
        <w:r>
          <w:rPr>
            <w:webHidden/>
          </w:rPr>
          <w:t>174</w:t>
        </w:r>
        <w:r>
          <w:rPr>
            <w:webHidden/>
          </w:rPr>
          <w:fldChar w:fldCharType="end"/>
        </w:r>
      </w:hyperlink>
    </w:p>
    <w:p w14:paraId="0EB187B2" w14:textId="3EE30C07" w:rsidR="00CF19BD" w:rsidRDefault="00CF19BD">
      <w:pPr>
        <w:pStyle w:val="Spistreci2"/>
        <w:rPr>
          <w:rFonts w:asciiTheme="minorHAnsi" w:eastAsiaTheme="minorEastAsia" w:hAnsiTheme="minorHAnsi" w:cstheme="minorBidi"/>
          <w:b w:val="0"/>
          <w:bCs w:val="0"/>
          <w:sz w:val="22"/>
          <w:szCs w:val="22"/>
        </w:rPr>
      </w:pPr>
      <w:hyperlink w:anchor="_Toc233203316" w:history="1">
        <w:r w:rsidRPr="008133E0">
          <w:rPr>
            <w:rStyle w:val="Hipercze"/>
          </w:rPr>
          <w:t>III.4. Zamówienia publiczne w mediach</w:t>
        </w:r>
        <w:r>
          <w:rPr>
            <w:webHidden/>
          </w:rPr>
          <w:tab/>
        </w:r>
        <w:r>
          <w:rPr>
            <w:webHidden/>
          </w:rPr>
          <w:fldChar w:fldCharType="begin"/>
        </w:r>
        <w:r>
          <w:rPr>
            <w:webHidden/>
          </w:rPr>
          <w:instrText xml:space="preserve"> PAGEREF _Toc233203316 \h </w:instrText>
        </w:r>
        <w:r>
          <w:rPr>
            <w:webHidden/>
          </w:rPr>
        </w:r>
        <w:r>
          <w:rPr>
            <w:webHidden/>
          </w:rPr>
          <w:fldChar w:fldCharType="separate"/>
        </w:r>
        <w:r>
          <w:rPr>
            <w:webHidden/>
          </w:rPr>
          <w:t>174</w:t>
        </w:r>
        <w:r>
          <w:rPr>
            <w:webHidden/>
          </w:rPr>
          <w:fldChar w:fldCharType="end"/>
        </w:r>
      </w:hyperlink>
    </w:p>
    <w:p w14:paraId="4BAF72A2" w14:textId="19856562" w:rsidR="00CF19BD" w:rsidRDefault="00CF19BD">
      <w:pPr>
        <w:pStyle w:val="Spistreci3"/>
        <w:rPr>
          <w:rFonts w:asciiTheme="minorHAnsi" w:eastAsiaTheme="minorEastAsia" w:hAnsiTheme="minorHAnsi" w:cstheme="minorBidi"/>
          <w:sz w:val="22"/>
          <w:szCs w:val="22"/>
        </w:rPr>
      </w:pPr>
      <w:hyperlink w:anchor="_Toc233203317" w:history="1">
        <w:r w:rsidRPr="008133E0">
          <w:rPr>
            <w:rStyle w:val="Hipercze"/>
          </w:rPr>
          <w:t>III.4.1. Kluczowe obszary zainteresowania mediów w 2025 roku</w:t>
        </w:r>
        <w:r>
          <w:rPr>
            <w:webHidden/>
          </w:rPr>
          <w:tab/>
        </w:r>
        <w:r>
          <w:rPr>
            <w:webHidden/>
          </w:rPr>
          <w:fldChar w:fldCharType="begin"/>
        </w:r>
        <w:r>
          <w:rPr>
            <w:webHidden/>
          </w:rPr>
          <w:instrText xml:space="preserve"> PAGEREF _Toc233203317 \h </w:instrText>
        </w:r>
        <w:r>
          <w:rPr>
            <w:webHidden/>
          </w:rPr>
        </w:r>
        <w:r>
          <w:rPr>
            <w:webHidden/>
          </w:rPr>
          <w:fldChar w:fldCharType="separate"/>
        </w:r>
        <w:r>
          <w:rPr>
            <w:webHidden/>
          </w:rPr>
          <w:t>175</w:t>
        </w:r>
        <w:r>
          <w:rPr>
            <w:webHidden/>
          </w:rPr>
          <w:fldChar w:fldCharType="end"/>
        </w:r>
      </w:hyperlink>
    </w:p>
    <w:p w14:paraId="24CD88D2" w14:textId="509955D4" w:rsidR="00CF19BD" w:rsidRDefault="00CF19BD">
      <w:pPr>
        <w:pStyle w:val="Spistreci3"/>
        <w:rPr>
          <w:rFonts w:asciiTheme="minorHAnsi" w:eastAsiaTheme="minorEastAsia" w:hAnsiTheme="minorHAnsi" w:cstheme="minorBidi"/>
          <w:sz w:val="22"/>
          <w:szCs w:val="22"/>
        </w:rPr>
      </w:pPr>
      <w:hyperlink w:anchor="_Toc233203318" w:history="1">
        <w:r w:rsidRPr="008133E0">
          <w:rPr>
            <w:rStyle w:val="Hipercze"/>
          </w:rPr>
          <w:t>III.4.2. Komunikacja w mediach społecznościowych</w:t>
        </w:r>
        <w:r>
          <w:rPr>
            <w:webHidden/>
          </w:rPr>
          <w:tab/>
        </w:r>
        <w:r>
          <w:rPr>
            <w:webHidden/>
          </w:rPr>
          <w:fldChar w:fldCharType="begin"/>
        </w:r>
        <w:r>
          <w:rPr>
            <w:webHidden/>
          </w:rPr>
          <w:instrText xml:space="preserve"> PAGEREF _Toc233203318 \h </w:instrText>
        </w:r>
        <w:r>
          <w:rPr>
            <w:webHidden/>
          </w:rPr>
        </w:r>
        <w:r>
          <w:rPr>
            <w:webHidden/>
          </w:rPr>
          <w:fldChar w:fldCharType="separate"/>
        </w:r>
        <w:r>
          <w:rPr>
            <w:webHidden/>
          </w:rPr>
          <w:t>176</w:t>
        </w:r>
        <w:r>
          <w:rPr>
            <w:webHidden/>
          </w:rPr>
          <w:fldChar w:fldCharType="end"/>
        </w:r>
      </w:hyperlink>
    </w:p>
    <w:p w14:paraId="7C069D34" w14:textId="06FC980A" w:rsidR="00CF19BD" w:rsidRDefault="00CF19BD">
      <w:pPr>
        <w:pStyle w:val="Spistreci1"/>
        <w:rPr>
          <w:rFonts w:asciiTheme="minorHAnsi" w:eastAsiaTheme="minorEastAsia" w:hAnsiTheme="minorHAnsi" w:cstheme="minorBidi"/>
          <w:b w:val="0"/>
          <w:color w:val="auto"/>
          <w:szCs w:val="22"/>
        </w:rPr>
      </w:pPr>
      <w:hyperlink w:anchor="_Toc233203319" w:history="1">
        <w:r w:rsidRPr="008133E0">
          <w:rPr>
            <w:rStyle w:val="Hipercze"/>
          </w:rPr>
          <w:t>IV. SPIS RYSUNKÓW</w:t>
        </w:r>
        <w:r>
          <w:rPr>
            <w:webHidden/>
          </w:rPr>
          <w:tab/>
        </w:r>
        <w:r>
          <w:rPr>
            <w:webHidden/>
          </w:rPr>
          <w:fldChar w:fldCharType="begin"/>
        </w:r>
        <w:r>
          <w:rPr>
            <w:webHidden/>
          </w:rPr>
          <w:instrText xml:space="preserve"> PAGEREF _Toc233203319 \h </w:instrText>
        </w:r>
        <w:r>
          <w:rPr>
            <w:webHidden/>
          </w:rPr>
        </w:r>
        <w:r>
          <w:rPr>
            <w:webHidden/>
          </w:rPr>
          <w:fldChar w:fldCharType="separate"/>
        </w:r>
        <w:r>
          <w:rPr>
            <w:webHidden/>
          </w:rPr>
          <w:t>177</w:t>
        </w:r>
        <w:r>
          <w:rPr>
            <w:webHidden/>
          </w:rPr>
          <w:fldChar w:fldCharType="end"/>
        </w:r>
      </w:hyperlink>
    </w:p>
    <w:p w14:paraId="24C9C795" w14:textId="712BAB90" w:rsidR="00CF19BD" w:rsidRDefault="00CF19BD">
      <w:pPr>
        <w:pStyle w:val="Spistreci1"/>
        <w:rPr>
          <w:rFonts w:asciiTheme="minorHAnsi" w:eastAsiaTheme="minorEastAsia" w:hAnsiTheme="minorHAnsi" w:cstheme="minorBidi"/>
          <w:b w:val="0"/>
          <w:color w:val="auto"/>
          <w:szCs w:val="22"/>
        </w:rPr>
      </w:pPr>
      <w:hyperlink w:anchor="_Toc233203320" w:history="1">
        <w:r w:rsidRPr="008133E0">
          <w:rPr>
            <w:rStyle w:val="Hipercze"/>
          </w:rPr>
          <w:t>V. SPIS TABEL</w:t>
        </w:r>
        <w:r>
          <w:rPr>
            <w:webHidden/>
          </w:rPr>
          <w:tab/>
        </w:r>
        <w:r>
          <w:rPr>
            <w:webHidden/>
          </w:rPr>
          <w:fldChar w:fldCharType="begin"/>
        </w:r>
        <w:r>
          <w:rPr>
            <w:webHidden/>
          </w:rPr>
          <w:instrText xml:space="preserve"> PAGEREF _Toc233203320 \h </w:instrText>
        </w:r>
        <w:r>
          <w:rPr>
            <w:webHidden/>
          </w:rPr>
        </w:r>
        <w:r>
          <w:rPr>
            <w:webHidden/>
          </w:rPr>
          <w:fldChar w:fldCharType="separate"/>
        </w:r>
        <w:r>
          <w:rPr>
            <w:webHidden/>
          </w:rPr>
          <w:t>180</w:t>
        </w:r>
        <w:r>
          <w:rPr>
            <w:webHidden/>
          </w:rPr>
          <w:fldChar w:fldCharType="end"/>
        </w:r>
      </w:hyperlink>
    </w:p>
    <w:p w14:paraId="6BFA63FC" w14:textId="6837D684" w:rsidR="00CF19BD" w:rsidRDefault="00CF19BD">
      <w:pPr>
        <w:pStyle w:val="Spistreci1"/>
        <w:rPr>
          <w:rFonts w:asciiTheme="minorHAnsi" w:eastAsiaTheme="minorEastAsia" w:hAnsiTheme="minorHAnsi" w:cstheme="minorBidi"/>
          <w:b w:val="0"/>
          <w:color w:val="auto"/>
          <w:szCs w:val="22"/>
        </w:rPr>
      </w:pPr>
      <w:hyperlink w:anchor="_Toc233203321" w:history="1">
        <w:r w:rsidRPr="008133E0">
          <w:rPr>
            <w:rStyle w:val="Hipercze"/>
          </w:rPr>
          <w:t>VI. ZAŁĄCZNIKI</w:t>
        </w:r>
        <w:r>
          <w:rPr>
            <w:webHidden/>
          </w:rPr>
          <w:tab/>
        </w:r>
        <w:r>
          <w:rPr>
            <w:webHidden/>
          </w:rPr>
          <w:fldChar w:fldCharType="begin"/>
        </w:r>
        <w:r>
          <w:rPr>
            <w:webHidden/>
          </w:rPr>
          <w:instrText xml:space="preserve"> PAGEREF _Toc233203321 \h </w:instrText>
        </w:r>
        <w:r>
          <w:rPr>
            <w:webHidden/>
          </w:rPr>
        </w:r>
        <w:r>
          <w:rPr>
            <w:webHidden/>
          </w:rPr>
          <w:fldChar w:fldCharType="separate"/>
        </w:r>
        <w:r>
          <w:rPr>
            <w:webHidden/>
          </w:rPr>
          <w:t>182</w:t>
        </w:r>
        <w:r>
          <w:rPr>
            <w:webHidden/>
          </w:rPr>
          <w:fldChar w:fldCharType="end"/>
        </w:r>
      </w:hyperlink>
    </w:p>
    <w:p w14:paraId="03D6D843" w14:textId="013958EF" w:rsidR="00B97CD8" w:rsidRDefault="00663C05" w:rsidP="008F2675">
      <w:pPr>
        <w:shd w:val="clear" w:color="auto" w:fill="FFFFFF"/>
        <w:spacing w:line="360" w:lineRule="auto"/>
        <w:ind w:right="-2"/>
        <w:jc w:val="left"/>
        <w:rPr>
          <w:noProof/>
          <w:szCs w:val="22"/>
        </w:rPr>
      </w:pPr>
      <w:r w:rsidRPr="00663C05">
        <w:rPr>
          <w:noProof/>
          <w:szCs w:val="22"/>
        </w:rPr>
        <w:fldChar w:fldCharType="end"/>
      </w:r>
    </w:p>
    <w:p w14:paraId="741071BC" w14:textId="77777777" w:rsidR="00333F5B" w:rsidRDefault="00333F5B" w:rsidP="008F2675">
      <w:pPr>
        <w:shd w:val="clear" w:color="auto" w:fill="FFFFFF"/>
        <w:spacing w:line="360" w:lineRule="auto"/>
        <w:ind w:right="-2"/>
        <w:jc w:val="left"/>
        <w:rPr>
          <w:noProof/>
          <w:szCs w:val="22"/>
        </w:rPr>
        <w:sectPr w:rsidR="00333F5B" w:rsidSect="00322052">
          <w:headerReference w:type="default" r:id="rId12"/>
          <w:footerReference w:type="default" r:id="rId13"/>
          <w:pgSz w:w="11906" w:h="16838"/>
          <w:pgMar w:top="1418" w:right="1418" w:bottom="1418" w:left="1418" w:header="709" w:footer="709" w:gutter="0"/>
          <w:cols w:space="708"/>
          <w:docGrid w:linePitch="299"/>
        </w:sectPr>
      </w:pPr>
    </w:p>
    <w:p w14:paraId="04ECF421" w14:textId="30CE4BD3" w:rsidR="00ED5EFB" w:rsidRPr="005B3FFE" w:rsidRDefault="00ED5EFB" w:rsidP="005B3FFE">
      <w:pPr>
        <w:pStyle w:val="Nagwek1"/>
      </w:pPr>
      <w:bookmarkStart w:id="3" w:name="_Toc64451838"/>
      <w:bookmarkStart w:id="4" w:name="_Ref99029063"/>
      <w:bookmarkStart w:id="5" w:name="_Toc233203256"/>
      <w:bookmarkStart w:id="6" w:name="_Toc223156020"/>
      <w:bookmarkStart w:id="7" w:name="_Toc223156240"/>
      <w:bookmarkStart w:id="8" w:name="_Toc223923404"/>
      <w:bookmarkStart w:id="9" w:name="_Toc223924317"/>
      <w:bookmarkStart w:id="10" w:name="_Toc227651132"/>
      <w:r w:rsidRPr="00C10DBF">
        <w:lastRenderedPageBreak/>
        <w:t>WSTĘP</w:t>
      </w:r>
      <w:bookmarkEnd w:id="3"/>
      <w:bookmarkEnd w:id="4"/>
      <w:bookmarkEnd w:id="5"/>
    </w:p>
    <w:p w14:paraId="19F0688E" w14:textId="03E35774" w:rsidR="005E3399" w:rsidRPr="00B34943" w:rsidRDefault="005E3399" w:rsidP="005069EF">
      <w:pPr>
        <w:shd w:val="clear" w:color="auto" w:fill="FFFFFF"/>
        <w:spacing w:before="240" w:line="360" w:lineRule="auto"/>
        <w:jc w:val="left"/>
        <w:rPr>
          <w:rFonts w:cs="Arial"/>
          <w:i/>
        </w:rPr>
      </w:pPr>
      <w:r w:rsidRPr="00B34943">
        <w:rPr>
          <w:rFonts w:cs="Arial"/>
          <w:i/>
        </w:rPr>
        <w:t>Szanowni Państwo,</w:t>
      </w:r>
    </w:p>
    <w:p w14:paraId="5DBC4DC0" w14:textId="439EB6E9" w:rsidR="001C0225" w:rsidRPr="001C0225" w:rsidRDefault="0078504B" w:rsidP="001C0225">
      <w:pPr>
        <w:shd w:val="clear" w:color="auto" w:fill="FFFFFF"/>
        <w:spacing w:before="120" w:line="360" w:lineRule="auto"/>
        <w:jc w:val="left"/>
        <w:rPr>
          <w:rFonts w:cs="Arial"/>
          <w:i/>
        </w:rPr>
      </w:pPr>
      <w:r w:rsidRPr="006E3C60">
        <w:rPr>
          <w:rFonts w:cs="Arial"/>
          <w:noProof/>
        </w:rPr>
        <w:drawing>
          <wp:anchor distT="0" distB="0" distL="114300" distR="114300" simplePos="0" relativeHeight="251673600" behindDoc="0" locked="0" layoutInCell="1" allowOverlap="1" wp14:anchorId="51975B0B" wp14:editId="6A553A5C">
            <wp:simplePos x="0" y="0"/>
            <wp:positionH relativeFrom="column">
              <wp:posOffset>3457575</wp:posOffset>
            </wp:positionH>
            <wp:positionV relativeFrom="paragraph">
              <wp:posOffset>4445</wp:posOffset>
            </wp:positionV>
            <wp:extent cx="2350770" cy="2343150"/>
            <wp:effectExtent l="0" t="0" r="0" b="0"/>
            <wp:wrapSquare wrapText="left"/>
            <wp:docPr id="6" name="Obraz 6" descr="Obraz. Zdjęcie Prezes UZP" title="Obraz. Zdjęcie Prezes UZ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50770" cy="2343150"/>
                    </a:xfrm>
                    <a:prstGeom prst="rect">
                      <a:avLst/>
                    </a:prstGeom>
                  </pic:spPr>
                </pic:pic>
              </a:graphicData>
            </a:graphic>
            <wp14:sizeRelH relativeFrom="margin">
              <wp14:pctWidth>0</wp14:pctWidth>
            </wp14:sizeRelH>
            <wp14:sizeRelV relativeFrom="margin">
              <wp14:pctHeight>0</wp14:pctHeight>
            </wp14:sizeRelV>
          </wp:anchor>
        </w:drawing>
      </w:r>
      <w:r w:rsidR="001C0225" w:rsidRPr="001C0225">
        <w:rPr>
          <w:rFonts w:cs="Arial"/>
          <w:i/>
        </w:rPr>
        <w:t>przekazuję Państwu „Sprawozdanie Prezesa Urzędu Zamówień Publicznych z funkcjonowania systemu zamówień publicznych w 2025 r.”, przedstawiające najważniejsze dane, trendy oraz zjawiska charakteryzujące rynek zamówień publicznych w minionym roku. Dokument ten stanowi nie tylko podsumowanie funkcjonowania systemu, ale również źródło wiedzy o kierunkach jego rozwoju, wyzwaniach oraz obszarach wymagających dalszych działań.</w:t>
      </w:r>
    </w:p>
    <w:p w14:paraId="1BFFA8B3" w14:textId="77777777" w:rsidR="001C0225" w:rsidRPr="001C0225" w:rsidRDefault="001C0225" w:rsidP="001C0225">
      <w:pPr>
        <w:shd w:val="clear" w:color="auto" w:fill="FFFFFF"/>
        <w:spacing w:before="120" w:line="360" w:lineRule="auto"/>
        <w:jc w:val="left"/>
        <w:rPr>
          <w:rFonts w:cs="Arial"/>
          <w:i/>
        </w:rPr>
      </w:pPr>
      <w:r w:rsidRPr="001C0225">
        <w:rPr>
          <w:rFonts w:cs="Arial"/>
          <w:i/>
        </w:rPr>
        <w:t xml:space="preserve">Rok 2025 potwierdził znaczenie zamówień publicznych jako jednego z kluczowych instrumentów realizacji polityk publicznych i rozwoju gospodarczego. Wartość zamówień udzielonych z zastosowaniem ustawy Prawo zamówień publicznych osiągnęła rekordowy poziom ponad 350 mld zł, a cały rynek zamówień publicznych przekroczył wartość 595 mld zł. Dane te pokazują skalę odpowiedzialności spoczywającej na wszystkich uczestnikach systemu oraz znaczenie efektywnego, przejrzystego i konkurencyjnego wydatkowania środków publicznych. </w:t>
      </w:r>
    </w:p>
    <w:p w14:paraId="39F7AEB9" w14:textId="77777777" w:rsidR="001C0225" w:rsidRPr="001C0225" w:rsidRDefault="001C0225" w:rsidP="001C0225">
      <w:pPr>
        <w:shd w:val="clear" w:color="auto" w:fill="FFFFFF"/>
        <w:spacing w:before="120" w:line="360" w:lineRule="auto"/>
        <w:jc w:val="left"/>
        <w:rPr>
          <w:rFonts w:cs="Arial"/>
          <w:i/>
        </w:rPr>
      </w:pPr>
      <w:r w:rsidRPr="001C0225">
        <w:rPr>
          <w:rFonts w:cs="Arial"/>
          <w:i/>
        </w:rPr>
        <w:t xml:space="preserve">Miniony rok przyniósł zarówno pozytywne zjawiska, takie jak wzrost konkurencyjności postępowań i utrzymanie wysokiej aktywności przedsiębiorców, jak również wyzwania związane z dalszym doskonaleniem jakości zamówień, zwiększaniem wykorzystania kryteriów </w:t>
      </w:r>
      <w:proofErr w:type="spellStart"/>
      <w:r w:rsidRPr="001C0225">
        <w:rPr>
          <w:rFonts w:cs="Arial"/>
          <w:i/>
        </w:rPr>
        <w:t>pozacenowych</w:t>
      </w:r>
      <w:proofErr w:type="spellEnd"/>
      <w:r w:rsidRPr="001C0225">
        <w:rPr>
          <w:rFonts w:cs="Arial"/>
          <w:i/>
        </w:rPr>
        <w:t xml:space="preserve"> oraz zapewnieniem pełniejszej transparentności wydatkowania środków publicznych. Szczególnego znaczenia nabiera także realizacja celów określonych w Polityce Zakupowej Państwa, obejmujących wspieranie innowacyjności, zrównoważonego rozwoju, odporności gospodarki oraz wzmacnianie potencjału polskich przedsiębiorców.</w:t>
      </w:r>
    </w:p>
    <w:p w14:paraId="6DF6C4EC" w14:textId="77777777" w:rsidR="001C0225" w:rsidRPr="001C0225" w:rsidRDefault="001C0225" w:rsidP="001C0225">
      <w:pPr>
        <w:shd w:val="clear" w:color="auto" w:fill="FFFFFF"/>
        <w:spacing w:before="120" w:line="360" w:lineRule="auto"/>
        <w:jc w:val="left"/>
        <w:rPr>
          <w:rFonts w:cs="Arial"/>
          <w:i/>
        </w:rPr>
      </w:pPr>
      <w:r w:rsidRPr="001C0225">
        <w:rPr>
          <w:rFonts w:cs="Arial"/>
          <w:i/>
        </w:rPr>
        <w:t xml:space="preserve">Pragnę serdecznie podziękować wszystkim uczestnikom rynku zamówień publicznych za ich codzienną pracę, zaangażowanie i odpowiedzialność. Słowa uznania kieruję do zamawiających, wykonawców, członków komisji przetargowych, ekspertów, kontrolerów, przedstawicieli instytucji publicznych, organizacji branżowych, środowiska naukowego oraz wszystkich osób, które przyczyniają się do prawidłowego funkcjonowania systemu zamówień publicznych w Polsce. </w:t>
      </w:r>
    </w:p>
    <w:p w14:paraId="2EED8A25" w14:textId="77777777" w:rsidR="001C0225" w:rsidRPr="001C0225" w:rsidRDefault="001C0225" w:rsidP="001C0225">
      <w:pPr>
        <w:shd w:val="clear" w:color="auto" w:fill="FFFFFF"/>
        <w:spacing w:before="120" w:line="360" w:lineRule="auto"/>
        <w:jc w:val="left"/>
        <w:rPr>
          <w:rFonts w:cs="Arial"/>
          <w:i/>
        </w:rPr>
      </w:pPr>
      <w:r w:rsidRPr="001C0225">
        <w:rPr>
          <w:rFonts w:cs="Arial"/>
          <w:i/>
        </w:rPr>
        <w:lastRenderedPageBreak/>
        <w:t xml:space="preserve">Podziękowania składam również członkom Krajowej Izby Odwoławczej oraz sędziom Sądu Zamówień Publicznych, których działalność ma fundamentalne znaczenie dla zapewnienia skutecznej ochrony prawnej, jednolitości orzecznictwa oraz budowania zaufania do systemu zamówień publicznych. </w:t>
      </w:r>
    </w:p>
    <w:p w14:paraId="69D98362" w14:textId="77777777" w:rsidR="001C0225" w:rsidRPr="001C0225" w:rsidRDefault="001C0225" w:rsidP="001C0225">
      <w:pPr>
        <w:shd w:val="clear" w:color="auto" w:fill="FFFFFF"/>
        <w:spacing w:before="120" w:line="360" w:lineRule="auto"/>
        <w:jc w:val="left"/>
        <w:rPr>
          <w:rFonts w:cs="Arial"/>
          <w:i/>
        </w:rPr>
      </w:pPr>
      <w:r w:rsidRPr="001C0225">
        <w:rPr>
          <w:rFonts w:cs="Arial"/>
          <w:i/>
        </w:rPr>
        <w:t>Szczególne podziękowania kieruję do pracowników Urzędu Zamówień Publicznych za ich profesjonalizm i konsekwentne działania na rzecz rozwoju nowoczesnego, przejrzystego i efektywnego systemu zamówień publicznych.</w:t>
      </w:r>
    </w:p>
    <w:p w14:paraId="446693FC" w14:textId="58922D8D" w:rsidR="001C0225" w:rsidRPr="00B34943" w:rsidRDefault="001C0225" w:rsidP="001C0225">
      <w:pPr>
        <w:shd w:val="clear" w:color="auto" w:fill="FFFFFF"/>
        <w:spacing w:before="120" w:line="360" w:lineRule="auto"/>
        <w:jc w:val="left"/>
        <w:rPr>
          <w:rFonts w:cs="Arial"/>
          <w:i/>
        </w:rPr>
      </w:pPr>
      <w:r w:rsidRPr="001C0225">
        <w:rPr>
          <w:rFonts w:cs="Arial"/>
          <w:i/>
        </w:rPr>
        <w:t>Mam nadzieję, że przedstawione w sprawozdaniu dane, analizy oraz rekomendacje będą stanowiły wartościowe źródło informacji dla uczestników rynku, decydentów oraz wszystkich zainteresowanych funkcjonowaniem zamówień publicznych, a także przyczynią się do dalszego doskonalenia tego ważnego obszaru życia publicznego.</w:t>
      </w:r>
    </w:p>
    <w:p w14:paraId="6D6C0081" w14:textId="117EF660" w:rsidR="0024224F" w:rsidRPr="0024224F" w:rsidRDefault="0024224F" w:rsidP="00DF60C1">
      <w:pPr>
        <w:shd w:val="clear" w:color="auto" w:fill="FFFFFF"/>
        <w:spacing w:before="360" w:after="120"/>
        <w:ind w:left="4253" w:firstLine="709"/>
        <w:jc w:val="left"/>
        <w:rPr>
          <w:rFonts w:cs="Arial"/>
          <w:i/>
          <w:iCs/>
        </w:rPr>
      </w:pPr>
      <w:r w:rsidRPr="0024224F">
        <w:rPr>
          <w:rFonts w:cs="Arial"/>
          <w:i/>
          <w:iCs/>
        </w:rPr>
        <w:t>Agnieszka Olszewska</w:t>
      </w:r>
    </w:p>
    <w:p w14:paraId="7A59A6FA" w14:textId="4CB687A7" w:rsidR="0024224F" w:rsidRPr="0024224F" w:rsidRDefault="0024224F" w:rsidP="007A5649">
      <w:pPr>
        <w:shd w:val="clear" w:color="auto" w:fill="FFFFFF"/>
        <w:spacing w:after="120"/>
        <w:ind w:left="3545" w:firstLine="709"/>
        <w:jc w:val="left"/>
        <w:rPr>
          <w:rFonts w:cs="Arial"/>
          <w:i/>
          <w:iCs/>
        </w:rPr>
      </w:pPr>
      <w:r w:rsidRPr="0024224F">
        <w:rPr>
          <w:rFonts w:cs="Arial"/>
          <w:i/>
          <w:iCs/>
        </w:rPr>
        <w:t>Prezes Urzędu Zamówień Publicznych</w:t>
      </w:r>
    </w:p>
    <w:p w14:paraId="0CCF6F20" w14:textId="0CE6E0F1" w:rsidR="00571B1E" w:rsidRDefault="00571B1E" w:rsidP="008F2675">
      <w:pPr>
        <w:shd w:val="clear" w:color="auto" w:fill="FFFFFF"/>
        <w:spacing w:line="360" w:lineRule="auto"/>
        <w:jc w:val="left"/>
        <w:rPr>
          <w:rFonts w:cs="Arial"/>
        </w:rPr>
      </w:pPr>
    </w:p>
    <w:p w14:paraId="4DE9986D" w14:textId="77777777" w:rsidR="00E31BA2" w:rsidRDefault="00E31BA2" w:rsidP="008F2675">
      <w:pPr>
        <w:shd w:val="clear" w:color="auto" w:fill="FFFFFF"/>
        <w:spacing w:line="360" w:lineRule="auto"/>
        <w:jc w:val="left"/>
        <w:rPr>
          <w:rFonts w:cs="Arial"/>
        </w:rPr>
        <w:sectPr w:rsidR="00E31BA2" w:rsidSect="00210DFE">
          <w:pgSz w:w="11906" w:h="16838"/>
          <w:pgMar w:top="1418" w:right="1418" w:bottom="1418" w:left="1418" w:header="709" w:footer="709" w:gutter="0"/>
          <w:cols w:space="708"/>
          <w:docGrid w:linePitch="299"/>
        </w:sectPr>
      </w:pPr>
    </w:p>
    <w:p w14:paraId="1F1074FC" w14:textId="4793CD8F" w:rsidR="00F2302F" w:rsidRPr="00F2302F" w:rsidRDefault="00B20F35" w:rsidP="005B3FFE">
      <w:pPr>
        <w:pStyle w:val="Nagwek1"/>
      </w:pPr>
      <w:bookmarkStart w:id="11" w:name="_Toc233203257"/>
      <w:bookmarkEnd w:id="6"/>
      <w:bookmarkEnd w:id="7"/>
      <w:bookmarkEnd w:id="8"/>
      <w:bookmarkEnd w:id="9"/>
      <w:bookmarkEnd w:id="10"/>
      <w:r w:rsidRPr="00C10DBF">
        <w:lastRenderedPageBreak/>
        <w:t>ZAMÓWIENIA PUBLICZNE W LICZBACH</w:t>
      </w:r>
      <w:bookmarkEnd w:id="11"/>
    </w:p>
    <w:p w14:paraId="2641173E" w14:textId="7D32E71D" w:rsidR="00AC26C2" w:rsidRDefault="00395325" w:rsidP="008705CF">
      <w:pPr>
        <w:shd w:val="clear" w:color="auto" w:fill="FFFFFF"/>
        <w:spacing w:line="360" w:lineRule="auto"/>
        <w:jc w:val="left"/>
        <w:rPr>
          <w:rFonts w:cs="Arial"/>
          <w:szCs w:val="22"/>
          <w:lang w:val="x-none"/>
        </w:rPr>
      </w:pPr>
      <w:r>
        <w:rPr>
          <w:rFonts w:cs="Arial"/>
          <w:noProof/>
          <w:szCs w:val="22"/>
        </w:rPr>
        <w:drawing>
          <wp:inline distT="0" distB="0" distL="0" distR="0" wp14:anchorId="24D94CA8" wp14:editId="5BECAEAE">
            <wp:extent cx="5382000" cy="7606800"/>
            <wp:effectExtent l="0" t="0" r="9525" b="0"/>
            <wp:docPr id="472541991" name="Obraz 472541991" descr="Grafika. Rynek zamówień publicznych. Rok 2025" title="Grafika. Rynek zamówień publicznych. Rok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41991" name="Rynek ZP 2025 pop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82000" cy="7606800"/>
                    </a:xfrm>
                    <a:prstGeom prst="rect">
                      <a:avLst/>
                    </a:prstGeom>
                  </pic:spPr>
                </pic:pic>
              </a:graphicData>
            </a:graphic>
          </wp:inline>
        </w:drawing>
      </w:r>
    </w:p>
    <w:p w14:paraId="373FCD4A" w14:textId="77777777" w:rsidR="00791A19" w:rsidRPr="00C947B4" w:rsidRDefault="00791A19" w:rsidP="008F2675">
      <w:pPr>
        <w:shd w:val="clear" w:color="auto" w:fill="FFFFFF"/>
        <w:spacing w:line="360" w:lineRule="auto"/>
        <w:jc w:val="left"/>
        <w:rPr>
          <w:rFonts w:cs="Arial"/>
          <w:szCs w:val="22"/>
        </w:rPr>
      </w:pPr>
    </w:p>
    <w:p w14:paraId="6DB2E485" w14:textId="77777777" w:rsidR="00E7144E" w:rsidRPr="00C947B4" w:rsidRDefault="00E7144E" w:rsidP="008F2675">
      <w:pPr>
        <w:shd w:val="clear" w:color="auto" w:fill="FFFFFF"/>
        <w:spacing w:line="360" w:lineRule="auto"/>
        <w:jc w:val="left"/>
        <w:rPr>
          <w:rFonts w:cs="Arial"/>
          <w:szCs w:val="22"/>
        </w:rPr>
        <w:sectPr w:rsidR="00E7144E" w:rsidRPr="00C947B4" w:rsidSect="00E339D3">
          <w:pgSz w:w="11906" w:h="16838"/>
          <w:pgMar w:top="1418" w:right="1418" w:bottom="1418" w:left="1418" w:header="709" w:footer="709" w:gutter="0"/>
          <w:cols w:space="708"/>
          <w:docGrid w:linePitch="299"/>
        </w:sectPr>
      </w:pPr>
    </w:p>
    <w:p w14:paraId="1C9C6BF2" w14:textId="60F23217" w:rsidR="0087120B" w:rsidRPr="00661D7B" w:rsidRDefault="0087120B" w:rsidP="005B3FFE">
      <w:pPr>
        <w:pStyle w:val="Nagwek1"/>
      </w:pPr>
      <w:bookmarkStart w:id="12" w:name="_I._PRAWNE_ASPEKTY"/>
      <w:bookmarkStart w:id="13" w:name="_Toc64451847"/>
      <w:bookmarkStart w:id="14" w:name="_Ref99030312"/>
      <w:bookmarkStart w:id="15" w:name="_Ref99030364"/>
      <w:bookmarkStart w:id="16" w:name="_Ref99031457"/>
      <w:bookmarkStart w:id="17" w:name="_Toc233203258"/>
      <w:bookmarkStart w:id="18" w:name="_Toc223156022"/>
      <w:bookmarkStart w:id="19" w:name="_Toc223156242"/>
      <w:bookmarkStart w:id="20" w:name="_Toc223923406"/>
      <w:bookmarkStart w:id="21" w:name="_Toc223924319"/>
      <w:bookmarkStart w:id="22" w:name="_Toc227651134"/>
      <w:bookmarkEnd w:id="12"/>
      <w:r w:rsidRPr="00992092">
        <w:lastRenderedPageBreak/>
        <w:t>I. RYNEK ZAMÓWIEŃ PUBLICZNYCH</w:t>
      </w:r>
      <w:bookmarkEnd w:id="13"/>
      <w:bookmarkEnd w:id="14"/>
      <w:bookmarkEnd w:id="15"/>
      <w:bookmarkEnd w:id="16"/>
      <w:bookmarkEnd w:id="17"/>
    </w:p>
    <w:p w14:paraId="09A99848" w14:textId="77777777" w:rsidR="002C3615" w:rsidRPr="002C3615" w:rsidRDefault="002C3615" w:rsidP="002C3615">
      <w:pPr>
        <w:shd w:val="clear" w:color="auto" w:fill="FFFFFF"/>
        <w:spacing w:before="240" w:line="360" w:lineRule="auto"/>
        <w:jc w:val="left"/>
      </w:pPr>
      <w:bookmarkStart w:id="23" w:name="_Toc64451848"/>
      <w:r w:rsidRPr="002C3615">
        <w:t>W sprawozdaniu za 2025 r. przyjęto zmodyfikowany sposób prezentacji wyników analiz rynku zamówień publicznych, polegający na rozdzieleniu danych syntetycznych oraz warstwy szczegółowej.</w:t>
      </w:r>
    </w:p>
    <w:p w14:paraId="4A43A7FF" w14:textId="019B197C" w:rsidR="002C3615" w:rsidRPr="002C3615" w:rsidRDefault="002C3615" w:rsidP="002C3615">
      <w:pPr>
        <w:pStyle w:val="Nagwek4"/>
      </w:pPr>
      <w:bookmarkStart w:id="24" w:name="_Toc231987318"/>
      <w:r>
        <w:t xml:space="preserve">1. </w:t>
      </w:r>
      <w:r w:rsidRPr="002C3615">
        <w:t>Zakres danych prezentowanych w raporcie</w:t>
      </w:r>
      <w:bookmarkEnd w:id="24"/>
    </w:p>
    <w:p w14:paraId="2090B110" w14:textId="77777777" w:rsidR="002C3615" w:rsidRPr="002C3615" w:rsidRDefault="002C3615" w:rsidP="00434BEB">
      <w:pPr>
        <w:shd w:val="clear" w:color="auto" w:fill="FFFFFF"/>
        <w:spacing w:before="120" w:line="360" w:lineRule="auto"/>
        <w:jc w:val="left"/>
      </w:pPr>
      <w:r w:rsidRPr="002C3615">
        <w:t>Opublikowany raport zawiera przede wszystkim:</w:t>
      </w:r>
    </w:p>
    <w:p w14:paraId="69E57AF7" w14:textId="77777777" w:rsidR="002C3615" w:rsidRPr="00E95856" w:rsidRDefault="002C3615" w:rsidP="00E95856">
      <w:pPr>
        <w:pStyle w:val="Akapitzlist"/>
        <w:numPr>
          <w:ilvl w:val="0"/>
          <w:numId w:val="73"/>
        </w:numPr>
        <w:shd w:val="clear" w:color="auto" w:fill="FFFFFF"/>
        <w:spacing w:line="360" w:lineRule="auto"/>
        <w:jc w:val="left"/>
        <w:rPr>
          <w:sz w:val="22"/>
          <w:szCs w:val="22"/>
        </w:rPr>
      </w:pPr>
      <w:r w:rsidRPr="00E95856">
        <w:rPr>
          <w:sz w:val="22"/>
          <w:szCs w:val="22"/>
        </w:rPr>
        <w:t>kluczowe wskaźniki dotyczące rynku zamówień publicznych, w tym jego wartość, strukturę oraz znaczenie makroekonomiczne,</w:t>
      </w:r>
    </w:p>
    <w:p w14:paraId="23AB52DD" w14:textId="77777777" w:rsidR="002C3615" w:rsidRPr="00E95856" w:rsidRDefault="002C3615" w:rsidP="00E95856">
      <w:pPr>
        <w:pStyle w:val="Akapitzlist"/>
        <w:numPr>
          <w:ilvl w:val="0"/>
          <w:numId w:val="73"/>
        </w:numPr>
        <w:shd w:val="clear" w:color="auto" w:fill="FFFFFF"/>
        <w:spacing w:line="360" w:lineRule="auto"/>
        <w:jc w:val="left"/>
        <w:rPr>
          <w:sz w:val="22"/>
          <w:szCs w:val="22"/>
        </w:rPr>
      </w:pPr>
      <w:r w:rsidRPr="00E95856">
        <w:rPr>
          <w:sz w:val="22"/>
          <w:szCs w:val="22"/>
        </w:rPr>
        <w:t>najważniejsze dane agregowane i trendy wieloletnie, umożliwiające ocenę zmian zachodzących w systemie,</w:t>
      </w:r>
    </w:p>
    <w:p w14:paraId="7E96A8CC" w14:textId="77777777" w:rsidR="002C3615" w:rsidRPr="00E95856" w:rsidRDefault="002C3615" w:rsidP="00E95856">
      <w:pPr>
        <w:pStyle w:val="Akapitzlist"/>
        <w:numPr>
          <w:ilvl w:val="0"/>
          <w:numId w:val="73"/>
        </w:numPr>
        <w:shd w:val="clear" w:color="auto" w:fill="FFFFFF"/>
        <w:spacing w:line="360" w:lineRule="auto"/>
        <w:jc w:val="left"/>
        <w:rPr>
          <w:sz w:val="22"/>
          <w:szCs w:val="22"/>
        </w:rPr>
      </w:pPr>
      <w:r w:rsidRPr="00E95856">
        <w:rPr>
          <w:sz w:val="22"/>
          <w:szCs w:val="22"/>
        </w:rPr>
        <w:t>wybrane struktury i zestawienia o charakterze przekrojowym,</w:t>
      </w:r>
    </w:p>
    <w:p w14:paraId="74D68302" w14:textId="77777777" w:rsidR="002C3615" w:rsidRPr="00E95856" w:rsidRDefault="002C3615" w:rsidP="00E95856">
      <w:pPr>
        <w:pStyle w:val="Akapitzlist"/>
        <w:numPr>
          <w:ilvl w:val="0"/>
          <w:numId w:val="73"/>
        </w:numPr>
        <w:shd w:val="clear" w:color="auto" w:fill="FFFFFF"/>
        <w:spacing w:line="360" w:lineRule="auto"/>
        <w:jc w:val="left"/>
        <w:rPr>
          <w:sz w:val="22"/>
          <w:szCs w:val="22"/>
        </w:rPr>
      </w:pPr>
      <w:r w:rsidRPr="00E95856">
        <w:rPr>
          <w:sz w:val="22"/>
          <w:szCs w:val="22"/>
        </w:rPr>
        <w:t>wnioski oraz interpretację zjawisk rynkowych,</w:t>
      </w:r>
    </w:p>
    <w:p w14:paraId="646CC8F4" w14:textId="77777777" w:rsidR="002C3615" w:rsidRPr="00E95856" w:rsidRDefault="002C3615" w:rsidP="00E95856">
      <w:pPr>
        <w:pStyle w:val="Akapitzlist"/>
        <w:numPr>
          <w:ilvl w:val="0"/>
          <w:numId w:val="73"/>
        </w:numPr>
        <w:shd w:val="clear" w:color="auto" w:fill="FFFFFF"/>
        <w:spacing w:line="360" w:lineRule="auto"/>
        <w:jc w:val="left"/>
        <w:rPr>
          <w:sz w:val="22"/>
          <w:szCs w:val="22"/>
        </w:rPr>
      </w:pPr>
      <w:r w:rsidRPr="00E95856">
        <w:rPr>
          <w:sz w:val="22"/>
          <w:szCs w:val="22"/>
        </w:rPr>
        <w:t>przykłady ilustrujące skalę zjawisk, w tym największe zamówienia.</w:t>
      </w:r>
    </w:p>
    <w:p w14:paraId="3C6621C4" w14:textId="77777777" w:rsidR="002C3615" w:rsidRPr="002C3615" w:rsidRDefault="002C3615" w:rsidP="00E95856">
      <w:pPr>
        <w:shd w:val="clear" w:color="auto" w:fill="FFFFFF"/>
        <w:spacing w:before="120" w:line="360" w:lineRule="auto"/>
        <w:jc w:val="left"/>
      </w:pPr>
      <w:r w:rsidRPr="002C3615">
        <w:t xml:space="preserve">W efekcie raport koncentruje się na </w:t>
      </w:r>
      <w:r w:rsidRPr="002C3615">
        <w:rPr>
          <w:b/>
          <w:bCs/>
        </w:rPr>
        <w:t>syntetycznym obrazie rynku i jego najważniejszych cechach</w:t>
      </w:r>
      <w:r w:rsidRPr="002C3615">
        <w:t>, ograniczając prezentację danych szczegółowych do poziomu niezbędnego dla zrozumienia kluczowych zależności.</w:t>
      </w:r>
    </w:p>
    <w:p w14:paraId="352A2FF9" w14:textId="7E609A51" w:rsidR="002C3615" w:rsidRPr="002C3615" w:rsidRDefault="002C3615" w:rsidP="002C3615">
      <w:pPr>
        <w:pStyle w:val="Nagwek4"/>
      </w:pPr>
      <w:bookmarkStart w:id="25" w:name="_Toc231987319"/>
      <w:r>
        <w:t xml:space="preserve">2. </w:t>
      </w:r>
      <w:r w:rsidRPr="002C3615">
        <w:t>Zakres danych udostępnionych online</w:t>
      </w:r>
      <w:bookmarkEnd w:id="25"/>
    </w:p>
    <w:p w14:paraId="2E7F4025" w14:textId="77777777" w:rsidR="002C3615" w:rsidRPr="002C3615" w:rsidRDefault="002C3615" w:rsidP="00E95856">
      <w:pPr>
        <w:shd w:val="clear" w:color="auto" w:fill="FFFFFF"/>
        <w:spacing w:before="120" w:line="360" w:lineRule="auto"/>
        <w:jc w:val="left"/>
      </w:pPr>
      <w:r w:rsidRPr="002C3615">
        <w:t>Rozbudowane zestawienia danych oraz analizy szczegółowe zostały udostępnione w formie cyfrowej pod adresem:</w:t>
      </w:r>
      <w:r w:rsidRPr="002C3615">
        <w:br/>
      </w:r>
      <w:hyperlink r:id="rId16" w:history="1">
        <w:r w:rsidRPr="002C3615">
          <w:rPr>
            <w:rStyle w:val="Hipercze"/>
          </w:rPr>
          <w:t>https://www.gov.pl/web/uzp/sprawozdanie-za-2025-rok--</w:t>
        </w:r>
        <w:proofErr w:type="spellStart"/>
        <w:r w:rsidRPr="002C3615">
          <w:rPr>
            <w:rStyle w:val="Hipercze"/>
          </w:rPr>
          <w:t>dane-analityczne</w:t>
        </w:r>
        <w:proofErr w:type="spellEnd"/>
      </w:hyperlink>
    </w:p>
    <w:p w14:paraId="62CC995D" w14:textId="77777777" w:rsidR="002C3615" w:rsidRPr="002C3615" w:rsidRDefault="002C3615" w:rsidP="00E95856">
      <w:pPr>
        <w:shd w:val="clear" w:color="auto" w:fill="FFFFFF"/>
        <w:spacing w:before="120" w:line="360" w:lineRule="auto"/>
        <w:jc w:val="left"/>
      </w:pPr>
      <w:r w:rsidRPr="002C3615">
        <w:t>W środowisku online prezentowane są w szczególności:</w:t>
      </w:r>
    </w:p>
    <w:p w14:paraId="5E248164" w14:textId="77777777" w:rsidR="002C3615" w:rsidRPr="00E95856" w:rsidRDefault="002C3615" w:rsidP="00E95856">
      <w:pPr>
        <w:pStyle w:val="Akapitzlist"/>
        <w:numPr>
          <w:ilvl w:val="0"/>
          <w:numId w:val="74"/>
        </w:numPr>
        <w:shd w:val="clear" w:color="auto" w:fill="FFFFFF"/>
        <w:spacing w:line="360" w:lineRule="auto"/>
        <w:ind w:left="714" w:hanging="357"/>
        <w:jc w:val="left"/>
        <w:rPr>
          <w:sz w:val="22"/>
          <w:szCs w:val="22"/>
        </w:rPr>
      </w:pPr>
      <w:r w:rsidRPr="00E95856">
        <w:rPr>
          <w:b/>
          <w:bCs/>
          <w:sz w:val="22"/>
          <w:szCs w:val="22"/>
        </w:rPr>
        <w:t>szczegółowe przekroje danych</w:t>
      </w:r>
      <w:r w:rsidRPr="00E95856">
        <w:rPr>
          <w:sz w:val="22"/>
          <w:szCs w:val="22"/>
        </w:rPr>
        <w:t xml:space="preserve"> (np. według regionów, branż, kodów CPV, rodzaju zamawiającego),</w:t>
      </w:r>
    </w:p>
    <w:p w14:paraId="3984B5CA" w14:textId="77777777" w:rsidR="002C3615" w:rsidRPr="00E95856" w:rsidRDefault="002C3615" w:rsidP="00E95856">
      <w:pPr>
        <w:pStyle w:val="Akapitzlist"/>
        <w:numPr>
          <w:ilvl w:val="0"/>
          <w:numId w:val="74"/>
        </w:numPr>
        <w:shd w:val="clear" w:color="auto" w:fill="FFFFFF"/>
        <w:spacing w:before="240" w:line="360" w:lineRule="auto"/>
        <w:jc w:val="left"/>
        <w:rPr>
          <w:sz w:val="22"/>
          <w:szCs w:val="22"/>
        </w:rPr>
      </w:pPr>
      <w:r w:rsidRPr="00E95856">
        <w:rPr>
          <w:b/>
          <w:bCs/>
          <w:sz w:val="22"/>
          <w:szCs w:val="22"/>
        </w:rPr>
        <w:t>analizy wielowymiarowe</w:t>
      </w:r>
      <w:r w:rsidRPr="00E95856">
        <w:rPr>
          <w:sz w:val="22"/>
          <w:szCs w:val="22"/>
        </w:rPr>
        <w:t>, pozwalające na porównania według różnych kryteriów (wartości, trybów, liczby ofert, kategorii zamówień),</w:t>
      </w:r>
    </w:p>
    <w:p w14:paraId="333EE5C5" w14:textId="77777777" w:rsidR="002C3615" w:rsidRPr="00E95856" w:rsidRDefault="002C3615" w:rsidP="00E95856">
      <w:pPr>
        <w:pStyle w:val="Akapitzlist"/>
        <w:numPr>
          <w:ilvl w:val="0"/>
          <w:numId w:val="74"/>
        </w:numPr>
        <w:shd w:val="clear" w:color="auto" w:fill="FFFFFF"/>
        <w:spacing w:before="240" w:line="360" w:lineRule="auto"/>
        <w:jc w:val="left"/>
        <w:rPr>
          <w:sz w:val="22"/>
          <w:szCs w:val="22"/>
        </w:rPr>
      </w:pPr>
      <w:r w:rsidRPr="00E95856">
        <w:rPr>
          <w:b/>
          <w:bCs/>
          <w:sz w:val="22"/>
          <w:szCs w:val="22"/>
        </w:rPr>
        <w:t>struktury i rozkłady danych</w:t>
      </w:r>
      <w:r w:rsidRPr="00E95856">
        <w:rPr>
          <w:sz w:val="22"/>
          <w:szCs w:val="22"/>
        </w:rPr>
        <w:t>, których pełna prezentacja w raporcie byłaby nadmiernie rozbudowana (np. rozkłady czasu trwania postępowań czy liczby ofert),</w:t>
      </w:r>
    </w:p>
    <w:p w14:paraId="0F0172D0" w14:textId="77777777" w:rsidR="002C3615" w:rsidRPr="00E95856" w:rsidRDefault="002C3615" w:rsidP="00E95856">
      <w:pPr>
        <w:pStyle w:val="Akapitzlist"/>
        <w:numPr>
          <w:ilvl w:val="0"/>
          <w:numId w:val="74"/>
        </w:numPr>
        <w:shd w:val="clear" w:color="auto" w:fill="FFFFFF"/>
        <w:spacing w:before="240" w:line="360" w:lineRule="auto"/>
        <w:jc w:val="left"/>
        <w:rPr>
          <w:sz w:val="22"/>
          <w:szCs w:val="22"/>
        </w:rPr>
      </w:pPr>
      <w:r w:rsidRPr="00E95856">
        <w:rPr>
          <w:b/>
          <w:bCs/>
          <w:sz w:val="22"/>
          <w:szCs w:val="22"/>
        </w:rPr>
        <w:t>rankingi i zestawienia szczegółowe</w:t>
      </w:r>
      <w:r w:rsidRPr="00E95856">
        <w:rPr>
          <w:sz w:val="22"/>
          <w:szCs w:val="22"/>
        </w:rPr>
        <w:t xml:space="preserve"> (np. największe zamówienia, struktury zamówień sektorowych, szczegółowe dane dotyczące zamówień in-</w:t>
      </w:r>
      <w:proofErr w:type="spellStart"/>
      <w:r w:rsidRPr="00E95856">
        <w:rPr>
          <w:sz w:val="22"/>
          <w:szCs w:val="22"/>
        </w:rPr>
        <w:t>house</w:t>
      </w:r>
      <w:proofErr w:type="spellEnd"/>
      <w:r w:rsidRPr="00E95856">
        <w:rPr>
          <w:sz w:val="22"/>
          <w:szCs w:val="22"/>
        </w:rPr>
        <w:t>),</w:t>
      </w:r>
    </w:p>
    <w:p w14:paraId="459E4A89" w14:textId="78D29AF4" w:rsidR="002C3615" w:rsidRPr="00E95856" w:rsidRDefault="002C3615" w:rsidP="00E95856">
      <w:pPr>
        <w:pStyle w:val="Akapitzlist"/>
        <w:numPr>
          <w:ilvl w:val="0"/>
          <w:numId w:val="74"/>
        </w:numPr>
        <w:shd w:val="clear" w:color="auto" w:fill="FFFFFF"/>
        <w:spacing w:before="240" w:line="360" w:lineRule="auto"/>
        <w:jc w:val="left"/>
        <w:rPr>
          <w:sz w:val="22"/>
          <w:szCs w:val="22"/>
        </w:rPr>
      </w:pPr>
      <w:r w:rsidRPr="00E95856">
        <w:rPr>
          <w:b/>
          <w:bCs/>
          <w:sz w:val="22"/>
          <w:szCs w:val="22"/>
        </w:rPr>
        <w:lastRenderedPageBreak/>
        <w:t>dane analityczne wspierające pogłębione badania rynku</w:t>
      </w:r>
      <w:r w:rsidRPr="00E95856">
        <w:rPr>
          <w:sz w:val="22"/>
          <w:szCs w:val="22"/>
        </w:rPr>
        <w:t xml:space="preserve">, w tym w obszarze konkurencyjności, udziału </w:t>
      </w:r>
      <w:r w:rsidR="00EA1A00">
        <w:rPr>
          <w:sz w:val="22"/>
          <w:szCs w:val="22"/>
        </w:rPr>
        <w:t xml:space="preserve">sektora </w:t>
      </w:r>
      <w:r w:rsidR="00C7327F">
        <w:rPr>
          <w:sz w:val="22"/>
          <w:szCs w:val="22"/>
        </w:rPr>
        <w:t>małych i średnich przedsiębior</w:t>
      </w:r>
      <w:r w:rsidR="00593AA3">
        <w:rPr>
          <w:sz w:val="22"/>
          <w:szCs w:val="22"/>
        </w:rPr>
        <w:t>ców</w:t>
      </w:r>
      <w:r w:rsidR="0088186B">
        <w:rPr>
          <w:sz w:val="22"/>
          <w:szCs w:val="22"/>
        </w:rPr>
        <w:t xml:space="preserve">, </w:t>
      </w:r>
      <w:r w:rsidR="009D33C3">
        <w:rPr>
          <w:sz w:val="22"/>
          <w:szCs w:val="22"/>
        </w:rPr>
        <w:t>zwanych dalej</w:t>
      </w:r>
      <w:r w:rsidR="00F230D5">
        <w:rPr>
          <w:sz w:val="22"/>
          <w:szCs w:val="22"/>
        </w:rPr>
        <w:t xml:space="preserve"> </w:t>
      </w:r>
      <w:r w:rsidR="00F230D5">
        <w:rPr>
          <w:rFonts w:cs="Arial"/>
          <w:bCs/>
          <w:szCs w:val="22"/>
        </w:rPr>
        <w:t>„</w:t>
      </w:r>
      <w:r w:rsidRPr="00E95856">
        <w:rPr>
          <w:sz w:val="22"/>
          <w:szCs w:val="22"/>
        </w:rPr>
        <w:t>MŚP</w:t>
      </w:r>
      <w:r w:rsidR="009D33C3">
        <w:rPr>
          <w:sz w:val="22"/>
          <w:szCs w:val="22"/>
        </w:rPr>
        <w:t>”</w:t>
      </w:r>
      <w:r w:rsidRPr="00E95856">
        <w:rPr>
          <w:sz w:val="22"/>
          <w:szCs w:val="22"/>
        </w:rPr>
        <w:t xml:space="preserve"> oraz instrumentów szczególnych.</w:t>
      </w:r>
    </w:p>
    <w:p w14:paraId="649E53B7" w14:textId="09E027B7" w:rsidR="002C3615" w:rsidRPr="002C3615" w:rsidRDefault="002C3615" w:rsidP="002C3615">
      <w:pPr>
        <w:pStyle w:val="Nagwek4"/>
      </w:pPr>
      <w:bookmarkStart w:id="26" w:name="_Toc231987320"/>
      <w:r>
        <w:t xml:space="preserve">3. </w:t>
      </w:r>
      <w:r w:rsidRPr="002C3615">
        <w:t>Zasady podziału informacji</w:t>
      </w:r>
      <w:bookmarkEnd w:id="26"/>
    </w:p>
    <w:p w14:paraId="28FE8D8A" w14:textId="77777777" w:rsidR="002C3615" w:rsidRPr="002C3615" w:rsidRDefault="002C3615" w:rsidP="00E95856">
      <w:pPr>
        <w:shd w:val="clear" w:color="auto" w:fill="FFFFFF"/>
        <w:spacing w:before="120" w:line="360" w:lineRule="auto"/>
        <w:jc w:val="left"/>
      </w:pPr>
      <w:r w:rsidRPr="002C3615">
        <w:t>Podział danych pomiędzy raport, a zasoby online został dokonany według następujących zasad:</w:t>
      </w:r>
    </w:p>
    <w:p w14:paraId="4888BCDA" w14:textId="77777777" w:rsidR="002C3615" w:rsidRPr="00E95856" w:rsidRDefault="002C3615" w:rsidP="00E95856">
      <w:pPr>
        <w:pStyle w:val="Akapitzlist"/>
        <w:numPr>
          <w:ilvl w:val="0"/>
          <w:numId w:val="75"/>
        </w:numPr>
        <w:shd w:val="clear" w:color="auto" w:fill="FFFFFF"/>
        <w:spacing w:line="360" w:lineRule="auto"/>
        <w:jc w:val="left"/>
        <w:rPr>
          <w:sz w:val="22"/>
          <w:szCs w:val="22"/>
        </w:rPr>
      </w:pPr>
      <w:r w:rsidRPr="00E95856">
        <w:rPr>
          <w:sz w:val="22"/>
          <w:szCs w:val="22"/>
        </w:rPr>
        <w:t>w raporcie pozostają dane kluczowe i wnioski, niezbędne do oceny funkcjonowania systemu zamówień publicznych,</w:t>
      </w:r>
    </w:p>
    <w:p w14:paraId="40C1C93E" w14:textId="77777777" w:rsidR="002C3615" w:rsidRPr="00E95856" w:rsidRDefault="002C3615" w:rsidP="00E95856">
      <w:pPr>
        <w:pStyle w:val="Akapitzlist"/>
        <w:numPr>
          <w:ilvl w:val="0"/>
          <w:numId w:val="75"/>
        </w:numPr>
        <w:shd w:val="clear" w:color="auto" w:fill="FFFFFF"/>
        <w:spacing w:line="360" w:lineRule="auto"/>
        <w:jc w:val="left"/>
        <w:rPr>
          <w:sz w:val="22"/>
          <w:szCs w:val="22"/>
        </w:rPr>
      </w:pPr>
      <w:r w:rsidRPr="00E95856">
        <w:rPr>
          <w:sz w:val="22"/>
          <w:szCs w:val="22"/>
        </w:rPr>
        <w:t>w środowisku online udostępniane są dane szczegółowe, wymagające analizy wielowymiarowej lub eksploracyjnej,</w:t>
      </w:r>
    </w:p>
    <w:p w14:paraId="65522564" w14:textId="77777777" w:rsidR="002C3615" w:rsidRPr="00E95856" w:rsidRDefault="002C3615" w:rsidP="00E95856">
      <w:pPr>
        <w:pStyle w:val="Akapitzlist"/>
        <w:numPr>
          <w:ilvl w:val="0"/>
          <w:numId w:val="75"/>
        </w:numPr>
        <w:shd w:val="clear" w:color="auto" w:fill="FFFFFF"/>
        <w:spacing w:line="360" w:lineRule="auto"/>
        <w:jc w:val="left"/>
        <w:rPr>
          <w:sz w:val="22"/>
          <w:szCs w:val="22"/>
        </w:rPr>
      </w:pPr>
      <w:r w:rsidRPr="00E95856">
        <w:rPr>
          <w:sz w:val="22"/>
          <w:szCs w:val="22"/>
        </w:rPr>
        <w:t>raport pełni funkcję syntetycznego opracowania analitycznego, natomiast część online stanowi rozszerzone repozytorium danych i narzędzie analityczne,</w:t>
      </w:r>
    </w:p>
    <w:p w14:paraId="1B714D50" w14:textId="77777777" w:rsidR="002C3615" w:rsidRPr="00E95856" w:rsidRDefault="002C3615" w:rsidP="00E95856">
      <w:pPr>
        <w:pStyle w:val="Akapitzlist"/>
        <w:numPr>
          <w:ilvl w:val="0"/>
          <w:numId w:val="75"/>
        </w:numPr>
        <w:shd w:val="clear" w:color="auto" w:fill="FFFFFF"/>
        <w:spacing w:line="360" w:lineRule="auto"/>
        <w:jc w:val="left"/>
        <w:rPr>
          <w:sz w:val="22"/>
          <w:szCs w:val="22"/>
        </w:rPr>
      </w:pPr>
      <w:r w:rsidRPr="00E95856">
        <w:rPr>
          <w:sz w:val="22"/>
          <w:szCs w:val="22"/>
        </w:rPr>
        <w:t>ograniczono powielanie dużych zestawień tabelarycznych w dokumencie PDF, zapewniając ich pełną dostępność w postaci cyfrowej.</w:t>
      </w:r>
    </w:p>
    <w:p w14:paraId="64AFC3B0" w14:textId="77777777" w:rsidR="002C3615" w:rsidRPr="002C3615" w:rsidRDefault="002C3615" w:rsidP="002C3615">
      <w:pPr>
        <w:pStyle w:val="Nagwek4"/>
      </w:pPr>
      <w:bookmarkStart w:id="27" w:name="_Toc231987321"/>
      <w:r w:rsidRPr="002C3615">
        <w:t>4. Cel przyjętego rozwiązania</w:t>
      </w:r>
      <w:bookmarkEnd w:id="27"/>
    </w:p>
    <w:p w14:paraId="45F317AB" w14:textId="77777777" w:rsidR="002C3615" w:rsidRPr="002C3615" w:rsidRDefault="002C3615" w:rsidP="00E95856">
      <w:pPr>
        <w:shd w:val="clear" w:color="auto" w:fill="FFFFFF"/>
        <w:spacing w:before="120" w:line="360" w:lineRule="auto"/>
        <w:jc w:val="left"/>
      </w:pPr>
      <w:r w:rsidRPr="002C3615">
        <w:t>Zastosowany model ma na celu:</w:t>
      </w:r>
    </w:p>
    <w:p w14:paraId="19DFE812" w14:textId="77777777" w:rsidR="002C3615" w:rsidRPr="00E95856" w:rsidRDefault="002C3615" w:rsidP="00E95856">
      <w:pPr>
        <w:pStyle w:val="Akapitzlist"/>
        <w:numPr>
          <w:ilvl w:val="0"/>
          <w:numId w:val="76"/>
        </w:numPr>
        <w:shd w:val="clear" w:color="auto" w:fill="FFFFFF"/>
        <w:spacing w:line="360" w:lineRule="auto"/>
        <w:jc w:val="left"/>
        <w:rPr>
          <w:sz w:val="22"/>
          <w:szCs w:val="22"/>
        </w:rPr>
      </w:pPr>
      <w:r w:rsidRPr="00E95856">
        <w:rPr>
          <w:sz w:val="22"/>
          <w:szCs w:val="22"/>
        </w:rPr>
        <w:t>zwiększenie czytelności raportu głównego, poprzez koncentrację na najważniejszych informacjach,</w:t>
      </w:r>
    </w:p>
    <w:p w14:paraId="3DD6B210" w14:textId="77777777" w:rsidR="002C3615" w:rsidRPr="00E95856" w:rsidRDefault="002C3615" w:rsidP="00E95856">
      <w:pPr>
        <w:pStyle w:val="Akapitzlist"/>
        <w:numPr>
          <w:ilvl w:val="0"/>
          <w:numId w:val="76"/>
        </w:numPr>
        <w:shd w:val="clear" w:color="auto" w:fill="FFFFFF"/>
        <w:spacing w:line="360" w:lineRule="auto"/>
        <w:jc w:val="left"/>
        <w:rPr>
          <w:sz w:val="22"/>
          <w:szCs w:val="22"/>
        </w:rPr>
      </w:pPr>
      <w:r w:rsidRPr="00E95856">
        <w:rPr>
          <w:sz w:val="22"/>
          <w:szCs w:val="22"/>
        </w:rPr>
        <w:t>umożliwienie dostępu do pełnych danych analitycznych wszystkim zainteresowanym użytkownikom,</w:t>
      </w:r>
    </w:p>
    <w:p w14:paraId="7079DA24" w14:textId="77777777" w:rsidR="002C3615" w:rsidRPr="00E95856" w:rsidRDefault="002C3615" w:rsidP="00E95856">
      <w:pPr>
        <w:pStyle w:val="Akapitzlist"/>
        <w:numPr>
          <w:ilvl w:val="0"/>
          <w:numId w:val="76"/>
        </w:numPr>
        <w:shd w:val="clear" w:color="auto" w:fill="FFFFFF"/>
        <w:spacing w:line="360" w:lineRule="auto"/>
        <w:jc w:val="left"/>
        <w:rPr>
          <w:sz w:val="22"/>
          <w:szCs w:val="22"/>
        </w:rPr>
      </w:pPr>
      <w:r w:rsidRPr="00E95856">
        <w:rPr>
          <w:sz w:val="22"/>
          <w:szCs w:val="22"/>
        </w:rPr>
        <w:t>zapewnienie większej elastyczności korzystania z danych, w zależności od potrzeb odbiorcy,</w:t>
      </w:r>
    </w:p>
    <w:p w14:paraId="0DB2781D" w14:textId="77777777" w:rsidR="002C3615" w:rsidRPr="00E95856" w:rsidRDefault="002C3615" w:rsidP="00E95856">
      <w:pPr>
        <w:pStyle w:val="Akapitzlist"/>
        <w:numPr>
          <w:ilvl w:val="0"/>
          <w:numId w:val="76"/>
        </w:numPr>
        <w:shd w:val="clear" w:color="auto" w:fill="FFFFFF"/>
        <w:spacing w:line="360" w:lineRule="auto"/>
        <w:jc w:val="left"/>
        <w:rPr>
          <w:sz w:val="22"/>
          <w:szCs w:val="22"/>
        </w:rPr>
      </w:pPr>
      <w:r w:rsidRPr="00E95856">
        <w:rPr>
          <w:sz w:val="22"/>
          <w:szCs w:val="22"/>
        </w:rPr>
        <w:t>oddzielenie warstwy interpretacyjnej (raport) od warstwy eksploracyjnej (dane online).</w:t>
      </w:r>
    </w:p>
    <w:p w14:paraId="12B6ACB5" w14:textId="77777777" w:rsidR="002C3615" w:rsidRPr="002C3615" w:rsidRDefault="002C3615" w:rsidP="002C3615">
      <w:pPr>
        <w:shd w:val="clear" w:color="auto" w:fill="FFFFFF"/>
        <w:spacing w:before="240" w:line="360" w:lineRule="auto"/>
        <w:jc w:val="left"/>
      </w:pPr>
      <w:r w:rsidRPr="002C3615">
        <w:t xml:space="preserve">W efekcie raport stanowi </w:t>
      </w:r>
      <w:r w:rsidRPr="002C3615">
        <w:rPr>
          <w:b/>
          <w:bCs/>
        </w:rPr>
        <w:t>kompaktowe i syntetyczne źródło wiedzy o rynku zamówień publicznych</w:t>
      </w:r>
      <w:r w:rsidRPr="002C3615">
        <w:t xml:space="preserve">, natomiast udostępnione równolegle dane online umożliwiają prowadzenie </w:t>
      </w:r>
      <w:r w:rsidRPr="002C3615">
        <w:rPr>
          <w:b/>
          <w:bCs/>
        </w:rPr>
        <w:t>pogłębionych analiz i własnych badań</w:t>
      </w:r>
      <w:r w:rsidRPr="002C3615">
        <w:t>.</w:t>
      </w:r>
    </w:p>
    <w:p w14:paraId="1595D502" w14:textId="421563ED" w:rsidR="004B3145" w:rsidRPr="004B3145" w:rsidRDefault="004B3145" w:rsidP="00D06180">
      <w:pPr>
        <w:pStyle w:val="Nagwek2"/>
      </w:pPr>
      <w:bookmarkStart w:id="28" w:name="_Toc233203259"/>
      <w:r w:rsidRPr="004B3145">
        <w:t>I.1. Charakterystyka rynku zamówień publicznych</w:t>
      </w:r>
      <w:bookmarkEnd w:id="23"/>
      <w:bookmarkEnd w:id="28"/>
    </w:p>
    <w:p w14:paraId="75E25340" w14:textId="4DA9C5FC" w:rsidR="00BA34F5" w:rsidRPr="00BA34F5" w:rsidRDefault="00BA34F5" w:rsidP="006C68AB">
      <w:pPr>
        <w:shd w:val="clear" w:color="auto" w:fill="FFFFFF"/>
        <w:spacing w:before="120" w:line="360" w:lineRule="auto"/>
        <w:jc w:val="left"/>
      </w:pPr>
      <w:bookmarkStart w:id="29" w:name="_Toc64451849"/>
      <w:r w:rsidRPr="00BA34F5">
        <w:t xml:space="preserve">Rok 2025 potwierdził utrzymującą się wysoką skalę rynku zamówień publicznych oraz jego istotne znaczenie makroekonomiczne. Wartość zamówień udzielonych z zastosowaniem </w:t>
      </w:r>
      <w:r w:rsidR="006D0F7F" w:rsidRPr="000C77E4">
        <w:t>ustaw</w:t>
      </w:r>
      <w:r w:rsidR="0094681A">
        <w:t>y</w:t>
      </w:r>
      <w:r w:rsidR="006D0F7F" w:rsidRPr="000C77E4">
        <w:t xml:space="preserve"> z dnia 11 września 2019 r. – Prawo zamówień publicznych (Dz.U. z</w:t>
      </w:r>
      <w:r w:rsidR="006D0F7F">
        <w:t> </w:t>
      </w:r>
      <w:r w:rsidR="006D0F7F" w:rsidRPr="000C77E4">
        <w:t>2024</w:t>
      </w:r>
      <w:r w:rsidR="006D0F7F">
        <w:t> </w:t>
      </w:r>
      <w:r w:rsidR="006D0F7F" w:rsidRPr="000C77E4">
        <w:t>r. poz. 1320, z późn. zm.), zwan</w:t>
      </w:r>
      <w:r w:rsidR="0094681A">
        <w:t>ej</w:t>
      </w:r>
      <w:r w:rsidR="006D0F7F" w:rsidRPr="000C77E4">
        <w:t xml:space="preserve"> dalej „ustawą Prawo zamówień publicznych”, „ustawą Pzp” lub „Pzp”, </w:t>
      </w:r>
      <w:r w:rsidRPr="00BA34F5">
        <w:t xml:space="preserve">wyniosła </w:t>
      </w:r>
      <w:r w:rsidRPr="00BA34F5">
        <w:rPr>
          <w:b/>
          <w:bCs/>
        </w:rPr>
        <w:t>350,2 mld zł</w:t>
      </w:r>
      <w:r w:rsidRPr="00BA34F5">
        <w:t xml:space="preserve">, co oznacza dalszy wzrost rok do roku, przy udziale rynku zamówień publicznych na poziomie </w:t>
      </w:r>
      <w:r w:rsidRPr="00BA34F5">
        <w:rPr>
          <w:b/>
          <w:bCs/>
        </w:rPr>
        <w:t>8,99% PKB</w:t>
      </w:r>
      <w:r w:rsidRPr="00BA34F5">
        <w:t xml:space="preserve">. Łączna wartość rynku, obejmująca również </w:t>
      </w:r>
      <w:r w:rsidRPr="00BA34F5">
        <w:lastRenderedPageBreak/>
        <w:t xml:space="preserve">zamówienia udzielane na podstawie </w:t>
      </w:r>
      <w:proofErr w:type="spellStart"/>
      <w:r w:rsidRPr="00BA34F5">
        <w:t>wyłączeń</w:t>
      </w:r>
      <w:proofErr w:type="spellEnd"/>
      <w:r w:rsidRPr="00BA34F5">
        <w:t xml:space="preserve"> ustawowych, osiągnęła </w:t>
      </w:r>
      <w:r w:rsidRPr="00BA34F5">
        <w:rPr>
          <w:b/>
          <w:bCs/>
        </w:rPr>
        <w:t>595,3 mld zł</w:t>
      </w:r>
      <w:r w:rsidRPr="00BA34F5">
        <w:t>, potwierdzając istotny wpływ wydatków publicznych na gospodarkę.</w:t>
      </w:r>
    </w:p>
    <w:p w14:paraId="5D58B519" w14:textId="77777777" w:rsidR="00BA34F5" w:rsidRPr="00BA34F5" w:rsidRDefault="00BA34F5" w:rsidP="006C68AB">
      <w:pPr>
        <w:shd w:val="clear" w:color="auto" w:fill="FFFFFF"/>
        <w:spacing w:before="120" w:line="360" w:lineRule="auto"/>
        <w:jc w:val="left"/>
      </w:pPr>
      <w:r w:rsidRPr="00BA34F5">
        <w:t>Struktura rynku w 2025 r. uległa wyraźnemu przesunięciu. Dostawy stały się dominującą kategorią zarówno pod względem wartości (40%), jak i liczby udzielonych zamówień (44%). Jednocześnie nastąpił spadek udziału robót budowlanych – do 33% wartości i 20% liczby zamówień – przy stabilnym udziale usług w wartości (27%) i rosnącym ich znaczeniu ilościowym (36%). Zmiany te wskazują na ograniczenie skali dużych kontraktów inwestycyjnych.</w:t>
      </w:r>
    </w:p>
    <w:p w14:paraId="3DD17915" w14:textId="77777777" w:rsidR="00BA34F5" w:rsidRPr="00BA34F5" w:rsidRDefault="00BA34F5" w:rsidP="006C68AB">
      <w:pPr>
        <w:shd w:val="clear" w:color="auto" w:fill="FFFFFF"/>
        <w:spacing w:before="120" w:line="360" w:lineRule="auto"/>
        <w:jc w:val="left"/>
      </w:pPr>
      <w:r w:rsidRPr="00BA34F5">
        <w:t>Po stronie wykonawczej obserwowany jest wzrost intensywności udziału w rynku – przy stabilnej liczbie aktywnych wykonawców zwiększyła się przeciętna liczba uzyskiwanych zamówień, co może świadczyć o postępującej koncentracji portfeli zamówień. W segmencie zamówień sektorowych odnotowano wyraźny wzrost liczby postępowań, przy jednoczesnym spadku ich udziału w wartości rynku, co wskazuje na większe rozdrobnienie kontraktów. Odmienny charakter miały zamówienia w dziedzinach obronności i bezpieczeństwa – ich liczba wzrosła, natomiast łączna wartość uległa obniżeniu, co przełożyło się na niższe średnie wartości jednostkowe zamówień.</w:t>
      </w:r>
    </w:p>
    <w:p w14:paraId="46985123" w14:textId="77777777" w:rsidR="00BA34F5" w:rsidRPr="00BA34F5" w:rsidRDefault="00BA34F5" w:rsidP="006C68AB">
      <w:pPr>
        <w:shd w:val="clear" w:color="auto" w:fill="FFFFFF"/>
        <w:spacing w:before="120" w:line="360" w:lineRule="auto"/>
        <w:jc w:val="left"/>
      </w:pPr>
      <w:r w:rsidRPr="00BA34F5">
        <w:t>W 2025 r. zamówienia in-</w:t>
      </w:r>
      <w:proofErr w:type="spellStart"/>
      <w:r w:rsidRPr="00BA34F5">
        <w:t>house</w:t>
      </w:r>
      <w:proofErr w:type="spellEnd"/>
      <w:r w:rsidRPr="00BA34F5">
        <w:t xml:space="preserve"> utrzymały istotną rolę w segmencie zamówień niekonkurencyjnych, przy zróżnicowanych trendach wartościowych. Poniżej progów unijnych odnotowano dalszy wzrost skali ich wykorzystania – zarówno pod względem liczby postępowań, jak i łącznej wartości, która przekroczyła 577 mln zł.</w:t>
      </w:r>
    </w:p>
    <w:p w14:paraId="6FFA1225" w14:textId="05BE954B" w:rsidR="00BA34F5" w:rsidRPr="00BA34F5" w:rsidRDefault="00BA34F5" w:rsidP="006C68AB">
      <w:pPr>
        <w:shd w:val="clear" w:color="auto" w:fill="FFFFFF"/>
        <w:spacing w:before="120" w:line="360" w:lineRule="auto"/>
        <w:jc w:val="left"/>
      </w:pPr>
      <w:r w:rsidRPr="00BA34F5">
        <w:t xml:space="preserve">Rynek pozostaje silnie zdecentralizowany organizacyjnie. Zdecydowana większość postępowań była prowadzona samodzielnie przez zamawiających, a ponad połowa podmiotów udzielała zamówień w reżimie ustawy Pzp. Jednocześnie utrzymuje się bardzo wysoki wolumen zamówień realizowanych poza reżimem ustawy Prawo zamówień publicznych, na podstawie </w:t>
      </w:r>
      <w:proofErr w:type="spellStart"/>
      <w:r w:rsidRPr="00BA34F5">
        <w:t>wyłączeń</w:t>
      </w:r>
      <w:proofErr w:type="spellEnd"/>
      <w:r w:rsidRPr="00BA34F5">
        <w:t xml:space="preserve"> przewidzianych w przepisach szczególnych. W 2025 r. wartość tych zamówień stanowiła blisko połowę całkowitych wydatków na zamówienia publiczne, co oznacza, że Prezes Urzędu Zamówień Publicznych</w:t>
      </w:r>
      <w:r w:rsidR="009D669F">
        <w:t>, zwany dalej „Prezesem Urzędu”,</w:t>
      </w:r>
      <w:r w:rsidRPr="00BA34F5">
        <w:t xml:space="preserve"> nie dysponuje pełnym wglądem ani w strukturę przedmiotową, ani w tryb, warunki oraz efektywność wydatkowania znacznej części środków publicznych.</w:t>
      </w:r>
    </w:p>
    <w:p w14:paraId="2782AB02" w14:textId="77777777" w:rsidR="00BA34F5" w:rsidRPr="00BA34F5" w:rsidRDefault="00BA34F5" w:rsidP="006C68AB">
      <w:pPr>
        <w:shd w:val="clear" w:color="auto" w:fill="FFFFFF"/>
        <w:spacing w:before="120" w:line="360" w:lineRule="auto"/>
        <w:jc w:val="left"/>
      </w:pPr>
      <w:r w:rsidRPr="00BA34F5">
        <w:t>Zjawisko to ma istotne znaczenie systemowe. Ogranicza bowiem zdolność do formułowania w pełni miarodajnych wniosków dotyczących konkurencyjności rynku, stopnia wykorzystania instrumentów projakościowych oraz rzeczywistej skali stosowania trybów niekonkurencyjnych w sektorze publicznym. W tym kontekście rosnące znaczenie zamówień realizowanych poza ustawą Pzp pozostaje jednym z kluczowych wyzwań dla przejrzystości, porównywalności i strategicznego zarządzania systemem zamówień publicznych w Polsce.</w:t>
      </w:r>
    </w:p>
    <w:p w14:paraId="35D3DC93" w14:textId="782C3A20" w:rsidR="004B3145" w:rsidRPr="004B3145" w:rsidRDefault="004B3145" w:rsidP="00270CF3">
      <w:pPr>
        <w:pStyle w:val="Nagwek3"/>
      </w:pPr>
      <w:bookmarkStart w:id="30" w:name="_Toc233203260"/>
      <w:r w:rsidRPr="00655965">
        <w:lastRenderedPageBreak/>
        <w:t>I.1.1. Wielkość rynku</w:t>
      </w:r>
      <w:bookmarkEnd w:id="29"/>
      <w:bookmarkEnd w:id="30"/>
    </w:p>
    <w:p w14:paraId="0397F1FC" w14:textId="45D27DFF" w:rsidR="009147DA" w:rsidRDefault="009147DA" w:rsidP="009147DA">
      <w:pPr>
        <w:pStyle w:val="Legenda"/>
      </w:pPr>
      <w:bookmarkStart w:id="31" w:name="_Toc230687664"/>
      <w:bookmarkStart w:id="32" w:name="_Toc233203322"/>
      <w:r w:rsidRPr="00BA1095">
        <w:t xml:space="preserve">Rys. </w:t>
      </w:r>
      <w:r>
        <w:fldChar w:fldCharType="begin"/>
      </w:r>
      <w:r>
        <w:instrText>SEQ Rys. \* ARABIC</w:instrText>
      </w:r>
      <w:r>
        <w:fldChar w:fldCharType="separate"/>
      </w:r>
      <w:r w:rsidR="00017C65">
        <w:rPr>
          <w:noProof/>
        </w:rPr>
        <w:t>1</w:t>
      </w:r>
      <w:r>
        <w:fldChar w:fldCharType="end"/>
      </w:r>
      <w:r w:rsidRPr="00BA1095">
        <w:t xml:space="preserve">. </w:t>
      </w:r>
      <w:r>
        <w:t>Liczba i w</w:t>
      </w:r>
      <w:r w:rsidRPr="00BA1095">
        <w:t>artość zamówień publicznych udzielonych z zastosowaniem przepisów ustawy Pzp w latach 201</w:t>
      </w:r>
      <w:r>
        <w:t>4</w:t>
      </w:r>
      <w:r w:rsidRPr="00BA1095">
        <w:t xml:space="preserve"> – 202</w:t>
      </w:r>
      <w:r>
        <w:t>5</w:t>
      </w:r>
      <w:bookmarkEnd w:id="31"/>
      <w:bookmarkEnd w:id="32"/>
    </w:p>
    <w:p w14:paraId="772B024C" w14:textId="77777777" w:rsidR="009147DA" w:rsidRDefault="009147DA" w:rsidP="009147DA">
      <w:pPr>
        <w:spacing w:line="360" w:lineRule="auto"/>
        <w:jc w:val="left"/>
        <w:rPr>
          <w:szCs w:val="22"/>
        </w:rPr>
      </w:pPr>
      <w:r>
        <w:rPr>
          <w:noProof/>
          <w:szCs w:val="22"/>
        </w:rPr>
        <w:drawing>
          <wp:inline distT="0" distB="0" distL="0" distR="0" wp14:anchorId="164F7701" wp14:editId="2401E4D4">
            <wp:extent cx="5612130" cy="3269895"/>
            <wp:effectExtent l="0" t="0" r="7620" b="6985"/>
            <wp:docPr id="1148985213" name="Wykres 4" descr="Liczba i wartość zamówień publicznych udzielonych z zastosowaniem przepisów ustawy Pzp w latach 2014 – 2025" title="Liczba i wartość zamówień publicznych udzielonych z zastosowaniem przepisów ustawy Pzp w latach 2014 – 20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8040ED3" w14:textId="0140F582" w:rsidR="009147DA" w:rsidRDefault="009147DA" w:rsidP="009147DA">
      <w:pPr>
        <w:shd w:val="clear" w:color="auto" w:fill="FFFFFF"/>
        <w:spacing w:before="240" w:line="360" w:lineRule="auto"/>
        <w:jc w:val="left"/>
      </w:pPr>
      <w:r w:rsidRPr="009F7D85">
        <w:t>W 202</w:t>
      </w:r>
      <w:r>
        <w:t>5</w:t>
      </w:r>
      <w:r w:rsidRPr="009F7D85">
        <w:t xml:space="preserve"> r. wartość rynku zamówień publicznych realizowanych z zastosowaniem przepisów ustawy Pzp, </w:t>
      </w:r>
      <w:r>
        <w:t xml:space="preserve">ustalona w oparciu </w:t>
      </w:r>
      <w:r w:rsidRPr="009F7D85">
        <w:t xml:space="preserve">o dane </w:t>
      </w:r>
      <w:r>
        <w:t>wynikające z</w:t>
      </w:r>
      <w:r w:rsidRPr="009F7D85">
        <w:t xml:space="preserve"> rocznych sprawozda</w:t>
      </w:r>
      <w:r>
        <w:t>ń</w:t>
      </w:r>
      <w:r w:rsidRPr="009F7D85">
        <w:t xml:space="preserve"> o </w:t>
      </w:r>
      <w:r>
        <w:t xml:space="preserve">udzielonych </w:t>
      </w:r>
      <w:r w:rsidRPr="009F7D85">
        <w:t xml:space="preserve">zamówieniach wyniosła ok. </w:t>
      </w:r>
      <w:r>
        <w:t>350</w:t>
      </w:r>
      <w:r w:rsidRPr="009F7D85">
        <w:t>,</w:t>
      </w:r>
      <w:r>
        <w:t>2</w:t>
      </w:r>
      <w:r w:rsidRPr="009F7D85">
        <w:t xml:space="preserve"> mld zł (w 202</w:t>
      </w:r>
      <w:r>
        <w:t>4</w:t>
      </w:r>
      <w:r w:rsidRPr="009F7D85">
        <w:t xml:space="preserve"> r. </w:t>
      </w:r>
      <w:r>
        <w:t>330,4</w:t>
      </w:r>
      <w:r w:rsidRPr="009F7D85">
        <w:t xml:space="preserve"> mld zł).</w:t>
      </w:r>
    </w:p>
    <w:p w14:paraId="5EB9A02C" w14:textId="77777777" w:rsidR="009147DA" w:rsidRPr="009915C0" w:rsidRDefault="009147DA" w:rsidP="009147DA">
      <w:pPr>
        <w:shd w:val="clear" w:color="auto" w:fill="FFFFFF"/>
        <w:spacing w:line="360" w:lineRule="auto"/>
        <w:jc w:val="left"/>
      </w:pPr>
      <w:r w:rsidRPr="009915C0">
        <w:t xml:space="preserve">W tym wartość zamówień na usługi społeczne i inne szczególne usługi </w:t>
      </w:r>
      <w:r>
        <w:t>to kwota</w:t>
      </w:r>
      <w:r w:rsidRPr="009915C0">
        <w:t xml:space="preserve"> </w:t>
      </w:r>
      <w:r w:rsidRPr="003768AC">
        <w:t>5,6 mld</w:t>
      </w:r>
      <w:r w:rsidRPr="003768AC">
        <w:rPr>
          <w:b/>
          <w:bCs/>
        </w:rPr>
        <w:t xml:space="preserve"> </w:t>
      </w:r>
      <w:r w:rsidRPr="003768AC">
        <w:t xml:space="preserve">zł </w:t>
      </w:r>
      <w:r>
        <w:br/>
      </w:r>
      <w:r w:rsidRPr="003768AC">
        <w:t>(w 2024 r. – było to 4,9 mld zł).</w:t>
      </w:r>
    </w:p>
    <w:p w14:paraId="1242AAED" w14:textId="77777777" w:rsidR="009147DA" w:rsidRPr="00C866A1" w:rsidRDefault="009147DA" w:rsidP="009147DA">
      <w:pPr>
        <w:shd w:val="clear" w:color="auto" w:fill="FFFFFF"/>
        <w:spacing w:before="120" w:line="360" w:lineRule="auto"/>
        <w:jc w:val="left"/>
      </w:pPr>
      <w:r w:rsidRPr="00C866A1">
        <w:t xml:space="preserve">Oszacowana wartość zamówień udzielonych z zastosowaniem przepisów ustawy Pzp stanowiła ok. </w:t>
      </w:r>
      <w:r>
        <w:t>8</w:t>
      </w:r>
      <w:r w:rsidRPr="00C866A1">
        <w:t>,</w:t>
      </w:r>
      <w:r>
        <w:t>99</w:t>
      </w:r>
      <w:r w:rsidRPr="00C866A1">
        <w:t>% produktu krajowego brutto (PKB) z 202</w:t>
      </w:r>
      <w:r>
        <w:t>5</w:t>
      </w:r>
      <w:r w:rsidRPr="00C866A1">
        <w:t xml:space="preserve"> r.</w:t>
      </w:r>
      <w:r w:rsidRPr="00C866A1">
        <w:rPr>
          <w:vertAlign w:val="superscript"/>
        </w:rPr>
        <w:footnoteReference w:id="2"/>
      </w:r>
      <w:r w:rsidRPr="00C866A1">
        <w:t xml:space="preserve"> </w:t>
      </w:r>
    </w:p>
    <w:p w14:paraId="22A41201" w14:textId="77B647C3" w:rsidR="009147DA" w:rsidRDefault="009147DA" w:rsidP="009147DA">
      <w:pPr>
        <w:shd w:val="clear" w:color="auto" w:fill="FFFFFF"/>
        <w:spacing w:before="120" w:line="360" w:lineRule="auto"/>
        <w:jc w:val="left"/>
      </w:pPr>
      <w:r>
        <w:t xml:space="preserve">Zamówienia </w:t>
      </w:r>
      <w:r w:rsidRPr="009915C0">
        <w:t>udziel</w:t>
      </w:r>
      <w:r>
        <w:t>one</w:t>
      </w:r>
      <w:r w:rsidRPr="009915C0">
        <w:t xml:space="preserve"> od progu 1</w:t>
      </w:r>
      <w:r>
        <w:t>3</w:t>
      </w:r>
      <w:r w:rsidRPr="009915C0">
        <w:t xml:space="preserve">0 000 zł do progów unijnych </w:t>
      </w:r>
      <w:r>
        <w:t>wyniosły</w:t>
      </w:r>
      <w:r w:rsidRPr="009915C0">
        <w:t xml:space="preserve"> </w:t>
      </w:r>
      <w:r w:rsidRPr="00274643">
        <w:t xml:space="preserve">ok. </w:t>
      </w:r>
      <w:r>
        <w:t>82</w:t>
      </w:r>
      <w:r w:rsidRPr="00274643">
        <w:t>,0 mld zł (w 2024 r. – 75,6 mld zł).</w:t>
      </w:r>
    </w:p>
    <w:p w14:paraId="0B5363EB" w14:textId="77777777" w:rsidR="009147DA" w:rsidRPr="002B6985" w:rsidRDefault="009147DA" w:rsidP="009147DA">
      <w:pPr>
        <w:shd w:val="clear" w:color="auto" w:fill="FFFFFF"/>
        <w:spacing w:before="120" w:line="360" w:lineRule="auto"/>
        <w:jc w:val="left"/>
      </w:pPr>
      <w:r w:rsidRPr="009915C0">
        <w:t xml:space="preserve">W zamówieniach o wartości równej lub przekraczającej progi unijne kwota udzielonych zamówień </w:t>
      </w:r>
      <w:r>
        <w:t>stanowiła</w:t>
      </w:r>
      <w:r w:rsidRPr="009915C0">
        <w:t xml:space="preserve"> </w:t>
      </w:r>
      <w:r w:rsidRPr="003B58B9">
        <w:t>ok. 268,2 mld zł (w 2024 r. – 254,8 mld zł).</w:t>
      </w:r>
      <w:r w:rsidRPr="009915C0">
        <w:t xml:space="preserve"> </w:t>
      </w:r>
    </w:p>
    <w:p w14:paraId="192CE0A7" w14:textId="77777777" w:rsidR="009147DA" w:rsidRPr="00DF7BC9" w:rsidRDefault="009147DA" w:rsidP="009147DA">
      <w:pPr>
        <w:spacing w:before="240" w:line="360" w:lineRule="auto"/>
        <w:jc w:val="left"/>
        <w:rPr>
          <w:szCs w:val="22"/>
        </w:rPr>
      </w:pPr>
      <w:r>
        <w:rPr>
          <w:szCs w:val="22"/>
        </w:rPr>
        <w:t>Natomiast w</w:t>
      </w:r>
      <w:r w:rsidRPr="00B52917">
        <w:rPr>
          <w:szCs w:val="22"/>
        </w:rPr>
        <w:t xml:space="preserve">artość zamówień udzielanych na podstawie niektórych </w:t>
      </w:r>
      <w:proofErr w:type="spellStart"/>
      <w:r w:rsidRPr="00B52917">
        <w:rPr>
          <w:szCs w:val="22"/>
        </w:rPr>
        <w:t>wyłączeń</w:t>
      </w:r>
      <w:proofErr w:type="spellEnd"/>
      <w:r w:rsidRPr="00B52917">
        <w:rPr>
          <w:szCs w:val="22"/>
        </w:rPr>
        <w:t xml:space="preserve"> obowiązku stosowania przepisów ustawy Pzp wyniosła </w:t>
      </w:r>
      <w:r w:rsidRPr="00222435">
        <w:rPr>
          <w:szCs w:val="22"/>
        </w:rPr>
        <w:t>ok. 245,1 mld zł (w 2024 r. – ok. 256,9 mld zł).</w:t>
      </w:r>
    </w:p>
    <w:p w14:paraId="6C0029B5" w14:textId="097956EE" w:rsidR="00C415D2" w:rsidRPr="00EB08FB" w:rsidRDefault="009147DA" w:rsidP="00EB08FB">
      <w:pPr>
        <w:spacing w:before="120" w:line="360" w:lineRule="auto"/>
        <w:jc w:val="left"/>
        <w:rPr>
          <w:szCs w:val="22"/>
        </w:rPr>
      </w:pPr>
      <w:r w:rsidRPr="00E5480A">
        <w:rPr>
          <w:szCs w:val="22"/>
        </w:rPr>
        <w:lastRenderedPageBreak/>
        <w:t xml:space="preserve">W oparciu o dane dostępne w Urzędzie Zamówień Publicznych ustalono przybliżoną wartość całego rynku zamówień publicznych (obejmującą zarówno zamówienia udzielane w procedurach określonych ustawą Pzp, jak i na podstawie </w:t>
      </w:r>
      <w:proofErr w:type="spellStart"/>
      <w:r w:rsidRPr="00E5480A">
        <w:rPr>
          <w:szCs w:val="22"/>
        </w:rPr>
        <w:t>wyłączeń</w:t>
      </w:r>
      <w:proofErr w:type="spellEnd"/>
      <w:r w:rsidRPr="00E5480A">
        <w:rPr>
          <w:szCs w:val="22"/>
        </w:rPr>
        <w:t xml:space="preserve"> z obowiązku stosowania ustawy Pzp), która łącznie w 2025 r. kształtowała się na poziomie ok. 595,3 mld zł (w 2024 r. – 587,0 mld zł).</w:t>
      </w:r>
    </w:p>
    <w:p w14:paraId="5BB03336" w14:textId="317C8F30" w:rsidR="00077A72" w:rsidRPr="00077A72" w:rsidRDefault="00077A72" w:rsidP="00270CF3">
      <w:pPr>
        <w:pStyle w:val="Nagwek3"/>
      </w:pPr>
      <w:bookmarkStart w:id="33" w:name="_Toc64451850"/>
      <w:bookmarkStart w:id="34" w:name="_Toc233203261"/>
      <w:bookmarkEnd w:id="18"/>
      <w:bookmarkEnd w:id="19"/>
      <w:bookmarkEnd w:id="20"/>
      <w:bookmarkEnd w:id="21"/>
      <w:bookmarkEnd w:id="22"/>
      <w:r w:rsidRPr="00E84BE2">
        <w:t>I.1.2. Zamawiający</w:t>
      </w:r>
      <w:bookmarkEnd w:id="33"/>
      <w:bookmarkEnd w:id="34"/>
    </w:p>
    <w:p w14:paraId="6E61E45B" w14:textId="77777777" w:rsidR="00EB08FB" w:rsidRPr="00D11DF4" w:rsidRDefault="00EB08FB" w:rsidP="0074455D">
      <w:pPr>
        <w:shd w:val="clear" w:color="auto" w:fill="FFFFFF"/>
        <w:spacing w:before="120" w:line="360" w:lineRule="auto"/>
        <w:jc w:val="left"/>
      </w:pPr>
      <w:r w:rsidRPr="00D11DF4">
        <w:t>W 202</w:t>
      </w:r>
      <w:r>
        <w:t>5</w:t>
      </w:r>
      <w:r w:rsidRPr="00D11DF4">
        <w:t xml:space="preserve"> r. Prezesowi UZP przekazano </w:t>
      </w:r>
      <w:r w:rsidRPr="00A0787B">
        <w:t>32 649 rocznych sprawozdań</w:t>
      </w:r>
      <w:r>
        <w:t>.</w:t>
      </w:r>
      <w:r w:rsidRPr="00D11DF4">
        <w:t xml:space="preserve"> </w:t>
      </w:r>
      <w:r>
        <w:t xml:space="preserve">Wszystkie dotyczyły </w:t>
      </w:r>
      <w:r w:rsidRPr="00D11DF4">
        <w:t xml:space="preserve">zamówień udzielonych na podstawie przepisów </w:t>
      </w:r>
      <w:r>
        <w:t xml:space="preserve">aktualnie obowiązującej </w:t>
      </w:r>
      <w:r w:rsidRPr="00D11DF4">
        <w:t xml:space="preserve">ustawy Pzp (z 2019 r.). </w:t>
      </w:r>
    </w:p>
    <w:p w14:paraId="3C826DBF" w14:textId="26EBEAE8" w:rsidR="00EB08FB" w:rsidRPr="008E7D44" w:rsidRDefault="00EB08FB" w:rsidP="0074455D">
      <w:pPr>
        <w:shd w:val="clear" w:color="auto" w:fill="FFFFFF" w:themeFill="background1"/>
        <w:spacing w:before="120" w:line="360" w:lineRule="auto"/>
        <w:jc w:val="left"/>
      </w:pPr>
      <w:r>
        <w:t xml:space="preserve">W 2025 r. </w:t>
      </w:r>
      <w:r w:rsidRPr="009F7E78">
        <w:t xml:space="preserve">ok. </w:t>
      </w:r>
      <w:r>
        <w:t>49</w:t>
      </w:r>
      <w:r w:rsidRPr="009F7E78">
        <w:t>% zamawiających</w:t>
      </w:r>
      <w:r w:rsidRPr="00431812">
        <w:t xml:space="preserve"> udzielało zamówień na podstawie procedur określonych w ustawie Pzp</w:t>
      </w:r>
      <w:r>
        <w:t>, natomiast p</w:t>
      </w:r>
      <w:r w:rsidRPr="00431812">
        <w:t xml:space="preserve">ozostała część zamawiających </w:t>
      </w:r>
      <w:r>
        <w:t xml:space="preserve">korzystała z </w:t>
      </w:r>
      <w:proofErr w:type="spellStart"/>
      <w:r w:rsidRPr="00431812">
        <w:t>wyłączeń</w:t>
      </w:r>
      <w:proofErr w:type="spellEnd"/>
      <w:r w:rsidRPr="00431812">
        <w:t xml:space="preserve"> ustawowych.</w:t>
      </w:r>
    </w:p>
    <w:p w14:paraId="3A0696AD" w14:textId="051D3DE6" w:rsidR="00C415D2" w:rsidRPr="00EB08FB" w:rsidRDefault="00EB08FB" w:rsidP="0074455D">
      <w:pPr>
        <w:spacing w:before="120" w:line="360" w:lineRule="auto"/>
        <w:jc w:val="left"/>
        <w:rPr>
          <w:szCs w:val="22"/>
        </w:rPr>
      </w:pPr>
      <w:r w:rsidRPr="004714A6">
        <w:rPr>
          <w:szCs w:val="22"/>
        </w:rPr>
        <w:t xml:space="preserve">Z ogłoszeń o wyniku postępowania opublikowanych w 2025 r. w BZP wynika, że zdecydowana większość postępowań organizowanych </w:t>
      </w:r>
      <w:r w:rsidR="00B80698">
        <w:rPr>
          <w:szCs w:val="22"/>
        </w:rPr>
        <w:t>była</w:t>
      </w:r>
      <w:r w:rsidR="00B80698" w:rsidRPr="004714A6">
        <w:rPr>
          <w:szCs w:val="22"/>
        </w:rPr>
        <w:t xml:space="preserve"> </w:t>
      </w:r>
      <w:r w:rsidRPr="004714A6">
        <w:rPr>
          <w:szCs w:val="22"/>
        </w:rPr>
        <w:t>przez zamawiających samodzielnie – 96%.</w:t>
      </w:r>
    </w:p>
    <w:p w14:paraId="57C5280B" w14:textId="77777777" w:rsidR="00EB08FB" w:rsidRPr="00077A72" w:rsidRDefault="00EB08FB" w:rsidP="00EB08FB">
      <w:pPr>
        <w:pStyle w:val="Nagwek3"/>
      </w:pPr>
      <w:bookmarkStart w:id="35" w:name="_Toc231987325"/>
      <w:bookmarkStart w:id="36" w:name="_Toc233203262"/>
      <w:r w:rsidRPr="000075FB">
        <w:t xml:space="preserve">I.1.3. </w:t>
      </w:r>
      <w:r>
        <w:t>Wykonawcy</w:t>
      </w:r>
      <w:bookmarkEnd w:id="35"/>
      <w:bookmarkEnd w:id="36"/>
    </w:p>
    <w:p w14:paraId="419E1B18" w14:textId="3068CDB7" w:rsidR="00EB08FB" w:rsidRDefault="00EB08FB" w:rsidP="00EB08FB">
      <w:pPr>
        <w:spacing w:before="120" w:line="360" w:lineRule="auto"/>
        <w:jc w:val="left"/>
      </w:pPr>
      <w:r>
        <w:t>Jak wynika z danych zawartych w ogłoszeniach o wyniku postępowania opublikowanych w 2025 r. w BZP w postępowaniach o wartości mniejszej niż progi unijne w ok. 206 tys. części zamówień wybrano oferty ok. 55 tys. wykonawców. W 2024 r. wybrano</w:t>
      </w:r>
      <w:r w:rsidR="00DB3D67">
        <w:t xml:space="preserve"> </w:t>
      </w:r>
      <w:r w:rsidR="0099378E">
        <w:t xml:space="preserve">oferty </w:t>
      </w:r>
      <w:r>
        <w:t>ok. 52 tys. wykonawców.</w:t>
      </w:r>
    </w:p>
    <w:p w14:paraId="0973DD4F" w14:textId="79A300BB" w:rsidR="00C415D2" w:rsidRPr="00EB08FB" w:rsidRDefault="00EB08FB" w:rsidP="00EF16DF">
      <w:pPr>
        <w:spacing w:before="120" w:line="360" w:lineRule="auto"/>
        <w:jc w:val="left"/>
      </w:pPr>
      <w:r>
        <w:t xml:space="preserve">Średnio ten sam wykonawca wybierany był w 4 zamówieniach (w 2024 r. – 4). </w:t>
      </w:r>
    </w:p>
    <w:p w14:paraId="57377699" w14:textId="3FFACC5C" w:rsidR="00077A72" w:rsidRPr="00077A72" w:rsidRDefault="00077A72" w:rsidP="00270CF3">
      <w:pPr>
        <w:pStyle w:val="Nagwek3"/>
      </w:pPr>
      <w:bookmarkStart w:id="37" w:name="_Toc64451851"/>
      <w:bookmarkStart w:id="38" w:name="_Toc233203263"/>
      <w:r w:rsidRPr="000075FB">
        <w:lastRenderedPageBreak/>
        <w:t>I.1.</w:t>
      </w:r>
      <w:r w:rsidR="00857621">
        <w:t>4</w:t>
      </w:r>
      <w:r w:rsidRPr="000075FB">
        <w:t>. Struktura rynku</w:t>
      </w:r>
      <w:bookmarkEnd w:id="37"/>
      <w:bookmarkEnd w:id="38"/>
    </w:p>
    <w:p w14:paraId="090E9E34" w14:textId="797E5F9D" w:rsidR="00EB08FB" w:rsidRPr="00E561B8" w:rsidRDefault="008C1642" w:rsidP="00EB08FB">
      <w:pPr>
        <w:pStyle w:val="Legenda"/>
      </w:pPr>
      <w:bookmarkStart w:id="39" w:name="_Toc233203323"/>
      <w:r w:rsidRPr="00BA1095">
        <w:t xml:space="preserve">Rys. </w:t>
      </w:r>
      <w:r>
        <w:fldChar w:fldCharType="begin"/>
      </w:r>
      <w:r>
        <w:instrText>SEQ Rys. \* ARABIC</w:instrText>
      </w:r>
      <w:r>
        <w:fldChar w:fldCharType="separate"/>
      </w:r>
      <w:r w:rsidR="00017C65">
        <w:rPr>
          <w:noProof/>
        </w:rPr>
        <w:t>2</w:t>
      </w:r>
      <w:r>
        <w:fldChar w:fldCharType="end"/>
      </w:r>
      <w:r w:rsidRPr="00BA1095">
        <w:t xml:space="preserve">. </w:t>
      </w:r>
      <w:r w:rsidR="00EB08FB" w:rsidRPr="00C10922">
        <w:t>Struktura wartości udzielonych zamówień w podziale na rodzaj zamówienia</w:t>
      </w:r>
      <w:bookmarkEnd w:id="39"/>
    </w:p>
    <w:p w14:paraId="10D7E8CA" w14:textId="77777777" w:rsidR="00EB08FB" w:rsidRDefault="00EB08FB" w:rsidP="00EB08FB">
      <w:pPr>
        <w:spacing w:line="360" w:lineRule="auto"/>
        <w:jc w:val="left"/>
        <w:rPr>
          <w:szCs w:val="22"/>
        </w:rPr>
      </w:pPr>
      <w:r>
        <w:rPr>
          <w:noProof/>
          <w:szCs w:val="22"/>
        </w:rPr>
        <w:drawing>
          <wp:inline distT="0" distB="0" distL="0" distR="0" wp14:anchorId="4664D382" wp14:editId="6013493F">
            <wp:extent cx="4572000" cy="2326234"/>
            <wp:effectExtent l="0" t="0" r="0" b="0"/>
            <wp:docPr id="1288976253" name="Wykres 5" descr="Struktura wartości udzielonych zamówień w podziale na rodzaj zamówienia" title="Struktura wartości udzielonych zamówień w podziale na rodzaj zamówienia"/>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60A5431" w14:textId="77777777" w:rsidR="00EB08FB" w:rsidRDefault="00EB08FB" w:rsidP="00EB08FB">
      <w:pPr>
        <w:spacing w:before="240" w:line="360" w:lineRule="auto"/>
        <w:jc w:val="left"/>
        <w:rPr>
          <w:szCs w:val="22"/>
        </w:rPr>
      </w:pPr>
      <w:r w:rsidRPr="00C43A39">
        <w:rPr>
          <w:szCs w:val="22"/>
        </w:rPr>
        <w:t>W 202</w:t>
      </w:r>
      <w:r>
        <w:rPr>
          <w:szCs w:val="22"/>
        </w:rPr>
        <w:t>5</w:t>
      </w:r>
      <w:r w:rsidRPr="00C43A39">
        <w:rPr>
          <w:szCs w:val="22"/>
        </w:rPr>
        <w:t xml:space="preserve"> roku </w:t>
      </w:r>
      <w:r>
        <w:rPr>
          <w:szCs w:val="22"/>
        </w:rPr>
        <w:t xml:space="preserve">ponownie </w:t>
      </w:r>
      <w:r w:rsidRPr="00C43A39">
        <w:rPr>
          <w:szCs w:val="22"/>
        </w:rPr>
        <w:t xml:space="preserve">nastąpiła zmiana trendu – największą część wartości zamówień publicznych stanowiły </w:t>
      </w:r>
      <w:r>
        <w:rPr>
          <w:szCs w:val="22"/>
        </w:rPr>
        <w:t>dostawy</w:t>
      </w:r>
      <w:r w:rsidRPr="00C43A39">
        <w:rPr>
          <w:szCs w:val="22"/>
        </w:rPr>
        <w:t xml:space="preserve">, osiągając </w:t>
      </w:r>
      <w:r>
        <w:rPr>
          <w:szCs w:val="22"/>
        </w:rPr>
        <w:t>40</w:t>
      </w:r>
      <w:r w:rsidRPr="00C43A39">
        <w:rPr>
          <w:szCs w:val="22"/>
        </w:rPr>
        <w:t>% całkowitej wartości (w porównaniu do 3</w:t>
      </w:r>
      <w:r>
        <w:rPr>
          <w:szCs w:val="22"/>
        </w:rPr>
        <w:t>4</w:t>
      </w:r>
      <w:r w:rsidRPr="00C43A39">
        <w:rPr>
          <w:szCs w:val="22"/>
        </w:rPr>
        <w:t xml:space="preserve">% </w:t>
      </w:r>
      <w:r>
        <w:rPr>
          <w:szCs w:val="22"/>
        </w:rPr>
        <w:br/>
      </w:r>
      <w:r w:rsidRPr="00C43A39">
        <w:rPr>
          <w:szCs w:val="22"/>
        </w:rPr>
        <w:t>w 202</w:t>
      </w:r>
      <w:r>
        <w:rPr>
          <w:szCs w:val="22"/>
        </w:rPr>
        <w:t>4</w:t>
      </w:r>
      <w:r w:rsidRPr="00C43A39">
        <w:rPr>
          <w:szCs w:val="22"/>
        </w:rPr>
        <w:t xml:space="preserve"> roku). Udział </w:t>
      </w:r>
      <w:r>
        <w:rPr>
          <w:szCs w:val="22"/>
        </w:rPr>
        <w:t>robót budowlanych</w:t>
      </w:r>
      <w:r w:rsidRPr="00C43A39">
        <w:rPr>
          <w:szCs w:val="22"/>
        </w:rPr>
        <w:t xml:space="preserve"> w ogólnej wartości zamówień spadł z 39% w 202</w:t>
      </w:r>
      <w:r>
        <w:rPr>
          <w:szCs w:val="22"/>
        </w:rPr>
        <w:t>4</w:t>
      </w:r>
      <w:r w:rsidRPr="00C43A39">
        <w:rPr>
          <w:szCs w:val="22"/>
        </w:rPr>
        <w:t xml:space="preserve"> roku do 3</w:t>
      </w:r>
      <w:r>
        <w:rPr>
          <w:szCs w:val="22"/>
        </w:rPr>
        <w:t>3</w:t>
      </w:r>
      <w:r w:rsidRPr="00C43A39">
        <w:rPr>
          <w:szCs w:val="22"/>
        </w:rPr>
        <w:t>% w 202</w:t>
      </w:r>
      <w:r>
        <w:rPr>
          <w:szCs w:val="22"/>
        </w:rPr>
        <w:t>5</w:t>
      </w:r>
      <w:r w:rsidRPr="00C43A39">
        <w:rPr>
          <w:szCs w:val="22"/>
        </w:rPr>
        <w:t xml:space="preserve"> roku. W przypadku usług </w:t>
      </w:r>
      <w:r>
        <w:rPr>
          <w:szCs w:val="22"/>
        </w:rPr>
        <w:t xml:space="preserve">udział pozostał na tym samym poziomie </w:t>
      </w:r>
      <w:r>
        <w:rPr>
          <w:szCs w:val="22"/>
        </w:rPr>
        <w:br/>
        <w:t>co w 2024 roku.</w:t>
      </w:r>
    </w:p>
    <w:p w14:paraId="154CA83B" w14:textId="53ACD8E9" w:rsidR="00EB08FB" w:rsidRPr="007926BA" w:rsidRDefault="008C1642" w:rsidP="00EB08FB">
      <w:pPr>
        <w:pStyle w:val="Legenda"/>
      </w:pPr>
      <w:bookmarkStart w:id="40" w:name="_Toc233203324"/>
      <w:r w:rsidRPr="00BA1095">
        <w:t xml:space="preserve">Rys. </w:t>
      </w:r>
      <w:r>
        <w:fldChar w:fldCharType="begin"/>
      </w:r>
      <w:r>
        <w:instrText>SEQ Rys. \* ARABIC</w:instrText>
      </w:r>
      <w:r>
        <w:fldChar w:fldCharType="separate"/>
      </w:r>
      <w:r w:rsidR="00017C65">
        <w:rPr>
          <w:noProof/>
        </w:rPr>
        <w:t>3</w:t>
      </w:r>
      <w:r>
        <w:fldChar w:fldCharType="end"/>
      </w:r>
      <w:r w:rsidRPr="00BA1095">
        <w:t xml:space="preserve">. </w:t>
      </w:r>
      <w:r w:rsidR="00EB08FB" w:rsidRPr="00CE56CC">
        <w:t>Struktura liczby udzielonych zamówień w podziale na rodzaj zamówienia</w:t>
      </w:r>
      <w:bookmarkEnd w:id="40"/>
    </w:p>
    <w:p w14:paraId="38DE9D66" w14:textId="77777777" w:rsidR="00EB08FB" w:rsidRDefault="00EB08FB" w:rsidP="00EB08FB">
      <w:pPr>
        <w:spacing w:line="360" w:lineRule="auto"/>
        <w:jc w:val="left"/>
        <w:rPr>
          <w:szCs w:val="22"/>
        </w:rPr>
      </w:pPr>
      <w:r>
        <w:rPr>
          <w:noProof/>
          <w:szCs w:val="22"/>
        </w:rPr>
        <w:drawing>
          <wp:inline distT="0" distB="0" distL="0" distR="0" wp14:anchorId="64BBC594" wp14:editId="480680E6">
            <wp:extent cx="4572000" cy="2713939"/>
            <wp:effectExtent l="0" t="0" r="0" b="0"/>
            <wp:docPr id="365169269" name="Wykres 6" descr="Struktura liczby udzielonych zamówień w podziale na rodzaj zamówienia" title="Struktura liczby udzielonych zamówień w podziale na rodzaj zamówienia"/>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5DBB597" w14:textId="7D5FF07A" w:rsidR="00C415D2" w:rsidRDefault="00EB08FB" w:rsidP="00C40C44">
      <w:pPr>
        <w:spacing w:before="240" w:line="360" w:lineRule="auto"/>
        <w:jc w:val="left"/>
        <w:rPr>
          <w:szCs w:val="22"/>
        </w:rPr>
      </w:pPr>
      <w:r w:rsidRPr="00C40C44">
        <w:rPr>
          <w:szCs w:val="22"/>
        </w:rPr>
        <w:t xml:space="preserve">Nie uległa zmianie struktura ilościowa: najwięcej zamówień od kilku lat dotyczy dostaw. </w:t>
      </w:r>
      <w:r>
        <w:rPr>
          <w:szCs w:val="22"/>
        </w:rPr>
        <w:br/>
      </w:r>
      <w:r w:rsidRPr="00C40C44">
        <w:rPr>
          <w:szCs w:val="22"/>
        </w:rPr>
        <w:t>W 202</w:t>
      </w:r>
      <w:r>
        <w:rPr>
          <w:szCs w:val="22"/>
        </w:rPr>
        <w:t>5</w:t>
      </w:r>
      <w:r w:rsidRPr="00C40C44">
        <w:rPr>
          <w:szCs w:val="22"/>
        </w:rPr>
        <w:t xml:space="preserve"> r. było to 4</w:t>
      </w:r>
      <w:r>
        <w:rPr>
          <w:szCs w:val="22"/>
        </w:rPr>
        <w:t>6</w:t>
      </w:r>
      <w:r w:rsidRPr="00C40C44">
        <w:rPr>
          <w:szCs w:val="22"/>
        </w:rPr>
        <w:t>% wszystkich zamówień (w 202</w:t>
      </w:r>
      <w:r>
        <w:rPr>
          <w:szCs w:val="22"/>
        </w:rPr>
        <w:t>3</w:t>
      </w:r>
      <w:r w:rsidRPr="00C40C44">
        <w:rPr>
          <w:szCs w:val="22"/>
        </w:rPr>
        <w:t xml:space="preserve"> r. – 4</w:t>
      </w:r>
      <w:r>
        <w:rPr>
          <w:szCs w:val="22"/>
        </w:rPr>
        <w:t>2</w:t>
      </w:r>
      <w:r w:rsidRPr="00C40C44">
        <w:rPr>
          <w:szCs w:val="22"/>
        </w:rPr>
        <w:t xml:space="preserve">%). </w:t>
      </w:r>
    </w:p>
    <w:p w14:paraId="28278A70" w14:textId="4D4B06A5" w:rsidR="00077A72" w:rsidRPr="00077A72" w:rsidRDefault="00077A72" w:rsidP="00270CF3">
      <w:pPr>
        <w:pStyle w:val="Nagwek3"/>
      </w:pPr>
      <w:bookmarkStart w:id="41" w:name="_Toc64451852"/>
      <w:bookmarkStart w:id="42" w:name="_Toc233203264"/>
      <w:r w:rsidRPr="001D700D">
        <w:lastRenderedPageBreak/>
        <w:t>I.1.</w:t>
      </w:r>
      <w:r w:rsidR="00857621">
        <w:t>5</w:t>
      </w:r>
      <w:r w:rsidRPr="001D700D">
        <w:t>. Zamówienia sektorowe</w:t>
      </w:r>
      <w:bookmarkEnd w:id="41"/>
      <w:bookmarkEnd w:id="42"/>
    </w:p>
    <w:p w14:paraId="53796356" w14:textId="10662AC2" w:rsidR="00EB08FB" w:rsidRPr="00405785" w:rsidRDefault="008C1642" w:rsidP="00EB08FB">
      <w:pPr>
        <w:pStyle w:val="Legenda"/>
      </w:pPr>
      <w:bookmarkStart w:id="43" w:name="_Toc233203325"/>
      <w:r w:rsidRPr="00BA1095">
        <w:t xml:space="preserve">Rys. </w:t>
      </w:r>
      <w:r>
        <w:fldChar w:fldCharType="begin"/>
      </w:r>
      <w:r>
        <w:instrText>SEQ Rys. \* ARABIC</w:instrText>
      </w:r>
      <w:r>
        <w:fldChar w:fldCharType="separate"/>
      </w:r>
      <w:r w:rsidR="00017C65">
        <w:rPr>
          <w:noProof/>
        </w:rPr>
        <w:t>4</w:t>
      </w:r>
      <w:r>
        <w:fldChar w:fldCharType="end"/>
      </w:r>
      <w:r w:rsidRPr="00BA1095">
        <w:t xml:space="preserve">. </w:t>
      </w:r>
      <w:r w:rsidR="00EB08FB">
        <w:t>Liczba i w</w:t>
      </w:r>
      <w:r w:rsidR="00EB08FB" w:rsidRPr="00CD64C3">
        <w:t>artość udzielonych</w:t>
      </w:r>
      <w:r w:rsidR="00EB08FB">
        <w:t xml:space="preserve"> zamówień sektorowych</w:t>
      </w:r>
      <w:bookmarkEnd w:id="43"/>
    </w:p>
    <w:p w14:paraId="72E4BA99" w14:textId="77777777" w:rsidR="00EB08FB" w:rsidRDefault="00EB08FB" w:rsidP="00EB08FB">
      <w:pPr>
        <w:spacing w:line="360" w:lineRule="auto"/>
        <w:jc w:val="left"/>
        <w:rPr>
          <w:szCs w:val="22"/>
        </w:rPr>
      </w:pPr>
      <w:r>
        <w:rPr>
          <w:noProof/>
          <w:szCs w:val="22"/>
        </w:rPr>
        <w:drawing>
          <wp:inline distT="0" distB="0" distL="0" distR="0" wp14:anchorId="0AD66AA6" wp14:editId="58BC6CA4">
            <wp:extent cx="5486400" cy="3200400"/>
            <wp:effectExtent l="0" t="0" r="0" b="0"/>
            <wp:docPr id="144630476" name="Wykres 7" descr="Liczba i wartość udzielonych zamówień sektorowych" title="Liczba i wartość udzielonych zamówień sektorow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BD7700D" w14:textId="70666AC4" w:rsidR="00EB08FB" w:rsidRDefault="00EB08FB" w:rsidP="00EB08FB">
      <w:pPr>
        <w:spacing w:before="240" w:line="360" w:lineRule="auto"/>
        <w:jc w:val="left"/>
        <w:rPr>
          <w:szCs w:val="22"/>
        </w:rPr>
      </w:pPr>
      <w:r w:rsidRPr="00955F2D">
        <w:rPr>
          <w:szCs w:val="22"/>
        </w:rPr>
        <w:t>W 202</w:t>
      </w:r>
      <w:r>
        <w:rPr>
          <w:szCs w:val="22"/>
        </w:rPr>
        <w:t>5</w:t>
      </w:r>
      <w:r w:rsidRPr="00955F2D">
        <w:rPr>
          <w:szCs w:val="22"/>
        </w:rPr>
        <w:t xml:space="preserve"> roku wartość zamówień udzielonych przez zamawiających sektorowych osiągnęła 8</w:t>
      </w:r>
      <w:r>
        <w:rPr>
          <w:szCs w:val="22"/>
        </w:rPr>
        <w:t>4</w:t>
      </w:r>
      <w:r w:rsidRPr="00955F2D">
        <w:rPr>
          <w:szCs w:val="22"/>
        </w:rPr>
        <w:t>,</w:t>
      </w:r>
      <w:r>
        <w:rPr>
          <w:szCs w:val="22"/>
        </w:rPr>
        <w:t>30</w:t>
      </w:r>
      <w:r w:rsidRPr="00955F2D">
        <w:rPr>
          <w:szCs w:val="22"/>
        </w:rPr>
        <w:t xml:space="preserve"> m</w:t>
      </w:r>
      <w:r>
        <w:rPr>
          <w:szCs w:val="22"/>
        </w:rPr>
        <w:t>ld</w:t>
      </w:r>
      <w:r w:rsidRPr="00955F2D">
        <w:rPr>
          <w:szCs w:val="22"/>
        </w:rPr>
        <w:t xml:space="preserve"> zł, podczas gdy w 202</w:t>
      </w:r>
      <w:r>
        <w:rPr>
          <w:szCs w:val="22"/>
        </w:rPr>
        <w:t>4</w:t>
      </w:r>
      <w:r w:rsidRPr="00955F2D">
        <w:rPr>
          <w:szCs w:val="22"/>
        </w:rPr>
        <w:t xml:space="preserve"> roku wynosiła </w:t>
      </w:r>
      <w:r>
        <w:rPr>
          <w:szCs w:val="22"/>
        </w:rPr>
        <w:t>85</w:t>
      </w:r>
      <w:r w:rsidRPr="00955F2D">
        <w:rPr>
          <w:szCs w:val="22"/>
        </w:rPr>
        <w:t>,</w:t>
      </w:r>
      <w:r>
        <w:rPr>
          <w:szCs w:val="22"/>
        </w:rPr>
        <w:t>471</w:t>
      </w:r>
      <w:r w:rsidRPr="00955F2D">
        <w:rPr>
          <w:szCs w:val="22"/>
        </w:rPr>
        <w:t xml:space="preserve"> m</w:t>
      </w:r>
      <w:r>
        <w:rPr>
          <w:szCs w:val="22"/>
        </w:rPr>
        <w:t>ld</w:t>
      </w:r>
      <w:r w:rsidRPr="00955F2D">
        <w:rPr>
          <w:szCs w:val="22"/>
        </w:rPr>
        <w:t xml:space="preserve"> zł. Oznacza to, że ich udział w całkowitej wartości zamówień publicznych udzielanych zgodnie z ustawą Pzp wyniósł około 2</w:t>
      </w:r>
      <w:r>
        <w:rPr>
          <w:szCs w:val="22"/>
        </w:rPr>
        <w:t>4</w:t>
      </w:r>
      <w:r w:rsidRPr="00955F2D">
        <w:rPr>
          <w:szCs w:val="22"/>
        </w:rPr>
        <w:t>% (dla porównania – w 202</w:t>
      </w:r>
      <w:r>
        <w:rPr>
          <w:szCs w:val="22"/>
        </w:rPr>
        <w:t>4</w:t>
      </w:r>
      <w:r w:rsidRPr="00955F2D">
        <w:rPr>
          <w:szCs w:val="22"/>
        </w:rPr>
        <w:t xml:space="preserve"> roku było to 2</w:t>
      </w:r>
      <w:r>
        <w:rPr>
          <w:szCs w:val="22"/>
        </w:rPr>
        <w:t>6</w:t>
      </w:r>
      <w:r w:rsidRPr="00955F2D">
        <w:rPr>
          <w:szCs w:val="22"/>
        </w:rPr>
        <w:t xml:space="preserve">%). Choć </w:t>
      </w:r>
      <w:r w:rsidRPr="00DF17D0">
        <w:rPr>
          <w:szCs w:val="22"/>
        </w:rPr>
        <w:t>zamawiający sektorowi stanowili jedynie 2,14% wszystkich podmiotów składających roczne sprawozdania</w:t>
      </w:r>
      <w:r w:rsidRPr="00955F2D">
        <w:rPr>
          <w:szCs w:val="22"/>
        </w:rPr>
        <w:t>, w 202</w:t>
      </w:r>
      <w:r>
        <w:rPr>
          <w:szCs w:val="22"/>
        </w:rPr>
        <w:t>5</w:t>
      </w:r>
      <w:r w:rsidRPr="00955F2D">
        <w:rPr>
          <w:szCs w:val="22"/>
        </w:rPr>
        <w:t xml:space="preserve"> roku zawarli 3 </w:t>
      </w:r>
      <w:r>
        <w:rPr>
          <w:szCs w:val="22"/>
        </w:rPr>
        <w:t>913</w:t>
      </w:r>
      <w:r w:rsidRPr="00955F2D">
        <w:rPr>
          <w:szCs w:val="22"/>
        </w:rPr>
        <w:t xml:space="preserve"> umowy w trybie ustawy Pzp, co jest </w:t>
      </w:r>
      <w:r>
        <w:rPr>
          <w:szCs w:val="22"/>
        </w:rPr>
        <w:t>znacznym wzrostem w stosunku do roku poprzedniego</w:t>
      </w:r>
      <w:r w:rsidRPr="00955F2D">
        <w:rPr>
          <w:szCs w:val="22"/>
        </w:rPr>
        <w:t xml:space="preserve"> (3 0</w:t>
      </w:r>
      <w:r>
        <w:rPr>
          <w:szCs w:val="22"/>
        </w:rPr>
        <w:t>32</w:t>
      </w:r>
      <w:r w:rsidRPr="00955F2D">
        <w:rPr>
          <w:szCs w:val="22"/>
        </w:rPr>
        <w:t xml:space="preserve"> zamówień).</w:t>
      </w:r>
    </w:p>
    <w:p w14:paraId="22F26EED" w14:textId="241ADB57" w:rsidR="00EB08FB" w:rsidRDefault="00EB08FB" w:rsidP="00EB08FB">
      <w:pPr>
        <w:pStyle w:val="Legenda"/>
        <w:rPr>
          <w:iCs w:val="0"/>
          <w:color w:val="auto"/>
          <w:sz w:val="22"/>
          <w:szCs w:val="22"/>
        </w:rPr>
      </w:pPr>
      <w:r>
        <w:rPr>
          <w:iCs w:val="0"/>
          <w:color w:val="auto"/>
          <w:sz w:val="22"/>
          <w:szCs w:val="22"/>
        </w:rPr>
        <w:t>Największą</w:t>
      </w:r>
      <w:r w:rsidRPr="00722226">
        <w:rPr>
          <w:iCs w:val="0"/>
          <w:color w:val="auto"/>
          <w:sz w:val="22"/>
          <w:szCs w:val="22"/>
        </w:rPr>
        <w:t xml:space="preserve"> wartość (ok. 11 mld zł) miało zamówienie sektorowe PKP Intercity S.A. </w:t>
      </w:r>
      <w:r>
        <w:rPr>
          <w:iCs w:val="0"/>
          <w:color w:val="auto"/>
          <w:sz w:val="22"/>
          <w:szCs w:val="22"/>
        </w:rPr>
        <w:br/>
      </w:r>
      <w:r w:rsidRPr="00722226">
        <w:rPr>
          <w:iCs w:val="0"/>
          <w:color w:val="auto"/>
          <w:sz w:val="22"/>
          <w:szCs w:val="22"/>
        </w:rPr>
        <w:t xml:space="preserve">z Warszawy i dotyczyło dialogu konkurencyjnego na </w:t>
      </w:r>
      <w:r>
        <w:rPr>
          <w:iCs w:val="0"/>
          <w:color w:val="auto"/>
          <w:sz w:val="22"/>
          <w:szCs w:val="22"/>
        </w:rPr>
        <w:t>d</w:t>
      </w:r>
      <w:r w:rsidRPr="00722226">
        <w:rPr>
          <w:iCs w:val="0"/>
          <w:color w:val="auto"/>
          <w:sz w:val="22"/>
          <w:szCs w:val="22"/>
        </w:rPr>
        <w:t>ostawę 42 piętrowych elektrycznych zespołów trakcyjnych wraz ze świadczeniem usług utrzymania.</w:t>
      </w:r>
    </w:p>
    <w:p w14:paraId="49964985" w14:textId="5A8B4EFF" w:rsidR="00EB08FB" w:rsidRDefault="009D12D5" w:rsidP="00EB08FB">
      <w:pPr>
        <w:pStyle w:val="Legenda"/>
      </w:pPr>
      <w:bookmarkStart w:id="44" w:name="_Toc233203373"/>
      <w:r w:rsidRPr="00E50AA7">
        <w:rPr>
          <w:iCs w:val="0"/>
          <w:color w:val="44546A"/>
        </w:rPr>
        <w:t xml:space="preserve">Tab. </w:t>
      </w:r>
      <w:r w:rsidRPr="00E50AA7">
        <w:rPr>
          <w:iCs w:val="0"/>
          <w:color w:val="44546A"/>
        </w:rPr>
        <w:fldChar w:fldCharType="begin"/>
      </w:r>
      <w:r w:rsidRPr="00E50AA7">
        <w:rPr>
          <w:iCs w:val="0"/>
          <w:color w:val="44546A"/>
        </w:rPr>
        <w:instrText xml:space="preserve"> SEQ Tab. \* ARABIC </w:instrText>
      </w:r>
      <w:r w:rsidRPr="00E50AA7">
        <w:rPr>
          <w:iCs w:val="0"/>
          <w:color w:val="44546A"/>
        </w:rPr>
        <w:fldChar w:fldCharType="separate"/>
      </w:r>
      <w:r w:rsidR="00017C65">
        <w:rPr>
          <w:iCs w:val="0"/>
          <w:noProof/>
          <w:color w:val="44546A"/>
        </w:rPr>
        <w:t>1</w:t>
      </w:r>
      <w:r w:rsidRPr="00E50AA7">
        <w:rPr>
          <w:iCs w:val="0"/>
          <w:noProof/>
          <w:color w:val="44546A"/>
        </w:rPr>
        <w:fldChar w:fldCharType="end"/>
      </w:r>
      <w:r w:rsidRPr="00E50AA7">
        <w:rPr>
          <w:iCs w:val="0"/>
          <w:color w:val="44546A"/>
        </w:rPr>
        <w:t xml:space="preserve">. </w:t>
      </w:r>
      <w:r w:rsidR="00EB08FB" w:rsidRPr="000B3FBB">
        <w:t>Struktura udzielonych zamówień sektorowych w podziale na rodzaj zamówienia</w:t>
      </w:r>
      <w:bookmarkEnd w:id="44"/>
    </w:p>
    <w:tbl>
      <w:tblPr>
        <w:tblW w:w="0" w:type="auto"/>
        <w:tblInd w:w="-5" w:type="dxa"/>
        <w:tblLayout w:type="fixed"/>
        <w:tblLook w:val="04A0" w:firstRow="1" w:lastRow="0" w:firstColumn="1" w:lastColumn="0" w:noHBand="0" w:noVBand="1"/>
        <w:tblCaption w:val="Tabela. Struktura udzielonych zamówień sektorowych w podziale na rodzaj zamówienia."/>
        <w:tblDescription w:val="Tabela. Struktura udzielonych zamówień sektorowych w podziale na rodzaj zamówienia."/>
      </w:tblPr>
      <w:tblGrid>
        <w:gridCol w:w="3374"/>
        <w:gridCol w:w="1842"/>
        <w:gridCol w:w="1842"/>
      </w:tblGrid>
      <w:tr w:rsidR="00EB08FB" w:rsidRPr="00842D79" w14:paraId="0C7F7559" w14:textId="77777777" w:rsidTr="00E252E7">
        <w:trPr>
          <w:tblHeader/>
        </w:trPr>
        <w:tc>
          <w:tcPr>
            <w:tcW w:w="3374" w:type="dxa"/>
            <w:tcBorders>
              <w:right w:val="single" w:sz="4" w:space="0" w:color="FFFFFF"/>
            </w:tcBorders>
            <w:shd w:val="clear" w:color="auto" w:fill="002060"/>
            <w:vAlign w:val="center"/>
          </w:tcPr>
          <w:p w14:paraId="258F61D6" w14:textId="77777777" w:rsidR="00EB08FB" w:rsidRPr="008E7A1F" w:rsidRDefault="00EB08FB" w:rsidP="00E252E7">
            <w:pPr>
              <w:spacing w:before="60" w:after="60"/>
              <w:jc w:val="center"/>
              <w:rPr>
                <w:b/>
                <w:sz w:val="18"/>
                <w:szCs w:val="18"/>
              </w:rPr>
            </w:pPr>
            <w:r w:rsidRPr="008E7A1F">
              <w:rPr>
                <w:b/>
                <w:sz w:val="18"/>
                <w:szCs w:val="18"/>
              </w:rPr>
              <w:t>Rodzaj zamówienia</w:t>
            </w:r>
          </w:p>
        </w:tc>
        <w:tc>
          <w:tcPr>
            <w:tcW w:w="1842" w:type="dxa"/>
            <w:tcBorders>
              <w:left w:val="single" w:sz="4" w:space="0" w:color="FFFFFF"/>
            </w:tcBorders>
            <w:shd w:val="clear" w:color="auto" w:fill="002060"/>
            <w:vAlign w:val="center"/>
          </w:tcPr>
          <w:p w14:paraId="08A92583" w14:textId="77777777" w:rsidR="00EB08FB" w:rsidRPr="00842D79" w:rsidRDefault="00EB08FB" w:rsidP="00E252E7">
            <w:pPr>
              <w:spacing w:before="60" w:after="60"/>
              <w:jc w:val="center"/>
              <w:rPr>
                <w:b/>
                <w:sz w:val="18"/>
                <w:szCs w:val="18"/>
              </w:rPr>
            </w:pPr>
            <w:r w:rsidRPr="00842D79">
              <w:rPr>
                <w:b/>
                <w:sz w:val="18"/>
                <w:szCs w:val="18"/>
              </w:rPr>
              <w:t xml:space="preserve">Odsetek liczby </w:t>
            </w:r>
          </w:p>
        </w:tc>
        <w:tc>
          <w:tcPr>
            <w:tcW w:w="1842" w:type="dxa"/>
            <w:tcBorders>
              <w:left w:val="single" w:sz="4" w:space="0" w:color="FFFFFF"/>
            </w:tcBorders>
            <w:shd w:val="clear" w:color="auto" w:fill="002060"/>
            <w:vAlign w:val="center"/>
          </w:tcPr>
          <w:p w14:paraId="5C10D31A" w14:textId="77777777" w:rsidR="00EB08FB" w:rsidRPr="00842D79" w:rsidRDefault="00EB08FB" w:rsidP="00E252E7">
            <w:pPr>
              <w:spacing w:before="60" w:after="60"/>
              <w:jc w:val="center"/>
              <w:rPr>
                <w:b/>
                <w:sz w:val="18"/>
                <w:szCs w:val="18"/>
              </w:rPr>
            </w:pPr>
            <w:r w:rsidRPr="00842D79">
              <w:rPr>
                <w:b/>
                <w:sz w:val="18"/>
                <w:szCs w:val="18"/>
              </w:rPr>
              <w:t xml:space="preserve">Odsetek wartości </w:t>
            </w:r>
          </w:p>
        </w:tc>
      </w:tr>
      <w:tr w:rsidR="00EB08FB" w:rsidRPr="00842D79" w14:paraId="10674878" w14:textId="77777777" w:rsidTr="00E252E7">
        <w:tc>
          <w:tcPr>
            <w:tcW w:w="3374" w:type="dxa"/>
            <w:tcBorders>
              <w:right w:val="single" w:sz="4" w:space="0" w:color="FFFFFF"/>
            </w:tcBorders>
            <w:vAlign w:val="center"/>
          </w:tcPr>
          <w:p w14:paraId="10C59633" w14:textId="77777777" w:rsidR="00EB08FB" w:rsidRPr="008E7A1F" w:rsidRDefault="00EB08FB" w:rsidP="00E252E7">
            <w:pPr>
              <w:spacing w:before="60" w:after="60"/>
              <w:jc w:val="left"/>
              <w:rPr>
                <w:b/>
                <w:sz w:val="18"/>
                <w:szCs w:val="18"/>
              </w:rPr>
            </w:pPr>
            <w:r w:rsidRPr="008E7A1F">
              <w:rPr>
                <w:b/>
                <w:sz w:val="18"/>
                <w:szCs w:val="18"/>
              </w:rPr>
              <w:t>Roboty budowlane</w:t>
            </w:r>
          </w:p>
        </w:tc>
        <w:tc>
          <w:tcPr>
            <w:tcW w:w="1842" w:type="dxa"/>
            <w:tcBorders>
              <w:left w:val="single" w:sz="4" w:space="0" w:color="FFFFFF"/>
            </w:tcBorders>
            <w:vAlign w:val="center"/>
          </w:tcPr>
          <w:p w14:paraId="071FE538" w14:textId="355D4F14" w:rsidR="00EB08FB" w:rsidRPr="000B3FBB" w:rsidRDefault="00EB08FB" w:rsidP="00E252E7">
            <w:pPr>
              <w:autoSpaceDE w:val="0"/>
              <w:autoSpaceDN w:val="0"/>
              <w:adjustRightInd w:val="0"/>
              <w:spacing w:before="60" w:after="60"/>
              <w:jc w:val="center"/>
              <w:rPr>
                <w:rFonts w:cs="Arial"/>
                <w:color w:val="000000"/>
                <w:sz w:val="18"/>
                <w:szCs w:val="18"/>
              </w:rPr>
            </w:pPr>
            <w:r>
              <w:rPr>
                <w:rFonts w:cs="Arial"/>
                <w:color w:val="000000"/>
                <w:sz w:val="18"/>
                <w:szCs w:val="18"/>
              </w:rPr>
              <w:t>11</w:t>
            </w:r>
            <w:r w:rsidRPr="000B3FBB">
              <w:rPr>
                <w:rFonts w:cs="Arial"/>
                <w:color w:val="000000"/>
                <w:sz w:val="18"/>
                <w:szCs w:val="18"/>
              </w:rPr>
              <w:t>%</w:t>
            </w:r>
          </w:p>
        </w:tc>
        <w:tc>
          <w:tcPr>
            <w:tcW w:w="1842" w:type="dxa"/>
            <w:tcBorders>
              <w:left w:val="single" w:sz="4" w:space="0" w:color="FFFFFF"/>
            </w:tcBorders>
            <w:vAlign w:val="center"/>
          </w:tcPr>
          <w:p w14:paraId="6DA93BC8" w14:textId="57AF8E20" w:rsidR="00EB08FB" w:rsidRPr="000B3FBB" w:rsidRDefault="00EB08FB" w:rsidP="00E252E7">
            <w:pPr>
              <w:autoSpaceDE w:val="0"/>
              <w:autoSpaceDN w:val="0"/>
              <w:adjustRightInd w:val="0"/>
              <w:spacing w:before="60" w:after="60"/>
              <w:jc w:val="center"/>
              <w:rPr>
                <w:rFonts w:cs="Arial"/>
                <w:color w:val="000000"/>
                <w:sz w:val="18"/>
                <w:szCs w:val="18"/>
              </w:rPr>
            </w:pPr>
            <w:r>
              <w:rPr>
                <w:rFonts w:cs="Arial"/>
                <w:color w:val="000000"/>
                <w:sz w:val="18"/>
                <w:szCs w:val="18"/>
              </w:rPr>
              <w:t>42</w:t>
            </w:r>
            <w:r w:rsidRPr="000B3FBB">
              <w:rPr>
                <w:rFonts w:cs="Arial"/>
                <w:color w:val="000000"/>
                <w:sz w:val="18"/>
                <w:szCs w:val="18"/>
              </w:rPr>
              <w:t>%</w:t>
            </w:r>
          </w:p>
        </w:tc>
      </w:tr>
      <w:tr w:rsidR="00EB08FB" w:rsidRPr="00842D79" w14:paraId="4FC91DB3" w14:textId="77777777" w:rsidTr="00E252E7">
        <w:tc>
          <w:tcPr>
            <w:tcW w:w="3374" w:type="dxa"/>
            <w:tcBorders>
              <w:right w:val="single" w:sz="4" w:space="0" w:color="FFFFFF"/>
            </w:tcBorders>
            <w:shd w:val="clear" w:color="auto" w:fill="00B0F0"/>
            <w:vAlign w:val="center"/>
          </w:tcPr>
          <w:p w14:paraId="6553CAC8" w14:textId="77777777" w:rsidR="00EB08FB" w:rsidRPr="008E7A1F" w:rsidRDefault="00EB08FB" w:rsidP="00E252E7">
            <w:pPr>
              <w:spacing w:before="60" w:after="60"/>
              <w:jc w:val="left"/>
              <w:rPr>
                <w:b/>
                <w:sz w:val="18"/>
                <w:szCs w:val="18"/>
              </w:rPr>
            </w:pPr>
            <w:r w:rsidRPr="008E7A1F">
              <w:rPr>
                <w:b/>
                <w:sz w:val="18"/>
                <w:szCs w:val="18"/>
              </w:rPr>
              <w:t>Dostawy</w:t>
            </w:r>
          </w:p>
        </w:tc>
        <w:tc>
          <w:tcPr>
            <w:tcW w:w="1842" w:type="dxa"/>
            <w:tcBorders>
              <w:left w:val="single" w:sz="4" w:space="0" w:color="FFFFFF"/>
            </w:tcBorders>
            <w:shd w:val="clear" w:color="auto" w:fill="00B0F0"/>
            <w:vAlign w:val="center"/>
          </w:tcPr>
          <w:p w14:paraId="5A97346B" w14:textId="04EC55FE" w:rsidR="00EB08FB" w:rsidRPr="000B3FBB" w:rsidRDefault="00EB08FB" w:rsidP="00E252E7">
            <w:pPr>
              <w:autoSpaceDE w:val="0"/>
              <w:autoSpaceDN w:val="0"/>
              <w:adjustRightInd w:val="0"/>
              <w:spacing w:before="60" w:after="60"/>
              <w:jc w:val="center"/>
              <w:rPr>
                <w:rFonts w:cs="Arial"/>
                <w:color w:val="000000"/>
                <w:sz w:val="18"/>
                <w:szCs w:val="18"/>
              </w:rPr>
            </w:pPr>
            <w:r>
              <w:rPr>
                <w:rFonts w:cs="Arial"/>
                <w:color w:val="000000"/>
                <w:sz w:val="18"/>
                <w:szCs w:val="18"/>
              </w:rPr>
              <w:t>45</w:t>
            </w:r>
            <w:r w:rsidRPr="000B3FBB">
              <w:rPr>
                <w:rFonts w:cs="Arial"/>
                <w:color w:val="000000"/>
                <w:sz w:val="18"/>
                <w:szCs w:val="18"/>
              </w:rPr>
              <w:t>%</w:t>
            </w:r>
          </w:p>
        </w:tc>
        <w:tc>
          <w:tcPr>
            <w:tcW w:w="1842" w:type="dxa"/>
            <w:tcBorders>
              <w:left w:val="single" w:sz="4" w:space="0" w:color="FFFFFF"/>
            </w:tcBorders>
            <w:shd w:val="clear" w:color="auto" w:fill="00B0F0"/>
            <w:vAlign w:val="center"/>
          </w:tcPr>
          <w:p w14:paraId="75C2DDEF" w14:textId="79ABA81E" w:rsidR="00EB08FB" w:rsidRPr="000B3FBB" w:rsidRDefault="00EB08FB" w:rsidP="00E252E7">
            <w:pPr>
              <w:autoSpaceDE w:val="0"/>
              <w:autoSpaceDN w:val="0"/>
              <w:adjustRightInd w:val="0"/>
              <w:spacing w:before="60" w:after="60"/>
              <w:jc w:val="center"/>
              <w:rPr>
                <w:rFonts w:cs="Arial"/>
                <w:color w:val="000000"/>
                <w:sz w:val="18"/>
                <w:szCs w:val="18"/>
              </w:rPr>
            </w:pPr>
            <w:r>
              <w:rPr>
                <w:rFonts w:cs="Arial"/>
                <w:color w:val="000000"/>
                <w:sz w:val="18"/>
                <w:szCs w:val="18"/>
              </w:rPr>
              <w:t>41</w:t>
            </w:r>
            <w:r w:rsidRPr="000B3FBB">
              <w:rPr>
                <w:rFonts w:cs="Arial"/>
                <w:color w:val="000000"/>
                <w:sz w:val="18"/>
                <w:szCs w:val="18"/>
              </w:rPr>
              <w:t>%</w:t>
            </w:r>
          </w:p>
        </w:tc>
      </w:tr>
      <w:tr w:rsidR="00EB08FB" w:rsidRPr="00842D79" w14:paraId="5E2A583C" w14:textId="77777777" w:rsidTr="00E252E7">
        <w:tc>
          <w:tcPr>
            <w:tcW w:w="3374" w:type="dxa"/>
            <w:tcBorders>
              <w:right w:val="single" w:sz="4" w:space="0" w:color="FFFFFF"/>
            </w:tcBorders>
            <w:vAlign w:val="center"/>
          </w:tcPr>
          <w:p w14:paraId="718529E0" w14:textId="77777777" w:rsidR="00EB08FB" w:rsidRPr="008E7A1F" w:rsidRDefault="00EB08FB" w:rsidP="00E252E7">
            <w:pPr>
              <w:spacing w:before="60" w:after="60"/>
              <w:jc w:val="left"/>
              <w:rPr>
                <w:b/>
                <w:sz w:val="18"/>
                <w:szCs w:val="18"/>
              </w:rPr>
            </w:pPr>
            <w:r w:rsidRPr="008E7A1F">
              <w:rPr>
                <w:b/>
                <w:sz w:val="18"/>
                <w:szCs w:val="18"/>
              </w:rPr>
              <w:t>Usługi</w:t>
            </w:r>
          </w:p>
        </w:tc>
        <w:tc>
          <w:tcPr>
            <w:tcW w:w="1842" w:type="dxa"/>
            <w:tcBorders>
              <w:left w:val="single" w:sz="4" w:space="0" w:color="FFFFFF"/>
            </w:tcBorders>
            <w:vAlign w:val="center"/>
          </w:tcPr>
          <w:p w14:paraId="1CA46C04" w14:textId="495D859A" w:rsidR="00EB08FB" w:rsidRPr="000B3FBB" w:rsidRDefault="00EB08FB" w:rsidP="00E252E7">
            <w:pPr>
              <w:autoSpaceDE w:val="0"/>
              <w:autoSpaceDN w:val="0"/>
              <w:adjustRightInd w:val="0"/>
              <w:spacing w:before="60" w:after="60"/>
              <w:jc w:val="center"/>
              <w:rPr>
                <w:rFonts w:cs="Arial"/>
                <w:color w:val="000000"/>
                <w:sz w:val="18"/>
                <w:szCs w:val="18"/>
              </w:rPr>
            </w:pPr>
            <w:r>
              <w:rPr>
                <w:rFonts w:cs="Arial"/>
                <w:color w:val="000000"/>
                <w:sz w:val="18"/>
                <w:szCs w:val="18"/>
              </w:rPr>
              <w:t>44</w:t>
            </w:r>
            <w:r w:rsidRPr="000B3FBB">
              <w:rPr>
                <w:rFonts w:cs="Arial"/>
                <w:color w:val="000000"/>
                <w:sz w:val="18"/>
                <w:szCs w:val="18"/>
              </w:rPr>
              <w:t>%</w:t>
            </w:r>
          </w:p>
        </w:tc>
        <w:tc>
          <w:tcPr>
            <w:tcW w:w="1842" w:type="dxa"/>
            <w:tcBorders>
              <w:left w:val="single" w:sz="4" w:space="0" w:color="FFFFFF"/>
            </w:tcBorders>
            <w:vAlign w:val="center"/>
          </w:tcPr>
          <w:p w14:paraId="6AD08FD2" w14:textId="77777777" w:rsidR="00EB08FB" w:rsidRPr="000B3FBB" w:rsidRDefault="00EB08FB" w:rsidP="00E252E7">
            <w:pPr>
              <w:autoSpaceDE w:val="0"/>
              <w:autoSpaceDN w:val="0"/>
              <w:adjustRightInd w:val="0"/>
              <w:spacing w:before="60" w:after="60"/>
              <w:jc w:val="center"/>
              <w:rPr>
                <w:rFonts w:cs="Arial"/>
                <w:color w:val="000000"/>
                <w:sz w:val="18"/>
                <w:szCs w:val="18"/>
              </w:rPr>
            </w:pPr>
            <w:r>
              <w:rPr>
                <w:rFonts w:cs="Arial"/>
                <w:color w:val="000000"/>
                <w:sz w:val="18"/>
                <w:szCs w:val="18"/>
              </w:rPr>
              <w:t>17</w:t>
            </w:r>
            <w:r w:rsidRPr="000B3FBB">
              <w:rPr>
                <w:rFonts w:cs="Arial"/>
                <w:color w:val="000000"/>
                <w:sz w:val="18"/>
                <w:szCs w:val="18"/>
              </w:rPr>
              <w:t>%</w:t>
            </w:r>
          </w:p>
        </w:tc>
      </w:tr>
    </w:tbl>
    <w:p w14:paraId="144B4DEB" w14:textId="06068DC0" w:rsidR="00D9194A" w:rsidRDefault="00EB08FB" w:rsidP="009D7D03">
      <w:pPr>
        <w:spacing w:before="240" w:line="360" w:lineRule="auto"/>
        <w:jc w:val="left"/>
        <w:rPr>
          <w:szCs w:val="22"/>
        </w:rPr>
      </w:pPr>
      <w:r w:rsidRPr="00582BC6">
        <w:rPr>
          <w:szCs w:val="22"/>
        </w:rPr>
        <w:t xml:space="preserve">Biorąc pod uwagę liczbę zamówień, najwięcej postępowań dotyczyło dostaw, które stanowiły </w:t>
      </w:r>
      <w:r>
        <w:rPr>
          <w:szCs w:val="22"/>
        </w:rPr>
        <w:t xml:space="preserve">odpowiednio </w:t>
      </w:r>
      <w:r w:rsidRPr="00582BC6">
        <w:rPr>
          <w:szCs w:val="22"/>
        </w:rPr>
        <w:t>4</w:t>
      </w:r>
      <w:r>
        <w:rPr>
          <w:szCs w:val="22"/>
        </w:rPr>
        <w:t>5</w:t>
      </w:r>
      <w:r w:rsidRPr="00582BC6">
        <w:rPr>
          <w:szCs w:val="22"/>
        </w:rPr>
        <w:t>% wszystkich zamówień</w:t>
      </w:r>
      <w:r>
        <w:rPr>
          <w:szCs w:val="22"/>
        </w:rPr>
        <w:t xml:space="preserve">. W przypadku wartości zamówień najwięcej dotyczyło robót budowlanych </w:t>
      </w:r>
      <w:r w:rsidRPr="00955F2D">
        <w:rPr>
          <w:szCs w:val="22"/>
        </w:rPr>
        <w:t>–</w:t>
      </w:r>
      <w:r>
        <w:rPr>
          <w:szCs w:val="22"/>
        </w:rPr>
        <w:t xml:space="preserve"> 42%.</w:t>
      </w:r>
    </w:p>
    <w:p w14:paraId="0B96F23E" w14:textId="69A80614" w:rsidR="00077A72" w:rsidRPr="00077A72" w:rsidRDefault="00077A72" w:rsidP="00270CF3">
      <w:pPr>
        <w:pStyle w:val="Nagwek3"/>
      </w:pPr>
      <w:bookmarkStart w:id="45" w:name="_Toc64451853"/>
      <w:bookmarkStart w:id="46" w:name="_Toc233203265"/>
      <w:r w:rsidRPr="005552E1">
        <w:lastRenderedPageBreak/>
        <w:t>I.1.</w:t>
      </w:r>
      <w:r w:rsidR="00857621">
        <w:t>6</w:t>
      </w:r>
      <w:r w:rsidRPr="005552E1">
        <w:t>. Zamówienia w dziedzinach obronności i bezpieczeństwa</w:t>
      </w:r>
      <w:bookmarkEnd w:id="45"/>
      <w:bookmarkEnd w:id="46"/>
    </w:p>
    <w:p w14:paraId="7434CCEA" w14:textId="6703999A" w:rsidR="00EB08FB" w:rsidRPr="005322C7" w:rsidRDefault="00EB08FB" w:rsidP="00EB08FB">
      <w:pPr>
        <w:shd w:val="clear" w:color="auto" w:fill="FFFFFF" w:themeFill="background1"/>
        <w:spacing w:line="360" w:lineRule="auto"/>
        <w:jc w:val="left"/>
      </w:pPr>
      <w:r w:rsidRPr="006D3AC3">
        <w:t xml:space="preserve">W 2025 r. w oparciu o przepisy ustawy Pzp udzielono </w:t>
      </w:r>
      <w:r>
        <w:t>360</w:t>
      </w:r>
      <w:r w:rsidRPr="006D3AC3">
        <w:t xml:space="preserve"> zamówień (w 2024 r. – 336) </w:t>
      </w:r>
      <w:r>
        <w:br/>
      </w:r>
      <w:r w:rsidRPr="006D3AC3">
        <w:t xml:space="preserve">w dziedzinach obronności i bezpieczeństwa, na łączną kwotę </w:t>
      </w:r>
      <w:r>
        <w:t>6,45</w:t>
      </w:r>
      <w:r w:rsidRPr="006D3AC3">
        <w:t xml:space="preserve"> mld zł (w 2024 r. – 9,1 mld zł).</w:t>
      </w:r>
      <w:r w:rsidRPr="005322C7">
        <w:t xml:space="preserve"> </w:t>
      </w:r>
    </w:p>
    <w:p w14:paraId="28A62EA3" w14:textId="5D857F64" w:rsidR="00EB08FB" w:rsidRDefault="009D12D5" w:rsidP="00EB08FB">
      <w:pPr>
        <w:pStyle w:val="Legenda"/>
      </w:pPr>
      <w:bookmarkStart w:id="47" w:name="_Toc233203374"/>
      <w:r w:rsidRPr="00E50AA7">
        <w:rPr>
          <w:iCs w:val="0"/>
          <w:color w:val="44546A"/>
        </w:rPr>
        <w:t xml:space="preserve">Tab. </w:t>
      </w:r>
      <w:r w:rsidRPr="00E50AA7">
        <w:rPr>
          <w:iCs w:val="0"/>
          <w:color w:val="44546A"/>
        </w:rPr>
        <w:fldChar w:fldCharType="begin"/>
      </w:r>
      <w:r w:rsidRPr="00E50AA7">
        <w:rPr>
          <w:iCs w:val="0"/>
          <w:color w:val="44546A"/>
        </w:rPr>
        <w:instrText xml:space="preserve"> SEQ Tab. \* ARABIC </w:instrText>
      </w:r>
      <w:r w:rsidRPr="00E50AA7">
        <w:rPr>
          <w:iCs w:val="0"/>
          <w:color w:val="44546A"/>
        </w:rPr>
        <w:fldChar w:fldCharType="separate"/>
      </w:r>
      <w:r w:rsidR="00017C65">
        <w:rPr>
          <w:iCs w:val="0"/>
          <w:noProof/>
          <w:color w:val="44546A"/>
        </w:rPr>
        <w:t>2</w:t>
      </w:r>
      <w:r w:rsidRPr="00E50AA7">
        <w:rPr>
          <w:iCs w:val="0"/>
          <w:noProof/>
          <w:color w:val="44546A"/>
        </w:rPr>
        <w:fldChar w:fldCharType="end"/>
      </w:r>
      <w:r w:rsidRPr="00E50AA7">
        <w:rPr>
          <w:iCs w:val="0"/>
          <w:color w:val="44546A"/>
        </w:rPr>
        <w:t xml:space="preserve">. </w:t>
      </w:r>
      <w:r w:rsidR="00EB08FB" w:rsidRPr="005258F8">
        <w:t>Struktura udzielonych zamówień w dziedzinach obronności i bezpieczeństwa w podziale na rodzaj zamówienia</w:t>
      </w:r>
      <w:bookmarkEnd w:id="47"/>
    </w:p>
    <w:tbl>
      <w:tblPr>
        <w:tblW w:w="0" w:type="auto"/>
        <w:tblInd w:w="-5" w:type="dxa"/>
        <w:tblLayout w:type="fixed"/>
        <w:tblLook w:val="04A0" w:firstRow="1" w:lastRow="0" w:firstColumn="1" w:lastColumn="0" w:noHBand="0" w:noVBand="1"/>
        <w:tblCaption w:val="Tabela. Struktura udzielonych zamówień w dziedzinach obronności i bezpieczeństwa w podziale na rodzaj zamówienia."/>
        <w:tblDescription w:val="Tabela. Struktura udzielonych zamówień w dziedzinach obronności i bezpieczeństwa w podziale na rodzaj zamówienia."/>
      </w:tblPr>
      <w:tblGrid>
        <w:gridCol w:w="3374"/>
        <w:gridCol w:w="1842"/>
        <w:gridCol w:w="1842"/>
      </w:tblGrid>
      <w:tr w:rsidR="00EB08FB" w:rsidRPr="00842D79" w14:paraId="02788E34" w14:textId="77777777" w:rsidTr="00E252E7">
        <w:trPr>
          <w:tblHeader/>
        </w:trPr>
        <w:tc>
          <w:tcPr>
            <w:tcW w:w="3374" w:type="dxa"/>
            <w:tcBorders>
              <w:right w:val="single" w:sz="4" w:space="0" w:color="FFFFFF"/>
            </w:tcBorders>
            <w:shd w:val="clear" w:color="auto" w:fill="002060"/>
            <w:vAlign w:val="center"/>
          </w:tcPr>
          <w:p w14:paraId="0A57DFFC" w14:textId="77777777" w:rsidR="00EB08FB" w:rsidRPr="004C4927" w:rsidRDefault="00EB08FB" w:rsidP="00E252E7">
            <w:pPr>
              <w:spacing w:before="60" w:after="60"/>
              <w:jc w:val="center"/>
              <w:rPr>
                <w:b/>
                <w:sz w:val="18"/>
                <w:szCs w:val="18"/>
              </w:rPr>
            </w:pPr>
            <w:r w:rsidRPr="004C4927">
              <w:rPr>
                <w:b/>
                <w:sz w:val="18"/>
                <w:szCs w:val="18"/>
              </w:rPr>
              <w:t>Rodzaj zamówienia</w:t>
            </w:r>
          </w:p>
        </w:tc>
        <w:tc>
          <w:tcPr>
            <w:tcW w:w="1842" w:type="dxa"/>
            <w:tcBorders>
              <w:left w:val="single" w:sz="4" w:space="0" w:color="FFFFFF"/>
            </w:tcBorders>
            <w:shd w:val="clear" w:color="auto" w:fill="002060"/>
            <w:vAlign w:val="center"/>
          </w:tcPr>
          <w:p w14:paraId="683885EF" w14:textId="77777777" w:rsidR="00EB08FB" w:rsidRPr="00842D79" w:rsidRDefault="00EB08FB" w:rsidP="00E252E7">
            <w:pPr>
              <w:spacing w:before="60" w:after="60"/>
              <w:jc w:val="center"/>
              <w:rPr>
                <w:b/>
                <w:sz w:val="18"/>
                <w:szCs w:val="18"/>
              </w:rPr>
            </w:pPr>
            <w:r w:rsidRPr="00842D79">
              <w:rPr>
                <w:b/>
                <w:sz w:val="18"/>
                <w:szCs w:val="18"/>
              </w:rPr>
              <w:t xml:space="preserve">Odsetek liczby </w:t>
            </w:r>
          </w:p>
        </w:tc>
        <w:tc>
          <w:tcPr>
            <w:tcW w:w="1842" w:type="dxa"/>
            <w:tcBorders>
              <w:left w:val="single" w:sz="4" w:space="0" w:color="FFFFFF"/>
            </w:tcBorders>
            <w:shd w:val="clear" w:color="auto" w:fill="002060"/>
            <w:vAlign w:val="center"/>
          </w:tcPr>
          <w:p w14:paraId="5B77154A" w14:textId="77777777" w:rsidR="00EB08FB" w:rsidRPr="00842D79" w:rsidRDefault="00EB08FB" w:rsidP="00E252E7">
            <w:pPr>
              <w:spacing w:before="60" w:after="60"/>
              <w:jc w:val="center"/>
              <w:rPr>
                <w:b/>
                <w:sz w:val="18"/>
                <w:szCs w:val="18"/>
              </w:rPr>
            </w:pPr>
            <w:r w:rsidRPr="00842D79">
              <w:rPr>
                <w:b/>
                <w:sz w:val="18"/>
                <w:szCs w:val="18"/>
              </w:rPr>
              <w:t xml:space="preserve">Odsetek wartości </w:t>
            </w:r>
          </w:p>
        </w:tc>
      </w:tr>
      <w:tr w:rsidR="00EB08FB" w:rsidRPr="00842D79" w14:paraId="5EEFA3B0" w14:textId="77777777" w:rsidTr="00E252E7">
        <w:tc>
          <w:tcPr>
            <w:tcW w:w="3374" w:type="dxa"/>
            <w:tcBorders>
              <w:right w:val="single" w:sz="4" w:space="0" w:color="FFFFFF"/>
            </w:tcBorders>
            <w:vAlign w:val="center"/>
          </w:tcPr>
          <w:p w14:paraId="65F41DF5" w14:textId="77777777" w:rsidR="00EB08FB" w:rsidRPr="004C4927" w:rsidRDefault="00EB08FB" w:rsidP="00E252E7">
            <w:pPr>
              <w:spacing w:before="60" w:after="60"/>
              <w:jc w:val="left"/>
              <w:rPr>
                <w:b/>
                <w:sz w:val="18"/>
                <w:szCs w:val="18"/>
              </w:rPr>
            </w:pPr>
            <w:r w:rsidRPr="004C4927">
              <w:rPr>
                <w:b/>
                <w:sz w:val="18"/>
                <w:szCs w:val="18"/>
              </w:rPr>
              <w:t>Roboty budowlane</w:t>
            </w:r>
          </w:p>
        </w:tc>
        <w:tc>
          <w:tcPr>
            <w:tcW w:w="1842" w:type="dxa"/>
            <w:tcBorders>
              <w:left w:val="single" w:sz="4" w:space="0" w:color="FFFFFF"/>
            </w:tcBorders>
            <w:vAlign w:val="center"/>
          </w:tcPr>
          <w:p w14:paraId="612E1B44" w14:textId="1028863C" w:rsidR="00EB08FB" w:rsidRPr="00E34752" w:rsidRDefault="00EB08FB" w:rsidP="00E252E7">
            <w:pPr>
              <w:autoSpaceDE w:val="0"/>
              <w:autoSpaceDN w:val="0"/>
              <w:adjustRightInd w:val="0"/>
              <w:spacing w:before="60" w:after="60"/>
              <w:jc w:val="center"/>
              <w:rPr>
                <w:rFonts w:cs="Arial"/>
                <w:color w:val="000000"/>
                <w:sz w:val="18"/>
                <w:szCs w:val="18"/>
              </w:rPr>
            </w:pPr>
            <w:r>
              <w:rPr>
                <w:rFonts w:cs="Arial"/>
                <w:color w:val="000000"/>
                <w:sz w:val="18"/>
                <w:szCs w:val="18"/>
              </w:rPr>
              <w:t>4</w:t>
            </w:r>
            <w:r w:rsidRPr="00E34752">
              <w:rPr>
                <w:rFonts w:cs="Arial"/>
                <w:color w:val="000000"/>
                <w:sz w:val="18"/>
                <w:szCs w:val="18"/>
              </w:rPr>
              <w:t>%</w:t>
            </w:r>
          </w:p>
        </w:tc>
        <w:tc>
          <w:tcPr>
            <w:tcW w:w="1842" w:type="dxa"/>
            <w:tcBorders>
              <w:left w:val="single" w:sz="4" w:space="0" w:color="FFFFFF"/>
            </w:tcBorders>
            <w:vAlign w:val="center"/>
          </w:tcPr>
          <w:p w14:paraId="40D8F9B0" w14:textId="7DB264BD" w:rsidR="00EB08FB" w:rsidRPr="00E34752" w:rsidRDefault="00EB08FB" w:rsidP="00E252E7">
            <w:pPr>
              <w:autoSpaceDE w:val="0"/>
              <w:autoSpaceDN w:val="0"/>
              <w:adjustRightInd w:val="0"/>
              <w:spacing w:before="60" w:after="60"/>
              <w:jc w:val="center"/>
              <w:rPr>
                <w:rFonts w:cs="Arial"/>
                <w:color w:val="000000"/>
                <w:sz w:val="18"/>
                <w:szCs w:val="18"/>
              </w:rPr>
            </w:pPr>
            <w:r>
              <w:rPr>
                <w:rFonts w:cs="Arial"/>
                <w:color w:val="000000"/>
                <w:sz w:val="18"/>
                <w:szCs w:val="18"/>
              </w:rPr>
              <w:t>10</w:t>
            </w:r>
            <w:r w:rsidRPr="00E34752">
              <w:rPr>
                <w:rFonts w:cs="Arial"/>
                <w:color w:val="000000"/>
                <w:sz w:val="18"/>
                <w:szCs w:val="18"/>
              </w:rPr>
              <w:t>%</w:t>
            </w:r>
          </w:p>
        </w:tc>
      </w:tr>
      <w:tr w:rsidR="00EB08FB" w:rsidRPr="00842D79" w14:paraId="20B78D8E" w14:textId="77777777" w:rsidTr="00E252E7">
        <w:tc>
          <w:tcPr>
            <w:tcW w:w="3374" w:type="dxa"/>
            <w:tcBorders>
              <w:right w:val="single" w:sz="4" w:space="0" w:color="FFFFFF"/>
            </w:tcBorders>
            <w:shd w:val="clear" w:color="auto" w:fill="00B0F0"/>
            <w:vAlign w:val="center"/>
          </w:tcPr>
          <w:p w14:paraId="2A676D1B" w14:textId="77777777" w:rsidR="00EB08FB" w:rsidRPr="004C4927" w:rsidRDefault="00EB08FB" w:rsidP="00E252E7">
            <w:pPr>
              <w:spacing w:before="60" w:after="60"/>
              <w:jc w:val="left"/>
              <w:rPr>
                <w:b/>
                <w:sz w:val="18"/>
                <w:szCs w:val="18"/>
              </w:rPr>
            </w:pPr>
            <w:r w:rsidRPr="004C4927">
              <w:rPr>
                <w:b/>
                <w:sz w:val="18"/>
                <w:szCs w:val="18"/>
              </w:rPr>
              <w:t>Dostawy</w:t>
            </w:r>
          </w:p>
        </w:tc>
        <w:tc>
          <w:tcPr>
            <w:tcW w:w="1842" w:type="dxa"/>
            <w:tcBorders>
              <w:left w:val="single" w:sz="4" w:space="0" w:color="FFFFFF"/>
            </w:tcBorders>
            <w:shd w:val="clear" w:color="auto" w:fill="00B0F0"/>
            <w:vAlign w:val="center"/>
          </w:tcPr>
          <w:p w14:paraId="5CD17A4D" w14:textId="3FCFA8A9" w:rsidR="00EB08FB" w:rsidRPr="00E34752" w:rsidRDefault="00EB08FB" w:rsidP="00E252E7">
            <w:pPr>
              <w:autoSpaceDE w:val="0"/>
              <w:autoSpaceDN w:val="0"/>
              <w:adjustRightInd w:val="0"/>
              <w:spacing w:before="60" w:after="60"/>
              <w:jc w:val="center"/>
              <w:rPr>
                <w:rFonts w:cs="Arial"/>
                <w:color w:val="000000"/>
                <w:sz w:val="18"/>
                <w:szCs w:val="18"/>
              </w:rPr>
            </w:pPr>
            <w:r>
              <w:rPr>
                <w:rFonts w:cs="Arial"/>
                <w:color w:val="000000"/>
                <w:sz w:val="18"/>
                <w:szCs w:val="18"/>
              </w:rPr>
              <w:t>55</w:t>
            </w:r>
            <w:r w:rsidRPr="00E34752">
              <w:rPr>
                <w:rFonts w:cs="Arial"/>
                <w:color w:val="000000"/>
                <w:sz w:val="18"/>
                <w:szCs w:val="18"/>
              </w:rPr>
              <w:t>%</w:t>
            </w:r>
          </w:p>
        </w:tc>
        <w:tc>
          <w:tcPr>
            <w:tcW w:w="1842" w:type="dxa"/>
            <w:tcBorders>
              <w:left w:val="single" w:sz="4" w:space="0" w:color="FFFFFF"/>
            </w:tcBorders>
            <w:shd w:val="clear" w:color="auto" w:fill="00B0F0"/>
            <w:vAlign w:val="center"/>
          </w:tcPr>
          <w:p w14:paraId="6B4DBF7A" w14:textId="1C863AEE" w:rsidR="00EB08FB" w:rsidRPr="00E34752" w:rsidRDefault="00EB08FB" w:rsidP="00E252E7">
            <w:pPr>
              <w:autoSpaceDE w:val="0"/>
              <w:autoSpaceDN w:val="0"/>
              <w:adjustRightInd w:val="0"/>
              <w:spacing w:before="60" w:after="60"/>
              <w:jc w:val="center"/>
              <w:rPr>
                <w:rFonts w:cs="Arial"/>
                <w:color w:val="000000"/>
                <w:sz w:val="18"/>
                <w:szCs w:val="18"/>
              </w:rPr>
            </w:pPr>
            <w:r>
              <w:rPr>
                <w:rFonts w:cs="Arial"/>
                <w:color w:val="000000"/>
                <w:sz w:val="18"/>
                <w:szCs w:val="18"/>
              </w:rPr>
              <w:t>60</w:t>
            </w:r>
            <w:r w:rsidRPr="00E34752">
              <w:rPr>
                <w:rFonts w:cs="Arial"/>
                <w:color w:val="000000"/>
                <w:sz w:val="18"/>
                <w:szCs w:val="18"/>
              </w:rPr>
              <w:t>%</w:t>
            </w:r>
          </w:p>
        </w:tc>
      </w:tr>
      <w:tr w:rsidR="00EB08FB" w:rsidRPr="00842D79" w14:paraId="28060DB4" w14:textId="77777777" w:rsidTr="00E252E7">
        <w:tc>
          <w:tcPr>
            <w:tcW w:w="3374" w:type="dxa"/>
            <w:tcBorders>
              <w:right w:val="single" w:sz="4" w:space="0" w:color="FFFFFF"/>
            </w:tcBorders>
            <w:vAlign w:val="center"/>
          </w:tcPr>
          <w:p w14:paraId="3CBE3928" w14:textId="77777777" w:rsidR="00EB08FB" w:rsidRPr="004C4927" w:rsidRDefault="00EB08FB" w:rsidP="00E252E7">
            <w:pPr>
              <w:spacing w:before="60" w:after="60"/>
              <w:jc w:val="left"/>
              <w:rPr>
                <w:b/>
                <w:sz w:val="18"/>
                <w:szCs w:val="18"/>
              </w:rPr>
            </w:pPr>
            <w:r w:rsidRPr="004C4927">
              <w:rPr>
                <w:b/>
                <w:sz w:val="18"/>
                <w:szCs w:val="18"/>
              </w:rPr>
              <w:t>Usługi</w:t>
            </w:r>
          </w:p>
        </w:tc>
        <w:tc>
          <w:tcPr>
            <w:tcW w:w="1842" w:type="dxa"/>
            <w:tcBorders>
              <w:left w:val="single" w:sz="4" w:space="0" w:color="FFFFFF"/>
            </w:tcBorders>
            <w:vAlign w:val="center"/>
          </w:tcPr>
          <w:p w14:paraId="68A392B0" w14:textId="648F86A3" w:rsidR="00EB08FB" w:rsidRPr="00E34752" w:rsidRDefault="00EB08FB" w:rsidP="00E252E7">
            <w:pPr>
              <w:autoSpaceDE w:val="0"/>
              <w:autoSpaceDN w:val="0"/>
              <w:adjustRightInd w:val="0"/>
              <w:spacing w:before="60" w:after="60"/>
              <w:jc w:val="center"/>
              <w:rPr>
                <w:rFonts w:cs="Arial"/>
                <w:color w:val="000000"/>
                <w:sz w:val="18"/>
                <w:szCs w:val="18"/>
              </w:rPr>
            </w:pPr>
            <w:r>
              <w:rPr>
                <w:rFonts w:cs="Arial"/>
                <w:color w:val="000000"/>
                <w:sz w:val="18"/>
                <w:szCs w:val="18"/>
              </w:rPr>
              <w:t>41</w:t>
            </w:r>
            <w:r w:rsidRPr="00E34752">
              <w:rPr>
                <w:rFonts w:cs="Arial"/>
                <w:color w:val="000000"/>
                <w:sz w:val="18"/>
                <w:szCs w:val="18"/>
              </w:rPr>
              <w:t>%</w:t>
            </w:r>
          </w:p>
        </w:tc>
        <w:tc>
          <w:tcPr>
            <w:tcW w:w="1842" w:type="dxa"/>
            <w:tcBorders>
              <w:left w:val="single" w:sz="4" w:space="0" w:color="FFFFFF"/>
            </w:tcBorders>
            <w:vAlign w:val="center"/>
          </w:tcPr>
          <w:p w14:paraId="663F5E00" w14:textId="712D14AC" w:rsidR="00EB08FB" w:rsidRPr="00E34752" w:rsidRDefault="00EB08FB" w:rsidP="00E252E7">
            <w:pPr>
              <w:autoSpaceDE w:val="0"/>
              <w:autoSpaceDN w:val="0"/>
              <w:adjustRightInd w:val="0"/>
              <w:spacing w:before="60" w:after="60"/>
              <w:jc w:val="center"/>
              <w:rPr>
                <w:rFonts w:cs="Arial"/>
                <w:color w:val="000000"/>
                <w:sz w:val="18"/>
                <w:szCs w:val="18"/>
              </w:rPr>
            </w:pPr>
            <w:r>
              <w:rPr>
                <w:rFonts w:cs="Arial"/>
                <w:color w:val="000000"/>
                <w:sz w:val="18"/>
                <w:szCs w:val="18"/>
              </w:rPr>
              <w:t>30</w:t>
            </w:r>
            <w:r w:rsidRPr="00E34752">
              <w:rPr>
                <w:rFonts w:cs="Arial"/>
                <w:color w:val="000000"/>
                <w:sz w:val="18"/>
                <w:szCs w:val="18"/>
              </w:rPr>
              <w:t>%</w:t>
            </w:r>
          </w:p>
        </w:tc>
      </w:tr>
    </w:tbl>
    <w:p w14:paraId="1CD5263F" w14:textId="4690D8BA" w:rsidR="00D9194A" w:rsidRPr="008050C6" w:rsidRDefault="00EB08FB" w:rsidP="00D9194A">
      <w:pPr>
        <w:spacing w:before="240" w:line="360" w:lineRule="auto"/>
        <w:jc w:val="left"/>
      </w:pPr>
      <w:r>
        <w:t xml:space="preserve">W 2025 roku, inaczej niż w roku poprzednim, postępowania tego rodzaju najczęściej dotyczyły dostaw. Największe wydatki, podobnie jak w 2024 roku poniesiono również </w:t>
      </w:r>
      <w:r>
        <w:br/>
        <w:t>na dostawy.</w:t>
      </w:r>
      <w:r>
        <w:br/>
      </w:r>
      <w:r w:rsidRPr="00C10DBF">
        <w:t>Zamówienia w dziedzinach obronności i bezpieczeństwa realizowano głównie w trybie przetargu ograniczonego – ponad 63% (w 2024 roku było to 73%) oraz w trybie przetargu nieograniczonego – 20%. Pozostałe 17% zamówień przeprowadzono w innych ustawowych trybach, takich jak negocjacje z ogłoszeniem oraz zamówienie z wolnej ręki.</w:t>
      </w:r>
    </w:p>
    <w:p w14:paraId="5970BF09" w14:textId="4A6F783F" w:rsidR="00077A72" w:rsidRPr="00077A72" w:rsidRDefault="00077A72" w:rsidP="00270CF3">
      <w:pPr>
        <w:pStyle w:val="Nagwek3"/>
      </w:pPr>
      <w:bookmarkStart w:id="48" w:name="_Toc64451854"/>
      <w:bookmarkStart w:id="49" w:name="_Toc233203266"/>
      <w:r w:rsidRPr="00077A72">
        <w:t>I.1.</w:t>
      </w:r>
      <w:r w:rsidR="00857621">
        <w:t>7</w:t>
      </w:r>
      <w:r w:rsidRPr="00077A72">
        <w:t>. Koncesje na roboty budowlane lub usługi</w:t>
      </w:r>
      <w:bookmarkEnd w:id="48"/>
      <w:bookmarkEnd w:id="49"/>
    </w:p>
    <w:p w14:paraId="1E37AA3C" w14:textId="4831F674" w:rsidR="008050C6" w:rsidRPr="005A7728" w:rsidRDefault="009D12D5" w:rsidP="008050C6">
      <w:pPr>
        <w:pStyle w:val="Legenda"/>
      </w:pPr>
      <w:bookmarkStart w:id="50" w:name="_Toc106101473"/>
      <w:bookmarkStart w:id="51" w:name="_Toc233203375"/>
      <w:r w:rsidRPr="00E50AA7">
        <w:rPr>
          <w:iCs w:val="0"/>
          <w:color w:val="44546A"/>
        </w:rPr>
        <w:t xml:space="preserve">Tab. </w:t>
      </w:r>
      <w:r w:rsidRPr="00E50AA7">
        <w:rPr>
          <w:iCs w:val="0"/>
          <w:color w:val="44546A"/>
        </w:rPr>
        <w:fldChar w:fldCharType="begin"/>
      </w:r>
      <w:r w:rsidRPr="00E50AA7">
        <w:rPr>
          <w:iCs w:val="0"/>
          <w:color w:val="44546A"/>
        </w:rPr>
        <w:instrText xml:space="preserve"> SEQ Tab. \* ARABIC </w:instrText>
      </w:r>
      <w:r w:rsidRPr="00E50AA7">
        <w:rPr>
          <w:iCs w:val="0"/>
          <w:color w:val="44546A"/>
        </w:rPr>
        <w:fldChar w:fldCharType="separate"/>
      </w:r>
      <w:r w:rsidR="00017C65">
        <w:rPr>
          <w:iCs w:val="0"/>
          <w:noProof/>
          <w:color w:val="44546A"/>
        </w:rPr>
        <w:t>3</w:t>
      </w:r>
      <w:r w:rsidRPr="00E50AA7">
        <w:rPr>
          <w:iCs w:val="0"/>
          <w:noProof/>
          <w:color w:val="44546A"/>
        </w:rPr>
        <w:fldChar w:fldCharType="end"/>
      </w:r>
      <w:r w:rsidRPr="00E50AA7">
        <w:rPr>
          <w:iCs w:val="0"/>
          <w:color w:val="44546A"/>
        </w:rPr>
        <w:t xml:space="preserve">. </w:t>
      </w:r>
      <w:r w:rsidR="008050C6" w:rsidRPr="005A7728">
        <w:t>Liczba ogłoszeń dotyczących koncesji na roboty budowlane lub usługi</w:t>
      </w:r>
      <w:bookmarkEnd w:id="50"/>
      <w:r w:rsidR="008050C6">
        <w:t xml:space="preserve"> (lata 2021-2025)</w:t>
      </w:r>
      <w:bookmarkEnd w:id="51"/>
    </w:p>
    <w:tbl>
      <w:tblPr>
        <w:tblW w:w="9352" w:type="dxa"/>
        <w:tblLayout w:type="fixed"/>
        <w:tblLook w:val="01E0" w:firstRow="1" w:lastRow="1" w:firstColumn="1" w:lastColumn="1" w:noHBand="0" w:noVBand="0"/>
        <w:tblCaption w:val="Tabela. Liczba ogłoszeń dotyczących koncesji na roboty budowlane lub usługi (lata 2021-2025)."/>
        <w:tblDescription w:val="Tabela. Liczba ogłoszeń dotyczących koncesji na roboty budowlane lub usługi (lata 2021-2025)."/>
      </w:tblPr>
      <w:tblGrid>
        <w:gridCol w:w="3681"/>
        <w:gridCol w:w="709"/>
        <w:gridCol w:w="709"/>
        <w:gridCol w:w="709"/>
        <w:gridCol w:w="709"/>
        <w:gridCol w:w="709"/>
        <w:gridCol w:w="1276"/>
        <w:gridCol w:w="850"/>
      </w:tblGrid>
      <w:tr w:rsidR="008050C6" w:rsidRPr="005A7728" w14:paraId="0F06AD7B" w14:textId="77777777" w:rsidTr="00E252E7">
        <w:trPr>
          <w:cantSplit/>
          <w:trHeight w:val="101"/>
          <w:tblHeader/>
        </w:trPr>
        <w:tc>
          <w:tcPr>
            <w:tcW w:w="3681" w:type="dxa"/>
            <w:vMerge w:val="restart"/>
            <w:tcBorders>
              <w:top w:val="single" w:sz="4" w:space="0" w:color="FFFFFF"/>
              <w:left w:val="single" w:sz="4" w:space="0" w:color="FFFFFF"/>
              <w:bottom w:val="single" w:sz="4" w:space="0" w:color="FFFFFF"/>
              <w:right w:val="single" w:sz="4" w:space="0" w:color="FFFFFF"/>
            </w:tcBorders>
            <w:shd w:val="clear" w:color="auto" w:fill="002060"/>
            <w:vAlign w:val="center"/>
          </w:tcPr>
          <w:p w14:paraId="588A8481" w14:textId="77777777" w:rsidR="008050C6" w:rsidRPr="005A7728" w:rsidRDefault="008050C6" w:rsidP="00E252E7">
            <w:pPr>
              <w:spacing w:before="60" w:after="60"/>
              <w:jc w:val="center"/>
              <w:rPr>
                <w:rFonts w:cs="Arial"/>
                <w:b/>
                <w:sz w:val="18"/>
                <w:szCs w:val="18"/>
              </w:rPr>
            </w:pPr>
            <w:r w:rsidRPr="005A7728">
              <w:rPr>
                <w:rFonts w:cs="Arial"/>
                <w:b/>
                <w:sz w:val="18"/>
                <w:szCs w:val="18"/>
              </w:rPr>
              <w:t>Rodzaj ogłoszenia</w:t>
            </w:r>
          </w:p>
        </w:tc>
        <w:tc>
          <w:tcPr>
            <w:tcW w:w="709" w:type="dxa"/>
            <w:vMerge w:val="restart"/>
            <w:tcBorders>
              <w:top w:val="single" w:sz="4" w:space="0" w:color="FFFFFF"/>
              <w:left w:val="single" w:sz="4" w:space="0" w:color="FFFFFF"/>
              <w:right w:val="single" w:sz="4" w:space="0" w:color="FFFFFF"/>
            </w:tcBorders>
            <w:shd w:val="clear" w:color="auto" w:fill="002060"/>
            <w:vAlign w:val="center"/>
          </w:tcPr>
          <w:p w14:paraId="550A385B" w14:textId="77777777" w:rsidR="008050C6" w:rsidRPr="005A7728" w:rsidRDefault="008050C6" w:rsidP="00E252E7">
            <w:pPr>
              <w:spacing w:before="60" w:after="60"/>
              <w:jc w:val="center"/>
              <w:rPr>
                <w:rFonts w:cs="Arial"/>
                <w:b/>
                <w:sz w:val="18"/>
                <w:szCs w:val="18"/>
              </w:rPr>
            </w:pPr>
            <w:r>
              <w:rPr>
                <w:rFonts w:cs="Arial"/>
                <w:b/>
                <w:sz w:val="18"/>
                <w:szCs w:val="18"/>
              </w:rPr>
              <w:t>2021</w:t>
            </w:r>
          </w:p>
        </w:tc>
        <w:tc>
          <w:tcPr>
            <w:tcW w:w="709" w:type="dxa"/>
            <w:vMerge w:val="restart"/>
            <w:tcBorders>
              <w:top w:val="single" w:sz="4" w:space="0" w:color="FFFFFF"/>
              <w:left w:val="single" w:sz="4" w:space="0" w:color="FFFFFF"/>
              <w:right w:val="single" w:sz="4" w:space="0" w:color="FFFFFF"/>
            </w:tcBorders>
            <w:shd w:val="clear" w:color="auto" w:fill="002060"/>
            <w:vAlign w:val="center"/>
          </w:tcPr>
          <w:p w14:paraId="0420DFB1" w14:textId="77777777" w:rsidR="008050C6" w:rsidRPr="005A7728" w:rsidRDefault="008050C6" w:rsidP="00E252E7">
            <w:pPr>
              <w:spacing w:before="60" w:after="60"/>
              <w:jc w:val="center"/>
              <w:rPr>
                <w:rFonts w:cs="Arial"/>
                <w:b/>
                <w:sz w:val="18"/>
                <w:szCs w:val="18"/>
              </w:rPr>
            </w:pPr>
            <w:r w:rsidRPr="005A7728">
              <w:rPr>
                <w:rFonts w:cs="Arial"/>
                <w:b/>
                <w:sz w:val="18"/>
                <w:szCs w:val="18"/>
              </w:rPr>
              <w:t>202</w:t>
            </w:r>
            <w:r>
              <w:rPr>
                <w:rFonts w:cs="Arial"/>
                <w:b/>
                <w:sz w:val="18"/>
                <w:szCs w:val="18"/>
              </w:rPr>
              <w:t>2</w:t>
            </w:r>
          </w:p>
        </w:tc>
        <w:tc>
          <w:tcPr>
            <w:tcW w:w="709" w:type="dxa"/>
            <w:vMerge w:val="restart"/>
            <w:tcBorders>
              <w:top w:val="single" w:sz="4" w:space="0" w:color="FFFFFF"/>
              <w:left w:val="single" w:sz="4" w:space="0" w:color="FFFFFF"/>
              <w:right w:val="single" w:sz="4" w:space="0" w:color="FFFFFF"/>
            </w:tcBorders>
            <w:shd w:val="clear" w:color="auto" w:fill="002060"/>
            <w:vAlign w:val="center"/>
          </w:tcPr>
          <w:p w14:paraId="7C323A9A" w14:textId="77777777" w:rsidR="008050C6" w:rsidRPr="005A7728" w:rsidRDefault="008050C6" w:rsidP="00E252E7">
            <w:pPr>
              <w:spacing w:before="60" w:after="60"/>
              <w:jc w:val="center"/>
              <w:rPr>
                <w:rFonts w:cs="Arial"/>
                <w:b/>
                <w:sz w:val="18"/>
                <w:szCs w:val="18"/>
              </w:rPr>
            </w:pPr>
            <w:r>
              <w:rPr>
                <w:rFonts w:cs="Arial"/>
                <w:b/>
                <w:sz w:val="18"/>
                <w:szCs w:val="18"/>
              </w:rPr>
              <w:t>2023</w:t>
            </w:r>
          </w:p>
        </w:tc>
        <w:tc>
          <w:tcPr>
            <w:tcW w:w="709" w:type="dxa"/>
            <w:vMerge w:val="restart"/>
            <w:tcBorders>
              <w:top w:val="single" w:sz="4" w:space="0" w:color="FFFFFF"/>
              <w:left w:val="single" w:sz="4" w:space="0" w:color="FFFFFF"/>
              <w:right w:val="single" w:sz="4" w:space="0" w:color="FFFFFF"/>
            </w:tcBorders>
            <w:shd w:val="clear" w:color="auto" w:fill="002060"/>
            <w:vAlign w:val="center"/>
          </w:tcPr>
          <w:p w14:paraId="2DFF13B7" w14:textId="77777777" w:rsidR="008050C6" w:rsidRPr="005A7728" w:rsidRDefault="008050C6" w:rsidP="00E252E7">
            <w:pPr>
              <w:spacing w:before="60" w:after="60"/>
              <w:jc w:val="center"/>
              <w:rPr>
                <w:rFonts w:cs="Arial"/>
                <w:b/>
                <w:sz w:val="18"/>
                <w:szCs w:val="18"/>
              </w:rPr>
            </w:pPr>
            <w:r>
              <w:rPr>
                <w:rFonts w:cs="Arial"/>
                <w:b/>
                <w:sz w:val="18"/>
                <w:szCs w:val="18"/>
              </w:rPr>
              <w:t>2024</w:t>
            </w:r>
          </w:p>
        </w:tc>
        <w:tc>
          <w:tcPr>
            <w:tcW w:w="2835" w:type="dxa"/>
            <w:gridSpan w:val="3"/>
            <w:tcBorders>
              <w:top w:val="single" w:sz="4" w:space="0" w:color="FFFFFF"/>
              <w:left w:val="single" w:sz="4" w:space="0" w:color="FFFFFF"/>
              <w:bottom w:val="single" w:sz="4" w:space="0" w:color="FFFFFF"/>
              <w:right w:val="single" w:sz="4" w:space="0" w:color="FFFFFF"/>
            </w:tcBorders>
            <w:shd w:val="clear" w:color="auto" w:fill="002060"/>
          </w:tcPr>
          <w:p w14:paraId="2DA4315E" w14:textId="77777777" w:rsidR="008050C6" w:rsidRPr="00FA658C" w:rsidRDefault="008050C6" w:rsidP="00E252E7">
            <w:pPr>
              <w:spacing w:before="60" w:after="60"/>
              <w:jc w:val="center"/>
              <w:rPr>
                <w:rFonts w:cs="Arial"/>
                <w:b/>
                <w:sz w:val="18"/>
                <w:szCs w:val="18"/>
              </w:rPr>
            </w:pPr>
            <w:r>
              <w:rPr>
                <w:rFonts w:cs="Arial"/>
                <w:b/>
                <w:sz w:val="18"/>
                <w:szCs w:val="18"/>
              </w:rPr>
              <w:t>2025</w:t>
            </w:r>
          </w:p>
        </w:tc>
      </w:tr>
      <w:tr w:rsidR="008050C6" w:rsidRPr="00FA658C" w14:paraId="37837DCD" w14:textId="77777777" w:rsidTr="00E252E7">
        <w:trPr>
          <w:cantSplit/>
          <w:trHeight w:val="44"/>
          <w:tblHeader/>
        </w:trPr>
        <w:tc>
          <w:tcPr>
            <w:tcW w:w="3681" w:type="dxa"/>
            <w:vMerge/>
            <w:tcBorders>
              <w:top w:val="single" w:sz="4" w:space="0" w:color="FFFFFF"/>
              <w:left w:val="single" w:sz="4" w:space="0" w:color="FFFFFF"/>
              <w:bottom w:val="nil"/>
              <w:right w:val="single" w:sz="4" w:space="0" w:color="FFFFFF"/>
            </w:tcBorders>
            <w:vAlign w:val="center"/>
          </w:tcPr>
          <w:p w14:paraId="0E3A025B" w14:textId="77777777" w:rsidR="008050C6" w:rsidRPr="005A7728" w:rsidRDefault="008050C6" w:rsidP="00E252E7">
            <w:pPr>
              <w:spacing w:before="60" w:after="60"/>
              <w:jc w:val="center"/>
              <w:rPr>
                <w:rFonts w:cs="Arial"/>
                <w:b/>
                <w:sz w:val="18"/>
                <w:szCs w:val="18"/>
              </w:rPr>
            </w:pPr>
          </w:p>
        </w:tc>
        <w:tc>
          <w:tcPr>
            <w:tcW w:w="709" w:type="dxa"/>
            <w:vMerge/>
            <w:tcBorders>
              <w:left w:val="single" w:sz="4" w:space="0" w:color="FFFFFF"/>
              <w:bottom w:val="nil"/>
              <w:right w:val="single" w:sz="4" w:space="0" w:color="FFFFFF"/>
            </w:tcBorders>
            <w:shd w:val="clear" w:color="auto" w:fill="002060"/>
          </w:tcPr>
          <w:p w14:paraId="62791926" w14:textId="77777777" w:rsidR="008050C6" w:rsidRPr="005A7728" w:rsidRDefault="008050C6" w:rsidP="00E252E7">
            <w:pPr>
              <w:spacing w:before="60" w:after="60"/>
              <w:jc w:val="center"/>
              <w:rPr>
                <w:rFonts w:cs="Arial"/>
                <w:b/>
                <w:sz w:val="18"/>
                <w:szCs w:val="18"/>
              </w:rPr>
            </w:pPr>
          </w:p>
        </w:tc>
        <w:tc>
          <w:tcPr>
            <w:tcW w:w="709" w:type="dxa"/>
            <w:vMerge/>
            <w:tcBorders>
              <w:left w:val="single" w:sz="4" w:space="0" w:color="FFFFFF"/>
              <w:bottom w:val="nil"/>
              <w:right w:val="single" w:sz="4" w:space="0" w:color="FFFFFF"/>
            </w:tcBorders>
            <w:shd w:val="clear" w:color="auto" w:fill="002060"/>
            <w:vAlign w:val="center"/>
          </w:tcPr>
          <w:p w14:paraId="5AC6BA91" w14:textId="77777777" w:rsidR="008050C6" w:rsidRPr="005A7728" w:rsidRDefault="008050C6" w:rsidP="00E252E7">
            <w:pPr>
              <w:spacing w:before="60" w:after="60"/>
              <w:jc w:val="center"/>
              <w:rPr>
                <w:rFonts w:cs="Arial"/>
                <w:b/>
                <w:sz w:val="18"/>
                <w:szCs w:val="18"/>
              </w:rPr>
            </w:pPr>
          </w:p>
        </w:tc>
        <w:tc>
          <w:tcPr>
            <w:tcW w:w="709" w:type="dxa"/>
            <w:vMerge/>
            <w:tcBorders>
              <w:left w:val="single" w:sz="4" w:space="0" w:color="FFFFFF"/>
              <w:bottom w:val="nil"/>
              <w:right w:val="single" w:sz="4" w:space="0" w:color="FFFFFF"/>
            </w:tcBorders>
            <w:shd w:val="clear" w:color="auto" w:fill="002060"/>
            <w:vAlign w:val="center"/>
          </w:tcPr>
          <w:p w14:paraId="14F03EDF" w14:textId="77777777" w:rsidR="008050C6" w:rsidRPr="005A7728" w:rsidRDefault="008050C6" w:rsidP="00E252E7">
            <w:pPr>
              <w:spacing w:before="60" w:after="60"/>
              <w:jc w:val="center"/>
              <w:rPr>
                <w:rFonts w:cs="Arial"/>
                <w:b/>
                <w:sz w:val="18"/>
                <w:szCs w:val="18"/>
              </w:rPr>
            </w:pPr>
          </w:p>
        </w:tc>
        <w:tc>
          <w:tcPr>
            <w:tcW w:w="709" w:type="dxa"/>
            <w:vMerge/>
            <w:tcBorders>
              <w:left w:val="single" w:sz="4" w:space="0" w:color="FFFFFF"/>
              <w:bottom w:val="nil"/>
              <w:right w:val="single" w:sz="4" w:space="0" w:color="FFFFFF"/>
            </w:tcBorders>
            <w:shd w:val="clear" w:color="auto" w:fill="002060"/>
          </w:tcPr>
          <w:p w14:paraId="5FA89D98" w14:textId="77777777" w:rsidR="008050C6" w:rsidRPr="005A7728" w:rsidRDefault="008050C6" w:rsidP="00E252E7">
            <w:pPr>
              <w:spacing w:before="60" w:after="60"/>
              <w:jc w:val="center"/>
              <w:rPr>
                <w:b/>
                <w:sz w:val="18"/>
                <w:szCs w:val="18"/>
              </w:rPr>
            </w:pPr>
          </w:p>
        </w:tc>
        <w:tc>
          <w:tcPr>
            <w:tcW w:w="709" w:type="dxa"/>
            <w:tcBorders>
              <w:top w:val="single" w:sz="4" w:space="0" w:color="FFFFFF"/>
              <w:left w:val="single" w:sz="4" w:space="0" w:color="FFFFFF"/>
              <w:bottom w:val="nil"/>
              <w:right w:val="single" w:sz="4" w:space="0" w:color="FFFFFF"/>
            </w:tcBorders>
            <w:shd w:val="clear" w:color="auto" w:fill="002060"/>
            <w:vAlign w:val="center"/>
          </w:tcPr>
          <w:p w14:paraId="62B2ACFA" w14:textId="77777777" w:rsidR="008050C6" w:rsidRPr="00F80F52" w:rsidRDefault="008050C6" w:rsidP="00E252E7">
            <w:pPr>
              <w:spacing w:before="60" w:after="60"/>
              <w:jc w:val="center"/>
              <w:rPr>
                <w:rFonts w:cs="Arial"/>
                <w:b/>
                <w:sz w:val="16"/>
                <w:szCs w:val="16"/>
              </w:rPr>
            </w:pPr>
            <w:r w:rsidRPr="00F80F52">
              <w:rPr>
                <w:rFonts w:cs="Arial"/>
                <w:b/>
                <w:sz w:val="16"/>
                <w:szCs w:val="16"/>
              </w:rPr>
              <w:t>BZP</w:t>
            </w:r>
          </w:p>
        </w:tc>
        <w:tc>
          <w:tcPr>
            <w:tcW w:w="1276" w:type="dxa"/>
            <w:tcBorders>
              <w:top w:val="single" w:sz="4" w:space="0" w:color="FFFFFF"/>
              <w:left w:val="single" w:sz="4" w:space="0" w:color="FFFFFF"/>
              <w:bottom w:val="nil"/>
              <w:right w:val="single" w:sz="4" w:space="0" w:color="FFFFFF"/>
            </w:tcBorders>
            <w:shd w:val="clear" w:color="auto" w:fill="002060"/>
            <w:vAlign w:val="center"/>
          </w:tcPr>
          <w:p w14:paraId="7BA2EE13" w14:textId="77777777" w:rsidR="008050C6" w:rsidRPr="00F80F52" w:rsidRDefault="008050C6" w:rsidP="00E252E7">
            <w:pPr>
              <w:spacing w:before="60" w:after="60"/>
              <w:jc w:val="center"/>
              <w:rPr>
                <w:rFonts w:cs="Arial"/>
                <w:b/>
                <w:sz w:val="16"/>
                <w:szCs w:val="16"/>
              </w:rPr>
            </w:pPr>
            <w:r w:rsidRPr="00F80F52">
              <w:rPr>
                <w:rFonts w:cs="Arial"/>
                <w:b/>
                <w:sz w:val="16"/>
                <w:szCs w:val="16"/>
              </w:rPr>
              <w:t>Dz. Urz. UE</w:t>
            </w:r>
          </w:p>
        </w:tc>
        <w:tc>
          <w:tcPr>
            <w:tcW w:w="850" w:type="dxa"/>
            <w:tcBorders>
              <w:top w:val="single" w:sz="4" w:space="0" w:color="FFFFFF"/>
              <w:left w:val="single" w:sz="4" w:space="0" w:color="FFFFFF"/>
              <w:bottom w:val="nil"/>
              <w:right w:val="single" w:sz="4" w:space="0" w:color="FFFFFF"/>
            </w:tcBorders>
            <w:shd w:val="clear" w:color="auto" w:fill="002060"/>
            <w:vAlign w:val="center"/>
          </w:tcPr>
          <w:p w14:paraId="34944763" w14:textId="77777777" w:rsidR="008050C6" w:rsidRPr="005A7728" w:rsidRDefault="008050C6" w:rsidP="00E252E7">
            <w:pPr>
              <w:spacing w:before="60" w:after="60"/>
              <w:jc w:val="center"/>
              <w:rPr>
                <w:rFonts w:cs="Arial"/>
                <w:b/>
                <w:sz w:val="18"/>
                <w:szCs w:val="18"/>
              </w:rPr>
            </w:pPr>
            <w:r w:rsidRPr="005A7728">
              <w:rPr>
                <w:rFonts w:cs="Arial"/>
                <w:b/>
                <w:sz w:val="18"/>
                <w:szCs w:val="18"/>
              </w:rPr>
              <w:t>Razem</w:t>
            </w:r>
          </w:p>
        </w:tc>
      </w:tr>
      <w:tr w:rsidR="008050C6" w:rsidRPr="00FA658C" w14:paraId="3A862EAF" w14:textId="77777777" w:rsidTr="00E252E7">
        <w:trPr>
          <w:cantSplit/>
          <w:trHeight w:val="44"/>
        </w:trPr>
        <w:tc>
          <w:tcPr>
            <w:tcW w:w="3681" w:type="dxa"/>
            <w:tcBorders>
              <w:top w:val="nil"/>
              <w:left w:val="nil"/>
              <w:bottom w:val="nil"/>
              <w:right w:val="single" w:sz="4" w:space="0" w:color="FFFFFF"/>
            </w:tcBorders>
            <w:vAlign w:val="center"/>
          </w:tcPr>
          <w:p w14:paraId="4A7DFD56" w14:textId="77777777" w:rsidR="008050C6" w:rsidRPr="007718A5" w:rsidRDefault="008050C6" w:rsidP="00E252E7">
            <w:pPr>
              <w:spacing w:before="60" w:after="60"/>
              <w:jc w:val="left"/>
              <w:rPr>
                <w:rFonts w:cs="Arial"/>
                <w:b/>
                <w:bCs/>
                <w:sz w:val="18"/>
                <w:szCs w:val="18"/>
              </w:rPr>
            </w:pPr>
            <w:r w:rsidRPr="007718A5">
              <w:rPr>
                <w:rFonts w:cs="Arial"/>
                <w:b/>
                <w:bCs/>
                <w:sz w:val="18"/>
                <w:szCs w:val="18"/>
              </w:rPr>
              <w:t>O koncesji</w:t>
            </w:r>
          </w:p>
        </w:tc>
        <w:tc>
          <w:tcPr>
            <w:tcW w:w="709" w:type="dxa"/>
            <w:tcBorders>
              <w:top w:val="nil"/>
              <w:left w:val="single" w:sz="4" w:space="0" w:color="FFFFFF"/>
              <w:bottom w:val="nil"/>
              <w:right w:val="single" w:sz="4" w:space="0" w:color="FFFFFF"/>
            </w:tcBorders>
            <w:vAlign w:val="center"/>
          </w:tcPr>
          <w:p w14:paraId="5E6C9A3E" w14:textId="77777777" w:rsidR="008050C6" w:rsidRPr="005A7728" w:rsidRDefault="008050C6" w:rsidP="00E252E7">
            <w:pPr>
              <w:spacing w:before="60" w:after="60"/>
              <w:jc w:val="center"/>
              <w:rPr>
                <w:rFonts w:cs="Arial"/>
                <w:bCs/>
                <w:sz w:val="18"/>
                <w:szCs w:val="18"/>
              </w:rPr>
            </w:pPr>
            <w:r w:rsidRPr="005A7728">
              <w:rPr>
                <w:rFonts w:cs="Arial"/>
                <w:bCs/>
                <w:sz w:val="18"/>
                <w:szCs w:val="18"/>
              </w:rPr>
              <w:t>21</w:t>
            </w:r>
          </w:p>
        </w:tc>
        <w:tc>
          <w:tcPr>
            <w:tcW w:w="709" w:type="dxa"/>
            <w:tcBorders>
              <w:top w:val="nil"/>
              <w:left w:val="single" w:sz="4" w:space="0" w:color="FFFFFF"/>
              <w:bottom w:val="nil"/>
              <w:right w:val="single" w:sz="4" w:space="0" w:color="FFFFFF"/>
            </w:tcBorders>
            <w:vAlign w:val="center"/>
          </w:tcPr>
          <w:p w14:paraId="076619BD" w14:textId="77777777" w:rsidR="008050C6" w:rsidRPr="005A7728" w:rsidRDefault="008050C6" w:rsidP="00E252E7">
            <w:pPr>
              <w:spacing w:before="60" w:after="60"/>
              <w:jc w:val="center"/>
              <w:rPr>
                <w:rFonts w:cs="Arial"/>
                <w:sz w:val="18"/>
                <w:szCs w:val="18"/>
              </w:rPr>
            </w:pPr>
            <w:r>
              <w:rPr>
                <w:rFonts w:cs="Arial"/>
                <w:bCs/>
                <w:sz w:val="18"/>
                <w:szCs w:val="18"/>
              </w:rPr>
              <w:t>10</w:t>
            </w:r>
          </w:p>
        </w:tc>
        <w:tc>
          <w:tcPr>
            <w:tcW w:w="709" w:type="dxa"/>
            <w:tcBorders>
              <w:top w:val="nil"/>
              <w:left w:val="single" w:sz="4" w:space="0" w:color="FFFFFF"/>
              <w:bottom w:val="nil"/>
              <w:right w:val="single" w:sz="4" w:space="0" w:color="FFFFFF"/>
            </w:tcBorders>
            <w:vAlign w:val="center"/>
          </w:tcPr>
          <w:p w14:paraId="72F619A2" w14:textId="77777777" w:rsidR="008050C6" w:rsidRPr="005A7728" w:rsidRDefault="008050C6" w:rsidP="00E252E7">
            <w:pPr>
              <w:spacing w:before="60" w:after="60"/>
              <w:jc w:val="center"/>
              <w:rPr>
                <w:rFonts w:cs="Arial"/>
                <w:sz w:val="18"/>
                <w:szCs w:val="18"/>
              </w:rPr>
            </w:pPr>
            <w:r>
              <w:rPr>
                <w:rFonts w:cs="Arial"/>
                <w:bCs/>
                <w:sz w:val="18"/>
                <w:szCs w:val="18"/>
              </w:rPr>
              <w:t>17</w:t>
            </w:r>
          </w:p>
        </w:tc>
        <w:tc>
          <w:tcPr>
            <w:tcW w:w="709" w:type="dxa"/>
            <w:tcBorders>
              <w:top w:val="nil"/>
              <w:left w:val="single" w:sz="4" w:space="0" w:color="FFFFFF"/>
              <w:bottom w:val="nil"/>
              <w:right w:val="single" w:sz="4" w:space="0" w:color="FFFFFF"/>
            </w:tcBorders>
            <w:vAlign w:val="center"/>
          </w:tcPr>
          <w:p w14:paraId="664261F9" w14:textId="77777777" w:rsidR="008050C6" w:rsidRPr="005A7728" w:rsidRDefault="008050C6" w:rsidP="00E252E7">
            <w:pPr>
              <w:spacing w:before="60" w:after="60"/>
              <w:jc w:val="center"/>
              <w:rPr>
                <w:rFonts w:cs="Arial"/>
                <w:bCs/>
                <w:sz w:val="18"/>
                <w:szCs w:val="18"/>
              </w:rPr>
            </w:pPr>
            <w:r>
              <w:rPr>
                <w:rFonts w:cs="Arial"/>
                <w:bCs/>
                <w:sz w:val="18"/>
                <w:szCs w:val="18"/>
              </w:rPr>
              <w:t>33</w:t>
            </w:r>
          </w:p>
        </w:tc>
        <w:tc>
          <w:tcPr>
            <w:tcW w:w="709" w:type="dxa"/>
            <w:tcBorders>
              <w:top w:val="nil"/>
              <w:left w:val="single" w:sz="4" w:space="0" w:color="FFFFFF"/>
              <w:bottom w:val="nil"/>
              <w:right w:val="nil"/>
            </w:tcBorders>
            <w:vAlign w:val="center"/>
          </w:tcPr>
          <w:p w14:paraId="1BB56CB2" w14:textId="77777777" w:rsidR="008050C6" w:rsidRPr="00F80F52" w:rsidRDefault="008050C6" w:rsidP="00E252E7">
            <w:pPr>
              <w:spacing w:before="60" w:after="60"/>
              <w:jc w:val="center"/>
              <w:rPr>
                <w:rFonts w:cs="Arial"/>
                <w:bCs/>
                <w:sz w:val="16"/>
                <w:szCs w:val="16"/>
              </w:rPr>
            </w:pPr>
            <w:r>
              <w:rPr>
                <w:rFonts w:cs="Arial"/>
                <w:bCs/>
                <w:sz w:val="16"/>
                <w:szCs w:val="16"/>
              </w:rPr>
              <w:t>6</w:t>
            </w:r>
          </w:p>
        </w:tc>
        <w:tc>
          <w:tcPr>
            <w:tcW w:w="1276" w:type="dxa"/>
            <w:tcBorders>
              <w:top w:val="nil"/>
              <w:left w:val="single" w:sz="4" w:space="0" w:color="FFFFFF"/>
              <w:bottom w:val="nil"/>
              <w:right w:val="nil"/>
            </w:tcBorders>
            <w:vAlign w:val="center"/>
          </w:tcPr>
          <w:p w14:paraId="1A1796F9" w14:textId="3DD72A71" w:rsidR="008050C6" w:rsidRPr="00F80F52" w:rsidRDefault="008050C6" w:rsidP="00E252E7">
            <w:pPr>
              <w:spacing w:before="60" w:after="60"/>
              <w:jc w:val="center"/>
              <w:rPr>
                <w:rFonts w:cs="Arial"/>
                <w:bCs/>
                <w:sz w:val="16"/>
                <w:szCs w:val="16"/>
              </w:rPr>
            </w:pPr>
            <w:r>
              <w:rPr>
                <w:rFonts w:cs="Arial"/>
                <w:bCs/>
                <w:sz w:val="16"/>
                <w:szCs w:val="16"/>
              </w:rPr>
              <w:t>6</w:t>
            </w:r>
          </w:p>
        </w:tc>
        <w:tc>
          <w:tcPr>
            <w:tcW w:w="850" w:type="dxa"/>
            <w:tcBorders>
              <w:top w:val="nil"/>
              <w:left w:val="single" w:sz="4" w:space="0" w:color="FFFFFF"/>
              <w:bottom w:val="nil"/>
              <w:right w:val="nil"/>
            </w:tcBorders>
            <w:vAlign w:val="center"/>
          </w:tcPr>
          <w:p w14:paraId="16078BAD" w14:textId="77777777" w:rsidR="008050C6" w:rsidRPr="00FA658C" w:rsidRDefault="008050C6" w:rsidP="00E252E7">
            <w:pPr>
              <w:spacing w:before="60" w:after="60"/>
              <w:jc w:val="center"/>
              <w:rPr>
                <w:rFonts w:cs="Arial"/>
                <w:bCs/>
                <w:sz w:val="18"/>
                <w:szCs w:val="18"/>
              </w:rPr>
            </w:pPr>
            <w:r>
              <w:rPr>
                <w:rFonts w:cs="Arial"/>
                <w:bCs/>
                <w:sz w:val="18"/>
                <w:szCs w:val="18"/>
              </w:rPr>
              <w:t>13</w:t>
            </w:r>
          </w:p>
        </w:tc>
      </w:tr>
      <w:tr w:rsidR="008050C6" w:rsidRPr="00FA658C" w14:paraId="6D08A5A9" w14:textId="77777777" w:rsidTr="00E252E7">
        <w:trPr>
          <w:cantSplit/>
          <w:trHeight w:val="59"/>
        </w:trPr>
        <w:tc>
          <w:tcPr>
            <w:tcW w:w="3681" w:type="dxa"/>
            <w:tcBorders>
              <w:top w:val="nil"/>
              <w:left w:val="nil"/>
              <w:bottom w:val="nil"/>
              <w:right w:val="single" w:sz="4" w:space="0" w:color="FFFFFF"/>
            </w:tcBorders>
            <w:shd w:val="clear" w:color="auto" w:fill="00B0F0"/>
            <w:vAlign w:val="center"/>
          </w:tcPr>
          <w:p w14:paraId="48B9CA50" w14:textId="77777777" w:rsidR="008050C6" w:rsidRPr="007718A5" w:rsidRDefault="008050C6" w:rsidP="00E252E7">
            <w:pPr>
              <w:spacing w:before="60" w:after="60"/>
              <w:jc w:val="left"/>
              <w:rPr>
                <w:rFonts w:cs="Arial"/>
                <w:b/>
                <w:bCs/>
                <w:sz w:val="18"/>
                <w:szCs w:val="18"/>
              </w:rPr>
            </w:pPr>
            <w:r w:rsidRPr="007718A5">
              <w:rPr>
                <w:rFonts w:cs="Arial"/>
                <w:b/>
                <w:bCs/>
                <w:sz w:val="18"/>
                <w:szCs w:val="18"/>
              </w:rPr>
              <w:t>O zmianie ogłoszenia</w:t>
            </w:r>
          </w:p>
        </w:tc>
        <w:tc>
          <w:tcPr>
            <w:tcW w:w="709" w:type="dxa"/>
            <w:tcBorders>
              <w:top w:val="nil"/>
              <w:left w:val="single" w:sz="4" w:space="0" w:color="FFFFFF"/>
              <w:bottom w:val="nil"/>
              <w:right w:val="single" w:sz="4" w:space="0" w:color="FFFFFF"/>
            </w:tcBorders>
            <w:shd w:val="clear" w:color="auto" w:fill="00B0F0"/>
            <w:vAlign w:val="center"/>
          </w:tcPr>
          <w:p w14:paraId="1A9337A1" w14:textId="77777777" w:rsidR="008050C6" w:rsidRPr="005A7728" w:rsidRDefault="008050C6" w:rsidP="00E252E7">
            <w:pPr>
              <w:spacing w:before="60" w:after="60"/>
              <w:jc w:val="center"/>
              <w:rPr>
                <w:rFonts w:cs="Arial"/>
                <w:bCs/>
                <w:sz w:val="18"/>
                <w:szCs w:val="18"/>
              </w:rPr>
            </w:pPr>
            <w:r w:rsidRPr="005A7728">
              <w:rPr>
                <w:rFonts w:cs="Arial"/>
                <w:bCs/>
                <w:sz w:val="18"/>
                <w:szCs w:val="18"/>
              </w:rPr>
              <w:t>10</w:t>
            </w:r>
          </w:p>
        </w:tc>
        <w:tc>
          <w:tcPr>
            <w:tcW w:w="709" w:type="dxa"/>
            <w:tcBorders>
              <w:top w:val="nil"/>
              <w:left w:val="single" w:sz="4" w:space="0" w:color="FFFFFF"/>
              <w:bottom w:val="nil"/>
              <w:right w:val="single" w:sz="4" w:space="0" w:color="FFFFFF"/>
            </w:tcBorders>
            <w:shd w:val="clear" w:color="auto" w:fill="00B0F0"/>
            <w:vAlign w:val="center"/>
          </w:tcPr>
          <w:p w14:paraId="1CC9E9CA" w14:textId="77777777" w:rsidR="008050C6" w:rsidRPr="005A7728" w:rsidRDefault="008050C6" w:rsidP="00E252E7">
            <w:pPr>
              <w:spacing w:before="60" w:after="60"/>
              <w:jc w:val="center"/>
              <w:rPr>
                <w:rFonts w:cs="Arial"/>
                <w:sz w:val="18"/>
                <w:szCs w:val="18"/>
              </w:rPr>
            </w:pPr>
            <w:r>
              <w:rPr>
                <w:rFonts w:cs="Arial"/>
                <w:bCs/>
                <w:sz w:val="18"/>
                <w:szCs w:val="18"/>
              </w:rPr>
              <w:t>10</w:t>
            </w:r>
          </w:p>
        </w:tc>
        <w:tc>
          <w:tcPr>
            <w:tcW w:w="709" w:type="dxa"/>
            <w:tcBorders>
              <w:top w:val="nil"/>
              <w:left w:val="single" w:sz="4" w:space="0" w:color="FFFFFF"/>
              <w:bottom w:val="nil"/>
              <w:right w:val="single" w:sz="4" w:space="0" w:color="FFFFFF"/>
            </w:tcBorders>
            <w:shd w:val="clear" w:color="auto" w:fill="00B0F0"/>
            <w:vAlign w:val="center"/>
          </w:tcPr>
          <w:p w14:paraId="091ABD1B" w14:textId="77777777" w:rsidR="008050C6" w:rsidRPr="005A7728" w:rsidRDefault="008050C6" w:rsidP="00E252E7">
            <w:pPr>
              <w:spacing w:before="60" w:after="60"/>
              <w:jc w:val="center"/>
              <w:rPr>
                <w:rFonts w:cs="Arial"/>
                <w:sz w:val="18"/>
                <w:szCs w:val="18"/>
              </w:rPr>
            </w:pPr>
            <w:r>
              <w:rPr>
                <w:rFonts w:cs="Arial"/>
                <w:bCs/>
                <w:sz w:val="18"/>
                <w:szCs w:val="18"/>
              </w:rPr>
              <w:t>6</w:t>
            </w:r>
          </w:p>
        </w:tc>
        <w:tc>
          <w:tcPr>
            <w:tcW w:w="709" w:type="dxa"/>
            <w:tcBorders>
              <w:top w:val="nil"/>
              <w:left w:val="single" w:sz="4" w:space="0" w:color="FFFFFF"/>
              <w:bottom w:val="nil"/>
              <w:right w:val="single" w:sz="4" w:space="0" w:color="FFFFFF"/>
            </w:tcBorders>
            <w:shd w:val="clear" w:color="auto" w:fill="00B0F0"/>
            <w:vAlign w:val="center"/>
          </w:tcPr>
          <w:p w14:paraId="61D57CAA" w14:textId="77777777" w:rsidR="008050C6" w:rsidRPr="005A7728" w:rsidRDefault="008050C6" w:rsidP="00E252E7">
            <w:pPr>
              <w:spacing w:before="60" w:after="60"/>
              <w:jc w:val="center"/>
              <w:rPr>
                <w:rFonts w:cs="Arial"/>
                <w:bCs/>
                <w:sz w:val="18"/>
                <w:szCs w:val="18"/>
              </w:rPr>
            </w:pPr>
            <w:r>
              <w:rPr>
                <w:rFonts w:cs="Arial"/>
                <w:bCs/>
                <w:sz w:val="18"/>
                <w:szCs w:val="18"/>
              </w:rPr>
              <w:t>5</w:t>
            </w:r>
          </w:p>
        </w:tc>
        <w:tc>
          <w:tcPr>
            <w:tcW w:w="709" w:type="dxa"/>
            <w:tcBorders>
              <w:top w:val="nil"/>
              <w:left w:val="single" w:sz="4" w:space="0" w:color="FFFFFF"/>
              <w:bottom w:val="nil"/>
              <w:right w:val="nil"/>
            </w:tcBorders>
            <w:shd w:val="clear" w:color="auto" w:fill="00B0F0"/>
            <w:vAlign w:val="center"/>
          </w:tcPr>
          <w:p w14:paraId="561C6704" w14:textId="77777777" w:rsidR="008050C6" w:rsidRPr="00F80F52" w:rsidRDefault="008050C6" w:rsidP="00E252E7">
            <w:pPr>
              <w:spacing w:before="60" w:after="60"/>
              <w:jc w:val="center"/>
              <w:rPr>
                <w:rFonts w:cs="Arial"/>
                <w:bCs/>
                <w:sz w:val="16"/>
                <w:szCs w:val="16"/>
              </w:rPr>
            </w:pPr>
            <w:r>
              <w:rPr>
                <w:rFonts w:cs="Arial"/>
                <w:bCs/>
                <w:sz w:val="16"/>
                <w:szCs w:val="16"/>
              </w:rPr>
              <w:t>2</w:t>
            </w:r>
          </w:p>
        </w:tc>
        <w:tc>
          <w:tcPr>
            <w:tcW w:w="1276" w:type="dxa"/>
            <w:tcBorders>
              <w:top w:val="nil"/>
              <w:left w:val="single" w:sz="4" w:space="0" w:color="FFFFFF"/>
              <w:bottom w:val="nil"/>
              <w:right w:val="nil"/>
            </w:tcBorders>
            <w:shd w:val="clear" w:color="auto" w:fill="00B0F0"/>
            <w:vAlign w:val="center"/>
          </w:tcPr>
          <w:p w14:paraId="1AA8D574" w14:textId="77777777" w:rsidR="008050C6" w:rsidRPr="00F80F52" w:rsidRDefault="008050C6" w:rsidP="00E252E7">
            <w:pPr>
              <w:spacing w:before="60" w:after="60"/>
              <w:jc w:val="center"/>
              <w:rPr>
                <w:rFonts w:cs="Arial"/>
                <w:bCs/>
                <w:sz w:val="16"/>
                <w:szCs w:val="16"/>
              </w:rPr>
            </w:pPr>
            <w:r>
              <w:rPr>
                <w:rFonts w:cs="Arial"/>
                <w:bCs/>
                <w:sz w:val="16"/>
                <w:szCs w:val="16"/>
              </w:rPr>
              <w:t>0</w:t>
            </w:r>
          </w:p>
        </w:tc>
        <w:tc>
          <w:tcPr>
            <w:tcW w:w="850" w:type="dxa"/>
            <w:tcBorders>
              <w:top w:val="nil"/>
              <w:left w:val="single" w:sz="4" w:space="0" w:color="FFFFFF"/>
              <w:bottom w:val="nil"/>
              <w:right w:val="nil"/>
            </w:tcBorders>
            <w:shd w:val="clear" w:color="auto" w:fill="00B0F0"/>
            <w:vAlign w:val="center"/>
          </w:tcPr>
          <w:p w14:paraId="5A11842D" w14:textId="77777777" w:rsidR="008050C6" w:rsidRPr="00FA658C" w:rsidRDefault="008050C6" w:rsidP="00E252E7">
            <w:pPr>
              <w:spacing w:before="60" w:after="60"/>
              <w:jc w:val="center"/>
              <w:rPr>
                <w:rFonts w:cs="Arial"/>
                <w:bCs/>
                <w:sz w:val="18"/>
                <w:szCs w:val="18"/>
              </w:rPr>
            </w:pPr>
            <w:r>
              <w:rPr>
                <w:rFonts w:cs="Arial"/>
                <w:bCs/>
                <w:sz w:val="18"/>
                <w:szCs w:val="18"/>
              </w:rPr>
              <w:t>2</w:t>
            </w:r>
          </w:p>
        </w:tc>
      </w:tr>
      <w:tr w:rsidR="008050C6" w:rsidRPr="00FA658C" w14:paraId="09B6F3E8" w14:textId="77777777" w:rsidTr="00E252E7">
        <w:trPr>
          <w:cantSplit/>
          <w:trHeight w:val="106"/>
        </w:trPr>
        <w:tc>
          <w:tcPr>
            <w:tcW w:w="3681" w:type="dxa"/>
            <w:tcBorders>
              <w:top w:val="nil"/>
              <w:left w:val="nil"/>
              <w:bottom w:val="nil"/>
              <w:right w:val="single" w:sz="4" w:space="0" w:color="FFFFFF"/>
            </w:tcBorders>
            <w:vAlign w:val="center"/>
          </w:tcPr>
          <w:p w14:paraId="7FC83323" w14:textId="77777777" w:rsidR="008050C6" w:rsidRPr="007718A5" w:rsidRDefault="008050C6" w:rsidP="00E252E7">
            <w:pPr>
              <w:spacing w:before="60" w:after="60"/>
              <w:jc w:val="left"/>
              <w:rPr>
                <w:rFonts w:cs="Arial"/>
                <w:b/>
                <w:bCs/>
                <w:sz w:val="18"/>
                <w:szCs w:val="18"/>
              </w:rPr>
            </w:pPr>
            <w:r w:rsidRPr="007718A5">
              <w:rPr>
                <w:rFonts w:cs="Arial"/>
                <w:b/>
                <w:bCs/>
                <w:sz w:val="18"/>
                <w:szCs w:val="18"/>
              </w:rPr>
              <w:t>O zamiarze zawarcia umowy koncesji</w:t>
            </w:r>
          </w:p>
        </w:tc>
        <w:tc>
          <w:tcPr>
            <w:tcW w:w="709" w:type="dxa"/>
            <w:tcBorders>
              <w:top w:val="nil"/>
              <w:left w:val="single" w:sz="4" w:space="0" w:color="FFFFFF"/>
              <w:bottom w:val="nil"/>
              <w:right w:val="single" w:sz="4" w:space="0" w:color="FFFFFF"/>
            </w:tcBorders>
            <w:vAlign w:val="center"/>
          </w:tcPr>
          <w:p w14:paraId="3E5EB189" w14:textId="77777777" w:rsidR="008050C6" w:rsidRPr="005A7728" w:rsidRDefault="008050C6" w:rsidP="00E252E7">
            <w:pPr>
              <w:spacing w:before="60" w:after="60"/>
              <w:jc w:val="center"/>
              <w:rPr>
                <w:rFonts w:cs="Arial"/>
                <w:bCs/>
                <w:sz w:val="18"/>
                <w:szCs w:val="18"/>
              </w:rPr>
            </w:pPr>
            <w:r w:rsidRPr="005A7728">
              <w:rPr>
                <w:rFonts w:cs="Arial"/>
                <w:bCs/>
                <w:sz w:val="18"/>
                <w:szCs w:val="18"/>
              </w:rPr>
              <w:t>1</w:t>
            </w:r>
          </w:p>
        </w:tc>
        <w:tc>
          <w:tcPr>
            <w:tcW w:w="709" w:type="dxa"/>
            <w:tcBorders>
              <w:top w:val="nil"/>
              <w:left w:val="single" w:sz="4" w:space="0" w:color="FFFFFF"/>
              <w:bottom w:val="nil"/>
              <w:right w:val="single" w:sz="4" w:space="0" w:color="FFFFFF"/>
            </w:tcBorders>
            <w:vAlign w:val="center"/>
          </w:tcPr>
          <w:p w14:paraId="51CDBD4B" w14:textId="77777777" w:rsidR="008050C6" w:rsidRPr="005A7728" w:rsidRDefault="008050C6" w:rsidP="00E252E7">
            <w:pPr>
              <w:spacing w:before="60" w:after="60"/>
              <w:jc w:val="center"/>
              <w:rPr>
                <w:rFonts w:cs="Arial"/>
                <w:sz w:val="18"/>
                <w:szCs w:val="18"/>
              </w:rPr>
            </w:pPr>
            <w:r>
              <w:rPr>
                <w:rFonts w:cs="Arial"/>
                <w:bCs/>
                <w:sz w:val="18"/>
                <w:szCs w:val="18"/>
              </w:rPr>
              <w:t>2</w:t>
            </w:r>
          </w:p>
        </w:tc>
        <w:tc>
          <w:tcPr>
            <w:tcW w:w="709" w:type="dxa"/>
            <w:tcBorders>
              <w:top w:val="nil"/>
              <w:left w:val="single" w:sz="4" w:space="0" w:color="FFFFFF"/>
              <w:bottom w:val="nil"/>
              <w:right w:val="single" w:sz="4" w:space="0" w:color="FFFFFF"/>
            </w:tcBorders>
            <w:vAlign w:val="center"/>
          </w:tcPr>
          <w:p w14:paraId="5CE3CEFF" w14:textId="77777777" w:rsidR="008050C6" w:rsidRPr="005A7728" w:rsidRDefault="008050C6" w:rsidP="00E252E7">
            <w:pPr>
              <w:spacing w:before="60" w:after="60"/>
              <w:jc w:val="center"/>
              <w:rPr>
                <w:rFonts w:cs="Arial"/>
                <w:sz w:val="18"/>
                <w:szCs w:val="18"/>
              </w:rPr>
            </w:pPr>
            <w:r>
              <w:rPr>
                <w:rFonts w:cs="Arial"/>
                <w:bCs/>
                <w:sz w:val="18"/>
                <w:szCs w:val="18"/>
              </w:rPr>
              <w:t>7</w:t>
            </w:r>
          </w:p>
        </w:tc>
        <w:tc>
          <w:tcPr>
            <w:tcW w:w="709" w:type="dxa"/>
            <w:tcBorders>
              <w:top w:val="nil"/>
              <w:left w:val="single" w:sz="4" w:space="0" w:color="FFFFFF"/>
              <w:bottom w:val="nil"/>
              <w:right w:val="single" w:sz="4" w:space="0" w:color="FFFFFF"/>
            </w:tcBorders>
            <w:vAlign w:val="center"/>
          </w:tcPr>
          <w:p w14:paraId="2A88E3EE" w14:textId="77777777" w:rsidR="008050C6" w:rsidRPr="005A7728" w:rsidRDefault="008050C6" w:rsidP="00E252E7">
            <w:pPr>
              <w:spacing w:before="60" w:after="60"/>
              <w:jc w:val="center"/>
              <w:rPr>
                <w:rFonts w:cs="Arial"/>
                <w:bCs/>
                <w:sz w:val="18"/>
                <w:szCs w:val="18"/>
              </w:rPr>
            </w:pPr>
            <w:r>
              <w:rPr>
                <w:rFonts w:cs="Arial"/>
                <w:bCs/>
                <w:sz w:val="18"/>
                <w:szCs w:val="18"/>
              </w:rPr>
              <w:t>3</w:t>
            </w:r>
          </w:p>
        </w:tc>
        <w:tc>
          <w:tcPr>
            <w:tcW w:w="709" w:type="dxa"/>
            <w:tcBorders>
              <w:top w:val="nil"/>
              <w:left w:val="single" w:sz="4" w:space="0" w:color="FFFFFF"/>
              <w:bottom w:val="nil"/>
              <w:right w:val="nil"/>
            </w:tcBorders>
            <w:vAlign w:val="center"/>
          </w:tcPr>
          <w:p w14:paraId="609CEC63" w14:textId="77777777" w:rsidR="008050C6" w:rsidRPr="00F80F52" w:rsidRDefault="008050C6" w:rsidP="00E252E7">
            <w:pPr>
              <w:spacing w:before="60" w:after="60"/>
              <w:jc w:val="center"/>
              <w:rPr>
                <w:rFonts w:cs="Arial"/>
                <w:bCs/>
                <w:sz w:val="16"/>
                <w:szCs w:val="16"/>
              </w:rPr>
            </w:pPr>
            <w:r>
              <w:rPr>
                <w:rFonts w:cs="Arial"/>
                <w:bCs/>
                <w:sz w:val="16"/>
                <w:szCs w:val="16"/>
              </w:rPr>
              <w:t>0</w:t>
            </w:r>
          </w:p>
        </w:tc>
        <w:tc>
          <w:tcPr>
            <w:tcW w:w="1276" w:type="dxa"/>
            <w:tcBorders>
              <w:top w:val="nil"/>
              <w:left w:val="single" w:sz="4" w:space="0" w:color="FFFFFF"/>
              <w:bottom w:val="nil"/>
              <w:right w:val="nil"/>
            </w:tcBorders>
            <w:vAlign w:val="center"/>
          </w:tcPr>
          <w:p w14:paraId="7F258460" w14:textId="77777777" w:rsidR="008050C6" w:rsidRPr="00F80F52" w:rsidRDefault="008050C6" w:rsidP="00E252E7">
            <w:pPr>
              <w:spacing w:before="60" w:after="60"/>
              <w:jc w:val="center"/>
              <w:rPr>
                <w:rFonts w:cs="Arial"/>
                <w:bCs/>
                <w:sz w:val="16"/>
                <w:szCs w:val="16"/>
              </w:rPr>
            </w:pPr>
            <w:r>
              <w:rPr>
                <w:rFonts w:cs="Arial"/>
                <w:bCs/>
                <w:sz w:val="16"/>
                <w:szCs w:val="16"/>
              </w:rPr>
              <w:t>0</w:t>
            </w:r>
          </w:p>
        </w:tc>
        <w:tc>
          <w:tcPr>
            <w:tcW w:w="850" w:type="dxa"/>
            <w:tcBorders>
              <w:top w:val="nil"/>
              <w:left w:val="single" w:sz="4" w:space="0" w:color="FFFFFF"/>
              <w:bottom w:val="nil"/>
              <w:right w:val="nil"/>
            </w:tcBorders>
            <w:vAlign w:val="center"/>
          </w:tcPr>
          <w:p w14:paraId="5D546516" w14:textId="77777777" w:rsidR="008050C6" w:rsidRPr="00FA658C" w:rsidRDefault="008050C6" w:rsidP="00E252E7">
            <w:pPr>
              <w:spacing w:before="60" w:after="60"/>
              <w:jc w:val="center"/>
              <w:rPr>
                <w:rFonts w:cs="Arial"/>
                <w:bCs/>
                <w:sz w:val="18"/>
                <w:szCs w:val="18"/>
              </w:rPr>
            </w:pPr>
            <w:r>
              <w:rPr>
                <w:rFonts w:cs="Arial"/>
                <w:bCs/>
                <w:sz w:val="18"/>
                <w:szCs w:val="18"/>
              </w:rPr>
              <w:t>0</w:t>
            </w:r>
          </w:p>
        </w:tc>
      </w:tr>
      <w:tr w:rsidR="008050C6" w:rsidRPr="00FA658C" w14:paraId="002A464B" w14:textId="77777777" w:rsidTr="00E252E7">
        <w:trPr>
          <w:cantSplit/>
          <w:trHeight w:val="151"/>
        </w:trPr>
        <w:tc>
          <w:tcPr>
            <w:tcW w:w="3681" w:type="dxa"/>
            <w:tcBorders>
              <w:top w:val="nil"/>
              <w:left w:val="nil"/>
              <w:bottom w:val="nil"/>
              <w:right w:val="single" w:sz="4" w:space="0" w:color="FFFFFF"/>
            </w:tcBorders>
            <w:shd w:val="clear" w:color="auto" w:fill="00B0F0"/>
            <w:vAlign w:val="center"/>
          </w:tcPr>
          <w:p w14:paraId="4AB7C8DF" w14:textId="77777777" w:rsidR="008050C6" w:rsidRPr="007718A5" w:rsidRDefault="008050C6" w:rsidP="00E252E7">
            <w:pPr>
              <w:spacing w:before="60" w:after="60"/>
              <w:jc w:val="left"/>
              <w:rPr>
                <w:rFonts w:cs="Arial"/>
                <w:b/>
                <w:bCs/>
                <w:sz w:val="18"/>
                <w:szCs w:val="18"/>
              </w:rPr>
            </w:pPr>
            <w:r w:rsidRPr="007718A5">
              <w:rPr>
                <w:rFonts w:cs="Arial"/>
                <w:b/>
                <w:bCs/>
                <w:sz w:val="18"/>
                <w:szCs w:val="18"/>
              </w:rPr>
              <w:t>O zawarciu umowy koncesji</w:t>
            </w:r>
          </w:p>
        </w:tc>
        <w:tc>
          <w:tcPr>
            <w:tcW w:w="709" w:type="dxa"/>
            <w:tcBorders>
              <w:top w:val="nil"/>
              <w:left w:val="single" w:sz="4" w:space="0" w:color="FFFFFF"/>
              <w:bottom w:val="nil"/>
              <w:right w:val="single" w:sz="4" w:space="0" w:color="FFFFFF"/>
            </w:tcBorders>
            <w:shd w:val="clear" w:color="auto" w:fill="00B0F0"/>
            <w:vAlign w:val="center"/>
          </w:tcPr>
          <w:p w14:paraId="07A1F8B1" w14:textId="77777777" w:rsidR="008050C6" w:rsidRPr="005A7728" w:rsidRDefault="008050C6" w:rsidP="00E252E7">
            <w:pPr>
              <w:spacing w:before="60" w:after="60"/>
              <w:jc w:val="center"/>
              <w:rPr>
                <w:rFonts w:cs="Arial"/>
                <w:bCs/>
                <w:sz w:val="18"/>
                <w:szCs w:val="18"/>
              </w:rPr>
            </w:pPr>
            <w:r w:rsidRPr="005A7728">
              <w:rPr>
                <w:rFonts w:cs="Arial"/>
                <w:bCs/>
                <w:sz w:val="18"/>
                <w:szCs w:val="18"/>
              </w:rPr>
              <w:t>6</w:t>
            </w:r>
          </w:p>
        </w:tc>
        <w:tc>
          <w:tcPr>
            <w:tcW w:w="709" w:type="dxa"/>
            <w:tcBorders>
              <w:top w:val="nil"/>
              <w:left w:val="single" w:sz="4" w:space="0" w:color="FFFFFF"/>
              <w:bottom w:val="nil"/>
              <w:right w:val="single" w:sz="4" w:space="0" w:color="FFFFFF"/>
            </w:tcBorders>
            <w:shd w:val="clear" w:color="auto" w:fill="00B0F0"/>
            <w:vAlign w:val="center"/>
          </w:tcPr>
          <w:p w14:paraId="6BCE646E" w14:textId="77777777" w:rsidR="008050C6" w:rsidRPr="005A7728" w:rsidRDefault="008050C6" w:rsidP="00E252E7">
            <w:pPr>
              <w:spacing w:before="60" w:after="60"/>
              <w:jc w:val="center"/>
              <w:rPr>
                <w:rFonts w:cs="Arial"/>
                <w:sz w:val="18"/>
                <w:szCs w:val="18"/>
              </w:rPr>
            </w:pPr>
            <w:r>
              <w:rPr>
                <w:rFonts w:cs="Arial"/>
                <w:bCs/>
                <w:sz w:val="18"/>
                <w:szCs w:val="18"/>
              </w:rPr>
              <w:t>9</w:t>
            </w:r>
          </w:p>
        </w:tc>
        <w:tc>
          <w:tcPr>
            <w:tcW w:w="709" w:type="dxa"/>
            <w:tcBorders>
              <w:top w:val="nil"/>
              <w:left w:val="single" w:sz="4" w:space="0" w:color="FFFFFF"/>
              <w:bottom w:val="nil"/>
              <w:right w:val="single" w:sz="4" w:space="0" w:color="FFFFFF"/>
            </w:tcBorders>
            <w:shd w:val="clear" w:color="auto" w:fill="00B0F0"/>
            <w:vAlign w:val="center"/>
          </w:tcPr>
          <w:p w14:paraId="67EFD0C3" w14:textId="77777777" w:rsidR="008050C6" w:rsidRPr="005A7728" w:rsidRDefault="008050C6" w:rsidP="00E252E7">
            <w:pPr>
              <w:spacing w:before="60" w:after="60"/>
              <w:jc w:val="center"/>
              <w:rPr>
                <w:rFonts w:cs="Arial"/>
                <w:sz w:val="18"/>
                <w:szCs w:val="18"/>
              </w:rPr>
            </w:pPr>
            <w:r>
              <w:rPr>
                <w:rFonts w:cs="Arial"/>
                <w:bCs/>
                <w:sz w:val="18"/>
                <w:szCs w:val="18"/>
              </w:rPr>
              <w:t>7</w:t>
            </w:r>
          </w:p>
        </w:tc>
        <w:tc>
          <w:tcPr>
            <w:tcW w:w="709" w:type="dxa"/>
            <w:tcBorders>
              <w:top w:val="nil"/>
              <w:left w:val="single" w:sz="4" w:space="0" w:color="FFFFFF"/>
              <w:bottom w:val="nil"/>
              <w:right w:val="single" w:sz="4" w:space="0" w:color="FFFFFF"/>
            </w:tcBorders>
            <w:shd w:val="clear" w:color="auto" w:fill="00B0F0"/>
            <w:vAlign w:val="center"/>
          </w:tcPr>
          <w:p w14:paraId="7628ABF8" w14:textId="77777777" w:rsidR="008050C6" w:rsidRPr="005A7728" w:rsidRDefault="008050C6" w:rsidP="00E252E7">
            <w:pPr>
              <w:spacing w:before="60" w:after="60"/>
              <w:jc w:val="center"/>
              <w:rPr>
                <w:rFonts w:cs="Arial"/>
                <w:bCs/>
                <w:sz w:val="18"/>
                <w:szCs w:val="18"/>
              </w:rPr>
            </w:pPr>
            <w:r>
              <w:rPr>
                <w:rFonts w:cs="Arial"/>
                <w:bCs/>
                <w:sz w:val="18"/>
                <w:szCs w:val="18"/>
              </w:rPr>
              <w:t>21</w:t>
            </w:r>
          </w:p>
        </w:tc>
        <w:tc>
          <w:tcPr>
            <w:tcW w:w="709" w:type="dxa"/>
            <w:tcBorders>
              <w:top w:val="nil"/>
              <w:left w:val="single" w:sz="4" w:space="0" w:color="FFFFFF"/>
              <w:bottom w:val="nil"/>
              <w:right w:val="nil"/>
            </w:tcBorders>
            <w:shd w:val="clear" w:color="auto" w:fill="00B0F0"/>
            <w:vAlign w:val="center"/>
          </w:tcPr>
          <w:p w14:paraId="115A2ED9" w14:textId="77777777" w:rsidR="008050C6" w:rsidRPr="00F80F52" w:rsidRDefault="008050C6" w:rsidP="00E252E7">
            <w:pPr>
              <w:spacing w:before="60" w:after="60"/>
              <w:jc w:val="center"/>
              <w:rPr>
                <w:rFonts w:cs="Arial"/>
                <w:bCs/>
                <w:sz w:val="16"/>
                <w:szCs w:val="16"/>
              </w:rPr>
            </w:pPr>
            <w:r>
              <w:rPr>
                <w:rFonts w:cs="Arial"/>
                <w:bCs/>
                <w:sz w:val="16"/>
                <w:szCs w:val="16"/>
              </w:rPr>
              <w:t>4</w:t>
            </w:r>
          </w:p>
        </w:tc>
        <w:tc>
          <w:tcPr>
            <w:tcW w:w="1276" w:type="dxa"/>
            <w:tcBorders>
              <w:top w:val="nil"/>
              <w:left w:val="single" w:sz="4" w:space="0" w:color="FFFFFF"/>
              <w:bottom w:val="nil"/>
              <w:right w:val="nil"/>
            </w:tcBorders>
            <w:shd w:val="clear" w:color="auto" w:fill="00B0F0"/>
            <w:vAlign w:val="center"/>
          </w:tcPr>
          <w:p w14:paraId="4BC40815" w14:textId="77777777" w:rsidR="008050C6" w:rsidRPr="00F80F52" w:rsidRDefault="008050C6" w:rsidP="00E252E7">
            <w:pPr>
              <w:spacing w:before="60" w:after="60"/>
              <w:jc w:val="center"/>
              <w:rPr>
                <w:rFonts w:cs="Arial"/>
                <w:bCs/>
                <w:sz w:val="16"/>
                <w:szCs w:val="16"/>
              </w:rPr>
            </w:pPr>
            <w:r>
              <w:rPr>
                <w:rFonts w:cs="Arial"/>
                <w:bCs/>
                <w:sz w:val="16"/>
                <w:szCs w:val="16"/>
              </w:rPr>
              <w:t>7</w:t>
            </w:r>
          </w:p>
        </w:tc>
        <w:tc>
          <w:tcPr>
            <w:tcW w:w="850" w:type="dxa"/>
            <w:tcBorders>
              <w:top w:val="nil"/>
              <w:left w:val="single" w:sz="4" w:space="0" w:color="FFFFFF"/>
              <w:bottom w:val="nil"/>
              <w:right w:val="nil"/>
            </w:tcBorders>
            <w:shd w:val="clear" w:color="auto" w:fill="00B0F0"/>
            <w:vAlign w:val="center"/>
          </w:tcPr>
          <w:p w14:paraId="3A76F1E2" w14:textId="77777777" w:rsidR="008050C6" w:rsidRPr="00FA658C" w:rsidRDefault="008050C6" w:rsidP="00E252E7">
            <w:pPr>
              <w:spacing w:before="60" w:after="60"/>
              <w:jc w:val="center"/>
              <w:rPr>
                <w:rFonts w:cs="Arial"/>
                <w:bCs/>
                <w:sz w:val="18"/>
                <w:szCs w:val="18"/>
              </w:rPr>
            </w:pPr>
            <w:r>
              <w:rPr>
                <w:rFonts w:cs="Arial"/>
                <w:bCs/>
                <w:sz w:val="18"/>
                <w:szCs w:val="18"/>
              </w:rPr>
              <w:t>11</w:t>
            </w:r>
          </w:p>
        </w:tc>
      </w:tr>
      <w:tr w:rsidR="008050C6" w:rsidRPr="00FA658C" w14:paraId="0331A4ED" w14:textId="77777777" w:rsidTr="00E252E7">
        <w:trPr>
          <w:cantSplit/>
          <w:trHeight w:val="78"/>
        </w:trPr>
        <w:tc>
          <w:tcPr>
            <w:tcW w:w="3681" w:type="dxa"/>
            <w:tcBorders>
              <w:top w:val="nil"/>
              <w:left w:val="nil"/>
              <w:bottom w:val="nil"/>
              <w:right w:val="single" w:sz="4" w:space="0" w:color="FFFFFF"/>
            </w:tcBorders>
            <w:vAlign w:val="center"/>
          </w:tcPr>
          <w:p w14:paraId="70D760E4" w14:textId="77777777" w:rsidR="008050C6" w:rsidRPr="007718A5" w:rsidRDefault="008050C6" w:rsidP="00E252E7">
            <w:pPr>
              <w:spacing w:before="60" w:after="60"/>
              <w:jc w:val="left"/>
              <w:rPr>
                <w:rFonts w:cs="Arial"/>
                <w:b/>
                <w:bCs/>
                <w:sz w:val="18"/>
                <w:szCs w:val="18"/>
              </w:rPr>
            </w:pPr>
            <w:r w:rsidRPr="007718A5">
              <w:rPr>
                <w:rFonts w:cs="Arial"/>
                <w:b/>
                <w:bCs/>
                <w:sz w:val="18"/>
                <w:szCs w:val="18"/>
              </w:rPr>
              <w:t>O zmianie umowy koncesji</w:t>
            </w:r>
          </w:p>
        </w:tc>
        <w:tc>
          <w:tcPr>
            <w:tcW w:w="709" w:type="dxa"/>
            <w:tcBorders>
              <w:top w:val="nil"/>
              <w:left w:val="single" w:sz="4" w:space="0" w:color="FFFFFF"/>
              <w:bottom w:val="nil"/>
              <w:right w:val="single" w:sz="4" w:space="0" w:color="FFFFFF"/>
            </w:tcBorders>
            <w:vAlign w:val="center"/>
          </w:tcPr>
          <w:p w14:paraId="11AD0D22" w14:textId="77777777" w:rsidR="008050C6" w:rsidRPr="005A7728" w:rsidRDefault="008050C6" w:rsidP="00E252E7">
            <w:pPr>
              <w:spacing w:before="60" w:after="60"/>
              <w:jc w:val="center"/>
              <w:rPr>
                <w:rFonts w:cs="Arial"/>
                <w:bCs/>
                <w:sz w:val="18"/>
                <w:szCs w:val="18"/>
              </w:rPr>
            </w:pPr>
            <w:r w:rsidRPr="005A7728">
              <w:rPr>
                <w:rFonts w:cs="Arial"/>
                <w:bCs/>
                <w:sz w:val="18"/>
                <w:szCs w:val="18"/>
              </w:rPr>
              <w:t>1</w:t>
            </w:r>
          </w:p>
        </w:tc>
        <w:tc>
          <w:tcPr>
            <w:tcW w:w="709" w:type="dxa"/>
            <w:tcBorders>
              <w:top w:val="nil"/>
              <w:left w:val="single" w:sz="4" w:space="0" w:color="FFFFFF"/>
              <w:bottom w:val="nil"/>
              <w:right w:val="single" w:sz="4" w:space="0" w:color="FFFFFF"/>
            </w:tcBorders>
            <w:vAlign w:val="center"/>
          </w:tcPr>
          <w:p w14:paraId="36DD8E6B" w14:textId="77777777" w:rsidR="008050C6" w:rsidRPr="005A7728" w:rsidRDefault="008050C6" w:rsidP="00E252E7">
            <w:pPr>
              <w:spacing w:before="60" w:after="60"/>
              <w:jc w:val="center"/>
              <w:rPr>
                <w:rFonts w:cs="Arial"/>
                <w:sz w:val="18"/>
                <w:szCs w:val="18"/>
              </w:rPr>
            </w:pPr>
            <w:r>
              <w:rPr>
                <w:rFonts w:cs="Arial"/>
                <w:bCs/>
                <w:sz w:val="18"/>
                <w:szCs w:val="18"/>
              </w:rPr>
              <w:t>3</w:t>
            </w:r>
          </w:p>
        </w:tc>
        <w:tc>
          <w:tcPr>
            <w:tcW w:w="709" w:type="dxa"/>
            <w:tcBorders>
              <w:top w:val="nil"/>
              <w:left w:val="single" w:sz="4" w:space="0" w:color="FFFFFF"/>
              <w:bottom w:val="nil"/>
              <w:right w:val="single" w:sz="4" w:space="0" w:color="FFFFFF"/>
            </w:tcBorders>
            <w:vAlign w:val="center"/>
          </w:tcPr>
          <w:p w14:paraId="6CAD7A22" w14:textId="77777777" w:rsidR="008050C6" w:rsidRPr="005A7728" w:rsidRDefault="008050C6" w:rsidP="00E252E7">
            <w:pPr>
              <w:spacing w:before="60" w:after="60"/>
              <w:jc w:val="center"/>
              <w:rPr>
                <w:rFonts w:cs="Arial"/>
                <w:sz w:val="18"/>
                <w:szCs w:val="18"/>
              </w:rPr>
            </w:pPr>
            <w:r>
              <w:rPr>
                <w:rFonts w:cs="Arial"/>
                <w:bCs/>
                <w:sz w:val="18"/>
                <w:szCs w:val="18"/>
              </w:rPr>
              <w:t>3</w:t>
            </w:r>
          </w:p>
        </w:tc>
        <w:tc>
          <w:tcPr>
            <w:tcW w:w="709" w:type="dxa"/>
            <w:tcBorders>
              <w:top w:val="nil"/>
              <w:left w:val="single" w:sz="4" w:space="0" w:color="FFFFFF"/>
              <w:bottom w:val="nil"/>
              <w:right w:val="single" w:sz="4" w:space="0" w:color="FFFFFF"/>
            </w:tcBorders>
            <w:vAlign w:val="center"/>
          </w:tcPr>
          <w:p w14:paraId="56334D55" w14:textId="77777777" w:rsidR="008050C6" w:rsidRPr="005A7728" w:rsidRDefault="008050C6" w:rsidP="00E252E7">
            <w:pPr>
              <w:spacing w:before="60" w:after="60"/>
              <w:jc w:val="center"/>
              <w:rPr>
                <w:rFonts w:cs="Arial"/>
                <w:bCs/>
                <w:sz w:val="18"/>
                <w:szCs w:val="18"/>
              </w:rPr>
            </w:pPr>
            <w:r>
              <w:rPr>
                <w:rFonts w:cs="Arial"/>
                <w:bCs/>
                <w:sz w:val="18"/>
                <w:szCs w:val="18"/>
              </w:rPr>
              <w:t>0</w:t>
            </w:r>
          </w:p>
        </w:tc>
        <w:tc>
          <w:tcPr>
            <w:tcW w:w="709" w:type="dxa"/>
            <w:tcBorders>
              <w:top w:val="nil"/>
              <w:left w:val="single" w:sz="4" w:space="0" w:color="FFFFFF"/>
              <w:bottom w:val="nil"/>
              <w:right w:val="nil"/>
            </w:tcBorders>
            <w:vAlign w:val="center"/>
          </w:tcPr>
          <w:p w14:paraId="092A8DC6" w14:textId="77777777" w:rsidR="008050C6" w:rsidRPr="00F80F52" w:rsidRDefault="008050C6" w:rsidP="00E252E7">
            <w:pPr>
              <w:spacing w:before="60" w:after="60"/>
              <w:jc w:val="center"/>
              <w:rPr>
                <w:rFonts w:cs="Arial"/>
                <w:bCs/>
                <w:sz w:val="16"/>
                <w:szCs w:val="16"/>
              </w:rPr>
            </w:pPr>
            <w:r>
              <w:rPr>
                <w:rFonts w:cs="Arial"/>
                <w:bCs/>
                <w:sz w:val="16"/>
                <w:szCs w:val="16"/>
              </w:rPr>
              <w:t>1</w:t>
            </w:r>
          </w:p>
        </w:tc>
        <w:tc>
          <w:tcPr>
            <w:tcW w:w="1276" w:type="dxa"/>
            <w:tcBorders>
              <w:top w:val="nil"/>
              <w:left w:val="single" w:sz="4" w:space="0" w:color="FFFFFF"/>
              <w:bottom w:val="nil"/>
              <w:right w:val="nil"/>
            </w:tcBorders>
            <w:vAlign w:val="center"/>
          </w:tcPr>
          <w:p w14:paraId="408D9AE1" w14:textId="77777777" w:rsidR="008050C6" w:rsidRPr="00F80F52" w:rsidRDefault="008050C6" w:rsidP="00E252E7">
            <w:pPr>
              <w:spacing w:before="60" w:after="60"/>
              <w:jc w:val="center"/>
              <w:rPr>
                <w:rFonts w:cs="Arial"/>
                <w:bCs/>
                <w:sz w:val="16"/>
                <w:szCs w:val="16"/>
              </w:rPr>
            </w:pPr>
            <w:r>
              <w:rPr>
                <w:rFonts w:cs="Arial"/>
                <w:bCs/>
                <w:sz w:val="16"/>
                <w:szCs w:val="16"/>
              </w:rPr>
              <w:t>1</w:t>
            </w:r>
          </w:p>
        </w:tc>
        <w:tc>
          <w:tcPr>
            <w:tcW w:w="850" w:type="dxa"/>
            <w:tcBorders>
              <w:top w:val="nil"/>
              <w:left w:val="single" w:sz="4" w:space="0" w:color="FFFFFF"/>
              <w:bottom w:val="nil"/>
              <w:right w:val="nil"/>
            </w:tcBorders>
            <w:vAlign w:val="center"/>
          </w:tcPr>
          <w:p w14:paraId="137B7B30" w14:textId="77777777" w:rsidR="008050C6" w:rsidRPr="00FA658C" w:rsidRDefault="008050C6" w:rsidP="00E252E7">
            <w:pPr>
              <w:spacing w:before="60" w:after="60"/>
              <w:jc w:val="center"/>
              <w:rPr>
                <w:rFonts w:cs="Arial"/>
                <w:bCs/>
                <w:sz w:val="18"/>
                <w:szCs w:val="18"/>
              </w:rPr>
            </w:pPr>
            <w:r>
              <w:rPr>
                <w:rFonts w:cs="Arial"/>
                <w:bCs/>
                <w:sz w:val="18"/>
                <w:szCs w:val="18"/>
              </w:rPr>
              <w:t>2</w:t>
            </w:r>
          </w:p>
        </w:tc>
      </w:tr>
      <w:tr w:rsidR="008050C6" w:rsidRPr="00FA658C" w14:paraId="016A64D9" w14:textId="77777777" w:rsidTr="00E252E7">
        <w:trPr>
          <w:cantSplit/>
          <w:trHeight w:val="44"/>
        </w:trPr>
        <w:tc>
          <w:tcPr>
            <w:tcW w:w="3681" w:type="dxa"/>
            <w:tcBorders>
              <w:top w:val="nil"/>
              <w:left w:val="nil"/>
              <w:bottom w:val="nil"/>
              <w:right w:val="single" w:sz="4" w:space="0" w:color="FFFFFF"/>
            </w:tcBorders>
            <w:shd w:val="clear" w:color="auto" w:fill="00B0F0"/>
            <w:vAlign w:val="center"/>
          </w:tcPr>
          <w:p w14:paraId="2290CC53" w14:textId="77777777" w:rsidR="008050C6" w:rsidRPr="005A7728" w:rsidRDefault="008050C6" w:rsidP="00E252E7">
            <w:pPr>
              <w:spacing w:before="60" w:after="60"/>
              <w:jc w:val="center"/>
              <w:rPr>
                <w:rFonts w:cs="Arial"/>
                <w:b/>
                <w:bCs/>
                <w:sz w:val="18"/>
                <w:szCs w:val="18"/>
              </w:rPr>
            </w:pPr>
            <w:r w:rsidRPr="005A7728">
              <w:rPr>
                <w:rFonts w:cs="Arial"/>
                <w:b/>
                <w:bCs/>
                <w:sz w:val="18"/>
                <w:szCs w:val="18"/>
              </w:rPr>
              <w:t>Razem</w:t>
            </w:r>
          </w:p>
        </w:tc>
        <w:tc>
          <w:tcPr>
            <w:tcW w:w="709" w:type="dxa"/>
            <w:tcBorders>
              <w:top w:val="nil"/>
              <w:left w:val="single" w:sz="4" w:space="0" w:color="FFFFFF"/>
              <w:bottom w:val="nil"/>
              <w:right w:val="single" w:sz="4" w:space="0" w:color="FFFFFF"/>
            </w:tcBorders>
            <w:shd w:val="clear" w:color="auto" w:fill="00B0F0"/>
            <w:vAlign w:val="center"/>
          </w:tcPr>
          <w:p w14:paraId="27FB56C9" w14:textId="77777777" w:rsidR="008050C6" w:rsidRPr="005A7728" w:rsidRDefault="008050C6" w:rsidP="00E252E7">
            <w:pPr>
              <w:spacing w:before="60" w:after="60"/>
              <w:jc w:val="center"/>
              <w:rPr>
                <w:rFonts w:cs="Arial"/>
                <w:b/>
                <w:bCs/>
                <w:sz w:val="18"/>
                <w:szCs w:val="18"/>
              </w:rPr>
            </w:pPr>
            <w:r w:rsidRPr="005A7728">
              <w:rPr>
                <w:rFonts w:cs="Arial"/>
                <w:b/>
                <w:bCs/>
                <w:sz w:val="18"/>
                <w:szCs w:val="18"/>
              </w:rPr>
              <w:t>39</w:t>
            </w:r>
          </w:p>
        </w:tc>
        <w:tc>
          <w:tcPr>
            <w:tcW w:w="709" w:type="dxa"/>
            <w:tcBorders>
              <w:top w:val="nil"/>
              <w:left w:val="single" w:sz="4" w:space="0" w:color="FFFFFF"/>
              <w:bottom w:val="nil"/>
              <w:right w:val="single" w:sz="4" w:space="0" w:color="FFFFFF"/>
            </w:tcBorders>
            <w:shd w:val="clear" w:color="auto" w:fill="00B0F0"/>
            <w:vAlign w:val="center"/>
          </w:tcPr>
          <w:p w14:paraId="703D2433" w14:textId="77777777" w:rsidR="008050C6" w:rsidRPr="005A7728" w:rsidRDefault="008050C6" w:rsidP="00E252E7">
            <w:pPr>
              <w:spacing w:before="60" w:after="60"/>
              <w:jc w:val="center"/>
              <w:rPr>
                <w:rFonts w:cs="Arial"/>
                <w:b/>
                <w:bCs/>
                <w:sz w:val="18"/>
                <w:szCs w:val="18"/>
              </w:rPr>
            </w:pPr>
            <w:r>
              <w:rPr>
                <w:rFonts w:cs="Arial"/>
                <w:b/>
                <w:bCs/>
                <w:sz w:val="18"/>
                <w:szCs w:val="18"/>
              </w:rPr>
              <w:t>34</w:t>
            </w:r>
          </w:p>
        </w:tc>
        <w:tc>
          <w:tcPr>
            <w:tcW w:w="709" w:type="dxa"/>
            <w:tcBorders>
              <w:top w:val="nil"/>
              <w:left w:val="single" w:sz="4" w:space="0" w:color="FFFFFF"/>
              <w:bottom w:val="nil"/>
              <w:right w:val="single" w:sz="4" w:space="0" w:color="FFFFFF"/>
            </w:tcBorders>
            <w:shd w:val="clear" w:color="auto" w:fill="00B0F0"/>
            <w:vAlign w:val="center"/>
          </w:tcPr>
          <w:p w14:paraId="74A2A7CB" w14:textId="77777777" w:rsidR="008050C6" w:rsidRPr="005A7728" w:rsidRDefault="008050C6" w:rsidP="00E252E7">
            <w:pPr>
              <w:spacing w:before="60" w:after="60"/>
              <w:jc w:val="center"/>
              <w:rPr>
                <w:rFonts w:cs="Arial"/>
                <w:b/>
                <w:bCs/>
                <w:sz w:val="18"/>
                <w:szCs w:val="18"/>
              </w:rPr>
            </w:pPr>
            <w:r>
              <w:rPr>
                <w:rFonts w:cs="Arial"/>
                <w:b/>
                <w:bCs/>
                <w:sz w:val="18"/>
                <w:szCs w:val="18"/>
              </w:rPr>
              <w:t>40</w:t>
            </w:r>
          </w:p>
        </w:tc>
        <w:tc>
          <w:tcPr>
            <w:tcW w:w="709" w:type="dxa"/>
            <w:tcBorders>
              <w:top w:val="nil"/>
              <w:left w:val="single" w:sz="4" w:space="0" w:color="FFFFFF"/>
              <w:bottom w:val="nil"/>
              <w:right w:val="single" w:sz="4" w:space="0" w:color="FFFFFF"/>
            </w:tcBorders>
            <w:shd w:val="clear" w:color="auto" w:fill="00B0F0"/>
            <w:vAlign w:val="center"/>
          </w:tcPr>
          <w:p w14:paraId="1F0C0CE9" w14:textId="77777777" w:rsidR="008050C6" w:rsidRPr="005A7728" w:rsidRDefault="008050C6" w:rsidP="00E252E7">
            <w:pPr>
              <w:keepNext/>
              <w:spacing w:before="60" w:after="60"/>
              <w:jc w:val="center"/>
              <w:rPr>
                <w:rFonts w:cs="Arial"/>
                <w:b/>
                <w:bCs/>
                <w:sz w:val="18"/>
                <w:szCs w:val="18"/>
              </w:rPr>
            </w:pPr>
            <w:r>
              <w:rPr>
                <w:rFonts w:cs="Arial"/>
                <w:b/>
                <w:bCs/>
                <w:sz w:val="18"/>
                <w:szCs w:val="18"/>
              </w:rPr>
              <w:t>62</w:t>
            </w:r>
          </w:p>
        </w:tc>
        <w:tc>
          <w:tcPr>
            <w:tcW w:w="709" w:type="dxa"/>
            <w:tcBorders>
              <w:top w:val="nil"/>
              <w:left w:val="single" w:sz="4" w:space="0" w:color="FFFFFF"/>
              <w:bottom w:val="nil"/>
              <w:right w:val="nil"/>
            </w:tcBorders>
            <w:shd w:val="clear" w:color="auto" w:fill="00B0F0"/>
            <w:vAlign w:val="center"/>
          </w:tcPr>
          <w:p w14:paraId="2C580B5B" w14:textId="77777777" w:rsidR="008050C6" w:rsidRPr="00F80F52" w:rsidRDefault="008050C6" w:rsidP="00E252E7">
            <w:pPr>
              <w:keepNext/>
              <w:spacing w:before="60" w:after="60"/>
              <w:jc w:val="center"/>
              <w:rPr>
                <w:rFonts w:cs="Arial"/>
                <w:b/>
                <w:bCs/>
                <w:sz w:val="16"/>
                <w:szCs w:val="16"/>
              </w:rPr>
            </w:pPr>
            <w:r>
              <w:rPr>
                <w:rFonts w:cs="Arial"/>
                <w:b/>
                <w:bCs/>
                <w:sz w:val="16"/>
                <w:szCs w:val="16"/>
              </w:rPr>
              <w:t>13</w:t>
            </w:r>
          </w:p>
        </w:tc>
        <w:tc>
          <w:tcPr>
            <w:tcW w:w="1276" w:type="dxa"/>
            <w:tcBorders>
              <w:top w:val="nil"/>
              <w:left w:val="single" w:sz="4" w:space="0" w:color="FFFFFF"/>
              <w:bottom w:val="nil"/>
              <w:right w:val="nil"/>
            </w:tcBorders>
            <w:shd w:val="clear" w:color="auto" w:fill="00B0F0"/>
            <w:vAlign w:val="center"/>
          </w:tcPr>
          <w:p w14:paraId="48B86B30" w14:textId="77777777" w:rsidR="008050C6" w:rsidRPr="00F80F52" w:rsidRDefault="008050C6" w:rsidP="00E252E7">
            <w:pPr>
              <w:keepNext/>
              <w:spacing w:before="60" w:after="60"/>
              <w:jc w:val="center"/>
              <w:rPr>
                <w:rFonts w:cs="Arial"/>
                <w:b/>
                <w:bCs/>
                <w:sz w:val="16"/>
                <w:szCs w:val="16"/>
              </w:rPr>
            </w:pPr>
            <w:r>
              <w:rPr>
                <w:rFonts w:cs="Arial"/>
                <w:b/>
                <w:bCs/>
                <w:sz w:val="16"/>
                <w:szCs w:val="16"/>
              </w:rPr>
              <w:t>15</w:t>
            </w:r>
          </w:p>
        </w:tc>
        <w:tc>
          <w:tcPr>
            <w:tcW w:w="850" w:type="dxa"/>
            <w:tcBorders>
              <w:top w:val="nil"/>
              <w:left w:val="single" w:sz="4" w:space="0" w:color="FFFFFF"/>
              <w:bottom w:val="nil"/>
              <w:right w:val="nil"/>
            </w:tcBorders>
            <w:shd w:val="clear" w:color="auto" w:fill="00B0F0"/>
            <w:vAlign w:val="center"/>
          </w:tcPr>
          <w:p w14:paraId="65F4F510" w14:textId="028406D9" w:rsidR="008050C6" w:rsidRPr="00FA658C" w:rsidRDefault="008050C6" w:rsidP="00E252E7">
            <w:pPr>
              <w:keepNext/>
              <w:spacing w:before="60" w:after="60"/>
              <w:jc w:val="center"/>
              <w:rPr>
                <w:rFonts w:cs="Arial"/>
                <w:b/>
                <w:bCs/>
                <w:sz w:val="18"/>
                <w:szCs w:val="18"/>
              </w:rPr>
            </w:pPr>
            <w:r>
              <w:rPr>
                <w:rFonts w:cs="Arial"/>
                <w:b/>
                <w:bCs/>
                <w:sz w:val="18"/>
                <w:szCs w:val="18"/>
              </w:rPr>
              <w:t>27</w:t>
            </w:r>
          </w:p>
        </w:tc>
      </w:tr>
    </w:tbl>
    <w:p w14:paraId="1697A04A" w14:textId="1E07657C" w:rsidR="00D9194A" w:rsidRDefault="008050C6" w:rsidP="008979C7">
      <w:pPr>
        <w:shd w:val="clear" w:color="auto" w:fill="FFFFFF"/>
        <w:spacing w:before="240" w:line="360" w:lineRule="auto"/>
        <w:jc w:val="left"/>
      </w:pPr>
      <w:r>
        <w:t xml:space="preserve">W opisywanym okresie opublikowano łącznie 27 ogłoszeń dotyczących </w:t>
      </w:r>
      <w:r w:rsidRPr="007D093A">
        <w:t xml:space="preserve">koncesji na roboty budowlane lub usługi (w </w:t>
      </w:r>
      <w:r>
        <w:t>2024 r. – 62</w:t>
      </w:r>
      <w:r w:rsidRPr="007D093A">
        <w:t>).</w:t>
      </w:r>
    </w:p>
    <w:p w14:paraId="6038FF3B" w14:textId="7325132D" w:rsidR="00077A72" w:rsidRPr="00077A72" w:rsidRDefault="00077A72" w:rsidP="00270CF3">
      <w:pPr>
        <w:pStyle w:val="Nagwek3"/>
      </w:pPr>
      <w:bookmarkStart w:id="52" w:name="_Toc64451855"/>
      <w:bookmarkStart w:id="53" w:name="_Toc233203267"/>
      <w:r w:rsidRPr="00606E6A">
        <w:t>I.1.</w:t>
      </w:r>
      <w:r w:rsidR="00857621">
        <w:t>8</w:t>
      </w:r>
      <w:r w:rsidRPr="00606E6A">
        <w:t>. Zamówienia in-house</w:t>
      </w:r>
      <w:bookmarkEnd w:id="52"/>
      <w:bookmarkEnd w:id="53"/>
    </w:p>
    <w:p w14:paraId="4BBF8E23" w14:textId="4DDC62DE" w:rsidR="001D4269" w:rsidRPr="001D4269" w:rsidRDefault="001D4269" w:rsidP="001D4269">
      <w:pPr>
        <w:spacing w:before="120" w:line="360" w:lineRule="auto"/>
        <w:jc w:val="left"/>
        <w:rPr>
          <w:szCs w:val="22"/>
        </w:rPr>
      </w:pPr>
      <w:r w:rsidRPr="001D4269">
        <w:rPr>
          <w:szCs w:val="22"/>
        </w:rPr>
        <w:t>W Biuletynie Zamówień Publicznych</w:t>
      </w:r>
      <w:r w:rsidR="00EC64D5">
        <w:rPr>
          <w:szCs w:val="22"/>
        </w:rPr>
        <w:t>, zwanym dalej „BZP”,</w:t>
      </w:r>
      <w:r w:rsidRPr="001D4269">
        <w:rPr>
          <w:szCs w:val="22"/>
        </w:rPr>
        <w:t xml:space="preserve"> opublikowano 1210 ogłoszeń o</w:t>
      </w:r>
      <w:r w:rsidR="00DB1322">
        <w:rPr>
          <w:szCs w:val="22"/>
        </w:rPr>
        <w:t> </w:t>
      </w:r>
      <w:r w:rsidRPr="001D4269">
        <w:rPr>
          <w:szCs w:val="22"/>
        </w:rPr>
        <w:t>wyniku postępowania, w których wskazano na zastosowanie trybu zamówienia z wolnej ręki w formule in-</w:t>
      </w:r>
      <w:proofErr w:type="spellStart"/>
      <w:r w:rsidRPr="001D4269">
        <w:rPr>
          <w:szCs w:val="22"/>
        </w:rPr>
        <w:t>house</w:t>
      </w:r>
      <w:proofErr w:type="spellEnd"/>
      <w:r w:rsidRPr="001D4269">
        <w:rPr>
          <w:szCs w:val="22"/>
        </w:rPr>
        <w:t xml:space="preserve"> w 2025 roku. Zrealizowano 894 postępowania o wartości mniejszej </w:t>
      </w:r>
      <w:r w:rsidRPr="001D4269">
        <w:rPr>
          <w:szCs w:val="22"/>
        </w:rPr>
        <w:lastRenderedPageBreak/>
        <w:t>niż progi unijne i 316 (w porównaniu do 386 w 2024 roku) postepowań o wartości równej lub wyższej niż progi unijne.</w:t>
      </w:r>
    </w:p>
    <w:p w14:paraId="0EBCB60D" w14:textId="77777777" w:rsidR="001D4269" w:rsidRPr="001D4269" w:rsidRDefault="001D4269" w:rsidP="001D4269">
      <w:pPr>
        <w:spacing w:before="120" w:line="360" w:lineRule="auto"/>
        <w:jc w:val="left"/>
        <w:rPr>
          <w:szCs w:val="22"/>
        </w:rPr>
      </w:pPr>
      <w:r w:rsidRPr="001D4269">
        <w:rPr>
          <w:szCs w:val="22"/>
        </w:rPr>
        <w:t>Wartość zamówień in-</w:t>
      </w:r>
      <w:proofErr w:type="spellStart"/>
      <w:r w:rsidRPr="001D4269">
        <w:rPr>
          <w:szCs w:val="22"/>
        </w:rPr>
        <w:t>house</w:t>
      </w:r>
      <w:proofErr w:type="spellEnd"/>
      <w:r w:rsidRPr="001D4269">
        <w:rPr>
          <w:szCs w:val="22"/>
        </w:rPr>
        <w:t xml:space="preserve"> realizowanych poniżej unijnych progów w 2025 roku sięgnęła ponad 656,0 mln zł – to wzrost w porównaniu z rokiem poprzednim, gdy kwota ta była bliska 544 mln zł.</w:t>
      </w:r>
    </w:p>
    <w:p w14:paraId="78A0C252" w14:textId="77777777" w:rsidR="001D4269" w:rsidRPr="001D4269" w:rsidRDefault="001D4269" w:rsidP="001D4269">
      <w:pPr>
        <w:spacing w:before="120" w:line="360" w:lineRule="auto"/>
        <w:jc w:val="left"/>
        <w:rPr>
          <w:szCs w:val="22"/>
        </w:rPr>
      </w:pPr>
      <w:r w:rsidRPr="001D4269">
        <w:rPr>
          <w:szCs w:val="22"/>
        </w:rPr>
        <w:t>Łączna wartość zamówień, których wartość była równa lub wyższa niż progi unijne wyniosła około 8,20 mld zł, podczas gdy w 2024 roku było to około 17,1 mld zł.</w:t>
      </w:r>
    </w:p>
    <w:p w14:paraId="4A4BCD6F" w14:textId="77777777" w:rsidR="001D4269" w:rsidRPr="001D4269" w:rsidRDefault="001D4269" w:rsidP="001D4269">
      <w:pPr>
        <w:spacing w:before="120" w:line="360" w:lineRule="auto"/>
        <w:jc w:val="left"/>
        <w:rPr>
          <w:szCs w:val="22"/>
        </w:rPr>
      </w:pPr>
      <w:r w:rsidRPr="001D4269">
        <w:rPr>
          <w:szCs w:val="22"/>
        </w:rPr>
        <w:t>Sumarycznie wartość zamówień in-</w:t>
      </w:r>
      <w:proofErr w:type="spellStart"/>
      <w:r w:rsidRPr="001D4269">
        <w:rPr>
          <w:szCs w:val="22"/>
        </w:rPr>
        <w:t>house</w:t>
      </w:r>
      <w:proofErr w:type="spellEnd"/>
      <w:r w:rsidRPr="001D4269">
        <w:rPr>
          <w:szCs w:val="22"/>
        </w:rPr>
        <w:t xml:space="preserve"> w 2025 roku wyniosła około 8,86 mld zł.</w:t>
      </w:r>
    </w:p>
    <w:p w14:paraId="5914E8B9" w14:textId="1AC9AEF9" w:rsidR="001D4269" w:rsidRPr="001D4269" w:rsidRDefault="001D4269" w:rsidP="001D4269">
      <w:pPr>
        <w:spacing w:before="120" w:line="360" w:lineRule="auto"/>
        <w:jc w:val="left"/>
        <w:rPr>
          <w:szCs w:val="22"/>
        </w:rPr>
      </w:pPr>
      <w:r w:rsidRPr="001D4269">
        <w:rPr>
          <w:szCs w:val="22"/>
        </w:rPr>
        <w:t>Zamówienia w formule in-</w:t>
      </w:r>
      <w:proofErr w:type="spellStart"/>
      <w:r w:rsidRPr="001D4269">
        <w:rPr>
          <w:szCs w:val="22"/>
        </w:rPr>
        <w:t>house</w:t>
      </w:r>
      <w:proofErr w:type="spellEnd"/>
      <w:r w:rsidRPr="001D4269">
        <w:rPr>
          <w:szCs w:val="22"/>
        </w:rPr>
        <w:t xml:space="preserve"> o największej wartości udzielił Urząd Miasta Łodzi</w:t>
      </w:r>
      <w:r w:rsidR="0015009B">
        <w:rPr>
          <w:szCs w:val="22"/>
        </w:rPr>
        <w:t xml:space="preserve"> </w:t>
      </w:r>
      <w:r w:rsidR="00B65A15">
        <w:rPr>
          <w:szCs w:val="22"/>
        </w:rPr>
        <w:t> </w:t>
      </w:r>
      <w:r w:rsidRPr="001D4269">
        <w:rPr>
          <w:szCs w:val="22"/>
        </w:rPr>
        <w:t xml:space="preserve">na zagospodarowanie odpadów komunalnych pochodzących z selektywnej zbiórki odpadów, mebli i innych odpadów wielkogabarytowych, odbieranie z aptek leków przeterminowanych </w:t>
      </w:r>
      <w:r w:rsidRPr="001D4269">
        <w:rPr>
          <w:szCs w:val="22"/>
        </w:rPr>
        <w:br/>
        <w:t>i termometrów rtęciowych oraz prowadzenie Punktów Selektywnej Zbiórki Odpadów Komunalnych (PSZOK); okres realizacji zamówienia do 2050 roku; kwota zamówienia wyniosła ok. 1,84 mld zł.</w:t>
      </w:r>
    </w:p>
    <w:p w14:paraId="36EF340C" w14:textId="60EFE105" w:rsidR="00C60572" w:rsidRDefault="001D4269" w:rsidP="00E95CF4">
      <w:pPr>
        <w:spacing w:before="120" w:line="360" w:lineRule="auto"/>
        <w:jc w:val="left"/>
        <w:rPr>
          <w:szCs w:val="22"/>
        </w:rPr>
      </w:pPr>
      <w:r w:rsidRPr="001D4269">
        <w:rPr>
          <w:szCs w:val="22"/>
        </w:rPr>
        <w:t>Zdecydowana większość zamówień in-</w:t>
      </w:r>
      <w:proofErr w:type="spellStart"/>
      <w:r w:rsidRPr="001D4269">
        <w:rPr>
          <w:szCs w:val="22"/>
        </w:rPr>
        <w:t>house</w:t>
      </w:r>
      <w:proofErr w:type="spellEnd"/>
      <w:r w:rsidRPr="001D4269">
        <w:rPr>
          <w:szCs w:val="22"/>
        </w:rPr>
        <w:t xml:space="preserve"> (około 91%) była udzielana przez jednostki samorządu terytorialnego. Pozostałe 9% przypadło na innych zamawiających, takich jak podmioty prawa publicznego, państwowe jednostki organizacyjne nieposiadające osobowości prawnej oraz inne jednostki sektora publicznego.</w:t>
      </w:r>
    </w:p>
    <w:p w14:paraId="517BA230" w14:textId="229F5AF6" w:rsidR="00A238FA" w:rsidRPr="00077A72" w:rsidRDefault="00A238FA" w:rsidP="00270CF3">
      <w:pPr>
        <w:pStyle w:val="Nagwek3"/>
      </w:pPr>
      <w:bookmarkStart w:id="54" w:name="_Toc233203268"/>
      <w:r w:rsidRPr="00940F93">
        <w:t>I.1.</w:t>
      </w:r>
      <w:r w:rsidR="00857621" w:rsidRPr="00940F93">
        <w:t>9</w:t>
      </w:r>
      <w:r w:rsidRPr="00940F93">
        <w:t>. Konkursy</w:t>
      </w:r>
      <w:bookmarkEnd w:id="54"/>
      <w:r w:rsidR="00940F93">
        <w:t xml:space="preserve"> </w:t>
      </w:r>
    </w:p>
    <w:p w14:paraId="6206C08C" w14:textId="69FE6DE0" w:rsidR="005A45E9" w:rsidRPr="005A45E9" w:rsidRDefault="005A45E9" w:rsidP="005A45E9">
      <w:pPr>
        <w:spacing w:before="120" w:line="360" w:lineRule="auto"/>
        <w:jc w:val="left"/>
        <w:rPr>
          <w:szCs w:val="22"/>
        </w:rPr>
      </w:pPr>
      <w:r w:rsidRPr="005A45E9">
        <w:rPr>
          <w:szCs w:val="22"/>
        </w:rPr>
        <w:t xml:space="preserve">Zarówno w BZP jak i w </w:t>
      </w:r>
      <w:r w:rsidR="00F27636" w:rsidRPr="00864CF6">
        <w:rPr>
          <w:rFonts w:cs="Arial"/>
          <w:bCs/>
          <w:szCs w:val="22"/>
        </w:rPr>
        <w:t>Dzienniku Urzędowym Unii Europejskiej</w:t>
      </w:r>
      <w:r w:rsidR="00F27636">
        <w:rPr>
          <w:rFonts w:cs="Arial"/>
          <w:bCs/>
          <w:szCs w:val="22"/>
        </w:rPr>
        <w:t xml:space="preserve">, </w:t>
      </w:r>
      <w:r w:rsidR="000A06C4">
        <w:rPr>
          <w:rFonts w:cs="Arial"/>
          <w:bCs/>
          <w:szCs w:val="22"/>
        </w:rPr>
        <w:t>zwanym</w:t>
      </w:r>
      <w:r w:rsidR="00F27636">
        <w:rPr>
          <w:rFonts w:cs="Arial"/>
          <w:bCs/>
          <w:szCs w:val="22"/>
        </w:rPr>
        <w:t xml:space="preserve"> dalej „</w:t>
      </w:r>
      <w:proofErr w:type="spellStart"/>
      <w:r w:rsidRPr="005A45E9">
        <w:rPr>
          <w:szCs w:val="22"/>
        </w:rPr>
        <w:t>Dz.Urz</w:t>
      </w:r>
      <w:proofErr w:type="spellEnd"/>
      <w:r w:rsidRPr="005A45E9">
        <w:rPr>
          <w:szCs w:val="22"/>
        </w:rPr>
        <w:t>. UE</w:t>
      </w:r>
      <w:r w:rsidR="00F27636">
        <w:rPr>
          <w:szCs w:val="22"/>
        </w:rPr>
        <w:t>”</w:t>
      </w:r>
      <w:r w:rsidRPr="005A45E9">
        <w:rPr>
          <w:szCs w:val="22"/>
        </w:rPr>
        <w:t xml:space="preserve"> w 2025 r. opublikowano ogółem 75 ogłoszeń o konkursie</w:t>
      </w:r>
      <w:r>
        <w:rPr>
          <w:szCs w:val="22"/>
        </w:rPr>
        <w:t xml:space="preserve"> </w:t>
      </w:r>
      <w:r w:rsidRPr="005A45E9">
        <w:rPr>
          <w:szCs w:val="22"/>
        </w:rPr>
        <w:t>oraz 529 ogłoszeń o wynikach konkursu.</w:t>
      </w:r>
    </w:p>
    <w:p w14:paraId="1EDD2505" w14:textId="15247511" w:rsidR="00D9194A" w:rsidRPr="00D9194A" w:rsidRDefault="005A45E9" w:rsidP="002735E9">
      <w:pPr>
        <w:spacing w:before="120" w:line="360" w:lineRule="auto"/>
        <w:jc w:val="left"/>
        <w:rPr>
          <w:szCs w:val="22"/>
        </w:rPr>
      </w:pPr>
      <w:r w:rsidRPr="005A45E9">
        <w:rPr>
          <w:szCs w:val="22"/>
        </w:rPr>
        <w:t>W przypadku konkursów ogłaszanych w BZP średnio na konkurs składano 4,32 pracy</w:t>
      </w:r>
      <w:r>
        <w:rPr>
          <w:szCs w:val="22"/>
        </w:rPr>
        <w:t xml:space="preserve"> </w:t>
      </w:r>
      <w:r w:rsidRPr="005A45E9">
        <w:rPr>
          <w:szCs w:val="22"/>
        </w:rPr>
        <w:t>konkursowej.</w:t>
      </w:r>
    </w:p>
    <w:p w14:paraId="77C8EDE8" w14:textId="104A7209" w:rsidR="00A238FA" w:rsidRPr="00077A72" w:rsidRDefault="00A238FA" w:rsidP="00270CF3">
      <w:pPr>
        <w:pStyle w:val="Nagwek3"/>
      </w:pPr>
      <w:bookmarkStart w:id="55" w:name="_Toc233203269"/>
      <w:r w:rsidRPr="002A4F03">
        <w:t>I.1.</w:t>
      </w:r>
      <w:r w:rsidR="00594409">
        <w:t>10</w:t>
      </w:r>
      <w:r w:rsidRPr="002A4F03">
        <w:t xml:space="preserve">. </w:t>
      </w:r>
      <w:r>
        <w:t>Dynamiczny system zakupów</w:t>
      </w:r>
      <w:bookmarkEnd w:id="55"/>
    </w:p>
    <w:p w14:paraId="51603C8E" w14:textId="77777777" w:rsidR="008050C6" w:rsidRPr="00EB5E00" w:rsidRDefault="008050C6" w:rsidP="008050C6">
      <w:pPr>
        <w:spacing w:line="360" w:lineRule="auto"/>
        <w:jc w:val="left"/>
      </w:pPr>
      <w:r w:rsidRPr="00EB5E00">
        <w:t xml:space="preserve">W 2025 r. w </w:t>
      </w:r>
      <w:proofErr w:type="spellStart"/>
      <w:r w:rsidRPr="00EB5E00">
        <w:t>Dz.Urz</w:t>
      </w:r>
      <w:proofErr w:type="spellEnd"/>
      <w:r w:rsidRPr="00EB5E00">
        <w:t xml:space="preserve">. UE opublikowano 23 ogłoszeń o zamówieniu, w których wskazano </w:t>
      </w:r>
      <w:r w:rsidRPr="00EB5E00">
        <w:br/>
        <w:t>na zastosowanie dynamicznego systemu zakupów oraz 102 ogłoszenia o udzieleniu zamówienia z zastosowaniem dynamicznego systemu zakupów.</w:t>
      </w:r>
    </w:p>
    <w:p w14:paraId="2A918BF8" w14:textId="4A1EFF2D" w:rsidR="00D9194A" w:rsidRPr="008050C6" w:rsidRDefault="008050C6" w:rsidP="008050C6">
      <w:pPr>
        <w:spacing w:before="120" w:line="360" w:lineRule="auto"/>
        <w:jc w:val="left"/>
      </w:pPr>
      <w:r w:rsidRPr="003B124E">
        <w:t>Jak wynika z ogłoszeń o udzieleniu zamówienia w dynamicznym systemie zakupów udzielono zamówień na ok. 97 mln zł.</w:t>
      </w:r>
    </w:p>
    <w:p w14:paraId="1755DB6A" w14:textId="34D94889" w:rsidR="00A238FA" w:rsidRPr="00077A72" w:rsidRDefault="00A238FA" w:rsidP="00270CF3">
      <w:pPr>
        <w:pStyle w:val="Nagwek3"/>
      </w:pPr>
      <w:bookmarkStart w:id="56" w:name="_Toc233203270"/>
      <w:r w:rsidRPr="002A4F03">
        <w:lastRenderedPageBreak/>
        <w:t>I.1.</w:t>
      </w:r>
      <w:r>
        <w:t>1</w:t>
      </w:r>
      <w:r w:rsidR="00594409">
        <w:t>1</w:t>
      </w:r>
      <w:r w:rsidRPr="002A4F03">
        <w:t xml:space="preserve">. </w:t>
      </w:r>
      <w:r>
        <w:t>Umowy ramowe</w:t>
      </w:r>
      <w:bookmarkEnd w:id="56"/>
    </w:p>
    <w:p w14:paraId="1CFE6F08" w14:textId="77777777" w:rsidR="008050C6" w:rsidRPr="0077408F" w:rsidRDefault="008050C6" w:rsidP="008050C6">
      <w:pPr>
        <w:spacing w:before="120" w:line="360" w:lineRule="auto"/>
        <w:jc w:val="left"/>
      </w:pPr>
      <w:r w:rsidRPr="0077408F">
        <w:t xml:space="preserve">W przypadku postępowań o wartości mniejszej niż progi unijne w 2025 r. w BZP opublikowano </w:t>
      </w:r>
      <w:r>
        <w:t>351</w:t>
      </w:r>
      <w:r w:rsidRPr="0077408F">
        <w:t xml:space="preserve"> ogłoszeń o zamówieniu oraz </w:t>
      </w:r>
      <w:r>
        <w:t>341</w:t>
      </w:r>
      <w:r w:rsidRPr="0077408F">
        <w:t xml:space="preserve"> ogłoszeń o wyniku postępowania, w których wskazano, że ogłoszenie dotyczy postępowania na umowę ramową. W sumie wydatkowano ok. 2</w:t>
      </w:r>
      <w:r>
        <w:t>91</w:t>
      </w:r>
      <w:r w:rsidRPr="0077408F">
        <w:t xml:space="preserve"> mln zł. </w:t>
      </w:r>
    </w:p>
    <w:p w14:paraId="63C113C8" w14:textId="4D86E308" w:rsidR="00D9194A" w:rsidRPr="008050C6" w:rsidRDefault="008050C6" w:rsidP="00D9194A">
      <w:pPr>
        <w:spacing w:before="240" w:line="360" w:lineRule="auto"/>
        <w:jc w:val="left"/>
      </w:pPr>
      <w:r w:rsidRPr="00C87DB0">
        <w:t>Z danych zawartych w rocznych sprawozdaniach o udzielonych zamówieniach wynika natomiast, że w przypadku zamówień o wartości równej lub przekraczającej progi unijne, udzielono 235 zamówień na umowy ramowe. Wartość zawartych umów wyniosła ok. 9 mld zł.</w:t>
      </w:r>
    </w:p>
    <w:p w14:paraId="09D4CC76" w14:textId="57ADE1F5" w:rsidR="00077A72" w:rsidRPr="00077A72" w:rsidRDefault="00077A72" w:rsidP="00270CF3">
      <w:pPr>
        <w:pStyle w:val="Nagwek3"/>
      </w:pPr>
      <w:bookmarkStart w:id="57" w:name="_Toc233203271"/>
      <w:r w:rsidRPr="006068B9">
        <w:t>I.1.</w:t>
      </w:r>
      <w:r w:rsidR="00594409" w:rsidRPr="006068B9">
        <w:t>12</w:t>
      </w:r>
      <w:r w:rsidRPr="006068B9">
        <w:t>. Zamówienia udzielane na podstawie</w:t>
      </w:r>
      <w:r w:rsidR="005B517B" w:rsidRPr="006068B9">
        <w:t xml:space="preserve"> niektórych</w:t>
      </w:r>
      <w:r w:rsidRPr="006068B9">
        <w:t xml:space="preserve"> wyłączeń stosowania ustawy Pzp określonych w innych ustawach</w:t>
      </w:r>
      <w:bookmarkEnd w:id="57"/>
    </w:p>
    <w:p w14:paraId="3B8C3E39" w14:textId="35C9CBA1" w:rsidR="0097580C" w:rsidRPr="00F123D3" w:rsidRDefault="0097580C" w:rsidP="00852522">
      <w:pPr>
        <w:pStyle w:val="Nagwek4"/>
      </w:pPr>
      <w:bookmarkStart w:id="58" w:name="_Hlk198807831"/>
      <w:r>
        <w:t xml:space="preserve">1. </w:t>
      </w:r>
      <w:r w:rsidRPr="00F123D3">
        <w:t xml:space="preserve">Zamówienia na podstawie </w:t>
      </w:r>
      <w:r w:rsidRPr="0070615B">
        <w:t>ustawy o szczególnych rozwiązaniach związanych z usuwaniem skutków powodzi</w:t>
      </w:r>
    </w:p>
    <w:p w14:paraId="2A7DFAF3" w14:textId="79BED5B0" w:rsidR="002D612B" w:rsidRDefault="002D612B" w:rsidP="002D612B">
      <w:pPr>
        <w:pStyle w:val="Legenda"/>
      </w:pPr>
      <w:bookmarkStart w:id="59" w:name="_Toc197685672"/>
      <w:bookmarkStart w:id="60" w:name="_Toc230687665"/>
      <w:bookmarkStart w:id="61" w:name="_Toc233203326"/>
      <w:r w:rsidRPr="00BD3FF3">
        <w:t xml:space="preserve">Rys. </w:t>
      </w:r>
      <w:r>
        <w:fldChar w:fldCharType="begin"/>
      </w:r>
      <w:r>
        <w:instrText>SEQ Rys. \* ARABIC</w:instrText>
      </w:r>
      <w:r>
        <w:fldChar w:fldCharType="separate"/>
      </w:r>
      <w:r w:rsidR="00017C65">
        <w:rPr>
          <w:noProof/>
        </w:rPr>
        <w:t>5</w:t>
      </w:r>
      <w:r>
        <w:fldChar w:fldCharType="end"/>
      </w:r>
      <w:r w:rsidRPr="00BD3FF3">
        <w:t xml:space="preserve">. Struktura ogłoszeń dot. </w:t>
      </w:r>
      <w:proofErr w:type="spellStart"/>
      <w:r w:rsidRPr="00BD3FF3">
        <w:t>wyłączeń</w:t>
      </w:r>
      <w:proofErr w:type="spellEnd"/>
      <w:r w:rsidRPr="00BD3FF3">
        <w:t xml:space="preserve"> stosowania u</w:t>
      </w:r>
      <w:r>
        <w:t xml:space="preserve">stawy </w:t>
      </w:r>
      <w:proofErr w:type="spellStart"/>
      <w:r>
        <w:t>Pzp</w:t>
      </w:r>
      <w:proofErr w:type="spellEnd"/>
      <w:r>
        <w:t xml:space="preserve"> </w:t>
      </w:r>
      <w:r w:rsidRPr="00FE046B">
        <w:t xml:space="preserve">na podstawie </w:t>
      </w:r>
      <w:r w:rsidRPr="00625A28">
        <w:t xml:space="preserve">ustawy </w:t>
      </w:r>
      <w:r w:rsidR="00F47A76">
        <w:t>z dnia 1</w:t>
      </w:r>
      <w:r w:rsidR="00607C53">
        <w:t>1</w:t>
      </w:r>
      <w:r w:rsidR="00F47A76">
        <w:t xml:space="preserve"> </w:t>
      </w:r>
      <w:r w:rsidR="00607C53">
        <w:t xml:space="preserve">września </w:t>
      </w:r>
      <w:r w:rsidR="00F47A76">
        <w:t>20</w:t>
      </w:r>
      <w:r w:rsidR="00607C53">
        <w:t>11</w:t>
      </w:r>
      <w:r w:rsidR="00F47A76">
        <w:t xml:space="preserve"> r.</w:t>
      </w:r>
      <w:r w:rsidR="00EA23E1">
        <w:t xml:space="preserve"> </w:t>
      </w:r>
      <w:r w:rsidRPr="00625A28">
        <w:t>o szczególnych rozwiązaniach związanych z usuwaniem skutków powodzi</w:t>
      </w:r>
      <w:r w:rsidRPr="00FE046B">
        <w:t xml:space="preserve"> </w:t>
      </w:r>
      <w:r w:rsidR="00EA23E1">
        <w:t xml:space="preserve">(Dz. U. </w:t>
      </w:r>
      <w:r w:rsidR="00456CC2">
        <w:t xml:space="preserve">z 2025 r. </w:t>
      </w:r>
      <w:r w:rsidR="00EA23E1">
        <w:t>poz. 14</w:t>
      </w:r>
      <w:r w:rsidR="00456CC2">
        <w:t>02</w:t>
      </w:r>
      <w:r w:rsidR="006B53CB">
        <w:t>, z późn. zm.)</w:t>
      </w:r>
      <w:r w:rsidR="00EA23E1">
        <w:t xml:space="preserve"> </w:t>
      </w:r>
      <w:r w:rsidRPr="00BD3FF3">
        <w:t>opublikowanych w BZP</w:t>
      </w:r>
      <w:r w:rsidRPr="00DB513D">
        <w:t xml:space="preserve"> w 202</w:t>
      </w:r>
      <w:r w:rsidR="0004762C">
        <w:t>5</w:t>
      </w:r>
      <w:r w:rsidRPr="00DB513D">
        <w:t xml:space="preserve"> r.</w:t>
      </w:r>
      <w:bookmarkEnd w:id="59"/>
      <w:bookmarkEnd w:id="60"/>
      <w:bookmarkEnd w:id="61"/>
    </w:p>
    <w:p w14:paraId="3E10FAEB" w14:textId="77777777" w:rsidR="002D612B" w:rsidRDefault="002D612B" w:rsidP="002D612B">
      <w:pPr>
        <w:shd w:val="clear" w:color="auto" w:fill="FFFFFF" w:themeFill="background1"/>
        <w:spacing w:line="360" w:lineRule="auto"/>
        <w:jc w:val="left"/>
      </w:pPr>
      <w:r>
        <w:rPr>
          <w:noProof/>
        </w:rPr>
        <w:drawing>
          <wp:inline distT="0" distB="0" distL="0" distR="0" wp14:anchorId="68DC0C3E" wp14:editId="2B72049C">
            <wp:extent cx="4585106" cy="2677363"/>
            <wp:effectExtent l="38100" t="0" r="44450" b="8890"/>
            <wp:docPr id="1589948930" name="Chart 3" descr="Struktura ogłoszeń dot. wyłączeń stosowania ustawy Pzp na podstawie ustawy o szczególnych rozwiązaniach związanych z usuwaniem skutków powodzi opublikowanych w BZP w 2025 r." title="Struktura ogłoszeń dot. wyłączeń stosowania ustawy Pzp na podstawie ustawy o szczególnych rozwiązaniach związanych z usuwaniem skutków powodzi opublikowanych w BZP w 2025 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C76DD84" w14:textId="77777777" w:rsidR="002D612B" w:rsidRDefault="002D612B" w:rsidP="002D612B">
      <w:pPr>
        <w:shd w:val="clear" w:color="auto" w:fill="FFFFFF"/>
        <w:spacing w:before="240" w:line="360" w:lineRule="auto"/>
        <w:jc w:val="left"/>
      </w:pPr>
      <w:r>
        <w:t>W 2025 r. w BZP opublikowano 374 ogłoszeń</w:t>
      </w:r>
      <w:r w:rsidRPr="0074292B">
        <w:t xml:space="preserve"> informujących o udzieleniu zamówienia </w:t>
      </w:r>
      <w:r w:rsidRPr="00D35C69">
        <w:t>związan</w:t>
      </w:r>
      <w:r>
        <w:t>ego</w:t>
      </w:r>
      <w:r w:rsidRPr="00D35C69">
        <w:t xml:space="preserve"> z usuwaniem skutków powodzi </w:t>
      </w:r>
      <w:r w:rsidRPr="0074292B">
        <w:t xml:space="preserve">na podstawie </w:t>
      </w:r>
      <w:proofErr w:type="spellStart"/>
      <w:r w:rsidRPr="0074292B">
        <w:t>wyłączeń</w:t>
      </w:r>
      <w:proofErr w:type="spellEnd"/>
      <w:r>
        <w:t>.</w:t>
      </w:r>
    </w:p>
    <w:p w14:paraId="671CEA1E" w14:textId="77777777" w:rsidR="002D612B" w:rsidRDefault="002D612B" w:rsidP="002D612B">
      <w:pPr>
        <w:spacing w:line="360" w:lineRule="auto"/>
        <w:jc w:val="left"/>
      </w:pPr>
      <w:r>
        <w:t>Najwięcej zamówień dotyczyło usług – 26% (99 ogłoszeń), 6% (22 ogłoszenia) dotyczyło dostaw, a 2% (6 ogłoszeń) – robót budowlanych. W 66% (247 ogłoszeń) nie podano rodzaju zamówienia.</w:t>
      </w:r>
    </w:p>
    <w:p w14:paraId="595F61C4" w14:textId="4CDF4776" w:rsidR="00D9194A" w:rsidRPr="002D612B" w:rsidRDefault="002D612B" w:rsidP="002D612B">
      <w:pPr>
        <w:spacing w:before="120" w:line="360" w:lineRule="auto"/>
        <w:jc w:val="left"/>
      </w:pPr>
      <w:r>
        <w:lastRenderedPageBreak/>
        <w:t xml:space="preserve">Z treści </w:t>
      </w:r>
      <w:r w:rsidRPr="00FB2E03">
        <w:t>ogłoszeń opublikowanych w BZP w 202</w:t>
      </w:r>
      <w:r>
        <w:t>5</w:t>
      </w:r>
      <w:r w:rsidRPr="00FB2E03">
        <w:t xml:space="preserve"> r. </w:t>
      </w:r>
      <w:r>
        <w:t xml:space="preserve">wynika, </w:t>
      </w:r>
      <w:r w:rsidRPr="00FB2E03">
        <w:t xml:space="preserve">że na podstawie </w:t>
      </w:r>
      <w:proofErr w:type="spellStart"/>
      <w:r w:rsidRPr="00FB2E03">
        <w:t>wyłączeń</w:t>
      </w:r>
      <w:proofErr w:type="spellEnd"/>
      <w:r w:rsidRPr="00FB2E03">
        <w:t xml:space="preserve"> stosowania ustawy </w:t>
      </w:r>
      <w:proofErr w:type="spellStart"/>
      <w:r w:rsidRPr="00FB2E03">
        <w:t>Pzp</w:t>
      </w:r>
      <w:proofErr w:type="spellEnd"/>
      <w:r w:rsidRPr="00FB2E03">
        <w:t xml:space="preserve"> </w:t>
      </w:r>
      <w:r w:rsidRPr="002842C8">
        <w:t xml:space="preserve">związanych z usuwaniem skutków powodzi </w:t>
      </w:r>
      <w:r w:rsidRPr="00FB2E03">
        <w:t xml:space="preserve">wydatkowano łącznie ok. </w:t>
      </w:r>
      <w:r>
        <w:t>157</w:t>
      </w:r>
      <w:r w:rsidRPr="00FB2E03">
        <w:t xml:space="preserve"> mln zł</w:t>
      </w:r>
      <w:r>
        <w:t>.</w:t>
      </w:r>
    </w:p>
    <w:bookmarkEnd w:id="58"/>
    <w:p w14:paraId="5E009068" w14:textId="56D24FD3" w:rsidR="00A522F3" w:rsidRPr="00261154" w:rsidRDefault="0097580C" w:rsidP="00852522">
      <w:pPr>
        <w:pStyle w:val="Nagwek4"/>
      </w:pPr>
      <w:r>
        <w:t>2</w:t>
      </w:r>
      <w:r w:rsidR="00A3662C" w:rsidRPr="00261154">
        <w:t xml:space="preserve">. </w:t>
      </w:r>
      <w:r w:rsidR="00A522F3" w:rsidRPr="00261154">
        <w:t>Zamówienia związane z przeciwdziałaniem COVID-19</w:t>
      </w:r>
    </w:p>
    <w:p w14:paraId="79BF4EA1" w14:textId="545E2679" w:rsidR="002D612B" w:rsidRDefault="002D612B" w:rsidP="002D612B">
      <w:pPr>
        <w:pStyle w:val="Legenda"/>
      </w:pPr>
      <w:bookmarkStart w:id="62" w:name="_Toc230687666"/>
      <w:bookmarkStart w:id="63" w:name="_Toc233203327"/>
      <w:r w:rsidRPr="00BD3FF3">
        <w:t xml:space="preserve">Rys. </w:t>
      </w:r>
      <w:r>
        <w:fldChar w:fldCharType="begin"/>
      </w:r>
      <w:r>
        <w:instrText>SEQ Rys. \* ARABIC</w:instrText>
      </w:r>
      <w:r>
        <w:fldChar w:fldCharType="separate"/>
      </w:r>
      <w:r w:rsidR="00017C65">
        <w:rPr>
          <w:noProof/>
        </w:rPr>
        <w:t>6</w:t>
      </w:r>
      <w:r>
        <w:fldChar w:fldCharType="end"/>
      </w:r>
      <w:r w:rsidRPr="00BD3FF3">
        <w:t xml:space="preserve">. Struktura ogłoszeń dot. </w:t>
      </w:r>
      <w:proofErr w:type="spellStart"/>
      <w:r w:rsidRPr="00BD3FF3">
        <w:t>wyłączeń</w:t>
      </w:r>
      <w:proofErr w:type="spellEnd"/>
      <w:r w:rsidRPr="00BD3FF3">
        <w:t xml:space="preserve"> stosowania u</w:t>
      </w:r>
      <w:r>
        <w:t xml:space="preserve">stawy </w:t>
      </w:r>
      <w:proofErr w:type="spellStart"/>
      <w:r>
        <w:t>Pzp</w:t>
      </w:r>
      <w:proofErr w:type="spellEnd"/>
      <w:r>
        <w:t xml:space="preserve"> związanych z COVID-19 opublikowanych w </w:t>
      </w:r>
      <w:r w:rsidRPr="00BD3FF3">
        <w:t>BZP</w:t>
      </w:r>
      <w:r w:rsidRPr="00DB513D">
        <w:t xml:space="preserve"> w 202</w:t>
      </w:r>
      <w:r>
        <w:t>5</w:t>
      </w:r>
      <w:r w:rsidRPr="00DB513D">
        <w:t xml:space="preserve"> r.</w:t>
      </w:r>
      <w:bookmarkEnd w:id="62"/>
      <w:bookmarkEnd w:id="63"/>
    </w:p>
    <w:p w14:paraId="3B387F62" w14:textId="77777777" w:rsidR="002D612B" w:rsidRDefault="002D612B" w:rsidP="002D612B">
      <w:pPr>
        <w:spacing w:line="360" w:lineRule="auto"/>
        <w:jc w:val="left"/>
      </w:pPr>
      <w:r>
        <w:rPr>
          <w:noProof/>
        </w:rPr>
        <w:drawing>
          <wp:inline distT="0" distB="0" distL="0" distR="0" wp14:anchorId="7FC44608" wp14:editId="0B2D82EA">
            <wp:extent cx="4572000" cy="2560320"/>
            <wp:effectExtent l="38100" t="0" r="38100" b="0"/>
            <wp:docPr id="503190840" name="Chart 4" descr="Struktura ogłoszeń dot. wyłączeń stosowania ustawy Pzp związanych z COVID-19 opublikowanych w BZP w 2025 r." title="Struktura ogłoszeń dot. wyłączeń stosowania ustawy Pzp związanych z COVID-19 opublikowanych w BZP w 2025 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24C34FF" w14:textId="04D25B9D" w:rsidR="00D9194A" w:rsidRPr="002D612B" w:rsidRDefault="002D612B" w:rsidP="002D612B">
      <w:pPr>
        <w:spacing w:before="120" w:line="360" w:lineRule="auto"/>
        <w:jc w:val="left"/>
      </w:pPr>
      <w:r w:rsidRPr="009101EC">
        <w:t>W 202</w:t>
      </w:r>
      <w:r>
        <w:t>5</w:t>
      </w:r>
      <w:r w:rsidRPr="009101EC">
        <w:t xml:space="preserve"> roku w B</w:t>
      </w:r>
      <w:r>
        <w:t>ZP</w:t>
      </w:r>
      <w:r w:rsidRPr="009101EC">
        <w:t xml:space="preserve"> opublikowano </w:t>
      </w:r>
      <w:r>
        <w:t xml:space="preserve">51 </w:t>
      </w:r>
      <w:r w:rsidRPr="009101EC">
        <w:t xml:space="preserve">ogłoszeń dotyczących udzielenia zamówień publicznych na podstawie </w:t>
      </w:r>
      <w:proofErr w:type="spellStart"/>
      <w:r w:rsidRPr="009101EC">
        <w:t>wyłączeń</w:t>
      </w:r>
      <w:proofErr w:type="spellEnd"/>
      <w:r w:rsidRPr="009101EC">
        <w:t xml:space="preserve"> z ustawy Prawo zamówień publicznych, przewidzianych w ustawie</w:t>
      </w:r>
      <w:r w:rsidR="008E5D62">
        <w:t xml:space="preserve"> z dnia 2 marca 2020 r.</w:t>
      </w:r>
      <w:r w:rsidRPr="009101EC">
        <w:t xml:space="preserve"> o szczególnych rozwiązaniach związanych z </w:t>
      </w:r>
      <w:r w:rsidR="00503CEB">
        <w:t xml:space="preserve">zapobieganiem, </w:t>
      </w:r>
      <w:r w:rsidRPr="009101EC">
        <w:t xml:space="preserve">przeciwdziałaniem </w:t>
      </w:r>
      <w:r w:rsidR="00503CEB">
        <w:t xml:space="preserve">i zwalczaniem </w:t>
      </w:r>
      <w:r w:rsidRPr="009101EC">
        <w:t xml:space="preserve">COVID-19, </w:t>
      </w:r>
      <w:r w:rsidR="00503CEB" w:rsidRPr="009101EC">
        <w:t>inny</w:t>
      </w:r>
      <w:r w:rsidR="00503CEB">
        <w:t>ch</w:t>
      </w:r>
      <w:r w:rsidR="00503CEB" w:rsidRPr="009101EC">
        <w:t xml:space="preserve"> </w:t>
      </w:r>
      <w:r w:rsidRPr="009101EC">
        <w:t xml:space="preserve">chorobom </w:t>
      </w:r>
      <w:r w:rsidR="00503CEB" w:rsidRPr="009101EC">
        <w:t>zakaźny</w:t>
      </w:r>
      <w:r w:rsidR="00503CEB">
        <w:t>ch</w:t>
      </w:r>
      <w:r w:rsidR="00503CEB" w:rsidRPr="009101EC">
        <w:t xml:space="preserve"> </w:t>
      </w:r>
      <w:r w:rsidRPr="009101EC">
        <w:t xml:space="preserve">oraz </w:t>
      </w:r>
      <w:r w:rsidR="003E4681">
        <w:t>wywołanych nim</w:t>
      </w:r>
      <w:r w:rsidRPr="009101EC">
        <w:t xml:space="preserve">i </w:t>
      </w:r>
      <w:r w:rsidR="003E4681" w:rsidRPr="009101EC">
        <w:t>sytuacj</w:t>
      </w:r>
      <w:r w:rsidR="003E4681">
        <w:t>i</w:t>
      </w:r>
      <w:r w:rsidR="003E4681" w:rsidRPr="009101EC">
        <w:t xml:space="preserve"> kryzysowy</w:t>
      </w:r>
      <w:r w:rsidR="003E4681">
        <w:t xml:space="preserve">ch (Dz. U. </w:t>
      </w:r>
      <w:r w:rsidR="00C74E0E">
        <w:t>z 2025 r. poz. 764, z późn. zm.)</w:t>
      </w:r>
      <w:r w:rsidRPr="009101EC">
        <w:t>. Dla porównania, w 202</w:t>
      </w:r>
      <w:r>
        <w:t>4</w:t>
      </w:r>
      <w:r w:rsidRPr="009101EC">
        <w:t xml:space="preserve"> roku takich ogłoszeń było </w:t>
      </w:r>
      <w:r>
        <w:t>46</w:t>
      </w:r>
      <w:r w:rsidRPr="009101EC">
        <w:t>. Około 9</w:t>
      </w:r>
      <w:r>
        <w:t>8</w:t>
      </w:r>
      <w:r w:rsidRPr="009101EC">
        <w:t>% z nich (</w:t>
      </w:r>
      <w:r>
        <w:t>50</w:t>
      </w:r>
      <w:r w:rsidRPr="009101EC">
        <w:t xml:space="preserve"> ogłosze</w:t>
      </w:r>
      <w:r>
        <w:t>ń</w:t>
      </w:r>
      <w:r w:rsidRPr="009101EC">
        <w:t xml:space="preserve">) dotyczyło dostaw, natomiast </w:t>
      </w:r>
      <w:r>
        <w:t>dla jednego pozostałego nie podano rodzaju zamówienia</w:t>
      </w:r>
      <w:r w:rsidRPr="009101EC">
        <w:t xml:space="preserve">. Z treści ogłoszeń wynika, że w ramach tych </w:t>
      </w:r>
      <w:proofErr w:type="spellStart"/>
      <w:r w:rsidRPr="009101EC">
        <w:t>wyłączeń</w:t>
      </w:r>
      <w:proofErr w:type="spellEnd"/>
      <w:r w:rsidRPr="009101EC">
        <w:t xml:space="preserve"> wydatkowano łącznie około </w:t>
      </w:r>
      <w:r>
        <w:t>6</w:t>
      </w:r>
      <w:r w:rsidRPr="009101EC">
        <w:t>,</w:t>
      </w:r>
      <w:r>
        <w:t>7</w:t>
      </w:r>
      <w:r w:rsidRPr="009101EC">
        <w:t xml:space="preserve"> mln zł</w:t>
      </w:r>
      <w:r>
        <w:t xml:space="preserve"> </w:t>
      </w:r>
      <w:r w:rsidRPr="00FB2E03">
        <w:t>(w 202</w:t>
      </w:r>
      <w:r>
        <w:t>4</w:t>
      </w:r>
      <w:r w:rsidRPr="00FB2E03">
        <w:t xml:space="preserve"> r. </w:t>
      </w:r>
      <w:r>
        <w:t xml:space="preserve">– </w:t>
      </w:r>
      <w:r w:rsidRPr="00FB2E03">
        <w:t xml:space="preserve">ok. </w:t>
      </w:r>
      <w:r>
        <w:t>3,4</w:t>
      </w:r>
      <w:r w:rsidRPr="00FB2E03">
        <w:t xml:space="preserve"> mln zł</w:t>
      </w:r>
      <w:r>
        <w:t>).</w:t>
      </w:r>
    </w:p>
    <w:p w14:paraId="39255A69" w14:textId="3CB96AB8" w:rsidR="00A522F3" w:rsidRPr="00E24D32" w:rsidRDefault="000833EF" w:rsidP="00852522">
      <w:pPr>
        <w:pStyle w:val="Nagwek4"/>
      </w:pPr>
      <w:r>
        <w:t>3</w:t>
      </w:r>
      <w:r w:rsidR="00E96E98">
        <w:t xml:space="preserve">. </w:t>
      </w:r>
      <w:r w:rsidR="00A522F3" w:rsidRPr="00E24D32">
        <w:t xml:space="preserve">Zamówienia </w:t>
      </w:r>
      <w:r w:rsidR="00136F81" w:rsidRPr="00E24D32">
        <w:t>na podstawie ustawy</w:t>
      </w:r>
      <w:r w:rsidR="00103B53" w:rsidRPr="00E24D32">
        <w:t xml:space="preserve"> o pomocy obywatelom Ukrainy</w:t>
      </w:r>
    </w:p>
    <w:p w14:paraId="682B6509" w14:textId="1A1CC4A3" w:rsidR="002D612B" w:rsidRDefault="002D612B" w:rsidP="002D612B">
      <w:pPr>
        <w:pStyle w:val="Legenda"/>
      </w:pPr>
      <w:bookmarkStart w:id="64" w:name="_Toc230687667"/>
      <w:bookmarkStart w:id="65" w:name="_Toc233203328"/>
      <w:r w:rsidRPr="00BD3FF3">
        <w:lastRenderedPageBreak/>
        <w:t xml:space="preserve">Rys. </w:t>
      </w:r>
      <w:r>
        <w:fldChar w:fldCharType="begin"/>
      </w:r>
      <w:r>
        <w:instrText>SEQ Rys. \* ARABIC</w:instrText>
      </w:r>
      <w:r>
        <w:fldChar w:fldCharType="separate"/>
      </w:r>
      <w:r w:rsidR="00017C65">
        <w:rPr>
          <w:noProof/>
        </w:rPr>
        <w:t>7</w:t>
      </w:r>
      <w:r>
        <w:fldChar w:fldCharType="end"/>
      </w:r>
      <w:r w:rsidRPr="00BD3FF3">
        <w:t xml:space="preserve">. Struktura ogłoszeń dot. </w:t>
      </w:r>
      <w:proofErr w:type="spellStart"/>
      <w:r w:rsidRPr="00BD3FF3">
        <w:t>wyłączeń</w:t>
      </w:r>
      <w:proofErr w:type="spellEnd"/>
      <w:r w:rsidRPr="00BD3FF3">
        <w:t xml:space="preserve"> stosowania u</w:t>
      </w:r>
      <w:r>
        <w:t xml:space="preserve">stawy </w:t>
      </w:r>
      <w:proofErr w:type="spellStart"/>
      <w:r>
        <w:t>Pzp</w:t>
      </w:r>
      <w:proofErr w:type="spellEnd"/>
      <w:r>
        <w:t xml:space="preserve"> </w:t>
      </w:r>
      <w:r w:rsidRPr="00FE046B">
        <w:t>na podstawie ustawy</w:t>
      </w:r>
      <w:r w:rsidR="00A32BC6">
        <w:t xml:space="preserve"> z dnia 12 marca 2022 r. </w:t>
      </w:r>
      <w:r w:rsidRPr="00FE046B">
        <w:t xml:space="preserve"> o pomocy obywatelom Ukrainy </w:t>
      </w:r>
      <w:r w:rsidR="002770A9" w:rsidRPr="002770A9">
        <w:t>w związku z konfliktem zbrojnym na terytorium tego państwa</w:t>
      </w:r>
      <w:r w:rsidR="002770A9">
        <w:t xml:space="preserve"> </w:t>
      </w:r>
      <w:r w:rsidRPr="00BD3FF3">
        <w:t>opublikowanych w BZP</w:t>
      </w:r>
      <w:r w:rsidRPr="00DB513D">
        <w:t xml:space="preserve"> w 202</w:t>
      </w:r>
      <w:r>
        <w:t>5</w:t>
      </w:r>
      <w:r w:rsidRPr="00DB513D">
        <w:t xml:space="preserve"> r.</w:t>
      </w:r>
      <w:bookmarkEnd w:id="64"/>
      <w:bookmarkEnd w:id="65"/>
    </w:p>
    <w:p w14:paraId="3E87DD21" w14:textId="77777777" w:rsidR="002D612B" w:rsidRDefault="002D612B" w:rsidP="002D612B">
      <w:pPr>
        <w:spacing w:line="360" w:lineRule="auto"/>
        <w:jc w:val="left"/>
      </w:pPr>
      <w:r>
        <w:rPr>
          <w:noProof/>
        </w:rPr>
        <w:drawing>
          <wp:inline distT="0" distB="0" distL="0" distR="0" wp14:anchorId="3492BF3B" wp14:editId="201B9531">
            <wp:extent cx="4572000" cy="2684678"/>
            <wp:effectExtent l="0" t="0" r="38100" b="1905"/>
            <wp:docPr id="1956885875" name="Chart 5" descr="Struktura ogłoszeń dot. wyłączeń stosowania ustawy Pzp na podstawie ustawy o pomocy obywatelom Ukrainy opublikowanych w BZP w 2025 r." title="Struktura ogłoszeń dot. wyłączeń stosowania ustawy Pzp na podstawie ustawy o pomocy obywatelom Ukrainy opublikowanych w BZP w 2025 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D3B1D37" w14:textId="7C90E982" w:rsidR="002D612B" w:rsidRDefault="002D612B" w:rsidP="002D612B">
      <w:pPr>
        <w:spacing w:before="240" w:line="360" w:lineRule="auto"/>
        <w:jc w:val="left"/>
      </w:pPr>
      <w:r>
        <w:t xml:space="preserve">W opisywanym okresie w BZP opublikowano 1 032 (w 2024 r. – 2 225) </w:t>
      </w:r>
      <w:r w:rsidRPr="0074292B">
        <w:t>ogłosze</w:t>
      </w:r>
      <w:r>
        <w:t>nia</w:t>
      </w:r>
      <w:r w:rsidRPr="0074292B">
        <w:t xml:space="preserve"> informując</w:t>
      </w:r>
      <w:r>
        <w:t>e</w:t>
      </w:r>
      <w:r w:rsidRPr="0074292B">
        <w:t xml:space="preserve"> o udzieleniu zamówienia na podstawie </w:t>
      </w:r>
      <w:proofErr w:type="spellStart"/>
      <w:r w:rsidRPr="0074292B">
        <w:t>wyłączeń</w:t>
      </w:r>
      <w:proofErr w:type="spellEnd"/>
      <w:r w:rsidRPr="0074292B">
        <w:t xml:space="preserve"> </w:t>
      </w:r>
      <w:r w:rsidRPr="0090254D">
        <w:t xml:space="preserve">stosowania ustawy </w:t>
      </w:r>
      <w:proofErr w:type="spellStart"/>
      <w:r w:rsidRPr="0090254D">
        <w:t>Pzp</w:t>
      </w:r>
      <w:proofErr w:type="spellEnd"/>
      <w:r w:rsidRPr="0090254D">
        <w:t xml:space="preserve"> na podstawie ustawy</w:t>
      </w:r>
      <w:r w:rsidR="002770A9">
        <w:t xml:space="preserve"> z dnia 12 marca 2022 r.</w:t>
      </w:r>
      <w:r w:rsidRPr="0090254D">
        <w:t xml:space="preserve"> o pomocy obywatelom Ukrainy</w:t>
      </w:r>
      <w:r w:rsidR="002770A9">
        <w:t xml:space="preserve"> </w:t>
      </w:r>
      <w:r w:rsidR="002770A9" w:rsidRPr="002770A9">
        <w:t xml:space="preserve">w związku z konfliktem zbrojnym na terytorium tego </w:t>
      </w:r>
      <w:r w:rsidR="00510540" w:rsidRPr="002770A9">
        <w:t>państwa</w:t>
      </w:r>
      <w:r w:rsidR="00510540">
        <w:t xml:space="preserve"> (</w:t>
      </w:r>
      <w:r w:rsidR="002770A9">
        <w:t xml:space="preserve">Dz. U. </w:t>
      </w:r>
      <w:r w:rsidR="00510540">
        <w:t>z 2025 r. poz. 337, z późn. zm.)</w:t>
      </w:r>
      <w:r>
        <w:t xml:space="preserve">. </w:t>
      </w:r>
    </w:p>
    <w:p w14:paraId="70A34D02" w14:textId="6853E767" w:rsidR="00D9194A" w:rsidRPr="002D612B" w:rsidRDefault="002D612B" w:rsidP="002D612B">
      <w:pPr>
        <w:spacing w:line="360" w:lineRule="auto"/>
        <w:jc w:val="left"/>
      </w:pPr>
      <w:r>
        <w:t xml:space="preserve">Blisko 88% (908 ogłoszeń) z nich to zamówienia na dostawy, a ponad 9% (94 ogłoszenia) – na usługi. W prawie 3% (30 ogłoszeń) brak określenia rodzaju zamówienia. Na wskazane zamówienia </w:t>
      </w:r>
      <w:r w:rsidRPr="00C45D61">
        <w:t xml:space="preserve">wydatkowano łącznie ok. </w:t>
      </w:r>
      <w:r>
        <w:t>152</w:t>
      </w:r>
      <w:r w:rsidRPr="00C45D61">
        <w:t xml:space="preserve"> mln zł (w 202</w:t>
      </w:r>
      <w:r>
        <w:t>4</w:t>
      </w:r>
      <w:r w:rsidRPr="00C45D61">
        <w:t xml:space="preserve"> r. </w:t>
      </w:r>
      <w:r>
        <w:t xml:space="preserve">– </w:t>
      </w:r>
      <w:r w:rsidRPr="00C45D61">
        <w:t xml:space="preserve">ok. </w:t>
      </w:r>
      <w:r>
        <w:t>296</w:t>
      </w:r>
      <w:r w:rsidRPr="00C45D61">
        <w:t xml:space="preserve"> ml</w:t>
      </w:r>
      <w:r>
        <w:t>n</w:t>
      </w:r>
      <w:r w:rsidRPr="00C45D61">
        <w:t xml:space="preserve"> zł).</w:t>
      </w:r>
    </w:p>
    <w:p w14:paraId="62FF5965" w14:textId="4A74650E" w:rsidR="00077A72" w:rsidRPr="00077A72" w:rsidRDefault="00077A72" w:rsidP="00D06180">
      <w:pPr>
        <w:pStyle w:val="Nagwek2"/>
      </w:pPr>
      <w:bookmarkStart w:id="66" w:name="_Toc64451856"/>
      <w:bookmarkStart w:id="67" w:name="_Toc233203272"/>
      <w:r w:rsidRPr="00077A72">
        <w:t>I.2. Funkcjonowanie rynku</w:t>
      </w:r>
      <w:bookmarkEnd w:id="66"/>
      <w:bookmarkEnd w:id="67"/>
    </w:p>
    <w:p w14:paraId="51FA8EB3" w14:textId="77777777" w:rsidR="002D612B" w:rsidRPr="002D612B" w:rsidRDefault="002D612B" w:rsidP="00A209FD">
      <w:pPr>
        <w:spacing w:before="120" w:line="360" w:lineRule="auto"/>
        <w:jc w:val="left"/>
        <w:rPr>
          <w:szCs w:val="22"/>
        </w:rPr>
      </w:pPr>
      <w:bookmarkStart w:id="68" w:name="_Toc64451857"/>
      <w:r w:rsidRPr="002D612B">
        <w:rPr>
          <w:szCs w:val="22"/>
        </w:rPr>
        <w:t xml:space="preserve">W 2025 r. rynek zamówień publicznych funkcjonował w warunkach </w:t>
      </w:r>
      <w:r w:rsidRPr="002D612B">
        <w:rPr>
          <w:b/>
          <w:bCs/>
          <w:szCs w:val="22"/>
        </w:rPr>
        <w:t>utrzymującej się dominacji trybów konkurencyjnych</w:t>
      </w:r>
      <w:r w:rsidRPr="002D612B">
        <w:rPr>
          <w:szCs w:val="22"/>
        </w:rPr>
        <w:t>, co potwierdza stabilność ram proceduralnych systemu. Zarówno w zamówieniach poniżej progów unijnych, jak i w postępowaniach o wyższej wartości, zdecydowana większość zamówień była udzielana w trybie podstawowym oraz przetargu nieograniczonego. Oznacza to, że formalnie konkurencyjny model udzielania zamówień pozostaje standardem, a tryby niekonkurencyjne pełnią rolę uzupełniającą.</w:t>
      </w:r>
    </w:p>
    <w:p w14:paraId="289A9A35" w14:textId="77777777" w:rsidR="002D612B" w:rsidRPr="002D612B" w:rsidRDefault="002D612B" w:rsidP="00A209FD">
      <w:pPr>
        <w:spacing w:before="120" w:line="360" w:lineRule="auto"/>
        <w:jc w:val="left"/>
        <w:rPr>
          <w:szCs w:val="22"/>
        </w:rPr>
      </w:pPr>
      <w:r w:rsidRPr="002D612B">
        <w:rPr>
          <w:szCs w:val="22"/>
        </w:rPr>
        <w:t xml:space="preserve">Jednocześnie w 2025 r. odnotowano wydłużenie czasu trwania postępowań, widoczne zarówno poniżej, jak i powyżej progów unijnych. Szczególnie istotny wzrost dotyczył postępowań na usługi oraz robót budowlanych o wysokiej wartości. Pomimo tego </w:t>
      </w:r>
      <w:r w:rsidRPr="002D612B">
        <w:rPr>
          <w:b/>
          <w:bCs/>
          <w:szCs w:val="22"/>
        </w:rPr>
        <w:t>Polska nadal należy do państw o najkrótszym czasie podejmowania decyzji w postępowaniach unijnych w skali europejskiej</w:t>
      </w:r>
      <w:r w:rsidRPr="002D612B">
        <w:rPr>
          <w:szCs w:val="22"/>
        </w:rPr>
        <w:t xml:space="preserve">, co wskazuje na relatywnie wysoką sprawność proceduralną systemu na tle innych krajów Europejskiego Obszaru </w:t>
      </w:r>
      <w:r w:rsidRPr="002D612B">
        <w:rPr>
          <w:szCs w:val="22"/>
        </w:rPr>
        <w:lastRenderedPageBreak/>
        <w:t>Gospodarczego. Wydłużenie postępowań ma zatem charakter względny i nie podważa konkurencyjności instytucjonalnej polskiego rynku.</w:t>
      </w:r>
    </w:p>
    <w:p w14:paraId="70A48C9B" w14:textId="77777777" w:rsidR="002D612B" w:rsidRPr="002D612B" w:rsidRDefault="002D612B" w:rsidP="00A209FD">
      <w:pPr>
        <w:spacing w:before="120" w:line="360" w:lineRule="auto"/>
        <w:jc w:val="left"/>
        <w:rPr>
          <w:szCs w:val="22"/>
        </w:rPr>
      </w:pPr>
      <w:r w:rsidRPr="002D612B">
        <w:rPr>
          <w:szCs w:val="22"/>
        </w:rPr>
        <w:t>Z punktu widzenia konkurencyjności rynku 2025 r. przyniósł poprawę wskaźników liczby składanych ofert, zarówno w zamówieniach krajowych, jak i unijnych. Wyraźnie wzrósł odsetek postępowań, w których złożono więcej niż jedną ofertę, co należy ocenić pozytywnie. Jednocześnie zwiększyła się skala odrzucania ofert, szczególnie w zamówieniach krajowych, co może wskazywać na pogłębiające się problemy jakościowe ofert lub rosnącą złożoność dokumentacji przetargowej.</w:t>
      </w:r>
    </w:p>
    <w:p w14:paraId="381495AE" w14:textId="2AC7186E" w:rsidR="002D612B" w:rsidRPr="002D612B" w:rsidRDefault="002D612B" w:rsidP="00A209FD">
      <w:pPr>
        <w:spacing w:before="120" w:line="360" w:lineRule="auto"/>
        <w:jc w:val="left"/>
        <w:rPr>
          <w:szCs w:val="22"/>
        </w:rPr>
      </w:pPr>
      <w:r w:rsidRPr="002D612B">
        <w:rPr>
          <w:szCs w:val="22"/>
        </w:rPr>
        <w:t xml:space="preserve">Rynek zamówień publicznych w 2025 r. pozostał silnie otwarty na udział sektora MŚP, zarówno w postępowaniach krajowych, jak i unijnych. Wysoki udział ofert składanych przez MŚP oraz znaczący udział tej grupy w liczbie wygrywanych postępowań potwierdzają ich trwałą pozycję w systemie. Jednocześnie obserwowany spadek udziału </w:t>
      </w:r>
      <w:r w:rsidR="00272347">
        <w:rPr>
          <w:szCs w:val="22"/>
        </w:rPr>
        <w:t xml:space="preserve">sektora </w:t>
      </w:r>
      <w:r w:rsidRPr="002D612B">
        <w:rPr>
          <w:szCs w:val="22"/>
        </w:rPr>
        <w:t>MŚP w łącznej wartości zamówień krajowych może świadczyć o rosnącej koncentracji wartości kontraktów lub o ograniczonej zdolności mniejszych podmiotów do realizacji większych zamówień.</w:t>
      </w:r>
    </w:p>
    <w:p w14:paraId="1EB122C9" w14:textId="6500AAE5" w:rsidR="002D612B" w:rsidRPr="002D612B" w:rsidRDefault="002D612B" w:rsidP="00A209FD">
      <w:pPr>
        <w:spacing w:before="120" w:line="360" w:lineRule="auto"/>
        <w:jc w:val="left"/>
        <w:rPr>
          <w:szCs w:val="22"/>
        </w:rPr>
      </w:pPr>
      <w:r w:rsidRPr="002D612B">
        <w:rPr>
          <w:szCs w:val="22"/>
        </w:rPr>
        <w:t>Uzupełnieniem obrazu rynku jest stabilna, choć selektywna obecność wykonawców zagranicznych, skoncentrowana w określonych segmentach asortymentowych, przede wszystkim w obszarze dostaw specjalistycznych. Potwierdza to, że polski rynek pozostaje dostępny dla podmiotów zewnętrznych, przy jednoczesnym utrzymaniu dominującej roli wykonawców krajowych.</w:t>
      </w:r>
    </w:p>
    <w:p w14:paraId="27AA4175" w14:textId="74849E13" w:rsidR="00077A72" w:rsidRPr="00077A72" w:rsidRDefault="00077A72" w:rsidP="00270CF3">
      <w:pPr>
        <w:pStyle w:val="Nagwek3"/>
      </w:pPr>
      <w:bookmarkStart w:id="69" w:name="_Toc233203273"/>
      <w:r w:rsidRPr="00F93CD9">
        <w:t>I.2.1. Tryby stosowane w zamówieniach publicznych</w:t>
      </w:r>
      <w:bookmarkEnd w:id="68"/>
      <w:bookmarkEnd w:id="69"/>
    </w:p>
    <w:p w14:paraId="48128CDB" w14:textId="77777777" w:rsidR="002D612B" w:rsidRDefault="002D612B" w:rsidP="00A209FD">
      <w:pPr>
        <w:shd w:val="clear" w:color="auto" w:fill="FFFFFF"/>
        <w:spacing w:before="120" w:line="360" w:lineRule="auto"/>
        <w:jc w:val="left"/>
      </w:pPr>
      <w:r w:rsidRPr="0086411C">
        <w:t>W postępowaniach prowadzonych zgodnie z ustawą Pzp około 94% zamówień publicznych udzielano w najbardziej konkurencyjnych trybach: dla zamówień poniżej progów unijnych stosowano tryb podstawowy, natomiast dla zamówień równych lub przekraczających te progi – tryb przetargu nieograniczonego.</w:t>
      </w:r>
    </w:p>
    <w:p w14:paraId="7BCADF33" w14:textId="2AA94D3D" w:rsidR="002D612B" w:rsidRDefault="008C1642" w:rsidP="002D612B">
      <w:pPr>
        <w:pStyle w:val="Legenda"/>
      </w:pPr>
      <w:bookmarkStart w:id="70" w:name="_Toc233203329"/>
      <w:r w:rsidRPr="00BA1095">
        <w:lastRenderedPageBreak/>
        <w:t xml:space="preserve">Rys. </w:t>
      </w:r>
      <w:r>
        <w:fldChar w:fldCharType="begin"/>
      </w:r>
      <w:r>
        <w:instrText>SEQ Rys. \* ARABIC</w:instrText>
      </w:r>
      <w:r>
        <w:fldChar w:fldCharType="separate"/>
      </w:r>
      <w:r w:rsidR="00017C65">
        <w:rPr>
          <w:noProof/>
        </w:rPr>
        <w:t>8</w:t>
      </w:r>
      <w:r>
        <w:fldChar w:fldCharType="end"/>
      </w:r>
      <w:r w:rsidRPr="00BA1095">
        <w:t xml:space="preserve">. </w:t>
      </w:r>
      <w:r w:rsidR="002D612B">
        <w:t>Odsetek liczby zamówień w podziale na tryb udzielenia zamówienia (z</w:t>
      </w:r>
      <w:r w:rsidR="002D612B" w:rsidRPr="00921B97">
        <w:t>amówienia o wartości mniejszej niż progi unijne</w:t>
      </w:r>
      <w:r w:rsidR="002D612B">
        <w:t>)</w:t>
      </w:r>
      <w:bookmarkEnd w:id="70"/>
    </w:p>
    <w:p w14:paraId="5CC9D8A5" w14:textId="77777777" w:rsidR="002D612B" w:rsidRDefault="002D612B" w:rsidP="002D612B">
      <w:pPr>
        <w:spacing w:line="360" w:lineRule="auto"/>
        <w:jc w:val="left"/>
        <w:rPr>
          <w:szCs w:val="22"/>
        </w:rPr>
      </w:pPr>
      <w:r>
        <w:rPr>
          <w:noProof/>
          <w:szCs w:val="22"/>
        </w:rPr>
        <w:drawing>
          <wp:inline distT="0" distB="0" distL="0" distR="0" wp14:anchorId="49064816" wp14:editId="515B886F">
            <wp:extent cx="5746750" cy="2600696"/>
            <wp:effectExtent l="0" t="0" r="6350" b="0"/>
            <wp:docPr id="451366252" name="Chart 5" descr="Odsetek liczby zamówień w podziale na tryb udzielenia zamówienia (zamówienia o wartości mniejszej niż progi unijne)" title="Odsetek liczby zamówień w podziale na tryb udzielenia zamówienia (zamówie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6892747" w14:textId="77777777" w:rsidR="002D612B" w:rsidRDefault="002D612B" w:rsidP="002D612B">
      <w:pPr>
        <w:spacing w:line="360" w:lineRule="auto"/>
        <w:jc w:val="left"/>
        <w:rPr>
          <w:szCs w:val="22"/>
        </w:rPr>
      </w:pPr>
    </w:p>
    <w:p w14:paraId="16B4B9DE" w14:textId="28AF789F" w:rsidR="002D612B" w:rsidRDefault="008C1642" w:rsidP="002D612B">
      <w:pPr>
        <w:pStyle w:val="Legenda"/>
        <w:rPr>
          <w:szCs w:val="22"/>
        </w:rPr>
      </w:pPr>
      <w:bookmarkStart w:id="71" w:name="_Toc233203330"/>
      <w:r w:rsidRPr="00BA1095">
        <w:t xml:space="preserve">Rys. </w:t>
      </w:r>
      <w:r>
        <w:fldChar w:fldCharType="begin"/>
      </w:r>
      <w:r>
        <w:instrText>SEQ Rys. \* ARABIC</w:instrText>
      </w:r>
      <w:r>
        <w:fldChar w:fldCharType="separate"/>
      </w:r>
      <w:r w:rsidR="00017C65">
        <w:rPr>
          <w:noProof/>
        </w:rPr>
        <w:t>9</w:t>
      </w:r>
      <w:r>
        <w:fldChar w:fldCharType="end"/>
      </w:r>
      <w:r w:rsidRPr="00BA1095">
        <w:t xml:space="preserve">. </w:t>
      </w:r>
      <w:r w:rsidR="002D612B">
        <w:t>Odsetek wartości zamówień w podziale na tryb udzielenia zamówienia (z</w:t>
      </w:r>
      <w:r w:rsidR="002D612B" w:rsidRPr="00921B97">
        <w:t>amówienia o wartości mniejszej niż progi unijne</w:t>
      </w:r>
      <w:r w:rsidR="002D612B">
        <w:t>)</w:t>
      </w:r>
      <w:bookmarkEnd w:id="71"/>
    </w:p>
    <w:p w14:paraId="2E4B42C8" w14:textId="77777777" w:rsidR="002D612B" w:rsidRDefault="002D612B" w:rsidP="002D612B">
      <w:pPr>
        <w:spacing w:line="360" w:lineRule="auto"/>
        <w:jc w:val="left"/>
        <w:rPr>
          <w:szCs w:val="22"/>
        </w:rPr>
      </w:pPr>
      <w:r>
        <w:rPr>
          <w:noProof/>
          <w:szCs w:val="22"/>
        </w:rPr>
        <w:drawing>
          <wp:inline distT="0" distB="0" distL="0" distR="0" wp14:anchorId="05CCDF7F" wp14:editId="09241545">
            <wp:extent cx="5486400" cy="3200400"/>
            <wp:effectExtent l="0" t="0" r="0" b="0"/>
            <wp:docPr id="1070410433" name="Chart 6" descr="Odsetek wartości zamówień w podziale na tryb udzielenia zamówienia (zamówienia o wartości mniejszej niż progi unijne)" title="Odsetek wartości zamówień w podziale na tryb udzielenia zamówienia (zamówie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84DB0ED" w14:textId="77777777" w:rsidR="002D612B" w:rsidRDefault="002D612B" w:rsidP="002D612B">
      <w:pPr>
        <w:spacing w:before="240" w:line="360" w:lineRule="auto"/>
        <w:jc w:val="left"/>
        <w:rPr>
          <w:szCs w:val="22"/>
        </w:rPr>
      </w:pPr>
      <w:r w:rsidRPr="00723C7C">
        <w:rPr>
          <w:szCs w:val="22"/>
        </w:rPr>
        <w:t>W zamówieniach o wartości mniejszej niż progi unijne</w:t>
      </w:r>
      <w:r>
        <w:rPr>
          <w:szCs w:val="22"/>
        </w:rPr>
        <w:t xml:space="preserve">, realizowanych w oparciu o </w:t>
      </w:r>
      <w:r w:rsidRPr="00723C7C">
        <w:rPr>
          <w:szCs w:val="22"/>
        </w:rPr>
        <w:t>przepis</w:t>
      </w:r>
      <w:r>
        <w:rPr>
          <w:szCs w:val="22"/>
        </w:rPr>
        <w:t>y</w:t>
      </w:r>
      <w:r w:rsidRPr="00723C7C">
        <w:rPr>
          <w:szCs w:val="22"/>
        </w:rPr>
        <w:t xml:space="preserve"> ustawy Pzp </w:t>
      </w:r>
      <w:r>
        <w:rPr>
          <w:szCs w:val="22"/>
        </w:rPr>
        <w:t>prawie</w:t>
      </w:r>
      <w:r w:rsidRPr="00723C7C">
        <w:rPr>
          <w:szCs w:val="22"/>
        </w:rPr>
        <w:t xml:space="preserve"> 9</w:t>
      </w:r>
      <w:r>
        <w:rPr>
          <w:szCs w:val="22"/>
        </w:rPr>
        <w:t>2</w:t>
      </w:r>
      <w:r w:rsidRPr="00723C7C">
        <w:rPr>
          <w:szCs w:val="22"/>
        </w:rPr>
        <w:t xml:space="preserve">% </w:t>
      </w:r>
      <w:r>
        <w:rPr>
          <w:szCs w:val="22"/>
        </w:rPr>
        <w:t>z nich</w:t>
      </w:r>
      <w:r w:rsidRPr="00723C7C">
        <w:rPr>
          <w:szCs w:val="22"/>
        </w:rPr>
        <w:t xml:space="preserve"> udzielono </w:t>
      </w:r>
      <w:r>
        <w:rPr>
          <w:szCs w:val="22"/>
        </w:rPr>
        <w:t xml:space="preserve">w </w:t>
      </w:r>
      <w:r w:rsidRPr="00723C7C">
        <w:rPr>
          <w:szCs w:val="22"/>
        </w:rPr>
        <w:t>tryb</w:t>
      </w:r>
      <w:r>
        <w:rPr>
          <w:szCs w:val="22"/>
        </w:rPr>
        <w:t>ie</w:t>
      </w:r>
      <w:r w:rsidRPr="00723C7C">
        <w:rPr>
          <w:szCs w:val="22"/>
        </w:rPr>
        <w:t xml:space="preserve"> podstawow</w:t>
      </w:r>
      <w:r>
        <w:rPr>
          <w:szCs w:val="22"/>
        </w:rPr>
        <w:t>ym i wydatkowano w ten sposób w</w:t>
      </w:r>
      <w:r w:rsidRPr="00723C7C">
        <w:rPr>
          <w:szCs w:val="22"/>
        </w:rPr>
        <w:t xml:space="preserve"> sumie </w:t>
      </w:r>
      <w:r>
        <w:rPr>
          <w:szCs w:val="22"/>
        </w:rPr>
        <w:t>ponad</w:t>
      </w:r>
      <w:r w:rsidRPr="00723C7C">
        <w:rPr>
          <w:szCs w:val="22"/>
        </w:rPr>
        <w:t xml:space="preserve"> 9</w:t>
      </w:r>
      <w:r>
        <w:rPr>
          <w:szCs w:val="22"/>
        </w:rPr>
        <w:t>5</w:t>
      </w:r>
      <w:r w:rsidRPr="00723C7C">
        <w:rPr>
          <w:szCs w:val="22"/>
        </w:rPr>
        <w:t>% ogólnej kwoty</w:t>
      </w:r>
      <w:r>
        <w:rPr>
          <w:szCs w:val="22"/>
        </w:rPr>
        <w:t>.</w:t>
      </w:r>
    </w:p>
    <w:p w14:paraId="77892566" w14:textId="4425709D" w:rsidR="002D612B" w:rsidRPr="00992CDE" w:rsidRDefault="008C1642" w:rsidP="002D612B">
      <w:pPr>
        <w:pStyle w:val="Legenda"/>
      </w:pPr>
      <w:bookmarkStart w:id="72" w:name="_Toc233203331"/>
      <w:r w:rsidRPr="00BA1095">
        <w:lastRenderedPageBreak/>
        <w:t xml:space="preserve">Rys. </w:t>
      </w:r>
      <w:r>
        <w:fldChar w:fldCharType="begin"/>
      </w:r>
      <w:r>
        <w:instrText>SEQ Rys. \* ARABIC</w:instrText>
      </w:r>
      <w:r>
        <w:fldChar w:fldCharType="separate"/>
      </w:r>
      <w:r w:rsidR="00017C65">
        <w:rPr>
          <w:noProof/>
        </w:rPr>
        <w:t>10</w:t>
      </w:r>
      <w:r>
        <w:fldChar w:fldCharType="end"/>
      </w:r>
      <w:r w:rsidRPr="00BA1095">
        <w:t xml:space="preserve">. </w:t>
      </w:r>
      <w:r w:rsidR="002D612B">
        <w:t>Odsetek liczby zamówień w podziale na tryb udzielenia zamówienia (z</w:t>
      </w:r>
      <w:r w:rsidR="002D612B" w:rsidRPr="00921B97">
        <w:t xml:space="preserve">amówienia o wartości </w:t>
      </w:r>
      <w:r w:rsidR="002D612B" w:rsidRPr="00202FA1">
        <w:t>równej lub przekraczającej progi unijne</w:t>
      </w:r>
      <w:r w:rsidR="002D612B">
        <w:t>)</w:t>
      </w:r>
      <w:bookmarkEnd w:id="72"/>
    </w:p>
    <w:p w14:paraId="636CA7D3" w14:textId="77777777" w:rsidR="002D612B" w:rsidRDefault="002D612B" w:rsidP="002D612B">
      <w:pPr>
        <w:spacing w:line="360" w:lineRule="auto"/>
        <w:jc w:val="left"/>
        <w:rPr>
          <w:szCs w:val="22"/>
        </w:rPr>
      </w:pPr>
      <w:r>
        <w:rPr>
          <w:noProof/>
          <w:szCs w:val="22"/>
        </w:rPr>
        <w:drawing>
          <wp:inline distT="0" distB="0" distL="0" distR="0" wp14:anchorId="59F149F5" wp14:editId="3FCDCF52">
            <wp:extent cx="5746750" cy="3357563"/>
            <wp:effectExtent l="0" t="0" r="6350" b="0"/>
            <wp:docPr id="36068515" name="Wykres 4" descr="Odsetek liczby zamówień w podziale na tryb udzielenia zamówienia (zamówienia o wartości równej lub przekraczającej progi unijne)" title="Odsetek liczby zamówień w podziale na tryb udzielenia zamówienia (zamówie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A6F2789" w14:textId="0FC5AAF0" w:rsidR="002D612B" w:rsidRPr="00A759B6" w:rsidRDefault="008C1642" w:rsidP="002D612B">
      <w:pPr>
        <w:pStyle w:val="Legenda"/>
      </w:pPr>
      <w:bookmarkStart w:id="73" w:name="_Toc233203332"/>
      <w:r w:rsidRPr="00BA1095">
        <w:t xml:space="preserve">Rys. </w:t>
      </w:r>
      <w:r>
        <w:fldChar w:fldCharType="begin"/>
      </w:r>
      <w:r>
        <w:instrText>SEQ Rys. \* ARABIC</w:instrText>
      </w:r>
      <w:r>
        <w:fldChar w:fldCharType="separate"/>
      </w:r>
      <w:r w:rsidR="00017C65">
        <w:rPr>
          <w:noProof/>
        </w:rPr>
        <w:t>11</w:t>
      </w:r>
      <w:r>
        <w:fldChar w:fldCharType="end"/>
      </w:r>
      <w:r w:rsidRPr="00BA1095">
        <w:t xml:space="preserve">. </w:t>
      </w:r>
      <w:r w:rsidR="002D612B">
        <w:t>Odsetek wartości zamówień w podziale na tryb udzielenia zamówienia (z</w:t>
      </w:r>
      <w:r w:rsidR="002D612B" w:rsidRPr="00921B97">
        <w:t xml:space="preserve">amówienia o wartości </w:t>
      </w:r>
      <w:r w:rsidR="002D612B" w:rsidRPr="0084566E">
        <w:t>równej lub przekraczającej progi unijne</w:t>
      </w:r>
      <w:r w:rsidR="002D612B">
        <w:t>)</w:t>
      </w:r>
      <w:bookmarkEnd w:id="73"/>
    </w:p>
    <w:p w14:paraId="754CA375" w14:textId="77777777" w:rsidR="002D612B" w:rsidRDefault="002D612B" w:rsidP="002D612B">
      <w:pPr>
        <w:spacing w:line="360" w:lineRule="auto"/>
        <w:jc w:val="left"/>
        <w:rPr>
          <w:szCs w:val="22"/>
        </w:rPr>
      </w:pPr>
      <w:r>
        <w:rPr>
          <w:noProof/>
          <w:szCs w:val="22"/>
        </w:rPr>
        <w:drawing>
          <wp:inline distT="0" distB="0" distL="0" distR="0" wp14:anchorId="11D15B07" wp14:editId="50ED1EDE">
            <wp:extent cx="5486400" cy="3200400"/>
            <wp:effectExtent l="0" t="0" r="0" b="0"/>
            <wp:docPr id="162314573" name="Wykres 3" descr="Odsetek wartości zamówień w podziale na tryb udzielenia zamówienia (zamówienia o wartości równej lub przekraczającej progi unijne)" title="Odsetek wartości zamówień w podziale na tryb udzielenia zamówienia (zamówie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657ED57" w14:textId="389E778F" w:rsidR="00FB7003" w:rsidRPr="00FB7003" w:rsidRDefault="002D612B" w:rsidP="00FB7003">
      <w:pPr>
        <w:spacing w:before="240" w:line="360" w:lineRule="auto"/>
        <w:jc w:val="left"/>
        <w:rPr>
          <w:szCs w:val="22"/>
        </w:rPr>
      </w:pPr>
      <w:r w:rsidRPr="00992CDE">
        <w:rPr>
          <w:szCs w:val="22"/>
        </w:rPr>
        <w:t>W przedziale wartości równej lub przekraczającej progi unijne prawie 92% (tyle samo w 2024 r.; 91% w 2023 r.; 88% w 2022 r.) zamówień zostało zrealizowane w trybie przetargu nieograniczonego.</w:t>
      </w:r>
      <w:r>
        <w:rPr>
          <w:szCs w:val="22"/>
        </w:rPr>
        <w:t xml:space="preserve"> Tak w</w:t>
      </w:r>
      <w:r w:rsidRPr="009204A9">
        <w:rPr>
          <w:szCs w:val="22"/>
        </w:rPr>
        <w:t>ydatkowano ponad 8</w:t>
      </w:r>
      <w:r>
        <w:rPr>
          <w:szCs w:val="22"/>
        </w:rPr>
        <w:t>2</w:t>
      </w:r>
      <w:r w:rsidRPr="009204A9">
        <w:rPr>
          <w:szCs w:val="22"/>
        </w:rPr>
        <w:t>% środków</w:t>
      </w:r>
      <w:r>
        <w:rPr>
          <w:szCs w:val="22"/>
        </w:rPr>
        <w:t xml:space="preserve"> (85% w 2024 r.; 84% w 2023 r.; 83% w 2022 r.)</w:t>
      </w:r>
      <w:r w:rsidRPr="009204A9">
        <w:rPr>
          <w:szCs w:val="22"/>
        </w:rPr>
        <w:t>.</w:t>
      </w:r>
    </w:p>
    <w:p w14:paraId="688D02C9" w14:textId="47E4EE5F" w:rsidR="00CD4BBE" w:rsidRPr="00CD4BBE" w:rsidRDefault="00CD4BBE" w:rsidP="00270CF3">
      <w:pPr>
        <w:pStyle w:val="Nagwek3"/>
      </w:pPr>
      <w:bookmarkStart w:id="74" w:name="_Toc164839423"/>
      <w:bookmarkStart w:id="75" w:name="_Toc233203274"/>
      <w:r w:rsidRPr="00404F54">
        <w:lastRenderedPageBreak/>
        <w:t>I.2.2. Czas trwania postępowania</w:t>
      </w:r>
      <w:bookmarkEnd w:id="74"/>
      <w:r w:rsidRPr="00404F54">
        <w:t xml:space="preserve"> o udzielenie zamówienia publicznego</w:t>
      </w:r>
      <w:bookmarkEnd w:id="75"/>
    </w:p>
    <w:p w14:paraId="4F138401" w14:textId="4A3B47A0" w:rsidR="002D612B" w:rsidRPr="007B747A" w:rsidRDefault="002D612B" w:rsidP="002D612B">
      <w:pPr>
        <w:pStyle w:val="Nagwek4"/>
      </w:pPr>
      <w:r>
        <w:t xml:space="preserve">1. </w:t>
      </w:r>
      <w:r w:rsidRPr="007B747A">
        <w:t xml:space="preserve">Zamówienia </w:t>
      </w:r>
      <w:r>
        <w:t xml:space="preserve">publiczne </w:t>
      </w:r>
      <w:r w:rsidRPr="007B747A">
        <w:t>o wartości mniejszej niż progi unijne</w:t>
      </w:r>
    </w:p>
    <w:p w14:paraId="02308656" w14:textId="77777777" w:rsidR="002D612B" w:rsidRDefault="002D612B" w:rsidP="00A209FD">
      <w:pPr>
        <w:shd w:val="clear" w:color="auto" w:fill="FFFFFF"/>
        <w:spacing w:before="120" w:line="360" w:lineRule="auto"/>
        <w:jc w:val="left"/>
      </w:pPr>
      <w:r w:rsidRPr="00A604C9">
        <w:t>Średni czas</w:t>
      </w:r>
      <w:r w:rsidRPr="00A604C9">
        <w:rPr>
          <w:rStyle w:val="Odwoanieprzypisudolnego"/>
        </w:rPr>
        <w:footnoteReference w:id="3"/>
      </w:r>
      <w:r w:rsidRPr="00A604C9">
        <w:t xml:space="preserve"> trwania postępowania o udzielenie zamówienia publicznego o wartości mniejszej niż progi unijne wyniósł 50 dni (w 2024 r. – 41 dni).</w:t>
      </w:r>
      <w:r>
        <w:t xml:space="preserve"> Od 2026 roku liczona będzie również mediana – wynoszącą 36 dni za 2025 rok.</w:t>
      </w:r>
    </w:p>
    <w:p w14:paraId="1A9E42C6" w14:textId="77777777" w:rsidR="002D612B" w:rsidRPr="00A604C9" w:rsidRDefault="002D612B" w:rsidP="00A209FD">
      <w:pPr>
        <w:shd w:val="clear" w:color="auto" w:fill="FFFFFF"/>
        <w:spacing w:before="120" w:line="360" w:lineRule="auto"/>
        <w:jc w:val="left"/>
      </w:pPr>
      <w:r>
        <w:t>W przypadku usług procedura trwała średnio 64 dni (mediana: 36 dni) (średnio w 2024 r. – 39 dni), w dostawach – średnio 38 dni (mediana: 34 dni) (średnio w 2024 r. – 37 dni), a w przypadku robót budowlanych średnio 49 dni (mediana: 44 dni) (średnio w 2024 r. – 52 dni).</w:t>
      </w:r>
    </w:p>
    <w:p w14:paraId="44745BE1" w14:textId="77777777" w:rsidR="002D612B" w:rsidRPr="00A0129C" w:rsidRDefault="002D612B" w:rsidP="00A209FD">
      <w:pPr>
        <w:shd w:val="clear" w:color="auto" w:fill="FFFFFF"/>
        <w:spacing w:before="120" w:line="360" w:lineRule="auto"/>
        <w:jc w:val="left"/>
      </w:pPr>
      <w:r w:rsidRPr="00A0129C">
        <w:t>Najszybciej udzielano zamówień w trybie podstawowym (art. 275 pkt 1 ustawy Pzp) i średnio było to 41 dni (w 2024 r. – 40 dni).</w:t>
      </w:r>
    </w:p>
    <w:p w14:paraId="3EF5AF30" w14:textId="77777777" w:rsidR="002D612B" w:rsidRPr="00BF14AD" w:rsidRDefault="002D612B" w:rsidP="00A209FD">
      <w:pPr>
        <w:shd w:val="clear" w:color="auto" w:fill="FFFFFF"/>
        <w:spacing w:before="120" w:line="360" w:lineRule="auto"/>
        <w:jc w:val="left"/>
      </w:pPr>
      <w:r w:rsidRPr="00BF14AD">
        <w:t>Najdłużej trwające postępowania na usługi:</w:t>
      </w:r>
    </w:p>
    <w:p w14:paraId="724EA637" w14:textId="77777777" w:rsidR="002D612B" w:rsidRPr="00BF14AD" w:rsidRDefault="002D612B" w:rsidP="002D612B">
      <w:pPr>
        <w:pStyle w:val="Akapitzlist"/>
        <w:numPr>
          <w:ilvl w:val="0"/>
          <w:numId w:val="70"/>
        </w:numPr>
        <w:shd w:val="clear" w:color="auto" w:fill="FFFFFF"/>
        <w:spacing w:line="360" w:lineRule="auto"/>
        <w:jc w:val="left"/>
        <w:rPr>
          <w:sz w:val="22"/>
          <w:szCs w:val="22"/>
        </w:rPr>
      </w:pPr>
      <w:r w:rsidRPr="00BF14AD">
        <w:rPr>
          <w:sz w:val="22"/>
          <w:szCs w:val="22"/>
          <w:lang w:val="pl-PL"/>
        </w:rPr>
        <w:t>d</w:t>
      </w:r>
      <w:proofErr w:type="spellStart"/>
      <w:r w:rsidRPr="00BF14AD">
        <w:rPr>
          <w:sz w:val="22"/>
          <w:szCs w:val="22"/>
        </w:rPr>
        <w:t>rukowanie</w:t>
      </w:r>
      <w:proofErr w:type="spellEnd"/>
      <w:r w:rsidRPr="00BF14AD">
        <w:rPr>
          <w:sz w:val="22"/>
          <w:szCs w:val="22"/>
        </w:rPr>
        <w:t xml:space="preserve"> i dostawy druków – 759 dni, kwota udzielonego zamówienia: 41 202 zł;</w:t>
      </w:r>
    </w:p>
    <w:p w14:paraId="4E4B8DC1" w14:textId="77777777" w:rsidR="002D612B" w:rsidRPr="00BF14AD" w:rsidRDefault="002D612B" w:rsidP="002D612B">
      <w:pPr>
        <w:pStyle w:val="Akapitzlist"/>
        <w:numPr>
          <w:ilvl w:val="0"/>
          <w:numId w:val="70"/>
        </w:numPr>
        <w:shd w:val="clear" w:color="auto" w:fill="FFFFFF"/>
        <w:spacing w:line="360" w:lineRule="auto"/>
        <w:jc w:val="left"/>
        <w:rPr>
          <w:sz w:val="22"/>
          <w:szCs w:val="22"/>
        </w:rPr>
      </w:pPr>
      <w:r w:rsidRPr="00BF14AD">
        <w:rPr>
          <w:sz w:val="22"/>
          <w:szCs w:val="22"/>
        </w:rPr>
        <w:t>naprawa i konserwacja sprzętu medycznego</w:t>
      </w:r>
      <w:r w:rsidRPr="00BF14AD">
        <w:rPr>
          <w:sz w:val="22"/>
          <w:szCs w:val="22"/>
          <w:lang w:val="pl-PL"/>
        </w:rPr>
        <w:t xml:space="preserve"> – 711 dni, kwota udzielonego zamówienia: 1 014 780 zł;</w:t>
      </w:r>
    </w:p>
    <w:p w14:paraId="438A1608" w14:textId="77777777" w:rsidR="002D612B" w:rsidRPr="00BF14AD" w:rsidRDefault="002D612B" w:rsidP="002D612B">
      <w:pPr>
        <w:pStyle w:val="Akapitzlist"/>
        <w:numPr>
          <w:ilvl w:val="0"/>
          <w:numId w:val="70"/>
        </w:numPr>
        <w:shd w:val="clear" w:color="auto" w:fill="FFFFFF"/>
        <w:spacing w:line="360" w:lineRule="auto"/>
        <w:jc w:val="left"/>
        <w:rPr>
          <w:sz w:val="22"/>
          <w:szCs w:val="22"/>
        </w:rPr>
      </w:pPr>
      <w:r w:rsidRPr="00BF14AD">
        <w:rPr>
          <w:sz w:val="22"/>
          <w:szCs w:val="22"/>
        </w:rPr>
        <w:t>audyt komputerowy</w:t>
      </w:r>
      <w:r w:rsidRPr="00BF14AD">
        <w:rPr>
          <w:sz w:val="22"/>
          <w:szCs w:val="22"/>
          <w:lang w:val="pl-PL"/>
        </w:rPr>
        <w:t xml:space="preserve"> – 440 dni, kwota udzielonego zamówienia: 370 354 zł;</w:t>
      </w:r>
    </w:p>
    <w:p w14:paraId="57392D63" w14:textId="10DB9A06" w:rsidR="00FB7003" w:rsidRPr="002D612B" w:rsidRDefault="002D612B" w:rsidP="002D612B">
      <w:pPr>
        <w:pStyle w:val="Akapitzlist"/>
        <w:numPr>
          <w:ilvl w:val="0"/>
          <w:numId w:val="70"/>
        </w:numPr>
        <w:shd w:val="clear" w:color="auto" w:fill="FFFFFF"/>
        <w:spacing w:line="360" w:lineRule="auto"/>
        <w:jc w:val="left"/>
        <w:rPr>
          <w:sz w:val="22"/>
          <w:szCs w:val="22"/>
        </w:rPr>
      </w:pPr>
      <w:r w:rsidRPr="00BF14AD">
        <w:rPr>
          <w:sz w:val="22"/>
          <w:szCs w:val="22"/>
        </w:rPr>
        <w:t>transport drogowy</w:t>
      </w:r>
      <w:r w:rsidRPr="00BF14AD">
        <w:rPr>
          <w:sz w:val="22"/>
          <w:szCs w:val="22"/>
          <w:lang w:val="pl-PL"/>
        </w:rPr>
        <w:t xml:space="preserve"> – 428 dni, </w:t>
      </w:r>
      <w:r w:rsidRPr="00BF14AD">
        <w:rPr>
          <w:sz w:val="22"/>
          <w:szCs w:val="22"/>
        </w:rPr>
        <w:t>kwota udzielonego zamówienia: 102</w:t>
      </w:r>
      <w:r w:rsidRPr="00BF14AD">
        <w:rPr>
          <w:sz w:val="22"/>
          <w:szCs w:val="22"/>
          <w:lang w:val="pl-PL"/>
        </w:rPr>
        <w:t> 060 zł.</w:t>
      </w:r>
    </w:p>
    <w:p w14:paraId="1703A67E" w14:textId="424C895B" w:rsidR="002D612B" w:rsidRPr="004876DE" w:rsidRDefault="002D612B" w:rsidP="002D612B">
      <w:pPr>
        <w:pStyle w:val="Nagwek4"/>
      </w:pPr>
      <w:r w:rsidRPr="0075602D">
        <w:t xml:space="preserve">2. Zamówienia </w:t>
      </w:r>
      <w:r>
        <w:t xml:space="preserve">publiczne </w:t>
      </w:r>
      <w:r w:rsidRPr="0075602D">
        <w:t>o wartości równej lub przekraczającej progi unijne</w:t>
      </w:r>
    </w:p>
    <w:p w14:paraId="18C00445" w14:textId="77777777" w:rsidR="002D612B" w:rsidRDefault="002D612B" w:rsidP="00A209FD">
      <w:pPr>
        <w:shd w:val="clear" w:color="auto" w:fill="FFFFFF"/>
        <w:spacing w:before="120" w:line="360" w:lineRule="auto"/>
        <w:jc w:val="left"/>
      </w:pPr>
      <w:r>
        <w:t>Średni czas decyzji w zamówieniach publicznych o wartości równej lub większej niż progi unijne wyniósł 63 dni (w 2024 r. – 55 dni)</w:t>
      </w:r>
      <w:r>
        <w:rPr>
          <w:rStyle w:val="Odwoanieprzypisudolnego"/>
        </w:rPr>
        <w:footnoteReference w:id="4"/>
      </w:r>
      <w:r>
        <w:t xml:space="preserve">. </w:t>
      </w:r>
    </w:p>
    <w:p w14:paraId="197083DD" w14:textId="77777777" w:rsidR="002D612B" w:rsidRDefault="002D612B" w:rsidP="00A209FD">
      <w:pPr>
        <w:shd w:val="clear" w:color="auto" w:fill="FFFFFF"/>
        <w:spacing w:before="120" w:line="360" w:lineRule="auto"/>
        <w:jc w:val="left"/>
      </w:pPr>
      <w:r w:rsidRPr="001954DF">
        <w:t xml:space="preserve">W przypadku robót budowlanych procedura trwała średnio 111 dni (w 2024 r. – 77 dni), </w:t>
      </w:r>
      <w:r w:rsidRPr="001954DF">
        <w:br/>
        <w:t>w dostawach - średnio 61 dni (w 2024 r. – 54), a w przypadku usług - 67 dni (w 2024 r. – 55).</w:t>
      </w:r>
    </w:p>
    <w:p w14:paraId="12D0E540" w14:textId="77777777" w:rsidR="002D612B" w:rsidRDefault="002D612B" w:rsidP="00A209FD">
      <w:pPr>
        <w:shd w:val="clear" w:color="auto" w:fill="FFFFFF"/>
        <w:spacing w:before="120" w:line="360" w:lineRule="auto"/>
        <w:jc w:val="left"/>
      </w:pPr>
      <w:r>
        <w:t>Średni czas podejmowania decyzji w krajach Europejskiego Obszaru Gospodarczego wyniósł 143 dni. Najszybciej podejmowano decyzję w zamówieniach publicznych na roboty</w:t>
      </w:r>
      <w:r w:rsidRPr="001954DF">
        <w:t xml:space="preserve"> budowlan</w:t>
      </w:r>
      <w:r>
        <w:t>e</w:t>
      </w:r>
      <w:r w:rsidRPr="001954DF">
        <w:t xml:space="preserve"> –</w:t>
      </w:r>
      <w:r>
        <w:t xml:space="preserve"> średnio </w:t>
      </w:r>
      <w:r w:rsidRPr="001954DF">
        <w:t>111 dni</w:t>
      </w:r>
      <w:r>
        <w:t xml:space="preserve">, </w:t>
      </w:r>
      <w:r w:rsidRPr="001954DF">
        <w:t xml:space="preserve">w </w:t>
      </w:r>
      <w:r>
        <w:t>usługach</w:t>
      </w:r>
      <w:r w:rsidRPr="001954DF">
        <w:t xml:space="preserve"> - średnio </w:t>
      </w:r>
      <w:r>
        <w:t>143</w:t>
      </w:r>
      <w:r w:rsidRPr="001954DF">
        <w:t xml:space="preserve"> dni</w:t>
      </w:r>
      <w:r>
        <w:t>, a najdłużej w dostawach – średnio 145 dni.</w:t>
      </w:r>
    </w:p>
    <w:p w14:paraId="72F78AB5" w14:textId="7FDB0D07" w:rsidR="002D612B" w:rsidRDefault="008C1642" w:rsidP="002D612B">
      <w:pPr>
        <w:pStyle w:val="Legenda"/>
      </w:pPr>
      <w:bookmarkStart w:id="76" w:name="_Toc233203333"/>
      <w:r w:rsidRPr="00BA1095">
        <w:lastRenderedPageBreak/>
        <w:t xml:space="preserve">Rys. </w:t>
      </w:r>
      <w:r>
        <w:fldChar w:fldCharType="begin"/>
      </w:r>
      <w:r>
        <w:instrText>SEQ Rys. \* ARABIC</w:instrText>
      </w:r>
      <w:r>
        <w:fldChar w:fldCharType="separate"/>
      </w:r>
      <w:r w:rsidR="00017C65">
        <w:rPr>
          <w:noProof/>
        </w:rPr>
        <w:t>12</w:t>
      </w:r>
      <w:r>
        <w:fldChar w:fldCharType="end"/>
      </w:r>
      <w:r w:rsidRPr="00BA1095">
        <w:t xml:space="preserve">. </w:t>
      </w:r>
      <w:r w:rsidR="002D612B">
        <w:t xml:space="preserve">Czas podejmowania decyzji w krajach Europejskiego Obszaru Gospodarczego, krajach tzw. „Starej Unii” </w:t>
      </w:r>
      <w:r w:rsidR="002D612B">
        <w:br/>
        <w:t>i krajach Europy Środkowo-Wschodniej (z</w:t>
      </w:r>
      <w:r w:rsidR="002D612B" w:rsidRPr="00921B97">
        <w:t xml:space="preserve">amówienia o wartości </w:t>
      </w:r>
      <w:r w:rsidR="002D612B" w:rsidRPr="0084566E">
        <w:t>równej lub przekraczającej progi unijne</w:t>
      </w:r>
      <w:r w:rsidR="002D612B">
        <w:t>)</w:t>
      </w:r>
      <w:bookmarkEnd w:id="76"/>
    </w:p>
    <w:p w14:paraId="1D914661" w14:textId="77777777" w:rsidR="002D612B" w:rsidRDefault="002D612B" w:rsidP="002D612B">
      <w:pPr>
        <w:shd w:val="clear" w:color="auto" w:fill="FFFFFF"/>
        <w:spacing w:line="360" w:lineRule="auto"/>
        <w:jc w:val="left"/>
      </w:pPr>
      <w:r>
        <w:rPr>
          <w:noProof/>
        </w:rPr>
        <w:drawing>
          <wp:inline distT="0" distB="0" distL="0" distR="0" wp14:anchorId="743EFDE4" wp14:editId="33E67570">
            <wp:extent cx="4839194" cy="2541319"/>
            <wp:effectExtent l="0" t="0" r="0" b="0"/>
            <wp:docPr id="2142449140" name="Chart 4" descr="Czas podejmowania decyzji w krajach Europejskiego Obszaru Gospodarczego, krajach tzw. „Starej Unii” &#10;i krajach Europy Środkowo-Wschodniej (zamówienia o wartości równej lub przekraczającej progi unijne)" title="Czas podejmowania decyzji w krajach Europejskiego Obszaru Gospodarczego, krajach tzw. „Starej Unii” "/>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945BE31" w14:textId="77777777" w:rsidR="002D612B" w:rsidRDefault="002D612B" w:rsidP="002D612B">
      <w:pPr>
        <w:shd w:val="clear" w:color="auto" w:fill="FFFFFF"/>
        <w:spacing w:line="360" w:lineRule="auto"/>
        <w:jc w:val="left"/>
      </w:pPr>
      <w:r>
        <w:t xml:space="preserve">Polska spośród krajów Europejskiego Obszaru Gospodarczego, krajów tzw. „Starej Unii” </w:t>
      </w:r>
      <w:r>
        <w:br/>
        <w:t>i krajów Europy Środkowo-Wschodniej zajmuje 2 miejsce wśród krajów mających najkrótszy czas podejmowanych decyzji. Szybciej decyzje zapadają tylko w Litwie – średnio 62 dni.</w:t>
      </w:r>
    </w:p>
    <w:p w14:paraId="339E5E87" w14:textId="42C278A8" w:rsidR="002D612B" w:rsidRDefault="00155831" w:rsidP="002D612B">
      <w:pPr>
        <w:pStyle w:val="Legenda"/>
      </w:pPr>
      <w:bookmarkStart w:id="77" w:name="_Toc233203334"/>
      <w:r w:rsidRPr="00BA1095">
        <w:t xml:space="preserve">Rys. </w:t>
      </w:r>
      <w:r>
        <w:fldChar w:fldCharType="begin"/>
      </w:r>
      <w:r>
        <w:instrText>SEQ Rys. \* ARABIC</w:instrText>
      </w:r>
      <w:r>
        <w:fldChar w:fldCharType="separate"/>
      </w:r>
      <w:r w:rsidR="00017C65">
        <w:rPr>
          <w:noProof/>
        </w:rPr>
        <w:t>13</w:t>
      </w:r>
      <w:r>
        <w:fldChar w:fldCharType="end"/>
      </w:r>
      <w:r w:rsidRPr="00BA1095">
        <w:t xml:space="preserve">. </w:t>
      </w:r>
      <w:r w:rsidR="002D612B">
        <w:t xml:space="preserve">Czas podejmowania decyzji w krajach Europejskiego Obszaru Gospodarczego, krajach tzw. „Starej Unii” </w:t>
      </w:r>
      <w:r w:rsidR="002D612B">
        <w:br/>
        <w:t>i krajach Europy Środkowo-Wschodniej w podziale na rodzaj zamówienia (z</w:t>
      </w:r>
      <w:r w:rsidR="002D612B" w:rsidRPr="00921B97">
        <w:t xml:space="preserve">amówienia o wartości </w:t>
      </w:r>
      <w:r w:rsidR="002D612B" w:rsidRPr="0084566E">
        <w:t>równej lub przekraczającej progi unijne</w:t>
      </w:r>
      <w:r w:rsidR="002D612B">
        <w:t>)</w:t>
      </w:r>
      <w:bookmarkEnd w:id="77"/>
    </w:p>
    <w:p w14:paraId="5D9D3D21" w14:textId="77777777" w:rsidR="002D612B" w:rsidRDefault="002D612B" w:rsidP="002D612B">
      <w:pPr>
        <w:shd w:val="clear" w:color="auto" w:fill="FFFFFF"/>
        <w:spacing w:line="360" w:lineRule="auto"/>
        <w:jc w:val="left"/>
      </w:pPr>
      <w:r>
        <w:rPr>
          <w:noProof/>
        </w:rPr>
        <w:drawing>
          <wp:inline distT="0" distB="0" distL="0" distR="0" wp14:anchorId="0377582D" wp14:editId="4C5028A2">
            <wp:extent cx="4791693" cy="2666011"/>
            <wp:effectExtent l="0" t="0" r="0" b="1270"/>
            <wp:docPr id="1990795742" name="Chart 6" descr="Czas podejmowania decyzji w krajach Europejskiego Obszaru Gospodarczego, krajach tzw. „Starej Unii” &#10;i krajach Europy Środkowo-Wschodniej w podziale na rodzaj zamówienia (zamówienia o wartości równej lub przekraczającej progi unijne)" title="Czas podejmowania decyzji w krajach Europejskiego Obszaru Gospodarczego, krajach tzw. „Starej Unii” "/>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75012B5" w14:textId="712DFAC9" w:rsidR="00CD4BBE" w:rsidRPr="00CD4BBE" w:rsidRDefault="00CD4BBE" w:rsidP="00270CF3">
      <w:pPr>
        <w:pStyle w:val="Nagwek3"/>
      </w:pPr>
      <w:bookmarkStart w:id="78" w:name="_Toc64451859"/>
      <w:bookmarkStart w:id="79" w:name="_Toc233203275"/>
      <w:r w:rsidRPr="00DC6FEA">
        <w:lastRenderedPageBreak/>
        <w:t>I.2.3. Kryteria oceny ofert</w:t>
      </w:r>
      <w:bookmarkEnd w:id="78"/>
      <w:bookmarkEnd w:id="79"/>
    </w:p>
    <w:p w14:paraId="1841BDF1" w14:textId="4D1448D9" w:rsidR="000637FE" w:rsidRDefault="00155831" w:rsidP="000637FE">
      <w:pPr>
        <w:pStyle w:val="Legenda"/>
      </w:pPr>
      <w:bookmarkStart w:id="80" w:name="_Toc233203335"/>
      <w:r w:rsidRPr="00BA1095">
        <w:t xml:space="preserve">Rys. </w:t>
      </w:r>
      <w:r>
        <w:fldChar w:fldCharType="begin"/>
      </w:r>
      <w:r>
        <w:instrText>SEQ Rys. \* ARABIC</w:instrText>
      </w:r>
      <w:r>
        <w:fldChar w:fldCharType="separate"/>
      </w:r>
      <w:r w:rsidR="00017C65">
        <w:rPr>
          <w:noProof/>
        </w:rPr>
        <w:t>14</w:t>
      </w:r>
      <w:r>
        <w:fldChar w:fldCharType="end"/>
      </w:r>
      <w:r w:rsidRPr="00BA1095">
        <w:t xml:space="preserve">. </w:t>
      </w:r>
      <w:r w:rsidR="000637FE" w:rsidRPr="006C14EB">
        <w:t>Odsetek zamówień udzielanych w oparciu o cenę i inne kryteria oceny ofert</w:t>
      </w:r>
      <w:bookmarkEnd w:id="80"/>
    </w:p>
    <w:p w14:paraId="2D209514" w14:textId="77777777" w:rsidR="000637FE" w:rsidRPr="008933FD" w:rsidRDefault="000637FE" w:rsidP="000637FE">
      <w:pPr>
        <w:shd w:val="clear" w:color="auto" w:fill="FFFFFF"/>
        <w:spacing w:line="360" w:lineRule="auto"/>
        <w:jc w:val="left"/>
      </w:pPr>
      <w:r>
        <w:rPr>
          <w:noProof/>
        </w:rPr>
        <w:drawing>
          <wp:inline distT="0" distB="0" distL="0" distR="0" wp14:anchorId="31027A31" wp14:editId="5916EBEB">
            <wp:extent cx="4562475" cy="2643187"/>
            <wp:effectExtent l="0" t="0" r="0" b="5080"/>
            <wp:docPr id="1066272986" name="Wykres 5" descr="Odsetek zamówień udzielanych w oparciu o cenę i inne kryteria oceny ofert" title="Odsetek zamówień udzielanych w oparciu o cenę i inne kryteria oceny ofert"/>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603E187" w14:textId="77777777" w:rsidR="000637FE" w:rsidRDefault="000637FE" w:rsidP="005A5B2C">
      <w:pPr>
        <w:shd w:val="clear" w:color="auto" w:fill="FFFFFF" w:themeFill="background1"/>
        <w:spacing w:before="240" w:line="360" w:lineRule="auto"/>
        <w:jc w:val="left"/>
      </w:pPr>
      <w:r w:rsidRPr="006965DE">
        <w:t>W 202</w:t>
      </w:r>
      <w:r>
        <w:t>5</w:t>
      </w:r>
      <w:r w:rsidRPr="006965DE">
        <w:t xml:space="preserve"> roku zamawiający przy wyborze najkorzystniejszej oferty najczęściej kierowali się zarówno ceną, jak i dodatkowymi kryteriami. W przypadku postępowań o wartości poniżej progów unijnych dotyczyło to 7</w:t>
      </w:r>
      <w:r>
        <w:t>5</w:t>
      </w:r>
      <w:r w:rsidRPr="006965DE">
        <w:t>% zamówień (w 202</w:t>
      </w:r>
      <w:r>
        <w:t>4</w:t>
      </w:r>
      <w:r w:rsidRPr="006965DE">
        <w:t xml:space="preserve"> roku – 7</w:t>
      </w:r>
      <w:r>
        <w:t>6</w:t>
      </w:r>
      <w:r w:rsidRPr="006965DE">
        <w:t xml:space="preserve">%), natomiast w postępowaniach o wartości równej lub przekraczającej te progi – </w:t>
      </w:r>
      <w:r>
        <w:t>55</w:t>
      </w:r>
      <w:r w:rsidRPr="006965DE">
        <w:t>%</w:t>
      </w:r>
      <w:r>
        <w:rPr>
          <w:rStyle w:val="Odwoanieprzypisudolnego"/>
        </w:rPr>
        <w:footnoteReference w:id="5"/>
      </w:r>
      <w:r w:rsidRPr="006965DE">
        <w:t xml:space="preserve"> (w 202</w:t>
      </w:r>
      <w:r>
        <w:t>4</w:t>
      </w:r>
      <w:r w:rsidRPr="006965DE">
        <w:t xml:space="preserve"> roku – </w:t>
      </w:r>
      <w:r>
        <w:t>62</w:t>
      </w:r>
      <w:r w:rsidRPr="006965DE">
        <w:t>%).</w:t>
      </w:r>
    </w:p>
    <w:p w14:paraId="6DEFD9E6" w14:textId="26596E30" w:rsidR="000637FE" w:rsidRDefault="00467ACD" w:rsidP="000637FE">
      <w:pPr>
        <w:pStyle w:val="Legenda"/>
      </w:pPr>
      <w:bookmarkStart w:id="81" w:name="_Toc233203336"/>
      <w:r w:rsidRPr="00BA1095">
        <w:lastRenderedPageBreak/>
        <w:t xml:space="preserve">Rys. </w:t>
      </w:r>
      <w:r>
        <w:fldChar w:fldCharType="begin"/>
      </w:r>
      <w:r>
        <w:instrText>SEQ Rys. \* ARABIC</w:instrText>
      </w:r>
      <w:r>
        <w:fldChar w:fldCharType="separate"/>
      </w:r>
      <w:r w:rsidR="00017C65">
        <w:rPr>
          <w:noProof/>
        </w:rPr>
        <w:t>15</w:t>
      </w:r>
      <w:r>
        <w:fldChar w:fldCharType="end"/>
      </w:r>
      <w:r w:rsidRPr="00BA1095">
        <w:t xml:space="preserve">. </w:t>
      </w:r>
      <w:r w:rsidR="000637FE" w:rsidRPr="00FD5050">
        <w:t xml:space="preserve">Odsetek </w:t>
      </w:r>
      <w:r w:rsidR="000637FE">
        <w:t xml:space="preserve">najczęściej stosowanych kryteriów </w:t>
      </w:r>
      <w:proofErr w:type="spellStart"/>
      <w:r w:rsidR="000637FE">
        <w:t>pozacenowych</w:t>
      </w:r>
      <w:bookmarkEnd w:id="81"/>
      <w:proofErr w:type="spellEnd"/>
    </w:p>
    <w:p w14:paraId="25872EF0" w14:textId="77777777" w:rsidR="000637FE" w:rsidRDefault="000637FE" w:rsidP="000637FE">
      <w:pPr>
        <w:shd w:val="clear" w:color="auto" w:fill="FFFFFF" w:themeFill="background1"/>
        <w:spacing w:line="360" w:lineRule="auto"/>
        <w:jc w:val="left"/>
      </w:pPr>
      <w:r>
        <w:rPr>
          <w:noProof/>
        </w:rPr>
        <w:drawing>
          <wp:inline distT="0" distB="0" distL="0" distR="0" wp14:anchorId="44FBC54E" wp14:editId="5503CC93">
            <wp:extent cx="5759450" cy="3362325"/>
            <wp:effectExtent l="0" t="0" r="0" b="0"/>
            <wp:docPr id="1518024942" name="Chart 3" descr="Odsetek najczęściej stosowanych kryteriów pozacenowych" title="Odsetek najczęściej stosowanych kryteriów pozacenow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E2073B2" w14:textId="77777777" w:rsidR="000637FE" w:rsidRDefault="000637FE" w:rsidP="000637FE">
      <w:pPr>
        <w:shd w:val="clear" w:color="auto" w:fill="FFFFFF"/>
        <w:spacing w:before="240" w:line="360" w:lineRule="auto"/>
        <w:jc w:val="left"/>
      </w:pPr>
      <w:r w:rsidRPr="007D209B">
        <w:t xml:space="preserve">Najczęściej wybieranym kryterium </w:t>
      </w:r>
      <w:proofErr w:type="spellStart"/>
      <w:r w:rsidRPr="007D209B">
        <w:t>pozacenowym</w:t>
      </w:r>
      <w:proofErr w:type="spellEnd"/>
      <w:r w:rsidRPr="007D209B">
        <w:t xml:space="preserve"> w postępowaniach o wartości poniżej progów unijnych były warunki gwarancji lub rękojmi – 41%. W przypadku postępowań powyżej progów unijnych był to termin realizacji lub czas dostawy – 37%.</w:t>
      </w:r>
      <w:r w:rsidRPr="001F6E6B">
        <w:rPr>
          <w:highlight w:val="yellow"/>
        </w:rPr>
        <w:br/>
      </w:r>
      <w:r w:rsidRPr="00C21FE1">
        <w:t xml:space="preserve">W przypadku postępowań poniżej progów unijnych, wagi przypisywane kryteriom </w:t>
      </w:r>
      <w:proofErr w:type="spellStart"/>
      <w:r w:rsidRPr="00C21FE1">
        <w:t>pozacenowym</w:t>
      </w:r>
      <w:proofErr w:type="spellEnd"/>
      <w:r w:rsidRPr="00C21FE1">
        <w:t xml:space="preserve"> zazwyczaj wynosiły od 28% do 33%</w:t>
      </w:r>
      <w:r>
        <w:t>.</w:t>
      </w:r>
    </w:p>
    <w:p w14:paraId="4E034A95" w14:textId="29925D64" w:rsidR="000637FE" w:rsidRPr="008933FD" w:rsidRDefault="000637FE" w:rsidP="000637FE">
      <w:pPr>
        <w:keepNext/>
        <w:spacing w:before="120" w:after="120" w:line="360" w:lineRule="auto"/>
        <w:jc w:val="left"/>
        <w:rPr>
          <w:iCs/>
          <w:color w:val="44546A"/>
          <w:sz w:val="18"/>
          <w:szCs w:val="18"/>
        </w:rPr>
      </w:pPr>
      <w:bookmarkStart w:id="82" w:name="_Toc106101481"/>
      <w:bookmarkStart w:id="83" w:name="_Toc230687659"/>
      <w:bookmarkStart w:id="84" w:name="_Toc233203376"/>
      <w:r w:rsidRPr="00E50AA7">
        <w:rPr>
          <w:iCs/>
          <w:color w:val="44546A"/>
          <w:sz w:val="18"/>
          <w:szCs w:val="18"/>
        </w:rPr>
        <w:t xml:space="preserve">Tab. </w:t>
      </w:r>
      <w:r w:rsidRPr="00E50AA7">
        <w:rPr>
          <w:iCs/>
          <w:color w:val="44546A"/>
          <w:sz w:val="18"/>
          <w:szCs w:val="18"/>
        </w:rPr>
        <w:fldChar w:fldCharType="begin"/>
      </w:r>
      <w:r w:rsidRPr="00E50AA7">
        <w:rPr>
          <w:iCs/>
          <w:color w:val="44546A"/>
          <w:sz w:val="18"/>
          <w:szCs w:val="18"/>
        </w:rPr>
        <w:instrText xml:space="preserve"> SEQ Tab. \* ARABIC </w:instrText>
      </w:r>
      <w:r w:rsidRPr="00E50AA7">
        <w:rPr>
          <w:iCs/>
          <w:color w:val="44546A"/>
          <w:sz w:val="18"/>
          <w:szCs w:val="18"/>
        </w:rPr>
        <w:fldChar w:fldCharType="separate"/>
      </w:r>
      <w:r w:rsidR="00017C65">
        <w:rPr>
          <w:iCs/>
          <w:noProof/>
          <w:color w:val="44546A"/>
          <w:sz w:val="18"/>
          <w:szCs w:val="18"/>
        </w:rPr>
        <w:t>4</w:t>
      </w:r>
      <w:r w:rsidRPr="00E50AA7">
        <w:rPr>
          <w:iCs/>
          <w:noProof/>
          <w:color w:val="44546A"/>
          <w:sz w:val="18"/>
          <w:szCs w:val="18"/>
        </w:rPr>
        <w:fldChar w:fldCharType="end"/>
      </w:r>
      <w:r w:rsidRPr="00E50AA7">
        <w:rPr>
          <w:iCs/>
          <w:color w:val="44546A"/>
          <w:sz w:val="18"/>
          <w:szCs w:val="18"/>
        </w:rPr>
        <w:t xml:space="preserve">. Odsetek </w:t>
      </w:r>
      <w:r>
        <w:rPr>
          <w:iCs/>
          <w:color w:val="44546A"/>
          <w:sz w:val="18"/>
          <w:szCs w:val="18"/>
        </w:rPr>
        <w:t>zamówień</w:t>
      </w:r>
      <w:r w:rsidRPr="00E50AA7">
        <w:rPr>
          <w:iCs/>
          <w:color w:val="44546A"/>
          <w:sz w:val="18"/>
          <w:szCs w:val="18"/>
        </w:rPr>
        <w:t xml:space="preserve"> z ceną jako jedynym kryterium oceny ofert</w:t>
      </w:r>
      <w:bookmarkEnd w:id="82"/>
      <w:bookmarkEnd w:id="83"/>
      <w:bookmarkEnd w:id="84"/>
    </w:p>
    <w:tbl>
      <w:tblPr>
        <w:tblW w:w="9781" w:type="dxa"/>
        <w:tblInd w:w="-147" w:type="dxa"/>
        <w:tblLayout w:type="fixed"/>
        <w:tblLook w:val="01E0" w:firstRow="1" w:lastRow="1" w:firstColumn="1" w:lastColumn="1" w:noHBand="0" w:noVBand="0"/>
        <w:tblCaption w:val="Tabela. Odsetek zamówień z ceną jako jedynym kryterium oceny ofert."/>
        <w:tblDescription w:val="Tabela. Odsetek zamówień z ceną jako jedynym kryterium oceny ofert."/>
      </w:tblPr>
      <w:tblGrid>
        <w:gridCol w:w="1702"/>
        <w:gridCol w:w="1027"/>
        <w:gridCol w:w="1028"/>
        <w:gridCol w:w="1027"/>
        <w:gridCol w:w="887"/>
        <w:gridCol w:w="1169"/>
        <w:gridCol w:w="1027"/>
        <w:gridCol w:w="1028"/>
        <w:gridCol w:w="886"/>
      </w:tblGrid>
      <w:tr w:rsidR="000637FE" w:rsidRPr="008933FD" w14:paraId="2B5A6C5E" w14:textId="77777777" w:rsidTr="00155831">
        <w:trPr>
          <w:trHeight w:val="47"/>
          <w:tblHeader/>
        </w:trPr>
        <w:tc>
          <w:tcPr>
            <w:tcW w:w="1702" w:type="dxa"/>
            <w:vMerge w:val="restart"/>
            <w:tcBorders>
              <w:top w:val="single" w:sz="4" w:space="0" w:color="FFFFFF"/>
              <w:left w:val="single" w:sz="4" w:space="0" w:color="FFFFFF"/>
              <w:right w:val="single" w:sz="4" w:space="0" w:color="FFFFFF"/>
            </w:tcBorders>
            <w:shd w:val="clear" w:color="auto" w:fill="002060"/>
            <w:vAlign w:val="center"/>
          </w:tcPr>
          <w:p w14:paraId="6F510494" w14:textId="77777777" w:rsidR="000637FE" w:rsidRPr="003E7BD5" w:rsidRDefault="000637FE" w:rsidP="00155831">
            <w:pPr>
              <w:spacing w:before="60" w:after="60"/>
              <w:jc w:val="center"/>
              <w:rPr>
                <w:rFonts w:cs="Arial"/>
                <w:b/>
                <w:sz w:val="18"/>
                <w:szCs w:val="18"/>
              </w:rPr>
            </w:pPr>
            <w:r w:rsidRPr="003E7BD5">
              <w:rPr>
                <w:rFonts w:cs="Arial"/>
                <w:b/>
                <w:sz w:val="18"/>
                <w:szCs w:val="18"/>
              </w:rPr>
              <w:t>Rodzaj zamówienia</w:t>
            </w:r>
          </w:p>
        </w:tc>
        <w:tc>
          <w:tcPr>
            <w:tcW w:w="3969" w:type="dxa"/>
            <w:gridSpan w:val="4"/>
            <w:tcBorders>
              <w:top w:val="single" w:sz="4" w:space="0" w:color="FFFFFF"/>
              <w:left w:val="single" w:sz="4" w:space="0" w:color="FFFFFF"/>
              <w:bottom w:val="single" w:sz="4" w:space="0" w:color="FFFFFF"/>
              <w:right w:val="single" w:sz="4" w:space="0" w:color="FFFFFF"/>
            </w:tcBorders>
            <w:shd w:val="clear" w:color="auto" w:fill="002060"/>
            <w:vAlign w:val="center"/>
          </w:tcPr>
          <w:p w14:paraId="1229826D" w14:textId="77777777" w:rsidR="000637FE" w:rsidRPr="008933FD" w:rsidRDefault="000637FE" w:rsidP="00155831">
            <w:pPr>
              <w:spacing w:before="60" w:after="60"/>
              <w:jc w:val="center"/>
              <w:rPr>
                <w:rFonts w:cs="Arial"/>
                <w:b/>
                <w:sz w:val="17"/>
                <w:szCs w:val="17"/>
              </w:rPr>
            </w:pPr>
            <w:r>
              <w:rPr>
                <w:rFonts w:cs="Arial"/>
                <w:b/>
                <w:sz w:val="17"/>
                <w:szCs w:val="17"/>
              </w:rPr>
              <w:t>Postępowania</w:t>
            </w:r>
            <w:r w:rsidRPr="008933FD">
              <w:rPr>
                <w:rFonts w:cs="Arial"/>
                <w:b/>
                <w:sz w:val="17"/>
                <w:szCs w:val="17"/>
              </w:rPr>
              <w:t xml:space="preserve"> o </w:t>
            </w:r>
            <w:r w:rsidRPr="00217216">
              <w:rPr>
                <w:rFonts w:cs="Arial"/>
                <w:b/>
                <w:sz w:val="17"/>
                <w:szCs w:val="17"/>
              </w:rPr>
              <w:t>wartości mniejszej niż progi unijne</w:t>
            </w:r>
          </w:p>
        </w:tc>
        <w:tc>
          <w:tcPr>
            <w:tcW w:w="4110" w:type="dxa"/>
            <w:gridSpan w:val="4"/>
            <w:tcBorders>
              <w:top w:val="single" w:sz="4" w:space="0" w:color="FFFFFF"/>
              <w:left w:val="single" w:sz="4" w:space="0" w:color="FFFFFF"/>
              <w:bottom w:val="single" w:sz="4" w:space="0" w:color="FFFFFF"/>
              <w:right w:val="single" w:sz="4" w:space="0" w:color="FFFFFF"/>
            </w:tcBorders>
            <w:shd w:val="clear" w:color="auto" w:fill="002060"/>
            <w:vAlign w:val="center"/>
          </w:tcPr>
          <w:p w14:paraId="5D7D4F5C" w14:textId="77777777" w:rsidR="000637FE" w:rsidRPr="008933FD" w:rsidRDefault="000637FE" w:rsidP="00155831">
            <w:pPr>
              <w:spacing w:before="60" w:after="60"/>
              <w:jc w:val="center"/>
              <w:rPr>
                <w:rFonts w:cs="Arial"/>
                <w:b/>
                <w:sz w:val="17"/>
                <w:szCs w:val="17"/>
              </w:rPr>
            </w:pPr>
            <w:r>
              <w:rPr>
                <w:rFonts w:cs="Arial"/>
                <w:b/>
                <w:sz w:val="17"/>
                <w:szCs w:val="17"/>
              </w:rPr>
              <w:t>Postępowania</w:t>
            </w:r>
            <w:r w:rsidRPr="008933FD">
              <w:rPr>
                <w:rFonts w:cs="Arial"/>
                <w:b/>
                <w:sz w:val="17"/>
                <w:szCs w:val="17"/>
              </w:rPr>
              <w:t xml:space="preserve"> o </w:t>
            </w:r>
            <w:r w:rsidRPr="00217216">
              <w:rPr>
                <w:rFonts w:cs="Arial"/>
                <w:b/>
                <w:sz w:val="17"/>
                <w:szCs w:val="17"/>
              </w:rPr>
              <w:t>wartości równej lub przekraczającej</w:t>
            </w:r>
            <w:r>
              <w:rPr>
                <w:rFonts w:cs="Arial"/>
                <w:b/>
                <w:sz w:val="17"/>
                <w:szCs w:val="17"/>
              </w:rPr>
              <w:t xml:space="preserve"> progi unijne</w:t>
            </w:r>
          </w:p>
        </w:tc>
      </w:tr>
      <w:tr w:rsidR="000637FE" w:rsidRPr="008933FD" w14:paraId="2D85D621" w14:textId="77777777" w:rsidTr="00155831">
        <w:trPr>
          <w:trHeight w:val="177"/>
          <w:tblHeader/>
        </w:trPr>
        <w:tc>
          <w:tcPr>
            <w:tcW w:w="1702" w:type="dxa"/>
            <w:vMerge/>
            <w:tcBorders>
              <w:left w:val="single" w:sz="4" w:space="0" w:color="FFFFFF"/>
              <w:bottom w:val="single" w:sz="4" w:space="0" w:color="FFFFFF"/>
              <w:right w:val="single" w:sz="4" w:space="0" w:color="FFFFFF"/>
            </w:tcBorders>
            <w:shd w:val="clear" w:color="auto" w:fill="002060"/>
            <w:vAlign w:val="center"/>
          </w:tcPr>
          <w:p w14:paraId="46FC13DC" w14:textId="77777777" w:rsidR="000637FE" w:rsidRPr="003E7BD5" w:rsidRDefault="000637FE" w:rsidP="00155831">
            <w:pPr>
              <w:spacing w:before="60" w:after="60"/>
              <w:jc w:val="center"/>
              <w:rPr>
                <w:rFonts w:cs="Arial"/>
                <w:b/>
                <w:sz w:val="18"/>
                <w:szCs w:val="18"/>
              </w:rPr>
            </w:pPr>
          </w:p>
        </w:tc>
        <w:tc>
          <w:tcPr>
            <w:tcW w:w="1027" w:type="dxa"/>
            <w:tcBorders>
              <w:top w:val="single" w:sz="4" w:space="0" w:color="FFFFFF"/>
              <w:left w:val="single" w:sz="4" w:space="0" w:color="FFFFFF"/>
              <w:right w:val="single" w:sz="4" w:space="0" w:color="FFFFFF"/>
            </w:tcBorders>
            <w:shd w:val="clear" w:color="auto" w:fill="002060"/>
            <w:vAlign w:val="center"/>
          </w:tcPr>
          <w:p w14:paraId="4F92C439" w14:textId="77777777" w:rsidR="000637FE" w:rsidRPr="008933FD" w:rsidRDefault="000637FE" w:rsidP="00155831">
            <w:pPr>
              <w:spacing w:before="60" w:after="60"/>
              <w:jc w:val="center"/>
              <w:rPr>
                <w:rFonts w:cs="Arial"/>
                <w:b/>
                <w:sz w:val="18"/>
                <w:szCs w:val="18"/>
              </w:rPr>
            </w:pPr>
            <w:r>
              <w:rPr>
                <w:rFonts w:cs="Arial"/>
                <w:b/>
                <w:sz w:val="18"/>
                <w:szCs w:val="18"/>
              </w:rPr>
              <w:t>2022</w:t>
            </w:r>
          </w:p>
        </w:tc>
        <w:tc>
          <w:tcPr>
            <w:tcW w:w="1028" w:type="dxa"/>
            <w:tcBorders>
              <w:top w:val="single" w:sz="4" w:space="0" w:color="FFFFFF"/>
              <w:left w:val="single" w:sz="4" w:space="0" w:color="FFFFFF"/>
              <w:right w:val="single" w:sz="4" w:space="0" w:color="FFFFFF"/>
            </w:tcBorders>
            <w:shd w:val="clear" w:color="auto" w:fill="002060"/>
            <w:vAlign w:val="center"/>
          </w:tcPr>
          <w:p w14:paraId="4C7EAEB9" w14:textId="77777777" w:rsidR="000637FE" w:rsidRPr="008933FD" w:rsidRDefault="000637FE" w:rsidP="00155831">
            <w:pPr>
              <w:spacing w:before="60" w:after="60"/>
              <w:jc w:val="center"/>
              <w:rPr>
                <w:rFonts w:cs="Arial"/>
                <w:b/>
                <w:sz w:val="18"/>
                <w:szCs w:val="18"/>
              </w:rPr>
            </w:pPr>
            <w:r>
              <w:rPr>
                <w:rFonts w:cs="Arial"/>
                <w:b/>
                <w:sz w:val="18"/>
                <w:szCs w:val="18"/>
              </w:rPr>
              <w:t>2023</w:t>
            </w:r>
          </w:p>
        </w:tc>
        <w:tc>
          <w:tcPr>
            <w:tcW w:w="1027" w:type="dxa"/>
            <w:tcBorders>
              <w:top w:val="single" w:sz="4" w:space="0" w:color="FFFFFF"/>
              <w:left w:val="single" w:sz="4" w:space="0" w:color="FFFFFF"/>
              <w:right w:val="single" w:sz="4" w:space="0" w:color="FFFFFF"/>
            </w:tcBorders>
            <w:shd w:val="clear" w:color="auto" w:fill="002060"/>
            <w:vAlign w:val="center"/>
          </w:tcPr>
          <w:p w14:paraId="3301DE40" w14:textId="77777777" w:rsidR="000637FE" w:rsidRPr="008933FD" w:rsidRDefault="000637FE" w:rsidP="00155831">
            <w:pPr>
              <w:spacing w:before="60" w:after="60"/>
              <w:jc w:val="center"/>
              <w:rPr>
                <w:rFonts w:cs="Arial"/>
                <w:b/>
                <w:sz w:val="18"/>
                <w:szCs w:val="18"/>
              </w:rPr>
            </w:pPr>
            <w:r>
              <w:rPr>
                <w:rFonts w:cs="Arial"/>
                <w:b/>
                <w:sz w:val="18"/>
                <w:szCs w:val="18"/>
              </w:rPr>
              <w:t>2024</w:t>
            </w:r>
          </w:p>
        </w:tc>
        <w:tc>
          <w:tcPr>
            <w:tcW w:w="887" w:type="dxa"/>
            <w:tcBorders>
              <w:top w:val="single" w:sz="4" w:space="0" w:color="FFFFFF"/>
              <w:left w:val="single" w:sz="4" w:space="0" w:color="FFFFFF"/>
              <w:right w:val="single" w:sz="4" w:space="0" w:color="FFFFFF"/>
            </w:tcBorders>
            <w:shd w:val="clear" w:color="auto" w:fill="002060"/>
            <w:vAlign w:val="center"/>
          </w:tcPr>
          <w:p w14:paraId="69B81E6E" w14:textId="77777777" w:rsidR="000637FE" w:rsidRPr="008933FD" w:rsidRDefault="000637FE" w:rsidP="00155831">
            <w:pPr>
              <w:spacing w:before="60" w:after="60"/>
              <w:jc w:val="center"/>
              <w:rPr>
                <w:rFonts w:cs="Arial"/>
                <w:b/>
                <w:sz w:val="18"/>
                <w:szCs w:val="18"/>
              </w:rPr>
            </w:pPr>
            <w:r>
              <w:rPr>
                <w:rFonts w:cs="Arial"/>
                <w:b/>
                <w:sz w:val="18"/>
                <w:szCs w:val="18"/>
              </w:rPr>
              <w:t>2025</w:t>
            </w:r>
          </w:p>
        </w:tc>
        <w:tc>
          <w:tcPr>
            <w:tcW w:w="1169" w:type="dxa"/>
            <w:tcBorders>
              <w:top w:val="single" w:sz="4" w:space="0" w:color="FFFFFF"/>
              <w:left w:val="single" w:sz="4" w:space="0" w:color="FFFFFF"/>
              <w:right w:val="single" w:sz="4" w:space="0" w:color="FFFFFF"/>
            </w:tcBorders>
            <w:shd w:val="clear" w:color="auto" w:fill="002060"/>
            <w:vAlign w:val="center"/>
          </w:tcPr>
          <w:p w14:paraId="5774525A" w14:textId="77777777" w:rsidR="000637FE" w:rsidRPr="008933FD" w:rsidRDefault="000637FE" w:rsidP="00155831">
            <w:pPr>
              <w:spacing w:before="60" w:after="60"/>
              <w:jc w:val="center"/>
              <w:rPr>
                <w:rFonts w:cs="Arial"/>
                <w:b/>
                <w:sz w:val="18"/>
                <w:szCs w:val="18"/>
              </w:rPr>
            </w:pPr>
            <w:r>
              <w:rPr>
                <w:rFonts w:cs="Arial"/>
                <w:b/>
                <w:sz w:val="18"/>
                <w:szCs w:val="18"/>
              </w:rPr>
              <w:t>2022</w:t>
            </w:r>
          </w:p>
        </w:tc>
        <w:tc>
          <w:tcPr>
            <w:tcW w:w="1027" w:type="dxa"/>
            <w:tcBorders>
              <w:top w:val="single" w:sz="4" w:space="0" w:color="FFFFFF"/>
              <w:left w:val="single" w:sz="4" w:space="0" w:color="FFFFFF"/>
              <w:right w:val="single" w:sz="4" w:space="0" w:color="FFFFFF"/>
            </w:tcBorders>
            <w:shd w:val="clear" w:color="auto" w:fill="002060"/>
            <w:vAlign w:val="center"/>
          </w:tcPr>
          <w:p w14:paraId="24883238" w14:textId="77777777" w:rsidR="000637FE" w:rsidRPr="008933FD" w:rsidRDefault="000637FE" w:rsidP="00155831">
            <w:pPr>
              <w:spacing w:before="60" w:after="60"/>
              <w:jc w:val="center"/>
              <w:rPr>
                <w:rFonts w:cs="Arial"/>
                <w:b/>
                <w:sz w:val="18"/>
                <w:szCs w:val="18"/>
              </w:rPr>
            </w:pPr>
            <w:r>
              <w:rPr>
                <w:rFonts w:cs="Arial"/>
                <w:b/>
                <w:sz w:val="18"/>
                <w:szCs w:val="18"/>
              </w:rPr>
              <w:t>2023</w:t>
            </w:r>
          </w:p>
        </w:tc>
        <w:tc>
          <w:tcPr>
            <w:tcW w:w="1028" w:type="dxa"/>
            <w:tcBorders>
              <w:top w:val="single" w:sz="4" w:space="0" w:color="FFFFFF"/>
              <w:left w:val="single" w:sz="4" w:space="0" w:color="FFFFFF"/>
              <w:right w:val="single" w:sz="4" w:space="0" w:color="FFFFFF"/>
            </w:tcBorders>
            <w:shd w:val="clear" w:color="auto" w:fill="002060"/>
            <w:vAlign w:val="center"/>
          </w:tcPr>
          <w:p w14:paraId="17FB5AEC" w14:textId="77777777" w:rsidR="000637FE" w:rsidRPr="008933FD" w:rsidRDefault="000637FE" w:rsidP="00155831">
            <w:pPr>
              <w:spacing w:before="60" w:after="60"/>
              <w:jc w:val="center"/>
              <w:rPr>
                <w:rFonts w:cs="Arial"/>
                <w:b/>
                <w:sz w:val="18"/>
                <w:szCs w:val="18"/>
              </w:rPr>
            </w:pPr>
            <w:r>
              <w:rPr>
                <w:rFonts w:cs="Arial"/>
                <w:b/>
                <w:sz w:val="18"/>
                <w:szCs w:val="18"/>
              </w:rPr>
              <w:t>2024</w:t>
            </w:r>
          </w:p>
        </w:tc>
        <w:tc>
          <w:tcPr>
            <w:tcW w:w="886" w:type="dxa"/>
            <w:tcBorders>
              <w:top w:val="single" w:sz="4" w:space="0" w:color="FFFFFF"/>
              <w:left w:val="single" w:sz="4" w:space="0" w:color="FFFFFF"/>
              <w:right w:val="single" w:sz="4" w:space="0" w:color="FFFFFF"/>
            </w:tcBorders>
            <w:shd w:val="clear" w:color="auto" w:fill="002060"/>
            <w:vAlign w:val="center"/>
          </w:tcPr>
          <w:p w14:paraId="20DBDBA4" w14:textId="77777777" w:rsidR="000637FE" w:rsidRPr="008933FD" w:rsidRDefault="000637FE" w:rsidP="00155831">
            <w:pPr>
              <w:spacing w:before="60" w:after="60"/>
              <w:jc w:val="center"/>
              <w:rPr>
                <w:rFonts w:cs="Arial"/>
                <w:b/>
                <w:sz w:val="18"/>
                <w:szCs w:val="18"/>
              </w:rPr>
            </w:pPr>
            <w:r>
              <w:rPr>
                <w:rFonts w:cs="Arial"/>
                <w:b/>
                <w:sz w:val="18"/>
                <w:szCs w:val="18"/>
              </w:rPr>
              <w:t>2025</w:t>
            </w:r>
          </w:p>
        </w:tc>
      </w:tr>
      <w:tr w:rsidR="000637FE" w:rsidRPr="008933FD" w14:paraId="6E1D2900" w14:textId="77777777" w:rsidTr="00155831">
        <w:trPr>
          <w:trHeight w:val="44"/>
        </w:trPr>
        <w:tc>
          <w:tcPr>
            <w:tcW w:w="1702" w:type="dxa"/>
            <w:tcBorders>
              <w:top w:val="nil"/>
              <w:left w:val="nil"/>
              <w:bottom w:val="nil"/>
              <w:right w:val="single" w:sz="4" w:space="0" w:color="FFFFFF"/>
            </w:tcBorders>
            <w:vAlign w:val="center"/>
          </w:tcPr>
          <w:p w14:paraId="027488A2" w14:textId="77777777" w:rsidR="000637FE" w:rsidRPr="003E7BD5" w:rsidRDefault="000637FE" w:rsidP="00155831">
            <w:pPr>
              <w:spacing w:before="60" w:after="60"/>
              <w:jc w:val="left"/>
              <w:rPr>
                <w:rFonts w:cs="Arial"/>
                <w:b/>
                <w:bCs/>
                <w:sz w:val="18"/>
                <w:szCs w:val="18"/>
              </w:rPr>
            </w:pPr>
            <w:r w:rsidRPr="003E7BD5">
              <w:rPr>
                <w:rFonts w:cs="Arial"/>
                <w:b/>
                <w:bCs/>
                <w:sz w:val="18"/>
                <w:szCs w:val="18"/>
              </w:rPr>
              <w:t>roboty budowlane</w:t>
            </w:r>
          </w:p>
        </w:tc>
        <w:tc>
          <w:tcPr>
            <w:tcW w:w="1027" w:type="dxa"/>
            <w:tcBorders>
              <w:top w:val="nil"/>
              <w:left w:val="single" w:sz="4" w:space="0" w:color="FFFFFF"/>
              <w:bottom w:val="nil"/>
              <w:right w:val="single" w:sz="4" w:space="0" w:color="FFFFFF"/>
            </w:tcBorders>
            <w:vAlign w:val="center"/>
          </w:tcPr>
          <w:p w14:paraId="4BAA5DC2" w14:textId="77777777" w:rsidR="000637FE" w:rsidRPr="008933FD" w:rsidRDefault="000637FE" w:rsidP="00155831">
            <w:pPr>
              <w:spacing w:before="60" w:after="60"/>
              <w:jc w:val="center"/>
              <w:rPr>
                <w:rFonts w:cs="Arial"/>
                <w:sz w:val="18"/>
                <w:szCs w:val="18"/>
              </w:rPr>
            </w:pPr>
            <w:r>
              <w:rPr>
                <w:rFonts w:cs="Arial"/>
                <w:sz w:val="18"/>
                <w:szCs w:val="18"/>
              </w:rPr>
              <w:t>7%</w:t>
            </w:r>
          </w:p>
        </w:tc>
        <w:tc>
          <w:tcPr>
            <w:tcW w:w="1028" w:type="dxa"/>
            <w:tcBorders>
              <w:top w:val="nil"/>
              <w:left w:val="single" w:sz="4" w:space="0" w:color="FFFFFF"/>
              <w:bottom w:val="nil"/>
              <w:right w:val="single" w:sz="4" w:space="0" w:color="FFFFFF"/>
            </w:tcBorders>
            <w:vAlign w:val="center"/>
          </w:tcPr>
          <w:p w14:paraId="61DBAA14" w14:textId="77777777" w:rsidR="000637FE" w:rsidRPr="008933FD" w:rsidRDefault="000637FE" w:rsidP="00155831">
            <w:pPr>
              <w:spacing w:before="60" w:after="60"/>
              <w:jc w:val="center"/>
              <w:rPr>
                <w:rFonts w:cs="Arial"/>
                <w:sz w:val="18"/>
                <w:szCs w:val="18"/>
              </w:rPr>
            </w:pPr>
            <w:r>
              <w:rPr>
                <w:rFonts w:cs="Arial"/>
                <w:sz w:val="18"/>
                <w:szCs w:val="18"/>
              </w:rPr>
              <w:t>7%</w:t>
            </w:r>
          </w:p>
        </w:tc>
        <w:tc>
          <w:tcPr>
            <w:tcW w:w="1027" w:type="dxa"/>
            <w:tcBorders>
              <w:top w:val="nil"/>
              <w:left w:val="single" w:sz="4" w:space="0" w:color="FFFFFF"/>
              <w:bottom w:val="nil"/>
              <w:right w:val="single" w:sz="4" w:space="0" w:color="FFFFFF"/>
            </w:tcBorders>
            <w:vAlign w:val="center"/>
          </w:tcPr>
          <w:p w14:paraId="4318A080" w14:textId="77777777" w:rsidR="000637FE" w:rsidRPr="008933FD" w:rsidRDefault="000637FE" w:rsidP="00155831">
            <w:pPr>
              <w:spacing w:before="60" w:after="60"/>
              <w:jc w:val="center"/>
              <w:rPr>
                <w:rFonts w:cs="Arial"/>
                <w:sz w:val="18"/>
                <w:szCs w:val="18"/>
              </w:rPr>
            </w:pPr>
            <w:r>
              <w:rPr>
                <w:rFonts w:cs="Arial"/>
                <w:sz w:val="18"/>
                <w:szCs w:val="18"/>
              </w:rPr>
              <w:t>9%</w:t>
            </w:r>
          </w:p>
        </w:tc>
        <w:tc>
          <w:tcPr>
            <w:tcW w:w="887" w:type="dxa"/>
            <w:tcBorders>
              <w:top w:val="nil"/>
              <w:left w:val="single" w:sz="4" w:space="0" w:color="FFFFFF"/>
              <w:bottom w:val="nil"/>
              <w:right w:val="single" w:sz="4" w:space="0" w:color="FFFFFF"/>
            </w:tcBorders>
            <w:vAlign w:val="center"/>
          </w:tcPr>
          <w:p w14:paraId="22D2232C" w14:textId="77777777" w:rsidR="000637FE" w:rsidRPr="008933FD" w:rsidRDefault="000637FE" w:rsidP="00155831">
            <w:pPr>
              <w:spacing w:before="60" w:after="60"/>
              <w:jc w:val="center"/>
              <w:rPr>
                <w:rFonts w:cs="Arial"/>
                <w:sz w:val="18"/>
                <w:szCs w:val="18"/>
              </w:rPr>
            </w:pPr>
            <w:r>
              <w:rPr>
                <w:rFonts w:cs="Arial"/>
                <w:sz w:val="18"/>
                <w:szCs w:val="18"/>
              </w:rPr>
              <w:t>12%</w:t>
            </w:r>
          </w:p>
        </w:tc>
        <w:tc>
          <w:tcPr>
            <w:tcW w:w="1169" w:type="dxa"/>
            <w:tcBorders>
              <w:top w:val="nil"/>
              <w:left w:val="single" w:sz="4" w:space="0" w:color="FFFFFF"/>
              <w:bottom w:val="nil"/>
              <w:right w:val="single" w:sz="4" w:space="0" w:color="FFFFFF"/>
            </w:tcBorders>
            <w:vAlign w:val="center"/>
          </w:tcPr>
          <w:p w14:paraId="729C0C33" w14:textId="77777777" w:rsidR="000637FE" w:rsidRPr="008933FD" w:rsidRDefault="000637FE" w:rsidP="00155831">
            <w:pPr>
              <w:spacing w:before="60" w:after="60"/>
              <w:jc w:val="center"/>
              <w:rPr>
                <w:rFonts w:cs="Arial"/>
                <w:sz w:val="18"/>
                <w:szCs w:val="18"/>
              </w:rPr>
            </w:pPr>
            <w:r>
              <w:rPr>
                <w:rFonts w:cs="Arial"/>
                <w:bCs/>
                <w:sz w:val="18"/>
                <w:szCs w:val="18"/>
              </w:rPr>
              <w:t>26%</w:t>
            </w:r>
          </w:p>
        </w:tc>
        <w:tc>
          <w:tcPr>
            <w:tcW w:w="1027" w:type="dxa"/>
            <w:tcBorders>
              <w:top w:val="nil"/>
              <w:left w:val="single" w:sz="4" w:space="0" w:color="FFFFFF"/>
              <w:bottom w:val="nil"/>
              <w:right w:val="single" w:sz="4" w:space="0" w:color="FFFFFF"/>
            </w:tcBorders>
            <w:vAlign w:val="center"/>
          </w:tcPr>
          <w:p w14:paraId="678CE9B9" w14:textId="77777777" w:rsidR="000637FE" w:rsidRPr="008933FD" w:rsidRDefault="000637FE" w:rsidP="00155831">
            <w:pPr>
              <w:spacing w:before="60" w:after="60"/>
              <w:jc w:val="center"/>
              <w:rPr>
                <w:rFonts w:cs="Arial"/>
                <w:sz w:val="18"/>
                <w:szCs w:val="18"/>
              </w:rPr>
            </w:pPr>
            <w:r>
              <w:rPr>
                <w:rFonts w:cs="Arial"/>
                <w:bCs/>
                <w:sz w:val="18"/>
                <w:szCs w:val="18"/>
              </w:rPr>
              <w:t>33%</w:t>
            </w:r>
          </w:p>
        </w:tc>
        <w:tc>
          <w:tcPr>
            <w:tcW w:w="1028" w:type="dxa"/>
            <w:tcBorders>
              <w:top w:val="nil"/>
              <w:left w:val="single" w:sz="4" w:space="0" w:color="FFFFFF"/>
              <w:bottom w:val="nil"/>
              <w:right w:val="single" w:sz="4" w:space="0" w:color="FFFFFF"/>
            </w:tcBorders>
            <w:vAlign w:val="center"/>
          </w:tcPr>
          <w:p w14:paraId="23EF5F4F" w14:textId="77777777" w:rsidR="000637FE" w:rsidRPr="008933FD" w:rsidRDefault="000637FE" w:rsidP="00155831">
            <w:pPr>
              <w:spacing w:before="60" w:after="60"/>
              <w:jc w:val="center"/>
              <w:rPr>
                <w:rFonts w:cs="Arial"/>
                <w:bCs/>
                <w:sz w:val="18"/>
                <w:szCs w:val="18"/>
              </w:rPr>
            </w:pPr>
            <w:r>
              <w:rPr>
                <w:rFonts w:cs="Arial"/>
                <w:bCs/>
                <w:sz w:val="18"/>
                <w:szCs w:val="18"/>
              </w:rPr>
              <w:t>24%</w:t>
            </w:r>
          </w:p>
        </w:tc>
        <w:tc>
          <w:tcPr>
            <w:tcW w:w="886" w:type="dxa"/>
            <w:tcBorders>
              <w:top w:val="nil"/>
              <w:left w:val="single" w:sz="4" w:space="0" w:color="FFFFFF"/>
              <w:bottom w:val="nil"/>
              <w:right w:val="nil"/>
            </w:tcBorders>
            <w:vAlign w:val="center"/>
          </w:tcPr>
          <w:p w14:paraId="31283244" w14:textId="77777777" w:rsidR="000637FE" w:rsidRPr="008933FD" w:rsidRDefault="000637FE" w:rsidP="00155831">
            <w:pPr>
              <w:spacing w:before="60" w:after="60"/>
              <w:jc w:val="center"/>
              <w:rPr>
                <w:rFonts w:cs="Arial"/>
                <w:bCs/>
                <w:sz w:val="18"/>
                <w:szCs w:val="18"/>
              </w:rPr>
            </w:pPr>
            <w:r>
              <w:rPr>
                <w:rFonts w:cs="Arial"/>
                <w:bCs/>
                <w:sz w:val="18"/>
                <w:szCs w:val="18"/>
              </w:rPr>
              <w:t>35%</w:t>
            </w:r>
          </w:p>
        </w:tc>
      </w:tr>
      <w:tr w:rsidR="000637FE" w:rsidRPr="008933FD" w14:paraId="0046AAFC" w14:textId="77777777" w:rsidTr="00155831">
        <w:trPr>
          <w:trHeight w:val="59"/>
        </w:trPr>
        <w:tc>
          <w:tcPr>
            <w:tcW w:w="1702" w:type="dxa"/>
            <w:tcBorders>
              <w:top w:val="nil"/>
              <w:left w:val="nil"/>
              <w:bottom w:val="nil"/>
              <w:right w:val="single" w:sz="4" w:space="0" w:color="FFFFFF"/>
            </w:tcBorders>
            <w:shd w:val="clear" w:color="auto" w:fill="00B0F0"/>
            <w:vAlign w:val="center"/>
          </w:tcPr>
          <w:p w14:paraId="6FBADE15" w14:textId="77777777" w:rsidR="000637FE" w:rsidRPr="003E7BD5" w:rsidRDefault="000637FE" w:rsidP="00155831">
            <w:pPr>
              <w:spacing w:before="60" w:after="60"/>
              <w:jc w:val="left"/>
              <w:rPr>
                <w:rFonts w:cs="Arial"/>
                <w:b/>
                <w:bCs/>
                <w:sz w:val="18"/>
                <w:szCs w:val="18"/>
              </w:rPr>
            </w:pPr>
            <w:r w:rsidRPr="003E7BD5">
              <w:rPr>
                <w:rFonts w:cs="Arial"/>
                <w:b/>
                <w:bCs/>
                <w:sz w:val="18"/>
                <w:szCs w:val="18"/>
              </w:rPr>
              <w:t>dostawy</w:t>
            </w:r>
          </w:p>
        </w:tc>
        <w:tc>
          <w:tcPr>
            <w:tcW w:w="1027" w:type="dxa"/>
            <w:tcBorders>
              <w:top w:val="nil"/>
              <w:left w:val="single" w:sz="4" w:space="0" w:color="FFFFFF"/>
              <w:bottom w:val="nil"/>
              <w:right w:val="single" w:sz="4" w:space="0" w:color="FFFFFF"/>
            </w:tcBorders>
            <w:shd w:val="clear" w:color="auto" w:fill="00B0F0"/>
            <w:vAlign w:val="center"/>
          </w:tcPr>
          <w:p w14:paraId="6EE6B9D9" w14:textId="77777777" w:rsidR="000637FE" w:rsidRPr="008933FD" w:rsidRDefault="000637FE" w:rsidP="00155831">
            <w:pPr>
              <w:spacing w:before="60" w:after="60"/>
              <w:jc w:val="center"/>
              <w:rPr>
                <w:rFonts w:cs="Arial"/>
                <w:sz w:val="18"/>
                <w:szCs w:val="18"/>
              </w:rPr>
            </w:pPr>
            <w:r>
              <w:rPr>
                <w:rFonts w:cs="Arial"/>
                <w:sz w:val="18"/>
                <w:szCs w:val="18"/>
              </w:rPr>
              <w:t>33%</w:t>
            </w:r>
          </w:p>
        </w:tc>
        <w:tc>
          <w:tcPr>
            <w:tcW w:w="1028" w:type="dxa"/>
            <w:tcBorders>
              <w:top w:val="nil"/>
              <w:left w:val="single" w:sz="4" w:space="0" w:color="FFFFFF"/>
              <w:bottom w:val="nil"/>
              <w:right w:val="single" w:sz="4" w:space="0" w:color="FFFFFF"/>
            </w:tcBorders>
            <w:shd w:val="clear" w:color="auto" w:fill="00B0F0"/>
            <w:vAlign w:val="center"/>
          </w:tcPr>
          <w:p w14:paraId="24749B2A" w14:textId="77777777" w:rsidR="000637FE" w:rsidRPr="008933FD" w:rsidRDefault="000637FE" w:rsidP="00155831">
            <w:pPr>
              <w:spacing w:before="60" w:after="60"/>
              <w:jc w:val="center"/>
              <w:rPr>
                <w:rFonts w:cs="Arial"/>
                <w:sz w:val="18"/>
                <w:szCs w:val="18"/>
              </w:rPr>
            </w:pPr>
            <w:r>
              <w:rPr>
                <w:rFonts w:cs="Arial"/>
                <w:sz w:val="18"/>
                <w:szCs w:val="18"/>
              </w:rPr>
              <w:t>37%</w:t>
            </w:r>
          </w:p>
        </w:tc>
        <w:tc>
          <w:tcPr>
            <w:tcW w:w="1027" w:type="dxa"/>
            <w:tcBorders>
              <w:top w:val="nil"/>
              <w:left w:val="single" w:sz="4" w:space="0" w:color="FFFFFF"/>
              <w:bottom w:val="nil"/>
              <w:right w:val="single" w:sz="4" w:space="0" w:color="FFFFFF"/>
            </w:tcBorders>
            <w:shd w:val="clear" w:color="auto" w:fill="00B0F0"/>
            <w:vAlign w:val="center"/>
          </w:tcPr>
          <w:p w14:paraId="2871724D" w14:textId="77777777" w:rsidR="000637FE" w:rsidRPr="008933FD" w:rsidRDefault="000637FE" w:rsidP="00155831">
            <w:pPr>
              <w:spacing w:before="60" w:after="60"/>
              <w:jc w:val="center"/>
              <w:rPr>
                <w:rFonts w:cs="Arial"/>
                <w:sz w:val="18"/>
                <w:szCs w:val="18"/>
              </w:rPr>
            </w:pPr>
            <w:r>
              <w:rPr>
                <w:rFonts w:cs="Arial"/>
                <w:sz w:val="18"/>
                <w:szCs w:val="18"/>
              </w:rPr>
              <w:t>39%</w:t>
            </w:r>
          </w:p>
        </w:tc>
        <w:tc>
          <w:tcPr>
            <w:tcW w:w="887" w:type="dxa"/>
            <w:tcBorders>
              <w:top w:val="nil"/>
              <w:left w:val="single" w:sz="4" w:space="0" w:color="FFFFFF"/>
              <w:bottom w:val="nil"/>
              <w:right w:val="single" w:sz="4" w:space="0" w:color="FFFFFF"/>
            </w:tcBorders>
            <w:shd w:val="clear" w:color="auto" w:fill="00B0F0"/>
            <w:vAlign w:val="center"/>
          </w:tcPr>
          <w:p w14:paraId="233AB7DC" w14:textId="77777777" w:rsidR="000637FE" w:rsidRPr="008933FD" w:rsidRDefault="000637FE" w:rsidP="00155831">
            <w:pPr>
              <w:spacing w:before="60" w:after="60"/>
              <w:jc w:val="center"/>
              <w:rPr>
                <w:rFonts w:cs="Arial"/>
                <w:sz w:val="18"/>
                <w:szCs w:val="18"/>
              </w:rPr>
            </w:pPr>
            <w:r>
              <w:rPr>
                <w:rFonts w:cs="Arial"/>
                <w:sz w:val="18"/>
                <w:szCs w:val="18"/>
              </w:rPr>
              <w:t>55%</w:t>
            </w:r>
          </w:p>
        </w:tc>
        <w:tc>
          <w:tcPr>
            <w:tcW w:w="1169" w:type="dxa"/>
            <w:tcBorders>
              <w:top w:val="nil"/>
              <w:left w:val="single" w:sz="4" w:space="0" w:color="FFFFFF"/>
              <w:bottom w:val="nil"/>
              <w:right w:val="single" w:sz="4" w:space="0" w:color="FFFFFF"/>
            </w:tcBorders>
            <w:shd w:val="clear" w:color="auto" w:fill="00B0F0"/>
            <w:vAlign w:val="center"/>
          </w:tcPr>
          <w:p w14:paraId="1EAC3C21" w14:textId="77777777" w:rsidR="000637FE" w:rsidRPr="008933FD" w:rsidRDefault="000637FE" w:rsidP="00155831">
            <w:pPr>
              <w:spacing w:before="60" w:after="60"/>
              <w:jc w:val="center"/>
              <w:rPr>
                <w:rFonts w:cs="Arial"/>
                <w:sz w:val="18"/>
                <w:szCs w:val="18"/>
              </w:rPr>
            </w:pPr>
            <w:r>
              <w:rPr>
                <w:rFonts w:cs="Arial"/>
                <w:bCs/>
                <w:sz w:val="18"/>
                <w:szCs w:val="18"/>
              </w:rPr>
              <w:t>41%</w:t>
            </w:r>
          </w:p>
        </w:tc>
        <w:tc>
          <w:tcPr>
            <w:tcW w:w="1027" w:type="dxa"/>
            <w:tcBorders>
              <w:top w:val="nil"/>
              <w:left w:val="single" w:sz="4" w:space="0" w:color="FFFFFF"/>
              <w:bottom w:val="nil"/>
              <w:right w:val="single" w:sz="4" w:space="0" w:color="FFFFFF"/>
            </w:tcBorders>
            <w:shd w:val="clear" w:color="auto" w:fill="00B0F0"/>
            <w:vAlign w:val="center"/>
          </w:tcPr>
          <w:p w14:paraId="508B8339" w14:textId="77777777" w:rsidR="000637FE" w:rsidRPr="008933FD" w:rsidRDefault="000637FE" w:rsidP="00155831">
            <w:pPr>
              <w:spacing w:before="60" w:after="60"/>
              <w:jc w:val="center"/>
              <w:rPr>
                <w:rFonts w:cs="Arial"/>
                <w:sz w:val="18"/>
                <w:szCs w:val="18"/>
              </w:rPr>
            </w:pPr>
            <w:r>
              <w:rPr>
                <w:rFonts w:cs="Arial"/>
                <w:bCs/>
                <w:sz w:val="18"/>
                <w:szCs w:val="18"/>
              </w:rPr>
              <w:t>44%</w:t>
            </w:r>
          </w:p>
        </w:tc>
        <w:tc>
          <w:tcPr>
            <w:tcW w:w="1028" w:type="dxa"/>
            <w:tcBorders>
              <w:top w:val="nil"/>
              <w:left w:val="single" w:sz="4" w:space="0" w:color="FFFFFF"/>
              <w:bottom w:val="nil"/>
              <w:right w:val="single" w:sz="4" w:space="0" w:color="FFFFFF"/>
            </w:tcBorders>
            <w:shd w:val="clear" w:color="auto" w:fill="00B0F0"/>
            <w:vAlign w:val="center"/>
          </w:tcPr>
          <w:p w14:paraId="1335F541" w14:textId="77777777" w:rsidR="000637FE" w:rsidRPr="008933FD" w:rsidRDefault="000637FE" w:rsidP="00155831">
            <w:pPr>
              <w:spacing w:before="60" w:after="60"/>
              <w:jc w:val="center"/>
              <w:rPr>
                <w:rFonts w:cs="Arial"/>
                <w:bCs/>
                <w:sz w:val="18"/>
                <w:szCs w:val="18"/>
              </w:rPr>
            </w:pPr>
            <w:r>
              <w:rPr>
                <w:rFonts w:cs="Arial"/>
                <w:bCs/>
                <w:sz w:val="18"/>
                <w:szCs w:val="18"/>
              </w:rPr>
              <w:t>41%</w:t>
            </w:r>
          </w:p>
        </w:tc>
        <w:tc>
          <w:tcPr>
            <w:tcW w:w="886" w:type="dxa"/>
            <w:tcBorders>
              <w:top w:val="nil"/>
              <w:left w:val="single" w:sz="4" w:space="0" w:color="FFFFFF"/>
              <w:bottom w:val="nil"/>
              <w:right w:val="nil"/>
            </w:tcBorders>
            <w:shd w:val="clear" w:color="auto" w:fill="00B0F0"/>
            <w:vAlign w:val="center"/>
          </w:tcPr>
          <w:p w14:paraId="180E8666" w14:textId="77777777" w:rsidR="000637FE" w:rsidRPr="008933FD" w:rsidRDefault="000637FE" w:rsidP="00155831">
            <w:pPr>
              <w:spacing w:before="60" w:after="60"/>
              <w:jc w:val="center"/>
              <w:rPr>
                <w:rFonts w:cs="Arial"/>
                <w:bCs/>
                <w:sz w:val="18"/>
                <w:szCs w:val="18"/>
              </w:rPr>
            </w:pPr>
            <w:r>
              <w:rPr>
                <w:rFonts w:cs="Arial"/>
                <w:bCs/>
                <w:sz w:val="18"/>
                <w:szCs w:val="18"/>
              </w:rPr>
              <w:t>50%</w:t>
            </w:r>
          </w:p>
        </w:tc>
      </w:tr>
      <w:tr w:rsidR="000637FE" w:rsidRPr="008933FD" w14:paraId="19C3CF8C" w14:textId="77777777" w:rsidTr="00155831">
        <w:trPr>
          <w:trHeight w:val="106"/>
        </w:trPr>
        <w:tc>
          <w:tcPr>
            <w:tcW w:w="1702" w:type="dxa"/>
            <w:tcBorders>
              <w:top w:val="nil"/>
              <w:left w:val="nil"/>
              <w:bottom w:val="nil"/>
              <w:right w:val="single" w:sz="4" w:space="0" w:color="FFFFFF"/>
            </w:tcBorders>
            <w:vAlign w:val="center"/>
          </w:tcPr>
          <w:p w14:paraId="321A344E" w14:textId="77777777" w:rsidR="000637FE" w:rsidRPr="003E7BD5" w:rsidRDefault="000637FE" w:rsidP="00155831">
            <w:pPr>
              <w:spacing w:before="60" w:after="60"/>
              <w:jc w:val="left"/>
              <w:rPr>
                <w:rFonts w:cs="Arial"/>
                <w:b/>
                <w:bCs/>
                <w:sz w:val="18"/>
                <w:szCs w:val="18"/>
              </w:rPr>
            </w:pPr>
            <w:r w:rsidRPr="003E7BD5">
              <w:rPr>
                <w:rFonts w:cs="Arial"/>
                <w:b/>
                <w:bCs/>
                <w:sz w:val="18"/>
                <w:szCs w:val="18"/>
              </w:rPr>
              <w:t>usługi</w:t>
            </w:r>
          </w:p>
        </w:tc>
        <w:tc>
          <w:tcPr>
            <w:tcW w:w="1027" w:type="dxa"/>
            <w:tcBorders>
              <w:top w:val="nil"/>
              <w:left w:val="single" w:sz="4" w:space="0" w:color="FFFFFF"/>
              <w:bottom w:val="nil"/>
              <w:right w:val="single" w:sz="4" w:space="0" w:color="FFFFFF"/>
            </w:tcBorders>
            <w:vAlign w:val="center"/>
          </w:tcPr>
          <w:p w14:paraId="32555500" w14:textId="77777777" w:rsidR="000637FE" w:rsidRPr="008933FD" w:rsidRDefault="000637FE" w:rsidP="00155831">
            <w:pPr>
              <w:spacing w:before="60" w:after="60"/>
              <w:jc w:val="center"/>
              <w:rPr>
                <w:rFonts w:cs="Arial"/>
                <w:sz w:val="18"/>
                <w:szCs w:val="18"/>
              </w:rPr>
            </w:pPr>
            <w:r>
              <w:rPr>
                <w:rFonts w:cs="Arial"/>
                <w:sz w:val="18"/>
                <w:szCs w:val="18"/>
              </w:rPr>
              <w:t>20%</w:t>
            </w:r>
          </w:p>
        </w:tc>
        <w:tc>
          <w:tcPr>
            <w:tcW w:w="1028" w:type="dxa"/>
            <w:tcBorders>
              <w:top w:val="nil"/>
              <w:left w:val="single" w:sz="4" w:space="0" w:color="FFFFFF"/>
              <w:bottom w:val="nil"/>
              <w:right w:val="single" w:sz="4" w:space="0" w:color="FFFFFF"/>
            </w:tcBorders>
            <w:vAlign w:val="center"/>
          </w:tcPr>
          <w:p w14:paraId="0EAABFDD" w14:textId="77777777" w:rsidR="000637FE" w:rsidRPr="008933FD" w:rsidRDefault="000637FE" w:rsidP="00155831">
            <w:pPr>
              <w:spacing w:before="60" w:after="60"/>
              <w:jc w:val="center"/>
              <w:rPr>
                <w:rFonts w:cs="Arial"/>
                <w:sz w:val="18"/>
                <w:szCs w:val="18"/>
              </w:rPr>
            </w:pPr>
            <w:r>
              <w:rPr>
                <w:rFonts w:cs="Arial"/>
                <w:sz w:val="18"/>
                <w:szCs w:val="18"/>
              </w:rPr>
              <w:t>24%</w:t>
            </w:r>
          </w:p>
        </w:tc>
        <w:tc>
          <w:tcPr>
            <w:tcW w:w="1027" w:type="dxa"/>
            <w:tcBorders>
              <w:top w:val="nil"/>
              <w:left w:val="single" w:sz="4" w:space="0" w:color="FFFFFF"/>
              <w:bottom w:val="nil"/>
              <w:right w:val="single" w:sz="4" w:space="0" w:color="FFFFFF"/>
            </w:tcBorders>
            <w:vAlign w:val="center"/>
          </w:tcPr>
          <w:p w14:paraId="478F331D" w14:textId="77777777" w:rsidR="000637FE" w:rsidRPr="008933FD" w:rsidRDefault="000637FE" w:rsidP="00155831">
            <w:pPr>
              <w:spacing w:before="60" w:after="60"/>
              <w:jc w:val="center"/>
              <w:rPr>
                <w:rFonts w:cs="Arial"/>
                <w:sz w:val="18"/>
                <w:szCs w:val="18"/>
              </w:rPr>
            </w:pPr>
            <w:r>
              <w:rPr>
                <w:rFonts w:cs="Arial"/>
                <w:sz w:val="18"/>
                <w:szCs w:val="18"/>
              </w:rPr>
              <w:t>25%</w:t>
            </w:r>
          </w:p>
        </w:tc>
        <w:tc>
          <w:tcPr>
            <w:tcW w:w="887" w:type="dxa"/>
            <w:tcBorders>
              <w:top w:val="nil"/>
              <w:left w:val="single" w:sz="4" w:space="0" w:color="FFFFFF"/>
              <w:bottom w:val="nil"/>
              <w:right w:val="single" w:sz="4" w:space="0" w:color="FFFFFF"/>
            </w:tcBorders>
            <w:vAlign w:val="center"/>
          </w:tcPr>
          <w:p w14:paraId="5BA8B15B" w14:textId="77777777" w:rsidR="000637FE" w:rsidRPr="008933FD" w:rsidRDefault="000637FE" w:rsidP="00155831">
            <w:pPr>
              <w:spacing w:before="60" w:after="60"/>
              <w:jc w:val="center"/>
              <w:rPr>
                <w:rFonts w:cs="Arial"/>
                <w:sz w:val="18"/>
                <w:szCs w:val="18"/>
              </w:rPr>
            </w:pPr>
            <w:r>
              <w:rPr>
                <w:rFonts w:cs="Arial"/>
                <w:sz w:val="18"/>
                <w:szCs w:val="18"/>
              </w:rPr>
              <w:t>36%</w:t>
            </w:r>
          </w:p>
        </w:tc>
        <w:tc>
          <w:tcPr>
            <w:tcW w:w="1169" w:type="dxa"/>
            <w:tcBorders>
              <w:top w:val="nil"/>
              <w:left w:val="single" w:sz="4" w:space="0" w:color="FFFFFF"/>
              <w:bottom w:val="nil"/>
              <w:right w:val="single" w:sz="4" w:space="0" w:color="FFFFFF"/>
            </w:tcBorders>
            <w:vAlign w:val="center"/>
          </w:tcPr>
          <w:p w14:paraId="71A8D762" w14:textId="77777777" w:rsidR="000637FE" w:rsidRPr="008933FD" w:rsidRDefault="000637FE" w:rsidP="00155831">
            <w:pPr>
              <w:spacing w:before="60" w:after="60"/>
              <w:jc w:val="center"/>
              <w:rPr>
                <w:rFonts w:cs="Arial"/>
                <w:sz w:val="18"/>
                <w:szCs w:val="18"/>
              </w:rPr>
            </w:pPr>
            <w:r>
              <w:rPr>
                <w:rFonts w:cs="Arial"/>
                <w:bCs/>
                <w:sz w:val="18"/>
                <w:szCs w:val="18"/>
              </w:rPr>
              <w:t>39%</w:t>
            </w:r>
          </w:p>
        </w:tc>
        <w:tc>
          <w:tcPr>
            <w:tcW w:w="1027" w:type="dxa"/>
            <w:tcBorders>
              <w:top w:val="nil"/>
              <w:left w:val="single" w:sz="4" w:space="0" w:color="FFFFFF"/>
              <w:bottom w:val="nil"/>
              <w:right w:val="single" w:sz="4" w:space="0" w:color="FFFFFF"/>
            </w:tcBorders>
            <w:vAlign w:val="center"/>
          </w:tcPr>
          <w:p w14:paraId="755BB6F2" w14:textId="77777777" w:rsidR="000637FE" w:rsidRPr="008933FD" w:rsidRDefault="000637FE" w:rsidP="00155831">
            <w:pPr>
              <w:spacing w:before="60" w:after="60"/>
              <w:jc w:val="center"/>
              <w:rPr>
                <w:rFonts w:cs="Arial"/>
                <w:sz w:val="18"/>
                <w:szCs w:val="18"/>
              </w:rPr>
            </w:pPr>
            <w:r>
              <w:rPr>
                <w:rFonts w:cs="Arial"/>
                <w:bCs/>
                <w:sz w:val="18"/>
                <w:szCs w:val="18"/>
              </w:rPr>
              <w:t>41%</w:t>
            </w:r>
          </w:p>
        </w:tc>
        <w:tc>
          <w:tcPr>
            <w:tcW w:w="1028" w:type="dxa"/>
            <w:tcBorders>
              <w:top w:val="nil"/>
              <w:left w:val="single" w:sz="4" w:space="0" w:color="FFFFFF"/>
              <w:bottom w:val="nil"/>
              <w:right w:val="single" w:sz="4" w:space="0" w:color="FFFFFF"/>
            </w:tcBorders>
            <w:vAlign w:val="center"/>
          </w:tcPr>
          <w:p w14:paraId="5A8654ED" w14:textId="77777777" w:rsidR="000637FE" w:rsidRPr="008933FD" w:rsidRDefault="000637FE" w:rsidP="00155831">
            <w:pPr>
              <w:spacing w:before="60" w:after="60"/>
              <w:jc w:val="center"/>
              <w:rPr>
                <w:rFonts w:cs="Arial"/>
                <w:bCs/>
                <w:sz w:val="18"/>
                <w:szCs w:val="18"/>
              </w:rPr>
            </w:pPr>
            <w:r>
              <w:rPr>
                <w:rFonts w:cs="Arial"/>
                <w:bCs/>
                <w:sz w:val="18"/>
                <w:szCs w:val="18"/>
              </w:rPr>
              <w:t>35%</w:t>
            </w:r>
          </w:p>
        </w:tc>
        <w:tc>
          <w:tcPr>
            <w:tcW w:w="886" w:type="dxa"/>
            <w:tcBorders>
              <w:top w:val="nil"/>
              <w:left w:val="single" w:sz="4" w:space="0" w:color="FFFFFF"/>
              <w:bottom w:val="nil"/>
              <w:right w:val="nil"/>
            </w:tcBorders>
            <w:vAlign w:val="center"/>
          </w:tcPr>
          <w:p w14:paraId="6E750167" w14:textId="77777777" w:rsidR="000637FE" w:rsidRPr="008933FD" w:rsidRDefault="000637FE" w:rsidP="00155831">
            <w:pPr>
              <w:spacing w:before="60" w:after="60"/>
              <w:jc w:val="center"/>
              <w:rPr>
                <w:rFonts w:cs="Arial"/>
                <w:bCs/>
                <w:sz w:val="18"/>
                <w:szCs w:val="18"/>
              </w:rPr>
            </w:pPr>
            <w:r>
              <w:rPr>
                <w:rFonts w:cs="Arial"/>
                <w:bCs/>
                <w:sz w:val="18"/>
                <w:szCs w:val="18"/>
              </w:rPr>
              <w:t>46%</w:t>
            </w:r>
          </w:p>
        </w:tc>
      </w:tr>
    </w:tbl>
    <w:p w14:paraId="74D19DC2" w14:textId="107DDD4E" w:rsidR="00F10B46" w:rsidRDefault="000637FE" w:rsidP="000637FE">
      <w:pPr>
        <w:shd w:val="clear" w:color="auto" w:fill="FFFFFF" w:themeFill="background1"/>
        <w:spacing w:before="240" w:line="360" w:lineRule="auto"/>
        <w:jc w:val="left"/>
      </w:pPr>
      <w:r w:rsidRPr="007A4B6D">
        <w:t>W zamówieniach na roboty budowlane kryterium ceny najrzadziej pełniło rolę jedynego elementu oceny ofert. W 202</w:t>
      </w:r>
      <w:r>
        <w:t>5</w:t>
      </w:r>
      <w:r w:rsidRPr="007A4B6D">
        <w:t xml:space="preserve"> roku dotyczyło to jedynie </w:t>
      </w:r>
      <w:r>
        <w:t>12</w:t>
      </w:r>
      <w:r w:rsidRPr="007A4B6D">
        <w:t>% postępowań poniżej progów unijnych (w 202</w:t>
      </w:r>
      <w:r>
        <w:t>4</w:t>
      </w:r>
      <w:r w:rsidRPr="007A4B6D">
        <w:t xml:space="preserve"> r. – </w:t>
      </w:r>
      <w:r>
        <w:t>9</w:t>
      </w:r>
      <w:r w:rsidRPr="007A4B6D">
        <w:t xml:space="preserve">%) oraz </w:t>
      </w:r>
      <w:r>
        <w:t>35</w:t>
      </w:r>
      <w:r w:rsidRPr="007A4B6D">
        <w:t>% postępowań powyżej lub na poziomie tych progów (w 202</w:t>
      </w:r>
      <w:r>
        <w:t>4</w:t>
      </w:r>
      <w:r w:rsidRPr="007A4B6D">
        <w:t xml:space="preserve"> r. – </w:t>
      </w:r>
      <w:r>
        <w:t>24</w:t>
      </w:r>
      <w:r w:rsidRPr="007A4B6D">
        <w:t xml:space="preserve">%). </w:t>
      </w:r>
      <w:r w:rsidRPr="00EB1B47">
        <w:t>Średnia waga przypisywana cenie jako kryterium oceny w przypadku postępowań poniżej progów unijnych wynosiła</w:t>
      </w:r>
      <w:r>
        <w:t xml:space="preserve"> </w:t>
      </w:r>
      <w:r w:rsidRPr="00EB1B47">
        <w:t xml:space="preserve">około </w:t>
      </w:r>
      <w:r>
        <w:t>66</w:t>
      </w:r>
      <w:r w:rsidRPr="00EB1B47">
        <w:t>%</w:t>
      </w:r>
      <w:r>
        <w:t>, a w przypadku postępowań powyżej progów unijnych około 73%.</w:t>
      </w:r>
    </w:p>
    <w:p w14:paraId="105DE366" w14:textId="20A5D80C" w:rsidR="00CD4BBE" w:rsidRDefault="00CD4BBE" w:rsidP="00270CF3">
      <w:pPr>
        <w:pStyle w:val="Nagwek3"/>
      </w:pPr>
      <w:bookmarkStart w:id="85" w:name="_Toc64451860"/>
      <w:bookmarkStart w:id="86" w:name="_Toc233203276"/>
      <w:r w:rsidRPr="004F1B73">
        <w:lastRenderedPageBreak/>
        <w:t>I.2.4. Konkurencyjność postępowań</w:t>
      </w:r>
      <w:bookmarkEnd w:id="85"/>
      <w:bookmarkEnd w:id="86"/>
    </w:p>
    <w:p w14:paraId="45CE2F30" w14:textId="146D3F9E" w:rsidR="000E58FE" w:rsidRDefault="00467ACD" w:rsidP="000E58FE">
      <w:pPr>
        <w:pStyle w:val="Legenda"/>
      </w:pPr>
      <w:bookmarkStart w:id="87" w:name="_Toc233203337"/>
      <w:r w:rsidRPr="00BA1095">
        <w:t xml:space="preserve">Rys. </w:t>
      </w:r>
      <w:r>
        <w:fldChar w:fldCharType="begin"/>
      </w:r>
      <w:r>
        <w:instrText>SEQ Rys. \* ARABIC</w:instrText>
      </w:r>
      <w:r>
        <w:fldChar w:fldCharType="separate"/>
      </w:r>
      <w:r w:rsidR="00017C65">
        <w:rPr>
          <w:noProof/>
        </w:rPr>
        <w:t>16</w:t>
      </w:r>
      <w:r>
        <w:fldChar w:fldCharType="end"/>
      </w:r>
      <w:r w:rsidRPr="00BA1095">
        <w:t xml:space="preserve">. </w:t>
      </w:r>
      <w:r w:rsidR="009D6192" w:rsidRPr="00CC2AD4">
        <w:t xml:space="preserve">Średnia liczba składanych ofert </w:t>
      </w:r>
      <w:r w:rsidR="009D6192" w:rsidRPr="00227EAE">
        <w:t>(</w:t>
      </w:r>
      <w:r w:rsidR="009D6192" w:rsidRPr="009C360F">
        <w:t>postępowania o wartości mniejszej niż progi unijne</w:t>
      </w:r>
      <w:r w:rsidR="009D6192">
        <w:t xml:space="preserve"> i </w:t>
      </w:r>
      <w:r w:rsidR="009D6192" w:rsidRPr="009C360F">
        <w:t>równej lub przekraczającej progi unijne</w:t>
      </w:r>
      <w:r w:rsidR="009D6192" w:rsidRPr="00227EAE">
        <w:t>)</w:t>
      </w:r>
      <w:bookmarkEnd w:id="87"/>
    </w:p>
    <w:p w14:paraId="01A154BB" w14:textId="545B18AB" w:rsidR="009D6192" w:rsidRDefault="009D6192" w:rsidP="000E58FE">
      <w:r w:rsidRPr="000E58FE">
        <w:rPr>
          <w:noProof/>
        </w:rPr>
        <w:drawing>
          <wp:inline distT="0" distB="0" distL="0" distR="0" wp14:anchorId="1012F918" wp14:editId="30E01E4B">
            <wp:extent cx="5486400" cy="3200400"/>
            <wp:effectExtent l="0" t="0" r="0" b="0"/>
            <wp:docPr id="205379181" name="Chart 8" descr="Średnia liczba składanych ofert (postępowania o wartości mniejszej niż progi unijne i równej lub przekraczającej progi unijne)" title="Średnia liczba składanych ofert (postępowania o wartości mniejszej niż progi unijne 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6A8CBF3" w14:textId="3F3A60F4" w:rsidR="00FB7003" w:rsidRDefault="009D6192" w:rsidP="003C0A43">
      <w:pPr>
        <w:spacing w:before="240" w:line="360" w:lineRule="auto"/>
        <w:jc w:val="left"/>
        <w:rPr>
          <w:szCs w:val="22"/>
        </w:rPr>
      </w:pPr>
      <w:r w:rsidRPr="001776D8">
        <w:rPr>
          <w:szCs w:val="22"/>
        </w:rPr>
        <w:t xml:space="preserve">Średnia liczba ofert w postępowaniach o udzielenie zamówienia publicznego zarówno </w:t>
      </w:r>
      <w:r w:rsidRPr="001776D8">
        <w:rPr>
          <w:szCs w:val="22"/>
        </w:rPr>
        <w:br/>
        <w:t>o wartości mniejszej niż progi unijne jak i równej lub przekraczającej progi unijne wynosiła 2,92 oferty (w 2024 r. – 2,84).</w:t>
      </w:r>
    </w:p>
    <w:p w14:paraId="2D56722F" w14:textId="42B18705" w:rsidR="00F72A6C" w:rsidRPr="007B747A" w:rsidRDefault="007B747A" w:rsidP="00852522">
      <w:pPr>
        <w:pStyle w:val="Nagwek4"/>
      </w:pPr>
      <w:r>
        <w:t xml:space="preserve">1. </w:t>
      </w:r>
      <w:r w:rsidR="00F72A6C" w:rsidRPr="007B747A">
        <w:t xml:space="preserve">Zamówienia o </w:t>
      </w:r>
      <w:r w:rsidR="00BE11AD" w:rsidRPr="007B747A">
        <w:t>wartości mniejszej niż progi unijne</w:t>
      </w:r>
    </w:p>
    <w:p w14:paraId="5062E634" w14:textId="2C57EC68" w:rsidR="009D6192" w:rsidRPr="006C14EB" w:rsidRDefault="00467ACD" w:rsidP="009D6192">
      <w:pPr>
        <w:pStyle w:val="Legenda"/>
      </w:pPr>
      <w:bookmarkStart w:id="88" w:name="_Toc233203338"/>
      <w:r w:rsidRPr="00BA1095">
        <w:lastRenderedPageBreak/>
        <w:t xml:space="preserve">Rys. </w:t>
      </w:r>
      <w:r>
        <w:fldChar w:fldCharType="begin"/>
      </w:r>
      <w:r>
        <w:instrText>SEQ Rys. \* ARABIC</w:instrText>
      </w:r>
      <w:r>
        <w:fldChar w:fldCharType="separate"/>
      </w:r>
      <w:r w:rsidR="00017C65">
        <w:rPr>
          <w:noProof/>
        </w:rPr>
        <w:t>17</w:t>
      </w:r>
      <w:r>
        <w:fldChar w:fldCharType="end"/>
      </w:r>
      <w:r w:rsidRPr="00BA1095">
        <w:t xml:space="preserve">. </w:t>
      </w:r>
      <w:r w:rsidR="009D6192" w:rsidRPr="00CC2AD4">
        <w:t xml:space="preserve">Średnia liczba składanych ofert </w:t>
      </w:r>
      <w:r w:rsidR="009D6192" w:rsidRPr="00227EAE">
        <w:t>(postępowania o wartości mniejszej niż progi unijne)</w:t>
      </w:r>
      <w:bookmarkEnd w:id="88"/>
    </w:p>
    <w:p w14:paraId="3FB107DF" w14:textId="77777777" w:rsidR="009D6192" w:rsidRDefault="009D6192" w:rsidP="009D6192">
      <w:pPr>
        <w:spacing w:line="360" w:lineRule="auto"/>
        <w:jc w:val="left"/>
        <w:rPr>
          <w:szCs w:val="22"/>
        </w:rPr>
      </w:pPr>
      <w:r>
        <w:rPr>
          <w:noProof/>
          <w:szCs w:val="22"/>
        </w:rPr>
        <w:drawing>
          <wp:inline distT="0" distB="0" distL="0" distR="0" wp14:anchorId="65137002" wp14:editId="44BC93F9">
            <wp:extent cx="5486400" cy="3200400"/>
            <wp:effectExtent l="0" t="0" r="0" b="0"/>
            <wp:docPr id="774629483" name="Chart 9" descr="Średnia liczba składanych ofert (postępowania o wartości mniejszej niż progi unijne)" title="Średnia liczba składanych ofert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587C105" w14:textId="77777777" w:rsidR="009D6192" w:rsidRDefault="009D6192" w:rsidP="009D6192">
      <w:pPr>
        <w:spacing w:before="240" w:line="360" w:lineRule="auto"/>
        <w:jc w:val="left"/>
        <w:rPr>
          <w:szCs w:val="22"/>
        </w:rPr>
      </w:pPr>
      <w:r w:rsidRPr="00C3064F">
        <w:rPr>
          <w:szCs w:val="22"/>
        </w:rPr>
        <w:t>Z ogłoszeń o wyniku postępowania opublikowanych w BZP w 2025 r. wynika, że w postępowaniach o udzielenie zamówienia publicznego o wartości mniejszej niż progi unijne średnio składano 3,01 oferty</w:t>
      </w:r>
      <w:r w:rsidRPr="00C3064F">
        <w:rPr>
          <w:rStyle w:val="Odwoanieprzypisudolnego"/>
          <w:szCs w:val="22"/>
        </w:rPr>
        <w:footnoteReference w:id="6"/>
      </w:r>
      <w:r w:rsidRPr="00C3064F">
        <w:rPr>
          <w:szCs w:val="22"/>
        </w:rPr>
        <w:t xml:space="preserve"> (w 2024 r. – 2,89).</w:t>
      </w:r>
    </w:p>
    <w:p w14:paraId="44048979" w14:textId="4147EF7F" w:rsidR="009D6192" w:rsidRPr="00CB5D4D" w:rsidRDefault="009D6192" w:rsidP="009D6192">
      <w:pPr>
        <w:pStyle w:val="Legenda"/>
      </w:pPr>
      <w:bookmarkStart w:id="89" w:name="_Toc230687660"/>
      <w:bookmarkStart w:id="90" w:name="_Toc233203377"/>
      <w:r w:rsidRPr="00286247">
        <w:t xml:space="preserve">Tab. </w:t>
      </w:r>
      <w:r>
        <w:fldChar w:fldCharType="begin"/>
      </w:r>
      <w:r>
        <w:instrText>SEQ Tab. \* ARABIC</w:instrText>
      </w:r>
      <w:r>
        <w:fldChar w:fldCharType="separate"/>
      </w:r>
      <w:r w:rsidR="00017C65">
        <w:rPr>
          <w:noProof/>
        </w:rPr>
        <w:t>5</w:t>
      </w:r>
      <w:r>
        <w:fldChar w:fldCharType="end"/>
      </w:r>
      <w:r w:rsidRPr="00286247">
        <w:t xml:space="preserve">. </w:t>
      </w:r>
      <w:r w:rsidRPr="009E331A">
        <w:t xml:space="preserve">Odsetek </w:t>
      </w:r>
      <w:r>
        <w:t>zamówień</w:t>
      </w:r>
      <w:r w:rsidRPr="009E331A">
        <w:t xml:space="preserve"> według liczby złożonych ofert</w:t>
      </w:r>
      <w:r>
        <w:t xml:space="preserve"> </w:t>
      </w:r>
      <w:r w:rsidRPr="00286247">
        <w:t>(postępowania o</w:t>
      </w:r>
      <w:r>
        <w:t xml:space="preserve"> </w:t>
      </w:r>
      <w:r w:rsidRPr="009E331A">
        <w:t>wartości mniejszej niż progi unijne</w:t>
      </w:r>
      <w:r w:rsidRPr="00286247">
        <w:t>)</w:t>
      </w:r>
      <w:bookmarkEnd w:id="89"/>
      <w:bookmarkEnd w:id="90"/>
    </w:p>
    <w:tbl>
      <w:tblPr>
        <w:tblW w:w="9185" w:type="dxa"/>
        <w:tblInd w:w="-5" w:type="dxa"/>
        <w:tblLayout w:type="fixed"/>
        <w:tblLook w:val="04A0" w:firstRow="1" w:lastRow="0" w:firstColumn="1" w:lastColumn="0" w:noHBand="0" w:noVBand="1"/>
        <w:tblCaption w:val="Tabela. Odsetek postępowań o udzielenie zamówienia publicznego według liczby złożonych ofert (postępowania o wartości mniejszej niż progi unijne)."/>
        <w:tblDescription w:val="Tabela. Odsetek postępowań o udzielenie zamówienia publicznego według liczby złożonych ofert (postępowania o wartości mniejszej niż progi unijne)."/>
      </w:tblPr>
      <w:tblGrid>
        <w:gridCol w:w="1673"/>
        <w:gridCol w:w="1984"/>
        <w:gridCol w:w="1842"/>
        <w:gridCol w:w="1843"/>
        <w:gridCol w:w="1843"/>
      </w:tblGrid>
      <w:tr w:rsidR="009D6192" w:rsidRPr="00CB5D4D" w14:paraId="06B16D63" w14:textId="77777777" w:rsidTr="00E252E7">
        <w:trPr>
          <w:tblHeader/>
        </w:trPr>
        <w:tc>
          <w:tcPr>
            <w:tcW w:w="1673" w:type="dxa"/>
            <w:tcBorders>
              <w:right w:val="single" w:sz="4" w:space="0" w:color="FFFFFF"/>
            </w:tcBorders>
            <w:shd w:val="clear" w:color="auto" w:fill="002060"/>
            <w:vAlign w:val="center"/>
          </w:tcPr>
          <w:p w14:paraId="7D1ACAAF" w14:textId="77777777" w:rsidR="009D6192" w:rsidRPr="006B0F5F" w:rsidRDefault="009D6192" w:rsidP="00E252E7">
            <w:pPr>
              <w:spacing w:before="60" w:after="60"/>
              <w:jc w:val="center"/>
              <w:rPr>
                <w:b/>
                <w:sz w:val="18"/>
                <w:szCs w:val="18"/>
              </w:rPr>
            </w:pPr>
            <w:r w:rsidRPr="006B0F5F">
              <w:rPr>
                <w:b/>
                <w:sz w:val="18"/>
                <w:szCs w:val="18"/>
              </w:rPr>
              <w:t>Liczba złożonych ofert</w:t>
            </w:r>
          </w:p>
        </w:tc>
        <w:tc>
          <w:tcPr>
            <w:tcW w:w="1984" w:type="dxa"/>
            <w:tcBorders>
              <w:left w:val="single" w:sz="4" w:space="0" w:color="FFFFFF"/>
            </w:tcBorders>
            <w:shd w:val="clear" w:color="auto" w:fill="002060"/>
            <w:vAlign w:val="center"/>
          </w:tcPr>
          <w:p w14:paraId="07DE92B7" w14:textId="77777777" w:rsidR="009D6192" w:rsidRPr="00CB5D4D" w:rsidRDefault="009D6192" w:rsidP="00E252E7">
            <w:pPr>
              <w:spacing w:before="60" w:after="60"/>
              <w:jc w:val="center"/>
              <w:rPr>
                <w:b/>
                <w:sz w:val="18"/>
                <w:szCs w:val="18"/>
              </w:rPr>
            </w:pPr>
            <w:r w:rsidRPr="00CB5D4D">
              <w:rPr>
                <w:b/>
                <w:sz w:val="18"/>
                <w:szCs w:val="18"/>
              </w:rPr>
              <w:t>Roboty budowlane</w:t>
            </w:r>
          </w:p>
        </w:tc>
        <w:tc>
          <w:tcPr>
            <w:tcW w:w="1842" w:type="dxa"/>
            <w:tcBorders>
              <w:left w:val="single" w:sz="4" w:space="0" w:color="FFFFFF"/>
            </w:tcBorders>
            <w:shd w:val="clear" w:color="auto" w:fill="002060"/>
            <w:vAlign w:val="center"/>
          </w:tcPr>
          <w:p w14:paraId="00AF22C4" w14:textId="77777777" w:rsidR="009D6192" w:rsidRPr="00CB5D4D" w:rsidRDefault="009D6192" w:rsidP="00E252E7">
            <w:pPr>
              <w:spacing w:before="60" w:after="60"/>
              <w:jc w:val="center"/>
              <w:rPr>
                <w:b/>
                <w:sz w:val="18"/>
                <w:szCs w:val="18"/>
              </w:rPr>
            </w:pPr>
            <w:r w:rsidRPr="00CB5D4D">
              <w:rPr>
                <w:b/>
                <w:sz w:val="18"/>
                <w:szCs w:val="18"/>
              </w:rPr>
              <w:t>Dostawy</w:t>
            </w:r>
          </w:p>
        </w:tc>
        <w:tc>
          <w:tcPr>
            <w:tcW w:w="1843" w:type="dxa"/>
            <w:tcBorders>
              <w:left w:val="single" w:sz="4" w:space="0" w:color="FFFFFF"/>
            </w:tcBorders>
            <w:shd w:val="clear" w:color="auto" w:fill="002060"/>
            <w:vAlign w:val="center"/>
          </w:tcPr>
          <w:p w14:paraId="59D57A17" w14:textId="77777777" w:rsidR="009D6192" w:rsidRPr="00CB5D4D" w:rsidRDefault="009D6192" w:rsidP="00E252E7">
            <w:pPr>
              <w:spacing w:before="60" w:after="60"/>
              <w:jc w:val="center"/>
              <w:rPr>
                <w:b/>
                <w:sz w:val="18"/>
                <w:szCs w:val="18"/>
              </w:rPr>
            </w:pPr>
            <w:r w:rsidRPr="00CB5D4D">
              <w:rPr>
                <w:b/>
                <w:sz w:val="18"/>
                <w:szCs w:val="18"/>
              </w:rPr>
              <w:t>Usługi</w:t>
            </w:r>
          </w:p>
        </w:tc>
        <w:tc>
          <w:tcPr>
            <w:tcW w:w="1843" w:type="dxa"/>
            <w:tcBorders>
              <w:left w:val="single" w:sz="4" w:space="0" w:color="FFFFFF"/>
            </w:tcBorders>
            <w:shd w:val="clear" w:color="auto" w:fill="002060"/>
            <w:vAlign w:val="center"/>
          </w:tcPr>
          <w:p w14:paraId="6DB9A9BB" w14:textId="77777777" w:rsidR="009D6192" w:rsidRPr="00CB5D4D" w:rsidRDefault="009D6192" w:rsidP="00E252E7">
            <w:pPr>
              <w:spacing w:before="60" w:after="60"/>
              <w:jc w:val="center"/>
              <w:rPr>
                <w:b/>
                <w:sz w:val="18"/>
                <w:szCs w:val="18"/>
              </w:rPr>
            </w:pPr>
            <w:r w:rsidRPr="00CB5D4D">
              <w:rPr>
                <w:b/>
                <w:sz w:val="18"/>
                <w:szCs w:val="18"/>
              </w:rPr>
              <w:t>Ogółem</w:t>
            </w:r>
          </w:p>
        </w:tc>
      </w:tr>
      <w:tr w:rsidR="009D6192" w:rsidRPr="00CB5D4D" w14:paraId="3C36B635" w14:textId="77777777" w:rsidTr="00E252E7">
        <w:tc>
          <w:tcPr>
            <w:tcW w:w="1673" w:type="dxa"/>
            <w:tcBorders>
              <w:right w:val="single" w:sz="4" w:space="0" w:color="FFFFFF"/>
            </w:tcBorders>
            <w:vAlign w:val="center"/>
          </w:tcPr>
          <w:p w14:paraId="5FBE2B95" w14:textId="77777777" w:rsidR="009D6192" w:rsidRPr="006B0F5F" w:rsidRDefault="009D6192" w:rsidP="00E252E7">
            <w:pPr>
              <w:autoSpaceDE w:val="0"/>
              <w:autoSpaceDN w:val="0"/>
              <w:adjustRightInd w:val="0"/>
              <w:spacing w:before="60" w:after="60"/>
              <w:jc w:val="center"/>
              <w:rPr>
                <w:b/>
                <w:color w:val="000000"/>
                <w:sz w:val="18"/>
                <w:szCs w:val="18"/>
              </w:rPr>
            </w:pPr>
            <w:r w:rsidRPr="006B0F5F">
              <w:rPr>
                <w:b/>
                <w:color w:val="000000"/>
                <w:sz w:val="18"/>
                <w:szCs w:val="18"/>
              </w:rPr>
              <w:t>1</w:t>
            </w:r>
          </w:p>
        </w:tc>
        <w:tc>
          <w:tcPr>
            <w:tcW w:w="1984" w:type="dxa"/>
            <w:tcBorders>
              <w:left w:val="single" w:sz="4" w:space="0" w:color="FFFFFF"/>
            </w:tcBorders>
            <w:vAlign w:val="bottom"/>
          </w:tcPr>
          <w:p w14:paraId="1D9ACAF3" w14:textId="0251A655" w:rsidR="009D6192" w:rsidRPr="00E7150F" w:rsidRDefault="009D6192" w:rsidP="00E252E7">
            <w:pPr>
              <w:spacing w:before="60" w:after="60"/>
              <w:jc w:val="center"/>
              <w:rPr>
                <w:sz w:val="20"/>
                <w:szCs w:val="20"/>
              </w:rPr>
            </w:pPr>
            <w:r>
              <w:rPr>
                <w:rFonts w:ascii="Aptos Narrow" w:hAnsi="Aptos Narrow"/>
                <w:sz w:val="20"/>
                <w:szCs w:val="20"/>
              </w:rPr>
              <w:t>11</w:t>
            </w:r>
            <w:r w:rsidRPr="00E7150F">
              <w:rPr>
                <w:rFonts w:ascii="Aptos Narrow" w:hAnsi="Aptos Narrow"/>
                <w:sz w:val="20"/>
                <w:szCs w:val="20"/>
              </w:rPr>
              <w:t>,</w:t>
            </w:r>
            <w:r>
              <w:rPr>
                <w:rFonts w:ascii="Aptos Narrow" w:hAnsi="Aptos Narrow"/>
                <w:sz w:val="20"/>
                <w:szCs w:val="20"/>
              </w:rPr>
              <w:t>27</w:t>
            </w:r>
            <w:r w:rsidRPr="00E7150F">
              <w:rPr>
                <w:rFonts w:ascii="Aptos Narrow" w:hAnsi="Aptos Narrow"/>
                <w:sz w:val="20"/>
                <w:szCs w:val="20"/>
              </w:rPr>
              <w:t>%</w:t>
            </w:r>
          </w:p>
        </w:tc>
        <w:tc>
          <w:tcPr>
            <w:tcW w:w="1842" w:type="dxa"/>
            <w:tcBorders>
              <w:left w:val="single" w:sz="4" w:space="0" w:color="FFFFFF"/>
            </w:tcBorders>
            <w:vAlign w:val="bottom"/>
          </w:tcPr>
          <w:p w14:paraId="56687B42" w14:textId="2BEC8E64" w:rsidR="009D6192" w:rsidRPr="00E448BD" w:rsidRDefault="009D6192" w:rsidP="00E252E7">
            <w:pPr>
              <w:spacing w:before="60" w:after="60"/>
              <w:jc w:val="center"/>
              <w:rPr>
                <w:sz w:val="20"/>
                <w:szCs w:val="20"/>
              </w:rPr>
            </w:pPr>
            <w:r>
              <w:rPr>
                <w:rFonts w:ascii="Aptos Narrow" w:hAnsi="Aptos Narrow"/>
                <w:sz w:val="20"/>
                <w:szCs w:val="20"/>
              </w:rPr>
              <w:t>43</w:t>
            </w:r>
            <w:r w:rsidRPr="00E448BD">
              <w:rPr>
                <w:rFonts w:ascii="Aptos Narrow" w:hAnsi="Aptos Narrow"/>
                <w:sz w:val="20"/>
                <w:szCs w:val="20"/>
              </w:rPr>
              <w:t>,</w:t>
            </w:r>
            <w:r>
              <w:rPr>
                <w:rFonts w:ascii="Aptos Narrow" w:hAnsi="Aptos Narrow"/>
                <w:sz w:val="20"/>
                <w:szCs w:val="20"/>
              </w:rPr>
              <w:t>03</w:t>
            </w:r>
            <w:r w:rsidRPr="00E448BD">
              <w:rPr>
                <w:rFonts w:ascii="Aptos Narrow" w:hAnsi="Aptos Narrow"/>
                <w:sz w:val="20"/>
                <w:szCs w:val="20"/>
              </w:rPr>
              <w:t>%</w:t>
            </w:r>
          </w:p>
        </w:tc>
        <w:tc>
          <w:tcPr>
            <w:tcW w:w="1843" w:type="dxa"/>
            <w:tcBorders>
              <w:left w:val="single" w:sz="4" w:space="0" w:color="FFFFFF"/>
            </w:tcBorders>
            <w:vAlign w:val="bottom"/>
          </w:tcPr>
          <w:p w14:paraId="014D688C" w14:textId="2909E4DB" w:rsidR="009D6192" w:rsidRPr="00E448BD" w:rsidRDefault="009D6192" w:rsidP="00E252E7">
            <w:pPr>
              <w:spacing w:before="60" w:after="60"/>
              <w:jc w:val="center"/>
              <w:rPr>
                <w:sz w:val="20"/>
                <w:szCs w:val="20"/>
              </w:rPr>
            </w:pPr>
            <w:r w:rsidRPr="00E448BD">
              <w:rPr>
                <w:rFonts w:ascii="Aptos Narrow" w:hAnsi="Aptos Narrow"/>
                <w:sz w:val="20"/>
                <w:szCs w:val="20"/>
              </w:rPr>
              <w:t>3</w:t>
            </w:r>
            <w:r>
              <w:rPr>
                <w:rFonts w:ascii="Aptos Narrow" w:hAnsi="Aptos Narrow"/>
                <w:sz w:val="20"/>
                <w:szCs w:val="20"/>
              </w:rPr>
              <w:t>4</w:t>
            </w:r>
            <w:r w:rsidRPr="00E448BD">
              <w:rPr>
                <w:rFonts w:ascii="Aptos Narrow" w:hAnsi="Aptos Narrow"/>
                <w:sz w:val="20"/>
                <w:szCs w:val="20"/>
              </w:rPr>
              <w:t>,</w:t>
            </w:r>
            <w:r>
              <w:rPr>
                <w:rFonts w:ascii="Aptos Narrow" w:hAnsi="Aptos Narrow"/>
                <w:sz w:val="20"/>
                <w:szCs w:val="20"/>
              </w:rPr>
              <w:t>94</w:t>
            </w:r>
            <w:r w:rsidRPr="00E448BD">
              <w:rPr>
                <w:rFonts w:ascii="Aptos Narrow" w:hAnsi="Aptos Narrow"/>
                <w:sz w:val="20"/>
                <w:szCs w:val="20"/>
              </w:rPr>
              <w:t>%</w:t>
            </w:r>
          </w:p>
        </w:tc>
        <w:tc>
          <w:tcPr>
            <w:tcW w:w="1843" w:type="dxa"/>
            <w:tcBorders>
              <w:left w:val="single" w:sz="4" w:space="0" w:color="FFFFFF"/>
            </w:tcBorders>
            <w:vAlign w:val="bottom"/>
          </w:tcPr>
          <w:p w14:paraId="11B086F9" w14:textId="61EB77B8" w:rsidR="009D6192" w:rsidRPr="00E448BD" w:rsidRDefault="009D6192" w:rsidP="00E252E7">
            <w:pPr>
              <w:spacing w:before="60" w:after="60"/>
              <w:jc w:val="center"/>
              <w:rPr>
                <w:sz w:val="20"/>
                <w:szCs w:val="20"/>
              </w:rPr>
            </w:pPr>
            <w:r>
              <w:rPr>
                <w:rFonts w:ascii="Aptos Narrow" w:hAnsi="Aptos Narrow"/>
                <w:b/>
                <w:bCs/>
                <w:sz w:val="20"/>
                <w:szCs w:val="20"/>
              </w:rPr>
              <w:t>34</w:t>
            </w:r>
            <w:r w:rsidRPr="00E448BD">
              <w:rPr>
                <w:rFonts w:ascii="Aptos Narrow" w:hAnsi="Aptos Narrow"/>
                <w:b/>
                <w:bCs/>
                <w:sz w:val="20"/>
                <w:szCs w:val="20"/>
              </w:rPr>
              <w:t>,</w:t>
            </w:r>
            <w:r>
              <w:rPr>
                <w:rFonts w:ascii="Aptos Narrow" w:hAnsi="Aptos Narrow"/>
                <w:b/>
                <w:bCs/>
                <w:sz w:val="20"/>
                <w:szCs w:val="20"/>
              </w:rPr>
              <w:t>04</w:t>
            </w:r>
            <w:r w:rsidRPr="00E448BD">
              <w:rPr>
                <w:rFonts w:ascii="Aptos Narrow" w:hAnsi="Aptos Narrow"/>
                <w:b/>
                <w:bCs/>
                <w:sz w:val="20"/>
                <w:szCs w:val="20"/>
              </w:rPr>
              <w:t>%</w:t>
            </w:r>
          </w:p>
        </w:tc>
      </w:tr>
      <w:tr w:rsidR="009D6192" w:rsidRPr="00CB5D4D" w14:paraId="257134FA" w14:textId="77777777" w:rsidTr="00E252E7">
        <w:tc>
          <w:tcPr>
            <w:tcW w:w="1673" w:type="dxa"/>
            <w:tcBorders>
              <w:right w:val="single" w:sz="4" w:space="0" w:color="FFFFFF"/>
            </w:tcBorders>
            <w:shd w:val="clear" w:color="auto" w:fill="00B0F0"/>
            <w:vAlign w:val="center"/>
          </w:tcPr>
          <w:p w14:paraId="19F8D3A1" w14:textId="77777777" w:rsidR="009D6192" w:rsidRPr="006B0F5F" w:rsidRDefault="009D6192" w:rsidP="00E252E7">
            <w:pPr>
              <w:autoSpaceDE w:val="0"/>
              <w:autoSpaceDN w:val="0"/>
              <w:adjustRightInd w:val="0"/>
              <w:spacing w:before="60" w:after="60"/>
              <w:jc w:val="center"/>
              <w:rPr>
                <w:b/>
                <w:color w:val="000000"/>
                <w:sz w:val="18"/>
                <w:szCs w:val="18"/>
              </w:rPr>
            </w:pPr>
            <w:r w:rsidRPr="006B0F5F">
              <w:rPr>
                <w:b/>
                <w:color w:val="000000"/>
                <w:sz w:val="18"/>
                <w:szCs w:val="18"/>
              </w:rPr>
              <w:t>2</w:t>
            </w:r>
          </w:p>
        </w:tc>
        <w:tc>
          <w:tcPr>
            <w:tcW w:w="1984" w:type="dxa"/>
            <w:tcBorders>
              <w:left w:val="single" w:sz="4" w:space="0" w:color="FFFFFF"/>
            </w:tcBorders>
            <w:shd w:val="clear" w:color="auto" w:fill="00B0F0"/>
            <w:vAlign w:val="bottom"/>
          </w:tcPr>
          <w:p w14:paraId="79DB847A" w14:textId="7DF24FB4" w:rsidR="009D6192" w:rsidRPr="00E7150F" w:rsidRDefault="009D6192" w:rsidP="00E252E7">
            <w:pPr>
              <w:spacing w:before="60" w:after="60"/>
              <w:jc w:val="center"/>
              <w:rPr>
                <w:sz w:val="20"/>
                <w:szCs w:val="20"/>
              </w:rPr>
            </w:pPr>
            <w:r>
              <w:rPr>
                <w:rFonts w:ascii="Aptos Narrow" w:hAnsi="Aptos Narrow"/>
                <w:sz w:val="20"/>
                <w:szCs w:val="20"/>
              </w:rPr>
              <w:t>15</w:t>
            </w:r>
            <w:r w:rsidRPr="00E7150F">
              <w:rPr>
                <w:rFonts w:ascii="Aptos Narrow" w:hAnsi="Aptos Narrow"/>
                <w:sz w:val="20"/>
                <w:szCs w:val="20"/>
              </w:rPr>
              <w:t>,</w:t>
            </w:r>
            <w:r>
              <w:rPr>
                <w:rFonts w:ascii="Aptos Narrow" w:hAnsi="Aptos Narrow"/>
                <w:sz w:val="20"/>
                <w:szCs w:val="20"/>
              </w:rPr>
              <w:t>55</w:t>
            </w:r>
            <w:r w:rsidRPr="00E7150F">
              <w:rPr>
                <w:rFonts w:ascii="Aptos Narrow" w:hAnsi="Aptos Narrow"/>
                <w:sz w:val="20"/>
                <w:szCs w:val="20"/>
              </w:rPr>
              <w:t>%</w:t>
            </w:r>
          </w:p>
        </w:tc>
        <w:tc>
          <w:tcPr>
            <w:tcW w:w="1842" w:type="dxa"/>
            <w:tcBorders>
              <w:left w:val="single" w:sz="4" w:space="0" w:color="FFFFFF"/>
            </w:tcBorders>
            <w:shd w:val="clear" w:color="auto" w:fill="00B0F0"/>
            <w:vAlign w:val="bottom"/>
          </w:tcPr>
          <w:p w14:paraId="757636FA" w14:textId="200F9685" w:rsidR="009D6192" w:rsidRPr="00E448BD" w:rsidRDefault="009D6192" w:rsidP="00E252E7">
            <w:pPr>
              <w:spacing w:before="60" w:after="60"/>
              <w:jc w:val="center"/>
              <w:rPr>
                <w:sz w:val="20"/>
                <w:szCs w:val="20"/>
              </w:rPr>
            </w:pPr>
            <w:r>
              <w:rPr>
                <w:rFonts w:ascii="Aptos Narrow" w:hAnsi="Aptos Narrow"/>
                <w:sz w:val="20"/>
                <w:szCs w:val="20"/>
              </w:rPr>
              <w:t>23</w:t>
            </w:r>
            <w:r w:rsidRPr="00E448BD">
              <w:rPr>
                <w:rFonts w:ascii="Aptos Narrow" w:hAnsi="Aptos Narrow"/>
                <w:sz w:val="20"/>
                <w:szCs w:val="20"/>
              </w:rPr>
              <w:t>,</w:t>
            </w:r>
            <w:r>
              <w:rPr>
                <w:rFonts w:ascii="Aptos Narrow" w:hAnsi="Aptos Narrow"/>
                <w:sz w:val="20"/>
                <w:szCs w:val="20"/>
              </w:rPr>
              <w:t>33</w:t>
            </w:r>
            <w:r w:rsidRPr="00E448BD">
              <w:rPr>
                <w:rFonts w:ascii="Aptos Narrow" w:hAnsi="Aptos Narrow"/>
                <w:sz w:val="20"/>
                <w:szCs w:val="20"/>
              </w:rPr>
              <w:t>%</w:t>
            </w:r>
          </w:p>
        </w:tc>
        <w:tc>
          <w:tcPr>
            <w:tcW w:w="1843" w:type="dxa"/>
            <w:tcBorders>
              <w:left w:val="single" w:sz="4" w:space="0" w:color="FFFFFF"/>
            </w:tcBorders>
            <w:shd w:val="clear" w:color="auto" w:fill="00B0F0"/>
            <w:vAlign w:val="bottom"/>
          </w:tcPr>
          <w:p w14:paraId="5327FBFF" w14:textId="688A0206" w:rsidR="009D6192" w:rsidRPr="00E448BD" w:rsidRDefault="009D6192" w:rsidP="00E252E7">
            <w:pPr>
              <w:spacing w:before="60" w:after="60"/>
              <w:jc w:val="center"/>
              <w:rPr>
                <w:sz w:val="20"/>
                <w:szCs w:val="20"/>
              </w:rPr>
            </w:pPr>
            <w:r>
              <w:rPr>
                <w:rFonts w:ascii="Aptos Narrow" w:hAnsi="Aptos Narrow"/>
                <w:sz w:val="20"/>
                <w:szCs w:val="20"/>
              </w:rPr>
              <w:t>22</w:t>
            </w:r>
            <w:r w:rsidRPr="00E448BD">
              <w:rPr>
                <w:rFonts w:ascii="Aptos Narrow" w:hAnsi="Aptos Narrow"/>
                <w:sz w:val="20"/>
                <w:szCs w:val="20"/>
              </w:rPr>
              <w:t>,</w:t>
            </w:r>
            <w:r>
              <w:rPr>
                <w:rFonts w:ascii="Aptos Narrow" w:hAnsi="Aptos Narrow"/>
                <w:sz w:val="20"/>
                <w:szCs w:val="20"/>
              </w:rPr>
              <w:t>76</w:t>
            </w:r>
            <w:r w:rsidRPr="00E448BD">
              <w:rPr>
                <w:rFonts w:ascii="Aptos Narrow" w:hAnsi="Aptos Narrow"/>
                <w:sz w:val="20"/>
                <w:szCs w:val="20"/>
              </w:rPr>
              <w:t>%</w:t>
            </w:r>
          </w:p>
        </w:tc>
        <w:tc>
          <w:tcPr>
            <w:tcW w:w="1843" w:type="dxa"/>
            <w:tcBorders>
              <w:left w:val="single" w:sz="4" w:space="0" w:color="FFFFFF"/>
            </w:tcBorders>
            <w:shd w:val="clear" w:color="auto" w:fill="00B0F0"/>
            <w:vAlign w:val="bottom"/>
          </w:tcPr>
          <w:p w14:paraId="3FFB441F" w14:textId="73A91236" w:rsidR="009D6192" w:rsidRPr="00E448BD" w:rsidRDefault="009D6192" w:rsidP="00E252E7">
            <w:pPr>
              <w:spacing w:before="60" w:after="60"/>
              <w:jc w:val="center"/>
              <w:rPr>
                <w:sz w:val="20"/>
                <w:szCs w:val="20"/>
              </w:rPr>
            </w:pPr>
            <w:r>
              <w:rPr>
                <w:rFonts w:ascii="Aptos Narrow" w:hAnsi="Aptos Narrow"/>
                <w:b/>
                <w:bCs/>
                <w:sz w:val="20"/>
                <w:szCs w:val="20"/>
              </w:rPr>
              <w:t>21</w:t>
            </w:r>
            <w:r w:rsidRPr="00E448BD">
              <w:rPr>
                <w:rFonts w:ascii="Aptos Narrow" w:hAnsi="Aptos Narrow"/>
                <w:b/>
                <w:bCs/>
                <w:sz w:val="20"/>
                <w:szCs w:val="20"/>
              </w:rPr>
              <w:t>,</w:t>
            </w:r>
            <w:r>
              <w:rPr>
                <w:rFonts w:ascii="Aptos Narrow" w:hAnsi="Aptos Narrow"/>
                <w:b/>
                <w:bCs/>
                <w:sz w:val="20"/>
                <w:szCs w:val="20"/>
              </w:rPr>
              <w:t>54</w:t>
            </w:r>
            <w:r w:rsidRPr="00E448BD">
              <w:rPr>
                <w:rFonts w:ascii="Aptos Narrow" w:hAnsi="Aptos Narrow"/>
                <w:b/>
                <w:bCs/>
                <w:sz w:val="20"/>
                <w:szCs w:val="20"/>
              </w:rPr>
              <w:t>%</w:t>
            </w:r>
          </w:p>
        </w:tc>
      </w:tr>
      <w:tr w:rsidR="009D6192" w:rsidRPr="00CB5D4D" w14:paraId="555FE614" w14:textId="77777777" w:rsidTr="00E252E7">
        <w:tc>
          <w:tcPr>
            <w:tcW w:w="1673" w:type="dxa"/>
            <w:tcBorders>
              <w:right w:val="single" w:sz="4" w:space="0" w:color="FFFFFF"/>
            </w:tcBorders>
            <w:vAlign w:val="center"/>
          </w:tcPr>
          <w:p w14:paraId="030A1AE3" w14:textId="77777777" w:rsidR="009D6192" w:rsidRPr="006B0F5F" w:rsidRDefault="009D6192" w:rsidP="00E252E7">
            <w:pPr>
              <w:autoSpaceDE w:val="0"/>
              <w:autoSpaceDN w:val="0"/>
              <w:adjustRightInd w:val="0"/>
              <w:spacing w:before="60" w:after="60"/>
              <w:jc w:val="center"/>
              <w:rPr>
                <w:b/>
                <w:color w:val="000000"/>
                <w:sz w:val="18"/>
                <w:szCs w:val="18"/>
              </w:rPr>
            </w:pPr>
            <w:r w:rsidRPr="006B0F5F">
              <w:rPr>
                <w:b/>
                <w:color w:val="000000"/>
                <w:sz w:val="18"/>
                <w:szCs w:val="18"/>
              </w:rPr>
              <w:t>3</w:t>
            </w:r>
          </w:p>
        </w:tc>
        <w:tc>
          <w:tcPr>
            <w:tcW w:w="1984" w:type="dxa"/>
            <w:tcBorders>
              <w:left w:val="single" w:sz="4" w:space="0" w:color="FFFFFF"/>
            </w:tcBorders>
            <w:vAlign w:val="bottom"/>
          </w:tcPr>
          <w:p w14:paraId="35B6358E" w14:textId="23A1E31B" w:rsidR="009D6192" w:rsidRPr="00E7150F" w:rsidRDefault="009D6192" w:rsidP="00E252E7">
            <w:pPr>
              <w:spacing w:before="60" w:after="60"/>
              <w:jc w:val="center"/>
              <w:rPr>
                <w:sz w:val="20"/>
                <w:szCs w:val="20"/>
              </w:rPr>
            </w:pPr>
            <w:r w:rsidRPr="00E7150F">
              <w:rPr>
                <w:rFonts w:ascii="Aptos Narrow" w:hAnsi="Aptos Narrow"/>
                <w:sz w:val="20"/>
                <w:szCs w:val="20"/>
              </w:rPr>
              <w:t>1</w:t>
            </w:r>
            <w:r>
              <w:rPr>
                <w:rFonts w:ascii="Aptos Narrow" w:hAnsi="Aptos Narrow"/>
                <w:sz w:val="20"/>
                <w:szCs w:val="20"/>
              </w:rPr>
              <w:t>5</w:t>
            </w:r>
            <w:r w:rsidRPr="00E7150F">
              <w:rPr>
                <w:rFonts w:ascii="Aptos Narrow" w:hAnsi="Aptos Narrow"/>
                <w:sz w:val="20"/>
                <w:szCs w:val="20"/>
              </w:rPr>
              <w:t>,</w:t>
            </w:r>
            <w:r>
              <w:rPr>
                <w:rFonts w:ascii="Aptos Narrow" w:hAnsi="Aptos Narrow"/>
                <w:sz w:val="20"/>
                <w:szCs w:val="20"/>
              </w:rPr>
              <w:t>62</w:t>
            </w:r>
            <w:r w:rsidRPr="00E7150F">
              <w:rPr>
                <w:rFonts w:ascii="Aptos Narrow" w:hAnsi="Aptos Narrow"/>
                <w:sz w:val="20"/>
                <w:szCs w:val="20"/>
              </w:rPr>
              <w:t>%</w:t>
            </w:r>
          </w:p>
        </w:tc>
        <w:tc>
          <w:tcPr>
            <w:tcW w:w="1842" w:type="dxa"/>
            <w:tcBorders>
              <w:left w:val="single" w:sz="4" w:space="0" w:color="FFFFFF"/>
            </w:tcBorders>
            <w:vAlign w:val="bottom"/>
          </w:tcPr>
          <w:p w14:paraId="2A31602E" w14:textId="4858FEC5" w:rsidR="009D6192" w:rsidRPr="00E448BD" w:rsidRDefault="009D6192" w:rsidP="00E252E7">
            <w:pPr>
              <w:spacing w:before="60" w:after="60"/>
              <w:jc w:val="center"/>
              <w:rPr>
                <w:sz w:val="20"/>
                <w:szCs w:val="20"/>
              </w:rPr>
            </w:pPr>
            <w:r w:rsidRPr="00E448BD">
              <w:rPr>
                <w:rFonts w:ascii="Aptos Narrow" w:hAnsi="Aptos Narrow"/>
                <w:sz w:val="20"/>
                <w:szCs w:val="20"/>
              </w:rPr>
              <w:t>1</w:t>
            </w:r>
            <w:r>
              <w:rPr>
                <w:rFonts w:ascii="Aptos Narrow" w:hAnsi="Aptos Narrow"/>
                <w:sz w:val="20"/>
                <w:szCs w:val="20"/>
              </w:rPr>
              <w:t>4</w:t>
            </w:r>
            <w:r w:rsidRPr="00E448BD">
              <w:rPr>
                <w:rFonts w:ascii="Aptos Narrow" w:hAnsi="Aptos Narrow"/>
                <w:sz w:val="20"/>
                <w:szCs w:val="20"/>
              </w:rPr>
              <w:t>,</w:t>
            </w:r>
            <w:r>
              <w:rPr>
                <w:rFonts w:ascii="Aptos Narrow" w:hAnsi="Aptos Narrow"/>
                <w:sz w:val="20"/>
                <w:szCs w:val="20"/>
              </w:rPr>
              <w:t>48</w:t>
            </w:r>
            <w:r w:rsidRPr="00E448BD">
              <w:rPr>
                <w:rFonts w:ascii="Aptos Narrow" w:hAnsi="Aptos Narrow"/>
                <w:sz w:val="20"/>
                <w:szCs w:val="20"/>
              </w:rPr>
              <w:t>%</w:t>
            </w:r>
          </w:p>
        </w:tc>
        <w:tc>
          <w:tcPr>
            <w:tcW w:w="1843" w:type="dxa"/>
            <w:tcBorders>
              <w:left w:val="single" w:sz="4" w:space="0" w:color="FFFFFF"/>
            </w:tcBorders>
            <w:vAlign w:val="bottom"/>
          </w:tcPr>
          <w:p w14:paraId="43439C27" w14:textId="45E3C542" w:rsidR="009D6192" w:rsidRPr="00E448BD" w:rsidRDefault="009D6192" w:rsidP="00E252E7">
            <w:pPr>
              <w:spacing w:before="60" w:after="60"/>
              <w:jc w:val="center"/>
              <w:rPr>
                <w:sz w:val="20"/>
                <w:szCs w:val="20"/>
              </w:rPr>
            </w:pPr>
            <w:r w:rsidRPr="00E448BD">
              <w:rPr>
                <w:rFonts w:ascii="Aptos Narrow" w:hAnsi="Aptos Narrow"/>
                <w:sz w:val="20"/>
                <w:szCs w:val="20"/>
              </w:rPr>
              <w:t>1</w:t>
            </w:r>
            <w:r>
              <w:rPr>
                <w:rFonts w:ascii="Aptos Narrow" w:hAnsi="Aptos Narrow"/>
                <w:sz w:val="20"/>
                <w:szCs w:val="20"/>
              </w:rPr>
              <w:t>5</w:t>
            </w:r>
            <w:r w:rsidRPr="00E448BD">
              <w:rPr>
                <w:rFonts w:ascii="Aptos Narrow" w:hAnsi="Aptos Narrow"/>
                <w:sz w:val="20"/>
                <w:szCs w:val="20"/>
              </w:rPr>
              <w:t>,</w:t>
            </w:r>
            <w:r>
              <w:rPr>
                <w:rFonts w:ascii="Aptos Narrow" w:hAnsi="Aptos Narrow"/>
                <w:sz w:val="20"/>
                <w:szCs w:val="20"/>
              </w:rPr>
              <w:t>06</w:t>
            </w:r>
            <w:r w:rsidRPr="00E448BD">
              <w:rPr>
                <w:rFonts w:ascii="Aptos Narrow" w:hAnsi="Aptos Narrow"/>
                <w:sz w:val="20"/>
                <w:szCs w:val="20"/>
              </w:rPr>
              <w:t>%</w:t>
            </w:r>
          </w:p>
        </w:tc>
        <w:tc>
          <w:tcPr>
            <w:tcW w:w="1843" w:type="dxa"/>
            <w:tcBorders>
              <w:left w:val="single" w:sz="4" w:space="0" w:color="FFFFFF"/>
            </w:tcBorders>
            <w:vAlign w:val="bottom"/>
          </w:tcPr>
          <w:p w14:paraId="13CA5D09" w14:textId="5398B28F" w:rsidR="009D6192" w:rsidRPr="00E448BD" w:rsidRDefault="009D6192" w:rsidP="00E252E7">
            <w:pPr>
              <w:spacing w:before="60" w:after="60"/>
              <w:jc w:val="center"/>
              <w:rPr>
                <w:sz w:val="20"/>
                <w:szCs w:val="20"/>
              </w:rPr>
            </w:pPr>
            <w:r w:rsidRPr="00E448BD">
              <w:rPr>
                <w:rFonts w:ascii="Aptos Narrow" w:hAnsi="Aptos Narrow"/>
                <w:b/>
                <w:bCs/>
                <w:sz w:val="20"/>
                <w:szCs w:val="20"/>
              </w:rPr>
              <w:t>1</w:t>
            </w:r>
            <w:r>
              <w:rPr>
                <w:rFonts w:ascii="Aptos Narrow" w:hAnsi="Aptos Narrow"/>
                <w:b/>
                <w:bCs/>
                <w:sz w:val="20"/>
                <w:szCs w:val="20"/>
              </w:rPr>
              <w:t>4</w:t>
            </w:r>
            <w:r w:rsidRPr="00E448BD">
              <w:rPr>
                <w:rFonts w:ascii="Aptos Narrow" w:hAnsi="Aptos Narrow"/>
                <w:b/>
                <w:bCs/>
                <w:sz w:val="20"/>
                <w:szCs w:val="20"/>
              </w:rPr>
              <w:t>,</w:t>
            </w:r>
            <w:r>
              <w:rPr>
                <w:rFonts w:ascii="Aptos Narrow" w:hAnsi="Aptos Narrow"/>
                <w:b/>
                <w:bCs/>
                <w:sz w:val="20"/>
                <w:szCs w:val="20"/>
              </w:rPr>
              <w:t>89</w:t>
            </w:r>
            <w:r w:rsidRPr="00E448BD">
              <w:rPr>
                <w:rFonts w:ascii="Aptos Narrow" w:hAnsi="Aptos Narrow"/>
                <w:b/>
                <w:bCs/>
                <w:sz w:val="20"/>
                <w:szCs w:val="20"/>
              </w:rPr>
              <w:t>%</w:t>
            </w:r>
          </w:p>
        </w:tc>
      </w:tr>
      <w:tr w:rsidR="009D6192" w:rsidRPr="00CB5D4D" w14:paraId="6FC0B991" w14:textId="77777777" w:rsidTr="00E252E7">
        <w:tc>
          <w:tcPr>
            <w:tcW w:w="1673" w:type="dxa"/>
            <w:tcBorders>
              <w:right w:val="single" w:sz="4" w:space="0" w:color="FFFFFF"/>
            </w:tcBorders>
            <w:shd w:val="clear" w:color="auto" w:fill="00B0F0"/>
            <w:vAlign w:val="center"/>
          </w:tcPr>
          <w:p w14:paraId="5B0A75DD" w14:textId="77777777" w:rsidR="009D6192" w:rsidRPr="006B0F5F" w:rsidRDefault="009D6192" w:rsidP="00E252E7">
            <w:pPr>
              <w:autoSpaceDE w:val="0"/>
              <w:autoSpaceDN w:val="0"/>
              <w:adjustRightInd w:val="0"/>
              <w:spacing w:before="60" w:after="60"/>
              <w:jc w:val="center"/>
              <w:rPr>
                <w:b/>
                <w:color w:val="000000"/>
                <w:sz w:val="18"/>
                <w:szCs w:val="18"/>
              </w:rPr>
            </w:pPr>
            <w:r w:rsidRPr="006B0F5F">
              <w:rPr>
                <w:b/>
                <w:color w:val="000000"/>
                <w:sz w:val="18"/>
                <w:szCs w:val="18"/>
              </w:rPr>
              <w:t>4</w:t>
            </w:r>
          </w:p>
        </w:tc>
        <w:tc>
          <w:tcPr>
            <w:tcW w:w="1984" w:type="dxa"/>
            <w:tcBorders>
              <w:left w:val="single" w:sz="4" w:space="0" w:color="FFFFFF"/>
            </w:tcBorders>
            <w:shd w:val="clear" w:color="auto" w:fill="00B0F0"/>
            <w:vAlign w:val="bottom"/>
          </w:tcPr>
          <w:p w14:paraId="3B588F01" w14:textId="37DB968D" w:rsidR="009D6192" w:rsidRPr="00E7150F" w:rsidRDefault="009D6192" w:rsidP="00E252E7">
            <w:pPr>
              <w:spacing w:before="60" w:after="60"/>
              <w:jc w:val="center"/>
              <w:rPr>
                <w:sz w:val="20"/>
                <w:szCs w:val="20"/>
              </w:rPr>
            </w:pPr>
            <w:r w:rsidRPr="00E7150F">
              <w:rPr>
                <w:rFonts w:ascii="Aptos Narrow" w:hAnsi="Aptos Narrow"/>
                <w:sz w:val="20"/>
                <w:szCs w:val="20"/>
              </w:rPr>
              <w:t>1</w:t>
            </w:r>
            <w:r>
              <w:rPr>
                <w:rFonts w:ascii="Aptos Narrow" w:hAnsi="Aptos Narrow"/>
                <w:sz w:val="20"/>
                <w:szCs w:val="20"/>
              </w:rPr>
              <w:t>3</w:t>
            </w:r>
            <w:r w:rsidRPr="00E7150F">
              <w:rPr>
                <w:rFonts w:ascii="Aptos Narrow" w:hAnsi="Aptos Narrow"/>
                <w:sz w:val="20"/>
                <w:szCs w:val="20"/>
              </w:rPr>
              <w:t>,</w:t>
            </w:r>
            <w:r>
              <w:rPr>
                <w:rFonts w:ascii="Aptos Narrow" w:hAnsi="Aptos Narrow"/>
                <w:sz w:val="20"/>
                <w:szCs w:val="20"/>
              </w:rPr>
              <w:t>18</w:t>
            </w:r>
            <w:r w:rsidRPr="00E7150F">
              <w:rPr>
                <w:rFonts w:ascii="Aptos Narrow" w:hAnsi="Aptos Narrow"/>
                <w:sz w:val="20"/>
                <w:szCs w:val="20"/>
              </w:rPr>
              <w:t>%</w:t>
            </w:r>
          </w:p>
        </w:tc>
        <w:tc>
          <w:tcPr>
            <w:tcW w:w="1842" w:type="dxa"/>
            <w:tcBorders>
              <w:left w:val="single" w:sz="4" w:space="0" w:color="FFFFFF"/>
            </w:tcBorders>
            <w:shd w:val="clear" w:color="auto" w:fill="00B0F0"/>
            <w:vAlign w:val="bottom"/>
          </w:tcPr>
          <w:p w14:paraId="4F72EC88" w14:textId="7E2B601B" w:rsidR="009D6192" w:rsidRPr="00E448BD" w:rsidRDefault="009D6192" w:rsidP="00E252E7">
            <w:pPr>
              <w:spacing w:before="60" w:after="60"/>
              <w:jc w:val="center"/>
              <w:rPr>
                <w:sz w:val="20"/>
                <w:szCs w:val="20"/>
              </w:rPr>
            </w:pPr>
            <w:r w:rsidRPr="00E448BD">
              <w:rPr>
                <w:rFonts w:ascii="Aptos Narrow" w:hAnsi="Aptos Narrow"/>
                <w:sz w:val="20"/>
                <w:szCs w:val="20"/>
              </w:rPr>
              <w:t>8,</w:t>
            </w:r>
            <w:r>
              <w:rPr>
                <w:rFonts w:ascii="Aptos Narrow" w:hAnsi="Aptos Narrow"/>
                <w:sz w:val="20"/>
                <w:szCs w:val="20"/>
              </w:rPr>
              <w:t>19</w:t>
            </w:r>
            <w:r w:rsidRPr="00E448BD">
              <w:rPr>
                <w:rFonts w:ascii="Aptos Narrow" w:hAnsi="Aptos Narrow"/>
                <w:sz w:val="20"/>
                <w:szCs w:val="20"/>
              </w:rPr>
              <w:t>%</w:t>
            </w:r>
          </w:p>
        </w:tc>
        <w:tc>
          <w:tcPr>
            <w:tcW w:w="1843" w:type="dxa"/>
            <w:tcBorders>
              <w:left w:val="single" w:sz="4" w:space="0" w:color="FFFFFF"/>
            </w:tcBorders>
            <w:shd w:val="clear" w:color="auto" w:fill="00B0F0"/>
            <w:vAlign w:val="bottom"/>
          </w:tcPr>
          <w:p w14:paraId="06E90F14" w14:textId="6112F78C" w:rsidR="009D6192" w:rsidRPr="00E448BD" w:rsidRDefault="009D6192" w:rsidP="00E252E7">
            <w:pPr>
              <w:spacing w:before="60" w:after="60"/>
              <w:jc w:val="center"/>
              <w:rPr>
                <w:sz w:val="20"/>
                <w:szCs w:val="20"/>
              </w:rPr>
            </w:pPr>
            <w:r w:rsidRPr="00E448BD">
              <w:rPr>
                <w:rFonts w:ascii="Aptos Narrow" w:hAnsi="Aptos Narrow"/>
                <w:sz w:val="20"/>
                <w:szCs w:val="20"/>
              </w:rPr>
              <w:t>9,</w:t>
            </w:r>
            <w:r>
              <w:rPr>
                <w:rFonts w:ascii="Aptos Narrow" w:hAnsi="Aptos Narrow"/>
                <w:sz w:val="20"/>
                <w:szCs w:val="20"/>
              </w:rPr>
              <w:t>75</w:t>
            </w:r>
            <w:r w:rsidRPr="00E448BD">
              <w:rPr>
                <w:rFonts w:ascii="Aptos Narrow" w:hAnsi="Aptos Narrow"/>
                <w:sz w:val="20"/>
                <w:szCs w:val="20"/>
              </w:rPr>
              <w:t>%</w:t>
            </w:r>
          </w:p>
        </w:tc>
        <w:tc>
          <w:tcPr>
            <w:tcW w:w="1843" w:type="dxa"/>
            <w:tcBorders>
              <w:left w:val="single" w:sz="4" w:space="0" w:color="FFFFFF"/>
            </w:tcBorders>
            <w:shd w:val="clear" w:color="auto" w:fill="00B0F0"/>
            <w:vAlign w:val="bottom"/>
          </w:tcPr>
          <w:p w14:paraId="35F4146F" w14:textId="0189A544" w:rsidR="009D6192" w:rsidRPr="00E448BD" w:rsidRDefault="009D6192" w:rsidP="00E252E7">
            <w:pPr>
              <w:spacing w:before="60" w:after="60"/>
              <w:jc w:val="center"/>
              <w:rPr>
                <w:sz w:val="20"/>
                <w:szCs w:val="20"/>
              </w:rPr>
            </w:pPr>
            <w:r>
              <w:rPr>
                <w:rFonts w:ascii="Aptos Narrow" w:hAnsi="Aptos Narrow"/>
                <w:b/>
                <w:bCs/>
                <w:sz w:val="20"/>
                <w:szCs w:val="20"/>
              </w:rPr>
              <w:t>9</w:t>
            </w:r>
            <w:r w:rsidRPr="00E448BD">
              <w:rPr>
                <w:rFonts w:ascii="Aptos Narrow" w:hAnsi="Aptos Narrow"/>
                <w:b/>
                <w:bCs/>
                <w:sz w:val="20"/>
                <w:szCs w:val="20"/>
              </w:rPr>
              <w:t>,</w:t>
            </w:r>
            <w:r>
              <w:rPr>
                <w:rFonts w:ascii="Aptos Narrow" w:hAnsi="Aptos Narrow"/>
                <w:b/>
                <w:bCs/>
                <w:sz w:val="20"/>
                <w:szCs w:val="20"/>
              </w:rPr>
              <w:t>68</w:t>
            </w:r>
            <w:r w:rsidRPr="00E448BD">
              <w:rPr>
                <w:rFonts w:ascii="Aptos Narrow" w:hAnsi="Aptos Narrow"/>
                <w:b/>
                <w:bCs/>
                <w:sz w:val="20"/>
                <w:szCs w:val="20"/>
              </w:rPr>
              <w:t>%</w:t>
            </w:r>
          </w:p>
        </w:tc>
      </w:tr>
      <w:tr w:rsidR="009D6192" w:rsidRPr="00CB5D4D" w14:paraId="3DB98D7E" w14:textId="77777777" w:rsidTr="00E252E7">
        <w:tc>
          <w:tcPr>
            <w:tcW w:w="1673" w:type="dxa"/>
            <w:tcBorders>
              <w:right w:val="single" w:sz="4" w:space="0" w:color="FFFFFF"/>
            </w:tcBorders>
            <w:vAlign w:val="center"/>
          </w:tcPr>
          <w:p w14:paraId="4F9BE84F" w14:textId="77777777" w:rsidR="009D6192" w:rsidRPr="006B0F5F" w:rsidRDefault="009D6192" w:rsidP="00E252E7">
            <w:pPr>
              <w:autoSpaceDE w:val="0"/>
              <w:autoSpaceDN w:val="0"/>
              <w:adjustRightInd w:val="0"/>
              <w:spacing w:before="60" w:after="60"/>
              <w:jc w:val="center"/>
              <w:rPr>
                <w:b/>
                <w:color w:val="000000"/>
                <w:sz w:val="18"/>
                <w:szCs w:val="18"/>
              </w:rPr>
            </w:pPr>
            <w:r w:rsidRPr="006B0F5F">
              <w:rPr>
                <w:b/>
                <w:color w:val="000000"/>
                <w:sz w:val="18"/>
                <w:szCs w:val="18"/>
              </w:rPr>
              <w:t>5 i więcej</w:t>
            </w:r>
          </w:p>
        </w:tc>
        <w:tc>
          <w:tcPr>
            <w:tcW w:w="1984" w:type="dxa"/>
            <w:tcBorders>
              <w:left w:val="single" w:sz="4" w:space="0" w:color="FFFFFF"/>
            </w:tcBorders>
            <w:vAlign w:val="bottom"/>
          </w:tcPr>
          <w:p w14:paraId="2B2C09A0" w14:textId="47AA112D" w:rsidR="009D6192" w:rsidRPr="00E7150F" w:rsidRDefault="009D6192" w:rsidP="00E252E7">
            <w:pPr>
              <w:spacing w:before="60" w:after="60"/>
              <w:jc w:val="center"/>
              <w:rPr>
                <w:sz w:val="20"/>
                <w:szCs w:val="20"/>
              </w:rPr>
            </w:pPr>
            <w:r w:rsidRPr="00E7150F">
              <w:rPr>
                <w:rFonts w:ascii="Aptos Narrow" w:hAnsi="Aptos Narrow"/>
                <w:sz w:val="20"/>
                <w:szCs w:val="20"/>
              </w:rPr>
              <w:t>4</w:t>
            </w:r>
            <w:r>
              <w:rPr>
                <w:rFonts w:ascii="Aptos Narrow" w:hAnsi="Aptos Narrow"/>
                <w:sz w:val="20"/>
                <w:szCs w:val="20"/>
              </w:rPr>
              <w:t>4</w:t>
            </w:r>
            <w:r w:rsidRPr="00E7150F">
              <w:rPr>
                <w:rFonts w:ascii="Aptos Narrow" w:hAnsi="Aptos Narrow"/>
                <w:sz w:val="20"/>
                <w:szCs w:val="20"/>
              </w:rPr>
              <w:t>,</w:t>
            </w:r>
            <w:r>
              <w:rPr>
                <w:rFonts w:ascii="Aptos Narrow" w:hAnsi="Aptos Narrow"/>
                <w:sz w:val="20"/>
                <w:szCs w:val="20"/>
              </w:rPr>
              <w:t>39</w:t>
            </w:r>
            <w:r w:rsidRPr="00E7150F">
              <w:rPr>
                <w:rFonts w:ascii="Aptos Narrow" w:hAnsi="Aptos Narrow"/>
                <w:sz w:val="20"/>
                <w:szCs w:val="20"/>
              </w:rPr>
              <w:t>%</w:t>
            </w:r>
          </w:p>
        </w:tc>
        <w:tc>
          <w:tcPr>
            <w:tcW w:w="1842" w:type="dxa"/>
            <w:tcBorders>
              <w:left w:val="single" w:sz="4" w:space="0" w:color="FFFFFF"/>
            </w:tcBorders>
            <w:vAlign w:val="bottom"/>
          </w:tcPr>
          <w:p w14:paraId="5379FA51" w14:textId="5C989B6A" w:rsidR="009D6192" w:rsidRPr="00E448BD" w:rsidRDefault="009D6192" w:rsidP="00E252E7">
            <w:pPr>
              <w:spacing w:before="60" w:after="60"/>
              <w:jc w:val="center"/>
              <w:rPr>
                <w:sz w:val="20"/>
                <w:szCs w:val="20"/>
              </w:rPr>
            </w:pPr>
            <w:r>
              <w:rPr>
                <w:rFonts w:ascii="Aptos Narrow" w:hAnsi="Aptos Narrow"/>
                <w:sz w:val="20"/>
                <w:szCs w:val="20"/>
              </w:rPr>
              <w:t>10</w:t>
            </w:r>
            <w:r w:rsidRPr="00E448BD">
              <w:rPr>
                <w:rFonts w:ascii="Aptos Narrow" w:hAnsi="Aptos Narrow"/>
                <w:sz w:val="20"/>
                <w:szCs w:val="20"/>
              </w:rPr>
              <w:t>,</w:t>
            </w:r>
            <w:r>
              <w:rPr>
                <w:rFonts w:ascii="Aptos Narrow" w:hAnsi="Aptos Narrow"/>
                <w:sz w:val="20"/>
                <w:szCs w:val="20"/>
              </w:rPr>
              <w:t>98</w:t>
            </w:r>
            <w:r w:rsidRPr="00E448BD">
              <w:rPr>
                <w:rFonts w:ascii="Aptos Narrow" w:hAnsi="Aptos Narrow"/>
                <w:sz w:val="20"/>
                <w:szCs w:val="20"/>
              </w:rPr>
              <w:t>%</w:t>
            </w:r>
          </w:p>
        </w:tc>
        <w:tc>
          <w:tcPr>
            <w:tcW w:w="1843" w:type="dxa"/>
            <w:tcBorders>
              <w:left w:val="single" w:sz="4" w:space="0" w:color="FFFFFF"/>
            </w:tcBorders>
            <w:vAlign w:val="bottom"/>
          </w:tcPr>
          <w:p w14:paraId="0984E24D" w14:textId="4075F02C" w:rsidR="009D6192" w:rsidRPr="00E448BD" w:rsidRDefault="009D6192" w:rsidP="00E252E7">
            <w:pPr>
              <w:spacing w:before="60" w:after="60"/>
              <w:jc w:val="center"/>
              <w:rPr>
                <w:sz w:val="20"/>
                <w:szCs w:val="20"/>
              </w:rPr>
            </w:pPr>
            <w:r>
              <w:rPr>
                <w:rFonts w:ascii="Aptos Narrow" w:hAnsi="Aptos Narrow"/>
                <w:sz w:val="20"/>
                <w:szCs w:val="20"/>
              </w:rPr>
              <w:t>17</w:t>
            </w:r>
            <w:r w:rsidRPr="00E448BD">
              <w:rPr>
                <w:rFonts w:ascii="Aptos Narrow" w:hAnsi="Aptos Narrow"/>
                <w:sz w:val="20"/>
                <w:szCs w:val="20"/>
              </w:rPr>
              <w:t>,</w:t>
            </w:r>
            <w:r>
              <w:rPr>
                <w:rFonts w:ascii="Aptos Narrow" w:hAnsi="Aptos Narrow"/>
                <w:sz w:val="20"/>
                <w:szCs w:val="20"/>
              </w:rPr>
              <w:t>50</w:t>
            </w:r>
            <w:r w:rsidRPr="00E448BD">
              <w:rPr>
                <w:rFonts w:ascii="Aptos Narrow" w:hAnsi="Aptos Narrow"/>
                <w:sz w:val="20"/>
                <w:szCs w:val="20"/>
              </w:rPr>
              <w:t>%</w:t>
            </w:r>
          </w:p>
        </w:tc>
        <w:tc>
          <w:tcPr>
            <w:tcW w:w="1843" w:type="dxa"/>
            <w:tcBorders>
              <w:left w:val="single" w:sz="4" w:space="0" w:color="FFFFFF"/>
            </w:tcBorders>
            <w:vAlign w:val="bottom"/>
          </w:tcPr>
          <w:p w14:paraId="49EA5487" w14:textId="0F95D251" w:rsidR="009D6192" w:rsidRPr="00E448BD" w:rsidRDefault="009D6192" w:rsidP="00E252E7">
            <w:pPr>
              <w:spacing w:before="60" w:after="60"/>
              <w:jc w:val="center"/>
              <w:rPr>
                <w:sz w:val="20"/>
                <w:szCs w:val="20"/>
              </w:rPr>
            </w:pPr>
            <w:r>
              <w:rPr>
                <w:rFonts w:ascii="Aptos Narrow" w:hAnsi="Aptos Narrow"/>
                <w:b/>
                <w:bCs/>
                <w:sz w:val="20"/>
                <w:szCs w:val="20"/>
              </w:rPr>
              <w:t>19</w:t>
            </w:r>
            <w:r w:rsidRPr="00E448BD">
              <w:rPr>
                <w:rFonts w:ascii="Aptos Narrow" w:hAnsi="Aptos Narrow"/>
                <w:b/>
                <w:bCs/>
                <w:sz w:val="20"/>
                <w:szCs w:val="20"/>
              </w:rPr>
              <w:t>,</w:t>
            </w:r>
            <w:r>
              <w:rPr>
                <w:rFonts w:ascii="Aptos Narrow" w:hAnsi="Aptos Narrow"/>
                <w:b/>
                <w:bCs/>
                <w:sz w:val="20"/>
                <w:szCs w:val="20"/>
              </w:rPr>
              <w:t>85</w:t>
            </w:r>
            <w:r w:rsidRPr="00E448BD">
              <w:rPr>
                <w:rFonts w:ascii="Aptos Narrow" w:hAnsi="Aptos Narrow"/>
                <w:b/>
                <w:bCs/>
                <w:sz w:val="20"/>
                <w:szCs w:val="20"/>
              </w:rPr>
              <w:t>%</w:t>
            </w:r>
          </w:p>
        </w:tc>
      </w:tr>
      <w:tr w:rsidR="009D6192" w:rsidRPr="00CB5D4D" w14:paraId="70427EFC" w14:textId="77777777" w:rsidTr="00E252E7">
        <w:tc>
          <w:tcPr>
            <w:tcW w:w="1673" w:type="dxa"/>
            <w:tcBorders>
              <w:right w:val="single" w:sz="4" w:space="0" w:color="FFFFFF"/>
            </w:tcBorders>
            <w:shd w:val="clear" w:color="auto" w:fill="00B0F0"/>
            <w:vAlign w:val="center"/>
          </w:tcPr>
          <w:p w14:paraId="1275FB6F" w14:textId="77777777" w:rsidR="009D6192" w:rsidRPr="006B0F5F" w:rsidRDefault="009D6192" w:rsidP="00E252E7">
            <w:pPr>
              <w:autoSpaceDE w:val="0"/>
              <w:autoSpaceDN w:val="0"/>
              <w:adjustRightInd w:val="0"/>
              <w:spacing w:before="60" w:after="60"/>
              <w:jc w:val="center"/>
              <w:rPr>
                <w:b/>
                <w:color w:val="000000"/>
                <w:sz w:val="18"/>
                <w:szCs w:val="18"/>
              </w:rPr>
            </w:pPr>
            <w:r w:rsidRPr="006B0F5F">
              <w:rPr>
                <w:b/>
                <w:color w:val="000000"/>
                <w:sz w:val="18"/>
                <w:szCs w:val="18"/>
              </w:rPr>
              <w:t>Razem</w:t>
            </w:r>
          </w:p>
        </w:tc>
        <w:tc>
          <w:tcPr>
            <w:tcW w:w="1984" w:type="dxa"/>
            <w:tcBorders>
              <w:left w:val="single" w:sz="4" w:space="0" w:color="FFFFFF"/>
            </w:tcBorders>
            <w:shd w:val="clear" w:color="auto" w:fill="00B0F0"/>
            <w:vAlign w:val="center"/>
          </w:tcPr>
          <w:p w14:paraId="533B90F0" w14:textId="77777777" w:rsidR="009D6192" w:rsidRPr="00CB5D4D" w:rsidRDefault="009D6192" w:rsidP="00E252E7">
            <w:pPr>
              <w:autoSpaceDE w:val="0"/>
              <w:autoSpaceDN w:val="0"/>
              <w:adjustRightInd w:val="0"/>
              <w:spacing w:before="60" w:after="60"/>
              <w:jc w:val="center"/>
              <w:rPr>
                <w:b/>
                <w:color w:val="000000"/>
                <w:sz w:val="18"/>
                <w:szCs w:val="18"/>
              </w:rPr>
            </w:pPr>
            <w:r w:rsidRPr="00CB5D4D">
              <w:rPr>
                <w:b/>
                <w:color w:val="000000"/>
                <w:sz w:val="18"/>
                <w:szCs w:val="18"/>
              </w:rPr>
              <w:t>100,00%</w:t>
            </w:r>
          </w:p>
        </w:tc>
        <w:tc>
          <w:tcPr>
            <w:tcW w:w="1842" w:type="dxa"/>
            <w:tcBorders>
              <w:left w:val="single" w:sz="4" w:space="0" w:color="FFFFFF"/>
            </w:tcBorders>
            <w:shd w:val="clear" w:color="auto" w:fill="00B0F0"/>
            <w:vAlign w:val="center"/>
          </w:tcPr>
          <w:p w14:paraId="2F342932" w14:textId="77777777" w:rsidR="009D6192" w:rsidRPr="00CB5D4D" w:rsidRDefault="009D6192" w:rsidP="00E252E7">
            <w:pPr>
              <w:autoSpaceDE w:val="0"/>
              <w:autoSpaceDN w:val="0"/>
              <w:adjustRightInd w:val="0"/>
              <w:spacing w:before="60" w:after="60"/>
              <w:jc w:val="center"/>
              <w:rPr>
                <w:b/>
                <w:color w:val="000000"/>
                <w:sz w:val="18"/>
                <w:szCs w:val="18"/>
              </w:rPr>
            </w:pPr>
            <w:r w:rsidRPr="00CB5D4D">
              <w:rPr>
                <w:b/>
                <w:color w:val="000000"/>
                <w:sz w:val="18"/>
                <w:szCs w:val="18"/>
              </w:rPr>
              <w:t>100,00%</w:t>
            </w:r>
          </w:p>
        </w:tc>
        <w:tc>
          <w:tcPr>
            <w:tcW w:w="1843" w:type="dxa"/>
            <w:tcBorders>
              <w:left w:val="single" w:sz="4" w:space="0" w:color="FFFFFF"/>
            </w:tcBorders>
            <w:shd w:val="clear" w:color="auto" w:fill="00B0F0"/>
            <w:vAlign w:val="center"/>
          </w:tcPr>
          <w:p w14:paraId="7F1D2D1D" w14:textId="77777777" w:rsidR="009D6192" w:rsidRPr="00CB5D4D" w:rsidRDefault="009D6192" w:rsidP="00E252E7">
            <w:pPr>
              <w:autoSpaceDE w:val="0"/>
              <w:autoSpaceDN w:val="0"/>
              <w:adjustRightInd w:val="0"/>
              <w:spacing w:before="60" w:after="60"/>
              <w:jc w:val="center"/>
              <w:rPr>
                <w:b/>
                <w:color w:val="000000"/>
                <w:sz w:val="18"/>
                <w:szCs w:val="18"/>
              </w:rPr>
            </w:pPr>
            <w:r w:rsidRPr="00CB5D4D">
              <w:rPr>
                <w:b/>
                <w:color w:val="000000"/>
                <w:sz w:val="18"/>
                <w:szCs w:val="18"/>
              </w:rPr>
              <w:t>100,00%</w:t>
            </w:r>
          </w:p>
        </w:tc>
        <w:tc>
          <w:tcPr>
            <w:tcW w:w="1843" w:type="dxa"/>
            <w:tcBorders>
              <w:left w:val="single" w:sz="4" w:space="0" w:color="FFFFFF"/>
            </w:tcBorders>
            <w:shd w:val="clear" w:color="auto" w:fill="00B0F0"/>
            <w:vAlign w:val="center"/>
          </w:tcPr>
          <w:p w14:paraId="1D58BC74" w14:textId="77777777" w:rsidR="009D6192" w:rsidRPr="00CB5D4D" w:rsidRDefault="009D6192" w:rsidP="00E252E7">
            <w:pPr>
              <w:autoSpaceDE w:val="0"/>
              <w:autoSpaceDN w:val="0"/>
              <w:adjustRightInd w:val="0"/>
              <w:spacing w:before="60" w:after="60"/>
              <w:jc w:val="center"/>
              <w:rPr>
                <w:b/>
                <w:color w:val="000000"/>
                <w:sz w:val="18"/>
                <w:szCs w:val="18"/>
              </w:rPr>
            </w:pPr>
            <w:r w:rsidRPr="00CB5D4D">
              <w:rPr>
                <w:b/>
                <w:color w:val="000000"/>
                <w:sz w:val="18"/>
                <w:szCs w:val="18"/>
              </w:rPr>
              <w:t>100,00%</w:t>
            </w:r>
          </w:p>
        </w:tc>
      </w:tr>
    </w:tbl>
    <w:p w14:paraId="420E8960" w14:textId="14D4120D" w:rsidR="009D6192" w:rsidRPr="000F5CC0" w:rsidRDefault="009D6192" w:rsidP="009D6192">
      <w:pPr>
        <w:spacing w:before="240" w:line="360" w:lineRule="auto"/>
        <w:rPr>
          <w:szCs w:val="22"/>
        </w:rPr>
      </w:pPr>
      <w:r w:rsidRPr="000F5CC0">
        <w:rPr>
          <w:szCs w:val="22"/>
        </w:rPr>
        <w:t xml:space="preserve">W </w:t>
      </w:r>
      <w:r>
        <w:rPr>
          <w:szCs w:val="22"/>
        </w:rPr>
        <w:t>blisko</w:t>
      </w:r>
      <w:r w:rsidRPr="000F5CC0">
        <w:rPr>
          <w:szCs w:val="22"/>
        </w:rPr>
        <w:t xml:space="preserve"> </w:t>
      </w:r>
      <w:r>
        <w:rPr>
          <w:szCs w:val="22"/>
        </w:rPr>
        <w:t>66</w:t>
      </w:r>
      <w:r w:rsidRPr="000F5CC0">
        <w:rPr>
          <w:szCs w:val="22"/>
        </w:rPr>
        <w:t xml:space="preserve">% </w:t>
      </w:r>
      <w:r>
        <w:rPr>
          <w:szCs w:val="22"/>
        </w:rPr>
        <w:t>zamówień</w:t>
      </w:r>
      <w:r w:rsidRPr="000F5CC0">
        <w:rPr>
          <w:szCs w:val="22"/>
        </w:rPr>
        <w:t xml:space="preserve"> o wartości poniżej progów unijnych w 202</w:t>
      </w:r>
      <w:r>
        <w:rPr>
          <w:szCs w:val="22"/>
        </w:rPr>
        <w:t>5</w:t>
      </w:r>
      <w:r w:rsidRPr="000F5CC0">
        <w:rPr>
          <w:szCs w:val="22"/>
        </w:rPr>
        <w:t xml:space="preserve"> r. złożono więcej niż jedną ofertę (dla porównania – w 202</w:t>
      </w:r>
      <w:r>
        <w:rPr>
          <w:szCs w:val="22"/>
        </w:rPr>
        <w:t>4</w:t>
      </w:r>
      <w:r w:rsidRPr="000F5CC0">
        <w:rPr>
          <w:szCs w:val="22"/>
        </w:rPr>
        <w:t xml:space="preserve"> r. było to 6</w:t>
      </w:r>
      <w:r>
        <w:rPr>
          <w:szCs w:val="22"/>
        </w:rPr>
        <w:t>4</w:t>
      </w:r>
      <w:r w:rsidRPr="000F5CC0">
        <w:rPr>
          <w:szCs w:val="22"/>
        </w:rPr>
        <w:t xml:space="preserve">%). Najmniejszy udział </w:t>
      </w:r>
      <w:r>
        <w:rPr>
          <w:szCs w:val="22"/>
        </w:rPr>
        <w:t>zamówień</w:t>
      </w:r>
      <w:r w:rsidRPr="000F5CC0">
        <w:rPr>
          <w:szCs w:val="22"/>
        </w:rPr>
        <w:t xml:space="preserve"> z tylko jedną ofertą odnotowano w robotach budowlanych – 1</w:t>
      </w:r>
      <w:r>
        <w:rPr>
          <w:szCs w:val="22"/>
        </w:rPr>
        <w:t>1</w:t>
      </w:r>
      <w:r w:rsidRPr="000F5CC0">
        <w:rPr>
          <w:szCs w:val="22"/>
        </w:rPr>
        <w:t>% (w 202</w:t>
      </w:r>
      <w:r>
        <w:rPr>
          <w:szCs w:val="22"/>
        </w:rPr>
        <w:t>4</w:t>
      </w:r>
      <w:r w:rsidRPr="000F5CC0">
        <w:rPr>
          <w:szCs w:val="22"/>
        </w:rPr>
        <w:t xml:space="preserve"> r. – 1</w:t>
      </w:r>
      <w:r>
        <w:rPr>
          <w:szCs w:val="22"/>
        </w:rPr>
        <w:t>4</w:t>
      </w:r>
      <w:r w:rsidRPr="000F5CC0">
        <w:rPr>
          <w:szCs w:val="22"/>
        </w:rPr>
        <w:t xml:space="preserve">%). W przypadku dostaw </w:t>
      </w:r>
      <w:r>
        <w:rPr>
          <w:szCs w:val="22"/>
        </w:rPr>
        <w:t>zamówień</w:t>
      </w:r>
      <w:r w:rsidRPr="000F5CC0">
        <w:rPr>
          <w:szCs w:val="22"/>
        </w:rPr>
        <w:t xml:space="preserve"> z jedną ofertą było </w:t>
      </w:r>
      <w:r>
        <w:rPr>
          <w:szCs w:val="22"/>
        </w:rPr>
        <w:t>43</w:t>
      </w:r>
      <w:r w:rsidRPr="000F5CC0">
        <w:rPr>
          <w:szCs w:val="22"/>
        </w:rPr>
        <w:t>% (w 202</w:t>
      </w:r>
      <w:r>
        <w:rPr>
          <w:szCs w:val="22"/>
        </w:rPr>
        <w:t>4</w:t>
      </w:r>
      <w:r w:rsidRPr="000F5CC0">
        <w:rPr>
          <w:szCs w:val="22"/>
        </w:rPr>
        <w:t xml:space="preserve"> r. </w:t>
      </w:r>
      <w:r>
        <w:rPr>
          <w:szCs w:val="22"/>
        </w:rPr>
        <w:t>także</w:t>
      </w:r>
      <w:r w:rsidRPr="000F5CC0">
        <w:rPr>
          <w:szCs w:val="22"/>
        </w:rPr>
        <w:t xml:space="preserve"> 4</w:t>
      </w:r>
      <w:r>
        <w:rPr>
          <w:szCs w:val="22"/>
        </w:rPr>
        <w:t>3</w:t>
      </w:r>
      <w:r w:rsidRPr="000F5CC0">
        <w:rPr>
          <w:szCs w:val="22"/>
        </w:rPr>
        <w:t>%), natomiast w usługach –</w:t>
      </w:r>
      <w:r>
        <w:rPr>
          <w:szCs w:val="22"/>
        </w:rPr>
        <w:t xml:space="preserve"> </w:t>
      </w:r>
      <w:r w:rsidRPr="000F5CC0">
        <w:rPr>
          <w:szCs w:val="22"/>
        </w:rPr>
        <w:t>3</w:t>
      </w:r>
      <w:r>
        <w:rPr>
          <w:szCs w:val="22"/>
        </w:rPr>
        <w:t>5</w:t>
      </w:r>
      <w:r w:rsidRPr="000F5CC0">
        <w:rPr>
          <w:szCs w:val="22"/>
        </w:rPr>
        <w:t>% (w 202</w:t>
      </w:r>
      <w:r>
        <w:rPr>
          <w:szCs w:val="22"/>
        </w:rPr>
        <w:t>4</w:t>
      </w:r>
      <w:r w:rsidRPr="000F5CC0">
        <w:rPr>
          <w:szCs w:val="22"/>
        </w:rPr>
        <w:t xml:space="preserve"> r. – 3</w:t>
      </w:r>
      <w:r>
        <w:rPr>
          <w:szCs w:val="22"/>
        </w:rPr>
        <w:t>8</w:t>
      </w:r>
      <w:r w:rsidRPr="000F5CC0">
        <w:rPr>
          <w:szCs w:val="22"/>
        </w:rPr>
        <w:t>%).</w:t>
      </w:r>
    </w:p>
    <w:p w14:paraId="5DF83060" w14:textId="5E74FF07" w:rsidR="00AB2211" w:rsidRDefault="009D6192" w:rsidP="00A65870">
      <w:pPr>
        <w:spacing w:before="120" w:line="360" w:lineRule="auto"/>
        <w:rPr>
          <w:szCs w:val="22"/>
        </w:rPr>
      </w:pPr>
      <w:r w:rsidRPr="00511367">
        <w:rPr>
          <w:szCs w:val="22"/>
        </w:rPr>
        <w:lastRenderedPageBreak/>
        <w:t>Oferty były odrzucane w około 29% zamówień (w 2024 r. – 23%), przy czym średnio odrzucano 1,80 oferty na postępowanie (w 2024 r. – 1,75). Najwięcej odrzuconych ofert przypadało na przetargi na roboty budowlane – średnio 2,22 (w 2024 r. – 1,94). W postępowaniach na usługi odrzucano średnio 1,65 oferty (w 2024 r. – 1,69), a w dostawach – 1,61 oferty (w 2024 r. – 1,65).</w:t>
      </w:r>
    </w:p>
    <w:p w14:paraId="6BDFA5FB" w14:textId="53A4C56F" w:rsidR="00493683" w:rsidRPr="004876DE" w:rsidRDefault="004876DE" w:rsidP="00852522">
      <w:pPr>
        <w:pStyle w:val="Nagwek4"/>
      </w:pPr>
      <w:r w:rsidRPr="0075602D">
        <w:t xml:space="preserve">2. </w:t>
      </w:r>
      <w:r w:rsidR="00493683" w:rsidRPr="0075602D">
        <w:t xml:space="preserve">Zamówienia o </w:t>
      </w:r>
      <w:r w:rsidR="009E331A" w:rsidRPr="0075602D">
        <w:t>wartości równej lub przekraczającej</w:t>
      </w:r>
      <w:r w:rsidR="00493683" w:rsidRPr="0075602D">
        <w:t xml:space="preserve"> progi unijne</w:t>
      </w:r>
    </w:p>
    <w:p w14:paraId="16E12159" w14:textId="69A6CBD0" w:rsidR="009D6192" w:rsidRPr="00676A59" w:rsidRDefault="009D6192" w:rsidP="009D6192">
      <w:pPr>
        <w:pStyle w:val="Legenda"/>
      </w:pPr>
      <w:bookmarkStart w:id="91" w:name="_Toc230687668"/>
      <w:bookmarkStart w:id="92" w:name="_Toc233203339"/>
      <w:r w:rsidRPr="006C14EB">
        <w:t xml:space="preserve">Rys. </w:t>
      </w:r>
      <w:r>
        <w:fldChar w:fldCharType="begin"/>
      </w:r>
      <w:r>
        <w:instrText>SEQ Rys. \* ARABIC</w:instrText>
      </w:r>
      <w:r>
        <w:fldChar w:fldCharType="separate"/>
      </w:r>
      <w:r w:rsidR="00017C65">
        <w:rPr>
          <w:noProof/>
        </w:rPr>
        <w:t>18</w:t>
      </w:r>
      <w:r>
        <w:fldChar w:fldCharType="end"/>
      </w:r>
      <w:r w:rsidRPr="006C14EB">
        <w:t xml:space="preserve">. </w:t>
      </w:r>
      <w:r w:rsidRPr="00CC2AD4">
        <w:t xml:space="preserve">Średnia liczba składanych ofert </w:t>
      </w:r>
      <w:r w:rsidRPr="00227EAE">
        <w:t>(</w:t>
      </w:r>
      <w:r w:rsidRPr="005F1718">
        <w:t>postępowania o wartości równej lub przekraczającej progi unijne</w:t>
      </w:r>
      <w:r w:rsidRPr="00227EAE">
        <w:t>)</w:t>
      </w:r>
      <w:bookmarkEnd w:id="91"/>
      <w:bookmarkEnd w:id="92"/>
    </w:p>
    <w:p w14:paraId="55C92228" w14:textId="77777777" w:rsidR="009D6192" w:rsidRDefault="009D6192" w:rsidP="009D6192">
      <w:pPr>
        <w:spacing w:line="360" w:lineRule="auto"/>
        <w:jc w:val="left"/>
        <w:rPr>
          <w:szCs w:val="22"/>
        </w:rPr>
      </w:pPr>
      <w:r>
        <w:rPr>
          <w:noProof/>
          <w:szCs w:val="22"/>
        </w:rPr>
        <w:drawing>
          <wp:inline distT="0" distB="0" distL="0" distR="0" wp14:anchorId="4F11B997" wp14:editId="3C10F66B">
            <wp:extent cx="5486400" cy="3200400"/>
            <wp:effectExtent l="0" t="0" r="0" b="0"/>
            <wp:docPr id="1074977733" name="Chart 10" descr="Średnia liczba składanych ofert (postępowania o wartości równej lub przekraczającej progi unijne)" title="Średnia liczba składanych ofert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03035AB" w14:textId="77C27015" w:rsidR="009D6192" w:rsidRDefault="009D6192" w:rsidP="009D6192">
      <w:pPr>
        <w:spacing w:before="240" w:line="360" w:lineRule="auto"/>
        <w:jc w:val="left"/>
        <w:rPr>
          <w:szCs w:val="22"/>
        </w:rPr>
      </w:pPr>
      <w:r w:rsidRPr="009B13B2">
        <w:rPr>
          <w:szCs w:val="22"/>
        </w:rPr>
        <w:t xml:space="preserve">Dane zawarte w rocznych sprawozdaniach o udzielonych zamówieniach wskazują, </w:t>
      </w:r>
      <w:r w:rsidRPr="009B13B2">
        <w:rPr>
          <w:szCs w:val="22"/>
        </w:rPr>
        <w:br/>
        <w:t>że średnia liczba ofert w postępowaniach o udzielenie zamówienia publicznego o wartości równej lub przekraczającej progi unijne wynosiła 2,4</w:t>
      </w:r>
      <w:r>
        <w:rPr>
          <w:szCs w:val="22"/>
        </w:rPr>
        <w:t>7</w:t>
      </w:r>
      <w:r w:rsidRPr="009B13B2">
        <w:rPr>
          <w:szCs w:val="22"/>
        </w:rPr>
        <w:t xml:space="preserve"> oferty</w:t>
      </w:r>
      <w:r w:rsidRPr="009B13B2">
        <w:rPr>
          <w:rStyle w:val="Odwoanieprzypisudolnego"/>
          <w:szCs w:val="22"/>
        </w:rPr>
        <w:footnoteReference w:id="7"/>
      </w:r>
      <w:r w:rsidRPr="009B13B2">
        <w:rPr>
          <w:szCs w:val="22"/>
        </w:rPr>
        <w:t xml:space="preserve"> (</w:t>
      </w:r>
      <w:r>
        <w:rPr>
          <w:szCs w:val="22"/>
        </w:rPr>
        <w:t>podobnie</w:t>
      </w:r>
      <w:r w:rsidRPr="009B13B2">
        <w:rPr>
          <w:szCs w:val="22"/>
        </w:rPr>
        <w:t xml:space="preserve"> w 2024 r.).</w:t>
      </w:r>
    </w:p>
    <w:p w14:paraId="7487B27E" w14:textId="43B823AE" w:rsidR="009D6192" w:rsidRDefault="009D6192" w:rsidP="009D6192">
      <w:pPr>
        <w:pStyle w:val="Legenda"/>
      </w:pPr>
      <w:bookmarkStart w:id="93" w:name="_Toc230687661"/>
      <w:bookmarkStart w:id="94" w:name="_Toc233203378"/>
      <w:r w:rsidRPr="00285B87">
        <w:t xml:space="preserve">Tab. </w:t>
      </w:r>
      <w:r>
        <w:fldChar w:fldCharType="begin"/>
      </w:r>
      <w:r>
        <w:instrText>SEQ Tab. \* ARABIC</w:instrText>
      </w:r>
      <w:r>
        <w:fldChar w:fldCharType="separate"/>
      </w:r>
      <w:r w:rsidR="00017C65">
        <w:rPr>
          <w:noProof/>
        </w:rPr>
        <w:t>6</w:t>
      </w:r>
      <w:r>
        <w:fldChar w:fldCharType="end"/>
      </w:r>
      <w:r w:rsidRPr="00285B87">
        <w:t xml:space="preserve">. Odsetek postępowań o udzielenie zamówienia publicznego </w:t>
      </w:r>
      <w:r>
        <w:t>z jedną złożoną ofertą</w:t>
      </w:r>
      <w:r w:rsidRPr="00285B87">
        <w:t xml:space="preserve"> (postępowania o wartości równej lub przekraczającej progi unijne)</w:t>
      </w:r>
      <w:bookmarkEnd w:id="93"/>
      <w:bookmarkEnd w:id="94"/>
    </w:p>
    <w:tbl>
      <w:tblPr>
        <w:tblW w:w="9185" w:type="dxa"/>
        <w:tblInd w:w="-5" w:type="dxa"/>
        <w:tblLayout w:type="fixed"/>
        <w:tblLook w:val="04A0" w:firstRow="1" w:lastRow="0" w:firstColumn="1" w:lastColumn="0" w:noHBand="0" w:noVBand="1"/>
        <w:tblCaption w:val="Odsetek postępowań o udzielenie zamówienia publicznego z jedną złożoną ofertą (postępowania o wartości równej lub przekraczającej progi unijne)"/>
        <w:tblDescription w:val="Odsetek postępowań o udzielenie zamówienia publicznego z jedną złożoną ofertą (postępowania o wartości równej lub przekraczającej progi unijne)"/>
      </w:tblPr>
      <w:tblGrid>
        <w:gridCol w:w="1673"/>
        <w:gridCol w:w="1984"/>
        <w:gridCol w:w="1842"/>
        <w:gridCol w:w="1843"/>
        <w:gridCol w:w="1843"/>
      </w:tblGrid>
      <w:tr w:rsidR="009D6192" w:rsidRPr="00842D79" w14:paraId="31423030" w14:textId="77777777" w:rsidTr="00E252E7">
        <w:trPr>
          <w:tblHeader/>
        </w:trPr>
        <w:tc>
          <w:tcPr>
            <w:tcW w:w="1673" w:type="dxa"/>
            <w:tcBorders>
              <w:right w:val="single" w:sz="4" w:space="0" w:color="FFFFFF"/>
            </w:tcBorders>
            <w:shd w:val="clear" w:color="auto" w:fill="002060"/>
            <w:vAlign w:val="center"/>
          </w:tcPr>
          <w:p w14:paraId="14D76FA8" w14:textId="77777777" w:rsidR="009D6192" w:rsidRPr="00660E7A" w:rsidRDefault="009D6192" w:rsidP="00E252E7">
            <w:pPr>
              <w:spacing w:before="60" w:after="60"/>
              <w:jc w:val="center"/>
              <w:rPr>
                <w:b/>
                <w:sz w:val="18"/>
                <w:szCs w:val="18"/>
              </w:rPr>
            </w:pPr>
            <w:r>
              <w:rPr>
                <w:b/>
                <w:sz w:val="18"/>
                <w:szCs w:val="18"/>
              </w:rPr>
              <w:t>L</w:t>
            </w:r>
            <w:r w:rsidRPr="00660E7A">
              <w:rPr>
                <w:b/>
                <w:sz w:val="18"/>
                <w:szCs w:val="18"/>
              </w:rPr>
              <w:t>iczba złożonych ofert</w:t>
            </w:r>
          </w:p>
        </w:tc>
        <w:tc>
          <w:tcPr>
            <w:tcW w:w="1984" w:type="dxa"/>
            <w:tcBorders>
              <w:left w:val="single" w:sz="4" w:space="0" w:color="FFFFFF"/>
            </w:tcBorders>
            <w:shd w:val="clear" w:color="auto" w:fill="002060"/>
            <w:vAlign w:val="center"/>
          </w:tcPr>
          <w:p w14:paraId="27E33874" w14:textId="77777777" w:rsidR="009D6192" w:rsidRPr="00842D79" w:rsidRDefault="009D6192" w:rsidP="00E252E7">
            <w:pPr>
              <w:spacing w:before="60" w:after="60"/>
              <w:jc w:val="center"/>
              <w:rPr>
                <w:b/>
                <w:sz w:val="18"/>
                <w:szCs w:val="18"/>
              </w:rPr>
            </w:pPr>
            <w:r w:rsidRPr="006B7DD5">
              <w:rPr>
                <w:b/>
                <w:sz w:val="18"/>
                <w:szCs w:val="18"/>
              </w:rPr>
              <w:t>Roboty budowlane</w:t>
            </w:r>
          </w:p>
        </w:tc>
        <w:tc>
          <w:tcPr>
            <w:tcW w:w="1842" w:type="dxa"/>
            <w:tcBorders>
              <w:left w:val="single" w:sz="4" w:space="0" w:color="FFFFFF"/>
            </w:tcBorders>
            <w:shd w:val="clear" w:color="auto" w:fill="002060"/>
            <w:vAlign w:val="center"/>
          </w:tcPr>
          <w:p w14:paraId="52F98B5D" w14:textId="77777777" w:rsidR="009D6192" w:rsidRPr="00842D79" w:rsidRDefault="009D6192" w:rsidP="00E252E7">
            <w:pPr>
              <w:spacing w:before="60" w:after="60"/>
              <w:jc w:val="center"/>
              <w:rPr>
                <w:b/>
                <w:sz w:val="18"/>
                <w:szCs w:val="18"/>
              </w:rPr>
            </w:pPr>
            <w:r w:rsidRPr="006B7DD5">
              <w:rPr>
                <w:b/>
                <w:sz w:val="18"/>
                <w:szCs w:val="18"/>
              </w:rPr>
              <w:t>Dostawy</w:t>
            </w:r>
          </w:p>
        </w:tc>
        <w:tc>
          <w:tcPr>
            <w:tcW w:w="1843" w:type="dxa"/>
            <w:tcBorders>
              <w:left w:val="single" w:sz="4" w:space="0" w:color="FFFFFF"/>
            </w:tcBorders>
            <w:shd w:val="clear" w:color="auto" w:fill="002060"/>
            <w:vAlign w:val="center"/>
          </w:tcPr>
          <w:p w14:paraId="4A6444BA" w14:textId="77777777" w:rsidR="009D6192" w:rsidRPr="00842D79" w:rsidRDefault="009D6192" w:rsidP="00E252E7">
            <w:pPr>
              <w:spacing w:before="60" w:after="60"/>
              <w:jc w:val="center"/>
              <w:rPr>
                <w:b/>
                <w:sz w:val="18"/>
                <w:szCs w:val="18"/>
              </w:rPr>
            </w:pPr>
            <w:r w:rsidRPr="006B7DD5">
              <w:rPr>
                <w:b/>
                <w:sz w:val="18"/>
                <w:szCs w:val="18"/>
              </w:rPr>
              <w:t>Usługi</w:t>
            </w:r>
          </w:p>
        </w:tc>
        <w:tc>
          <w:tcPr>
            <w:tcW w:w="1843" w:type="dxa"/>
            <w:tcBorders>
              <w:left w:val="single" w:sz="4" w:space="0" w:color="FFFFFF"/>
            </w:tcBorders>
            <w:shd w:val="clear" w:color="auto" w:fill="002060"/>
            <w:vAlign w:val="center"/>
          </w:tcPr>
          <w:p w14:paraId="03AD7A87" w14:textId="77777777" w:rsidR="009D6192" w:rsidRPr="00842D79" w:rsidRDefault="009D6192" w:rsidP="00E252E7">
            <w:pPr>
              <w:spacing w:before="60" w:after="60"/>
              <w:jc w:val="center"/>
              <w:rPr>
                <w:b/>
                <w:sz w:val="18"/>
                <w:szCs w:val="18"/>
              </w:rPr>
            </w:pPr>
            <w:r>
              <w:rPr>
                <w:b/>
                <w:sz w:val="18"/>
                <w:szCs w:val="18"/>
              </w:rPr>
              <w:t>Ogółem</w:t>
            </w:r>
          </w:p>
        </w:tc>
      </w:tr>
      <w:tr w:rsidR="009D6192" w:rsidRPr="00842D79" w14:paraId="0124C391" w14:textId="77777777" w:rsidTr="00E252E7">
        <w:tc>
          <w:tcPr>
            <w:tcW w:w="1673" w:type="dxa"/>
            <w:tcBorders>
              <w:right w:val="single" w:sz="4" w:space="0" w:color="FFFFFF"/>
            </w:tcBorders>
            <w:vAlign w:val="center"/>
          </w:tcPr>
          <w:p w14:paraId="533F5C2E" w14:textId="77777777" w:rsidR="009D6192" w:rsidRPr="00660E7A" w:rsidRDefault="009D6192" w:rsidP="00E252E7">
            <w:pPr>
              <w:autoSpaceDE w:val="0"/>
              <w:autoSpaceDN w:val="0"/>
              <w:adjustRightInd w:val="0"/>
              <w:spacing w:before="60" w:after="60"/>
              <w:jc w:val="center"/>
              <w:rPr>
                <w:b/>
                <w:color w:val="000000"/>
                <w:sz w:val="18"/>
                <w:szCs w:val="18"/>
              </w:rPr>
            </w:pPr>
            <w:r>
              <w:rPr>
                <w:b/>
                <w:color w:val="000000"/>
                <w:sz w:val="18"/>
                <w:szCs w:val="18"/>
              </w:rPr>
              <w:t>1</w:t>
            </w:r>
          </w:p>
        </w:tc>
        <w:tc>
          <w:tcPr>
            <w:tcW w:w="1984" w:type="dxa"/>
            <w:tcBorders>
              <w:left w:val="single" w:sz="4" w:space="0" w:color="FFFFFF"/>
            </w:tcBorders>
            <w:vAlign w:val="center"/>
          </w:tcPr>
          <w:p w14:paraId="40C03A23" w14:textId="77B19744" w:rsidR="009D6192" w:rsidRPr="00C61935" w:rsidRDefault="009D6192" w:rsidP="00E252E7">
            <w:pPr>
              <w:autoSpaceDE w:val="0"/>
              <w:autoSpaceDN w:val="0"/>
              <w:adjustRightInd w:val="0"/>
              <w:spacing w:before="60" w:after="60"/>
              <w:jc w:val="center"/>
              <w:rPr>
                <w:rFonts w:cs="Arial"/>
                <w:color w:val="000000"/>
                <w:sz w:val="18"/>
                <w:szCs w:val="18"/>
              </w:rPr>
            </w:pPr>
            <w:r>
              <w:rPr>
                <w:rFonts w:cs="Arial"/>
                <w:color w:val="000000"/>
                <w:sz w:val="18"/>
                <w:szCs w:val="18"/>
              </w:rPr>
              <w:t>9</w:t>
            </w:r>
            <w:r w:rsidRPr="00C61935">
              <w:rPr>
                <w:rFonts w:cs="Arial"/>
                <w:color w:val="000000"/>
                <w:sz w:val="18"/>
                <w:szCs w:val="18"/>
              </w:rPr>
              <w:t>,</w:t>
            </w:r>
            <w:r>
              <w:rPr>
                <w:rFonts w:cs="Arial"/>
                <w:color w:val="000000"/>
                <w:sz w:val="18"/>
                <w:szCs w:val="18"/>
              </w:rPr>
              <w:t>60</w:t>
            </w:r>
            <w:r w:rsidRPr="00C61935">
              <w:rPr>
                <w:rFonts w:cs="Arial"/>
                <w:color w:val="000000"/>
                <w:sz w:val="18"/>
                <w:szCs w:val="18"/>
              </w:rPr>
              <w:t>%</w:t>
            </w:r>
          </w:p>
        </w:tc>
        <w:tc>
          <w:tcPr>
            <w:tcW w:w="1842" w:type="dxa"/>
            <w:tcBorders>
              <w:left w:val="single" w:sz="4" w:space="0" w:color="FFFFFF"/>
            </w:tcBorders>
            <w:vAlign w:val="center"/>
          </w:tcPr>
          <w:p w14:paraId="298319FF" w14:textId="234A992B" w:rsidR="009D6192" w:rsidRPr="00C61935" w:rsidRDefault="009D6192" w:rsidP="00E252E7">
            <w:pPr>
              <w:autoSpaceDE w:val="0"/>
              <w:autoSpaceDN w:val="0"/>
              <w:adjustRightInd w:val="0"/>
              <w:spacing w:before="60" w:after="60"/>
              <w:jc w:val="center"/>
              <w:rPr>
                <w:rFonts w:cs="Arial"/>
                <w:color w:val="000000"/>
                <w:sz w:val="18"/>
                <w:szCs w:val="18"/>
              </w:rPr>
            </w:pPr>
            <w:r>
              <w:rPr>
                <w:rFonts w:cs="Arial"/>
                <w:color w:val="000000"/>
                <w:sz w:val="18"/>
                <w:szCs w:val="18"/>
              </w:rPr>
              <w:t>56</w:t>
            </w:r>
            <w:r w:rsidRPr="00C61935">
              <w:rPr>
                <w:rFonts w:cs="Arial"/>
                <w:color w:val="000000"/>
                <w:sz w:val="18"/>
                <w:szCs w:val="18"/>
              </w:rPr>
              <w:t>,</w:t>
            </w:r>
            <w:r>
              <w:rPr>
                <w:rFonts w:cs="Arial"/>
                <w:color w:val="000000"/>
                <w:sz w:val="18"/>
                <w:szCs w:val="18"/>
              </w:rPr>
              <w:t>70</w:t>
            </w:r>
            <w:r w:rsidRPr="00C61935">
              <w:rPr>
                <w:rFonts w:cs="Arial"/>
                <w:color w:val="000000"/>
                <w:sz w:val="18"/>
                <w:szCs w:val="18"/>
              </w:rPr>
              <w:t>%</w:t>
            </w:r>
          </w:p>
        </w:tc>
        <w:tc>
          <w:tcPr>
            <w:tcW w:w="1843" w:type="dxa"/>
            <w:tcBorders>
              <w:left w:val="single" w:sz="4" w:space="0" w:color="FFFFFF"/>
            </w:tcBorders>
            <w:vAlign w:val="center"/>
          </w:tcPr>
          <w:p w14:paraId="258917D7" w14:textId="3B8AFA68" w:rsidR="009D6192" w:rsidRPr="00C61935" w:rsidRDefault="009D6192" w:rsidP="00E252E7">
            <w:pPr>
              <w:autoSpaceDE w:val="0"/>
              <w:autoSpaceDN w:val="0"/>
              <w:adjustRightInd w:val="0"/>
              <w:spacing w:before="60" w:after="60"/>
              <w:jc w:val="center"/>
              <w:rPr>
                <w:rFonts w:cs="Arial"/>
                <w:color w:val="000000"/>
                <w:sz w:val="18"/>
                <w:szCs w:val="18"/>
              </w:rPr>
            </w:pPr>
            <w:r>
              <w:rPr>
                <w:rFonts w:cs="Arial"/>
                <w:color w:val="000000"/>
                <w:sz w:val="18"/>
                <w:szCs w:val="18"/>
              </w:rPr>
              <w:t>42</w:t>
            </w:r>
            <w:r w:rsidRPr="00C61935">
              <w:rPr>
                <w:rFonts w:cs="Arial"/>
                <w:color w:val="000000"/>
                <w:sz w:val="18"/>
                <w:szCs w:val="18"/>
              </w:rPr>
              <w:t>,</w:t>
            </w:r>
            <w:r>
              <w:rPr>
                <w:rFonts w:cs="Arial"/>
                <w:color w:val="000000"/>
                <w:sz w:val="18"/>
                <w:szCs w:val="18"/>
              </w:rPr>
              <w:t>40</w:t>
            </w:r>
            <w:r w:rsidRPr="00C61935">
              <w:rPr>
                <w:rFonts w:cs="Arial"/>
                <w:color w:val="000000"/>
                <w:sz w:val="18"/>
                <w:szCs w:val="18"/>
              </w:rPr>
              <w:t>%</w:t>
            </w:r>
          </w:p>
        </w:tc>
        <w:tc>
          <w:tcPr>
            <w:tcW w:w="1843" w:type="dxa"/>
            <w:tcBorders>
              <w:left w:val="single" w:sz="4" w:space="0" w:color="FFFFFF"/>
            </w:tcBorders>
            <w:vAlign w:val="center"/>
          </w:tcPr>
          <w:p w14:paraId="17646288" w14:textId="59819B04" w:rsidR="009D6192" w:rsidRPr="00C61935" w:rsidRDefault="009D6192" w:rsidP="00E252E7">
            <w:pPr>
              <w:autoSpaceDE w:val="0"/>
              <w:autoSpaceDN w:val="0"/>
              <w:adjustRightInd w:val="0"/>
              <w:spacing w:before="60" w:after="60"/>
              <w:jc w:val="center"/>
              <w:rPr>
                <w:rFonts w:cs="Arial"/>
                <w:color w:val="000000"/>
                <w:sz w:val="18"/>
                <w:szCs w:val="18"/>
              </w:rPr>
            </w:pPr>
            <w:r>
              <w:rPr>
                <w:rFonts w:cs="Arial"/>
                <w:color w:val="000000"/>
                <w:sz w:val="18"/>
                <w:szCs w:val="18"/>
              </w:rPr>
              <w:t>53</w:t>
            </w:r>
            <w:r w:rsidRPr="00C61935">
              <w:rPr>
                <w:rFonts w:cs="Arial"/>
                <w:color w:val="000000"/>
                <w:sz w:val="18"/>
                <w:szCs w:val="18"/>
              </w:rPr>
              <w:t>,</w:t>
            </w:r>
            <w:r>
              <w:rPr>
                <w:rFonts w:cs="Arial"/>
                <w:color w:val="000000"/>
                <w:sz w:val="18"/>
                <w:szCs w:val="18"/>
              </w:rPr>
              <w:t>60</w:t>
            </w:r>
            <w:r w:rsidRPr="00C61935">
              <w:rPr>
                <w:rFonts w:cs="Arial"/>
                <w:color w:val="000000"/>
                <w:sz w:val="18"/>
                <w:szCs w:val="18"/>
              </w:rPr>
              <w:t>%</w:t>
            </w:r>
          </w:p>
        </w:tc>
      </w:tr>
    </w:tbl>
    <w:p w14:paraId="7A6F4214" w14:textId="2B25990F" w:rsidR="009D6192" w:rsidRDefault="009D6192" w:rsidP="009D6192">
      <w:pPr>
        <w:spacing w:before="240" w:line="360" w:lineRule="auto"/>
        <w:jc w:val="left"/>
        <w:rPr>
          <w:szCs w:val="22"/>
        </w:rPr>
      </w:pPr>
      <w:r w:rsidRPr="004B1F0E">
        <w:rPr>
          <w:szCs w:val="22"/>
        </w:rPr>
        <w:t xml:space="preserve">W 2025 r. w </w:t>
      </w:r>
      <w:r>
        <w:rPr>
          <w:szCs w:val="22"/>
        </w:rPr>
        <w:t>ponad</w:t>
      </w:r>
      <w:r w:rsidRPr="004B1F0E">
        <w:rPr>
          <w:szCs w:val="22"/>
        </w:rPr>
        <w:t xml:space="preserve"> </w:t>
      </w:r>
      <w:r>
        <w:rPr>
          <w:szCs w:val="22"/>
        </w:rPr>
        <w:t>46</w:t>
      </w:r>
      <w:r w:rsidRPr="004B1F0E">
        <w:rPr>
          <w:szCs w:val="22"/>
        </w:rPr>
        <w:t>% (w 2024 r. – 51%) zamówień złożono więcej niż jedną ofertę, w tym w robotach budowlanych w 9</w:t>
      </w:r>
      <w:r>
        <w:rPr>
          <w:szCs w:val="22"/>
        </w:rPr>
        <w:t>0</w:t>
      </w:r>
      <w:r w:rsidRPr="004B1F0E">
        <w:rPr>
          <w:szCs w:val="22"/>
        </w:rPr>
        <w:t xml:space="preserve">% zamówień (w 2024 r. – 85%); w dostawach – </w:t>
      </w:r>
      <w:r>
        <w:rPr>
          <w:szCs w:val="22"/>
        </w:rPr>
        <w:t>43</w:t>
      </w:r>
      <w:r w:rsidRPr="004B1F0E">
        <w:rPr>
          <w:szCs w:val="22"/>
        </w:rPr>
        <w:t xml:space="preserve">% (w 2024 r. – 48%), w usługach – </w:t>
      </w:r>
      <w:r>
        <w:rPr>
          <w:szCs w:val="22"/>
        </w:rPr>
        <w:t>58</w:t>
      </w:r>
      <w:r w:rsidRPr="004B1F0E">
        <w:rPr>
          <w:szCs w:val="22"/>
        </w:rPr>
        <w:t>% (w 2024 r. – 62%).</w:t>
      </w:r>
    </w:p>
    <w:p w14:paraId="7A67549B" w14:textId="0A49A92B" w:rsidR="00AB2211" w:rsidRDefault="009D6192" w:rsidP="00A65870">
      <w:pPr>
        <w:spacing w:before="120" w:line="360" w:lineRule="auto"/>
        <w:jc w:val="left"/>
        <w:rPr>
          <w:szCs w:val="22"/>
        </w:rPr>
      </w:pPr>
      <w:r w:rsidRPr="00511367">
        <w:rPr>
          <w:szCs w:val="22"/>
        </w:rPr>
        <w:lastRenderedPageBreak/>
        <w:t xml:space="preserve">W ok. 26% postępowań o wartości równej lub przekraczającej progi unijne dochodziło do odrzucenia ofert (w 2024 r. – 27%) i średnio w postępowaniach takich odrzucano </w:t>
      </w:r>
      <w:r>
        <w:rPr>
          <w:szCs w:val="22"/>
        </w:rPr>
        <w:t xml:space="preserve">1 </w:t>
      </w:r>
      <w:r w:rsidRPr="00511367">
        <w:rPr>
          <w:szCs w:val="22"/>
        </w:rPr>
        <w:t>ofert</w:t>
      </w:r>
      <w:r>
        <w:rPr>
          <w:szCs w:val="22"/>
        </w:rPr>
        <w:t>ę</w:t>
      </w:r>
      <w:r w:rsidRPr="00511367">
        <w:rPr>
          <w:szCs w:val="22"/>
        </w:rPr>
        <w:t xml:space="preserve"> (w 2024 r. – 1,11). Największą liczbę ofert odrzucano w postępowaniach na roboty budowlane – średnio </w:t>
      </w:r>
      <w:r>
        <w:rPr>
          <w:szCs w:val="22"/>
        </w:rPr>
        <w:t>2</w:t>
      </w:r>
      <w:r w:rsidRPr="00511367">
        <w:rPr>
          <w:szCs w:val="22"/>
        </w:rPr>
        <w:t>,</w:t>
      </w:r>
      <w:r>
        <w:rPr>
          <w:szCs w:val="22"/>
        </w:rPr>
        <w:t>17</w:t>
      </w:r>
      <w:r w:rsidRPr="00511367">
        <w:rPr>
          <w:szCs w:val="22"/>
        </w:rPr>
        <w:t xml:space="preserve"> oferty (w 2024 r. – 1,93). W usługach odrzucano średnio </w:t>
      </w:r>
      <w:r>
        <w:rPr>
          <w:szCs w:val="22"/>
        </w:rPr>
        <w:t>1</w:t>
      </w:r>
      <w:r w:rsidRPr="00511367">
        <w:rPr>
          <w:szCs w:val="22"/>
        </w:rPr>
        <w:t>,</w:t>
      </w:r>
      <w:r>
        <w:rPr>
          <w:szCs w:val="22"/>
        </w:rPr>
        <w:t>19</w:t>
      </w:r>
      <w:r w:rsidRPr="00511367">
        <w:rPr>
          <w:szCs w:val="22"/>
        </w:rPr>
        <w:t xml:space="preserve"> oferty (w 2024 r. – 1,32), a w dostawach – 0,8</w:t>
      </w:r>
      <w:r>
        <w:rPr>
          <w:szCs w:val="22"/>
        </w:rPr>
        <w:t>5</w:t>
      </w:r>
      <w:r w:rsidRPr="00511367">
        <w:rPr>
          <w:szCs w:val="22"/>
        </w:rPr>
        <w:t xml:space="preserve"> oferty (w 2024 r. – 0,96).</w:t>
      </w:r>
    </w:p>
    <w:p w14:paraId="1F3CBE20" w14:textId="15B998B1" w:rsidR="00CD4BBE" w:rsidRPr="00CD4BBE" w:rsidRDefault="00CD4BBE" w:rsidP="00270CF3">
      <w:pPr>
        <w:pStyle w:val="Nagwek3"/>
      </w:pPr>
      <w:bookmarkStart w:id="95" w:name="_Toc164839426"/>
      <w:bookmarkStart w:id="96" w:name="_Toc233203277"/>
      <w:r w:rsidRPr="00EE35BD">
        <w:t>I.2.5. Unieważnienia postępowań o udzielenie zamówienia</w:t>
      </w:r>
      <w:bookmarkEnd w:id="95"/>
      <w:r w:rsidRPr="00EE35BD">
        <w:t xml:space="preserve"> publicznego</w:t>
      </w:r>
      <w:bookmarkEnd w:id="96"/>
    </w:p>
    <w:p w14:paraId="491953D9" w14:textId="43B18FB0" w:rsidR="009D6192" w:rsidRPr="00175A5A" w:rsidRDefault="00467ACD" w:rsidP="009D6192">
      <w:pPr>
        <w:pStyle w:val="Legenda"/>
      </w:pPr>
      <w:bookmarkStart w:id="97" w:name="_Toc233203340"/>
      <w:r w:rsidRPr="00BA1095">
        <w:t xml:space="preserve">Rys. </w:t>
      </w:r>
      <w:r>
        <w:fldChar w:fldCharType="begin"/>
      </w:r>
      <w:r>
        <w:instrText>SEQ Rys. \* ARABIC</w:instrText>
      </w:r>
      <w:r>
        <w:fldChar w:fldCharType="separate"/>
      </w:r>
      <w:r w:rsidR="00017C65">
        <w:rPr>
          <w:noProof/>
        </w:rPr>
        <w:t>19</w:t>
      </w:r>
      <w:r>
        <w:fldChar w:fldCharType="end"/>
      </w:r>
      <w:r w:rsidRPr="00BA1095">
        <w:t xml:space="preserve">. </w:t>
      </w:r>
      <w:r w:rsidR="009D6192" w:rsidRPr="00E37643">
        <w:t xml:space="preserve">Odsetek unieważnionych postępowań </w:t>
      </w:r>
      <w:r w:rsidR="009D6192" w:rsidRPr="00364162">
        <w:t>o udzielenie zamówienia publicznego</w:t>
      </w:r>
      <w:r w:rsidR="009D6192">
        <w:t xml:space="preserve"> </w:t>
      </w:r>
      <w:r w:rsidR="009D6192" w:rsidRPr="0085478B">
        <w:t>(postępowania o wartości mniejszej niż progi unijne)</w:t>
      </w:r>
      <w:bookmarkEnd w:id="97"/>
    </w:p>
    <w:p w14:paraId="6BB294F4" w14:textId="77777777" w:rsidR="009D6192" w:rsidRDefault="009D6192" w:rsidP="009D6192">
      <w:pPr>
        <w:spacing w:line="360" w:lineRule="auto"/>
        <w:jc w:val="left"/>
        <w:rPr>
          <w:rFonts w:cs="Arial"/>
          <w:szCs w:val="22"/>
        </w:rPr>
      </w:pPr>
      <w:r>
        <w:rPr>
          <w:rFonts w:cs="Arial"/>
          <w:noProof/>
          <w:szCs w:val="22"/>
        </w:rPr>
        <w:drawing>
          <wp:inline distT="0" distB="0" distL="0" distR="0" wp14:anchorId="40CF6B83" wp14:editId="1EBE64F7">
            <wp:extent cx="5486400" cy="3200400"/>
            <wp:effectExtent l="0" t="0" r="0" b="0"/>
            <wp:docPr id="472542001" name="Wykres 10" descr="Odsetek unieważnionych postępowań o udzielenie zamówienia publicznego (postępowania o wartości mniejszej niż progi unijne)" title="Odsetek unieważnionych postępowań o udzielenie zamówienia publicznego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D094EC6" w14:textId="77777777" w:rsidR="009D6192" w:rsidRDefault="009D6192" w:rsidP="009D6192">
      <w:pPr>
        <w:spacing w:before="120" w:line="360" w:lineRule="auto"/>
        <w:jc w:val="left"/>
        <w:rPr>
          <w:rFonts w:cs="Arial"/>
          <w:szCs w:val="22"/>
        </w:rPr>
      </w:pPr>
      <w:r w:rsidRPr="00C66059">
        <w:rPr>
          <w:rFonts w:cs="Arial"/>
          <w:szCs w:val="22"/>
        </w:rPr>
        <w:t>Z ogłoszeń o wyniku postępowania opublikowanych</w:t>
      </w:r>
      <w:r>
        <w:rPr>
          <w:rFonts w:cs="Arial"/>
          <w:szCs w:val="22"/>
        </w:rPr>
        <w:t xml:space="preserve"> w </w:t>
      </w:r>
      <w:r w:rsidRPr="00C66059">
        <w:rPr>
          <w:rFonts w:cs="Arial"/>
          <w:szCs w:val="22"/>
        </w:rPr>
        <w:t>BZP wynika, że w 202</w:t>
      </w:r>
      <w:r>
        <w:rPr>
          <w:rFonts w:cs="Arial"/>
          <w:szCs w:val="22"/>
        </w:rPr>
        <w:t>5</w:t>
      </w:r>
      <w:r w:rsidRPr="00C66059">
        <w:rPr>
          <w:rFonts w:cs="Arial"/>
          <w:szCs w:val="22"/>
        </w:rPr>
        <w:t xml:space="preserve"> r. do unieważnień postępowań lub części postępowań</w:t>
      </w:r>
      <w:r w:rsidRPr="00C66059">
        <w:rPr>
          <w:rFonts w:cs="Arial"/>
          <w:szCs w:val="22"/>
          <w:vertAlign w:val="superscript"/>
        </w:rPr>
        <w:footnoteReference w:id="8"/>
      </w:r>
      <w:r w:rsidRPr="00C66059">
        <w:rPr>
          <w:rFonts w:cs="Arial"/>
          <w:szCs w:val="22"/>
        </w:rPr>
        <w:t xml:space="preserve"> doszło w ok. 2</w:t>
      </w:r>
      <w:r>
        <w:rPr>
          <w:rFonts w:cs="Arial"/>
          <w:szCs w:val="22"/>
        </w:rPr>
        <w:t>8</w:t>
      </w:r>
      <w:r w:rsidRPr="00C66059">
        <w:rPr>
          <w:rFonts w:cs="Arial"/>
          <w:szCs w:val="22"/>
        </w:rPr>
        <w:t>% przypadków (</w:t>
      </w:r>
      <w:r>
        <w:rPr>
          <w:rFonts w:cs="Arial"/>
          <w:szCs w:val="22"/>
        </w:rPr>
        <w:t xml:space="preserve">w </w:t>
      </w:r>
      <w:r w:rsidRPr="00C66059">
        <w:rPr>
          <w:rFonts w:cs="Arial"/>
          <w:szCs w:val="22"/>
        </w:rPr>
        <w:t>202</w:t>
      </w:r>
      <w:r>
        <w:rPr>
          <w:rFonts w:cs="Arial"/>
          <w:szCs w:val="22"/>
        </w:rPr>
        <w:t>4</w:t>
      </w:r>
      <w:r w:rsidRPr="00C66059">
        <w:rPr>
          <w:rFonts w:cs="Arial"/>
          <w:szCs w:val="22"/>
        </w:rPr>
        <w:t xml:space="preserve"> r. – 2</w:t>
      </w:r>
      <w:r>
        <w:rPr>
          <w:rFonts w:cs="Arial"/>
          <w:szCs w:val="22"/>
        </w:rPr>
        <w:t>1</w:t>
      </w:r>
      <w:r w:rsidRPr="00C66059">
        <w:rPr>
          <w:rFonts w:cs="Arial"/>
          <w:szCs w:val="22"/>
        </w:rPr>
        <w:t>%).</w:t>
      </w:r>
    </w:p>
    <w:p w14:paraId="3114172D" w14:textId="4FB316EF" w:rsidR="009D6192" w:rsidRDefault="00467ACD" w:rsidP="009D6192">
      <w:pPr>
        <w:pStyle w:val="Legenda"/>
      </w:pPr>
      <w:bookmarkStart w:id="98" w:name="_Toc233203341"/>
      <w:r w:rsidRPr="00BA1095">
        <w:lastRenderedPageBreak/>
        <w:t xml:space="preserve">Rys. </w:t>
      </w:r>
      <w:r>
        <w:fldChar w:fldCharType="begin"/>
      </w:r>
      <w:r>
        <w:instrText>SEQ Rys. \* ARABIC</w:instrText>
      </w:r>
      <w:r>
        <w:fldChar w:fldCharType="separate"/>
      </w:r>
      <w:r w:rsidR="00017C65">
        <w:rPr>
          <w:noProof/>
        </w:rPr>
        <w:t>20</w:t>
      </w:r>
      <w:r>
        <w:fldChar w:fldCharType="end"/>
      </w:r>
      <w:r w:rsidRPr="00BA1095">
        <w:t xml:space="preserve">. </w:t>
      </w:r>
      <w:r w:rsidR="009D6192" w:rsidRPr="00180DE5">
        <w:t>Struktura zastosowanych podstaw unieważnienia postępowania o udzielenie zamówienia</w:t>
      </w:r>
      <w:r w:rsidR="009D6192">
        <w:t xml:space="preserve"> </w:t>
      </w:r>
      <w:r w:rsidR="009D6192" w:rsidRPr="00286247">
        <w:t>(postępowania o</w:t>
      </w:r>
      <w:r w:rsidR="009D6192">
        <w:t xml:space="preserve"> </w:t>
      </w:r>
      <w:r w:rsidR="009D6192" w:rsidRPr="009E331A">
        <w:t>wartości mniejszej niż progi unijne</w:t>
      </w:r>
      <w:r w:rsidR="009D6192" w:rsidRPr="00286247">
        <w:t>)</w:t>
      </w:r>
      <w:bookmarkEnd w:id="98"/>
    </w:p>
    <w:p w14:paraId="6AC9F68E" w14:textId="77777777" w:rsidR="009D6192" w:rsidRDefault="009D6192" w:rsidP="009D6192">
      <w:pPr>
        <w:shd w:val="clear" w:color="auto" w:fill="FFFFFF"/>
        <w:spacing w:line="360" w:lineRule="auto"/>
        <w:jc w:val="left"/>
      </w:pPr>
      <w:r>
        <w:rPr>
          <w:noProof/>
        </w:rPr>
        <w:drawing>
          <wp:inline distT="0" distB="0" distL="0" distR="0" wp14:anchorId="1EFB02AF" wp14:editId="64E36F00">
            <wp:extent cx="4586287" cy="2447925"/>
            <wp:effectExtent l="0" t="0" r="5080" b="0"/>
            <wp:docPr id="15775950" name="Wykres 11" descr="Struktura zastosowanych podstaw unieważnienia postępowania o udzielenie zamówienia (postępowania o wartości mniejszej niż progi unijne)" title="Struktura zastosowanych podstaw unieważnienia postępowania o udzielenie zamówienia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104A44A" w14:textId="77777777" w:rsidR="009D6192" w:rsidRDefault="009D6192" w:rsidP="009D6192">
      <w:pPr>
        <w:shd w:val="clear" w:color="auto" w:fill="FFFFFF"/>
        <w:spacing w:before="120" w:line="360" w:lineRule="auto"/>
        <w:jc w:val="left"/>
      </w:pPr>
      <w:r>
        <w:t>W blisko</w:t>
      </w:r>
      <w:r w:rsidRPr="000C23F9">
        <w:t xml:space="preserve"> 9</w:t>
      </w:r>
      <w:r>
        <w:t>9</w:t>
      </w:r>
      <w:r w:rsidRPr="000C23F9">
        <w:t xml:space="preserve">% przypadków jako podstawę unieważnienia postępowania </w:t>
      </w:r>
      <w:r>
        <w:t xml:space="preserve">przywoływano </w:t>
      </w:r>
      <w:r w:rsidRPr="000C23F9">
        <w:t xml:space="preserve">przesłanki z art. 255 ustawy Pzp </w:t>
      </w:r>
      <w:r>
        <w:t>(</w:t>
      </w:r>
      <w:r w:rsidRPr="000C23F9">
        <w:t>obligatoryjne podstawy unieważnienia</w:t>
      </w:r>
      <w:r>
        <w:t>)</w:t>
      </w:r>
      <w:r w:rsidRPr="000C23F9">
        <w:t xml:space="preserve">. </w:t>
      </w:r>
      <w:r>
        <w:t xml:space="preserve">Przesłanki </w:t>
      </w:r>
      <w:r w:rsidRPr="000C23F9">
        <w:t>fakultatywne (art. 256, art. 258</w:t>
      </w:r>
      <w:r>
        <w:t xml:space="preserve">, </w:t>
      </w:r>
      <w:r w:rsidRPr="000C23F9">
        <w:t>art. 310</w:t>
      </w:r>
      <w:r>
        <w:t xml:space="preserve"> oraz art. 355</w:t>
      </w:r>
      <w:r w:rsidRPr="000C23F9">
        <w:t xml:space="preserve"> ustawy Pzp)</w:t>
      </w:r>
      <w:r>
        <w:t xml:space="preserve"> wskazywano w ponad</w:t>
      </w:r>
      <w:r w:rsidRPr="000C23F9">
        <w:t xml:space="preserve"> </w:t>
      </w:r>
      <w:r>
        <w:t>1</w:t>
      </w:r>
      <w:r w:rsidRPr="000C23F9">
        <w:t xml:space="preserve">% </w:t>
      </w:r>
      <w:r>
        <w:t>unieważnień.</w:t>
      </w:r>
    </w:p>
    <w:p w14:paraId="0A1F8AB8" w14:textId="193EE408" w:rsidR="009D6192" w:rsidRDefault="00467ACD" w:rsidP="009D6192">
      <w:pPr>
        <w:pStyle w:val="Legenda"/>
      </w:pPr>
      <w:bookmarkStart w:id="99" w:name="_Toc233203342"/>
      <w:r w:rsidRPr="00BA1095">
        <w:lastRenderedPageBreak/>
        <w:t xml:space="preserve">Rys. </w:t>
      </w:r>
      <w:r>
        <w:fldChar w:fldCharType="begin"/>
      </w:r>
      <w:r>
        <w:instrText>SEQ Rys. \* ARABIC</w:instrText>
      </w:r>
      <w:r>
        <w:fldChar w:fldCharType="separate"/>
      </w:r>
      <w:r w:rsidR="00017C65">
        <w:rPr>
          <w:noProof/>
        </w:rPr>
        <w:t>21</w:t>
      </w:r>
      <w:r>
        <w:fldChar w:fldCharType="end"/>
      </w:r>
      <w:r w:rsidRPr="00BA1095">
        <w:t xml:space="preserve">. </w:t>
      </w:r>
      <w:r w:rsidR="009D6192" w:rsidRPr="00C90075">
        <w:t xml:space="preserve">Przesłanki unieważnienia </w:t>
      </w:r>
      <w:r w:rsidR="009D6192">
        <w:t>postępowania</w:t>
      </w:r>
      <w:r w:rsidR="009D6192" w:rsidRPr="00C90075">
        <w:t xml:space="preserve"> w zależności od rodzaju zamówienia</w:t>
      </w:r>
      <w:r w:rsidR="009D6192">
        <w:t xml:space="preserve"> </w:t>
      </w:r>
      <w:r w:rsidR="009D6192" w:rsidRPr="00286247">
        <w:t>(postępowania o</w:t>
      </w:r>
      <w:r w:rsidR="009D6192">
        <w:t xml:space="preserve"> </w:t>
      </w:r>
      <w:r w:rsidR="009D6192" w:rsidRPr="009E331A">
        <w:t>wartości mniejszej niż progi unijne</w:t>
      </w:r>
      <w:r w:rsidR="009D6192" w:rsidRPr="00286247">
        <w:t>)</w:t>
      </w:r>
      <w:bookmarkEnd w:id="99"/>
    </w:p>
    <w:p w14:paraId="77197488" w14:textId="77777777" w:rsidR="009D6192" w:rsidRDefault="009D6192" w:rsidP="009D6192">
      <w:pPr>
        <w:shd w:val="clear" w:color="auto" w:fill="FFFFFF"/>
        <w:spacing w:line="360" w:lineRule="auto"/>
        <w:jc w:val="left"/>
      </w:pPr>
      <w:r>
        <w:rPr>
          <w:noProof/>
        </w:rPr>
        <w:drawing>
          <wp:inline distT="0" distB="0" distL="0" distR="0" wp14:anchorId="6184E8AB" wp14:editId="10EE375A">
            <wp:extent cx="5724525" cy="4452730"/>
            <wp:effectExtent l="0" t="0" r="0" b="5080"/>
            <wp:docPr id="765842307" name="Wykres 12" descr="Przesłanki unieważnienia postępowania w zależności od rodzaju zamówienia (postępowania o wartości mniejszej niż progi unijne)" title="Przesłanki unieważnienia postępowania w zależności od rodzaju zamówienia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666677F" w14:textId="2BA433F1" w:rsidR="00AB2211" w:rsidRPr="009D6192" w:rsidRDefault="009D6192" w:rsidP="009D6192">
      <w:pPr>
        <w:shd w:val="clear" w:color="auto" w:fill="FFFFFF"/>
        <w:spacing w:before="120" w:line="360" w:lineRule="auto"/>
        <w:jc w:val="left"/>
      </w:pPr>
      <w:r>
        <w:t>W postępowaniach na roboty budowlane zwykle (ponad 52%) powoływano się na przesłanki z art. 255 pkt 3 ustawy Pzp tj. cena lub koszt najkorzystniejszej oferty lub oferta z najniższą ceną przewyższała kwotę, którą zamawiający zamierzał przeznaczyć na sfinansowanie zamówienia. W dostawach lub usługach najczęściej wskazywano art. 255 pkt 1 ustawy Pzp. W ok. 40% w dostawach oraz ok. 38% w usługach do unieważnień dochodziło ze względu na brak wniosków o dopuszczenie do udziału w postępowaniu albo brak ofert.</w:t>
      </w:r>
    </w:p>
    <w:p w14:paraId="4B1F76A5" w14:textId="1FEB6055" w:rsidR="00CD4BBE" w:rsidRPr="00CD4BBE" w:rsidRDefault="00CD4BBE" w:rsidP="00270CF3">
      <w:pPr>
        <w:pStyle w:val="Nagwek3"/>
      </w:pPr>
      <w:bookmarkStart w:id="100" w:name="_Toc64451862"/>
      <w:bookmarkStart w:id="101" w:name="_Toc233203278"/>
      <w:r w:rsidRPr="00C80E61">
        <w:t>I.2.6. Udział w zamówieniach publicznych wykonawców z sektora MŚP</w:t>
      </w:r>
      <w:bookmarkEnd w:id="100"/>
      <w:bookmarkEnd w:id="101"/>
    </w:p>
    <w:p w14:paraId="3D9A7C30" w14:textId="50A038B8" w:rsidR="0070474D" w:rsidRPr="00060A8C" w:rsidRDefault="00060A8C" w:rsidP="00852522">
      <w:pPr>
        <w:pStyle w:val="Nagwek4"/>
      </w:pPr>
      <w:r>
        <w:t xml:space="preserve">1. </w:t>
      </w:r>
      <w:r w:rsidR="0070474D" w:rsidRPr="00060A8C">
        <w:t xml:space="preserve">Zamówienia o </w:t>
      </w:r>
      <w:r w:rsidR="00166198" w:rsidRPr="00060A8C">
        <w:t>wartości mniejszej niż progi unijne</w:t>
      </w:r>
    </w:p>
    <w:p w14:paraId="321A0660" w14:textId="68A89DB5" w:rsidR="009D6192" w:rsidRDefault="00494E68" w:rsidP="009D6192">
      <w:pPr>
        <w:pStyle w:val="Legenda"/>
      </w:pPr>
      <w:bookmarkStart w:id="102" w:name="_Toc233203343"/>
      <w:r w:rsidRPr="00BA1095">
        <w:lastRenderedPageBreak/>
        <w:t xml:space="preserve">Rys. </w:t>
      </w:r>
      <w:r>
        <w:fldChar w:fldCharType="begin"/>
      </w:r>
      <w:r>
        <w:instrText>SEQ Rys. \* ARABIC</w:instrText>
      </w:r>
      <w:r>
        <w:fldChar w:fldCharType="separate"/>
      </w:r>
      <w:r w:rsidR="00017C65">
        <w:rPr>
          <w:noProof/>
        </w:rPr>
        <w:t>22</w:t>
      </w:r>
      <w:r>
        <w:fldChar w:fldCharType="end"/>
      </w:r>
      <w:r w:rsidRPr="00BA1095">
        <w:t xml:space="preserve">. </w:t>
      </w:r>
      <w:r w:rsidR="009D6192">
        <w:t>Odsetek liczby ofert składanych przez wykonawców z sektora MŚP (postępowania o wartości mniejszej niż progi unijne)</w:t>
      </w:r>
      <w:bookmarkEnd w:id="102"/>
    </w:p>
    <w:p w14:paraId="2B7353DD" w14:textId="77777777" w:rsidR="009D6192" w:rsidRDefault="009D6192" w:rsidP="009D6192">
      <w:pPr>
        <w:spacing w:line="360" w:lineRule="auto"/>
        <w:jc w:val="left"/>
      </w:pPr>
      <w:r>
        <w:rPr>
          <w:noProof/>
        </w:rPr>
        <w:drawing>
          <wp:inline distT="0" distB="0" distL="0" distR="0" wp14:anchorId="6EA3DEE1" wp14:editId="1ACFE37C">
            <wp:extent cx="4619708" cy="2480807"/>
            <wp:effectExtent l="0" t="0" r="0" b="0"/>
            <wp:docPr id="1318741688" name="Wykres 13" descr="Odsetek liczby ofert składanych przez wykonawców z sektora MŚP (postępowania o wartości mniejszej niż progi unijne)" title="Odsetek liczby ofert składanych przez wykonawców z sektora MŚP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265079A" w14:textId="5673C35D" w:rsidR="009D6192" w:rsidRDefault="009D6192" w:rsidP="009D6192">
      <w:pPr>
        <w:spacing w:before="240" w:line="360" w:lineRule="auto"/>
        <w:jc w:val="left"/>
      </w:pPr>
      <w:r>
        <w:t xml:space="preserve">W analizowanym okresie </w:t>
      </w:r>
      <w:r w:rsidRPr="001F59F1">
        <w:t xml:space="preserve">ok. </w:t>
      </w:r>
      <w:r>
        <w:t>87</w:t>
      </w:r>
      <w:r w:rsidRPr="001F59F1">
        <w:t>% (w 202</w:t>
      </w:r>
      <w:r>
        <w:t>4 i 2023</w:t>
      </w:r>
      <w:r w:rsidRPr="001F59F1">
        <w:t xml:space="preserve"> r. </w:t>
      </w:r>
      <w:r>
        <w:t>było to 88%</w:t>
      </w:r>
      <w:r w:rsidRPr="001F59F1">
        <w:t xml:space="preserve">) ofert </w:t>
      </w:r>
      <w:r>
        <w:t xml:space="preserve">było składanych przez przedsiębiorców </w:t>
      </w:r>
      <w:r w:rsidRPr="001F59F1">
        <w:t>z sektora MŚP.</w:t>
      </w:r>
    </w:p>
    <w:p w14:paraId="78E148E7" w14:textId="5B9F604E" w:rsidR="009D6192" w:rsidRDefault="00494E68" w:rsidP="009D6192">
      <w:pPr>
        <w:pStyle w:val="Legenda"/>
      </w:pPr>
      <w:bookmarkStart w:id="103" w:name="_Toc233203344"/>
      <w:r w:rsidRPr="00BA1095">
        <w:t xml:space="preserve">Rys. </w:t>
      </w:r>
      <w:r>
        <w:fldChar w:fldCharType="begin"/>
      </w:r>
      <w:r>
        <w:instrText>SEQ Rys. \* ARABIC</w:instrText>
      </w:r>
      <w:r>
        <w:fldChar w:fldCharType="separate"/>
      </w:r>
      <w:r w:rsidR="00017C65">
        <w:rPr>
          <w:noProof/>
        </w:rPr>
        <w:t>23</w:t>
      </w:r>
      <w:r>
        <w:fldChar w:fldCharType="end"/>
      </w:r>
      <w:r w:rsidRPr="00BA1095">
        <w:t xml:space="preserve">. </w:t>
      </w:r>
      <w:r w:rsidR="009D6192">
        <w:t>Odsetek liczby ofert składanych przez wykonawców z sektora MŚP w podziale na rodzaj zamówienia (postępowania o wartości mniejszej niż progi unijne)</w:t>
      </w:r>
      <w:bookmarkEnd w:id="103"/>
    </w:p>
    <w:p w14:paraId="7E3D8E8E" w14:textId="77777777" w:rsidR="009D6192" w:rsidRDefault="009D6192" w:rsidP="009D6192">
      <w:pPr>
        <w:spacing w:line="360" w:lineRule="auto"/>
        <w:jc w:val="left"/>
      </w:pPr>
      <w:r>
        <w:rPr>
          <w:noProof/>
        </w:rPr>
        <w:drawing>
          <wp:inline distT="0" distB="0" distL="0" distR="0" wp14:anchorId="61F4A58F" wp14:editId="6D7DC635">
            <wp:extent cx="4723075" cy="2568271"/>
            <wp:effectExtent l="0" t="0" r="1905" b="3810"/>
            <wp:docPr id="1784133941" name="Wykres 14" descr="Odsetek liczby ofert składanych przez wykonawców z sektora MŚP w podziale na rodzaj zamówienia (postępowania o wartości mniejszej niż progi unijne)" title="Odsetek liczby ofert składanych przez wykonawców z sektora MŚP w podziale na rodzaj zamówienia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A92E655" w14:textId="70EBADE5" w:rsidR="009D6192" w:rsidRDefault="009D6192" w:rsidP="009D6192">
      <w:pPr>
        <w:spacing w:before="120" w:line="360" w:lineRule="auto"/>
        <w:jc w:val="left"/>
      </w:pPr>
      <w:r>
        <w:t>Z</w:t>
      </w:r>
      <w:r w:rsidRPr="00DB6711">
        <w:t>amówienia na roboty budowlane</w:t>
      </w:r>
      <w:r w:rsidRPr="00AF31EF">
        <w:t xml:space="preserve"> o wartości mniejszej niż progi unijne</w:t>
      </w:r>
      <w:r>
        <w:t xml:space="preserve"> budzą największe zainteresowanie wśród przedstawicieli </w:t>
      </w:r>
      <w:r w:rsidR="004E317D">
        <w:t xml:space="preserve">sektora </w:t>
      </w:r>
      <w:r>
        <w:t xml:space="preserve">MŚP. W 2025 r. złożyli oni </w:t>
      </w:r>
      <w:r w:rsidRPr="00DB6711">
        <w:t>95% (202</w:t>
      </w:r>
      <w:r>
        <w:t>4</w:t>
      </w:r>
      <w:r w:rsidRPr="00DB6711">
        <w:t xml:space="preserve"> r. </w:t>
      </w:r>
      <w:r>
        <w:t>także</w:t>
      </w:r>
      <w:r w:rsidRPr="00DB6711">
        <w:t xml:space="preserve"> 95%) ofert. W postępowaniach na dostawy i usługi odsetek ofert </w:t>
      </w:r>
      <w:r>
        <w:t>składanych przez</w:t>
      </w:r>
      <w:r w:rsidRPr="00DB6711">
        <w:t xml:space="preserve"> MŚP </w:t>
      </w:r>
      <w:r>
        <w:t>także nie uległ zmianie</w:t>
      </w:r>
      <w:r w:rsidRPr="00DB6711">
        <w:t xml:space="preserve"> w stosunku do 202</w:t>
      </w:r>
      <w:r>
        <w:t>4</w:t>
      </w:r>
      <w:r w:rsidRPr="00DB6711">
        <w:t xml:space="preserve"> r. i wynosił odpowiednio 84% oraz 85%.</w:t>
      </w:r>
    </w:p>
    <w:p w14:paraId="109B1164" w14:textId="5EAA3F35" w:rsidR="009D6192" w:rsidRDefault="00494E68" w:rsidP="009D6192">
      <w:pPr>
        <w:pStyle w:val="Legenda"/>
      </w:pPr>
      <w:bookmarkStart w:id="104" w:name="_Toc233203345"/>
      <w:r w:rsidRPr="00BA1095">
        <w:lastRenderedPageBreak/>
        <w:t xml:space="preserve">Rys. </w:t>
      </w:r>
      <w:r>
        <w:fldChar w:fldCharType="begin"/>
      </w:r>
      <w:r>
        <w:instrText>SEQ Rys. \* ARABIC</w:instrText>
      </w:r>
      <w:r>
        <w:fldChar w:fldCharType="separate"/>
      </w:r>
      <w:r w:rsidR="00017C65">
        <w:rPr>
          <w:noProof/>
        </w:rPr>
        <w:t>24</w:t>
      </w:r>
      <w:r>
        <w:fldChar w:fldCharType="end"/>
      </w:r>
      <w:r w:rsidRPr="00BA1095">
        <w:t xml:space="preserve">. </w:t>
      </w:r>
      <w:r w:rsidR="009D6192">
        <w:t xml:space="preserve">Odsetek liczby i wartości </w:t>
      </w:r>
      <w:r w:rsidR="009D6192" w:rsidRPr="00062518">
        <w:t>zamówień udzielonych wykonawcom z sektora MŚP</w:t>
      </w:r>
      <w:r w:rsidR="009D6192">
        <w:t xml:space="preserve"> </w:t>
      </w:r>
      <w:r w:rsidR="009D6192" w:rsidRPr="00062518">
        <w:t>(postępowania o wartości mniejszej niż progi unijne)</w:t>
      </w:r>
      <w:bookmarkEnd w:id="104"/>
    </w:p>
    <w:p w14:paraId="27F6D9E2" w14:textId="77777777" w:rsidR="009D6192" w:rsidRDefault="009D6192" w:rsidP="009D6192">
      <w:pPr>
        <w:spacing w:line="360" w:lineRule="auto"/>
        <w:jc w:val="left"/>
      </w:pPr>
      <w:r>
        <w:rPr>
          <w:noProof/>
        </w:rPr>
        <w:drawing>
          <wp:inline distT="0" distB="0" distL="0" distR="0" wp14:anchorId="33791C3B" wp14:editId="29423069">
            <wp:extent cx="5486400" cy="3200400"/>
            <wp:effectExtent l="0" t="0" r="0" b="0"/>
            <wp:docPr id="675198199" name="Wykres 15" descr="Odsetek liczby i wartości zamówień udzielonych wykonawcom z sektora MŚP (postępowania o wartości mniejszej niż progi unijne)" title="Odsetek liczby i wartości zamówień udzielonych wykonawcom z sektora MŚP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32A3DA7" w14:textId="43BEBE38" w:rsidR="00AB2211" w:rsidRDefault="009D6192" w:rsidP="001F59F1">
      <w:pPr>
        <w:spacing w:before="240" w:line="360" w:lineRule="auto"/>
        <w:jc w:val="left"/>
      </w:pPr>
      <w:r w:rsidRPr="00C7470A">
        <w:t>W postępowaniach o wartości mniejszej niż progi unijne w 2025 r. za najkorzystniejsze uznano oferty MŚP w ok. 6</w:t>
      </w:r>
      <w:r>
        <w:t>5</w:t>
      </w:r>
      <w:r w:rsidRPr="00C7470A">
        <w:t xml:space="preserve">% zamówień (w 2024 r. – 67%). Kwota zamówień udzielonych wykonawcom z sektora MŚP stanowiła ok. </w:t>
      </w:r>
      <w:r>
        <w:t>74</w:t>
      </w:r>
      <w:r w:rsidRPr="00C7470A">
        <w:t>% (w 2024 r. – 78%) ogólnej wartości tych zamówień.</w:t>
      </w:r>
    </w:p>
    <w:p w14:paraId="3CD43C5B" w14:textId="4FD73E5D" w:rsidR="009123BE" w:rsidRPr="00CD1F62" w:rsidRDefault="00CD1F62" w:rsidP="00852522">
      <w:pPr>
        <w:pStyle w:val="Nagwek4"/>
      </w:pPr>
      <w:r w:rsidRPr="00C80E61">
        <w:t xml:space="preserve">2. </w:t>
      </w:r>
      <w:r w:rsidR="009123BE" w:rsidRPr="00C80E61">
        <w:t xml:space="preserve">Zamówienia o </w:t>
      </w:r>
      <w:r w:rsidR="00BD6911" w:rsidRPr="00C80E61">
        <w:t>wartości równej lub przekraczającej</w:t>
      </w:r>
      <w:r w:rsidR="009123BE" w:rsidRPr="00C80E61">
        <w:t xml:space="preserve"> progi unijne</w:t>
      </w:r>
    </w:p>
    <w:p w14:paraId="18470873" w14:textId="25ABB6CA" w:rsidR="009D6192" w:rsidRDefault="00494E68" w:rsidP="009D6192">
      <w:pPr>
        <w:pStyle w:val="Legenda"/>
      </w:pPr>
      <w:bookmarkStart w:id="105" w:name="_Toc233203346"/>
      <w:r w:rsidRPr="00BA1095">
        <w:lastRenderedPageBreak/>
        <w:t xml:space="preserve">Rys. </w:t>
      </w:r>
      <w:r>
        <w:fldChar w:fldCharType="begin"/>
      </w:r>
      <w:r>
        <w:instrText>SEQ Rys. \* ARABIC</w:instrText>
      </w:r>
      <w:r>
        <w:fldChar w:fldCharType="separate"/>
      </w:r>
      <w:r w:rsidR="00017C65">
        <w:rPr>
          <w:noProof/>
        </w:rPr>
        <w:t>25</w:t>
      </w:r>
      <w:r>
        <w:fldChar w:fldCharType="end"/>
      </w:r>
      <w:r w:rsidRPr="00BA1095">
        <w:t xml:space="preserve">. </w:t>
      </w:r>
      <w:r w:rsidR="009D6192">
        <w:t>Odsetek liczby ofert składanych przez wykonawców z sektora MŚP (</w:t>
      </w:r>
      <w:r w:rsidR="009D6192" w:rsidRPr="00F835F8">
        <w:t xml:space="preserve">postępowania o </w:t>
      </w:r>
      <w:r w:rsidR="009D6192">
        <w:t>wartości równej lub przekraczającej</w:t>
      </w:r>
      <w:r w:rsidR="009D6192" w:rsidRPr="00AE0334">
        <w:t xml:space="preserve"> progi unijne</w:t>
      </w:r>
      <w:r w:rsidR="009D6192">
        <w:t>)</w:t>
      </w:r>
      <w:bookmarkEnd w:id="105"/>
    </w:p>
    <w:p w14:paraId="781BE6AF" w14:textId="77777777" w:rsidR="009D6192" w:rsidRDefault="009D6192" w:rsidP="009D6192">
      <w:pPr>
        <w:spacing w:line="360" w:lineRule="auto"/>
        <w:jc w:val="left"/>
        <w:rPr>
          <w:szCs w:val="22"/>
        </w:rPr>
      </w:pPr>
      <w:r>
        <w:rPr>
          <w:noProof/>
          <w:szCs w:val="22"/>
        </w:rPr>
        <w:drawing>
          <wp:inline distT="0" distB="0" distL="0" distR="0" wp14:anchorId="4485E6A8" wp14:editId="55D5A02E">
            <wp:extent cx="5486400" cy="3200400"/>
            <wp:effectExtent l="38100" t="0" r="38100" b="0"/>
            <wp:docPr id="617616035" name="Wykres 16" descr="Odsetek liczby ofert składanych przez wykonawców z sektora MŚP (postępowania o wartości równej lub przekraczającej progi unijne)" title="Odsetek liczby ofert składanych przez wykonawców z sektora MŚP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16DCFA4" w14:textId="5C5C4404" w:rsidR="009D6192" w:rsidRDefault="009D6192" w:rsidP="009D6192">
      <w:pPr>
        <w:spacing w:before="240" w:line="360" w:lineRule="auto"/>
        <w:jc w:val="left"/>
      </w:pPr>
      <w:r w:rsidRPr="001F59F1">
        <w:t xml:space="preserve">Z </w:t>
      </w:r>
      <w:r w:rsidRPr="000F4BD3">
        <w:t xml:space="preserve">rocznych </w:t>
      </w:r>
      <w:r>
        <w:t xml:space="preserve">sprawozdań </w:t>
      </w:r>
      <w:r w:rsidRPr="000F4BD3">
        <w:t xml:space="preserve">o udzielonych zamówieniach </w:t>
      </w:r>
      <w:r w:rsidRPr="001F59F1">
        <w:t>wynika, że w 202</w:t>
      </w:r>
      <w:r>
        <w:t>5</w:t>
      </w:r>
      <w:r w:rsidRPr="001F59F1">
        <w:t xml:space="preserve"> r. ok. </w:t>
      </w:r>
      <w:r>
        <w:t>56</w:t>
      </w:r>
      <w:r w:rsidRPr="001F59F1">
        <w:t>% (w 202</w:t>
      </w:r>
      <w:r>
        <w:t>4</w:t>
      </w:r>
      <w:r w:rsidRPr="001F59F1">
        <w:t xml:space="preserve"> r. </w:t>
      </w:r>
      <w:r>
        <w:t>także 56%</w:t>
      </w:r>
      <w:r w:rsidRPr="001F59F1">
        <w:t>) składanych ofert pochodziło od wykonawców z sektora MŚP.</w:t>
      </w:r>
    </w:p>
    <w:p w14:paraId="4CC3C163" w14:textId="2CAC4B3F" w:rsidR="009D6192" w:rsidRPr="00B12D65" w:rsidRDefault="00494E68" w:rsidP="009D6192">
      <w:pPr>
        <w:pStyle w:val="Legenda"/>
        <w:rPr>
          <w:sz w:val="22"/>
          <w:szCs w:val="22"/>
        </w:rPr>
      </w:pPr>
      <w:bookmarkStart w:id="106" w:name="_Toc233203347"/>
      <w:r w:rsidRPr="00BA1095">
        <w:t xml:space="preserve">Rys. </w:t>
      </w:r>
      <w:r>
        <w:fldChar w:fldCharType="begin"/>
      </w:r>
      <w:r>
        <w:instrText>SEQ Rys. \* ARABIC</w:instrText>
      </w:r>
      <w:r>
        <w:fldChar w:fldCharType="separate"/>
      </w:r>
      <w:r w:rsidR="00017C65">
        <w:rPr>
          <w:noProof/>
        </w:rPr>
        <w:t>26</w:t>
      </w:r>
      <w:r>
        <w:fldChar w:fldCharType="end"/>
      </w:r>
      <w:r w:rsidRPr="00BA1095">
        <w:t xml:space="preserve">. </w:t>
      </w:r>
      <w:r w:rsidR="009D6192">
        <w:t>Odsetek liczby ofert składanych przez wykonawców z sektora MŚP w podziale na rodzaj zamówienia (</w:t>
      </w:r>
      <w:r w:rsidR="009D6192" w:rsidRPr="00F835F8">
        <w:t xml:space="preserve">postępowania o </w:t>
      </w:r>
      <w:r w:rsidR="009D6192">
        <w:t>wartości równej lub przekraczającej</w:t>
      </w:r>
      <w:r w:rsidR="009D6192" w:rsidRPr="00AE0334">
        <w:t xml:space="preserve"> progi unijne</w:t>
      </w:r>
      <w:r w:rsidR="009D6192">
        <w:rPr>
          <w:noProof/>
        </w:rPr>
        <w:t>)</w:t>
      </w:r>
      <w:bookmarkEnd w:id="106"/>
    </w:p>
    <w:p w14:paraId="0CDEC1A5" w14:textId="77777777" w:rsidR="009D6192" w:rsidRDefault="009D6192" w:rsidP="009D6192">
      <w:pPr>
        <w:spacing w:line="360" w:lineRule="auto"/>
        <w:jc w:val="left"/>
        <w:rPr>
          <w:szCs w:val="22"/>
        </w:rPr>
      </w:pPr>
      <w:r>
        <w:rPr>
          <w:noProof/>
          <w:szCs w:val="22"/>
        </w:rPr>
        <w:drawing>
          <wp:inline distT="0" distB="0" distL="0" distR="0" wp14:anchorId="5E4AE6C3" wp14:editId="7B5194B3">
            <wp:extent cx="5486400" cy="3200400"/>
            <wp:effectExtent l="0" t="0" r="0" b="0"/>
            <wp:docPr id="1920860997" name="Wykres 17" descr="Odsetek liczby ofert składanych przez wykonawców z sektora MŚP w podziale na rodzaj zamówienia (postępowania o wartości równej lub przekraczającej progi unijne)" title="Odsetek liczby ofert składanych przez wykonawców z sektora MŚP w podziale na rodzaj zamówienia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8B77FC7" w14:textId="4CA99A4E" w:rsidR="009D6192" w:rsidRDefault="009D6192" w:rsidP="009D6192">
      <w:pPr>
        <w:spacing w:before="240" w:line="360" w:lineRule="auto"/>
        <w:jc w:val="left"/>
        <w:rPr>
          <w:szCs w:val="22"/>
        </w:rPr>
      </w:pPr>
      <w:r>
        <w:rPr>
          <w:szCs w:val="22"/>
        </w:rPr>
        <w:t>W postępowaniach o</w:t>
      </w:r>
      <w:r w:rsidRPr="002509C6">
        <w:rPr>
          <w:szCs w:val="22"/>
        </w:rPr>
        <w:t xml:space="preserve"> wartości równej lub przekraczającej progi unijne</w:t>
      </w:r>
      <w:r>
        <w:rPr>
          <w:szCs w:val="22"/>
        </w:rPr>
        <w:t xml:space="preserve"> n</w:t>
      </w:r>
      <w:r w:rsidRPr="002509C6">
        <w:rPr>
          <w:szCs w:val="22"/>
        </w:rPr>
        <w:t>ajwiększym zainteresowaniem tej grupy przedsiębiorców cieszy</w:t>
      </w:r>
      <w:r>
        <w:rPr>
          <w:szCs w:val="22"/>
        </w:rPr>
        <w:t>ły się zamówienia na usługi – 73</w:t>
      </w:r>
      <w:r w:rsidRPr="002509C6">
        <w:rPr>
          <w:szCs w:val="22"/>
        </w:rPr>
        <w:t xml:space="preserve">% </w:t>
      </w:r>
      <w:r w:rsidRPr="002509C6">
        <w:rPr>
          <w:szCs w:val="22"/>
        </w:rPr>
        <w:lastRenderedPageBreak/>
        <w:t>złożonych ofert (w 202</w:t>
      </w:r>
      <w:r>
        <w:rPr>
          <w:szCs w:val="22"/>
        </w:rPr>
        <w:t>4</w:t>
      </w:r>
      <w:r w:rsidRPr="002509C6">
        <w:rPr>
          <w:szCs w:val="22"/>
        </w:rPr>
        <w:t xml:space="preserve"> r. – 7</w:t>
      </w:r>
      <w:r>
        <w:rPr>
          <w:szCs w:val="22"/>
        </w:rPr>
        <w:t>7</w:t>
      </w:r>
      <w:r w:rsidRPr="002509C6">
        <w:rPr>
          <w:szCs w:val="22"/>
        </w:rPr>
        <w:t>%).</w:t>
      </w:r>
      <w:r>
        <w:rPr>
          <w:szCs w:val="22"/>
        </w:rPr>
        <w:t xml:space="preserve"> </w:t>
      </w:r>
      <w:r w:rsidRPr="008B2CFA">
        <w:rPr>
          <w:szCs w:val="22"/>
        </w:rPr>
        <w:t xml:space="preserve">Z kolei w postępowaniach na roboty budowlane i dostawy odsetek ofert od MŚP wynosił odpowiednio </w:t>
      </w:r>
      <w:r>
        <w:rPr>
          <w:szCs w:val="22"/>
        </w:rPr>
        <w:t>71</w:t>
      </w:r>
      <w:r w:rsidRPr="008B2CFA">
        <w:rPr>
          <w:szCs w:val="22"/>
        </w:rPr>
        <w:t>% (w 202</w:t>
      </w:r>
      <w:r>
        <w:rPr>
          <w:szCs w:val="22"/>
        </w:rPr>
        <w:t>4</w:t>
      </w:r>
      <w:r w:rsidRPr="008B2CFA">
        <w:rPr>
          <w:szCs w:val="22"/>
        </w:rPr>
        <w:t xml:space="preserve"> r. – </w:t>
      </w:r>
      <w:r>
        <w:rPr>
          <w:szCs w:val="22"/>
        </w:rPr>
        <w:t>68</w:t>
      </w:r>
      <w:r w:rsidRPr="008B2CFA">
        <w:rPr>
          <w:szCs w:val="22"/>
        </w:rPr>
        <w:t xml:space="preserve">%) oraz </w:t>
      </w:r>
      <w:r>
        <w:rPr>
          <w:szCs w:val="22"/>
        </w:rPr>
        <w:t>67</w:t>
      </w:r>
      <w:r w:rsidRPr="008B2CFA">
        <w:rPr>
          <w:szCs w:val="22"/>
        </w:rPr>
        <w:t>% (w 202</w:t>
      </w:r>
      <w:r>
        <w:rPr>
          <w:szCs w:val="22"/>
        </w:rPr>
        <w:t>4</w:t>
      </w:r>
      <w:r w:rsidRPr="008B2CFA">
        <w:rPr>
          <w:szCs w:val="22"/>
        </w:rPr>
        <w:t xml:space="preserve"> r. – </w:t>
      </w:r>
      <w:r>
        <w:rPr>
          <w:szCs w:val="22"/>
        </w:rPr>
        <w:t>48</w:t>
      </w:r>
      <w:r w:rsidRPr="008B2CFA">
        <w:rPr>
          <w:szCs w:val="22"/>
        </w:rPr>
        <w:t>%).</w:t>
      </w:r>
    </w:p>
    <w:p w14:paraId="12ADCEE9" w14:textId="628F1DC1" w:rsidR="009D6192" w:rsidRPr="00EA0664" w:rsidRDefault="00494E68" w:rsidP="009D6192">
      <w:pPr>
        <w:pStyle w:val="Legenda"/>
      </w:pPr>
      <w:bookmarkStart w:id="107" w:name="_Toc233203348"/>
      <w:r w:rsidRPr="00BA1095">
        <w:t xml:space="preserve">Rys. </w:t>
      </w:r>
      <w:r>
        <w:fldChar w:fldCharType="begin"/>
      </w:r>
      <w:r>
        <w:instrText>SEQ Rys. \* ARABIC</w:instrText>
      </w:r>
      <w:r>
        <w:fldChar w:fldCharType="separate"/>
      </w:r>
      <w:r w:rsidR="00017C65">
        <w:rPr>
          <w:noProof/>
        </w:rPr>
        <w:t>27</w:t>
      </w:r>
      <w:r>
        <w:fldChar w:fldCharType="end"/>
      </w:r>
      <w:r w:rsidRPr="00BA1095">
        <w:t xml:space="preserve">. </w:t>
      </w:r>
      <w:r w:rsidR="009D6192">
        <w:t xml:space="preserve">Odsetek liczby i wartości </w:t>
      </w:r>
      <w:r w:rsidR="009D6192" w:rsidRPr="00062518">
        <w:t>zamówień udzielonych wykonawcom z sektora MŚP</w:t>
      </w:r>
      <w:r w:rsidR="009D6192">
        <w:t xml:space="preserve"> </w:t>
      </w:r>
      <w:r w:rsidR="009D6192" w:rsidRPr="00062518">
        <w:t>(</w:t>
      </w:r>
      <w:r w:rsidR="009D6192" w:rsidRPr="00F835F8">
        <w:t xml:space="preserve">postępowania o </w:t>
      </w:r>
      <w:r w:rsidR="009D6192">
        <w:t>wartości równej lub przekraczającej</w:t>
      </w:r>
      <w:r w:rsidR="009D6192" w:rsidRPr="00AE0334">
        <w:t xml:space="preserve"> progi unijne</w:t>
      </w:r>
      <w:r w:rsidR="009D6192" w:rsidRPr="00062518">
        <w:t>)</w:t>
      </w:r>
      <w:bookmarkEnd w:id="107"/>
    </w:p>
    <w:p w14:paraId="30E77D6A" w14:textId="77777777" w:rsidR="009D6192" w:rsidRDefault="009D6192" w:rsidP="009D6192">
      <w:pPr>
        <w:spacing w:line="360" w:lineRule="auto"/>
        <w:jc w:val="left"/>
        <w:rPr>
          <w:szCs w:val="22"/>
        </w:rPr>
      </w:pPr>
      <w:r>
        <w:rPr>
          <w:noProof/>
          <w:szCs w:val="22"/>
        </w:rPr>
        <w:drawing>
          <wp:inline distT="0" distB="0" distL="0" distR="0" wp14:anchorId="26EEA26D" wp14:editId="0DC30B74">
            <wp:extent cx="5486400" cy="3200400"/>
            <wp:effectExtent l="0" t="0" r="0" b="0"/>
            <wp:docPr id="1868698424" name="Wykres 18" descr="Odsetek liczby i wartości zamówień udzielonych wykonawcom z sektora MŚP (postępowania o wartości równej lub przekraczającej progi unijne)" title="Odsetek liczby i wartości zamówień udzielonych wykonawcom z sektora MŚP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03D58A2" w14:textId="1D9B3D96" w:rsidR="00AB2211" w:rsidRPr="009D6192" w:rsidRDefault="009D6192" w:rsidP="000F4BD3">
      <w:pPr>
        <w:spacing w:before="240" w:line="360" w:lineRule="auto"/>
        <w:jc w:val="left"/>
        <w:rPr>
          <w:szCs w:val="22"/>
        </w:rPr>
      </w:pPr>
      <w:r w:rsidRPr="0008520D">
        <w:rPr>
          <w:szCs w:val="22"/>
        </w:rPr>
        <w:t>Oferty złożone przez przedsiębiorców z sektora MŚP uznano za najkorzystniejsze w blisko 74% postępowań (w 2024 r. – 70%), a kwota udzielonych im zamówień stanowiła ok. 46% ogólnej wartości (w 2024 r. – 44%).</w:t>
      </w:r>
    </w:p>
    <w:p w14:paraId="6D6F6D4C" w14:textId="46CD0834" w:rsidR="00CD4BBE" w:rsidRPr="00E40F63" w:rsidRDefault="00072D5D" w:rsidP="00270CF3">
      <w:pPr>
        <w:pStyle w:val="Nagwek3"/>
      </w:pPr>
      <w:bookmarkStart w:id="108" w:name="_Toc64451863"/>
      <w:bookmarkStart w:id="109" w:name="_Toc233203279"/>
      <w:r w:rsidRPr="00940F93">
        <w:t xml:space="preserve">I.2.7. </w:t>
      </w:r>
      <w:r w:rsidR="00CD4BBE" w:rsidRPr="00940F93">
        <w:t>Udział polskich przedsiębiorców w rynku europejskim</w:t>
      </w:r>
      <w:bookmarkEnd w:id="108"/>
      <w:bookmarkEnd w:id="109"/>
    </w:p>
    <w:p w14:paraId="4415ABAA" w14:textId="5324196D" w:rsidR="0033037B" w:rsidRPr="0033037B" w:rsidRDefault="0033037B" w:rsidP="0033037B">
      <w:pPr>
        <w:shd w:val="clear" w:color="auto" w:fill="FFFFFF"/>
        <w:spacing w:before="120" w:line="360" w:lineRule="auto"/>
        <w:jc w:val="left"/>
      </w:pPr>
      <w:r w:rsidRPr="0033037B">
        <w:t xml:space="preserve">Ogłoszenia opublikowane w </w:t>
      </w:r>
      <w:r w:rsidR="00930E20" w:rsidRPr="0033037B">
        <w:t>Dz</w:t>
      </w:r>
      <w:r w:rsidR="00930E20">
        <w:t>.</w:t>
      </w:r>
      <w:r w:rsidR="00930E20" w:rsidRPr="0033037B">
        <w:t xml:space="preserve"> Urz</w:t>
      </w:r>
      <w:r w:rsidR="00930E20">
        <w:t>.</w:t>
      </w:r>
      <w:r w:rsidR="00930E20" w:rsidRPr="0033037B">
        <w:t xml:space="preserve"> </w:t>
      </w:r>
      <w:r w:rsidRPr="0033037B">
        <w:t>UE w 2025 r.</w:t>
      </w:r>
      <w:r w:rsidRPr="0033037B">
        <w:rPr>
          <w:vertAlign w:val="superscript"/>
        </w:rPr>
        <w:footnoteReference w:id="9"/>
      </w:r>
      <w:r w:rsidR="00DB3D67">
        <w:t xml:space="preserve"> </w:t>
      </w:r>
      <w:r w:rsidRPr="0033037B">
        <w:t>informują, że oferty</w:t>
      </w:r>
      <w:r>
        <w:t xml:space="preserve"> </w:t>
      </w:r>
      <w:r w:rsidRPr="0033037B">
        <w:t>polskich przedsiębiorców na europejskim rynku zamówień publicznych zostały wybrane w</w:t>
      </w:r>
      <w:r>
        <w:t xml:space="preserve"> </w:t>
      </w:r>
      <w:r w:rsidRPr="0033037B">
        <w:t>649 zamówieniach (w 2024 r. – w 265)</w:t>
      </w:r>
      <w:r w:rsidRPr="0033037B">
        <w:rPr>
          <w:vertAlign w:val="superscript"/>
        </w:rPr>
        <w:footnoteReference w:id="10"/>
      </w:r>
      <w:r w:rsidRPr="0033037B">
        <w:t>, a wartość tych zamówień wyniosła ok. 3 455,5 mln</w:t>
      </w:r>
      <w:r>
        <w:t xml:space="preserve"> </w:t>
      </w:r>
      <w:r w:rsidRPr="0033037B">
        <w:t>euro (w 202</w:t>
      </w:r>
      <w:r w:rsidR="007151AB">
        <w:t>4</w:t>
      </w:r>
      <w:r w:rsidRPr="0033037B">
        <w:t xml:space="preserve"> r. – ok. 5 663,5 mln euro)</w:t>
      </w:r>
      <w:r w:rsidRPr="0033037B">
        <w:rPr>
          <w:vertAlign w:val="superscript"/>
        </w:rPr>
        <w:footnoteReference w:id="11"/>
      </w:r>
      <w:r w:rsidRPr="0033037B">
        <w:t>.</w:t>
      </w:r>
    </w:p>
    <w:p w14:paraId="314DED23" w14:textId="77777777" w:rsidR="0033037B" w:rsidRPr="0033037B" w:rsidRDefault="0033037B" w:rsidP="0033037B">
      <w:pPr>
        <w:shd w:val="clear" w:color="auto" w:fill="FFFFFF"/>
        <w:spacing w:before="120" w:line="360" w:lineRule="auto"/>
        <w:jc w:val="left"/>
      </w:pPr>
      <w:r w:rsidRPr="0033037B">
        <w:lastRenderedPageBreak/>
        <w:t xml:space="preserve">Polscy wykonawcy najczęściej realizowali zamówienia na usługi – 475 zamówień. </w:t>
      </w:r>
      <w:r w:rsidRPr="0033037B">
        <w:br/>
        <w:t>W przypadku dostaw było to 136 zamówień, a w przypadku robót budowlanych – 38.</w:t>
      </w:r>
    </w:p>
    <w:p w14:paraId="18F3AF79" w14:textId="2482B31D" w:rsidR="00AB2211" w:rsidRDefault="0033037B" w:rsidP="0033037B">
      <w:pPr>
        <w:shd w:val="clear" w:color="auto" w:fill="FFFFFF"/>
        <w:spacing w:before="120" w:line="360" w:lineRule="auto"/>
        <w:jc w:val="left"/>
      </w:pPr>
      <w:r w:rsidRPr="0033037B">
        <w:t xml:space="preserve">Pod względem wartości zamówień polscy wykonawcy otrzymali najwięcej środków </w:t>
      </w:r>
      <w:r w:rsidRPr="0033037B">
        <w:br/>
        <w:t>z zamówień wielonarodowych (3 665,8 mln euro) oraz z Estonii (749,2 mln euro), Holandii (219,3 mln euro) oraz Rumunii (193,2 mln euro).</w:t>
      </w:r>
    </w:p>
    <w:p w14:paraId="56920EDD" w14:textId="03C596E8" w:rsidR="00A2102A" w:rsidRPr="00E40F63" w:rsidRDefault="00A2102A" w:rsidP="00A2102A">
      <w:pPr>
        <w:pStyle w:val="Nagwek3"/>
      </w:pPr>
      <w:bookmarkStart w:id="110" w:name="_Toc64451865"/>
      <w:bookmarkStart w:id="111" w:name="_Toc230698501"/>
      <w:bookmarkStart w:id="112" w:name="_Toc233203280"/>
      <w:r w:rsidRPr="00B333FA">
        <w:t>I.2.</w:t>
      </w:r>
      <w:r w:rsidR="0040687D">
        <w:t>8</w:t>
      </w:r>
      <w:r w:rsidRPr="00B333FA">
        <w:t>. Korzystanie ze środków ochrony prawnej</w:t>
      </w:r>
      <w:bookmarkEnd w:id="110"/>
      <w:bookmarkEnd w:id="111"/>
      <w:bookmarkEnd w:id="112"/>
    </w:p>
    <w:p w14:paraId="3C512B32" w14:textId="77777777" w:rsidR="00A2102A" w:rsidRPr="00BB47E1" w:rsidRDefault="00A2102A" w:rsidP="00A2102A">
      <w:pPr>
        <w:pStyle w:val="Nagwek4"/>
      </w:pPr>
      <w:r>
        <w:t xml:space="preserve">1. </w:t>
      </w:r>
      <w:r w:rsidRPr="00BB47E1">
        <w:t xml:space="preserve">Dane statystyczne dotyczące </w:t>
      </w:r>
      <w:proofErr w:type="spellStart"/>
      <w:r w:rsidRPr="00BB47E1">
        <w:t>odwołań</w:t>
      </w:r>
      <w:proofErr w:type="spellEnd"/>
      <w:r w:rsidRPr="00BB47E1">
        <w:t xml:space="preserve"> wnoszonych do Prezesa Krajowej Izby Odwoławczej</w:t>
      </w:r>
    </w:p>
    <w:p w14:paraId="10F3011F" w14:textId="0A3B5E81" w:rsidR="00A2102A" w:rsidRPr="00494E68" w:rsidRDefault="00A2102A" w:rsidP="00494E68">
      <w:pPr>
        <w:pStyle w:val="Legenda"/>
      </w:pPr>
      <w:bookmarkStart w:id="113" w:name="_Toc106101541"/>
      <w:bookmarkStart w:id="114" w:name="_Toc233203349"/>
      <w:r w:rsidRPr="00494E68">
        <w:t xml:space="preserve">Rys. </w:t>
      </w:r>
      <w:fldSimple w:instr=" SEQ Rys. \* ARABIC ">
        <w:r w:rsidR="00017C65">
          <w:rPr>
            <w:noProof/>
          </w:rPr>
          <w:t>28</w:t>
        </w:r>
      </w:fldSimple>
      <w:r w:rsidRPr="00494E68">
        <w:t xml:space="preserve">. Liczba wniesionych </w:t>
      </w:r>
      <w:proofErr w:type="spellStart"/>
      <w:r w:rsidRPr="00494E68">
        <w:t>odwołań</w:t>
      </w:r>
      <w:proofErr w:type="spellEnd"/>
      <w:r w:rsidRPr="00494E68">
        <w:t xml:space="preserve"> w latach 2021–2025 w podziale na rodzaj zamówienia oraz ogółem</w:t>
      </w:r>
      <w:bookmarkEnd w:id="113"/>
      <w:bookmarkEnd w:id="114"/>
    </w:p>
    <w:p w14:paraId="557EC193" w14:textId="77777777" w:rsidR="00A2102A" w:rsidRDefault="00A2102A" w:rsidP="00A2102A">
      <w:pPr>
        <w:shd w:val="clear" w:color="auto" w:fill="FFFFFF"/>
        <w:spacing w:before="120" w:line="360" w:lineRule="auto"/>
        <w:jc w:val="left"/>
      </w:pPr>
      <w:r>
        <w:rPr>
          <w:noProof/>
        </w:rPr>
        <w:drawing>
          <wp:inline distT="0" distB="0" distL="0" distR="0" wp14:anchorId="79918C6A" wp14:editId="22E4A95F">
            <wp:extent cx="5759450" cy="3730050"/>
            <wp:effectExtent l="0" t="0" r="0" b="3810"/>
            <wp:docPr id="1362563364" name="Wykres 1" descr="Liczba wniesionych odwołań w latach 2021–2025 w podziale na rodzaj zamówienia oraz ogółem" title="Liczba wniesionych odwołań w latach 2021–2025 w podziale na rodzaj zamówienia oraz ogółem">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AD510E5" w14:textId="77777777" w:rsidR="00A2102A" w:rsidRPr="00766B8E" w:rsidRDefault="00A2102A" w:rsidP="00A2102A">
      <w:pPr>
        <w:shd w:val="clear" w:color="auto" w:fill="FFFFFF"/>
        <w:spacing w:before="240" w:line="360" w:lineRule="auto"/>
        <w:jc w:val="left"/>
      </w:pPr>
      <w:r w:rsidRPr="00766B8E">
        <w:t xml:space="preserve">Liczba </w:t>
      </w:r>
      <w:proofErr w:type="spellStart"/>
      <w:r w:rsidRPr="00766B8E">
        <w:t>odwołań</w:t>
      </w:r>
      <w:proofErr w:type="spellEnd"/>
      <w:r w:rsidRPr="00766B8E">
        <w:t xml:space="preserve"> wniesionych w 2025 r. wzrosła względem roku poprzedniego i osiągnęła, kolejny raz po 2024 r., rekordowy poziom od początku funkcjonowania systemu zamówień publicznych. Skala wpływu potwierdza utrzymujący się bardzo wysoki poziom korzystania ze środków ochrony prawnej w systemie zamówień publicznych. </w:t>
      </w:r>
    </w:p>
    <w:p w14:paraId="5AF621FE" w14:textId="7A3B6EEC" w:rsidR="00A2102A" w:rsidRPr="00234661" w:rsidRDefault="00A2102A" w:rsidP="00A2102A">
      <w:pPr>
        <w:shd w:val="clear" w:color="auto" w:fill="FFFFFF"/>
        <w:spacing w:before="120" w:line="360" w:lineRule="auto"/>
        <w:jc w:val="left"/>
      </w:pPr>
      <w:r w:rsidRPr="00661798">
        <w:t>W 2025 r.</w:t>
      </w:r>
      <w:r w:rsidR="00DB3D67">
        <w:t xml:space="preserve"> </w:t>
      </w:r>
      <w:r w:rsidRPr="00661798">
        <w:t xml:space="preserve">odnotowano wpływ dwóch niekompletnych </w:t>
      </w:r>
      <w:proofErr w:type="spellStart"/>
      <w:r w:rsidRPr="00661798">
        <w:t>odwołań</w:t>
      </w:r>
      <w:proofErr w:type="spellEnd"/>
      <w:r w:rsidRPr="00661798">
        <w:t xml:space="preserve">, w których braki informacji uniemożliwiły przypisanie ich do określonych kategorii, m.in. rodzaju zamówienia. </w:t>
      </w:r>
    </w:p>
    <w:p w14:paraId="2F82F068" w14:textId="77777777" w:rsidR="00A2102A" w:rsidRPr="00742E01" w:rsidRDefault="00A2102A" w:rsidP="00A2102A">
      <w:pPr>
        <w:pStyle w:val="Nagwek4"/>
      </w:pPr>
      <w:r>
        <w:t xml:space="preserve">2. </w:t>
      </w:r>
      <w:r w:rsidRPr="00742E01">
        <w:t xml:space="preserve">Struktura wyników rozpatrzonych </w:t>
      </w:r>
      <w:proofErr w:type="spellStart"/>
      <w:r w:rsidRPr="00742E01">
        <w:t>odwołań</w:t>
      </w:r>
      <w:proofErr w:type="spellEnd"/>
      <w:r w:rsidRPr="00742E01">
        <w:t xml:space="preserve"> </w:t>
      </w:r>
    </w:p>
    <w:p w14:paraId="4D4D852C" w14:textId="674DA5E4" w:rsidR="00A2102A" w:rsidRDefault="00A2102A" w:rsidP="00A2102A">
      <w:pPr>
        <w:pStyle w:val="Legenda"/>
      </w:pPr>
      <w:bookmarkStart w:id="115" w:name="_Toc141276529"/>
      <w:bookmarkStart w:id="116" w:name="_Toc203993403"/>
      <w:bookmarkStart w:id="117" w:name="_Toc233203379"/>
      <w:r w:rsidRPr="00742E01">
        <w:lastRenderedPageBreak/>
        <w:t xml:space="preserve">Tab. </w:t>
      </w:r>
      <w:fldSimple w:instr=" SEQ Tab. \* ARABIC ">
        <w:r w:rsidR="00017C65">
          <w:rPr>
            <w:noProof/>
          </w:rPr>
          <w:t>7</w:t>
        </w:r>
      </w:fldSimple>
      <w:r w:rsidRPr="00742E01">
        <w:t xml:space="preserve">. Struktura </w:t>
      </w:r>
      <w:r>
        <w:t xml:space="preserve">rozpatrzonych </w:t>
      </w:r>
      <w:proofErr w:type="spellStart"/>
      <w:r>
        <w:t>odwołań</w:t>
      </w:r>
      <w:proofErr w:type="spellEnd"/>
      <w:r w:rsidRPr="00742E01">
        <w:t xml:space="preserve"> – 202</w:t>
      </w:r>
      <w:r>
        <w:t>5</w:t>
      </w:r>
      <w:r w:rsidRPr="00742E01">
        <w:t xml:space="preserve"> r.</w:t>
      </w:r>
      <w:bookmarkEnd w:id="115"/>
      <w:bookmarkEnd w:id="116"/>
      <w:bookmarkEnd w:id="117"/>
    </w:p>
    <w:tbl>
      <w:tblPr>
        <w:tblW w:w="9077" w:type="dxa"/>
        <w:tblInd w:w="-5" w:type="dxa"/>
        <w:tblLayout w:type="fixed"/>
        <w:tblLook w:val="04A0" w:firstRow="1" w:lastRow="0" w:firstColumn="1" w:lastColumn="0" w:noHBand="0" w:noVBand="1"/>
        <w:tblCaption w:val="Tabela. Struktura rozpatrzonych odwołań – 2025 r."/>
        <w:tblDescription w:val="Tabela. Struktura rozpatrzonych odwołań – 2025 r."/>
      </w:tblPr>
      <w:tblGrid>
        <w:gridCol w:w="6809"/>
        <w:gridCol w:w="1134"/>
        <w:gridCol w:w="1134"/>
      </w:tblGrid>
      <w:tr w:rsidR="00A2102A" w:rsidRPr="00842D79" w14:paraId="7F839F53" w14:textId="77777777" w:rsidTr="00D45E1B">
        <w:trPr>
          <w:tblHeader/>
        </w:trPr>
        <w:tc>
          <w:tcPr>
            <w:tcW w:w="6809" w:type="dxa"/>
            <w:tcBorders>
              <w:right w:val="single" w:sz="4" w:space="0" w:color="FFFFFF"/>
            </w:tcBorders>
            <w:shd w:val="clear" w:color="auto" w:fill="002060"/>
            <w:vAlign w:val="center"/>
          </w:tcPr>
          <w:p w14:paraId="31FAB616" w14:textId="77777777" w:rsidR="00A2102A" w:rsidRPr="00D50364" w:rsidRDefault="00A2102A" w:rsidP="00D45E1B">
            <w:pPr>
              <w:spacing w:before="60" w:after="60"/>
              <w:jc w:val="center"/>
              <w:rPr>
                <w:b/>
                <w:sz w:val="18"/>
                <w:szCs w:val="18"/>
              </w:rPr>
            </w:pPr>
            <w:r w:rsidRPr="00D50364">
              <w:rPr>
                <w:b/>
                <w:sz w:val="18"/>
                <w:szCs w:val="18"/>
              </w:rPr>
              <w:t>Orzeczenie</w:t>
            </w:r>
          </w:p>
        </w:tc>
        <w:tc>
          <w:tcPr>
            <w:tcW w:w="1134" w:type="dxa"/>
            <w:tcBorders>
              <w:left w:val="single" w:sz="4" w:space="0" w:color="FFFFFF"/>
            </w:tcBorders>
            <w:shd w:val="clear" w:color="auto" w:fill="002060"/>
            <w:vAlign w:val="center"/>
          </w:tcPr>
          <w:p w14:paraId="7A28404E" w14:textId="77777777" w:rsidR="00A2102A" w:rsidRPr="002A2CFF" w:rsidRDefault="00A2102A" w:rsidP="00D45E1B">
            <w:pPr>
              <w:spacing w:before="60" w:after="60"/>
              <w:jc w:val="center"/>
              <w:rPr>
                <w:b/>
                <w:sz w:val="18"/>
                <w:szCs w:val="18"/>
              </w:rPr>
            </w:pPr>
            <w:r w:rsidRPr="002A2CFF">
              <w:rPr>
                <w:b/>
                <w:sz w:val="18"/>
                <w:szCs w:val="18"/>
              </w:rPr>
              <w:t>Liczba</w:t>
            </w:r>
          </w:p>
        </w:tc>
        <w:tc>
          <w:tcPr>
            <w:tcW w:w="1134" w:type="dxa"/>
            <w:tcBorders>
              <w:left w:val="single" w:sz="4" w:space="0" w:color="FFFFFF"/>
            </w:tcBorders>
            <w:shd w:val="clear" w:color="auto" w:fill="002060"/>
            <w:vAlign w:val="center"/>
          </w:tcPr>
          <w:p w14:paraId="7537FA20" w14:textId="77777777" w:rsidR="00A2102A" w:rsidRPr="002A2CFF" w:rsidRDefault="00A2102A" w:rsidP="00D45E1B">
            <w:pPr>
              <w:spacing w:before="60" w:after="60"/>
              <w:jc w:val="center"/>
              <w:rPr>
                <w:b/>
                <w:sz w:val="18"/>
                <w:szCs w:val="18"/>
              </w:rPr>
            </w:pPr>
            <w:r w:rsidRPr="002A2CFF">
              <w:rPr>
                <w:b/>
                <w:sz w:val="18"/>
                <w:szCs w:val="18"/>
              </w:rPr>
              <w:t>Odsetek</w:t>
            </w:r>
          </w:p>
        </w:tc>
      </w:tr>
      <w:tr w:rsidR="00A2102A" w:rsidRPr="00842D79" w14:paraId="29EEE21F" w14:textId="77777777" w:rsidTr="00D45E1B">
        <w:tc>
          <w:tcPr>
            <w:tcW w:w="6809" w:type="dxa"/>
            <w:tcBorders>
              <w:right w:val="single" w:sz="4" w:space="0" w:color="FFFFFF"/>
            </w:tcBorders>
            <w:vAlign w:val="center"/>
          </w:tcPr>
          <w:p w14:paraId="77841D2C"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Rozpatrzone</w:t>
            </w:r>
          </w:p>
        </w:tc>
        <w:tc>
          <w:tcPr>
            <w:tcW w:w="1134" w:type="dxa"/>
            <w:tcBorders>
              <w:left w:val="single" w:sz="4" w:space="0" w:color="FFFFFF"/>
            </w:tcBorders>
          </w:tcPr>
          <w:p w14:paraId="22602217"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5</w:t>
            </w:r>
            <w:r>
              <w:rPr>
                <w:sz w:val="18"/>
                <w:szCs w:val="18"/>
              </w:rPr>
              <w:t xml:space="preserve"> </w:t>
            </w:r>
            <w:r w:rsidRPr="002A2CFF">
              <w:rPr>
                <w:sz w:val="18"/>
                <w:szCs w:val="18"/>
              </w:rPr>
              <w:t>526</w:t>
            </w:r>
          </w:p>
        </w:tc>
        <w:tc>
          <w:tcPr>
            <w:tcW w:w="1134" w:type="dxa"/>
            <w:tcBorders>
              <w:left w:val="single" w:sz="4" w:space="0" w:color="FFFFFF"/>
            </w:tcBorders>
          </w:tcPr>
          <w:p w14:paraId="5D087EA2"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100%</w:t>
            </w:r>
          </w:p>
        </w:tc>
      </w:tr>
      <w:tr w:rsidR="00A2102A" w:rsidRPr="00842D79" w14:paraId="2D7C8AC5" w14:textId="77777777" w:rsidTr="00D45E1B">
        <w:tc>
          <w:tcPr>
            <w:tcW w:w="6809" w:type="dxa"/>
            <w:tcBorders>
              <w:right w:val="single" w:sz="4" w:space="0" w:color="FFFFFF"/>
            </w:tcBorders>
            <w:shd w:val="clear" w:color="auto" w:fill="00B0F0"/>
            <w:vAlign w:val="center"/>
          </w:tcPr>
          <w:p w14:paraId="4C658DDC"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Zwrot z powodu braku wpisu lub nieuzupełnienia braków formalnych</w:t>
            </w:r>
          </w:p>
        </w:tc>
        <w:tc>
          <w:tcPr>
            <w:tcW w:w="1134" w:type="dxa"/>
            <w:tcBorders>
              <w:left w:val="single" w:sz="4" w:space="0" w:color="FFFFFF"/>
            </w:tcBorders>
            <w:shd w:val="clear" w:color="auto" w:fill="00B0F0"/>
          </w:tcPr>
          <w:p w14:paraId="6F001F83"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286</w:t>
            </w:r>
          </w:p>
        </w:tc>
        <w:tc>
          <w:tcPr>
            <w:tcW w:w="1134" w:type="dxa"/>
            <w:tcBorders>
              <w:left w:val="single" w:sz="4" w:space="0" w:color="FFFFFF"/>
            </w:tcBorders>
            <w:shd w:val="clear" w:color="auto" w:fill="00B0F0"/>
          </w:tcPr>
          <w:p w14:paraId="72C5E8B0"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5%</w:t>
            </w:r>
          </w:p>
        </w:tc>
      </w:tr>
      <w:tr w:rsidR="00A2102A" w:rsidRPr="00842D79" w14:paraId="3E4297A5" w14:textId="77777777" w:rsidTr="00D45E1B">
        <w:tc>
          <w:tcPr>
            <w:tcW w:w="6809" w:type="dxa"/>
            <w:tcBorders>
              <w:right w:val="single" w:sz="4" w:space="0" w:color="FFFFFF"/>
            </w:tcBorders>
            <w:vAlign w:val="center"/>
          </w:tcPr>
          <w:p w14:paraId="1DE47186"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Umorzenie postępowania z powodu uwzględnienia zarzutów odwołania przez zamawiającego</w:t>
            </w:r>
          </w:p>
        </w:tc>
        <w:tc>
          <w:tcPr>
            <w:tcW w:w="1134" w:type="dxa"/>
            <w:tcBorders>
              <w:left w:val="single" w:sz="4" w:space="0" w:color="FFFFFF"/>
            </w:tcBorders>
          </w:tcPr>
          <w:p w14:paraId="5FE3DFDE"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905</w:t>
            </w:r>
          </w:p>
        </w:tc>
        <w:tc>
          <w:tcPr>
            <w:tcW w:w="1134" w:type="dxa"/>
            <w:tcBorders>
              <w:left w:val="single" w:sz="4" w:space="0" w:color="FFFFFF"/>
            </w:tcBorders>
          </w:tcPr>
          <w:p w14:paraId="44103EB6"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16%</w:t>
            </w:r>
          </w:p>
        </w:tc>
      </w:tr>
      <w:tr w:rsidR="00A2102A" w:rsidRPr="009F3EF5" w14:paraId="04A2AF3E" w14:textId="77777777" w:rsidTr="00D45E1B">
        <w:tc>
          <w:tcPr>
            <w:tcW w:w="6809" w:type="dxa"/>
            <w:tcBorders>
              <w:right w:val="single" w:sz="4" w:space="0" w:color="FFFFFF"/>
            </w:tcBorders>
            <w:shd w:val="clear" w:color="auto" w:fill="00B0F0"/>
            <w:vAlign w:val="center"/>
          </w:tcPr>
          <w:p w14:paraId="1BC07261" w14:textId="77777777" w:rsidR="00A2102A" w:rsidRPr="00D50364" w:rsidRDefault="00A2102A" w:rsidP="00D45E1B">
            <w:pPr>
              <w:autoSpaceDE w:val="0"/>
              <w:autoSpaceDN w:val="0"/>
              <w:adjustRightInd w:val="0"/>
              <w:spacing w:before="60" w:after="60"/>
              <w:jc w:val="left"/>
              <w:rPr>
                <w:b/>
                <w:color w:val="000000"/>
                <w:sz w:val="18"/>
                <w:szCs w:val="18"/>
              </w:rPr>
            </w:pPr>
            <w:r w:rsidRPr="003B1825">
              <w:rPr>
                <w:b/>
                <w:color w:val="000000"/>
                <w:sz w:val="18"/>
                <w:szCs w:val="18"/>
              </w:rPr>
              <w:t>Umorzenie postępowania w związku z art. 568 pkt 2 ustawy Pzp</w:t>
            </w:r>
          </w:p>
        </w:tc>
        <w:tc>
          <w:tcPr>
            <w:tcW w:w="1134" w:type="dxa"/>
            <w:tcBorders>
              <w:left w:val="single" w:sz="4" w:space="0" w:color="FFFFFF"/>
            </w:tcBorders>
            <w:shd w:val="clear" w:color="auto" w:fill="00B0F0"/>
          </w:tcPr>
          <w:p w14:paraId="40F0BA1F"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566</w:t>
            </w:r>
          </w:p>
        </w:tc>
        <w:tc>
          <w:tcPr>
            <w:tcW w:w="1134" w:type="dxa"/>
            <w:tcBorders>
              <w:left w:val="single" w:sz="4" w:space="0" w:color="FFFFFF"/>
            </w:tcBorders>
            <w:shd w:val="clear" w:color="auto" w:fill="00B0F0"/>
          </w:tcPr>
          <w:p w14:paraId="6E210AA8"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10%</w:t>
            </w:r>
          </w:p>
        </w:tc>
      </w:tr>
      <w:tr w:rsidR="00A2102A" w:rsidRPr="00842D79" w14:paraId="01DF27DE" w14:textId="77777777" w:rsidTr="00D45E1B">
        <w:tc>
          <w:tcPr>
            <w:tcW w:w="6809" w:type="dxa"/>
            <w:tcBorders>
              <w:right w:val="single" w:sz="4" w:space="0" w:color="FFFFFF"/>
            </w:tcBorders>
            <w:vAlign w:val="center"/>
          </w:tcPr>
          <w:p w14:paraId="702999B0"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Umorzenie postępowania z powodu cofnięcia odwołania</w:t>
            </w:r>
            <w:r w:rsidRPr="00D50364">
              <w:rPr>
                <w:rFonts w:cs="Arial"/>
                <w:b/>
                <w:sz w:val="18"/>
                <w:szCs w:val="18"/>
              </w:rPr>
              <w:t xml:space="preserve"> </w:t>
            </w:r>
          </w:p>
        </w:tc>
        <w:tc>
          <w:tcPr>
            <w:tcW w:w="1134" w:type="dxa"/>
            <w:tcBorders>
              <w:left w:val="single" w:sz="4" w:space="0" w:color="FFFFFF"/>
            </w:tcBorders>
          </w:tcPr>
          <w:p w14:paraId="06F9EFAD"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1185</w:t>
            </w:r>
          </w:p>
        </w:tc>
        <w:tc>
          <w:tcPr>
            <w:tcW w:w="1134" w:type="dxa"/>
            <w:tcBorders>
              <w:left w:val="single" w:sz="4" w:space="0" w:color="FFFFFF"/>
            </w:tcBorders>
          </w:tcPr>
          <w:p w14:paraId="3D6C6157"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21%</w:t>
            </w:r>
          </w:p>
        </w:tc>
      </w:tr>
      <w:tr w:rsidR="00A2102A" w:rsidRPr="009F3EF5" w14:paraId="78716B98" w14:textId="77777777" w:rsidTr="00D45E1B">
        <w:tc>
          <w:tcPr>
            <w:tcW w:w="6809" w:type="dxa"/>
            <w:tcBorders>
              <w:right w:val="single" w:sz="4" w:space="0" w:color="FFFFFF"/>
            </w:tcBorders>
            <w:shd w:val="clear" w:color="auto" w:fill="00B0F0"/>
            <w:vAlign w:val="center"/>
          </w:tcPr>
          <w:p w14:paraId="69091A48"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Odrzucone</w:t>
            </w:r>
          </w:p>
        </w:tc>
        <w:tc>
          <w:tcPr>
            <w:tcW w:w="1134" w:type="dxa"/>
            <w:tcBorders>
              <w:left w:val="single" w:sz="4" w:space="0" w:color="FFFFFF"/>
            </w:tcBorders>
            <w:shd w:val="clear" w:color="auto" w:fill="00B0F0"/>
          </w:tcPr>
          <w:p w14:paraId="1D422390"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78</w:t>
            </w:r>
          </w:p>
        </w:tc>
        <w:tc>
          <w:tcPr>
            <w:tcW w:w="1134" w:type="dxa"/>
            <w:tcBorders>
              <w:left w:val="single" w:sz="4" w:space="0" w:color="FFFFFF"/>
            </w:tcBorders>
            <w:shd w:val="clear" w:color="auto" w:fill="00B0F0"/>
          </w:tcPr>
          <w:p w14:paraId="0D5B08E8"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1%</w:t>
            </w:r>
          </w:p>
        </w:tc>
      </w:tr>
      <w:tr w:rsidR="00A2102A" w:rsidRPr="00842D79" w14:paraId="32EF7662" w14:textId="77777777" w:rsidTr="00D45E1B">
        <w:tc>
          <w:tcPr>
            <w:tcW w:w="6809" w:type="dxa"/>
            <w:tcBorders>
              <w:right w:val="single" w:sz="4" w:space="0" w:color="FFFFFF"/>
            </w:tcBorders>
            <w:vAlign w:val="center"/>
          </w:tcPr>
          <w:p w14:paraId="323992B7"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Oddalone</w:t>
            </w:r>
          </w:p>
        </w:tc>
        <w:tc>
          <w:tcPr>
            <w:tcW w:w="1134" w:type="dxa"/>
            <w:tcBorders>
              <w:left w:val="single" w:sz="4" w:space="0" w:color="FFFFFF"/>
            </w:tcBorders>
          </w:tcPr>
          <w:p w14:paraId="65BE50EB"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1</w:t>
            </w:r>
            <w:r>
              <w:rPr>
                <w:sz w:val="18"/>
                <w:szCs w:val="18"/>
              </w:rPr>
              <w:t xml:space="preserve"> </w:t>
            </w:r>
            <w:r w:rsidRPr="002A2CFF">
              <w:rPr>
                <w:sz w:val="18"/>
                <w:szCs w:val="18"/>
              </w:rPr>
              <w:t>619</w:t>
            </w:r>
          </w:p>
        </w:tc>
        <w:tc>
          <w:tcPr>
            <w:tcW w:w="1134" w:type="dxa"/>
            <w:tcBorders>
              <w:left w:val="single" w:sz="4" w:space="0" w:color="FFFFFF"/>
            </w:tcBorders>
          </w:tcPr>
          <w:p w14:paraId="51332A6D"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29%</w:t>
            </w:r>
          </w:p>
        </w:tc>
      </w:tr>
      <w:tr w:rsidR="00A2102A" w:rsidRPr="009F3EF5" w14:paraId="27EB817E" w14:textId="77777777" w:rsidTr="00D45E1B">
        <w:tc>
          <w:tcPr>
            <w:tcW w:w="6809" w:type="dxa"/>
            <w:tcBorders>
              <w:right w:val="single" w:sz="4" w:space="0" w:color="FFFFFF"/>
            </w:tcBorders>
            <w:shd w:val="clear" w:color="auto" w:fill="00B0F0"/>
            <w:vAlign w:val="center"/>
          </w:tcPr>
          <w:p w14:paraId="279D5ED3"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Uwzględnione</w:t>
            </w:r>
          </w:p>
        </w:tc>
        <w:tc>
          <w:tcPr>
            <w:tcW w:w="1134" w:type="dxa"/>
            <w:tcBorders>
              <w:left w:val="single" w:sz="4" w:space="0" w:color="FFFFFF"/>
            </w:tcBorders>
            <w:shd w:val="clear" w:color="auto" w:fill="00B0F0"/>
          </w:tcPr>
          <w:p w14:paraId="5B4B9A98"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814</w:t>
            </w:r>
          </w:p>
        </w:tc>
        <w:tc>
          <w:tcPr>
            <w:tcW w:w="1134" w:type="dxa"/>
            <w:tcBorders>
              <w:left w:val="single" w:sz="4" w:space="0" w:color="FFFFFF"/>
            </w:tcBorders>
            <w:shd w:val="clear" w:color="auto" w:fill="00B0F0"/>
          </w:tcPr>
          <w:p w14:paraId="7E76A02B"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15%</w:t>
            </w:r>
          </w:p>
        </w:tc>
      </w:tr>
      <w:tr w:rsidR="00A2102A" w:rsidRPr="00842D79" w14:paraId="49872AB9" w14:textId="77777777" w:rsidTr="00D45E1B">
        <w:tc>
          <w:tcPr>
            <w:tcW w:w="6809" w:type="dxa"/>
            <w:tcBorders>
              <w:right w:val="single" w:sz="4" w:space="0" w:color="FFFFFF"/>
            </w:tcBorders>
            <w:vAlign w:val="center"/>
          </w:tcPr>
          <w:p w14:paraId="10D37998" w14:textId="77777777" w:rsidR="00A2102A" w:rsidRPr="00D50364" w:rsidRDefault="00A2102A" w:rsidP="00D45E1B">
            <w:pPr>
              <w:autoSpaceDE w:val="0"/>
              <w:autoSpaceDN w:val="0"/>
              <w:adjustRightInd w:val="0"/>
              <w:spacing w:before="60" w:after="60"/>
              <w:jc w:val="left"/>
              <w:rPr>
                <w:b/>
                <w:color w:val="000000"/>
                <w:sz w:val="18"/>
                <w:szCs w:val="18"/>
              </w:rPr>
            </w:pPr>
            <w:r w:rsidRPr="003B1825">
              <w:rPr>
                <w:b/>
                <w:color w:val="000000"/>
                <w:sz w:val="18"/>
                <w:szCs w:val="18"/>
              </w:rPr>
              <w:t>Częściowo: oddalone, odrzucone</w:t>
            </w:r>
          </w:p>
        </w:tc>
        <w:tc>
          <w:tcPr>
            <w:tcW w:w="1134" w:type="dxa"/>
            <w:tcBorders>
              <w:left w:val="single" w:sz="4" w:space="0" w:color="FFFFFF"/>
            </w:tcBorders>
          </w:tcPr>
          <w:p w14:paraId="1BEC8640"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3</w:t>
            </w:r>
          </w:p>
        </w:tc>
        <w:tc>
          <w:tcPr>
            <w:tcW w:w="1134" w:type="dxa"/>
            <w:tcBorders>
              <w:left w:val="single" w:sz="4" w:space="0" w:color="FFFFFF"/>
            </w:tcBorders>
          </w:tcPr>
          <w:p w14:paraId="5BE70A68"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0%</w:t>
            </w:r>
          </w:p>
        </w:tc>
      </w:tr>
      <w:tr w:rsidR="00A2102A" w:rsidRPr="009F3EF5" w14:paraId="178A7F1F" w14:textId="77777777" w:rsidTr="00D45E1B">
        <w:tc>
          <w:tcPr>
            <w:tcW w:w="6809" w:type="dxa"/>
            <w:tcBorders>
              <w:right w:val="single" w:sz="4" w:space="0" w:color="FFFFFF"/>
            </w:tcBorders>
            <w:shd w:val="clear" w:color="auto" w:fill="00B0F0"/>
            <w:vAlign w:val="center"/>
          </w:tcPr>
          <w:p w14:paraId="617EC71C" w14:textId="77777777" w:rsidR="00A2102A" w:rsidRPr="00D50364" w:rsidRDefault="00A2102A" w:rsidP="00D45E1B">
            <w:pPr>
              <w:autoSpaceDE w:val="0"/>
              <w:autoSpaceDN w:val="0"/>
              <w:adjustRightInd w:val="0"/>
              <w:spacing w:before="60" w:after="60"/>
              <w:jc w:val="left"/>
              <w:rPr>
                <w:b/>
                <w:color w:val="000000"/>
                <w:sz w:val="18"/>
                <w:szCs w:val="18"/>
              </w:rPr>
            </w:pPr>
            <w:r w:rsidRPr="003B1825">
              <w:rPr>
                <w:b/>
                <w:color w:val="000000"/>
                <w:sz w:val="18"/>
                <w:szCs w:val="18"/>
              </w:rPr>
              <w:t>Częściowo: oddalone, umorzone</w:t>
            </w:r>
          </w:p>
        </w:tc>
        <w:tc>
          <w:tcPr>
            <w:tcW w:w="1134" w:type="dxa"/>
            <w:tcBorders>
              <w:left w:val="single" w:sz="4" w:space="0" w:color="FFFFFF"/>
            </w:tcBorders>
            <w:shd w:val="clear" w:color="auto" w:fill="00B0F0"/>
          </w:tcPr>
          <w:p w14:paraId="57A95716"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28</w:t>
            </w:r>
          </w:p>
        </w:tc>
        <w:tc>
          <w:tcPr>
            <w:tcW w:w="1134" w:type="dxa"/>
            <w:tcBorders>
              <w:left w:val="single" w:sz="4" w:space="0" w:color="FFFFFF"/>
            </w:tcBorders>
            <w:shd w:val="clear" w:color="auto" w:fill="00B0F0"/>
          </w:tcPr>
          <w:p w14:paraId="167EBFA3"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1%</w:t>
            </w:r>
          </w:p>
        </w:tc>
      </w:tr>
      <w:tr w:rsidR="00A2102A" w:rsidRPr="00842D79" w14:paraId="65B2B7B1" w14:textId="77777777" w:rsidTr="00D45E1B">
        <w:tc>
          <w:tcPr>
            <w:tcW w:w="6809" w:type="dxa"/>
            <w:tcBorders>
              <w:right w:val="single" w:sz="4" w:space="0" w:color="FFFFFF"/>
            </w:tcBorders>
            <w:vAlign w:val="center"/>
          </w:tcPr>
          <w:p w14:paraId="373B96DD" w14:textId="77777777" w:rsidR="00A2102A" w:rsidRPr="00D50364" w:rsidRDefault="00A2102A" w:rsidP="00D45E1B">
            <w:pPr>
              <w:autoSpaceDE w:val="0"/>
              <w:autoSpaceDN w:val="0"/>
              <w:adjustRightInd w:val="0"/>
              <w:spacing w:before="60" w:after="60"/>
              <w:jc w:val="left"/>
              <w:rPr>
                <w:b/>
                <w:color w:val="000000"/>
                <w:sz w:val="18"/>
                <w:szCs w:val="18"/>
              </w:rPr>
            </w:pPr>
            <w:r w:rsidRPr="003B1825">
              <w:rPr>
                <w:b/>
                <w:color w:val="000000"/>
                <w:sz w:val="18"/>
                <w:szCs w:val="18"/>
              </w:rPr>
              <w:t>Częściowo: oddalone, uwzględnione</w:t>
            </w:r>
          </w:p>
        </w:tc>
        <w:tc>
          <w:tcPr>
            <w:tcW w:w="1134" w:type="dxa"/>
            <w:tcBorders>
              <w:left w:val="single" w:sz="4" w:space="0" w:color="FFFFFF"/>
            </w:tcBorders>
          </w:tcPr>
          <w:p w14:paraId="04176485"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17</w:t>
            </w:r>
          </w:p>
        </w:tc>
        <w:tc>
          <w:tcPr>
            <w:tcW w:w="1134" w:type="dxa"/>
            <w:tcBorders>
              <w:left w:val="single" w:sz="4" w:space="0" w:color="FFFFFF"/>
            </w:tcBorders>
          </w:tcPr>
          <w:p w14:paraId="1077F9B1"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0%</w:t>
            </w:r>
          </w:p>
        </w:tc>
      </w:tr>
      <w:tr w:rsidR="00A2102A" w:rsidRPr="009F3EF5" w14:paraId="04AB2D14" w14:textId="77777777" w:rsidTr="00D45E1B">
        <w:tc>
          <w:tcPr>
            <w:tcW w:w="6809" w:type="dxa"/>
            <w:tcBorders>
              <w:right w:val="single" w:sz="4" w:space="0" w:color="FFFFFF"/>
            </w:tcBorders>
            <w:shd w:val="clear" w:color="auto" w:fill="00B0F0"/>
            <w:vAlign w:val="center"/>
          </w:tcPr>
          <w:p w14:paraId="143DEA94" w14:textId="77777777" w:rsidR="00A2102A" w:rsidRPr="00D50364" w:rsidRDefault="00A2102A" w:rsidP="00D45E1B">
            <w:pPr>
              <w:autoSpaceDE w:val="0"/>
              <w:autoSpaceDN w:val="0"/>
              <w:adjustRightInd w:val="0"/>
              <w:spacing w:before="60" w:after="60"/>
              <w:jc w:val="left"/>
              <w:rPr>
                <w:b/>
                <w:color w:val="000000"/>
                <w:sz w:val="18"/>
                <w:szCs w:val="18"/>
              </w:rPr>
            </w:pPr>
            <w:r w:rsidRPr="003B1825">
              <w:rPr>
                <w:b/>
                <w:color w:val="000000"/>
                <w:sz w:val="18"/>
                <w:szCs w:val="18"/>
              </w:rPr>
              <w:t>Częściowo: oddalone, uwzględnione, odrzucone</w:t>
            </w:r>
          </w:p>
        </w:tc>
        <w:tc>
          <w:tcPr>
            <w:tcW w:w="1134" w:type="dxa"/>
            <w:tcBorders>
              <w:left w:val="single" w:sz="4" w:space="0" w:color="FFFFFF"/>
            </w:tcBorders>
            <w:shd w:val="clear" w:color="auto" w:fill="00B0F0"/>
          </w:tcPr>
          <w:p w14:paraId="265CEB1C"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1</w:t>
            </w:r>
          </w:p>
        </w:tc>
        <w:tc>
          <w:tcPr>
            <w:tcW w:w="1134" w:type="dxa"/>
            <w:tcBorders>
              <w:left w:val="single" w:sz="4" w:space="0" w:color="FFFFFF"/>
            </w:tcBorders>
            <w:shd w:val="clear" w:color="auto" w:fill="00B0F0"/>
          </w:tcPr>
          <w:p w14:paraId="55B4659D"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0%</w:t>
            </w:r>
          </w:p>
        </w:tc>
      </w:tr>
      <w:tr w:rsidR="00A2102A" w:rsidRPr="00842D79" w14:paraId="56406984" w14:textId="77777777" w:rsidTr="00D45E1B">
        <w:tc>
          <w:tcPr>
            <w:tcW w:w="6809" w:type="dxa"/>
            <w:tcBorders>
              <w:right w:val="single" w:sz="4" w:space="0" w:color="FFFFFF"/>
            </w:tcBorders>
            <w:vAlign w:val="center"/>
          </w:tcPr>
          <w:p w14:paraId="35ED011A" w14:textId="77777777" w:rsidR="00A2102A" w:rsidRPr="00D50364" w:rsidRDefault="00A2102A" w:rsidP="00D45E1B">
            <w:pPr>
              <w:autoSpaceDE w:val="0"/>
              <w:autoSpaceDN w:val="0"/>
              <w:adjustRightInd w:val="0"/>
              <w:spacing w:before="60" w:after="60"/>
              <w:jc w:val="left"/>
              <w:rPr>
                <w:b/>
                <w:color w:val="000000"/>
                <w:sz w:val="18"/>
                <w:szCs w:val="18"/>
              </w:rPr>
            </w:pPr>
            <w:r w:rsidRPr="003B1825">
              <w:rPr>
                <w:b/>
                <w:color w:val="000000"/>
                <w:sz w:val="18"/>
                <w:szCs w:val="18"/>
              </w:rPr>
              <w:t>Częściowo: oddalone, uwzględnione, umorzone</w:t>
            </w:r>
          </w:p>
        </w:tc>
        <w:tc>
          <w:tcPr>
            <w:tcW w:w="1134" w:type="dxa"/>
            <w:tcBorders>
              <w:left w:val="single" w:sz="4" w:space="0" w:color="FFFFFF"/>
            </w:tcBorders>
          </w:tcPr>
          <w:p w14:paraId="60501C0F"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17</w:t>
            </w:r>
          </w:p>
        </w:tc>
        <w:tc>
          <w:tcPr>
            <w:tcW w:w="1134" w:type="dxa"/>
            <w:tcBorders>
              <w:left w:val="single" w:sz="4" w:space="0" w:color="FFFFFF"/>
            </w:tcBorders>
          </w:tcPr>
          <w:p w14:paraId="7C514E93"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0%</w:t>
            </w:r>
          </w:p>
        </w:tc>
      </w:tr>
      <w:tr w:rsidR="00A2102A" w:rsidRPr="009F3EF5" w14:paraId="1DE889C8" w14:textId="77777777" w:rsidTr="00D45E1B">
        <w:tc>
          <w:tcPr>
            <w:tcW w:w="6809" w:type="dxa"/>
            <w:tcBorders>
              <w:right w:val="single" w:sz="4" w:space="0" w:color="FFFFFF"/>
            </w:tcBorders>
            <w:shd w:val="clear" w:color="auto" w:fill="00B0F0"/>
            <w:vAlign w:val="center"/>
          </w:tcPr>
          <w:p w14:paraId="001CE092" w14:textId="77777777" w:rsidR="00A2102A" w:rsidRPr="00D50364" w:rsidRDefault="00A2102A" w:rsidP="00D45E1B">
            <w:pPr>
              <w:autoSpaceDE w:val="0"/>
              <w:autoSpaceDN w:val="0"/>
              <w:adjustRightInd w:val="0"/>
              <w:spacing w:before="60" w:after="60"/>
              <w:jc w:val="left"/>
              <w:rPr>
                <w:b/>
                <w:color w:val="000000"/>
                <w:sz w:val="18"/>
                <w:szCs w:val="18"/>
              </w:rPr>
            </w:pPr>
            <w:r w:rsidRPr="003B1825">
              <w:rPr>
                <w:b/>
                <w:color w:val="000000"/>
                <w:sz w:val="18"/>
                <w:szCs w:val="18"/>
              </w:rPr>
              <w:t>Częściowo: uwzględnione, umorzone</w:t>
            </w:r>
          </w:p>
        </w:tc>
        <w:tc>
          <w:tcPr>
            <w:tcW w:w="1134" w:type="dxa"/>
            <w:tcBorders>
              <w:left w:val="single" w:sz="4" w:space="0" w:color="FFFFFF"/>
            </w:tcBorders>
            <w:shd w:val="clear" w:color="auto" w:fill="00B0F0"/>
          </w:tcPr>
          <w:p w14:paraId="6EDFFEED"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7</w:t>
            </w:r>
          </w:p>
        </w:tc>
        <w:tc>
          <w:tcPr>
            <w:tcW w:w="1134" w:type="dxa"/>
            <w:tcBorders>
              <w:left w:val="single" w:sz="4" w:space="0" w:color="FFFFFF"/>
            </w:tcBorders>
            <w:shd w:val="clear" w:color="auto" w:fill="00B0F0"/>
          </w:tcPr>
          <w:p w14:paraId="2243CBA7" w14:textId="77777777" w:rsidR="00A2102A" w:rsidRPr="002A2CFF" w:rsidRDefault="00A2102A" w:rsidP="00D45E1B">
            <w:pPr>
              <w:autoSpaceDE w:val="0"/>
              <w:autoSpaceDN w:val="0"/>
              <w:adjustRightInd w:val="0"/>
              <w:spacing w:before="60" w:after="60"/>
              <w:jc w:val="center"/>
              <w:rPr>
                <w:color w:val="000000"/>
                <w:sz w:val="18"/>
                <w:szCs w:val="18"/>
              </w:rPr>
            </w:pPr>
            <w:r w:rsidRPr="002A2CFF">
              <w:rPr>
                <w:sz w:val="18"/>
                <w:szCs w:val="18"/>
              </w:rPr>
              <w:t>0%</w:t>
            </w:r>
          </w:p>
        </w:tc>
      </w:tr>
    </w:tbl>
    <w:p w14:paraId="7CFA7566" w14:textId="5D46A0E5" w:rsidR="00A2102A" w:rsidRDefault="00A2102A" w:rsidP="00A2102A">
      <w:pPr>
        <w:shd w:val="clear" w:color="auto" w:fill="FFFFFF"/>
        <w:spacing w:before="240" w:line="360" w:lineRule="auto"/>
        <w:jc w:val="left"/>
        <w:rPr>
          <w:rFonts w:cs="Arial"/>
        </w:rPr>
      </w:pPr>
      <w:r w:rsidRPr="0057121E">
        <w:rPr>
          <w:rFonts w:cs="Arial"/>
        </w:rPr>
        <w:t>W okresie od 1 stycznia 2025 r. do 31 grudnia 2025 r. Krajowa Izba Odwoławcza</w:t>
      </w:r>
      <w:r w:rsidR="007E1619">
        <w:rPr>
          <w:rFonts w:cs="Arial"/>
        </w:rPr>
        <w:t>, zwana dalej „KIO”</w:t>
      </w:r>
      <w:r w:rsidR="009A0863">
        <w:rPr>
          <w:rFonts w:cs="Arial"/>
        </w:rPr>
        <w:t>,</w:t>
      </w:r>
      <w:r w:rsidRPr="0057121E">
        <w:rPr>
          <w:rFonts w:cs="Arial"/>
        </w:rPr>
        <w:t xml:space="preserve"> rozpoznała </w:t>
      </w:r>
      <w:r w:rsidR="00FC297B" w:rsidRPr="00FC297B">
        <w:rPr>
          <w:rFonts w:cs="Arial"/>
        </w:rPr>
        <w:t>5</w:t>
      </w:r>
      <w:r w:rsidR="00FC297B">
        <w:rPr>
          <w:rFonts w:cs="Arial"/>
        </w:rPr>
        <w:t> </w:t>
      </w:r>
      <w:r w:rsidR="00FC297B" w:rsidRPr="00FC297B">
        <w:rPr>
          <w:rFonts w:cs="Arial"/>
        </w:rPr>
        <w:t>526</w:t>
      </w:r>
      <w:r w:rsidR="00FC297B">
        <w:rPr>
          <w:rFonts w:cs="Arial"/>
        </w:rPr>
        <w:t xml:space="preserve"> </w:t>
      </w:r>
      <w:proofErr w:type="spellStart"/>
      <w:r w:rsidRPr="0057121E">
        <w:rPr>
          <w:rFonts w:cs="Arial"/>
        </w:rPr>
        <w:t>odwołań</w:t>
      </w:r>
      <w:proofErr w:type="spellEnd"/>
      <w:r w:rsidRPr="0057121E">
        <w:rPr>
          <w:rFonts w:cs="Arial"/>
        </w:rPr>
        <w:t>.</w:t>
      </w:r>
      <w:r>
        <w:rPr>
          <w:rFonts w:cs="Arial"/>
        </w:rPr>
        <w:t xml:space="preserve"> </w:t>
      </w:r>
      <w:r w:rsidRPr="0057121E">
        <w:rPr>
          <w:rFonts w:cs="Arial"/>
        </w:rPr>
        <w:t xml:space="preserve">Dla porównania struktura rozpatrzonych </w:t>
      </w:r>
      <w:proofErr w:type="spellStart"/>
      <w:r w:rsidRPr="0057121E">
        <w:rPr>
          <w:rFonts w:cs="Arial"/>
        </w:rPr>
        <w:t>odwołań</w:t>
      </w:r>
      <w:proofErr w:type="spellEnd"/>
      <w:r w:rsidRPr="0057121E">
        <w:rPr>
          <w:rFonts w:cs="Arial"/>
        </w:rPr>
        <w:t xml:space="preserve"> w 202</w:t>
      </w:r>
      <w:r>
        <w:rPr>
          <w:rFonts w:cs="Arial"/>
        </w:rPr>
        <w:t>4</w:t>
      </w:r>
      <w:r w:rsidRPr="0057121E">
        <w:rPr>
          <w:rFonts w:cs="Arial"/>
        </w:rPr>
        <w:t xml:space="preserve"> r.:</w:t>
      </w:r>
    </w:p>
    <w:p w14:paraId="2F76CFA7" w14:textId="617192C2" w:rsidR="00A2102A" w:rsidRDefault="00A2102A" w:rsidP="00A2102A">
      <w:pPr>
        <w:pStyle w:val="Legenda"/>
      </w:pPr>
      <w:bookmarkStart w:id="118" w:name="_Toc233203380"/>
      <w:r w:rsidRPr="00742E01">
        <w:t xml:space="preserve">Tab. </w:t>
      </w:r>
      <w:fldSimple w:instr=" SEQ Tab. \* ARABIC ">
        <w:r w:rsidR="00017C65">
          <w:rPr>
            <w:noProof/>
          </w:rPr>
          <w:t>8</w:t>
        </w:r>
      </w:fldSimple>
      <w:r w:rsidRPr="00742E01">
        <w:t xml:space="preserve">. Struktura </w:t>
      </w:r>
      <w:r>
        <w:t xml:space="preserve">rozpatrzonych </w:t>
      </w:r>
      <w:proofErr w:type="spellStart"/>
      <w:r>
        <w:t>odwołań</w:t>
      </w:r>
      <w:proofErr w:type="spellEnd"/>
      <w:r w:rsidRPr="00742E01">
        <w:t xml:space="preserve"> – 202</w:t>
      </w:r>
      <w:r>
        <w:t>4</w:t>
      </w:r>
      <w:r w:rsidRPr="00742E01">
        <w:t xml:space="preserve"> r.</w:t>
      </w:r>
      <w:bookmarkEnd w:id="118"/>
    </w:p>
    <w:tbl>
      <w:tblPr>
        <w:tblW w:w="9077" w:type="dxa"/>
        <w:tblInd w:w="-5" w:type="dxa"/>
        <w:tblLayout w:type="fixed"/>
        <w:tblLook w:val="04A0" w:firstRow="1" w:lastRow="0" w:firstColumn="1" w:lastColumn="0" w:noHBand="0" w:noVBand="1"/>
        <w:tblCaption w:val="Tabela. Struktura rozpatrzonych odwołań – 2024 r."/>
        <w:tblDescription w:val="Tabela. Struktura rozpatrzonych odwołań – 2024 r."/>
      </w:tblPr>
      <w:tblGrid>
        <w:gridCol w:w="6809"/>
        <w:gridCol w:w="1134"/>
        <w:gridCol w:w="1134"/>
      </w:tblGrid>
      <w:tr w:rsidR="00A2102A" w:rsidRPr="00842D79" w14:paraId="257E9F19" w14:textId="77777777" w:rsidTr="00D45E1B">
        <w:trPr>
          <w:tblHeader/>
        </w:trPr>
        <w:tc>
          <w:tcPr>
            <w:tcW w:w="6809" w:type="dxa"/>
            <w:tcBorders>
              <w:right w:val="single" w:sz="4" w:space="0" w:color="FFFFFF"/>
            </w:tcBorders>
            <w:shd w:val="clear" w:color="auto" w:fill="002060"/>
            <w:vAlign w:val="center"/>
          </w:tcPr>
          <w:p w14:paraId="7C090E69" w14:textId="77777777" w:rsidR="00A2102A" w:rsidRPr="00D50364" w:rsidRDefault="00A2102A" w:rsidP="00D45E1B">
            <w:pPr>
              <w:spacing w:before="60" w:after="60"/>
              <w:jc w:val="center"/>
              <w:rPr>
                <w:b/>
                <w:sz w:val="18"/>
                <w:szCs w:val="18"/>
              </w:rPr>
            </w:pPr>
            <w:r w:rsidRPr="00D50364">
              <w:rPr>
                <w:b/>
                <w:sz w:val="18"/>
                <w:szCs w:val="18"/>
              </w:rPr>
              <w:t>Orzeczenie</w:t>
            </w:r>
          </w:p>
        </w:tc>
        <w:tc>
          <w:tcPr>
            <w:tcW w:w="1134" w:type="dxa"/>
            <w:tcBorders>
              <w:left w:val="single" w:sz="4" w:space="0" w:color="FFFFFF"/>
            </w:tcBorders>
            <w:shd w:val="clear" w:color="auto" w:fill="002060"/>
            <w:vAlign w:val="center"/>
          </w:tcPr>
          <w:p w14:paraId="027ABCB2" w14:textId="77777777" w:rsidR="00A2102A" w:rsidRPr="00C90F6F" w:rsidRDefault="00A2102A" w:rsidP="00D45E1B">
            <w:pPr>
              <w:spacing w:before="60" w:after="60"/>
              <w:jc w:val="center"/>
              <w:rPr>
                <w:b/>
                <w:sz w:val="18"/>
                <w:szCs w:val="18"/>
              </w:rPr>
            </w:pPr>
            <w:r w:rsidRPr="00C90F6F">
              <w:rPr>
                <w:b/>
                <w:sz w:val="18"/>
                <w:szCs w:val="18"/>
              </w:rPr>
              <w:t>Liczba</w:t>
            </w:r>
          </w:p>
        </w:tc>
        <w:tc>
          <w:tcPr>
            <w:tcW w:w="1134" w:type="dxa"/>
            <w:tcBorders>
              <w:left w:val="single" w:sz="4" w:space="0" w:color="FFFFFF"/>
            </w:tcBorders>
            <w:shd w:val="clear" w:color="auto" w:fill="002060"/>
            <w:vAlign w:val="center"/>
          </w:tcPr>
          <w:p w14:paraId="39A5B788" w14:textId="77777777" w:rsidR="00A2102A" w:rsidRPr="00C90F6F" w:rsidRDefault="00A2102A" w:rsidP="00D45E1B">
            <w:pPr>
              <w:spacing w:before="60" w:after="60"/>
              <w:jc w:val="center"/>
              <w:rPr>
                <w:b/>
                <w:sz w:val="18"/>
                <w:szCs w:val="18"/>
              </w:rPr>
            </w:pPr>
            <w:r w:rsidRPr="00C90F6F">
              <w:rPr>
                <w:b/>
                <w:sz w:val="18"/>
                <w:szCs w:val="18"/>
              </w:rPr>
              <w:t>Odsetek</w:t>
            </w:r>
          </w:p>
        </w:tc>
      </w:tr>
      <w:tr w:rsidR="00A2102A" w:rsidRPr="00842D79" w14:paraId="7BDAAA82" w14:textId="77777777" w:rsidTr="00D45E1B">
        <w:tc>
          <w:tcPr>
            <w:tcW w:w="6809" w:type="dxa"/>
            <w:tcBorders>
              <w:right w:val="single" w:sz="4" w:space="0" w:color="FFFFFF"/>
            </w:tcBorders>
            <w:vAlign w:val="center"/>
          </w:tcPr>
          <w:p w14:paraId="05AA3F87"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Rozpatrzone</w:t>
            </w:r>
          </w:p>
        </w:tc>
        <w:tc>
          <w:tcPr>
            <w:tcW w:w="1134" w:type="dxa"/>
            <w:tcBorders>
              <w:left w:val="single" w:sz="4" w:space="0" w:color="FFFFFF"/>
            </w:tcBorders>
            <w:vAlign w:val="center"/>
          </w:tcPr>
          <w:p w14:paraId="6F53CF6B"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4 836</w:t>
            </w:r>
          </w:p>
        </w:tc>
        <w:tc>
          <w:tcPr>
            <w:tcW w:w="1134" w:type="dxa"/>
            <w:tcBorders>
              <w:left w:val="single" w:sz="4" w:space="0" w:color="FFFFFF"/>
            </w:tcBorders>
            <w:vAlign w:val="center"/>
          </w:tcPr>
          <w:p w14:paraId="7D49309B" w14:textId="77777777" w:rsidR="00A2102A" w:rsidRPr="00C90F6F" w:rsidRDefault="00A2102A" w:rsidP="00D45E1B">
            <w:pPr>
              <w:autoSpaceDE w:val="0"/>
              <w:autoSpaceDN w:val="0"/>
              <w:adjustRightInd w:val="0"/>
              <w:spacing w:before="60" w:after="60"/>
              <w:jc w:val="center"/>
              <w:rPr>
                <w:color w:val="000000"/>
                <w:sz w:val="18"/>
                <w:szCs w:val="18"/>
              </w:rPr>
            </w:pPr>
            <w:r w:rsidRPr="00C90F6F">
              <w:rPr>
                <w:sz w:val="18"/>
                <w:szCs w:val="18"/>
              </w:rPr>
              <w:t>100%</w:t>
            </w:r>
          </w:p>
        </w:tc>
      </w:tr>
      <w:tr w:rsidR="00A2102A" w:rsidRPr="00842D79" w14:paraId="03E6F2BF" w14:textId="77777777" w:rsidTr="00D45E1B">
        <w:tc>
          <w:tcPr>
            <w:tcW w:w="6809" w:type="dxa"/>
            <w:tcBorders>
              <w:right w:val="single" w:sz="4" w:space="0" w:color="FFFFFF"/>
            </w:tcBorders>
            <w:shd w:val="clear" w:color="auto" w:fill="00B0F0"/>
            <w:vAlign w:val="center"/>
          </w:tcPr>
          <w:p w14:paraId="0ECC3557"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Zwrot z powodu braku wpisu lub nieuzupełnienia braków formalnych</w:t>
            </w:r>
          </w:p>
        </w:tc>
        <w:tc>
          <w:tcPr>
            <w:tcW w:w="1134" w:type="dxa"/>
            <w:tcBorders>
              <w:left w:val="single" w:sz="4" w:space="0" w:color="FFFFFF"/>
            </w:tcBorders>
            <w:shd w:val="clear" w:color="auto" w:fill="00B0F0"/>
            <w:vAlign w:val="center"/>
          </w:tcPr>
          <w:p w14:paraId="4B2704AD"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231</w:t>
            </w:r>
          </w:p>
        </w:tc>
        <w:tc>
          <w:tcPr>
            <w:tcW w:w="1134" w:type="dxa"/>
            <w:tcBorders>
              <w:left w:val="single" w:sz="4" w:space="0" w:color="FFFFFF"/>
            </w:tcBorders>
            <w:shd w:val="clear" w:color="auto" w:fill="00B0F0"/>
            <w:vAlign w:val="center"/>
          </w:tcPr>
          <w:p w14:paraId="32EB31EC"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5</w:t>
            </w:r>
            <w:r w:rsidRPr="00C90F6F">
              <w:rPr>
                <w:sz w:val="18"/>
                <w:szCs w:val="18"/>
              </w:rPr>
              <w:t>%</w:t>
            </w:r>
          </w:p>
        </w:tc>
      </w:tr>
      <w:tr w:rsidR="00A2102A" w:rsidRPr="00842D79" w14:paraId="3D1DF5E4" w14:textId="77777777" w:rsidTr="00D45E1B">
        <w:tc>
          <w:tcPr>
            <w:tcW w:w="6809" w:type="dxa"/>
            <w:tcBorders>
              <w:right w:val="single" w:sz="4" w:space="0" w:color="FFFFFF"/>
            </w:tcBorders>
            <w:vAlign w:val="center"/>
          </w:tcPr>
          <w:p w14:paraId="4DFB2BDA"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Umorzenie postępowania z powodu uwzględnienia zarzutów odwołania przez zamawiającego</w:t>
            </w:r>
          </w:p>
        </w:tc>
        <w:tc>
          <w:tcPr>
            <w:tcW w:w="1134" w:type="dxa"/>
            <w:tcBorders>
              <w:left w:val="single" w:sz="4" w:space="0" w:color="FFFFFF"/>
            </w:tcBorders>
            <w:vAlign w:val="center"/>
          </w:tcPr>
          <w:p w14:paraId="37CE3951"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939</w:t>
            </w:r>
          </w:p>
        </w:tc>
        <w:tc>
          <w:tcPr>
            <w:tcW w:w="1134" w:type="dxa"/>
            <w:tcBorders>
              <w:left w:val="single" w:sz="4" w:space="0" w:color="FFFFFF"/>
            </w:tcBorders>
            <w:vAlign w:val="center"/>
          </w:tcPr>
          <w:p w14:paraId="7D799A36"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19</w:t>
            </w:r>
            <w:r w:rsidRPr="00C90F6F">
              <w:rPr>
                <w:sz w:val="18"/>
                <w:szCs w:val="18"/>
              </w:rPr>
              <w:t>%</w:t>
            </w:r>
          </w:p>
        </w:tc>
      </w:tr>
      <w:tr w:rsidR="00A2102A" w:rsidRPr="009F3EF5" w14:paraId="0F3A5932" w14:textId="77777777" w:rsidTr="00D45E1B">
        <w:tc>
          <w:tcPr>
            <w:tcW w:w="6809" w:type="dxa"/>
            <w:tcBorders>
              <w:right w:val="single" w:sz="4" w:space="0" w:color="FFFFFF"/>
            </w:tcBorders>
            <w:shd w:val="clear" w:color="auto" w:fill="00B0F0"/>
            <w:vAlign w:val="center"/>
          </w:tcPr>
          <w:p w14:paraId="416EF170" w14:textId="77777777" w:rsidR="00A2102A" w:rsidRPr="00D50364" w:rsidRDefault="00A2102A" w:rsidP="00D45E1B">
            <w:pPr>
              <w:autoSpaceDE w:val="0"/>
              <w:autoSpaceDN w:val="0"/>
              <w:adjustRightInd w:val="0"/>
              <w:spacing w:before="60" w:after="60"/>
              <w:jc w:val="left"/>
              <w:rPr>
                <w:b/>
                <w:color w:val="000000"/>
                <w:sz w:val="18"/>
                <w:szCs w:val="18"/>
              </w:rPr>
            </w:pPr>
            <w:r w:rsidRPr="0057121E">
              <w:rPr>
                <w:rFonts w:cs="Arial"/>
                <w:b/>
                <w:sz w:val="18"/>
                <w:szCs w:val="18"/>
              </w:rPr>
              <w:t>Umorzenie postępowania w związku z art. 568 pkt 2 ustawy Pzp</w:t>
            </w:r>
          </w:p>
        </w:tc>
        <w:tc>
          <w:tcPr>
            <w:tcW w:w="1134" w:type="dxa"/>
            <w:tcBorders>
              <w:left w:val="single" w:sz="4" w:space="0" w:color="FFFFFF"/>
            </w:tcBorders>
            <w:shd w:val="clear" w:color="auto" w:fill="00B0F0"/>
            <w:vAlign w:val="center"/>
          </w:tcPr>
          <w:p w14:paraId="583125B6"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424</w:t>
            </w:r>
          </w:p>
        </w:tc>
        <w:tc>
          <w:tcPr>
            <w:tcW w:w="1134" w:type="dxa"/>
            <w:tcBorders>
              <w:left w:val="single" w:sz="4" w:space="0" w:color="FFFFFF"/>
            </w:tcBorders>
            <w:shd w:val="clear" w:color="auto" w:fill="00B0F0"/>
            <w:vAlign w:val="center"/>
          </w:tcPr>
          <w:p w14:paraId="708090A7"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9</w:t>
            </w:r>
            <w:r w:rsidRPr="00C90F6F">
              <w:rPr>
                <w:sz w:val="18"/>
                <w:szCs w:val="18"/>
              </w:rPr>
              <w:t>%</w:t>
            </w:r>
          </w:p>
        </w:tc>
      </w:tr>
      <w:tr w:rsidR="00A2102A" w:rsidRPr="00842D79" w14:paraId="0F5BA89B" w14:textId="77777777" w:rsidTr="00D45E1B">
        <w:tc>
          <w:tcPr>
            <w:tcW w:w="6809" w:type="dxa"/>
            <w:tcBorders>
              <w:right w:val="single" w:sz="4" w:space="0" w:color="FFFFFF"/>
            </w:tcBorders>
            <w:vAlign w:val="center"/>
          </w:tcPr>
          <w:p w14:paraId="4C7C96D3"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Umorzenie postępowania z powodu cofnięcia odwołania</w:t>
            </w:r>
            <w:r w:rsidRPr="00D50364">
              <w:rPr>
                <w:rFonts w:cs="Arial"/>
                <w:b/>
                <w:sz w:val="18"/>
                <w:szCs w:val="18"/>
              </w:rPr>
              <w:t xml:space="preserve"> </w:t>
            </w:r>
          </w:p>
        </w:tc>
        <w:tc>
          <w:tcPr>
            <w:tcW w:w="1134" w:type="dxa"/>
            <w:tcBorders>
              <w:left w:val="single" w:sz="4" w:space="0" w:color="FFFFFF"/>
            </w:tcBorders>
            <w:vAlign w:val="center"/>
          </w:tcPr>
          <w:p w14:paraId="62B2F750"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990</w:t>
            </w:r>
          </w:p>
        </w:tc>
        <w:tc>
          <w:tcPr>
            <w:tcW w:w="1134" w:type="dxa"/>
            <w:tcBorders>
              <w:left w:val="single" w:sz="4" w:space="0" w:color="FFFFFF"/>
            </w:tcBorders>
            <w:vAlign w:val="center"/>
          </w:tcPr>
          <w:p w14:paraId="06C6B007"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21</w:t>
            </w:r>
            <w:r w:rsidRPr="00C90F6F">
              <w:rPr>
                <w:sz w:val="18"/>
                <w:szCs w:val="18"/>
              </w:rPr>
              <w:t>%</w:t>
            </w:r>
          </w:p>
        </w:tc>
      </w:tr>
      <w:tr w:rsidR="00A2102A" w:rsidRPr="009F3EF5" w14:paraId="78EDBC3F" w14:textId="77777777" w:rsidTr="00D45E1B">
        <w:tc>
          <w:tcPr>
            <w:tcW w:w="6809" w:type="dxa"/>
            <w:tcBorders>
              <w:right w:val="single" w:sz="4" w:space="0" w:color="FFFFFF"/>
            </w:tcBorders>
            <w:shd w:val="clear" w:color="auto" w:fill="00B0F0"/>
            <w:vAlign w:val="center"/>
          </w:tcPr>
          <w:p w14:paraId="4A5FEE4B"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Odrzucone</w:t>
            </w:r>
          </w:p>
        </w:tc>
        <w:tc>
          <w:tcPr>
            <w:tcW w:w="1134" w:type="dxa"/>
            <w:tcBorders>
              <w:left w:val="single" w:sz="4" w:space="0" w:color="FFFFFF"/>
            </w:tcBorders>
            <w:shd w:val="clear" w:color="auto" w:fill="00B0F0"/>
            <w:vAlign w:val="center"/>
          </w:tcPr>
          <w:p w14:paraId="5D457E9F" w14:textId="77777777" w:rsidR="00A2102A" w:rsidRPr="00C90F6F" w:rsidRDefault="00A2102A" w:rsidP="00D45E1B">
            <w:pPr>
              <w:autoSpaceDE w:val="0"/>
              <w:autoSpaceDN w:val="0"/>
              <w:adjustRightInd w:val="0"/>
              <w:spacing w:before="60" w:after="60"/>
              <w:jc w:val="center"/>
              <w:rPr>
                <w:color w:val="000000"/>
                <w:sz w:val="18"/>
                <w:szCs w:val="18"/>
              </w:rPr>
            </w:pPr>
            <w:r>
              <w:rPr>
                <w:color w:val="000000"/>
                <w:sz w:val="18"/>
                <w:szCs w:val="18"/>
              </w:rPr>
              <w:t>101</w:t>
            </w:r>
          </w:p>
        </w:tc>
        <w:tc>
          <w:tcPr>
            <w:tcW w:w="1134" w:type="dxa"/>
            <w:tcBorders>
              <w:left w:val="single" w:sz="4" w:space="0" w:color="FFFFFF"/>
            </w:tcBorders>
            <w:shd w:val="clear" w:color="auto" w:fill="00B0F0"/>
            <w:vAlign w:val="center"/>
          </w:tcPr>
          <w:p w14:paraId="4E178FA0" w14:textId="77777777" w:rsidR="00A2102A" w:rsidRPr="00C90F6F" w:rsidRDefault="00A2102A" w:rsidP="00D45E1B">
            <w:pPr>
              <w:autoSpaceDE w:val="0"/>
              <w:autoSpaceDN w:val="0"/>
              <w:adjustRightInd w:val="0"/>
              <w:spacing w:before="60" w:after="60"/>
              <w:jc w:val="center"/>
              <w:rPr>
                <w:color w:val="000000"/>
                <w:sz w:val="18"/>
                <w:szCs w:val="18"/>
              </w:rPr>
            </w:pPr>
            <w:r w:rsidRPr="00C90F6F">
              <w:rPr>
                <w:sz w:val="18"/>
                <w:szCs w:val="18"/>
              </w:rPr>
              <w:t>2%</w:t>
            </w:r>
          </w:p>
        </w:tc>
      </w:tr>
      <w:tr w:rsidR="00A2102A" w:rsidRPr="00842D79" w14:paraId="424F3B7A" w14:textId="77777777" w:rsidTr="00D45E1B">
        <w:tc>
          <w:tcPr>
            <w:tcW w:w="6809" w:type="dxa"/>
            <w:tcBorders>
              <w:right w:val="single" w:sz="4" w:space="0" w:color="FFFFFF"/>
            </w:tcBorders>
            <w:vAlign w:val="center"/>
          </w:tcPr>
          <w:p w14:paraId="535BB5E5"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Oddalone</w:t>
            </w:r>
          </w:p>
        </w:tc>
        <w:tc>
          <w:tcPr>
            <w:tcW w:w="1134" w:type="dxa"/>
            <w:tcBorders>
              <w:left w:val="single" w:sz="4" w:space="0" w:color="FFFFFF"/>
            </w:tcBorders>
            <w:vAlign w:val="center"/>
          </w:tcPr>
          <w:p w14:paraId="005DF986"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1 374</w:t>
            </w:r>
          </w:p>
        </w:tc>
        <w:tc>
          <w:tcPr>
            <w:tcW w:w="1134" w:type="dxa"/>
            <w:tcBorders>
              <w:left w:val="single" w:sz="4" w:space="0" w:color="FFFFFF"/>
            </w:tcBorders>
            <w:vAlign w:val="center"/>
          </w:tcPr>
          <w:p w14:paraId="303A294D"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28</w:t>
            </w:r>
            <w:r w:rsidRPr="00C90F6F">
              <w:rPr>
                <w:sz w:val="18"/>
                <w:szCs w:val="18"/>
              </w:rPr>
              <w:t>%</w:t>
            </w:r>
          </w:p>
        </w:tc>
      </w:tr>
      <w:tr w:rsidR="00A2102A" w:rsidRPr="009F3EF5" w14:paraId="08C3B7A2" w14:textId="77777777" w:rsidTr="00D45E1B">
        <w:tc>
          <w:tcPr>
            <w:tcW w:w="6809" w:type="dxa"/>
            <w:tcBorders>
              <w:right w:val="single" w:sz="4" w:space="0" w:color="FFFFFF"/>
            </w:tcBorders>
            <w:shd w:val="clear" w:color="auto" w:fill="00B0F0"/>
            <w:vAlign w:val="center"/>
          </w:tcPr>
          <w:p w14:paraId="74A98AA3" w14:textId="77777777" w:rsidR="00A2102A" w:rsidRPr="00D50364" w:rsidRDefault="00A2102A" w:rsidP="00D45E1B">
            <w:pPr>
              <w:autoSpaceDE w:val="0"/>
              <w:autoSpaceDN w:val="0"/>
              <w:adjustRightInd w:val="0"/>
              <w:spacing w:before="60" w:after="60"/>
              <w:jc w:val="left"/>
              <w:rPr>
                <w:b/>
                <w:color w:val="000000"/>
                <w:sz w:val="18"/>
                <w:szCs w:val="18"/>
              </w:rPr>
            </w:pPr>
            <w:r w:rsidRPr="00D50364">
              <w:rPr>
                <w:b/>
                <w:color w:val="000000"/>
                <w:sz w:val="18"/>
                <w:szCs w:val="18"/>
              </w:rPr>
              <w:t>Uwzględnione</w:t>
            </w:r>
          </w:p>
        </w:tc>
        <w:tc>
          <w:tcPr>
            <w:tcW w:w="1134" w:type="dxa"/>
            <w:tcBorders>
              <w:left w:val="single" w:sz="4" w:space="0" w:color="FFFFFF"/>
            </w:tcBorders>
            <w:shd w:val="clear" w:color="auto" w:fill="00B0F0"/>
            <w:vAlign w:val="center"/>
          </w:tcPr>
          <w:p w14:paraId="27388ED2"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777</w:t>
            </w:r>
          </w:p>
        </w:tc>
        <w:tc>
          <w:tcPr>
            <w:tcW w:w="1134" w:type="dxa"/>
            <w:tcBorders>
              <w:left w:val="single" w:sz="4" w:space="0" w:color="FFFFFF"/>
            </w:tcBorders>
            <w:shd w:val="clear" w:color="auto" w:fill="00B0F0"/>
            <w:vAlign w:val="center"/>
          </w:tcPr>
          <w:p w14:paraId="3FCBCEA7" w14:textId="77777777" w:rsidR="00A2102A" w:rsidRPr="00C90F6F" w:rsidRDefault="00A2102A" w:rsidP="00D45E1B">
            <w:pPr>
              <w:autoSpaceDE w:val="0"/>
              <w:autoSpaceDN w:val="0"/>
              <w:adjustRightInd w:val="0"/>
              <w:spacing w:before="60" w:after="60"/>
              <w:jc w:val="center"/>
              <w:rPr>
                <w:color w:val="000000"/>
                <w:sz w:val="18"/>
                <w:szCs w:val="18"/>
              </w:rPr>
            </w:pPr>
            <w:r>
              <w:rPr>
                <w:sz w:val="18"/>
                <w:szCs w:val="18"/>
              </w:rPr>
              <w:t>16</w:t>
            </w:r>
            <w:r w:rsidRPr="00C90F6F">
              <w:rPr>
                <w:sz w:val="18"/>
                <w:szCs w:val="18"/>
              </w:rPr>
              <w:t>%</w:t>
            </w:r>
          </w:p>
        </w:tc>
      </w:tr>
    </w:tbl>
    <w:p w14:paraId="576888F5" w14:textId="77777777" w:rsidR="00A2102A" w:rsidRDefault="00A2102A" w:rsidP="00A2102A">
      <w:pPr>
        <w:shd w:val="clear" w:color="auto" w:fill="FFFFFF"/>
        <w:spacing w:before="240" w:line="360" w:lineRule="auto"/>
        <w:jc w:val="left"/>
        <w:rPr>
          <w:rFonts w:cs="Arial"/>
        </w:rPr>
      </w:pPr>
      <w:r w:rsidRPr="00522CC1">
        <w:rPr>
          <w:rFonts w:cs="Arial"/>
        </w:rPr>
        <w:t>W związku z wprowadzeniem w 2025 r. nowych kategorii statystycznych dokładniej opisujących wynik rozstrzygnięcia bezpośrednie porównanie lat 2024 i 2025 może okazać się niemiarodajne.</w:t>
      </w:r>
    </w:p>
    <w:p w14:paraId="605B074D" w14:textId="77777777" w:rsidR="00A2102A" w:rsidRPr="00BE1FA1" w:rsidRDefault="00A2102A" w:rsidP="00A2102A">
      <w:pPr>
        <w:pStyle w:val="Nagwek4"/>
      </w:pPr>
      <w:r>
        <w:t xml:space="preserve">3. </w:t>
      </w:r>
      <w:r w:rsidRPr="00BE1FA1">
        <w:t>Odwołania a rodzaj zamówienia</w:t>
      </w:r>
    </w:p>
    <w:p w14:paraId="1F340F2F" w14:textId="77777777" w:rsidR="00A2102A" w:rsidRPr="003B13CF" w:rsidRDefault="00A2102A" w:rsidP="00A2102A">
      <w:pPr>
        <w:shd w:val="clear" w:color="auto" w:fill="FFFFFF"/>
        <w:spacing w:before="120" w:line="360" w:lineRule="auto"/>
        <w:jc w:val="left"/>
        <w:rPr>
          <w:rFonts w:cs="Arial"/>
        </w:rPr>
      </w:pPr>
      <w:r w:rsidRPr="003B13CF">
        <w:rPr>
          <w:rFonts w:cs="Arial"/>
        </w:rPr>
        <w:t xml:space="preserve">W 2025 r. – analogicznie do lat poprzednich – najwięcej </w:t>
      </w:r>
      <w:proofErr w:type="spellStart"/>
      <w:r w:rsidRPr="003B13CF">
        <w:rPr>
          <w:rFonts w:cs="Arial"/>
        </w:rPr>
        <w:t>odwołań</w:t>
      </w:r>
      <w:proofErr w:type="spellEnd"/>
      <w:r w:rsidRPr="003B13CF">
        <w:rPr>
          <w:rFonts w:cs="Arial"/>
        </w:rPr>
        <w:t xml:space="preserve"> dotyczyło usług, które stanowiły 45% ogólnej liczby </w:t>
      </w:r>
      <w:proofErr w:type="spellStart"/>
      <w:r w:rsidRPr="003B13CF">
        <w:rPr>
          <w:rFonts w:cs="Arial"/>
        </w:rPr>
        <w:t>odwołań</w:t>
      </w:r>
      <w:proofErr w:type="spellEnd"/>
      <w:r w:rsidRPr="003B13CF">
        <w:rPr>
          <w:rFonts w:cs="Arial"/>
        </w:rPr>
        <w:t>. Dostawy oraz roboty budowlane odpowiadały po 27% wpływu.</w:t>
      </w:r>
    </w:p>
    <w:p w14:paraId="2B373B5E" w14:textId="71482DD6" w:rsidR="00A2102A" w:rsidRPr="00234661" w:rsidRDefault="00A2102A" w:rsidP="00A2102A">
      <w:pPr>
        <w:shd w:val="clear" w:color="auto" w:fill="FFFFFF"/>
        <w:spacing w:before="120" w:line="360" w:lineRule="auto"/>
        <w:jc w:val="left"/>
        <w:rPr>
          <w:rFonts w:cs="Arial"/>
        </w:rPr>
      </w:pPr>
      <w:r w:rsidRPr="003B13CF">
        <w:rPr>
          <w:rFonts w:cs="Arial"/>
        </w:rPr>
        <w:lastRenderedPageBreak/>
        <w:t xml:space="preserve">Dla porównania, w roku 2024 w postępowaniach na usługi zostało złożonych 45% </w:t>
      </w:r>
      <w:proofErr w:type="spellStart"/>
      <w:r w:rsidRPr="003B13CF">
        <w:rPr>
          <w:rFonts w:cs="Arial"/>
        </w:rPr>
        <w:t>odwołań</w:t>
      </w:r>
      <w:proofErr w:type="spellEnd"/>
      <w:r w:rsidRPr="003B13CF">
        <w:rPr>
          <w:rFonts w:cs="Arial"/>
        </w:rPr>
        <w:t xml:space="preserve">, na dostawy </w:t>
      </w:r>
      <w:r w:rsidR="000A3489">
        <w:rPr>
          <w:rFonts w:cs="Arial"/>
        </w:rPr>
        <w:t xml:space="preserve">- </w:t>
      </w:r>
      <w:r w:rsidRPr="003B13CF">
        <w:rPr>
          <w:rFonts w:cs="Arial"/>
        </w:rPr>
        <w:t xml:space="preserve">29%, a na roboty budowlane – 26%. Niewielkie zmiany procentowe nie wskazują na znaczący wzrost lub spadek liczby </w:t>
      </w:r>
      <w:proofErr w:type="spellStart"/>
      <w:r w:rsidRPr="003B13CF">
        <w:rPr>
          <w:rFonts w:cs="Arial"/>
        </w:rPr>
        <w:t>odwołań</w:t>
      </w:r>
      <w:proofErr w:type="spellEnd"/>
      <w:r w:rsidRPr="003B13CF">
        <w:rPr>
          <w:rFonts w:cs="Arial"/>
        </w:rPr>
        <w:t xml:space="preserve"> dotyczących któregokolwiek rodzaju zamówienia.</w:t>
      </w:r>
    </w:p>
    <w:p w14:paraId="00ED4EF5" w14:textId="77777777" w:rsidR="00A2102A" w:rsidRPr="00BE1FA1" w:rsidRDefault="00A2102A" w:rsidP="00A2102A">
      <w:pPr>
        <w:pStyle w:val="Nagwek4"/>
      </w:pPr>
      <w:r>
        <w:t xml:space="preserve">4. </w:t>
      </w:r>
      <w:r w:rsidRPr="00BE1FA1">
        <w:t xml:space="preserve">Odwołania w sprawach </w:t>
      </w:r>
      <w:r>
        <w:t xml:space="preserve">zamówień </w:t>
      </w:r>
      <w:r w:rsidRPr="00F45B72">
        <w:t xml:space="preserve">o </w:t>
      </w:r>
      <w:r>
        <w:t>wartości równej lub przekraczającej</w:t>
      </w:r>
      <w:r w:rsidRPr="00F45B72">
        <w:t xml:space="preserve"> progi unijne</w:t>
      </w:r>
      <w:r>
        <w:t xml:space="preserve"> </w:t>
      </w:r>
      <w:r w:rsidRPr="00BE1FA1">
        <w:t xml:space="preserve">i </w:t>
      </w:r>
      <w:r>
        <w:t xml:space="preserve">o </w:t>
      </w:r>
      <w:r w:rsidRPr="009A7B38">
        <w:t>wartości mniejszej niż progi unijne</w:t>
      </w:r>
    </w:p>
    <w:p w14:paraId="2AFABD42" w14:textId="77777777" w:rsidR="00A2102A" w:rsidRPr="00234661" w:rsidRDefault="00A2102A" w:rsidP="00A2102A">
      <w:pPr>
        <w:shd w:val="clear" w:color="auto" w:fill="FFFFFF"/>
        <w:spacing w:before="120" w:line="360" w:lineRule="auto"/>
        <w:jc w:val="left"/>
        <w:rPr>
          <w:rFonts w:cs="Arial"/>
        </w:rPr>
      </w:pPr>
      <w:r w:rsidRPr="00EA1C1F">
        <w:rPr>
          <w:rFonts w:cs="Arial"/>
          <w:bCs/>
        </w:rPr>
        <w:t xml:space="preserve">W roku 2025 najwięcej </w:t>
      </w:r>
      <w:proofErr w:type="spellStart"/>
      <w:r w:rsidRPr="00EA1C1F">
        <w:rPr>
          <w:rFonts w:cs="Arial"/>
          <w:bCs/>
        </w:rPr>
        <w:t>odwołań</w:t>
      </w:r>
      <w:proofErr w:type="spellEnd"/>
      <w:r w:rsidRPr="00EA1C1F">
        <w:rPr>
          <w:rFonts w:cs="Arial"/>
          <w:bCs/>
        </w:rPr>
        <w:t xml:space="preserve"> złożonych zostało w postępowaniach o udzielenie zamówienia publicznego, których wartość przekracza tzw. progi unijne. Stanowiły one 64% wszystkich wniesionych </w:t>
      </w:r>
      <w:proofErr w:type="spellStart"/>
      <w:r w:rsidRPr="00EA1C1F">
        <w:rPr>
          <w:rFonts w:cs="Arial"/>
          <w:bCs/>
        </w:rPr>
        <w:t>odwołań</w:t>
      </w:r>
      <w:proofErr w:type="spellEnd"/>
      <w:r w:rsidRPr="00EA1C1F">
        <w:rPr>
          <w:rFonts w:cs="Arial"/>
          <w:bCs/>
        </w:rPr>
        <w:t xml:space="preserve">. Pozostałe 36% </w:t>
      </w:r>
      <w:proofErr w:type="spellStart"/>
      <w:r w:rsidRPr="00EA1C1F">
        <w:rPr>
          <w:rFonts w:cs="Arial"/>
          <w:bCs/>
        </w:rPr>
        <w:t>odwołań</w:t>
      </w:r>
      <w:proofErr w:type="spellEnd"/>
      <w:r w:rsidRPr="00EA1C1F">
        <w:rPr>
          <w:rFonts w:cs="Arial"/>
          <w:bCs/>
        </w:rPr>
        <w:t xml:space="preserve"> dotyczyło postępowań o wartościach tzw. podprogowych. Rozkład procentowy </w:t>
      </w:r>
      <w:proofErr w:type="spellStart"/>
      <w:r w:rsidRPr="00EA1C1F">
        <w:rPr>
          <w:rFonts w:cs="Arial"/>
          <w:bCs/>
        </w:rPr>
        <w:t>odwołań</w:t>
      </w:r>
      <w:proofErr w:type="spellEnd"/>
      <w:r w:rsidRPr="00EA1C1F">
        <w:rPr>
          <w:rFonts w:cs="Arial"/>
          <w:bCs/>
        </w:rPr>
        <w:t>, które w 2024 r. były składane w postępowaniach o udzielenie zamówienia publicznego powyżej i poniżej progów unijnych, kształtował się niemalże tak samo. Postępowania powyżej progów unijnych stanowiły 63%, a poniżej 36%.</w:t>
      </w:r>
    </w:p>
    <w:p w14:paraId="703B65EA" w14:textId="77777777" w:rsidR="00A2102A" w:rsidRPr="00BE1FA1" w:rsidRDefault="00A2102A" w:rsidP="00A2102A">
      <w:pPr>
        <w:pStyle w:val="Nagwek4"/>
      </w:pPr>
      <w:r>
        <w:t xml:space="preserve">5. </w:t>
      </w:r>
      <w:r w:rsidRPr="00BE1FA1">
        <w:t>Odwołania w poszczególnych branżach i sektorach rynku</w:t>
      </w:r>
    </w:p>
    <w:p w14:paraId="31C1BEA7" w14:textId="6CEEB658" w:rsidR="00A2102A" w:rsidRDefault="00A2102A" w:rsidP="00A2102A">
      <w:pPr>
        <w:pStyle w:val="Legenda"/>
      </w:pPr>
      <w:bookmarkStart w:id="119" w:name="_Toc141276531"/>
      <w:bookmarkStart w:id="120" w:name="_Toc203993405"/>
      <w:bookmarkStart w:id="121" w:name="_Toc233203381"/>
      <w:r w:rsidRPr="00742E01">
        <w:t xml:space="preserve">Tab. </w:t>
      </w:r>
      <w:fldSimple w:instr=" SEQ Tab. \* ARABIC ">
        <w:r w:rsidR="00017C65">
          <w:rPr>
            <w:noProof/>
          </w:rPr>
          <w:t>9</w:t>
        </w:r>
      </w:fldSimple>
      <w:r w:rsidRPr="00742E01">
        <w:t xml:space="preserve">. Struktura </w:t>
      </w:r>
      <w:proofErr w:type="spellStart"/>
      <w:r>
        <w:t>odwołań</w:t>
      </w:r>
      <w:proofErr w:type="spellEnd"/>
      <w:r w:rsidRPr="00742E01">
        <w:t xml:space="preserve"> </w:t>
      </w:r>
      <w:r>
        <w:t>w podziale na sektor/branżę</w:t>
      </w:r>
      <w:bookmarkEnd w:id="119"/>
      <w:bookmarkEnd w:id="120"/>
      <w:bookmarkEnd w:id="121"/>
    </w:p>
    <w:tbl>
      <w:tblPr>
        <w:tblW w:w="9214" w:type="dxa"/>
        <w:tblInd w:w="-142" w:type="dxa"/>
        <w:tblLayout w:type="fixed"/>
        <w:tblLook w:val="04A0" w:firstRow="1" w:lastRow="0" w:firstColumn="1" w:lastColumn="0" w:noHBand="0" w:noVBand="1"/>
        <w:tblCaption w:val="Tabela. Struktura odwołań w podziale na sektor/branżę."/>
        <w:tblDescription w:val="Tabela. Struktura odwołań w podziale na sektor/branżę."/>
      </w:tblPr>
      <w:tblGrid>
        <w:gridCol w:w="709"/>
        <w:gridCol w:w="6521"/>
        <w:gridCol w:w="850"/>
        <w:gridCol w:w="1134"/>
      </w:tblGrid>
      <w:tr w:rsidR="00A2102A" w:rsidRPr="002E7DDA" w14:paraId="036A4A80" w14:textId="77777777" w:rsidTr="00D45E1B">
        <w:trPr>
          <w:tblHeader/>
        </w:trPr>
        <w:tc>
          <w:tcPr>
            <w:tcW w:w="709" w:type="dxa"/>
            <w:tcBorders>
              <w:right w:val="single" w:sz="4" w:space="0" w:color="FFFFFF"/>
            </w:tcBorders>
            <w:shd w:val="clear" w:color="auto" w:fill="002060"/>
          </w:tcPr>
          <w:p w14:paraId="70BBD978" w14:textId="77777777" w:rsidR="00A2102A" w:rsidRPr="002E7DDA" w:rsidRDefault="00A2102A" w:rsidP="00D45E1B">
            <w:pPr>
              <w:spacing w:before="60" w:after="60"/>
              <w:jc w:val="center"/>
              <w:rPr>
                <w:rFonts w:cs="Arial"/>
                <w:b/>
                <w:sz w:val="18"/>
                <w:szCs w:val="18"/>
              </w:rPr>
            </w:pPr>
            <w:r w:rsidRPr="002E7DDA">
              <w:rPr>
                <w:rFonts w:cs="Arial"/>
                <w:b/>
                <w:sz w:val="18"/>
                <w:szCs w:val="18"/>
              </w:rPr>
              <w:t>Lp.</w:t>
            </w:r>
          </w:p>
        </w:tc>
        <w:tc>
          <w:tcPr>
            <w:tcW w:w="6521" w:type="dxa"/>
            <w:tcBorders>
              <w:right w:val="single" w:sz="4" w:space="0" w:color="FFFFFF"/>
            </w:tcBorders>
            <w:shd w:val="clear" w:color="auto" w:fill="002060"/>
            <w:vAlign w:val="center"/>
          </w:tcPr>
          <w:p w14:paraId="7192B166" w14:textId="77777777" w:rsidR="00A2102A" w:rsidRPr="002E7DDA" w:rsidRDefault="00A2102A" w:rsidP="00D45E1B">
            <w:pPr>
              <w:spacing w:before="60" w:after="60"/>
              <w:jc w:val="center"/>
              <w:rPr>
                <w:rFonts w:cs="Arial"/>
                <w:b/>
                <w:sz w:val="18"/>
                <w:szCs w:val="18"/>
              </w:rPr>
            </w:pPr>
            <w:r w:rsidRPr="002E7DDA">
              <w:rPr>
                <w:rFonts w:cs="Arial"/>
                <w:b/>
                <w:sz w:val="18"/>
                <w:szCs w:val="18"/>
              </w:rPr>
              <w:t>Sektor/branża</w:t>
            </w:r>
          </w:p>
        </w:tc>
        <w:tc>
          <w:tcPr>
            <w:tcW w:w="850" w:type="dxa"/>
            <w:tcBorders>
              <w:left w:val="single" w:sz="4" w:space="0" w:color="FFFFFF"/>
            </w:tcBorders>
            <w:shd w:val="clear" w:color="auto" w:fill="002060"/>
            <w:vAlign w:val="center"/>
          </w:tcPr>
          <w:p w14:paraId="23AC89F9" w14:textId="77777777" w:rsidR="00A2102A" w:rsidRPr="00D77397" w:rsidRDefault="00A2102A" w:rsidP="00D45E1B">
            <w:pPr>
              <w:spacing w:before="60" w:after="60"/>
              <w:jc w:val="center"/>
              <w:rPr>
                <w:rFonts w:cs="Arial"/>
                <w:b/>
                <w:sz w:val="18"/>
                <w:szCs w:val="18"/>
              </w:rPr>
            </w:pPr>
            <w:r w:rsidRPr="00D77397">
              <w:rPr>
                <w:rFonts w:cs="Arial"/>
                <w:b/>
                <w:sz w:val="18"/>
                <w:szCs w:val="18"/>
              </w:rPr>
              <w:t>Liczba</w:t>
            </w:r>
          </w:p>
        </w:tc>
        <w:tc>
          <w:tcPr>
            <w:tcW w:w="1134" w:type="dxa"/>
            <w:tcBorders>
              <w:left w:val="single" w:sz="4" w:space="0" w:color="FFFFFF"/>
            </w:tcBorders>
            <w:shd w:val="clear" w:color="auto" w:fill="002060"/>
            <w:vAlign w:val="center"/>
          </w:tcPr>
          <w:p w14:paraId="2D35C8EF" w14:textId="77777777" w:rsidR="00A2102A" w:rsidRPr="00D77397" w:rsidRDefault="00A2102A" w:rsidP="00D45E1B">
            <w:pPr>
              <w:spacing w:before="60" w:after="60"/>
              <w:jc w:val="center"/>
              <w:rPr>
                <w:rFonts w:cs="Arial"/>
                <w:b/>
                <w:sz w:val="18"/>
                <w:szCs w:val="18"/>
              </w:rPr>
            </w:pPr>
            <w:r w:rsidRPr="00D77397">
              <w:rPr>
                <w:rFonts w:cs="Arial"/>
                <w:b/>
                <w:sz w:val="18"/>
                <w:szCs w:val="18"/>
              </w:rPr>
              <w:t>Odsetek</w:t>
            </w:r>
          </w:p>
        </w:tc>
      </w:tr>
      <w:tr w:rsidR="00A2102A" w:rsidRPr="002E7DDA" w14:paraId="589CCDD5" w14:textId="77777777" w:rsidTr="00D45E1B">
        <w:trPr>
          <w:trHeight w:val="1224"/>
        </w:trPr>
        <w:tc>
          <w:tcPr>
            <w:tcW w:w="709" w:type="dxa"/>
            <w:tcBorders>
              <w:right w:val="single" w:sz="4" w:space="0" w:color="FFFFFF"/>
            </w:tcBorders>
          </w:tcPr>
          <w:p w14:paraId="1FB8C387"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vAlign w:val="center"/>
          </w:tcPr>
          <w:p w14:paraId="0E31E045"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color w:val="000000"/>
                <w:sz w:val="18"/>
                <w:szCs w:val="18"/>
              </w:rPr>
              <w:t>Budownictwo, w tym:</w:t>
            </w:r>
          </w:p>
          <w:p w14:paraId="2A7582D2" w14:textId="77777777" w:rsidR="00A2102A" w:rsidRDefault="00A2102A" w:rsidP="00D45E1B">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xml:space="preserve">- budowa lub remonty budynków </w:t>
            </w:r>
          </w:p>
          <w:p w14:paraId="79287E43" w14:textId="77777777" w:rsidR="00A2102A" w:rsidRPr="002E7DDA" w:rsidRDefault="00A2102A" w:rsidP="00D45E1B">
            <w:pPr>
              <w:autoSpaceDE w:val="0"/>
              <w:autoSpaceDN w:val="0"/>
              <w:adjustRightInd w:val="0"/>
              <w:spacing w:before="60" w:after="60"/>
              <w:ind w:left="321"/>
              <w:jc w:val="left"/>
              <w:rPr>
                <w:rFonts w:cs="Arial"/>
                <w:color w:val="000000"/>
                <w:sz w:val="18"/>
                <w:szCs w:val="18"/>
              </w:rPr>
            </w:pPr>
            <w:r>
              <w:rPr>
                <w:rFonts w:cs="Arial"/>
                <w:color w:val="000000"/>
                <w:sz w:val="18"/>
                <w:szCs w:val="18"/>
              </w:rPr>
              <w:t xml:space="preserve">- </w:t>
            </w:r>
            <w:r w:rsidRPr="002E7DDA">
              <w:rPr>
                <w:rFonts w:cs="Arial"/>
                <w:color w:val="000000"/>
                <w:sz w:val="18"/>
                <w:szCs w:val="18"/>
              </w:rPr>
              <w:t>budowa lub remont dróg i autostrad</w:t>
            </w:r>
          </w:p>
          <w:p w14:paraId="2180D796" w14:textId="77777777" w:rsidR="00A2102A" w:rsidRPr="002E7DDA" w:rsidRDefault="00A2102A" w:rsidP="00D45E1B">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remonty obiektów sportowych</w:t>
            </w:r>
          </w:p>
          <w:p w14:paraId="66DB6A16" w14:textId="77777777" w:rsidR="00A2102A" w:rsidRPr="002E7DDA" w:rsidRDefault="00A2102A" w:rsidP="00D45E1B">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remonty placów, parkingów</w:t>
            </w:r>
          </w:p>
        </w:tc>
        <w:tc>
          <w:tcPr>
            <w:tcW w:w="850" w:type="dxa"/>
            <w:tcBorders>
              <w:left w:val="single" w:sz="4" w:space="0" w:color="FFFFFF"/>
            </w:tcBorders>
            <w:vAlign w:val="center"/>
          </w:tcPr>
          <w:p w14:paraId="0A81AA9B"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rFonts w:cs="Arial"/>
                <w:color w:val="000000"/>
                <w:sz w:val="18"/>
                <w:szCs w:val="18"/>
              </w:rPr>
              <w:t>1</w:t>
            </w:r>
            <w:r>
              <w:rPr>
                <w:rFonts w:cs="Arial"/>
                <w:color w:val="000000"/>
                <w:sz w:val="18"/>
                <w:szCs w:val="18"/>
              </w:rPr>
              <w:t xml:space="preserve"> </w:t>
            </w:r>
            <w:r w:rsidRPr="00D77397">
              <w:rPr>
                <w:rFonts w:cs="Arial"/>
                <w:color w:val="000000"/>
                <w:sz w:val="18"/>
                <w:szCs w:val="18"/>
              </w:rPr>
              <w:t>106</w:t>
            </w:r>
          </w:p>
          <w:p w14:paraId="2B7AC344" w14:textId="77777777" w:rsidR="00A2102A" w:rsidRPr="00D77397" w:rsidRDefault="00A2102A" w:rsidP="00D45E1B">
            <w:pPr>
              <w:autoSpaceDE w:val="0"/>
              <w:autoSpaceDN w:val="0"/>
              <w:adjustRightInd w:val="0"/>
              <w:spacing w:before="60" w:after="60"/>
              <w:jc w:val="right"/>
              <w:rPr>
                <w:rFonts w:cs="Arial"/>
                <w:color w:val="000000"/>
                <w:sz w:val="18"/>
                <w:szCs w:val="18"/>
              </w:rPr>
            </w:pPr>
            <w:r w:rsidRPr="00D77397">
              <w:rPr>
                <w:rFonts w:cs="Arial"/>
                <w:color w:val="000000"/>
                <w:sz w:val="18"/>
                <w:szCs w:val="18"/>
              </w:rPr>
              <w:t>592</w:t>
            </w:r>
          </w:p>
          <w:p w14:paraId="1FA1E212" w14:textId="77777777" w:rsidR="00A2102A" w:rsidRPr="00D77397" w:rsidRDefault="00A2102A" w:rsidP="00D45E1B">
            <w:pPr>
              <w:autoSpaceDE w:val="0"/>
              <w:autoSpaceDN w:val="0"/>
              <w:adjustRightInd w:val="0"/>
              <w:spacing w:before="60" w:after="60"/>
              <w:jc w:val="right"/>
              <w:rPr>
                <w:rFonts w:cs="Arial"/>
                <w:color w:val="000000"/>
                <w:sz w:val="18"/>
                <w:szCs w:val="18"/>
              </w:rPr>
            </w:pPr>
            <w:r w:rsidRPr="00D77397">
              <w:rPr>
                <w:rFonts w:cs="Arial"/>
                <w:color w:val="000000"/>
                <w:sz w:val="18"/>
                <w:szCs w:val="18"/>
              </w:rPr>
              <w:t>400</w:t>
            </w:r>
          </w:p>
          <w:p w14:paraId="206A8244" w14:textId="77777777" w:rsidR="00A2102A" w:rsidRPr="00D77397" w:rsidRDefault="00A2102A" w:rsidP="00D45E1B">
            <w:pPr>
              <w:autoSpaceDE w:val="0"/>
              <w:autoSpaceDN w:val="0"/>
              <w:adjustRightInd w:val="0"/>
              <w:spacing w:before="60" w:after="60"/>
              <w:jc w:val="right"/>
              <w:rPr>
                <w:rFonts w:cs="Arial"/>
                <w:color w:val="000000"/>
                <w:sz w:val="18"/>
                <w:szCs w:val="18"/>
              </w:rPr>
            </w:pPr>
            <w:r w:rsidRPr="00D77397">
              <w:rPr>
                <w:rFonts w:cs="Arial"/>
                <w:color w:val="000000"/>
                <w:sz w:val="18"/>
                <w:szCs w:val="18"/>
              </w:rPr>
              <w:t>72</w:t>
            </w:r>
          </w:p>
          <w:p w14:paraId="3114273F" w14:textId="77777777" w:rsidR="00A2102A" w:rsidRPr="00D77397" w:rsidRDefault="00A2102A" w:rsidP="00D45E1B">
            <w:pPr>
              <w:autoSpaceDE w:val="0"/>
              <w:autoSpaceDN w:val="0"/>
              <w:adjustRightInd w:val="0"/>
              <w:spacing w:before="60" w:after="60"/>
              <w:jc w:val="right"/>
              <w:rPr>
                <w:rFonts w:cs="Arial"/>
                <w:color w:val="000000"/>
                <w:sz w:val="18"/>
                <w:szCs w:val="18"/>
              </w:rPr>
            </w:pPr>
            <w:r w:rsidRPr="00D77397">
              <w:rPr>
                <w:rFonts w:cs="Arial"/>
                <w:color w:val="000000"/>
                <w:sz w:val="18"/>
                <w:szCs w:val="18"/>
              </w:rPr>
              <w:t>42</w:t>
            </w:r>
          </w:p>
        </w:tc>
        <w:tc>
          <w:tcPr>
            <w:tcW w:w="1134" w:type="dxa"/>
            <w:tcBorders>
              <w:left w:val="single" w:sz="4" w:space="0" w:color="FFFFFF"/>
            </w:tcBorders>
            <w:vAlign w:val="center"/>
          </w:tcPr>
          <w:p w14:paraId="6D326CBB" w14:textId="77777777" w:rsidR="00A2102A" w:rsidRPr="00D77397" w:rsidRDefault="00A2102A" w:rsidP="00D45E1B">
            <w:pPr>
              <w:spacing w:before="60" w:after="60"/>
              <w:jc w:val="center"/>
              <w:rPr>
                <w:sz w:val="18"/>
                <w:szCs w:val="18"/>
              </w:rPr>
            </w:pPr>
            <w:r w:rsidRPr="00D77397">
              <w:rPr>
                <w:sz w:val="18"/>
                <w:szCs w:val="18"/>
              </w:rPr>
              <w:t>18,48%</w:t>
            </w:r>
          </w:p>
          <w:p w14:paraId="428241C3" w14:textId="77777777" w:rsidR="00A2102A" w:rsidRPr="00D77397" w:rsidRDefault="00A2102A" w:rsidP="00D45E1B">
            <w:pPr>
              <w:spacing w:before="60" w:after="60"/>
              <w:jc w:val="right"/>
              <w:rPr>
                <w:sz w:val="18"/>
                <w:szCs w:val="18"/>
              </w:rPr>
            </w:pPr>
            <w:r w:rsidRPr="00D77397">
              <w:rPr>
                <w:sz w:val="18"/>
                <w:szCs w:val="18"/>
              </w:rPr>
              <w:t>9,89%</w:t>
            </w:r>
          </w:p>
          <w:p w14:paraId="1A21AB30" w14:textId="77777777" w:rsidR="00A2102A" w:rsidRPr="00D77397" w:rsidRDefault="00A2102A" w:rsidP="00D45E1B">
            <w:pPr>
              <w:spacing w:before="60" w:after="60"/>
              <w:jc w:val="right"/>
              <w:rPr>
                <w:sz w:val="18"/>
                <w:szCs w:val="18"/>
              </w:rPr>
            </w:pPr>
            <w:r w:rsidRPr="00D77397">
              <w:rPr>
                <w:sz w:val="18"/>
                <w:szCs w:val="18"/>
              </w:rPr>
              <w:t>6,68%</w:t>
            </w:r>
          </w:p>
          <w:p w14:paraId="18B0FFA5" w14:textId="77777777" w:rsidR="00A2102A" w:rsidRPr="00D77397" w:rsidRDefault="00A2102A" w:rsidP="00D45E1B">
            <w:pPr>
              <w:spacing w:before="60" w:after="60"/>
              <w:jc w:val="right"/>
              <w:rPr>
                <w:sz w:val="18"/>
                <w:szCs w:val="18"/>
              </w:rPr>
            </w:pPr>
            <w:r w:rsidRPr="00D77397">
              <w:rPr>
                <w:sz w:val="18"/>
                <w:szCs w:val="18"/>
              </w:rPr>
              <w:t>1,20%</w:t>
            </w:r>
          </w:p>
          <w:p w14:paraId="594C210D" w14:textId="77777777" w:rsidR="00A2102A" w:rsidRPr="00D77397" w:rsidRDefault="00A2102A" w:rsidP="00D45E1B">
            <w:pPr>
              <w:spacing w:before="60" w:after="60"/>
              <w:jc w:val="right"/>
              <w:rPr>
                <w:sz w:val="18"/>
                <w:szCs w:val="18"/>
              </w:rPr>
            </w:pPr>
            <w:r w:rsidRPr="00D77397">
              <w:rPr>
                <w:sz w:val="18"/>
                <w:szCs w:val="18"/>
              </w:rPr>
              <w:t>0,70%</w:t>
            </w:r>
          </w:p>
        </w:tc>
      </w:tr>
      <w:tr w:rsidR="00A2102A" w:rsidRPr="002E7DDA" w14:paraId="392D34FC" w14:textId="77777777" w:rsidTr="00D45E1B">
        <w:tc>
          <w:tcPr>
            <w:tcW w:w="709" w:type="dxa"/>
            <w:tcBorders>
              <w:right w:val="single" w:sz="4" w:space="0" w:color="FFFFFF"/>
            </w:tcBorders>
            <w:shd w:val="clear" w:color="auto" w:fill="00B0F0"/>
          </w:tcPr>
          <w:p w14:paraId="1291439E"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69DBB2B4"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color w:val="000000"/>
                <w:sz w:val="18"/>
                <w:szCs w:val="18"/>
              </w:rPr>
              <w:t>Pozostałe (m.in.: obsługa bankowa, usługi ubezpieczeniowe, zarządzanie nieruchomościami, usługi komunalne)</w:t>
            </w:r>
          </w:p>
        </w:tc>
        <w:tc>
          <w:tcPr>
            <w:tcW w:w="850" w:type="dxa"/>
            <w:tcBorders>
              <w:left w:val="single" w:sz="4" w:space="0" w:color="FFFFFF"/>
            </w:tcBorders>
            <w:shd w:val="clear" w:color="auto" w:fill="00B0F0"/>
          </w:tcPr>
          <w:p w14:paraId="2C6386F9"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788</w:t>
            </w:r>
          </w:p>
        </w:tc>
        <w:tc>
          <w:tcPr>
            <w:tcW w:w="1134" w:type="dxa"/>
            <w:tcBorders>
              <w:left w:val="single" w:sz="4" w:space="0" w:color="FFFFFF"/>
            </w:tcBorders>
            <w:shd w:val="clear" w:color="auto" w:fill="00B0F0"/>
          </w:tcPr>
          <w:p w14:paraId="013DC14C"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13,16%</w:t>
            </w:r>
          </w:p>
        </w:tc>
      </w:tr>
      <w:tr w:rsidR="00A2102A" w:rsidRPr="002E7DDA" w14:paraId="58D06745" w14:textId="77777777" w:rsidTr="00D45E1B">
        <w:tc>
          <w:tcPr>
            <w:tcW w:w="709" w:type="dxa"/>
            <w:tcBorders>
              <w:right w:val="single" w:sz="4" w:space="0" w:color="FFFFFF"/>
            </w:tcBorders>
          </w:tcPr>
          <w:p w14:paraId="1656801E"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vAlign w:val="center"/>
          </w:tcPr>
          <w:p w14:paraId="0F7DB24D"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color w:val="000000"/>
                <w:sz w:val="18"/>
                <w:szCs w:val="18"/>
              </w:rPr>
              <w:t>Informatyka</w:t>
            </w:r>
          </w:p>
        </w:tc>
        <w:tc>
          <w:tcPr>
            <w:tcW w:w="850" w:type="dxa"/>
            <w:tcBorders>
              <w:left w:val="single" w:sz="4" w:space="0" w:color="FFFFFF"/>
            </w:tcBorders>
          </w:tcPr>
          <w:p w14:paraId="642DFEAD"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730</w:t>
            </w:r>
          </w:p>
        </w:tc>
        <w:tc>
          <w:tcPr>
            <w:tcW w:w="1134" w:type="dxa"/>
            <w:tcBorders>
              <w:left w:val="single" w:sz="4" w:space="0" w:color="FFFFFF"/>
            </w:tcBorders>
          </w:tcPr>
          <w:p w14:paraId="5390105B"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12,20%</w:t>
            </w:r>
          </w:p>
        </w:tc>
      </w:tr>
      <w:tr w:rsidR="00A2102A" w:rsidRPr="002E7DDA" w14:paraId="459C0D01" w14:textId="77777777" w:rsidTr="00D45E1B">
        <w:tc>
          <w:tcPr>
            <w:tcW w:w="709" w:type="dxa"/>
            <w:tcBorders>
              <w:right w:val="single" w:sz="4" w:space="0" w:color="FFFFFF"/>
            </w:tcBorders>
            <w:shd w:val="clear" w:color="auto" w:fill="00B0F0"/>
          </w:tcPr>
          <w:p w14:paraId="4E16B7B4"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589254F9"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color w:val="000000"/>
                <w:sz w:val="18"/>
                <w:szCs w:val="18"/>
              </w:rPr>
              <w:t>Sektor medyczny</w:t>
            </w:r>
          </w:p>
        </w:tc>
        <w:tc>
          <w:tcPr>
            <w:tcW w:w="850" w:type="dxa"/>
            <w:tcBorders>
              <w:left w:val="single" w:sz="4" w:space="0" w:color="FFFFFF"/>
            </w:tcBorders>
            <w:shd w:val="clear" w:color="auto" w:fill="00B0F0"/>
          </w:tcPr>
          <w:p w14:paraId="00D2B378"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583</w:t>
            </w:r>
          </w:p>
        </w:tc>
        <w:tc>
          <w:tcPr>
            <w:tcW w:w="1134" w:type="dxa"/>
            <w:tcBorders>
              <w:left w:val="single" w:sz="4" w:space="0" w:color="FFFFFF"/>
            </w:tcBorders>
            <w:shd w:val="clear" w:color="auto" w:fill="00B0F0"/>
          </w:tcPr>
          <w:p w14:paraId="2E3BC25C"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9,74%</w:t>
            </w:r>
          </w:p>
        </w:tc>
      </w:tr>
      <w:tr w:rsidR="00A2102A" w:rsidRPr="002E7DDA" w14:paraId="3755B473" w14:textId="77777777" w:rsidTr="00D45E1B">
        <w:tc>
          <w:tcPr>
            <w:tcW w:w="709" w:type="dxa"/>
            <w:tcBorders>
              <w:right w:val="single" w:sz="4" w:space="0" w:color="FFFFFF"/>
            </w:tcBorders>
          </w:tcPr>
          <w:p w14:paraId="0EABAC95"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vAlign w:val="center"/>
          </w:tcPr>
          <w:p w14:paraId="6B087764"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Gospodarka odpadami</w:t>
            </w:r>
          </w:p>
        </w:tc>
        <w:tc>
          <w:tcPr>
            <w:tcW w:w="850" w:type="dxa"/>
            <w:tcBorders>
              <w:left w:val="single" w:sz="4" w:space="0" w:color="FFFFFF"/>
            </w:tcBorders>
          </w:tcPr>
          <w:p w14:paraId="3ED91810"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465</w:t>
            </w:r>
          </w:p>
        </w:tc>
        <w:tc>
          <w:tcPr>
            <w:tcW w:w="1134" w:type="dxa"/>
            <w:tcBorders>
              <w:left w:val="single" w:sz="4" w:space="0" w:color="FFFFFF"/>
            </w:tcBorders>
          </w:tcPr>
          <w:p w14:paraId="297CE479" w14:textId="77777777" w:rsidR="00A2102A" w:rsidRPr="00D77397" w:rsidRDefault="00A2102A" w:rsidP="00D45E1B">
            <w:pPr>
              <w:spacing w:before="60" w:after="60"/>
              <w:jc w:val="center"/>
              <w:rPr>
                <w:sz w:val="18"/>
                <w:szCs w:val="18"/>
              </w:rPr>
            </w:pPr>
            <w:r w:rsidRPr="00D77397">
              <w:rPr>
                <w:sz w:val="18"/>
                <w:szCs w:val="18"/>
              </w:rPr>
              <w:t>7,77%</w:t>
            </w:r>
          </w:p>
        </w:tc>
      </w:tr>
      <w:tr w:rsidR="00A2102A" w:rsidRPr="002E7DDA" w14:paraId="6B449FE2" w14:textId="77777777" w:rsidTr="00D45E1B">
        <w:tc>
          <w:tcPr>
            <w:tcW w:w="709" w:type="dxa"/>
            <w:tcBorders>
              <w:right w:val="single" w:sz="4" w:space="0" w:color="FFFFFF"/>
            </w:tcBorders>
            <w:shd w:val="clear" w:color="auto" w:fill="00B0F0"/>
          </w:tcPr>
          <w:p w14:paraId="6DF865FC"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6D6D55F4"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Utrzymanie dróg (oznakowanie, sygnalizacja, parkometry, oczyszczanie, utrzymanie zieleni)</w:t>
            </w:r>
          </w:p>
        </w:tc>
        <w:tc>
          <w:tcPr>
            <w:tcW w:w="850" w:type="dxa"/>
            <w:tcBorders>
              <w:left w:val="single" w:sz="4" w:space="0" w:color="FFFFFF"/>
            </w:tcBorders>
            <w:shd w:val="clear" w:color="auto" w:fill="00B0F0"/>
          </w:tcPr>
          <w:p w14:paraId="16875094"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371</w:t>
            </w:r>
          </w:p>
        </w:tc>
        <w:tc>
          <w:tcPr>
            <w:tcW w:w="1134" w:type="dxa"/>
            <w:tcBorders>
              <w:left w:val="single" w:sz="4" w:space="0" w:color="FFFFFF"/>
            </w:tcBorders>
            <w:shd w:val="clear" w:color="auto" w:fill="00B0F0"/>
          </w:tcPr>
          <w:p w14:paraId="602AF6A2" w14:textId="77777777" w:rsidR="00A2102A" w:rsidRPr="00D77397" w:rsidRDefault="00A2102A" w:rsidP="00D45E1B">
            <w:pPr>
              <w:spacing w:before="60" w:after="60"/>
              <w:jc w:val="center"/>
              <w:rPr>
                <w:sz w:val="18"/>
                <w:szCs w:val="18"/>
              </w:rPr>
            </w:pPr>
            <w:r w:rsidRPr="00D77397">
              <w:rPr>
                <w:sz w:val="18"/>
                <w:szCs w:val="18"/>
              </w:rPr>
              <w:t>6,20%</w:t>
            </w:r>
          </w:p>
        </w:tc>
      </w:tr>
      <w:tr w:rsidR="00A2102A" w:rsidRPr="002E7DDA" w14:paraId="525F52A0" w14:textId="77777777" w:rsidTr="00D45E1B">
        <w:tc>
          <w:tcPr>
            <w:tcW w:w="709" w:type="dxa"/>
            <w:tcBorders>
              <w:right w:val="single" w:sz="4" w:space="0" w:color="FFFFFF"/>
            </w:tcBorders>
          </w:tcPr>
          <w:p w14:paraId="42B684AE"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vAlign w:val="center"/>
          </w:tcPr>
          <w:p w14:paraId="6F0CF07C"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Dostawy i usługi dla służb mundurowych</w:t>
            </w:r>
          </w:p>
        </w:tc>
        <w:tc>
          <w:tcPr>
            <w:tcW w:w="850" w:type="dxa"/>
            <w:tcBorders>
              <w:left w:val="single" w:sz="4" w:space="0" w:color="FFFFFF"/>
            </w:tcBorders>
          </w:tcPr>
          <w:p w14:paraId="5E72A6C0"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295</w:t>
            </w:r>
          </w:p>
        </w:tc>
        <w:tc>
          <w:tcPr>
            <w:tcW w:w="1134" w:type="dxa"/>
            <w:tcBorders>
              <w:left w:val="single" w:sz="4" w:space="0" w:color="FFFFFF"/>
            </w:tcBorders>
          </w:tcPr>
          <w:p w14:paraId="6F740E8E"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4,93%</w:t>
            </w:r>
          </w:p>
        </w:tc>
      </w:tr>
      <w:tr w:rsidR="00A2102A" w:rsidRPr="002E7DDA" w14:paraId="1B8EDEB1" w14:textId="77777777" w:rsidTr="00D45E1B">
        <w:tc>
          <w:tcPr>
            <w:tcW w:w="709" w:type="dxa"/>
            <w:tcBorders>
              <w:right w:val="single" w:sz="4" w:space="0" w:color="FFFFFF"/>
            </w:tcBorders>
            <w:shd w:val="clear" w:color="auto" w:fill="00B0F0"/>
          </w:tcPr>
          <w:p w14:paraId="2DF1937A"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27B37082"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Sprzątanie</w:t>
            </w:r>
          </w:p>
        </w:tc>
        <w:tc>
          <w:tcPr>
            <w:tcW w:w="850" w:type="dxa"/>
            <w:tcBorders>
              <w:left w:val="single" w:sz="4" w:space="0" w:color="FFFFFF"/>
            </w:tcBorders>
            <w:shd w:val="clear" w:color="auto" w:fill="00B0F0"/>
          </w:tcPr>
          <w:p w14:paraId="29F0061E"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233</w:t>
            </w:r>
          </w:p>
        </w:tc>
        <w:tc>
          <w:tcPr>
            <w:tcW w:w="1134" w:type="dxa"/>
            <w:tcBorders>
              <w:left w:val="single" w:sz="4" w:space="0" w:color="FFFFFF"/>
            </w:tcBorders>
            <w:shd w:val="clear" w:color="auto" w:fill="00B0F0"/>
          </w:tcPr>
          <w:p w14:paraId="78276D09"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3,89%</w:t>
            </w:r>
          </w:p>
        </w:tc>
      </w:tr>
      <w:tr w:rsidR="00A2102A" w:rsidRPr="002E7DDA" w14:paraId="3F2D2318" w14:textId="77777777" w:rsidTr="00D45E1B">
        <w:tc>
          <w:tcPr>
            <w:tcW w:w="709" w:type="dxa"/>
            <w:tcBorders>
              <w:right w:val="single" w:sz="4" w:space="0" w:color="FFFFFF"/>
            </w:tcBorders>
          </w:tcPr>
          <w:p w14:paraId="5301FFD8"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vAlign w:val="center"/>
          </w:tcPr>
          <w:p w14:paraId="0EC0EF9E"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Sektor energetyczny</w:t>
            </w:r>
          </w:p>
        </w:tc>
        <w:tc>
          <w:tcPr>
            <w:tcW w:w="850" w:type="dxa"/>
            <w:tcBorders>
              <w:left w:val="single" w:sz="4" w:space="0" w:color="FFFFFF"/>
            </w:tcBorders>
          </w:tcPr>
          <w:p w14:paraId="1AB53454"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206</w:t>
            </w:r>
          </w:p>
        </w:tc>
        <w:tc>
          <w:tcPr>
            <w:tcW w:w="1134" w:type="dxa"/>
            <w:tcBorders>
              <w:left w:val="single" w:sz="4" w:space="0" w:color="FFFFFF"/>
            </w:tcBorders>
          </w:tcPr>
          <w:p w14:paraId="34A52946"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3,44%</w:t>
            </w:r>
          </w:p>
        </w:tc>
      </w:tr>
      <w:tr w:rsidR="00A2102A" w:rsidRPr="002E7DDA" w14:paraId="082D9C66" w14:textId="77777777" w:rsidTr="00D45E1B">
        <w:tc>
          <w:tcPr>
            <w:tcW w:w="709" w:type="dxa"/>
            <w:tcBorders>
              <w:right w:val="single" w:sz="4" w:space="0" w:color="FFFFFF"/>
            </w:tcBorders>
            <w:shd w:val="clear" w:color="auto" w:fill="00B0F0"/>
          </w:tcPr>
          <w:p w14:paraId="41A82031"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69E7D4C9"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Transport publiczny</w:t>
            </w:r>
          </w:p>
        </w:tc>
        <w:tc>
          <w:tcPr>
            <w:tcW w:w="850" w:type="dxa"/>
            <w:tcBorders>
              <w:left w:val="single" w:sz="4" w:space="0" w:color="FFFFFF"/>
            </w:tcBorders>
            <w:shd w:val="clear" w:color="auto" w:fill="00B0F0"/>
          </w:tcPr>
          <w:p w14:paraId="7DDB0CD1"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186</w:t>
            </w:r>
          </w:p>
        </w:tc>
        <w:tc>
          <w:tcPr>
            <w:tcW w:w="1134" w:type="dxa"/>
            <w:tcBorders>
              <w:left w:val="single" w:sz="4" w:space="0" w:color="FFFFFF"/>
            </w:tcBorders>
            <w:shd w:val="clear" w:color="auto" w:fill="00B0F0"/>
          </w:tcPr>
          <w:p w14:paraId="57879A0C"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3,11%</w:t>
            </w:r>
          </w:p>
        </w:tc>
      </w:tr>
      <w:tr w:rsidR="00A2102A" w:rsidRPr="002E7DDA" w14:paraId="275FF2FB" w14:textId="77777777" w:rsidTr="00D45E1B">
        <w:tc>
          <w:tcPr>
            <w:tcW w:w="709" w:type="dxa"/>
            <w:tcBorders>
              <w:right w:val="single" w:sz="4" w:space="0" w:color="FFFFFF"/>
            </w:tcBorders>
          </w:tcPr>
          <w:p w14:paraId="58D5A6F5"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vAlign w:val="center"/>
          </w:tcPr>
          <w:p w14:paraId="1772DDCC"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Wybór inżyniera kontraktu, nadzór budowlany, inwestor zastępczy</w:t>
            </w:r>
          </w:p>
        </w:tc>
        <w:tc>
          <w:tcPr>
            <w:tcW w:w="850" w:type="dxa"/>
            <w:tcBorders>
              <w:left w:val="single" w:sz="4" w:space="0" w:color="FFFFFF"/>
            </w:tcBorders>
          </w:tcPr>
          <w:p w14:paraId="2CB397F4"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177</w:t>
            </w:r>
          </w:p>
        </w:tc>
        <w:tc>
          <w:tcPr>
            <w:tcW w:w="1134" w:type="dxa"/>
            <w:tcBorders>
              <w:left w:val="single" w:sz="4" w:space="0" w:color="FFFFFF"/>
            </w:tcBorders>
          </w:tcPr>
          <w:p w14:paraId="00D93201"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2,96%</w:t>
            </w:r>
          </w:p>
        </w:tc>
      </w:tr>
      <w:tr w:rsidR="00A2102A" w:rsidRPr="002E7DDA" w14:paraId="1F962029" w14:textId="77777777" w:rsidTr="00D45E1B">
        <w:tc>
          <w:tcPr>
            <w:tcW w:w="709" w:type="dxa"/>
            <w:tcBorders>
              <w:right w:val="single" w:sz="4" w:space="0" w:color="FFFFFF"/>
            </w:tcBorders>
            <w:shd w:val="clear" w:color="auto" w:fill="00B0F0"/>
          </w:tcPr>
          <w:p w14:paraId="26F95DE1"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479345C9"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Sektor kolejowy</w:t>
            </w:r>
          </w:p>
        </w:tc>
        <w:tc>
          <w:tcPr>
            <w:tcW w:w="850" w:type="dxa"/>
            <w:tcBorders>
              <w:left w:val="single" w:sz="4" w:space="0" w:color="FFFFFF"/>
            </w:tcBorders>
            <w:shd w:val="clear" w:color="auto" w:fill="00B0F0"/>
          </w:tcPr>
          <w:p w14:paraId="77E90553"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160</w:t>
            </w:r>
          </w:p>
        </w:tc>
        <w:tc>
          <w:tcPr>
            <w:tcW w:w="1134" w:type="dxa"/>
            <w:tcBorders>
              <w:left w:val="single" w:sz="4" w:space="0" w:color="FFFFFF"/>
            </w:tcBorders>
            <w:shd w:val="clear" w:color="auto" w:fill="00B0F0"/>
          </w:tcPr>
          <w:p w14:paraId="417E2675"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2,67%</w:t>
            </w:r>
          </w:p>
        </w:tc>
      </w:tr>
      <w:tr w:rsidR="00A2102A" w:rsidRPr="002E7DDA" w14:paraId="046EE2C3" w14:textId="77777777" w:rsidTr="00D45E1B">
        <w:tc>
          <w:tcPr>
            <w:tcW w:w="709" w:type="dxa"/>
            <w:tcBorders>
              <w:right w:val="single" w:sz="4" w:space="0" w:color="FFFFFF"/>
            </w:tcBorders>
          </w:tcPr>
          <w:p w14:paraId="5D5C8D93"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vAlign w:val="center"/>
          </w:tcPr>
          <w:p w14:paraId="42B02196"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D6336A">
              <w:rPr>
                <w:rFonts w:cs="Arial"/>
                <w:color w:val="000000"/>
                <w:sz w:val="18"/>
                <w:szCs w:val="18"/>
              </w:rPr>
              <w:t>Ochrona fizyczna</w:t>
            </w:r>
          </w:p>
        </w:tc>
        <w:tc>
          <w:tcPr>
            <w:tcW w:w="850" w:type="dxa"/>
            <w:tcBorders>
              <w:left w:val="single" w:sz="4" w:space="0" w:color="FFFFFF"/>
            </w:tcBorders>
          </w:tcPr>
          <w:p w14:paraId="7A054185"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150</w:t>
            </w:r>
          </w:p>
        </w:tc>
        <w:tc>
          <w:tcPr>
            <w:tcW w:w="1134" w:type="dxa"/>
            <w:tcBorders>
              <w:left w:val="single" w:sz="4" w:space="0" w:color="FFFFFF"/>
            </w:tcBorders>
          </w:tcPr>
          <w:p w14:paraId="36AF76D7"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2,51%</w:t>
            </w:r>
          </w:p>
        </w:tc>
      </w:tr>
      <w:tr w:rsidR="00A2102A" w:rsidRPr="002E7DDA" w14:paraId="3273D096" w14:textId="77777777" w:rsidTr="00D45E1B">
        <w:tc>
          <w:tcPr>
            <w:tcW w:w="709" w:type="dxa"/>
            <w:tcBorders>
              <w:right w:val="single" w:sz="4" w:space="0" w:color="FFFFFF"/>
            </w:tcBorders>
            <w:shd w:val="clear" w:color="auto" w:fill="00B0F0"/>
          </w:tcPr>
          <w:p w14:paraId="2CFDFF59"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2739CF20"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Opracowanie projektów budowlanych</w:t>
            </w:r>
          </w:p>
        </w:tc>
        <w:tc>
          <w:tcPr>
            <w:tcW w:w="850" w:type="dxa"/>
            <w:tcBorders>
              <w:left w:val="single" w:sz="4" w:space="0" w:color="FFFFFF"/>
            </w:tcBorders>
            <w:shd w:val="clear" w:color="auto" w:fill="00B0F0"/>
          </w:tcPr>
          <w:p w14:paraId="6FCBD7A3"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139</w:t>
            </w:r>
          </w:p>
        </w:tc>
        <w:tc>
          <w:tcPr>
            <w:tcW w:w="1134" w:type="dxa"/>
            <w:tcBorders>
              <w:left w:val="single" w:sz="4" w:space="0" w:color="FFFFFF"/>
            </w:tcBorders>
            <w:shd w:val="clear" w:color="auto" w:fill="00B0F0"/>
          </w:tcPr>
          <w:p w14:paraId="7A1C8052"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2,32%</w:t>
            </w:r>
          </w:p>
        </w:tc>
      </w:tr>
      <w:tr w:rsidR="00A2102A" w:rsidRPr="002E7DDA" w14:paraId="4D505FC1" w14:textId="77777777" w:rsidTr="00D45E1B">
        <w:tc>
          <w:tcPr>
            <w:tcW w:w="709" w:type="dxa"/>
            <w:tcBorders>
              <w:right w:val="single" w:sz="4" w:space="0" w:color="FFFFFF"/>
            </w:tcBorders>
          </w:tcPr>
          <w:p w14:paraId="2015DBA4"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vAlign w:val="center"/>
          </w:tcPr>
          <w:p w14:paraId="0197F18F"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Wodociągi i kanalizacja</w:t>
            </w:r>
          </w:p>
        </w:tc>
        <w:tc>
          <w:tcPr>
            <w:tcW w:w="850" w:type="dxa"/>
            <w:tcBorders>
              <w:left w:val="single" w:sz="4" w:space="0" w:color="FFFFFF"/>
            </w:tcBorders>
          </w:tcPr>
          <w:p w14:paraId="3D1A994C"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130</w:t>
            </w:r>
          </w:p>
        </w:tc>
        <w:tc>
          <w:tcPr>
            <w:tcW w:w="1134" w:type="dxa"/>
            <w:tcBorders>
              <w:left w:val="single" w:sz="4" w:space="0" w:color="FFFFFF"/>
            </w:tcBorders>
          </w:tcPr>
          <w:p w14:paraId="4077C1BE"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2,17%</w:t>
            </w:r>
          </w:p>
        </w:tc>
      </w:tr>
      <w:tr w:rsidR="00A2102A" w:rsidRPr="002E7DDA" w14:paraId="5A4D9FB7" w14:textId="77777777" w:rsidTr="00D45E1B">
        <w:tc>
          <w:tcPr>
            <w:tcW w:w="709" w:type="dxa"/>
            <w:tcBorders>
              <w:right w:val="single" w:sz="4" w:space="0" w:color="FFFFFF"/>
            </w:tcBorders>
            <w:shd w:val="clear" w:color="auto" w:fill="00B0F0"/>
          </w:tcPr>
          <w:p w14:paraId="1F763EC4"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16529BE7"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Usługi leśne</w:t>
            </w:r>
          </w:p>
        </w:tc>
        <w:tc>
          <w:tcPr>
            <w:tcW w:w="850" w:type="dxa"/>
            <w:tcBorders>
              <w:left w:val="single" w:sz="4" w:space="0" w:color="FFFFFF"/>
            </w:tcBorders>
            <w:shd w:val="clear" w:color="auto" w:fill="00B0F0"/>
          </w:tcPr>
          <w:p w14:paraId="7A33B752"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105</w:t>
            </w:r>
          </w:p>
        </w:tc>
        <w:tc>
          <w:tcPr>
            <w:tcW w:w="1134" w:type="dxa"/>
            <w:tcBorders>
              <w:left w:val="single" w:sz="4" w:space="0" w:color="FFFFFF"/>
            </w:tcBorders>
            <w:shd w:val="clear" w:color="auto" w:fill="00B0F0"/>
          </w:tcPr>
          <w:p w14:paraId="2D0CACCA"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1,75%</w:t>
            </w:r>
          </w:p>
        </w:tc>
      </w:tr>
      <w:tr w:rsidR="00A2102A" w:rsidRPr="002E7DDA" w14:paraId="552E9D0D" w14:textId="77777777" w:rsidTr="00D45E1B">
        <w:tc>
          <w:tcPr>
            <w:tcW w:w="709" w:type="dxa"/>
            <w:tcBorders>
              <w:right w:val="single" w:sz="4" w:space="0" w:color="FFFFFF"/>
            </w:tcBorders>
          </w:tcPr>
          <w:p w14:paraId="6EF5239E"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vAlign w:val="center"/>
          </w:tcPr>
          <w:p w14:paraId="4D645311"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Gospodarka wodna (gosp. rzeczna, gosp. morska, zbiorniki retencyjne, przeciwpowodziowe)</w:t>
            </w:r>
          </w:p>
        </w:tc>
        <w:tc>
          <w:tcPr>
            <w:tcW w:w="850" w:type="dxa"/>
            <w:tcBorders>
              <w:left w:val="single" w:sz="4" w:space="0" w:color="FFFFFF"/>
            </w:tcBorders>
          </w:tcPr>
          <w:p w14:paraId="1CD397F5"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70</w:t>
            </w:r>
          </w:p>
        </w:tc>
        <w:tc>
          <w:tcPr>
            <w:tcW w:w="1134" w:type="dxa"/>
            <w:tcBorders>
              <w:left w:val="single" w:sz="4" w:space="0" w:color="FFFFFF"/>
            </w:tcBorders>
          </w:tcPr>
          <w:p w14:paraId="7C79513D"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1,17%</w:t>
            </w:r>
          </w:p>
        </w:tc>
      </w:tr>
      <w:tr w:rsidR="00A2102A" w:rsidRPr="002E7DDA" w14:paraId="57ED44CE" w14:textId="77777777" w:rsidTr="00D45E1B">
        <w:tc>
          <w:tcPr>
            <w:tcW w:w="709" w:type="dxa"/>
            <w:tcBorders>
              <w:right w:val="single" w:sz="4" w:space="0" w:color="FFFFFF"/>
            </w:tcBorders>
            <w:shd w:val="clear" w:color="auto" w:fill="00B0F0"/>
          </w:tcPr>
          <w:p w14:paraId="784BDA5B"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1104BEB6"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Sektor górniczy</w:t>
            </w:r>
          </w:p>
        </w:tc>
        <w:tc>
          <w:tcPr>
            <w:tcW w:w="850" w:type="dxa"/>
            <w:tcBorders>
              <w:left w:val="single" w:sz="4" w:space="0" w:color="FFFFFF"/>
            </w:tcBorders>
            <w:shd w:val="clear" w:color="auto" w:fill="00B0F0"/>
          </w:tcPr>
          <w:p w14:paraId="7E150416"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48</w:t>
            </w:r>
          </w:p>
        </w:tc>
        <w:tc>
          <w:tcPr>
            <w:tcW w:w="1134" w:type="dxa"/>
            <w:tcBorders>
              <w:left w:val="single" w:sz="4" w:space="0" w:color="FFFFFF"/>
            </w:tcBorders>
            <w:shd w:val="clear" w:color="auto" w:fill="00B0F0"/>
          </w:tcPr>
          <w:p w14:paraId="074AB423"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0,80%</w:t>
            </w:r>
          </w:p>
        </w:tc>
      </w:tr>
      <w:tr w:rsidR="00A2102A" w:rsidRPr="002E7DDA" w14:paraId="79021A12" w14:textId="77777777" w:rsidTr="00D45E1B">
        <w:tc>
          <w:tcPr>
            <w:tcW w:w="709" w:type="dxa"/>
            <w:tcBorders>
              <w:right w:val="single" w:sz="4" w:space="0" w:color="FFFFFF"/>
            </w:tcBorders>
          </w:tcPr>
          <w:p w14:paraId="4475857A" w14:textId="77777777" w:rsidR="00A2102A" w:rsidRPr="00DB24F0" w:rsidRDefault="00A2102A" w:rsidP="00D45E1B">
            <w:pPr>
              <w:pStyle w:val="Akapitzlist"/>
              <w:numPr>
                <w:ilvl w:val="0"/>
                <w:numId w:val="61"/>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vAlign w:val="center"/>
          </w:tcPr>
          <w:p w14:paraId="6B8E6FB6" w14:textId="77777777" w:rsidR="00A2102A" w:rsidRPr="002E7DDA" w:rsidRDefault="00A2102A" w:rsidP="00D45E1B">
            <w:pPr>
              <w:autoSpaceDE w:val="0"/>
              <w:autoSpaceDN w:val="0"/>
              <w:adjustRightInd w:val="0"/>
              <w:spacing w:before="60" w:after="60"/>
              <w:jc w:val="left"/>
              <w:rPr>
                <w:rFonts w:cs="Arial"/>
                <w:color w:val="000000"/>
                <w:sz w:val="18"/>
                <w:szCs w:val="18"/>
              </w:rPr>
            </w:pPr>
            <w:r w:rsidRPr="002E7DDA">
              <w:rPr>
                <w:rFonts w:cs="Arial"/>
                <w:sz w:val="18"/>
                <w:szCs w:val="18"/>
              </w:rPr>
              <w:t>Radiokomunikacja i telekomunikacja</w:t>
            </w:r>
          </w:p>
        </w:tc>
        <w:tc>
          <w:tcPr>
            <w:tcW w:w="850" w:type="dxa"/>
            <w:tcBorders>
              <w:left w:val="single" w:sz="4" w:space="0" w:color="FFFFFF"/>
            </w:tcBorders>
          </w:tcPr>
          <w:p w14:paraId="52608384"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44</w:t>
            </w:r>
          </w:p>
        </w:tc>
        <w:tc>
          <w:tcPr>
            <w:tcW w:w="1134" w:type="dxa"/>
            <w:tcBorders>
              <w:left w:val="single" w:sz="4" w:space="0" w:color="FFFFFF"/>
            </w:tcBorders>
          </w:tcPr>
          <w:p w14:paraId="5BA23618" w14:textId="77777777" w:rsidR="00A2102A" w:rsidRPr="00D77397" w:rsidRDefault="00A2102A" w:rsidP="00D45E1B">
            <w:pPr>
              <w:autoSpaceDE w:val="0"/>
              <w:autoSpaceDN w:val="0"/>
              <w:adjustRightInd w:val="0"/>
              <w:spacing w:before="60" w:after="60"/>
              <w:jc w:val="center"/>
              <w:rPr>
                <w:rFonts w:cs="Arial"/>
                <w:color w:val="000000"/>
                <w:sz w:val="18"/>
                <w:szCs w:val="18"/>
              </w:rPr>
            </w:pPr>
            <w:r w:rsidRPr="00D77397">
              <w:rPr>
                <w:sz w:val="18"/>
                <w:szCs w:val="18"/>
              </w:rPr>
              <w:t>0,74%</w:t>
            </w:r>
          </w:p>
        </w:tc>
      </w:tr>
      <w:tr w:rsidR="00A2102A" w:rsidRPr="00875B55" w14:paraId="66A7CEB6" w14:textId="77777777" w:rsidTr="00D45E1B">
        <w:tc>
          <w:tcPr>
            <w:tcW w:w="709" w:type="dxa"/>
            <w:tcBorders>
              <w:right w:val="single" w:sz="4" w:space="0" w:color="FFFFFF"/>
            </w:tcBorders>
            <w:shd w:val="clear" w:color="auto" w:fill="00B0F0"/>
          </w:tcPr>
          <w:p w14:paraId="60AF1F32" w14:textId="77777777" w:rsidR="00A2102A" w:rsidRPr="00875B55" w:rsidRDefault="00A2102A" w:rsidP="00D45E1B">
            <w:pPr>
              <w:autoSpaceDE w:val="0"/>
              <w:autoSpaceDN w:val="0"/>
              <w:adjustRightInd w:val="0"/>
              <w:spacing w:before="60" w:after="60"/>
              <w:jc w:val="left"/>
              <w:rPr>
                <w:rFonts w:cs="Arial"/>
                <w:b/>
                <w:color w:val="000000"/>
                <w:sz w:val="18"/>
                <w:szCs w:val="18"/>
              </w:rPr>
            </w:pPr>
          </w:p>
        </w:tc>
        <w:tc>
          <w:tcPr>
            <w:tcW w:w="6521" w:type="dxa"/>
            <w:tcBorders>
              <w:right w:val="single" w:sz="4" w:space="0" w:color="FFFFFF"/>
            </w:tcBorders>
            <w:shd w:val="clear" w:color="auto" w:fill="00B0F0"/>
            <w:vAlign w:val="center"/>
          </w:tcPr>
          <w:p w14:paraId="394CA857" w14:textId="77777777" w:rsidR="00A2102A" w:rsidRPr="00875B55" w:rsidRDefault="00A2102A" w:rsidP="00D45E1B">
            <w:pPr>
              <w:autoSpaceDE w:val="0"/>
              <w:autoSpaceDN w:val="0"/>
              <w:adjustRightInd w:val="0"/>
              <w:spacing w:before="60" w:after="60"/>
              <w:jc w:val="left"/>
              <w:rPr>
                <w:rFonts w:cs="Arial"/>
                <w:b/>
                <w:color w:val="000000"/>
                <w:sz w:val="18"/>
                <w:szCs w:val="18"/>
              </w:rPr>
            </w:pPr>
            <w:r w:rsidRPr="00875B55">
              <w:rPr>
                <w:rFonts w:cs="Arial"/>
                <w:b/>
                <w:color w:val="000000"/>
                <w:sz w:val="18"/>
                <w:szCs w:val="18"/>
              </w:rPr>
              <w:t xml:space="preserve">Liczba ogółem wniesionych </w:t>
            </w:r>
            <w:proofErr w:type="spellStart"/>
            <w:r w:rsidRPr="00875B55">
              <w:rPr>
                <w:rFonts w:cs="Arial"/>
                <w:b/>
                <w:color w:val="000000"/>
                <w:sz w:val="18"/>
                <w:szCs w:val="18"/>
              </w:rPr>
              <w:t>odwołań</w:t>
            </w:r>
            <w:proofErr w:type="spellEnd"/>
          </w:p>
        </w:tc>
        <w:tc>
          <w:tcPr>
            <w:tcW w:w="850" w:type="dxa"/>
            <w:tcBorders>
              <w:left w:val="single" w:sz="4" w:space="0" w:color="FFFFFF"/>
            </w:tcBorders>
            <w:shd w:val="clear" w:color="auto" w:fill="00B0F0"/>
          </w:tcPr>
          <w:p w14:paraId="4CE2F004" w14:textId="77777777" w:rsidR="00A2102A" w:rsidRPr="0098420A" w:rsidRDefault="00A2102A" w:rsidP="00D45E1B">
            <w:pPr>
              <w:autoSpaceDE w:val="0"/>
              <w:autoSpaceDN w:val="0"/>
              <w:adjustRightInd w:val="0"/>
              <w:spacing w:before="60" w:after="60"/>
              <w:jc w:val="center"/>
              <w:rPr>
                <w:rFonts w:cs="Arial"/>
                <w:b/>
                <w:color w:val="000000"/>
                <w:sz w:val="18"/>
                <w:szCs w:val="18"/>
              </w:rPr>
            </w:pPr>
            <w:r w:rsidRPr="0098420A">
              <w:rPr>
                <w:b/>
                <w:sz w:val="18"/>
                <w:szCs w:val="18"/>
              </w:rPr>
              <w:t>5 986</w:t>
            </w:r>
          </w:p>
        </w:tc>
        <w:tc>
          <w:tcPr>
            <w:tcW w:w="1134" w:type="dxa"/>
            <w:tcBorders>
              <w:left w:val="single" w:sz="4" w:space="0" w:color="FFFFFF"/>
            </w:tcBorders>
            <w:shd w:val="clear" w:color="auto" w:fill="00B0F0"/>
          </w:tcPr>
          <w:p w14:paraId="391E9E33" w14:textId="77777777" w:rsidR="00A2102A" w:rsidRPr="0098420A" w:rsidRDefault="00A2102A" w:rsidP="00D45E1B">
            <w:pPr>
              <w:autoSpaceDE w:val="0"/>
              <w:autoSpaceDN w:val="0"/>
              <w:adjustRightInd w:val="0"/>
              <w:spacing w:before="60" w:after="60"/>
              <w:jc w:val="center"/>
              <w:rPr>
                <w:rFonts w:cs="Arial"/>
                <w:b/>
                <w:color w:val="000000"/>
                <w:sz w:val="18"/>
                <w:szCs w:val="18"/>
              </w:rPr>
            </w:pPr>
            <w:r w:rsidRPr="0098420A">
              <w:rPr>
                <w:b/>
                <w:sz w:val="18"/>
                <w:szCs w:val="18"/>
              </w:rPr>
              <w:t>100,00%</w:t>
            </w:r>
          </w:p>
        </w:tc>
      </w:tr>
    </w:tbl>
    <w:p w14:paraId="4EB20132" w14:textId="2C81F8A5" w:rsidR="00A2102A" w:rsidRDefault="00A2102A" w:rsidP="00A2102A">
      <w:pPr>
        <w:spacing w:before="240" w:line="360" w:lineRule="auto"/>
        <w:rPr>
          <w:szCs w:val="22"/>
        </w:rPr>
      </w:pPr>
      <w:r w:rsidRPr="00242588">
        <w:rPr>
          <w:szCs w:val="22"/>
        </w:rPr>
        <w:t>W 2025</w:t>
      </w:r>
      <w:r>
        <w:rPr>
          <w:szCs w:val="22"/>
        </w:rPr>
        <w:t xml:space="preserve"> </w:t>
      </w:r>
      <w:r w:rsidRPr="00242588">
        <w:rPr>
          <w:szCs w:val="22"/>
        </w:rPr>
        <w:t>r.</w:t>
      </w:r>
      <w:r>
        <w:rPr>
          <w:szCs w:val="22"/>
        </w:rPr>
        <w:t xml:space="preserve"> </w:t>
      </w:r>
      <w:r w:rsidRPr="00242588">
        <w:rPr>
          <w:szCs w:val="22"/>
        </w:rPr>
        <w:t>odwołania koncentrowały się przede wszystkim w kilku kluczowych sektorach rynku – budownictwo, informatyka oraz sektor medyczny.</w:t>
      </w:r>
      <w:r w:rsidR="00DB3D67">
        <w:rPr>
          <w:szCs w:val="22"/>
        </w:rPr>
        <w:t xml:space="preserve"> </w:t>
      </w:r>
      <w:r w:rsidRPr="00242588">
        <w:rPr>
          <w:szCs w:val="22"/>
        </w:rPr>
        <w:t xml:space="preserve">Podobnie jak w roku 2024, najwięcej </w:t>
      </w:r>
      <w:proofErr w:type="spellStart"/>
      <w:r w:rsidRPr="00242588">
        <w:rPr>
          <w:szCs w:val="22"/>
        </w:rPr>
        <w:t>odwołań</w:t>
      </w:r>
      <w:proofErr w:type="spellEnd"/>
      <w:r w:rsidRPr="00242588">
        <w:rPr>
          <w:szCs w:val="22"/>
        </w:rPr>
        <w:t xml:space="preserve"> wniesiono w sektorze budowlanym – w 2024 r. było to 18%.</w:t>
      </w:r>
    </w:p>
    <w:p w14:paraId="1DE4B647" w14:textId="77777777" w:rsidR="00A2102A" w:rsidRPr="00035B66" w:rsidRDefault="00A2102A" w:rsidP="00A2102A">
      <w:pPr>
        <w:pStyle w:val="Nagwek4"/>
      </w:pPr>
      <w:r>
        <w:t xml:space="preserve">6. </w:t>
      </w:r>
      <w:r w:rsidRPr="00035B66">
        <w:t>Dane dotyczące skarg do sądów okręgowych na orzeczenia Krajowej Izby Odwoławczej</w:t>
      </w:r>
    </w:p>
    <w:p w14:paraId="6A3196D6" w14:textId="77777777" w:rsidR="00A2102A" w:rsidRPr="009E6542" w:rsidRDefault="00A2102A" w:rsidP="00A2102A">
      <w:pPr>
        <w:spacing w:before="120" w:line="360" w:lineRule="auto"/>
        <w:rPr>
          <w:szCs w:val="22"/>
        </w:rPr>
      </w:pPr>
      <w:r w:rsidRPr="009E6542">
        <w:rPr>
          <w:szCs w:val="22"/>
        </w:rPr>
        <w:t>W 2025 r. – analogicznie do roku poprzedniego – złożonych zostało 190 skarg. Poniżej liczba skarg składanych w ostatnich latach:</w:t>
      </w:r>
    </w:p>
    <w:p w14:paraId="0B746FCE" w14:textId="77777777" w:rsidR="00A2102A" w:rsidRPr="009E6542" w:rsidRDefault="00A2102A" w:rsidP="00A2102A">
      <w:pPr>
        <w:pStyle w:val="Akapitzlist"/>
        <w:numPr>
          <w:ilvl w:val="0"/>
          <w:numId w:val="62"/>
        </w:numPr>
        <w:spacing w:line="360" w:lineRule="auto"/>
        <w:rPr>
          <w:sz w:val="22"/>
          <w:szCs w:val="22"/>
        </w:rPr>
      </w:pPr>
      <w:r w:rsidRPr="009E6542">
        <w:rPr>
          <w:sz w:val="22"/>
          <w:szCs w:val="22"/>
        </w:rPr>
        <w:t>2020 r. – 122</w:t>
      </w:r>
    </w:p>
    <w:p w14:paraId="0CF1E012" w14:textId="77777777" w:rsidR="00A2102A" w:rsidRPr="009E6542" w:rsidRDefault="00A2102A" w:rsidP="00A2102A">
      <w:pPr>
        <w:pStyle w:val="Akapitzlist"/>
        <w:numPr>
          <w:ilvl w:val="0"/>
          <w:numId w:val="62"/>
        </w:numPr>
        <w:spacing w:line="360" w:lineRule="auto"/>
        <w:rPr>
          <w:sz w:val="22"/>
          <w:szCs w:val="22"/>
        </w:rPr>
      </w:pPr>
      <w:r w:rsidRPr="009E6542">
        <w:rPr>
          <w:sz w:val="22"/>
          <w:szCs w:val="22"/>
        </w:rPr>
        <w:t>2021 r. – 165</w:t>
      </w:r>
    </w:p>
    <w:p w14:paraId="362DC8CA" w14:textId="77777777" w:rsidR="00A2102A" w:rsidRPr="009E6542" w:rsidRDefault="00A2102A" w:rsidP="00A2102A">
      <w:pPr>
        <w:pStyle w:val="Akapitzlist"/>
        <w:numPr>
          <w:ilvl w:val="0"/>
          <w:numId w:val="62"/>
        </w:numPr>
        <w:spacing w:line="360" w:lineRule="auto"/>
        <w:rPr>
          <w:sz w:val="22"/>
          <w:szCs w:val="22"/>
        </w:rPr>
      </w:pPr>
      <w:r w:rsidRPr="009E6542">
        <w:rPr>
          <w:sz w:val="22"/>
          <w:szCs w:val="22"/>
        </w:rPr>
        <w:t>2022 r. – 155</w:t>
      </w:r>
    </w:p>
    <w:p w14:paraId="157CB458" w14:textId="408A8BEE" w:rsidR="00A2102A" w:rsidRPr="009E6542" w:rsidRDefault="00A2102A" w:rsidP="00A2102A">
      <w:pPr>
        <w:pStyle w:val="Akapitzlist"/>
        <w:numPr>
          <w:ilvl w:val="0"/>
          <w:numId w:val="62"/>
        </w:numPr>
        <w:spacing w:line="360" w:lineRule="auto"/>
        <w:rPr>
          <w:sz w:val="22"/>
          <w:szCs w:val="22"/>
        </w:rPr>
      </w:pPr>
      <w:r w:rsidRPr="009E6542">
        <w:rPr>
          <w:sz w:val="22"/>
          <w:szCs w:val="22"/>
        </w:rPr>
        <w:t>2023 r. -</w:t>
      </w:r>
      <w:r w:rsidR="00326395">
        <w:rPr>
          <w:sz w:val="22"/>
          <w:szCs w:val="22"/>
        </w:rPr>
        <w:t xml:space="preserve"> </w:t>
      </w:r>
      <w:r w:rsidRPr="009E6542">
        <w:rPr>
          <w:sz w:val="22"/>
          <w:szCs w:val="22"/>
        </w:rPr>
        <w:t>130</w:t>
      </w:r>
    </w:p>
    <w:p w14:paraId="6C1F47F7" w14:textId="27CE0DF8" w:rsidR="00A2102A" w:rsidRPr="009E6542" w:rsidRDefault="00A2102A" w:rsidP="00A2102A">
      <w:pPr>
        <w:pStyle w:val="Akapitzlist"/>
        <w:numPr>
          <w:ilvl w:val="0"/>
          <w:numId w:val="62"/>
        </w:numPr>
        <w:spacing w:line="360" w:lineRule="auto"/>
        <w:rPr>
          <w:sz w:val="22"/>
          <w:szCs w:val="22"/>
        </w:rPr>
      </w:pPr>
      <w:r w:rsidRPr="009E6542">
        <w:rPr>
          <w:sz w:val="22"/>
          <w:szCs w:val="22"/>
        </w:rPr>
        <w:t>2024 r. -</w:t>
      </w:r>
      <w:r w:rsidR="00326395">
        <w:rPr>
          <w:sz w:val="22"/>
          <w:szCs w:val="22"/>
        </w:rPr>
        <w:t xml:space="preserve"> </w:t>
      </w:r>
      <w:r w:rsidRPr="009E6542">
        <w:rPr>
          <w:sz w:val="22"/>
          <w:szCs w:val="22"/>
        </w:rPr>
        <w:t>190</w:t>
      </w:r>
    </w:p>
    <w:p w14:paraId="0718D12F" w14:textId="77777777" w:rsidR="00A2102A" w:rsidRPr="009E6542" w:rsidRDefault="00A2102A" w:rsidP="00A2102A">
      <w:pPr>
        <w:pStyle w:val="Akapitzlist"/>
        <w:numPr>
          <w:ilvl w:val="0"/>
          <w:numId w:val="62"/>
        </w:numPr>
        <w:spacing w:line="360" w:lineRule="auto"/>
        <w:rPr>
          <w:sz w:val="22"/>
          <w:szCs w:val="22"/>
        </w:rPr>
      </w:pPr>
      <w:r w:rsidRPr="009E6542">
        <w:rPr>
          <w:sz w:val="22"/>
          <w:szCs w:val="22"/>
        </w:rPr>
        <w:t>2025 r. – 190.</w:t>
      </w:r>
    </w:p>
    <w:p w14:paraId="5E1DB4B1" w14:textId="77777777" w:rsidR="00A2102A" w:rsidRPr="009E6542" w:rsidRDefault="00A2102A" w:rsidP="00A2102A">
      <w:pPr>
        <w:spacing w:before="120" w:line="360" w:lineRule="auto"/>
        <w:rPr>
          <w:szCs w:val="22"/>
        </w:rPr>
      </w:pPr>
      <w:r w:rsidRPr="009E6542">
        <w:rPr>
          <w:szCs w:val="22"/>
        </w:rPr>
        <w:t>W 2025 r. spośród 190 skarg na orzeczenia KIO 120 (63,15%) złożonych zostało przez odwołujących, 23 (12,10%) przez zamawiających, 43 (22,63%) przez wykonawców przystępujących do postępowania odwoławczego oraz 4 (2,1%) przez Prezesa UZP.</w:t>
      </w:r>
    </w:p>
    <w:p w14:paraId="34A9C21E" w14:textId="77777777" w:rsidR="00A2102A" w:rsidRPr="009E6542" w:rsidRDefault="00A2102A" w:rsidP="00A2102A">
      <w:pPr>
        <w:spacing w:before="120" w:line="360" w:lineRule="auto"/>
        <w:rPr>
          <w:szCs w:val="22"/>
        </w:rPr>
      </w:pPr>
      <w:r w:rsidRPr="009E6542">
        <w:rPr>
          <w:szCs w:val="22"/>
        </w:rPr>
        <w:t>Na podstawie przekazanych do Urzędu 70 orzeczeń (stan na 28.02.2026 r.), jakie zapadły w wyniku rozpatrzenia skarg, rozstrzygnięcia sądów przedstawiają się następująco:</w:t>
      </w:r>
    </w:p>
    <w:p w14:paraId="6F88CE3D" w14:textId="77777777" w:rsidR="00A2102A" w:rsidRPr="009E6542" w:rsidRDefault="00A2102A" w:rsidP="00A2102A">
      <w:pPr>
        <w:pStyle w:val="Akapitzlist"/>
        <w:numPr>
          <w:ilvl w:val="0"/>
          <w:numId w:val="63"/>
        </w:numPr>
        <w:spacing w:line="360" w:lineRule="auto"/>
        <w:rPr>
          <w:sz w:val="22"/>
          <w:szCs w:val="22"/>
        </w:rPr>
      </w:pPr>
      <w:r w:rsidRPr="009E6542">
        <w:rPr>
          <w:sz w:val="22"/>
          <w:szCs w:val="22"/>
        </w:rPr>
        <w:t>oddalenie skargi – 27 (38,57%)</w:t>
      </w:r>
    </w:p>
    <w:p w14:paraId="6E5CF617" w14:textId="77777777" w:rsidR="00A2102A" w:rsidRPr="009E6542" w:rsidRDefault="00A2102A" w:rsidP="00A2102A">
      <w:pPr>
        <w:pStyle w:val="Akapitzlist"/>
        <w:numPr>
          <w:ilvl w:val="0"/>
          <w:numId w:val="63"/>
        </w:numPr>
        <w:spacing w:line="360" w:lineRule="auto"/>
        <w:rPr>
          <w:sz w:val="22"/>
          <w:szCs w:val="22"/>
        </w:rPr>
      </w:pPr>
      <w:r w:rsidRPr="009E6542">
        <w:rPr>
          <w:sz w:val="22"/>
          <w:szCs w:val="22"/>
        </w:rPr>
        <w:t>odrzucenie skargi – 16 (22,85%)</w:t>
      </w:r>
    </w:p>
    <w:p w14:paraId="7F59BAFA" w14:textId="77777777" w:rsidR="00A2102A" w:rsidRPr="009E6542" w:rsidRDefault="00A2102A" w:rsidP="00A2102A">
      <w:pPr>
        <w:pStyle w:val="Akapitzlist"/>
        <w:numPr>
          <w:ilvl w:val="0"/>
          <w:numId w:val="63"/>
        </w:numPr>
        <w:spacing w:line="360" w:lineRule="auto"/>
        <w:rPr>
          <w:sz w:val="22"/>
          <w:szCs w:val="22"/>
        </w:rPr>
      </w:pPr>
      <w:r w:rsidRPr="009E6542">
        <w:rPr>
          <w:sz w:val="22"/>
          <w:szCs w:val="22"/>
        </w:rPr>
        <w:t>umorzenie postępowania – 15 (51,42%)</w:t>
      </w:r>
    </w:p>
    <w:p w14:paraId="3066F4F1" w14:textId="77777777" w:rsidR="00A2102A" w:rsidRPr="009E6542" w:rsidRDefault="00A2102A" w:rsidP="00A2102A">
      <w:pPr>
        <w:pStyle w:val="Akapitzlist"/>
        <w:numPr>
          <w:ilvl w:val="0"/>
          <w:numId w:val="63"/>
        </w:numPr>
        <w:spacing w:line="360" w:lineRule="auto"/>
        <w:rPr>
          <w:sz w:val="22"/>
          <w:szCs w:val="22"/>
        </w:rPr>
      </w:pPr>
      <w:r w:rsidRPr="009E6542">
        <w:rPr>
          <w:sz w:val="22"/>
          <w:szCs w:val="22"/>
        </w:rPr>
        <w:t>zmieniony wyrok KIO – 9 (12,85%)</w:t>
      </w:r>
    </w:p>
    <w:p w14:paraId="78CF9F95" w14:textId="2303FF42" w:rsidR="00A2102A" w:rsidRPr="009E6542" w:rsidRDefault="00A2102A" w:rsidP="00A2102A">
      <w:pPr>
        <w:pStyle w:val="Akapitzlist"/>
        <w:numPr>
          <w:ilvl w:val="0"/>
          <w:numId w:val="63"/>
        </w:numPr>
        <w:spacing w:line="360" w:lineRule="auto"/>
        <w:rPr>
          <w:sz w:val="22"/>
          <w:szCs w:val="22"/>
        </w:rPr>
      </w:pPr>
      <w:r w:rsidRPr="009E6542">
        <w:rPr>
          <w:sz w:val="22"/>
          <w:szCs w:val="22"/>
        </w:rPr>
        <w:t>uchylony wyrok – 3 (4,28%)</w:t>
      </w:r>
      <w:r w:rsidR="00F8223C">
        <w:rPr>
          <w:sz w:val="22"/>
          <w:szCs w:val="22"/>
        </w:rPr>
        <w:t>.</w:t>
      </w:r>
    </w:p>
    <w:p w14:paraId="6D77E911" w14:textId="1333B8A4" w:rsidR="00234661" w:rsidRDefault="00A2102A" w:rsidP="00187300">
      <w:pPr>
        <w:spacing w:before="120" w:line="360" w:lineRule="auto"/>
        <w:rPr>
          <w:szCs w:val="22"/>
        </w:rPr>
      </w:pPr>
      <w:r w:rsidRPr="009E6542">
        <w:rPr>
          <w:szCs w:val="22"/>
        </w:rPr>
        <w:t>Dla porównania w 2024 r. wniesiono 190 skarg, w tym: 107 (56,3%) złożonych zostało przez odwołujących, 37 (19,4%) przez zamawiających, 44 (23,2%) przez wykonawców przystępujących do postępowania odwoławczego oraz 2 (1,1%) przez Prezesa UZP.</w:t>
      </w:r>
    </w:p>
    <w:p w14:paraId="101CDB16" w14:textId="132FED3B" w:rsidR="002D238A" w:rsidRPr="00035B66" w:rsidRDefault="002D238A" w:rsidP="002D238A">
      <w:pPr>
        <w:pStyle w:val="Nagwek4"/>
      </w:pPr>
      <w:r>
        <w:t>7. Wnioski i rekomendacje w zakresie środków ochrony prawnej</w:t>
      </w:r>
    </w:p>
    <w:p w14:paraId="3B1CB307" w14:textId="2AF042B7" w:rsidR="002D238A" w:rsidRPr="002D238A" w:rsidRDefault="002D238A" w:rsidP="002D238A">
      <w:pPr>
        <w:shd w:val="clear" w:color="auto" w:fill="FFFFFF"/>
        <w:spacing w:before="120" w:line="360" w:lineRule="auto"/>
        <w:jc w:val="left"/>
        <w:rPr>
          <w:rFonts w:cs="Arial"/>
          <w:szCs w:val="22"/>
        </w:rPr>
      </w:pPr>
      <w:r>
        <w:rPr>
          <w:rFonts w:cs="Arial"/>
          <w:szCs w:val="22"/>
        </w:rPr>
        <w:lastRenderedPageBreak/>
        <w:t xml:space="preserve">Rok 2025 przyniósł </w:t>
      </w:r>
      <w:r w:rsidRPr="00DF2A64">
        <w:rPr>
          <w:rFonts w:cs="Arial"/>
          <w:szCs w:val="22"/>
        </w:rPr>
        <w:t xml:space="preserve">kolejny rekordowy wpływ </w:t>
      </w:r>
      <w:proofErr w:type="spellStart"/>
      <w:r w:rsidRPr="00DF2A64">
        <w:rPr>
          <w:rFonts w:cs="Arial"/>
          <w:szCs w:val="22"/>
        </w:rPr>
        <w:t>odwołań</w:t>
      </w:r>
      <w:proofErr w:type="spellEnd"/>
      <w:r w:rsidRPr="00DF2A64">
        <w:rPr>
          <w:rFonts w:cs="Arial"/>
          <w:szCs w:val="22"/>
        </w:rPr>
        <w:t xml:space="preserve"> do </w:t>
      </w:r>
      <w:r w:rsidR="007C0D90">
        <w:rPr>
          <w:rFonts w:cs="Arial"/>
          <w:szCs w:val="22"/>
        </w:rPr>
        <w:t>KIO</w:t>
      </w:r>
      <w:r w:rsidRPr="00DF2A64">
        <w:rPr>
          <w:rFonts w:cs="Arial"/>
          <w:szCs w:val="22"/>
        </w:rPr>
        <w:t xml:space="preserve">, przy zachowaniu bardzo zbliżonej do roku 2024 struktury przedmiotowej i branżowej. Jednocześnie dalszy wzrost liczby spraw znalazł odzwierciedlenie w niskim poziomie terminowości rozpoznawania </w:t>
      </w:r>
      <w:proofErr w:type="spellStart"/>
      <w:r w:rsidRPr="00DF2A64">
        <w:rPr>
          <w:rFonts w:cs="Arial"/>
          <w:szCs w:val="22"/>
        </w:rPr>
        <w:t>odwołań</w:t>
      </w:r>
      <w:proofErr w:type="spellEnd"/>
      <w:r w:rsidRPr="00DF2A64">
        <w:rPr>
          <w:rFonts w:cs="Arial"/>
          <w:szCs w:val="22"/>
        </w:rPr>
        <w:t> oraz znaczącej liczbie spraw przechodzących</w:t>
      </w:r>
      <w:r>
        <w:rPr>
          <w:rFonts w:cs="Arial"/>
          <w:szCs w:val="22"/>
        </w:rPr>
        <w:t xml:space="preserve"> do rozpoznania na kolejny rok. </w:t>
      </w:r>
    </w:p>
    <w:p w14:paraId="5489726E" w14:textId="325525EA" w:rsidR="00EE2304" w:rsidRPr="002E3FB8" w:rsidRDefault="00EE2304" w:rsidP="00270CF3">
      <w:pPr>
        <w:pStyle w:val="Nagwek3"/>
      </w:pPr>
      <w:bookmarkStart w:id="122" w:name="_Toc233203281"/>
      <w:r w:rsidRPr="00F83EE5">
        <w:t>I.2.</w:t>
      </w:r>
      <w:r w:rsidR="00D04015">
        <w:t>9</w:t>
      </w:r>
      <w:r w:rsidRPr="00F83EE5">
        <w:t>. Stan zrównoważonych zamówień publicznych w 202</w:t>
      </w:r>
      <w:r w:rsidR="00234661" w:rsidRPr="00F83EE5">
        <w:t>5</w:t>
      </w:r>
      <w:r w:rsidRPr="00F83EE5">
        <w:t xml:space="preserve"> r.</w:t>
      </w:r>
      <w:bookmarkEnd w:id="122"/>
    </w:p>
    <w:p w14:paraId="247A1B79" w14:textId="751A53F5" w:rsidR="00EF7DFE" w:rsidRDefault="006D3F10" w:rsidP="00852522">
      <w:pPr>
        <w:pStyle w:val="Nagwek4"/>
      </w:pPr>
      <w:r w:rsidRPr="00FC2D04">
        <w:t xml:space="preserve">1. </w:t>
      </w:r>
      <w:r w:rsidR="00AA4D6D" w:rsidRPr="00FC2D04">
        <w:t>Społeczne zamówienia publiczne</w:t>
      </w:r>
    </w:p>
    <w:p w14:paraId="117D3678" w14:textId="4FCD0C51" w:rsidR="002818AF" w:rsidRPr="00FD623C" w:rsidRDefault="002818AF" w:rsidP="002818AF">
      <w:pPr>
        <w:pStyle w:val="Legenda"/>
      </w:pPr>
      <w:bookmarkStart w:id="123" w:name="_Toc141276532"/>
      <w:bookmarkStart w:id="124" w:name="_Toc233203382"/>
      <w:r w:rsidRPr="00C91CCE">
        <w:t xml:space="preserve">Tab. </w:t>
      </w:r>
      <w:fldSimple w:instr=" SEQ Tab. \* ARABIC ">
        <w:r w:rsidR="00017C65">
          <w:rPr>
            <w:noProof/>
          </w:rPr>
          <w:t>10</w:t>
        </w:r>
      </w:fldSimple>
      <w:r w:rsidRPr="00C91CCE">
        <w:t>. Społeczne zamówienia publiczne w 202</w:t>
      </w:r>
      <w:r w:rsidR="00F40ACD">
        <w:t>5</w:t>
      </w:r>
      <w:r w:rsidRPr="00C91CCE">
        <w:t xml:space="preserve"> r.</w:t>
      </w:r>
      <w:r>
        <w:t xml:space="preserve"> </w:t>
      </w:r>
      <w:r w:rsidRPr="00C91CCE">
        <w:t>– dane ogólne</w:t>
      </w:r>
      <w:bookmarkEnd w:id="123"/>
      <w:bookmarkEnd w:id="12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w 2025 r. – dane ogólne."/>
        <w:tblDescription w:val="Tabela. Społeczne zamówienia publiczne w 2025 r. – dane ogólne."/>
      </w:tblPr>
      <w:tblGrid>
        <w:gridCol w:w="6799"/>
        <w:gridCol w:w="2263"/>
      </w:tblGrid>
      <w:tr w:rsidR="002818AF" w:rsidRPr="002C544B" w14:paraId="791D400E" w14:textId="77777777" w:rsidTr="0020619C">
        <w:trPr>
          <w:trHeight w:val="300"/>
          <w:tblHeader/>
          <w:jc w:val="center"/>
        </w:trPr>
        <w:tc>
          <w:tcPr>
            <w:tcW w:w="9062" w:type="dxa"/>
            <w:gridSpan w:val="2"/>
            <w:shd w:val="clear" w:color="auto" w:fill="5B9BD5"/>
            <w:noWrap/>
            <w:vAlign w:val="center"/>
            <w:hideMark/>
          </w:tcPr>
          <w:p w14:paraId="0B9F4B6D" w14:textId="77777777" w:rsidR="002818AF" w:rsidRPr="002C544B" w:rsidRDefault="002818AF" w:rsidP="0020619C">
            <w:pPr>
              <w:jc w:val="center"/>
              <w:rPr>
                <w:rFonts w:cs="Arial"/>
                <w:b/>
                <w:sz w:val="20"/>
                <w:szCs w:val="20"/>
              </w:rPr>
            </w:pPr>
            <w:r w:rsidRPr="002C544B">
              <w:rPr>
                <w:rFonts w:cs="Arial"/>
                <w:b/>
                <w:sz w:val="20"/>
                <w:szCs w:val="20"/>
              </w:rPr>
              <w:t>DANE OGÓLNE</w:t>
            </w:r>
          </w:p>
        </w:tc>
      </w:tr>
      <w:tr w:rsidR="00181F0B" w:rsidRPr="002C544B" w14:paraId="7ED4D638" w14:textId="77777777" w:rsidTr="0020619C">
        <w:trPr>
          <w:trHeight w:val="300"/>
          <w:jc w:val="center"/>
        </w:trPr>
        <w:tc>
          <w:tcPr>
            <w:tcW w:w="6799" w:type="dxa"/>
            <w:noWrap/>
            <w:vAlign w:val="center"/>
          </w:tcPr>
          <w:p w14:paraId="722F4069" w14:textId="77777777" w:rsidR="00181F0B" w:rsidRPr="002C544B" w:rsidRDefault="00181F0B" w:rsidP="00181F0B">
            <w:pPr>
              <w:jc w:val="left"/>
              <w:rPr>
                <w:rFonts w:cs="Arial"/>
                <w:bCs/>
                <w:sz w:val="20"/>
                <w:szCs w:val="20"/>
              </w:rPr>
            </w:pPr>
            <w:r w:rsidRPr="002C544B">
              <w:rPr>
                <w:rFonts w:cs="Arial"/>
                <w:bCs/>
                <w:sz w:val="20"/>
                <w:szCs w:val="20"/>
              </w:rPr>
              <w:t xml:space="preserve">Liczba zamawiających, którzy udzielili zamówień publicznych uwzględniających aspekty społeczne </w:t>
            </w:r>
            <w:r w:rsidRPr="002C544B">
              <w:rPr>
                <w:rFonts w:cs="Arial"/>
                <w:sz w:val="20"/>
                <w:szCs w:val="20"/>
              </w:rPr>
              <w:t>(na podst. art. 94 ust. 1, art. 100 ust. 1, art. 242 ust. 2, art. 95 ust. 1, art. 96 ust. 1, art. 104 ustawy Pzp)</w:t>
            </w:r>
          </w:p>
        </w:tc>
        <w:tc>
          <w:tcPr>
            <w:tcW w:w="2263" w:type="dxa"/>
            <w:noWrap/>
            <w:vAlign w:val="center"/>
          </w:tcPr>
          <w:p w14:paraId="19C6E892" w14:textId="00BEB97C" w:rsidR="00181F0B" w:rsidRPr="002C544B" w:rsidRDefault="00181F0B" w:rsidP="00181F0B">
            <w:pPr>
              <w:jc w:val="center"/>
              <w:rPr>
                <w:rFonts w:cs="Arial"/>
                <w:sz w:val="20"/>
                <w:szCs w:val="20"/>
              </w:rPr>
            </w:pPr>
            <w:r>
              <w:rPr>
                <w:rFonts w:cs="Arial"/>
                <w:sz w:val="20"/>
                <w:szCs w:val="20"/>
              </w:rPr>
              <w:t>4 827</w:t>
            </w:r>
          </w:p>
        </w:tc>
      </w:tr>
      <w:tr w:rsidR="00181F0B" w:rsidRPr="002C544B" w14:paraId="786418E2" w14:textId="77777777" w:rsidTr="0020619C">
        <w:trPr>
          <w:trHeight w:val="300"/>
          <w:jc w:val="center"/>
        </w:trPr>
        <w:tc>
          <w:tcPr>
            <w:tcW w:w="6799" w:type="dxa"/>
            <w:shd w:val="clear" w:color="auto" w:fill="DEEAF6"/>
            <w:noWrap/>
            <w:vAlign w:val="center"/>
          </w:tcPr>
          <w:p w14:paraId="462B107D" w14:textId="77777777" w:rsidR="00181F0B" w:rsidRPr="002C544B" w:rsidRDefault="00181F0B" w:rsidP="00181F0B">
            <w:pPr>
              <w:jc w:val="left"/>
              <w:rPr>
                <w:rFonts w:cs="Arial"/>
                <w:bCs/>
                <w:sz w:val="20"/>
                <w:szCs w:val="20"/>
              </w:rPr>
            </w:pPr>
            <w:r w:rsidRPr="002C544B">
              <w:rPr>
                <w:rFonts w:cs="Arial"/>
                <w:bCs/>
                <w:sz w:val="20"/>
                <w:szCs w:val="20"/>
              </w:rPr>
              <w:t xml:space="preserve">Liczba </w:t>
            </w:r>
            <w:r w:rsidRPr="002C544B">
              <w:rPr>
                <w:rFonts w:cs="Arial"/>
                <w:sz w:val="20"/>
                <w:szCs w:val="20"/>
              </w:rPr>
              <w:t>udzielonych zamówień publicznych uwzględniających aspekty społeczne (na podst. art. 94 ust. 1, art. 100 ust. 1, art. 242 ust. 2, art. 95 ust. 1, art. 96 ust. 1, art. 104 ustawy Pzp)</w:t>
            </w:r>
          </w:p>
        </w:tc>
        <w:tc>
          <w:tcPr>
            <w:tcW w:w="2263" w:type="dxa"/>
            <w:shd w:val="clear" w:color="auto" w:fill="DEEAF6"/>
            <w:noWrap/>
            <w:vAlign w:val="center"/>
          </w:tcPr>
          <w:p w14:paraId="7D2465D8" w14:textId="2FDE8C36" w:rsidR="00181F0B" w:rsidRPr="002C544B" w:rsidRDefault="00181F0B" w:rsidP="00181F0B">
            <w:pPr>
              <w:jc w:val="center"/>
              <w:rPr>
                <w:rFonts w:cs="Arial"/>
                <w:sz w:val="20"/>
                <w:szCs w:val="20"/>
              </w:rPr>
            </w:pPr>
            <w:r>
              <w:rPr>
                <w:rFonts w:cs="Arial"/>
                <w:sz w:val="20"/>
                <w:szCs w:val="20"/>
              </w:rPr>
              <w:t>46 461</w:t>
            </w:r>
          </w:p>
        </w:tc>
      </w:tr>
      <w:tr w:rsidR="00E158AC" w:rsidRPr="002C544B" w14:paraId="3BF9D2CE" w14:textId="77777777" w:rsidTr="007D45CD">
        <w:trPr>
          <w:trHeight w:val="300"/>
          <w:jc w:val="center"/>
        </w:trPr>
        <w:tc>
          <w:tcPr>
            <w:tcW w:w="6799" w:type="dxa"/>
            <w:noWrap/>
            <w:vAlign w:val="center"/>
            <w:hideMark/>
          </w:tcPr>
          <w:p w14:paraId="331B9B66" w14:textId="77777777" w:rsidR="00E158AC" w:rsidRPr="002C544B" w:rsidRDefault="00E158AC" w:rsidP="00E158AC">
            <w:pPr>
              <w:jc w:val="left"/>
              <w:rPr>
                <w:rFonts w:cs="Arial"/>
                <w:bCs/>
                <w:sz w:val="20"/>
                <w:szCs w:val="20"/>
              </w:rPr>
            </w:pPr>
            <w:r w:rsidRPr="002C544B">
              <w:rPr>
                <w:rFonts w:cs="Arial"/>
                <w:bCs/>
                <w:sz w:val="20"/>
                <w:szCs w:val="20"/>
              </w:rPr>
              <w:t xml:space="preserve">Wartość </w:t>
            </w:r>
            <w:r w:rsidRPr="002C544B">
              <w:rPr>
                <w:rFonts w:cs="Arial"/>
                <w:sz w:val="20"/>
                <w:szCs w:val="20"/>
              </w:rPr>
              <w:t>udzielonych zamówień publicznych uwzględniających aspekty społeczne (na podst. art. 94 ust. 1, art. 100 ust. 1, art. 242 ust. 2, art. 95 ust. 1, art. 96 ust. 1, art. 104 ustawy Pzp)</w:t>
            </w:r>
          </w:p>
        </w:tc>
        <w:tc>
          <w:tcPr>
            <w:tcW w:w="2263" w:type="dxa"/>
            <w:noWrap/>
            <w:vAlign w:val="center"/>
          </w:tcPr>
          <w:p w14:paraId="3814ADB9" w14:textId="77777777" w:rsidR="00E158AC" w:rsidRPr="003A3881" w:rsidRDefault="00E158AC" w:rsidP="00E158AC">
            <w:pPr>
              <w:jc w:val="center"/>
              <w:rPr>
                <w:rFonts w:cs="Arial"/>
                <w:sz w:val="20"/>
                <w:szCs w:val="20"/>
              </w:rPr>
            </w:pPr>
            <w:r w:rsidRPr="00DC1C55">
              <w:rPr>
                <w:rFonts w:cs="Arial"/>
                <w:sz w:val="20"/>
                <w:szCs w:val="20"/>
              </w:rPr>
              <w:t>112</w:t>
            </w:r>
            <w:r>
              <w:rPr>
                <w:rFonts w:cs="Arial"/>
                <w:sz w:val="20"/>
                <w:szCs w:val="20"/>
              </w:rPr>
              <w:t xml:space="preserve"> </w:t>
            </w:r>
            <w:r w:rsidRPr="00DC1C55">
              <w:rPr>
                <w:rFonts w:cs="Arial"/>
                <w:sz w:val="20"/>
                <w:szCs w:val="20"/>
              </w:rPr>
              <w:t>699</w:t>
            </w:r>
            <w:r>
              <w:rPr>
                <w:rFonts w:cs="Arial"/>
                <w:sz w:val="20"/>
                <w:szCs w:val="20"/>
              </w:rPr>
              <w:t xml:space="preserve"> </w:t>
            </w:r>
            <w:r w:rsidRPr="00DC1C55">
              <w:rPr>
                <w:rFonts w:cs="Arial"/>
                <w:sz w:val="20"/>
                <w:szCs w:val="20"/>
              </w:rPr>
              <w:t>705</w:t>
            </w:r>
            <w:r>
              <w:rPr>
                <w:rFonts w:cs="Arial"/>
                <w:sz w:val="20"/>
                <w:szCs w:val="20"/>
              </w:rPr>
              <w:t xml:space="preserve"> </w:t>
            </w:r>
            <w:r w:rsidRPr="00DC1C55">
              <w:rPr>
                <w:rFonts w:cs="Arial"/>
                <w:sz w:val="20"/>
                <w:szCs w:val="20"/>
              </w:rPr>
              <w:t>851,7</w:t>
            </w:r>
            <w:r>
              <w:rPr>
                <w:rFonts w:cs="Arial"/>
                <w:sz w:val="20"/>
                <w:szCs w:val="20"/>
              </w:rPr>
              <w:t xml:space="preserve"> </w:t>
            </w:r>
            <w:r w:rsidRPr="00547E51">
              <w:rPr>
                <w:rFonts w:cs="Arial"/>
                <w:sz w:val="20"/>
                <w:szCs w:val="20"/>
              </w:rPr>
              <w:t>zł</w:t>
            </w:r>
          </w:p>
          <w:p w14:paraId="495E268D" w14:textId="0C596D06" w:rsidR="00E158AC" w:rsidRPr="002C544B" w:rsidRDefault="00E158AC" w:rsidP="00E158AC">
            <w:pPr>
              <w:jc w:val="center"/>
              <w:rPr>
                <w:rFonts w:cs="Arial"/>
                <w:sz w:val="20"/>
                <w:szCs w:val="20"/>
                <w:highlight w:val="yellow"/>
              </w:rPr>
            </w:pPr>
            <w:r w:rsidRPr="003A3881">
              <w:rPr>
                <w:rFonts w:cs="Arial"/>
                <w:sz w:val="20"/>
                <w:szCs w:val="20"/>
              </w:rPr>
              <w:t>(wartość bez VAT)</w:t>
            </w:r>
          </w:p>
        </w:tc>
      </w:tr>
      <w:tr w:rsidR="00E158AC" w:rsidRPr="002C544B" w14:paraId="4C136359" w14:textId="77777777" w:rsidTr="0020619C">
        <w:trPr>
          <w:trHeight w:val="300"/>
          <w:jc w:val="center"/>
        </w:trPr>
        <w:tc>
          <w:tcPr>
            <w:tcW w:w="6799" w:type="dxa"/>
            <w:shd w:val="clear" w:color="auto" w:fill="DEEAF6" w:themeFill="accent1" w:themeFillTint="33"/>
            <w:noWrap/>
            <w:vAlign w:val="center"/>
          </w:tcPr>
          <w:p w14:paraId="7A18EBAB" w14:textId="77777777" w:rsidR="00E158AC" w:rsidRPr="002C544B" w:rsidRDefault="00E158AC" w:rsidP="00E158AC">
            <w:pPr>
              <w:jc w:val="left"/>
              <w:rPr>
                <w:rFonts w:eastAsia="Calibri" w:cs="Arial"/>
                <w:sz w:val="20"/>
                <w:szCs w:val="20"/>
              </w:rPr>
            </w:pPr>
            <w:r w:rsidRPr="002C544B">
              <w:rPr>
                <w:rFonts w:eastAsia="Calibri" w:cs="Arial"/>
                <w:sz w:val="20"/>
                <w:szCs w:val="20"/>
              </w:rPr>
              <w:t>Liczba zamawiających, którzy udzielili zamówień zastrzeżonych na usługi zdrowotne, społeczne lub kulturalne, o których mowa w art. 361 ust. 1 lub art. 392 ust. 3 ustawy Pzp</w:t>
            </w:r>
          </w:p>
        </w:tc>
        <w:tc>
          <w:tcPr>
            <w:tcW w:w="2263" w:type="dxa"/>
            <w:shd w:val="clear" w:color="auto" w:fill="DEEAF6" w:themeFill="accent1" w:themeFillTint="33"/>
            <w:noWrap/>
            <w:vAlign w:val="center"/>
          </w:tcPr>
          <w:p w14:paraId="29160039" w14:textId="5DB83859" w:rsidR="00E158AC" w:rsidRPr="002C544B" w:rsidRDefault="00E158AC" w:rsidP="00E158AC">
            <w:pPr>
              <w:jc w:val="center"/>
              <w:rPr>
                <w:rFonts w:eastAsia="Calibri" w:cs="Arial"/>
                <w:sz w:val="20"/>
                <w:szCs w:val="20"/>
              </w:rPr>
            </w:pPr>
            <w:r>
              <w:rPr>
                <w:rFonts w:cs="Arial"/>
                <w:sz w:val="20"/>
                <w:szCs w:val="20"/>
              </w:rPr>
              <w:t>303</w:t>
            </w:r>
          </w:p>
        </w:tc>
      </w:tr>
      <w:tr w:rsidR="00E158AC" w:rsidRPr="002C544B" w14:paraId="33BA8F17" w14:textId="77777777" w:rsidTr="0020619C">
        <w:trPr>
          <w:trHeight w:val="300"/>
          <w:jc w:val="center"/>
        </w:trPr>
        <w:tc>
          <w:tcPr>
            <w:tcW w:w="6799" w:type="dxa"/>
            <w:noWrap/>
            <w:vAlign w:val="center"/>
          </w:tcPr>
          <w:p w14:paraId="1ED7229A" w14:textId="77777777" w:rsidR="00E158AC" w:rsidRPr="002C544B" w:rsidRDefault="00E158AC" w:rsidP="00E158AC">
            <w:pPr>
              <w:jc w:val="left"/>
              <w:rPr>
                <w:rFonts w:cs="Arial"/>
                <w:bCs/>
                <w:sz w:val="20"/>
                <w:szCs w:val="20"/>
              </w:rPr>
            </w:pPr>
            <w:r w:rsidRPr="002C544B">
              <w:rPr>
                <w:rFonts w:eastAsia="Calibri" w:cs="Arial"/>
                <w:sz w:val="20"/>
                <w:szCs w:val="20"/>
              </w:rPr>
              <w:t>Liczba zamówień zastrzeżonych na usługi zdrowotne, społeczne lub kulturalne, o których mowa w art. 361 ust. 1 lub art. 392 ust. 3 ustawy Pzp</w:t>
            </w:r>
          </w:p>
        </w:tc>
        <w:tc>
          <w:tcPr>
            <w:tcW w:w="2263" w:type="dxa"/>
            <w:noWrap/>
            <w:vAlign w:val="center"/>
          </w:tcPr>
          <w:p w14:paraId="3E573C8C" w14:textId="7F569EDF" w:rsidR="00E158AC" w:rsidRPr="002C544B" w:rsidRDefault="00E158AC" w:rsidP="00E158AC">
            <w:pPr>
              <w:jc w:val="center"/>
              <w:rPr>
                <w:rFonts w:cs="Arial"/>
                <w:sz w:val="20"/>
                <w:szCs w:val="20"/>
              </w:rPr>
            </w:pPr>
            <w:r>
              <w:rPr>
                <w:rFonts w:cs="Arial"/>
                <w:sz w:val="20"/>
                <w:szCs w:val="20"/>
              </w:rPr>
              <w:t>667</w:t>
            </w:r>
          </w:p>
        </w:tc>
      </w:tr>
      <w:tr w:rsidR="00E158AC" w:rsidRPr="002C544B" w14:paraId="1493D220" w14:textId="77777777" w:rsidTr="0020619C">
        <w:trPr>
          <w:trHeight w:val="300"/>
          <w:jc w:val="center"/>
        </w:trPr>
        <w:tc>
          <w:tcPr>
            <w:tcW w:w="6799" w:type="dxa"/>
            <w:shd w:val="clear" w:color="auto" w:fill="DEEAF6" w:themeFill="accent1" w:themeFillTint="33"/>
            <w:noWrap/>
            <w:vAlign w:val="center"/>
          </w:tcPr>
          <w:p w14:paraId="17104318" w14:textId="77777777" w:rsidR="00E158AC" w:rsidRPr="002C544B" w:rsidRDefault="00E158AC" w:rsidP="00E158AC">
            <w:pPr>
              <w:jc w:val="left"/>
              <w:rPr>
                <w:rFonts w:eastAsia="Calibri" w:cs="Arial"/>
                <w:sz w:val="20"/>
                <w:szCs w:val="20"/>
              </w:rPr>
            </w:pPr>
            <w:r w:rsidRPr="002C544B">
              <w:rPr>
                <w:rFonts w:cs="Arial"/>
                <w:bCs/>
                <w:sz w:val="20"/>
                <w:szCs w:val="20"/>
              </w:rPr>
              <w:t xml:space="preserve">Wartość </w:t>
            </w:r>
            <w:r w:rsidRPr="002C544B">
              <w:rPr>
                <w:rFonts w:eastAsia="Calibri" w:cs="Arial"/>
                <w:sz w:val="20"/>
                <w:szCs w:val="20"/>
              </w:rPr>
              <w:t>zamówień zastrzeżonych na usługi zdrowotne, społeczne lub kulturalne, o których mowa w art. 361 ust. 1 lub art. 392 ust. 3 ustawy Pzp</w:t>
            </w:r>
          </w:p>
        </w:tc>
        <w:tc>
          <w:tcPr>
            <w:tcW w:w="2263" w:type="dxa"/>
            <w:shd w:val="clear" w:color="auto" w:fill="DEEAF6" w:themeFill="accent1" w:themeFillTint="33"/>
            <w:noWrap/>
            <w:vAlign w:val="center"/>
          </w:tcPr>
          <w:p w14:paraId="3919CA79" w14:textId="77777777" w:rsidR="00E158AC" w:rsidRDefault="00E158AC" w:rsidP="00E158AC">
            <w:pPr>
              <w:jc w:val="center"/>
              <w:rPr>
                <w:rFonts w:cs="Arial"/>
                <w:sz w:val="20"/>
                <w:szCs w:val="20"/>
              </w:rPr>
            </w:pPr>
            <w:r w:rsidRPr="00396EB7">
              <w:rPr>
                <w:rFonts w:cs="Arial"/>
                <w:sz w:val="20"/>
                <w:szCs w:val="20"/>
              </w:rPr>
              <w:t>608</w:t>
            </w:r>
            <w:r>
              <w:rPr>
                <w:rFonts w:cs="Arial"/>
                <w:sz w:val="20"/>
                <w:szCs w:val="20"/>
              </w:rPr>
              <w:t xml:space="preserve"> </w:t>
            </w:r>
            <w:r w:rsidRPr="00396EB7">
              <w:rPr>
                <w:rFonts w:cs="Arial"/>
                <w:sz w:val="20"/>
                <w:szCs w:val="20"/>
              </w:rPr>
              <w:t>925</w:t>
            </w:r>
            <w:r>
              <w:rPr>
                <w:rFonts w:cs="Arial"/>
                <w:sz w:val="20"/>
                <w:szCs w:val="20"/>
              </w:rPr>
              <w:t xml:space="preserve"> </w:t>
            </w:r>
            <w:r w:rsidRPr="00396EB7">
              <w:rPr>
                <w:rFonts w:cs="Arial"/>
                <w:sz w:val="20"/>
                <w:szCs w:val="20"/>
              </w:rPr>
              <w:t>460,49</w:t>
            </w:r>
            <w:r w:rsidRPr="007845D1">
              <w:rPr>
                <w:rFonts w:cs="Arial"/>
                <w:sz w:val="20"/>
                <w:szCs w:val="20"/>
              </w:rPr>
              <w:t>zł</w:t>
            </w:r>
          </w:p>
          <w:p w14:paraId="76D99771" w14:textId="2D79485E" w:rsidR="00E158AC" w:rsidRPr="002C544B" w:rsidRDefault="00E158AC" w:rsidP="00E158AC">
            <w:pPr>
              <w:jc w:val="center"/>
              <w:rPr>
                <w:rFonts w:cs="Arial"/>
                <w:b/>
                <w:sz w:val="20"/>
                <w:szCs w:val="20"/>
              </w:rPr>
            </w:pPr>
            <w:r w:rsidRPr="00FD623C">
              <w:rPr>
                <w:rFonts w:cs="Arial"/>
                <w:sz w:val="20"/>
                <w:szCs w:val="20"/>
              </w:rPr>
              <w:t>(wartość bez VAT)</w:t>
            </w:r>
          </w:p>
        </w:tc>
      </w:tr>
      <w:tr w:rsidR="00E158AC" w:rsidRPr="002C544B" w14:paraId="4CF2DC29" w14:textId="77777777" w:rsidTr="0020619C">
        <w:trPr>
          <w:trHeight w:val="300"/>
          <w:jc w:val="center"/>
        </w:trPr>
        <w:tc>
          <w:tcPr>
            <w:tcW w:w="6799" w:type="dxa"/>
            <w:tcBorders>
              <w:top w:val="single" w:sz="4" w:space="0" w:color="auto"/>
              <w:left w:val="single" w:sz="4" w:space="0" w:color="auto"/>
              <w:bottom w:val="single" w:sz="4" w:space="0" w:color="auto"/>
              <w:right w:val="single" w:sz="4" w:space="0" w:color="auto"/>
            </w:tcBorders>
            <w:noWrap/>
            <w:vAlign w:val="center"/>
          </w:tcPr>
          <w:p w14:paraId="05F0C3B6" w14:textId="77777777" w:rsidR="00E158AC" w:rsidRPr="002C544B" w:rsidRDefault="00E158AC" w:rsidP="00E158AC">
            <w:pPr>
              <w:jc w:val="center"/>
              <w:rPr>
                <w:rFonts w:cs="Arial"/>
                <w:b/>
                <w:bCs/>
                <w:sz w:val="20"/>
                <w:szCs w:val="20"/>
              </w:rPr>
            </w:pPr>
            <w:r w:rsidRPr="002C544B">
              <w:rPr>
                <w:rFonts w:cs="Arial"/>
                <w:b/>
                <w:bCs/>
                <w:sz w:val="20"/>
                <w:szCs w:val="20"/>
              </w:rPr>
              <w:t>ŁĄCZNIE</w:t>
            </w:r>
          </w:p>
        </w:tc>
        <w:tc>
          <w:tcPr>
            <w:tcW w:w="2263" w:type="dxa"/>
            <w:tcBorders>
              <w:top w:val="single" w:sz="4" w:space="0" w:color="auto"/>
              <w:left w:val="single" w:sz="4" w:space="0" w:color="auto"/>
              <w:bottom w:val="single" w:sz="4" w:space="0" w:color="auto"/>
              <w:right w:val="single" w:sz="4" w:space="0" w:color="auto"/>
            </w:tcBorders>
            <w:noWrap/>
            <w:vAlign w:val="center"/>
          </w:tcPr>
          <w:p w14:paraId="0090C56F" w14:textId="77777777" w:rsidR="00E158AC" w:rsidRPr="002C544B" w:rsidRDefault="00E158AC" w:rsidP="00E158AC">
            <w:pPr>
              <w:jc w:val="center"/>
              <w:rPr>
                <w:rFonts w:cs="Arial"/>
                <w:b/>
                <w:sz w:val="20"/>
                <w:szCs w:val="20"/>
              </w:rPr>
            </w:pPr>
          </w:p>
        </w:tc>
      </w:tr>
      <w:tr w:rsidR="00E158AC" w:rsidRPr="002C544B" w14:paraId="1F963507" w14:textId="77777777" w:rsidTr="0020619C">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1BF4EA83" w14:textId="77777777" w:rsidR="00E158AC" w:rsidRPr="002C544B" w:rsidRDefault="00E158AC" w:rsidP="00E158AC">
            <w:pPr>
              <w:jc w:val="left"/>
              <w:rPr>
                <w:rFonts w:cs="Arial"/>
                <w:bCs/>
                <w:sz w:val="20"/>
                <w:szCs w:val="20"/>
              </w:rPr>
            </w:pPr>
            <w:r w:rsidRPr="002C544B">
              <w:rPr>
                <w:rFonts w:cs="Arial"/>
                <w:bCs/>
                <w:sz w:val="20"/>
                <w:szCs w:val="20"/>
              </w:rPr>
              <w:t>Liczba zamawiających, którzy udzielili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1DD56BD3" w14:textId="2FF294C5" w:rsidR="00E158AC" w:rsidRPr="002C544B" w:rsidRDefault="00E158AC" w:rsidP="00E158AC">
            <w:pPr>
              <w:jc w:val="center"/>
              <w:rPr>
                <w:rFonts w:cs="Arial"/>
                <w:sz w:val="20"/>
                <w:szCs w:val="20"/>
              </w:rPr>
            </w:pPr>
            <w:r>
              <w:rPr>
                <w:rFonts w:cs="Arial"/>
                <w:sz w:val="20"/>
                <w:szCs w:val="20"/>
              </w:rPr>
              <w:t>4 938</w:t>
            </w:r>
            <w:r w:rsidR="00552E0C">
              <w:rPr>
                <w:rStyle w:val="Odwoanieprzypisudolnego"/>
                <w:rFonts w:cs="Arial"/>
                <w:sz w:val="20"/>
                <w:szCs w:val="20"/>
              </w:rPr>
              <w:footnoteReference w:id="12"/>
            </w:r>
          </w:p>
        </w:tc>
      </w:tr>
      <w:tr w:rsidR="00E158AC" w:rsidRPr="002C544B" w14:paraId="003143CB" w14:textId="77777777" w:rsidTr="0020619C">
        <w:trPr>
          <w:trHeight w:val="300"/>
          <w:jc w:val="center"/>
        </w:trPr>
        <w:tc>
          <w:tcPr>
            <w:tcW w:w="6799" w:type="dxa"/>
            <w:tcBorders>
              <w:top w:val="single" w:sz="4" w:space="0" w:color="auto"/>
              <w:left w:val="single" w:sz="4" w:space="0" w:color="auto"/>
              <w:bottom w:val="single" w:sz="4" w:space="0" w:color="auto"/>
              <w:right w:val="single" w:sz="4" w:space="0" w:color="auto"/>
            </w:tcBorders>
            <w:noWrap/>
            <w:vAlign w:val="center"/>
          </w:tcPr>
          <w:p w14:paraId="607D09EF" w14:textId="77777777" w:rsidR="00E158AC" w:rsidRPr="002C544B" w:rsidRDefault="00E158AC" w:rsidP="00E158AC">
            <w:pPr>
              <w:jc w:val="left"/>
              <w:rPr>
                <w:rFonts w:cs="Arial"/>
                <w:bCs/>
                <w:sz w:val="20"/>
                <w:szCs w:val="20"/>
              </w:rPr>
            </w:pPr>
            <w:r w:rsidRPr="002C544B">
              <w:rPr>
                <w:rFonts w:cs="Arial"/>
                <w:bCs/>
                <w:sz w:val="20"/>
                <w:szCs w:val="20"/>
              </w:rPr>
              <w:t>Liczba społecznych zamówień publicznych</w:t>
            </w:r>
          </w:p>
        </w:tc>
        <w:tc>
          <w:tcPr>
            <w:tcW w:w="2263" w:type="dxa"/>
            <w:tcBorders>
              <w:top w:val="single" w:sz="4" w:space="0" w:color="auto"/>
              <w:left w:val="single" w:sz="4" w:space="0" w:color="auto"/>
              <w:bottom w:val="single" w:sz="4" w:space="0" w:color="auto"/>
              <w:right w:val="single" w:sz="4" w:space="0" w:color="auto"/>
            </w:tcBorders>
            <w:noWrap/>
            <w:vAlign w:val="center"/>
          </w:tcPr>
          <w:p w14:paraId="37F2FF19" w14:textId="68E88150" w:rsidR="00E158AC" w:rsidRPr="002C544B" w:rsidRDefault="00E158AC" w:rsidP="00E158AC">
            <w:pPr>
              <w:jc w:val="center"/>
              <w:rPr>
                <w:rFonts w:cs="Arial"/>
                <w:sz w:val="20"/>
                <w:szCs w:val="20"/>
              </w:rPr>
            </w:pPr>
            <w:r w:rsidRPr="002571B4">
              <w:rPr>
                <w:rFonts w:cs="Arial"/>
                <w:sz w:val="20"/>
                <w:szCs w:val="20"/>
              </w:rPr>
              <w:t>47</w:t>
            </w:r>
            <w:r>
              <w:rPr>
                <w:rFonts w:cs="Arial"/>
                <w:sz w:val="20"/>
                <w:szCs w:val="20"/>
              </w:rPr>
              <w:t xml:space="preserve"> </w:t>
            </w:r>
            <w:r w:rsidRPr="002571B4">
              <w:rPr>
                <w:rFonts w:cs="Arial"/>
                <w:sz w:val="20"/>
                <w:szCs w:val="20"/>
              </w:rPr>
              <w:t>128</w:t>
            </w:r>
          </w:p>
        </w:tc>
      </w:tr>
      <w:tr w:rsidR="00E158AC" w:rsidRPr="002C544B" w14:paraId="65426B48" w14:textId="77777777" w:rsidTr="0020619C">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7D0270D3" w14:textId="77777777" w:rsidR="00E158AC" w:rsidRPr="002C544B" w:rsidRDefault="00E158AC" w:rsidP="00E158AC">
            <w:pPr>
              <w:jc w:val="left"/>
              <w:rPr>
                <w:rFonts w:cs="Arial"/>
                <w:bCs/>
                <w:sz w:val="20"/>
                <w:szCs w:val="20"/>
              </w:rPr>
            </w:pPr>
            <w:r w:rsidRPr="002C544B">
              <w:rPr>
                <w:rFonts w:cs="Arial"/>
                <w:bCs/>
                <w:sz w:val="20"/>
                <w:szCs w:val="20"/>
              </w:rPr>
              <w:t>Wartość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3AB5D698" w14:textId="77777777" w:rsidR="00E158AC" w:rsidRPr="003A3881" w:rsidRDefault="00E158AC" w:rsidP="00E158AC">
            <w:pPr>
              <w:jc w:val="center"/>
              <w:rPr>
                <w:rFonts w:cs="Arial"/>
                <w:sz w:val="20"/>
                <w:szCs w:val="20"/>
              </w:rPr>
            </w:pPr>
            <w:r w:rsidRPr="002571B4">
              <w:rPr>
                <w:rFonts w:cs="Arial"/>
                <w:sz w:val="20"/>
                <w:szCs w:val="20"/>
              </w:rPr>
              <w:t>113</w:t>
            </w:r>
            <w:r>
              <w:rPr>
                <w:rFonts w:cs="Arial"/>
                <w:sz w:val="20"/>
                <w:szCs w:val="20"/>
              </w:rPr>
              <w:t xml:space="preserve"> </w:t>
            </w:r>
            <w:r w:rsidRPr="002571B4">
              <w:rPr>
                <w:rFonts w:cs="Arial"/>
                <w:sz w:val="20"/>
                <w:szCs w:val="20"/>
              </w:rPr>
              <w:t>308</w:t>
            </w:r>
            <w:r>
              <w:rPr>
                <w:rFonts w:cs="Arial"/>
                <w:sz w:val="20"/>
                <w:szCs w:val="20"/>
              </w:rPr>
              <w:t xml:space="preserve"> </w:t>
            </w:r>
            <w:r w:rsidRPr="002571B4">
              <w:rPr>
                <w:rFonts w:cs="Arial"/>
                <w:sz w:val="20"/>
                <w:szCs w:val="20"/>
              </w:rPr>
              <w:t>631</w:t>
            </w:r>
            <w:r>
              <w:rPr>
                <w:rFonts w:cs="Arial"/>
                <w:sz w:val="20"/>
                <w:szCs w:val="20"/>
              </w:rPr>
              <w:t xml:space="preserve"> </w:t>
            </w:r>
            <w:r w:rsidRPr="002571B4">
              <w:rPr>
                <w:rFonts w:cs="Arial"/>
                <w:sz w:val="20"/>
                <w:szCs w:val="20"/>
              </w:rPr>
              <w:t>312,2</w:t>
            </w:r>
            <w:r>
              <w:rPr>
                <w:rFonts w:cs="Arial"/>
                <w:sz w:val="20"/>
                <w:szCs w:val="20"/>
              </w:rPr>
              <w:t xml:space="preserve"> zł</w:t>
            </w:r>
          </w:p>
          <w:p w14:paraId="1BC4BAE4" w14:textId="6CF65AB6" w:rsidR="00E158AC" w:rsidRPr="002C544B" w:rsidRDefault="00E158AC" w:rsidP="00E158AC">
            <w:pPr>
              <w:jc w:val="center"/>
              <w:rPr>
                <w:rFonts w:cs="Arial"/>
                <w:sz w:val="20"/>
                <w:szCs w:val="20"/>
                <w:highlight w:val="yellow"/>
              </w:rPr>
            </w:pPr>
            <w:r w:rsidRPr="003A3881">
              <w:rPr>
                <w:rFonts w:cs="Arial"/>
                <w:sz w:val="20"/>
                <w:szCs w:val="20"/>
              </w:rPr>
              <w:t>(wartość bez VAT)</w:t>
            </w:r>
          </w:p>
        </w:tc>
      </w:tr>
    </w:tbl>
    <w:p w14:paraId="3271099B" w14:textId="1DBAEAC5" w:rsidR="00DC589A" w:rsidRPr="001A16B8" w:rsidRDefault="00DC589A" w:rsidP="00DD681C">
      <w:pPr>
        <w:spacing w:before="240" w:line="360" w:lineRule="auto"/>
        <w:jc w:val="left"/>
        <w:rPr>
          <w:b/>
        </w:rPr>
      </w:pPr>
      <w:r w:rsidRPr="001A16B8">
        <w:t>W 2025 r. 4 938 zamawiających udzieliło 47 128 zamówień publicznych uwzględniających aspekty społeczne o łącznej wartości 113 308 631 312,2 zł (bez VAT). Dla porównania, w</w:t>
      </w:r>
      <w:r w:rsidR="00395DFF">
        <w:t> </w:t>
      </w:r>
      <w:r w:rsidRPr="001A16B8">
        <w:t>2024</w:t>
      </w:r>
      <w:r w:rsidR="00DC2305">
        <w:t> </w:t>
      </w:r>
      <w:r w:rsidRPr="001A16B8">
        <w:t>r. 4</w:t>
      </w:r>
      <w:r w:rsidR="00DC2305">
        <w:t> </w:t>
      </w:r>
      <w:r w:rsidRPr="001A16B8">
        <w:t>410 zamawiających udzieliło 42</w:t>
      </w:r>
      <w:r w:rsidR="00DC2305">
        <w:t> </w:t>
      </w:r>
      <w:r w:rsidRPr="001A16B8">
        <w:t>363 społecznych zamówień publicznych, których łączna wartość wyniosła 132</w:t>
      </w:r>
      <w:r w:rsidR="00DC2305">
        <w:t> </w:t>
      </w:r>
      <w:r w:rsidRPr="001A16B8">
        <w:t xml:space="preserve">934 807 213 zł (bez VAT). Porównując dane za dwa poprzednie lata, </w:t>
      </w:r>
      <w:r w:rsidR="00395DFF">
        <w:t xml:space="preserve">można stwierdzić </w:t>
      </w:r>
      <w:r w:rsidRPr="001A16B8">
        <w:t xml:space="preserve">wzrost liczby zamawiających uwzględniających aspekty społeczne w postępowaniach przetargowych o 528 podmiotów publicznych. Przełożyło się to również na liczbę społecznych zamówień, która w 2025 r. była większa o 4 765 zamówień. </w:t>
      </w:r>
      <w:r w:rsidRPr="001A16B8">
        <w:lastRenderedPageBreak/>
        <w:t xml:space="preserve">W porównaniu do roku 2024 spadła jednak wartość zamówień społecznych – </w:t>
      </w:r>
      <w:r w:rsidRPr="005C48FA">
        <w:t>o</w:t>
      </w:r>
      <w:r w:rsidR="00DC2305" w:rsidRPr="005C48FA">
        <w:t> </w:t>
      </w:r>
      <w:r w:rsidRPr="005C48FA">
        <w:t xml:space="preserve">19 626 175 900,8 zł. Udział społecznych zamówień publicznych w ogólnej liczbie udzielonych zamówień publicznych wyniósł </w:t>
      </w:r>
      <w:r w:rsidR="005C48FA" w:rsidRPr="005C48FA">
        <w:t>25</w:t>
      </w:r>
      <w:r w:rsidRPr="005C48FA">
        <w:t xml:space="preserve">%, podczas gdy wartość społecznych zamówień publicznych w odniesieniu do łącznej wartości udzielonych zamówień publicznych stanowiła </w:t>
      </w:r>
      <w:r w:rsidR="005C48FA" w:rsidRPr="005C48FA">
        <w:t>32%.</w:t>
      </w:r>
    </w:p>
    <w:p w14:paraId="3E5300B4" w14:textId="7C8F91F0" w:rsidR="006929CF" w:rsidRPr="006929CF" w:rsidRDefault="006929CF" w:rsidP="00DD681C">
      <w:pPr>
        <w:shd w:val="clear" w:color="auto" w:fill="FFFFFF"/>
        <w:spacing w:before="120" w:line="360" w:lineRule="auto"/>
        <w:jc w:val="left"/>
      </w:pPr>
      <w:r w:rsidRPr="006929CF">
        <w:t xml:space="preserve">Instrumenty prospołeczne przewidziane ustawą Pzp w 2025 r. w większości przypadków stosowane były w zamówieniach na roboty budowlane. Dotyczyło to wymogu zatrudnienia na podstawie stosunku pracy z art. 95 ust. 1 ustawy Pzp oraz uwzględnienia w opisie przedmiotu zamówienia wymogów dotyczących dostępności i projektowania z przeznaczeniem dla wszystkich użytkowników (art. 100 ust. 1). </w:t>
      </w:r>
    </w:p>
    <w:p w14:paraId="114EDC86" w14:textId="77777777" w:rsidR="006929CF" w:rsidRPr="006929CF" w:rsidRDefault="006929CF" w:rsidP="006929CF">
      <w:pPr>
        <w:shd w:val="clear" w:color="auto" w:fill="FFFFFF"/>
        <w:spacing w:before="120" w:line="360" w:lineRule="auto"/>
        <w:jc w:val="left"/>
      </w:pPr>
      <w:r w:rsidRPr="006929CF">
        <w:t xml:space="preserve">Również w zamówieniach na usługi najczęściej stosowano te dwa aspekty społeczne (art. 95 ust. 1 oraz art. 100 ust. 1) oraz społeczne kryteria oceny ofert (art. 242 ust. 2). Najrzadziej instrumenty prospołeczne wykorzystywano w zamówieniach na dostawy. </w:t>
      </w:r>
    </w:p>
    <w:p w14:paraId="196EC012" w14:textId="77777777" w:rsidR="006929CF" w:rsidRPr="006929CF" w:rsidRDefault="006929CF" w:rsidP="006929CF">
      <w:pPr>
        <w:shd w:val="clear" w:color="auto" w:fill="FFFFFF"/>
        <w:spacing w:before="120" w:line="360" w:lineRule="auto"/>
        <w:jc w:val="left"/>
      </w:pPr>
      <w:r w:rsidRPr="006929CF">
        <w:t>Poniższe tabele prezentują zestawienie szczegółowych danych dotyczących zastosowania poszczególnych aspektów społecznych przewidzianych w ustawie Pzp w zamówieniach publicznych udzielonych w 2025 r. Wskazują one zarówno łączną liczbę i wartość takich zamówień, jak również ujęcie w podziale na rodzaj zamówienia.</w:t>
      </w:r>
    </w:p>
    <w:p w14:paraId="34CDC381" w14:textId="77777777" w:rsidR="000802A6" w:rsidRPr="00477F18" w:rsidRDefault="000802A6" w:rsidP="00852522">
      <w:pPr>
        <w:pStyle w:val="Nagwek4"/>
      </w:pPr>
      <w:bookmarkStart w:id="125" w:name="_Toc141276533"/>
      <w:r>
        <w:t>1.1. Zamówienia udzielone jako zamówienie zastrzeżone, o którym mowa w art. 94 ust. 1 ustawy Pzp</w:t>
      </w:r>
    </w:p>
    <w:p w14:paraId="13A76EAA" w14:textId="01D6B4E8" w:rsidR="00F42F44" w:rsidRPr="00F65571" w:rsidRDefault="00F42F44" w:rsidP="006C14EB">
      <w:pPr>
        <w:pStyle w:val="Legenda"/>
      </w:pPr>
      <w:bookmarkStart w:id="126" w:name="_Toc233203383"/>
      <w:r w:rsidRPr="00F855FF">
        <w:t xml:space="preserve">Tab. </w:t>
      </w:r>
      <w:fldSimple w:instr=" SEQ Tab. \* ARABIC ">
        <w:r w:rsidR="00017C65">
          <w:rPr>
            <w:noProof/>
          </w:rPr>
          <w:t>11</w:t>
        </w:r>
      </w:fldSimple>
      <w:r w:rsidRPr="00F855FF">
        <w:t>. Zamówienia publiczne z zastosowaniem art. 94 ust. 1 ustawy Pzp</w:t>
      </w:r>
      <w:bookmarkEnd w:id="125"/>
      <w:bookmarkEnd w:id="12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94 ust. 1 ustawy Pzp."/>
        <w:tblDescription w:val="Tabela. Zamówienia publiczne z zastosowaniem art. 94 ust. 1 ustawy Pzp."/>
      </w:tblPr>
      <w:tblGrid>
        <w:gridCol w:w="7083"/>
        <w:gridCol w:w="1979"/>
      </w:tblGrid>
      <w:tr w:rsidR="00F50B82" w:rsidRPr="00FD623C" w14:paraId="4320A04B" w14:textId="77777777" w:rsidTr="00F50B82">
        <w:trPr>
          <w:trHeight w:val="300"/>
          <w:jc w:val="center"/>
        </w:trPr>
        <w:tc>
          <w:tcPr>
            <w:tcW w:w="7083" w:type="dxa"/>
            <w:shd w:val="clear" w:color="auto" w:fill="DEEAF6"/>
            <w:noWrap/>
            <w:vAlign w:val="center"/>
          </w:tcPr>
          <w:p w14:paraId="48AA9E86" w14:textId="77777777" w:rsidR="00F50B82" w:rsidRPr="00FD623C" w:rsidRDefault="00F50B82" w:rsidP="00F50B82">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979" w:type="dxa"/>
            <w:shd w:val="clear" w:color="auto" w:fill="DEEAF6"/>
            <w:vAlign w:val="center"/>
          </w:tcPr>
          <w:p w14:paraId="166FC41D" w14:textId="755F261A" w:rsidR="00F50B82" w:rsidRDefault="00F50B82" w:rsidP="00F50B82">
            <w:pPr>
              <w:jc w:val="center"/>
              <w:rPr>
                <w:rFonts w:cs="Arial"/>
                <w:sz w:val="20"/>
                <w:szCs w:val="20"/>
              </w:rPr>
            </w:pPr>
            <w:r>
              <w:rPr>
                <w:rFonts w:cs="Arial"/>
                <w:sz w:val="20"/>
                <w:szCs w:val="20"/>
              </w:rPr>
              <w:t>3</w:t>
            </w:r>
            <w:r w:rsidRPr="005D3AA6">
              <w:rPr>
                <w:rFonts w:cs="Arial"/>
                <w:sz w:val="20"/>
                <w:szCs w:val="20"/>
              </w:rPr>
              <w:t>21</w:t>
            </w:r>
          </w:p>
        </w:tc>
      </w:tr>
      <w:tr w:rsidR="00F50B82" w:rsidRPr="00FD623C" w14:paraId="6AB2024F" w14:textId="77777777" w:rsidTr="00F50B82">
        <w:trPr>
          <w:trHeight w:val="300"/>
          <w:jc w:val="center"/>
        </w:trPr>
        <w:tc>
          <w:tcPr>
            <w:tcW w:w="7083" w:type="dxa"/>
            <w:noWrap/>
            <w:vAlign w:val="center"/>
            <w:hideMark/>
          </w:tcPr>
          <w:p w14:paraId="55B2441F" w14:textId="77777777" w:rsidR="00F50B82" w:rsidRPr="00FD623C" w:rsidRDefault="00F50B82" w:rsidP="00F50B82">
            <w:pPr>
              <w:rPr>
                <w:rFonts w:cs="Arial"/>
                <w:bCs/>
                <w:sz w:val="20"/>
                <w:szCs w:val="20"/>
              </w:rPr>
            </w:pPr>
            <w:r w:rsidRPr="00FD623C">
              <w:rPr>
                <w:rFonts w:cs="Arial"/>
                <w:bCs/>
                <w:sz w:val="20"/>
                <w:szCs w:val="20"/>
              </w:rPr>
              <w:t xml:space="preserve">Wartość </w:t>
            </w:r>
            <w:r w:rsidRPr="00FD623C">
              <w:rPr>
                <w:rFonts w:cs="Arial"/>
                <w:sz w:val="20"/>
                <w:szCs w:val="20"/>
              </w:rPr>
              <w:t xml:space="preserve">zamówień </w:t>
            </w:r>
          </w:p>
        </w:tc>
        <w:tc>
          <w:tcPr>
            <w:tcW w:w="1979" w:type="dxa"/>
            <w:vAlign w:val="center"/>
          </w:tcPr>
          <w:p w14:paraId="5E459EF7" w14:textId="77777777" w:rsidR="00F50B82" w:rsidRDefault="00F50B82" w:rsidP="00F50B82">
            <w:pPr>
              <w:jc w:val="center"/>
              <w:rPr>
                <w:rFonts w:cs="Arial"/>
                <w:sz w:val="20"/>
                <w:szCs w:val="20"/>
              </w:rPr>
            </w:pPr>
            <w:r w:rsidRPr="00E927C3">
              <w:rPr>
                <w:rFonts w:cs="Arial"/>
                <w:sz w:val="20"/>
                <w:szCs w:val="20"/>
              </w:rPr>
              <w:t>387</w:t>
            </w:r>
            <w:r>
              <w:rPr>
                <w:rFonts w:cs="Arial"/>
                <w:sz w:val="20"/>
                <w:szCs w:val="20"/>
              </w:rPr>
              <w:t xml:space="preserve"> </w:t>
            </w:r>
            <w:r w:rsidRPr="00E927C3">
              <w:rPr>
                <w:rFonts w:cs="Arial"/>
                <w:sz w:val="20"/>
                <w:szCs w:val="20"/>
              </w:rPr>
              <w:t>141</w:t>
            </w:r>
            <w:r>
              <w:rPr>
                <w:rFonts w:cs="Arial"/>
                <w:sz w:val="20"/>
                <w:szCs w:val="20"/>
              </w:rPr>
              <w:t xml:space="preserve"> </w:t>
            </w:r>
            <w:r w:rsidRPr="00E927C3">
              <w:rPr>
                <w:rFonts w:cs="Arial"/>
                <w:sz w:val="20"/>
                <w:szCs w:val="20"/>
              </w:rPr>
              <w:t>112,16</w:t>
            </w:r>
            <w:r>
              <w:rPr>
                <w:rFonts w:cs="Arial"/>
                <w:sz w:val="20"/>
                <w:szCs w:val="20"/>
              </w:rPr>
              <w:t xml:space="preserve"> </w:t>
            </w:r>
            <w:r w:rsidRPr="005D3AA6">
              <w:rPr>
                <w:rFonts w:cs="Arial"/>
                <w:sz w:val="20"/>
                <w:szCs w:val="20"/>
              </w:rPr>
              <w:t>zł</w:t>
            </w:r>
          </w:p>
          <w:p w14:paraId="58CB7E9C" w14:textId="2FF05CBF" w:rsidR="00F50B82" w:rsidRPr="00935375" w:rsidRDefault="00F50B82" w:rsidP="00F50B82">
            <w:pPr>
              <w:jc w:val="center"/>
              <w:rPr>
                <w:rFonts w:cs="Arial"/>
                <w:sz w:val="20"/>
                <w:szCs w:val="20"/>
              </w:rPr>
            </w:pPr>
            <w:r w:rsidRPr="00FD623C">
              <w:rPr>
                <w:rFonts w:cs="Arial"/>
                <w:sz w:val="20"/>
                <w:szCs w:val="20"/>
              </w:rPr>
              <w:t>(wartość bez VAT)</w:t>
            </w:r>
          </w:p>
        </w:tc>
      </w:tr>
    </w:tbl>
    <w:p w14:paraId="4A0F83DD" w14:textId="77777777" w:rsidR="00F42F44" w:rsidRDefault="00F42F44"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94 ust. 1 ustawy Pzp."/>
        <w:tblDescription w:val="Tabela. Zamówienia publiczne z zastosowaniem art. 94 ust. 1 ustawy Pzp."/>
      </w:tblPr>
      <w:tblGrid>
        <w:gridCol w:w="2689"/>
        <w:gridCol w:w="1701"/>
        <w:gridCol w:w="4677"/>
      </w:tblGrid>
      <w:tr w:rsidR="00F42F44" w:rsidRPr="00DF4FD1" w14:paraId="11642A16" w14:textId="77777777" w:rsidTr="00030267">
        <w:trPr>
          <w:trHeight w:val="300"/>
          <w:tblHeader/>
          <w:jc w:val="center"/>
        </w:trPr>
        <w:tc>
          <w:tcPr>
            <w:tcW w:w="2689" w:type="dxa"/>
            <w:shd w:val="clear" w:color="auto" w:fill="5B9BD5"/>
            <w:noWrap/>
            <w:vAlign w:val="center"/>
          </w:tcPr>
          <w:p w14:paraId="50429618" w14:textId="77777777" w:rsidR="00F42F44" w:rsidRPr="00DF4FD1" w:rsidRDefault="00F42F44" w:rsidP="002C544B">
            <w:pPr>
              <w:jc w:val="center"/>
              <w:rPr>
                <w:rFonts w:cs="Arial"/>
                <w:b/>
                <w:sz w:val="20"/>
                <w:szCs w:val="20"/>
              </w:rPr>
            </w:pPr>
            <w:r w:rsidRPr="00DF4FD1">
              <w:rPr>
                <w:rFonts w:cs="Arial"/>
                <w:b/>
                <w:bCs/>
                <w:sz w:val="20"/>
                <w:szCs w:val="20"/>
              </w:rPr>
              <w:t>Rodzaj zamówienia</w:t>
            </w:r>
          </w:p>
        </w:tc>
        <w:tc>
          <w:tcPr>
            <w:tcW w:w="1701" w:type="dxa"/>
            <w:shd w:val="clear" w:color="auto" w:fill="5B9BD5"/>
            <w:vAlign w:val="center"/>
          </w:tcPr>
          <w:p w14:paraId="2584E445" w14:textId="77777777" w:rsidR="00F42F44" w:rsidRPr="00DF4FD1" w:rsidRDefault="00F42F44" w:rsidP="002C544B">
            <w:pPr>
              <w:jc w:val="center"/>
              <w:rPr>
                <w:rFonts w:cs="Arial"/>
                <w:b/>
                <w:sz w:val="20"/>
                <w:szCs w:val="20"/>
              </w:rPr>
            </w:pPr>
            <w:r w:rsidRPr="00DF4FD1">
              <w:rPr>
                <w:rFonts w:cs="Arial"/>
                <w:b/>
                <w:sz w:val="20"/>
                <w:szCs w:val="20"/>
              </w:rPr>
              <w:t>Liczba</w:t>
            </w:r>
          </w:p>
        </w:tc>
        <w:tc>
          <w:tcPr>
            <w:tcW w:w="4677" w:type="dxa"/>
            <w:shd w:val="clear" w:color="auto" w:fill="5B9BD5"/>
            <w:vAlign w:val="center"/>
          </w:tcPr>
          <w:p w14:paraId="763604D4" w14:textId="77777777" w:rsidR="00F42F44" w:rsidRPr="00DF4FD1" w:rsidRDefault="00F42F44" w:rsidP="002C544B">
            <w:pPr>
              <w:jc w:val="center"/>
              <w:rPr>
                <w:rFonts w:cs="Arial"/>
                <w:b/>
                <w:sz w:val="20"/>
                <w:szCs w:val="20"/>
              </w:rPr>
            </w:pPr>
            <w:r w:rsidRPr="00DF4FD1">
              <w:rPr>
                <w:rFonts w:cs="Arial"/>
                <w:b/>
                <w:sz w:val="20"/>
                <w:szCs w:val="20"/>
              </w:rPr>
              <w:t>Wartość (bez VAT)</w:t>
            </w:r>
          </w:p>
        </w:tc>
      </w:tr>
      <w:tr w:rsidR="00CA53FF" w:rsidRPr="00DF4FD1" w14:paraId="718EED14" w14:textId="77777777" w:rsidTr="00030267">
        <w:trPr>
          <w:trHeight w:val="300"/>
          <w:jc w:val="center"/>
        </w:trPr>
        <w:tc>
          <w:tcPr>
            <w:tcW w:w="2689" w:type="dxa"/>
            <w:noWrap/>
            <w:vAlign w:val="center"/>
          </w:tcPr>
          <w:p w14:paraId="4AAF4537" w14:textId="77777777" w:rsidR="00CA53FF" w:rsidRPr="00DF4FD1" w:rsidRDefault="00CA53FF" w:rsidP="00CA53FF">
            <w:pPr>
              <w:jc w:val="center"/>
              <w:rPr>
                <w:rFonts w:cs="Arial"/>
                <w:bCs/>
                <w:sz w:val="20"/>
                <w:szCs w:val="20"/>
              </w:rPr>
            </w:pPr>
            <w:r w:rsidRPr="00DF4FD1">
              <w:rPr>
                <w:rFonts w:cs="Arial"/>
                <w:bCs/>
                <w:sz w:val="20"/>
                <w:szCs w:val="20"/>
              </w:rPr>
              <w:t>Dostawy</w:t>
            </w:r>
          </w:p>
        </w:tc>
        <w:tc>
          <w:tcPr>
            <w:tcW w:w="1701" w:type="dxa"/>
            <w:noWrap/>
            <w:vAlign w:val="center"/>
          </w:tcPr>
          <w:p w14:paraId="40FF23CD" w14:textId="1A84F64D" w:rsidR="00CA53FF" w:rsidRPr="00DF4FD1" w:rsidRDefault="00CA53FF" w:rsidP="00CA53FF">
            <w:pPr>
              <w:jc w:val="center"/>
              <w:rPr>
                <w:rFonts w:cs="Arial"/>
                <w:sz w:val="20"/>
                <w:szCs w:val="20"/>
              </w:rPr>
            </w:pPr>
            <w:r>
              <w:rPr>
                <w:rFonts w:cs="Arial"/>
                <w:sz w:val="20"/>
                <w:szCs w:val="20"/>
              </w:rPr>
              <w:t>20</w:t>
            </w:r>
          </w:p>
        </w:tc>
        <w:tc>
          <w:tcPr>
            <w:tcW w:w="4677" w:type="dxa"/>
            <w:vAlign w:val="center"/>
          </w:tcPr>
          <w:p w14:paraId="170D3AA1" w14:textId="79E9AA6E" w:rsidR="00CA53FF" w:rsidRPr="00DF4FD1" w:rsidRDefault="00CA53FF" w:rsidP="00CA53FF">
            <w:pPr>
              <w:jc w:val="center"/>
              <w:rPr>
                <w:rFonts w:cs="Arial"/>
                <w:sz w:val="20"/>
                <w:szCs w:val="20"/>
              </w:rPr>
            </w:pPr>
            <w:r w:rsidRPr="00E927C3">
              <w:rPr>
                <w:sz w:val="20"/>
                <w:szCs w:val="20"/>
              </w:rPr>
              <w:t>88</w:t>
            </w:r>
            <w:r>
              <w:rPr>
                <w:sz w:val="20"/>
                <w:szCs w:val="20"/>
              </w:rPr>
              <w:t xml:space="preserve"> </w:t>
            </w:r>
            <w:r w:rsidRPr="00E927C3">
              <w:rPr>
                <w:sz w:val="20"/>
                <w:szCs w:val="20"/>
              </w:rPr>
              <w:t>011</w:t>
            </w:r>
            <w:r>
              <w:rPr>
                <w:sz w:val="20"/>
                <w:szCs w:val="20"/>
              </w:rPr>
              <w:t xml:space="preserve"> </w:t>
            </w:r>
            <w:r w:rsidRPr="00E927C3">
              <w:rPr>
                <w:sz w:val="20"/>
                <w:szCs w:val="20"/>
              </w:rPr>
              <w:t>785,03</w:t>
            </w:r>
            <w:r>
              <w:rPr>
                <w:sz w:val="20"/>
                <w:szCs w:val="20"/>
              </w:rPr>
              <w:t xml:space="preserve"> </w:t>
            </w:r>
            <w:r w:rsidRPr="008E69A3">
              <w:rPr>
                <w:sz w:val="20"/>
                <w:szCs w:val="20"/>
              </w:rPr>
              <w:t>zł</w:t>
            </w:r>
          </w:p>
        </w:tc>
      </w:tr>
      <w:tr w:rsidR="00CA53FF" w:rsidRPr="00DF4FD1" w14:paraId="1ADAC44C" w14:textId="77777777" w:rsidTr="00030267">
        <w:trPr>
          <w:trHeight w:val="300"/>
          <w:jc w:val="center"/>
        </w:trPr>
        <w:tc>
          <w:tcPr>
            <w:tcW w:w="2689" w:type="dxa"/>
            <w:shd w:val="clear" w:color="auto" w:fill="DEEAF6"/>
            <w:noWrap/>
            <w:vAlign w:val="center"/>
            <w:hideMark/>
          </w:tcPr>
          <w:p w14:paraId="132A1A1F" w14:textId="77777777" w:rsidR="00CA53FF" w:rsidRPr="00DF4FD1" w:rsidRDefault="00CA53FF" w:rsidP="00CA53FF">
            <w:pPr>
              <w:jc w:val="center"/>
              <w:rPr>
                <w:rFonts w:cs="Arial"/>
                <w:bCs/>
                <w:sz w:val="20"/>
                <w:szCs w:val="20"/>
              </w:rPr>
            </w:pPr>
            <w:r w:rsidRPr="00DF4FD1">
              <w:rPr>
                <w:rFonts w:cs="Arial"/>
                <w:bCs/>
                <w:sz w:val="20"/>
                <w:szCs w:val="20"/>
              </w:rPr>
              <w:t>Roboty budowlane</w:t>
            </w:r>
          </w:p>
        </w:tc>
        <w:tc>
          <w:tcPr>
            <w:tcW w:w="1701" w:type="dxa"/>
            <w:shd w:val="clear" w:color="auto" w:fill="DEEAF6"/>
            <w:noWrap/>
            <w:vAlign w:val="center"/>
          </w:tcPr>
          <w:p w14:paraId="5138C27F" w14:textId="143C4296" w:rsidR="00CA53FF" w:rsidRPr="00DF4FD1" w:rsidRDefault="00CA53FF" w:rsidP="00CA53FF">
            <w:pPr>
              <w:jc w:val="center"/>
              <w:rPr>
                <w:rFonts w:cs="Arial"/>
                <w:sz w:val="20"/>
                <w:szCs w:val="20"/>
              </w:rPr>
            </w:pPr>
            <w:r>
              <w:rPr>
                <w:rFonts w:cs="Arial"/>
                <w:sz w:val="20"/>
                <w:szCs w:val="20"/>
              </w:rPr>
              <w:t>58</w:t>
            </w:r>
          </w:p>
        </w:tc>
        <w:tc>
          <w:tcPr>
            <w:tcW w:w="4677" w:type="dxa"/>
            <w:shd w:val="clear" w:color="auto" w:fill="DEEAF6"/>
            <w:vAlign w:val="center"/>
          </w:tcPr>
          <w:p w14:paraId="098A5490" w14:textId="66D33B72" w:rsidR="00CA53FF" w:rsidRPr="00DF4FD1" w:rsidRDefault="00CA53FF" w:rsidP="00CA53FF">
            <w:pPr>
              <w:jc w:val="center"/>
              <w:rPr>
                <w:rFonts w:cs="Arial"/>
                <w:sz w:val="20"/>
                <w:szCs w:val="20"/>
              </w:rPr>
            </w:pPr>
            <w:r w:rsidRPr="00E927C3">
              <w:rPr>
                <w:sz w:val="20"/>
                <w:szCs w:val="20"/>
              </w:rPr>
              <w:t>116</w:t>
            </w:r>
            <w:r>
              <w:rPr>
                <w:sz w:val="20"/>
                <w:szCs w:val="20"/>
              </w:rPr>
              <w:t xml:space="preserve"> </w:t>
            </w:r>
            <w:r w:rsidRPr="00E927C3">
              <w:rPr>
                <w:sz w:val="20"/>
                <w:szCs w:val="20"/>
              </w:rPr>
              <w:t>688</w:t>
            </w:r>
            <w:r>
              <w:rPr>
                <w:sz w:val="20"/>
                <w:szCs w:val="20"/>
              </w:rPr>
              <w:t xml:space="preserve"> </w:t>
            </w:r>
            <w:r w:rsidRPr="00E927C3">
              <w:rPr>
                <w:sz w:val="20"/>
                <w:szCs w:val="20"/>
              </w:rPr>
              <w:t>027,13</w:t>
            </w:r>
            <w:r>
              <w:rPr>
                <w:sz w:val="20"/>
                <w:szCs w:val="20"/>
              </w:rPr>
              <w:t xml:space="preserve"> </w:t>
            </w:r>
            <w:r w:rsidRPr="008E69A3">
              <w:rPr>
                <w:sz w:val="20"/>
                <w:szCs w:val="20"/>
              </w:rPr>
              <w:t>zł</w:t>
            </w:r>
          </w:p>
        </w:tc>
      </w:tr>
      <w:tr w:rsidR="00CA53FF" w:rsidRPr="00DF4FD1" w14:paraId="4C5ED3B6" w14:textId="77777777" w:rsidTr="00030267">
        <w:trPr>
          <w:trHeight w:val="300"/>
          <w:jc w:val="center"/>
        </w:trPr>
        <w:tc>
          <w:tcPr>
            <w:tcW w:w="2689" w:type="dxa"/>
            <w:noWrap/>
            <w:vAlign w:val="center"/>
          </w:tcPr>
          <w:p w14:paraId="55A962FC" w14:textId="77777777" w:rsidR="00CA53FF" w:rsidRPr="00DF4FD1" w:rsidRDefault="00CA53FF" w:rsidP="00CA53FF">
            <w:pPr>
              <w:jc w:val="center"/>
              <w:rPr>
                <w:rFonts w:cs="Arial"/>
                <w:bCs/>
                <w:sz w:val="20"/>
                <w:szCs w:val="20"/>
              </w:rPr>
            </w:pPr>
            <w:r w:rsidRPr="00DF4FD1">
              <w:rPr>
                <w:rFonts w:cs="Arial"/>
                <w:bCs/>
                <w:sz w:val="20"/>
                <w:szCs w:val="20"/>
              </w:rPr>
              <w:t>Usługi</w:t>
            </w:r>
          </w:p>
        </w:tc>
        <w:tc>
          <w:tcPr>
            <w:tcW w:w="1701" w:type="dxa"/>
            <w:noWrap/>
            <w:vAlign w:val="center"/>
          </w:tcPr>
          <w:p w14:paraId="5E475368" w14:textId="509C8524" w:rsidR="00CA53FF" w:rsidRPr="00DF4FD1" w:rsidRDefault="00CA53FF" w:rsidP="00CA53FF">
            <w:pPr>
              <w:jc w:val="center"/>
              <w:rPr>
                <w:rFonts w:cs="Arial"/>
                <w:sz w:val="20"/>
                <w:szCs w:val="20"/>
              </w:rPr>
            </w:pPr>
            <w:r>
              <w:rPr>
                <w:rFonts w:cs="Arial"/>
                <w:sz w:val="20"/>
                <w:szCs w:val="20"/>
              </w:rPr>
              <w:t>243</w:t>
            </w:r>
          </w:p>
        </w:tc>
        <w:tc>
          <w:tcPr>
            <w:tcW w:w="4677" w:type="dxa"/>
            <w:vAlign w:val="center"/>
          </w:tcPr>
          <w:p w14:paraId="7157B244" w14:textId="1FAC922B" w:rsidR="00CA53FF" w:rsidRPr="00DF4FD1" w:rsidRDefault="00CA53FF" w:rsidP="00CA53FF">
            <w:pPr>
              <w:jc w:val="center"/>
              <w:rPr>
                <w:rFonts w:cs="Arial"/>
                <w:sz w:val="20"/>
                <w:szCs w:val="20"/>
              </w:rPr>
            </w:pPr>
            <w:r w:rsidRPr="00E927C3">
              <w:rPr>
                <w:sz w:val="20"/>
                <w:szCs w:val="20"/>
              </w:rPr>
              <w:t>182</w:t>
            </w:r>
            <w:r>
              <w:rPr>
                <w:sz w:val="20"/>
                <w:szCs w:val="20"/>
              </w:rPr>
              <w:t xml:space="preserve"> </w:t>
            </w:r>
            <w:r w:rsidRPr="00E927C3">
              <w:rPr>
                <w:sz w:val="20"/>
                <w:szCs w:val="20"/>
              </w:rPr>
              <w:t>441</w:t>
            </w:r>
            <w:r>
              <w:rPr>
                <w:sz w:val="20"/>
                <w:szCs w:val="20"/>
              </w:rPr>
              <w:t xml:space="preserve"> </w:t>
            </w:r>
            <w:r w:rsidRPr="00E927C3">
              <w:rPr>
                <w:sz w:val="20"/>
                <w:szCs w:val="20"/>
              </w:rPr>
              <w:t>300</w:t>
            </w:r>
            <w:r>
              <w:rPr>
                <w:sz w:val="20"/>
                <w:szCs w:val="20"/>
              </w:rPr>
              <w:t xml:space="preserve"> </w:t>
            </w:r>
            <w:r w:rsidRPr="008E69A3">
              <w:rPr>
                <w:sz w:val="20"/>
                <w:szCs w:val="20"/>
              </w:rPr>
              <w:t>zł</w:t>
            </w:r>
          </w:p>
        </w:tc>
      </w:tr>
    </w:tbl>
    <w:p w14:paraId="549EDF65" w14:textId="0DED403F" w:rsidR="00F42F44" w:rsidRPr="00F42F44" w:rsidRDefault="00FA71C7" w:rsidP="00852522">
      <w:pPr>
        <w:pStyle w:val="Nagwek4"/>
      </w:pPr>
      <w:r>
        <w:t xml:space="preserve">1.2. </w:t>
      </w:r>
      <w:r w:rsidR="00F42F44" w:rsidRPr="00F42F44">
        <w:t>Określenie w opisie przedmiotu zamówienia wymagań w zakresie dostępności dla osób niepełnosprawnych oraz projektowania z przeznaczeniem dla wszystkich użytkowników, o których mowa w art. 100 ust. 1 ustawy Pzp</w:t>
      </w:r>
    </w:p>
    <w:p w14:paraId="234D625A" w14:textId="2B4FF6F7" w:rsidR="00F42F44" w:rsidRPr="00F65571" w:rsidRDefault="00F42F44" w:rsidP="006C14EB">
      <w:pPr>
        <w:pStyle w:val="Legenda"/>
      </w:pPr>
      <w:bookmarkStart w:id="127" w:name="_Toc141276534"/>
      <w:bookmarkStart w:id="128" w:name="_Toc233203384"/>
      <w:r w:rsidRPr="00FB5CA1">
        <w:t xml:space="preserve">Tab. </w:t>
      </w:r>
      <w:fldSimple w:instr=" SEQ Tab. \* ARABIC ">
        <w:r w:rsidR="00017C65">
          <w:rPr>
            <w:noProof/>
          </w:rPr>
          <w:t>12</w:t>
        </w:r>
      </w:fldSimple>
      <w:r w:rsidRPr="00FB5CA1">
        <w:t>. Zamówienia publiczne z zastosowaniem art. 100 ust. 1 ustawy Pzp</w:t>
      </w:r>
      <w:bookmarkEnd w:id="127"/>
      <w:bookmarkEnd w:id="12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100 ust. 1 ustawy Pzp."/>
        <w:tblDescription w:val="Tabela. Zamówienia publiczne z zastosowaniem art. 100 ust. 1 ustawy Pzp."/>
      </w:tblPr>
      <w:tblGrid>
        <w:gridCol w:w="6799"/>
        <w:gridCol w:w="2263"/>
      </w:tblGrid>
      <w:tr w:rsidR="00A3412B" w:rsidRPr="00FD623C" w14:paraId="3E48247E" w14:textId="77777777" w:rsidTr="00A3412B">
        <w:trPr>
          <w:trHeight w:val="300"/>
          <w:jc w:val="center"/>
        </w:trPr>
        <w:tc>
          <w:tcPr>
            <w:tcW w:w="6799" w:type="dxa"/>
            <w:shd w:val="clear" w:color="auto" w:fill="DEEAF6"/>
            <w:noWrap/>
            <w:vAlign w:val="center"/>
          </w:tcPr>
          <w:p w14:paraId="28739212" w14:textId="77777777" w:rsidR="00A3412B" w:rsidRPr="00FD623C" w:rsidRDefault="00A3412B" w:rsidP="00A3412B">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263" w:type="dxa"/>
            <w:shd w:val="clear" w:color="auto" w:fill="DEEAF6"/>
            <w:vAlign w:val="center"/>
          </w:tcPr>
          <w:p w14:paraId="7211E0CA" w14:textId="78E4B17E" w:rsidR="00A3412B" w:rsidRPr="00BE025D" w:rsidRDefault="00A3412B" w:rsidP="00A3412B">
            <w:pPr>
              <w:jc w:val="center"/>
              <w:rPr>
                <w:rFonts w:cs="Arial"/>
                <w:sz w:val="20"/>
                <w:szCs w:val="20"/>
              </w:rPr>
            </w:pPr>
            <w:r>
              <w:rPr>
                <w:rFonts w:cs="Arial"/>
                <w:sz w:val="20"/>
                <w:szCs w:val="20"/>
              </w:rPr>
              <w:t xml:space="preserve">9 888 </w:t>
            </w:r>
          </w:p>
        </w:tc>
      </w:tr>
      <w:tr w:rsidR="00A3412B" w:rsidRPr="00FD623C" w14:paraId="495DA58A" w14:textId="77777777" w:rsidTr="00A3412B">
        <w:trPr>
          <w:trHeight w:val="300"/>
          <w:jc w:val="center"/>
        </w:trPr>
        <w:tc>
          <w:tcPr>
            <w:tcW w:w="6799" w:type="dxa"/>
            <w:noWrap/>
            <w:vAlign w:val="center"/>
            <w:hideMark/>
          </w:tcPr>
          <w:p w14:paraId="70ACD6F4" w14:textId="77777777" w:rsidR="00A3412B" w:rsidRPr="00FD623C" w:rsidRDefault="00A3412B" w:rsidP="00A3412B">
            <w:pPr>
              <w:rPr>
                <w:rFonts w:cs="Arial"/>
                <w:bCs/>
                <w:sz w:val="20"/>
                <w:szCs w:val="20"/>
              </w:rPr>
            </w:pPr>
            <w:r w:rsidRPr="00FD623C">
              <w:rPr>
                <w:rFonts w:cs="Arial"/>
                <w:bCs/>
                <w:sz w:val="20"/>
                <w:szCs w:val="20"/>
              </w:rPr>
              <w:t xml:space="preserve">Wartość </w:t>
            </w:r>
            <w:r w:rsidRPr="00FD623C">
              <w:rPr>
                <w:rFonts w:cs="Arial"/>
                <w:sz w:val="20"/>
                <w:szCs w:val="20"/>
              </w:rPr>
              <w:t xml:space="preserve">zamówień </w:t>
            </w:r>
          </w:p>
        </w:tc>
        <w:tc>
          <w:tcPr>
            <w:tcW w:w="2263" w:type="dxa"/>
            <w:vAlign w:val="center"/>
          </w:tcPr>
          <w:p w14:paraId="787A3557" w14:textId="77777777" w:rsidR="00A3412B" w:rsidRDefault="00A3412B" w:rsidP="00A3412B">
            <w:pPr>
              <w:jc w:val="center"/>
              <w:rPr>
                <w:rFonts w:cs="Arial"/>
                <w:sz w:val="20"/>
                <w:szCs w:val="20"/>
              </w:rPr>
            </w:pPr>
            <w:r w:rsidRPr="00EB6766">
              <w:rPr>
                <w:rFonts w:cs="Arial"/>
                <w:sz w:val="20"/>
                <w:szCs w:val="20"/>
              </w:rPr>
              <w:t>35</w:t>
            </w:r>
            <w:r>
              <w:rPr>
                <w:rFonts w:cs="Arial"/>
                <w:sz w:val="20"/>
                <w:szCs w:val="20"/>
              </w:rPr>
              <w:t xml:space="preserve"> </w:t>
            </w:r>
            <w:r w:rsidRPr="00EB6766">
              <w:rPr>
                <w:rFonts w:cs="Arial"/>
                <w:sz w:val="20"/>
                <w:szCs w:val="20"/>
              </w:rPr>
              <w:t>078</w:t>
            </w:r>
            <w:r>
              <w:rPr>
                <w:rFonts w:cs="Arial"/>
                <w:sz w:val="20"/>
                <w:szCs w:val="20"/>
              </w:rPr>
              <w:t xml:space="preserve"> </w:t>
            </w:r>
            <w:r w:rsidRPr="00EB6766">
              <w:rPr>
                <w:rFonts w:cs="Arial"/>
                <w:sz w:val="20"/>
                <w:szCs w:val="20"/>
              </w:rPr>
              <w:t>949</w:t>
            </w:r>
            <w:r>
              <w:rPr>
                <w:rFonts w:cs="Arial"/>
                <w:sz w:val="20"/>
                <w:szCs w:val="20"/>
              </w:rPr>
              <w:t xml:space="preserve"> </w:t>
            </w:r>
            <w:r w:rsidRPr="00EB6766">
              <w:rPr>
                <w:rFonts w:cs="Arial"/>
                <w:sz w:val="20"/>
                <w:szCs w:val="20"/>
              </w:rPr>
              <w:t>760,3</w:t>
            </w:r>
            <w:r>
              <w:rPr>
                <w:rFonts w:cs="Arial"/>
                <w:sz w:val="20"/>
                <w:szCs w:val="20"/>
              </w:rPr>
              <w:t xml:space="preserve">2 </w:t>
            </w:r>
            <w:r w:rsidRPr="0053391C">
              <w:rPr>
                <w:rFonts w:cs="Arial"/>
                <w:sz w:val="20"/>
                <w:szCs w:val="20"/>
              </w:rPr>
              <w:t>zł</w:t>
            </w:r>
          </w:p>
          <w:p w14:paraId="45CA9C89" w14:textId="035D5381" w:rsidR="00A3412B" w:rsidRPr="00DF4FD1" w:rsidRDefault="00A3412B" w:rsidP="00A3412B">
            <w:pPr>
              <w:jc w:val="center"/>
              <w:rPr>
                <w:rFonts w:cs="Arial"/>
                <w:sz w:val="20"/>
                <w:szCs w:val="20"/>
              </w:rPr>
            </w:pPr>
            <w:r w:rsidRPr="00FD623C">
              <w:rPr>
                <w:rFonts w:cs="Arial"/>
                <w:sz w:val="20"/>
                <w:szCs w:val="20"/>
              </w:rPr>
              <w:lastRenderedPageBreak/>
              <w:t>(wartość bez VAT)</w:t>
            </w:r>
          </w:p>
        </w:tc>
      </w:tr>
    </w:tbl>
    <w:p w14:paraId="28A46B09" w14:textId="77777777" w:rsidR="00F42F44" w:rsidRPr="00FD623C" w:rsidRDefault="00F42F44"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100 ust. 1 ustawy Pzp."/>
        <w:tblDescription w:val="Tabela. Zamówienia publiczne z zastosowaniem art. 100 ust. 1 ustawy Pzp."/>
      </w:tblPr>
      <w:tblGrid>
        <w:gridCol w:w="3022"/>
        <w:gridCol w:w="1084"/>
        <w:gridCol w:w="4961"/>
      </w:tblGrid>
      <w:tr w:rsidR="00F42F44" w:rsidRPr="001A3868" w14:paraId="1E0AC65A" w14:textId="77777777" w:rsidTr="00030267">
        <w:trPr>
          <w:trHeight w:val="300"/>
          <w:tblHeader/>
          <w:jc w:val="center"/>
        </w:trPr>
        <w:tc>
          <w:tcPr>
            <w:tcW w:w="3022" w:type="dxa"/>
            <w:shd w:val="clear" w:color="auto" w:fill="5B9BD5"/>
            <w:noWrap/>
            <w:vAlign w:val="center"/>
          </w:tcPr>
          <w:p w14:paraId="46AB122F" w14:textId="77777777" w:rsidR="00F42F44" w:rsidRPr="001A3868" w:rsidRDefault="00F42F44" w:rsidP="00C16C80">
            <w:pPr>
              <w:jc w:val="center"/>
              <w:rPr>
                <w:rFonts w:cs="Arial"/>
                <w:b/>
                <w:sz w:val="20"/>
                <w:szCs w:val="20"/>
              </w:rPr>
            </w:pPr>
            <w:r w:rsidRPr="001A3868">
              <w:rPr>
                <w:rFonts w:cs="Arial"/>
                <w:b/>
                <w:bCs/>
                <w:sz w:val="20"/>
                <w:szCs w:val="20"/>
              </w:rPr>
              <w:t>Rodzaj zamówienia</w:t>
            </w:r>
          </w:p>
        </w:tc>
        <w:tc>
          <w:tcPr>
            <w:tcW w:w="1084" w:type="dxa"/>
            <w:shd w:val="clear" w:color="auto" w:fill="5B9BD5"/>
            <w:vAlign w:val="center"/>
          </w:tcPr>
          <w:p w14:paraId="2BE56DB7" w14:textId="77777777" w:rsidR="00F42F44" w:rsidRPr="001A3868" w:rsidRDefault="00F42F44" w:rsidP="00C16C80">
            <w:pPr>
              <w:jc w:val="center"/>
              <w:rPr>
                <w:rFonts w:cs="Arial"/>
                <w:b/>
                <w:sz w:val="20"/>
                <w:szCs w:val="20"/>
              </w:rPr>
            </w:pPr>
            <w:r w:rsidRPr="001A3868">
              <w:rPr>
                <w:rFonts w:cs="Arial"/>
                <w:b/>
                <w:sz w:val="20"/>
                <w:szCs w:val="20"/>
              </w:rPr>
              <w:t>Liczba</w:t>
            </w:r>
          </w:p>
        </w:tc>
        <w:tc>
          <w:tcPr>
            <w:tcW w:w="4961" w:type="dxa"/>
            <w:shd w:val="clear" w:color="auto" w:fill="5B9BD5"/>
            <w:vAlign w:val="center"/>
          </w:tcPr>
          <w:p w14:paraId="1BAEDAC0" w14:textId="77777777" w:rsidR="00F42F44" w:rsidRPr="001A3868" w:rsidRDefault="00F42F44" w:rsidP="00C16C80">
            <w:pPr>
              <w:jc w:val="center"/>
              <w:rPr>
                <w:rFonts w:cs="Arial"/>
                <w:b/>
                <w:sz w:val="20"/>
                <w:szCs w:val="20"/>
              </w:rPr>
            </w:pPr>
            <w:r w:rsidRPr="001A3868">
              <w:rPr>
                <w:rFonts w:cs="Arial"/>
                <w:b/>
                <w:sz w:val="20"/>
                <w:szCs w:val="20"/>
              </w:rPr>
              <w:t>Wartość (bez VAT)</w:t>
            </w:r>
          </w:p>
        </w:tc>
      </w:tr>
      <w:tr w:rsidR="00317DDB" w:rsidRPr="001A3868" w14:paraId="459EFAA0" w14:textId="77777777" w:rsidTr="00030267">
        <w:trPr>
          <w:trHeight w:val="300"/>
          <w:jc w:val="center"/>
        </w:trPr>
        <w:tc>
          <w:tcPr>
            <w:tcW w:w="3022" w:type="dxa"/>
            <w:noWrap/>
            <w:vAlign w:val="center"/>
          </w:tcPr>
          <w:p w14:paraId="1E6832EE" w14:textId="77777777" w:rsidR="00317DDB" w:rsidRPr="001A3868" w:rsidRDefault="00317DDB" w:rsidP="00317DDB">
            <w:pPr>
              <w:jc w:val="center"/>
              <w:rPr>
                <w:rFonts w:cs="Arial"/>
                <w:bCs/>
                <w:sz w:val="20"/>
                <w:szCs w:val="20"/>
              </w:rPr>
            </w:pPr>
            <w:r w:rsidRPr="001A3868">
              <w:rPr>
                <w:rFonts w:cs="Arial"/>
                <w:bCs/>
                <w:sz w:val="20"/>
                <w:szCs w:val="20"/>
              </w:rPr>
              <w:t>Dostawy</w:t>
            </w:r>
          </w:p>
        </w:tc>
        <w:tc>
          <w:tcPr>
            <w:tcW w:w="1084" w:type="dxa"/>
            <w:noWrap/>
            <w:vAlign w:val="center"/>
          </w:tcPr>
          <w:p w14:paraId="1E768BD6" w14:textId="645B32DD" w:rsidR="00317DDB" w:rsidRPr="00DF4FD1" w:rsidRDefault="00317DDB" w:rsidP="00317DDB">
            <w:pPr>
              <w:jc w:val="center"/>
              <w:rPr>
                <w:rFonts w:cs="Arial"/>
                <w:sz w:val="20"/>
                <w:szCs w:val="20"/>
              </w:rPr>
            </w:pPr>
            <w:r>
              <w:rPr>
                <w:rFonts w:cs="Arial"/>
                <w:sz w:val="20"/>
                <w:szCs w:val="20"/>
              </w:rPr>
              <w:t>1 045</w:t>
            </w:r>
          </w:p>
        </w:tc>
        <w:tc>
          <w:tcPr>
            <w:tcW w:w="4961" w:type="dxa"/>
            <w:vAlign w:val="center"/>
          </w:tcPr>
          <w:p w14:paraId="44DF4D22" w14:textId="19BB42A5" w:rsidR="00317DDB" w:rsidRPr="00DF4FD1" w:rsidRDefault="00317DDB" w:rsidP="00317DDB">
            <w:pPr>
              <w:jc w:val="center"/>
              <w:rPr>
                <w:rFonts w:cs="Arial"/>
                <w:sz w:val="20"/>
                <w:szCs w:val="20"/>
              </w:rPr>
            </w:pPr>
            <w:r w:rsidRPr="00EB6766">
              <w:rPr>
                <w:sz w:val="20"/>
                <w:szCs w:val="20"/>
              </w:rPr>
              <w:t>4</w:t>
            </w:r>
            <w:r>
              <w:rPr>
                <w:sz w:val="20"/>
                <w:szCs w:val="20"/>
              </w:rPr>
              <w:t xml:space="preserve"> </w:t>
            </w:r>
            <w:r w:rsidRPr="00EB6766">
              <w:rPr>
                <w:sz w:val="20"/>
                <w:szCs w:val="20"/>
              </w:rPr>
              <w:t>176</w:t>
            </w:r>
            <w:r>
              <w:rPr>
                <w:sz w:val="20"/>
                <w:szCs w:val="20"/>
              </w:rPr>
              <w:t xml:space="preserve"> </w:t>
            </w:r>
            <w:r w:rsidRPr="00EB6766">
              <w:rPr>
                <w:sz w:val="20"/>
                <w:szCs w:val="20"/>
              </w:rPr>
              <w:t>194</w:t>
            </w:r>
            <w:r>
              <w:rPr>
                <w:sz w:val="20"/>
                <w:szCs w:val="20"/>
              </w:rPr>
              <w:t xml:space="preserve"> </w:t>
            </w:r>
            <w:r w:rsidRPr="00EB6766">
              <w:rPr>
                <w:sz w:val="20"/>
                <w:szCs w:val="20"/>
              </w:rPr>
              <w:t>056,68</w:t>
            </w:r>
            <w:r>
              <w:rPr>
                <w:sz w:val="20"/>
                <w:szCs w:val="20"/>
              </w:rPr>
              <w:t xml:space="preserve"> </w:t>
            </w:r>
            <w:r w:rsidRPr="00AF6060">
              <w:rPr>
                <w:sz w:val="20"/>
                <w:szCs w:val="20"/>
              </w:rPr>
              <w:t>zł</w:t>
            </w:r>
          </w:p>
        </w:tc>
      </w:tr>
      <w:tr w:rsidR="00317DDB" w:rsidRPr="001A3868" w14:paraId="53C336A9" w14:textId="77777777" w:rsidTr="00030267">
        <w:trPr>
          <w:trHeight w:val="300"/>
          <w:jc w:val="center"/>
        </w:trPr>
        <w:tc>
          <w:tcPr>
            <w:tcW w:w="3022" w:type="dxa"/>
            <w:shd w:val="clear" w:color="auto" w:fill="DEEAF6"/>
            <w:noWrap/>
            <w:vAlign w:val="center"/>
            <w:hideMark/>
          </w:tcPr>
          <w:p w14:paraId="7F01ADD4" w14:textId="77777777" w:rsidR="00317DDB" w:rsidRPr="001A3868" w:rsidRDefault="00317DDB" w:rsidP="00317DDB">
            <w:pPr>
              <w:jc w:val="center"/>
              <w:rPr>
                <w:rFonts w:cs="Arial"/>
                <w:bCs/>
                <w:sz w:val="20"/>
                <w:szCs w:val="20"/>
              </w:rPr>
            </w:pPr>
            <w:r w:rsidRPr="001A3868">
              <w:rPr>
                <w:rFonts w:cs="Arial"/>
                <w:bCs/>
                <w:sz w:val="20"/>
                <w:szCs w:val="20"/>
              </w:rPr>
              <w:t>Roboty budowlane</w:t>
            </w:r>
          </w:p>
        </w:tc>
        <w:tc>
          <w:tcPr>
            <w:tcW w:w="1084" w:type="dxa"/>
            <w:shd w:val="clear" w:color="auto" w:fill="DEEAF6"/>
            <w:noWrap/>
            <w:vAlign w:val="center"/>
          </w:tcPr>
          <w:p w14:paraId="7E7698D2" w14:textId="3FF87F2B" w:rsidR="00317DDB" w:rsidRPr="00DF4FD1" w:rsidRDefault="00317DDB" w:rsidP="00317DDB">
            <w:pPr>
              <w:jc w:val="center"/>
              <w:rPr>
                <w:rFonts w:cs="Arial"/>
                <w:sz w:val="20"/>
                <w:szCs w:val="20"/>
              </w:rPr>
            </w:pPr>
            <w:r>
              <w:rPr>
                <w:rFonts w:cs="Arial"/>
                <w:sz w:val="20"/>
                <w:szCs w:val="20"/>
              </w:rPr>
              <w:t>5 413</w:t>
            </w:r>
          </w:p>
        </w:tc>
        <w:tc>
          <w:tcPr>
            <w:tcW w:w="4961" w:type="dxa"/>
            <w:shd w:val="clear" w:color="auto" w:fill="DEEAF6"/>
            <w:vAlign w:val="center"/>
          </w:tcPr>
          <w:p w14:paraId="26D1A567" w14:textId="3B337C8C" w:rsidR="00317DDB" w:rsidRPr="00DF4FD1" w:rsidRDefault="00317DDB" w:rsidP="00317DDB">
            <w:pPr>
              <w:jc w:val="center"/>
              <w:rPr>
                <w:rFonts w:cs="Arial"/>
                <w:sz w:val="20"/>
                <w:szCs w:val="20"/>
              </w:rPr>
            </w:pPr>
            <w:r w:rsidRPr="00EB6766">
              <w:rPr>
                <w:sz w:val="20"/>
                <w:szCs w:val="20"/>
              </w:rPr>
              <w:t>25</w:t>
            </w:r>
            <w:r>
              <w:rPr>
                <w:sz w:val="20"/>
                <w:szCs w:val="20"/>
              </w:rPr>
              <w:t xml:space="preserve"> </w:t>
            </w:r>
            <w:r w:rsidRPr="00EB6766">
              <w:rPr>
                <w:sz w:val="20"/>
                <w:szCs w:val="20"/>
              </w:rPr>
              <w:t>006</w:t>
            </w:r>
            <w:r>
              <w:rPr>
                <w:sz w:val="20"/>
                <w:szCs w:val="20"/>
              </w:rPr>
              <w:t xml:space="preserve"> </w:t>
            </w:r>
            <w:r w:rsidRPr="00EB6766">
              <w:rPr>
                <w:sz w:val="20"/>
                <w:szCs w:val="20"/>
              </w:rPr>
              <w:t>306</w:t>
            </w:r>
            <w:r>
              <w:rPr>
                <w:sz w:val="20"/>
                <w:szCs w:val="20"/>
              </w:rPr>
              <w:t xml:space="preserve"> </w:t>
            </w:r>
            <w:r w:rsidRPr="00EB6766">
              <w:rPr>
                <w:sz w:val="20"/>
                <w:szCs w:val="20"/>
              </w:rPr>
              <w:t>809,85</w:t>
            </w:r>
            <w:r>
              <w:rPr>
                <w:sz w:val="20"/>
                <w:szCs w:val="20"/>
              </w:rPr>
              <w:t xml:space="preserve"> </w:t>
            </w:r>
            <w:r w:rsidRPr="00AF6060">
              <w:rPr>
                <w:sz w:val="20"/>
                <w:szCs w:val="20"/>
              </w:rPr>
              <w:t>zł</w:t>
            </w:r>
          </w:p>
        </w:tc>
      </w:tr>
      <w:tr w:rsidR="00317DDB" w:rsidRPr="001A3868" w14:paraId="6A3F21DF" w14:textId="77777777" w:rsidTr="00030267">
        <w:trPr>
          <w:trHeight w:val="300"/>
          <w:jc w:val="center"/>
        </w:trPr>
        <w:tc>
          <w:tcPr>
            <w:tcW w:w="3022" w:type="dxa"/>
            <w:noWrap/>
            <w:vAlign w:val="center"/>
          </w:tcPr>
          <w:p w14:paraId="0314CDDC" w14:textId="77777777" w:rsidR="00317DDB" w:rsidRPr="001A3868" w:rsidRDefault="00317DDB" w:rsidP="00317DDB">
            <w:pPr>
              <w:jc w:val="center"/>
              <w:rPr>
                <w:rFonts w:cs="Arial"/>
                <w:bCs/>
                <w:sz w:val="20"/>
                <w:szCs w:val="20"/>
              </w:rPr>
            </w:pPr>
            <w:r w:rsidRPr="001A3868">
              <w:rPr>
                <w:rFonts w:cs="Arial"/>
                <w:bCs/>
                <w:sz w:val="20"/>
                <w:szCs w:val="20"/>
              </w:rPr>
              <w:t>Usługi</w:t>
            </w:r>
          </w:p>
        </w:tc>
        <w:tc>
          <w:tcPr>
            <w:tcW w:w="1084" w:type="dxa"/>
            <w:noWrap/>
            <w:vAlign w:val="center"/>
          </w:tcPr>
          <w:p w14:paraId="502A29F1" w14:textId="413DDE3A" w:rsidR="00317DDB" w:rsidRPr="00DF4FD1" w:rsidRDefault="00317DDB" w:rsidP="00317DDB">
            <w:pPr>
              <w:jc w:val="center"/>
              <w:rPr>
                <w:rFonts w:cs="Arial"/>
                <w:sz w:val="20"/>
                <w:szCs w:val="20"/>
              </w:rPr>
            </w:pPr>
            <w:r>
              <w:rPr>
                <w:rFonts w:cs="Arial"/>
                <w:sz w:val="20"/>
                <w:szCs w:val="20"/>
              </w:rPr>
              <w:t>3 430</w:t>
            </w:r>
          </w:p>
        </w:tc>
        <w:tc>
          <w:tcPr>
            <w:tcW w:w="4961" w:type="dxa"/>
            <w:vAlign w:val="center"/>
          </w:tcPr>
          <w:p w14:paraId="7C97E528" w14:textId="7D8328F7" w:rsidR="00317DDB" w:rsidRPr="00DF4FD1" w:rsidRDefault="00317DDB" w:rsidP="00317DDB">
            <w:pPr>
              <w:jc w:val="center"/>
              <w:rPr>
                <w:rFonts w:cs="Arial"/>
                <w:sz w:val="20"/>
                <w:szCs w:val="20"/>
              </w:rPr>
            </w:pPr>
            <w:r w:rsidRPr="00EB6766">
              <w:rPr>
                <w:sz w:val="20"/>
                <w:szCs w:val="20"/>
              </w:rPr>
              <w:t>5</w:t>
            </w:r>
            <w:r>
              <w:rPr>
                <w:sz w:val="20"/>
                <w:szCs w:val="20"/>
              </w:rPr>
              <w:t xml:space="preserve"> </w:t>
            </w:r>
            <w:r w:rsidRPr="00EB6766">
              <w:rPr>
                <w:sz w:val="20"/>
                <w:szCs w:val="20"/>
              </w:rPr>
              <w:t>896</w:t>
            </w:r>
            <w:r>
              <w:rPr>
                <w:sz w:val="20"/>
                <w:szCs w:val="20"/>
              </w:rPr>
              <w:t xml:space="preserve"> </w:t>
            </w:r>
            <w:r w:rsidRPr="00EB6766">
              <w:rPr>
                <w:sz w:val="20"/>
                <w:szCs w:val="20"/>
              </w:rPr>
              <w:t>448</w:t>
            </w:r>
            <w:r>
              <w:rPr>
                <w:sz w:val="20"/>
                <w:szCs w:val="20"/>
              </w:rPr>
              <w:t xml:space="preserve"> </w:t>
            </w:r>
            <w:r w:rsidRPr="00EB6766">
              <w:rPr>
                <w:sz w:val="20"/>
                <w:szCs w:val="20"/>
              </w:rPr>
              <w:t>893,79</w:t>
            </w:r>
            <w:r>
              <w:rPr>
                <w:sz w:val="20"/>
                <w:szCs w:val="20"/>
              </w:rPr>
              <w:t xml:space="preserve"> </w:t>
            </w:r>
            <w:r w:rsidRPr="00AF6060">
              <w:rPr>
                <w:sz w:val="20"/>
                <w:szCs w:val="20"/>
              </w:rPr>
              <w:t>zł</w:t>
            </w:r>
          </w:p>
        </w:tc>
      </w:tr>
    </w:tbl>
    <w:p w14:paraId="4907F20E" w14:textId="77777777" w:rsidR="00620E11" w:rsidRPr="00F42F44" w:rsidRDefault="00620E11" w:rsidP="00852522">
      <w:pPr>
        <w:pStyle w:val="Nagwek4"/>
      </w:pPr>
      <w:bookmarkStart w:id="129" w:name="_Toc141276535"/>
      <w:r>
        <w:t>1.3. Określenie aspektów społecznych w kryteriach oceny ofert, o których mowa w art. 242 ust. 2 ustawy Pzp</w:t>
      </w:r>
    </w:p>
    <w:p w14:paraId="6507D839" w14:textId="0DFB2F72" w:rsidR="004D7A8A" w:rsidRPr="00F65571" w:rsidRDefault="004D7A8A" w:rsidP="006C14EB">
      <w:pPr>
        <w:pStyle w:val="Legenda"/>
      </w:pPr>
      <w:bookmarkStart w:id="130" w:name="_Toc233203385"/>
      <w:r w:rsidRPr="00A76441">
        <w:t xml:space="preserve">Tab. </w:t>
      </w:r>
      <w:fldSimple w:instr=" SEQ Tab. \* ARABIC ">
        <w:r w:rsidR="00017C65">
          <w:rPr>
            <w:noProof/>
          </w:rPr>
          <w:t>13</w:t>
        </w:r>
      </w:fldSimple>
      <w:r w:rsidRPr="00A76441">
        <w:t>. Społeczne zamówienia publiczne z zastosowaniem art. 242 ust. 2 ustawy Pzp</w:t>
      </w:r>
      <w:bookmarkEnd w:id="129"/>
      <w:bookmarkEnd w:id="13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z zastosowaniem art. 242 ust. 2 ustawy Pzp."/>
        <w:tblDescription w:val="Tabela. Społeczne zamówienia publiczne z zastosowaniem art. 242 ust. 2 ustawy Pzp."/>
      </w:tblPr>
      <w:tblGrid>
        <w:gridCol w:w="6941"/>
        <w:gridCol w:w="2121"/>
      </w:tblGrid>
      <w:tr w:rsidR="00283233" w:rsidRPr="00FD623C" w14:paraId="28C1CD56" w14:textId="77777777" w:rsidTr="00283233">
        <w:trPr>
          <w:trHeight w:val="300"/>
          <w:jc w:val="center"/>
        </w:trPr>
        <w:tc>
          <w:tcPr>
            <w:tcW w:w="6941" w:type="dxa"/>
            <w:shd w:val="clear" w:color="auto" w:fill="DEEAF6"/>
            <w:noWrap/>
            <w:vAlign w:val="center"/>
          </w:tcPr>
          <w:p w14:paraId="0A0C98BD" w14:textId="77777777" w:rsidR="00283233" w:rsidRPr="00FD623C" w:rsidRDefault="00283233" w:rsidP="00283233">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DEEAF6"/>
            <w:vAlign w:val="center"/>
          </w:tcPr>
          <w:p w14:paraId="61CBBBBF" w14:textId="5645ADAC" w:rsidR="00283233" w:rsidRPr="00CD7957" w:rsidRDefault="00283233" w:rsidP="00283233">
            <w:pPr>
              <w:jc w:val="center"/>
              <w:rPr>
                <w:rFonts w:cs="Arial"/>
                <w:sz w:val="20"/>
                <w:szCs w:val="20"/>
              </w:rPr>
            </w:pPr>
            <w:r>
              <w:rPr>
                <w:rFonts w:cs="Arial"/>
                <w:sz w:val="20"/>
                <w:szCs w:val="20"/>
              </w:rPr>
              <w:t>2 464</w:t>
            </w:r>
          </w:p>
        </w:tc>
      </w:tr>
      <w:tr w:rsidR="00283233" w:rsidRPr="00FD623C" w14:paraId="2C537ADC" w14:textId="77777777" w:rsidTr="00283233">
        <w:trPr>
          <w:trHeight w:val="300"/>
          <w:jc w:val="center"/>
        </w:trPr>
        <w:tc>
          <w:tcPr>
            <w:tcW w:w="6941" w:type="dxa"/>
            <w:noWrap/>
            <w:vAlign w:val="center"/>
            <w:hideMark/>
          </w:tcPr>
          <w:p w14:paraId="2DEF21B4" w14:textId="77777777" w:rsidR="00283233" w:rsidRPr="00FD623C" w:rsidRDefault="00283233" w:rsidP="00283233">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vAlign w:val="center"/>
          </w:tcPr>
          <w:p w14:paraId="4A248E87" w14:textId="77777777" w:rsidR="00283233" w:rsidRDefault="00283233" w:rsidP="00283233">
            <w:pPr>
              <w:jc w:val="center"/>
              <w:rPr>
                <w:rFonts w:cs="Arial"/>
                <w:sz w:val="20"/>
                <w:szCs w:val="20"/>
              </w:rPr>
            </w:pPr>
            <w:r w:rsidRPr="00D20F54">
              <w:rPr>
                <w:rFonts w:cs="Arial"/>
                <w:sz w:val="20"/>
                <w:szCs w:val="20"/>
              </w:rPr>
              <w:t>2</w:t>
            </w:r>
            <w:r>
              <w:rPr>
                <w:rFonts w:cs="Arial"/>
                <w:sz w:val="20"/>
                <w:szCs w:val="20"/>
              </w:rPr>
              <w:t xml:space="preserve"> </w:t>
            </w:r>
            <w:r w:rsidRPr="00D20F54">
              <w:rPr>
                <w:rFonts w:cs="Arial"/>
                <w:sz w:val="20"/>
                <w:szCs w:val="20"/>
              </w:rPr>
              <w:t>753</w:t>
            </w:r>
            <w:r>
              <w:rPr>
                <w:rFonts w:cs="Arial"/>
                <w:sz w:val="20"/>
                <w:szCs w:val="20"/>
              </w:rPr>
              <w:t xml:space="preserve"> </w:t>
            </w:r>
            <w:r w:rsidRPr="00D20F54">
              <w:rPr>
                <w:rFonts w:cs="Arial"/>
                <w:sz w:val="20"/>
                <w:szCs w:val="20"/>
              </w:rPr>
              <w:t>384</w:t>
            </w:r>
            <w:r>
              <w:rPr>
                <w:rFonts w:cs="Arial"/>
                <w:sz w:val="20"/>
                <w:szCs w:val="20"/>
              </w:rPr>
              <w:t xml:space="preserve"> </w:t>
            </w:r>
            <w:r w:rsidRPr="00D20F54">
              <w:rPr>
                <w:rFonts w:cs="Arial"/>
                <w:sz w:val="20"/>
                <w:szCs w:val="20"/>
              </w:rPr>
              <w:t>141,2</w:t>
            </w:r>
            <w:r>
              <w:rPr>
                <w:rFonts w:cs="Arial"/>
                <w:sz w:val="20"/>
                <w:szCs w:val="20"/>
              </w:rPr>
              <w:t xml:space="preserve">5 </w:t>
            </w:r>
            <w:r w:rsidRPr="002F6CC2">
              <w:rPr>
                <w:rFonts w:cs="Arial"/>
                <w:sz w:val="20"/>
                <w:szCs w:val="20"/>
              </w:rPr>
              <w:t>zł</w:t>
            </w:r>
          </w:p>
          <w:p w14:paraId="5B770455" w14:textId="777CB239" w:rsidR="00283233" w:rsidRPr="00CD7957" w:rsidRDefault="00283233" w:rsidP="00283233">
            <w:pPr>
              <w:jc w:val="center"/>
              <w:rPr>
                <w:rFonts w:cs="Arial"/>
                <w:sz w:val="20"/>
                <w:szCs w:val="20"/>
              </w:rPr>
            </w:pPr>
            <w:r w:rsidRPr="003A3881">
              <w:rPr>
                <w:rFonts w:cs="Arial"/>
                <w:sz w:val="20"/>
                <w:szCs w:val="20"/>
              </w:rPr>
              <w:t>(wartość bez VAT)</w:t>
            </w:r>
          </w:p>
        </w:tc>
      </w:tr>
    </w:tbl>
    <w:p w14:paraId="199D147A" w14:textId="77777777" w:rsidR="00F42F44" w:rsidRPr="00FD623C" w:rsidRDefault="00F42F44"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z zastosowaniem art. 242 ust. 2 ustawy Pzp."/>
        <w:tblDescription w:val="Tabela. Społeczne zamówienia publiczne z zastosowaniem art. 242 ust. 2 ustawy Pzp."/>
      </w:tblPr>
      <w:tblGrid>
        <w:gridCol w:w="3022"/>
        <w:gridCol w:w="1368"/>
        <w:gridCol w:w="4677"/>
      </w:tblGrid>
      <w:tr w:rsidR="00F42F44" w:rsidRPr="005A1FCC" w14:paraId="1CB656A0" w14:textId="77777777" w:rsidTr="00030267">
        <w:trPr>
          <w:trHeight w:val="300"/>
          <w:tblHeader/>
          <w:jc w:val="center"/>
        </w:trPr>
        <w:tc>
          <w:tcPr>
            <w:tcW w:w="3022" w:type="dxa"/>
            <w:shd w:val="clear" w:color="auto" w:fill="5B9BD5"/>
            <w:noWrap/>
            <w:vAlign w:val="center"/>
          </w:tcPr>
          <w:p w14:paraId="3A275BE5" w14:textId="77777777" w:rsidR="00F42F44" w:rsidRPr="005A1FCC" w:rsidRDefault="00F42F44" w:rsidP="00825CC9">
            <w:pPr>
              <w:jc w:val="center"/>
              <w:rPr>
                <w:rFonts w:cs="Arial"/>
                <w:b/>
                <w:sz w:val="20"/>
                <w:szCs w:val="20"/>
              </w:rPr>
            </w:pPr>
            <w:r w:rsidRPr="005A1FCC">
              <w:rPr>
                <w:rFonts w:cs="Arial"/>
                <w:b/>
                <w:bCs/>
                <w:sz w:val="20"/>
                <w:szCs w:val="20"/>
              </w:rPr>
              <w:t>Rodzaj zamówienia</w:t>
            </w:r>
          </w:p>
        </w:tc>
        <w:tc>
          <w:tcPr>
            <w:tcW w:w="1368" w:type="dxa"/>
            <w:shd w:val="clear" w:color="auto" w:fill="5B9BD5"/>
            <w:vAlign w:val="center"/>
          </w:tcPr>
          <w:p w14:paraId="12FD3649" w14:textId="77777777" w:rsidR="00F42F44" w:rsidRPr="005A1FCC" w:rsidRDefault="00F42F44" w:rsidP="00825CC9">
            <w:pPr>
              <w:jc w:val="center"/>
              <w:rPr>
                <w:rFonts w:cs="Arial"/>
                <w:b/>
                <w:sz w:val="20"/>
                <w:szCs w:val="20"/>
              </w:rPr>
            </w:pPr>
            <w:r w:rsidRPr="005A1FCC">
              <w:rPr>
                <w:rFonts w:cs="Arial"/>
                <w:b/>
                <w:sz w:val="20"/>
                <w:szCs w:val="20"/>
              </w:rPr>
              <w:t>Liczba</w:t>
            </w:r>
          </w:p>
        </w:tc>
        <w:tc>
          <w:tcPr>
            <w:tcW w:w="4677" w:type="dxa"/>
            <w:shd w:val="clear" w:color="auto" w:fill="5B9BD5"/>
            <w:vAlign w:val="center"/>
          </w:tcPr>
          <w:p w14:paraId="17185D0C" w14:textId="77777777" w:rsidR="00F42F44" w:rsidRPr="005A1FCC" w:rsidRDefault="00F42F44" w:rsidP="00825CC9">
            <w:pPr>
              <w:jc w:val="center"/>
              <w:rPr>
                <w:rFonts w:cs="Arial"/>
                <w:b/>
                <w:sz w:val="20"/>
                <w:szCs w:val="20"/>
              </w:rPr>
            </w:pPr>
            <w:r w:rsidRPr="005A1FCC">
              <w:rPr>
                <w:rFonts w:cs="Arial"/>
                <w:b/>
                <w:sz w:val="20"/>
                <w:szCs w:val="20"/>
              </w:rPr>
              <w:t>Wartość (bez VAT)</w:t>
            </w:r>
          </w:p>
        </w:tc>
      </w:tr>
      <w:tr w:rsidR="00076C52" w:rsidRPr="005A1FCC" w14:paraId="41CEAB4E" w14:textId="77777777" w:rsidTr="00030267">
        <w:trPr>
          <w:trHeight w:val="260"/>
          <w:jc w:val="center"/>
        </w:trPr>
        <w:tc>
          <w:tcPr>
            <w:tcW w:w="3022" w:type="dxa"/>
            <w:noWrap/>
            <w:vAlign w:val="center"/>
          </w:tcPr>
          <w:p w14:paraId="1A25F39F" w14:textId="77777777" w:rsidR="00076C52" w:rsidRPr="005A1FCC" w:rsidRDefault="00076C52" w:rsidP="00076C52">
            <w:pPr>
              <w:jc w:val="center"/>
              <w:rPr>
                <w:rFonts w:cs="Arial"/>
                <w:bCs/>
                <w:sz w:val="20"/>
                <w:szCs w:val="20"/>
              </w:rPr>
            </w:pPr>
            <w:r w:rsidRPr="005A1FCC">
              <w:rPr>
                <w:rFonts w:cs="Arial"/>
                <w:bCs/>
                <w:sz w:val="20"/>
                <w:szCs w:val="20"/>
              </w:rPr>
              <w:t>Dostawy</w:t>
            </w:r>
          </w:p>
        </w:tc>
        <w:tc>
          <w:tcPr>
            <w:tcW w:w="1368" w:type="dxa"/>
            <w:noWrap/>
            <w:vAlign w:val="center"/>
          </w:tcPr>
          <w:p w14:paraId="3CFFD6C8" w14:textId="3CA5A7BA" w:rsidR="00076C52" w:rsidRPr="00691A8D" w:rsidRDefault="00076C52" w:rsidP="00076C52">
            <w:pPr>
              <w:jc w:val="center"/>
              <w:rPr>
                <w:rFonts w:cs="Arial"/>
                <w:sz w:val="20"/>
                <w:szCs w:val="20"/>
              </w:rPr>
            </w:pPr>
            <w:r>
              <w:rPr>
                <w:rFonts w:cs="Arial"/>
                <w:sz w:val="20"/>
                <w:szCs w:val="20"/>
              </w:rPr>
              <w:t>430</w:t>
            </w:r>
          </w:p>
        </w:tc>
        <w:tc>
          <w:tcPr>
            <w:tcW w:w="4677" w:type="dxa"/>
            <w:vAlign w:val="center"/>
          </w:tcPr>
          <w:p w14:paraId="3DDF7D17" w14:textId="3A2055F3" w:rsidR="00076C52" w:rsidRPr="00691A8D" w:rsidRDefault="00076C52" w:rsidP="00076C52">
            <w:pPr>
              <w:jc w:val="center"/>
              <w:rPr>
                <w:rFonts w:cs="Arial"/>
                <w:sz w:val="20"/>
                <w:szCs w:val="20"/>
              </w:rPr>
            </w:pPr>
            <w:r w:rsidRPr="009A0BCD">
              <w:rPr>
                <w:sz w:val="20"/>
                <w:szCs w:val="20"/>
              </w:rPr>
              <w:t>317</w:t>
            </w:r>
            <w:r>
              <w:rPr>
                <w:sz w:val="20"/>
                <w:szCs w:val="20"/>
              </w:rPr>
              <w:t xml:space="preserve"> </w:t>
            </w:r>
            <w:r w:rsidRPr="009A0BCD">
              <w:rPr>
                <w:sz w:val="20"/>
                <w:szCs w:val="20"/>
              </w:rPr>
              <w:t>666</w:t>
            </w:r>
            <w:r>
              <w:rPr>
                <w:sz w:val="20"/>
                <w:szCs w:val="20"/>
              </w:rPr>
              <w:t xml:space="preserve"> </w:t>
            </w:r>
            <w:r w:rsidRPr="009A0BCD">
              <w:rPr>
                <w:sz w:val="20"/>
                <w:szCs w:val="20"/>
              </w:rPr>
              <w:t>278,7</w:t>
            </w:r>
            <w:r>
              <w:rPr>
                <w:sz w:val="20"/>
                <w:szCs w:val="20"/>
              </w:rPr>
              <w:t xml:space="preserve">7 </w:t>
            </w:r>
            <w:r w:rsidRPr="00AF6060">
              <w:rPr>
                <w:sz w:val="20"/>
                <w:szCs w:val="20"/>
              </w:rPr>
              <w:t>zł</w:t>
            </w:r>
          </w:p>
        </w:tc>
      </w:tr>
      <w:tr w:rsidR="00076C52" w:rsidRPr="005A1FCC" w14:paraId="094E4DD0" w14:textId="77777777" w:rsidTr="00030267">
        <w:trPr>
          <w:trHeight w:val="300"/>
          <w:jc w:val="center"/>
        </w:trPr>
        <w:tc>
          <w:tcPr>
            <w:tcW w:w="3022" w:type="dxa"/>
            <w:shd w:val="clear" w:color="auto" w:fill="DEEAF6"/>
            <w:noWrap/>
            <w:vAlign w:val="center"/>
            <w:hideMark/>
          </w:tcPr>
          <w:p w14:paraId="308EA1E8" w14:textId="77777777" w:rsidR="00076C52" w:rsidRPr="005A1FCC" w:rsidRDefault="00076C52" w:rsidP="00076C52">
            <w:pPr>
              <w:jc w:val="center"/>
              <w:rPr>
                <w:rFonts w:cs="Arial"/>
                <w:bCs/>
                <w:sz w:val="20"/>
                <w:szCs w:val="20"/>
              </w:rPr>
            </w:pPr>
            <w:r w:rsidRPr="005A1FCC">
              <w:rPr>
                <w:rFonts w:cs="Arial"/>
                <w:bCs/>
                <w:sz w:val="20"/>
                <w:szCs w:val="20"/>
              </w:rPr>
              <w:t>Roboty budowlane</w:t>
            </w:r>
          </w:p>
        </w:tc>
        <w:tc>
          <w:tcPr>
            <w:tcW w:w="1368" w:type="dxa"/>
            <w:shd w:val="clear" w:color="auto" w:fill="DEEAF6"/>
            <w:noWrap/>
            <w:vAlign w:val="center"/>
          </w:tcPr>
          <w:p w14:paraId="6AE62190" w14:textId="058E1AC8" w:rsidR="00076C52" w:rsidRPr="00691A8D" w:rsidRDefault="00076C52" w:rsidP="00076C52">
            <w:pPr>
              <w:jc w:val="center"/>
              <w:rPr>
                <w:rFonts w:cs="Arial"/>
                <w:sz w:val="20"/>
                <w:szCs w:val="20"/>
              </w:rPr>
            </w:pPr>
            <w:r>
              <w:rPr>
                <w:rFonts w:cs="Arial"/>
                <w:sz w:val="20"/>
                <w:szCs w:val="20"/>
              </w:rPr>
              <w:t>595</w:t>
            </w:r>
          </w:p>
        </w:tc>
        <w:tc>
          <w:tcPr>
            <w:tcW w:w="4677" w:type="dxa"/>
            <w:shd w:val="clear" w:color="auto" w:fill="DEEAF6"/>
            <w:vAlign w:val="center"/>
          </w:tcPr>
          <w:p w14:paraId="19A27AD0" w14:textId="37A6136B" w:rsidR="00076C52" w:rsidRPr="00691A8D" w:rsidRDefault="00076C52" w:rsidP="00076C52">
            <w:pPr>
              <w:jc w:val="center"/>
              <w:rPr>
                <w:rFonts w:cs="Arial"/>
                <w:sz w:val="20"/>
                <w:szCs w:val="20"/>
              </w:rPr>
            </w:pPr>
            <w:r w:rsidRPr="009A0BCD">
              <w:rPr>
                <w:sz w:val="20"/>
                <w:szCs w:val="20"/>
              </w:rPr>
              <w:t>1</w:t>
            </w:r>
            <w:r>
              <w:rPr>
                <w:sz w:val="20"/>
                <w:szCs w:val="20"/>
              </w:rPr>
              <w:t xml:space="preserve"> </w:t>
            </w:r>
            <w:r w:rsidRPr="009A0BCD">
              <w:rPr>
                <w:sz w:val="20"/>
                <w:szCs w:val="20"/>
              </w:rPr>
              <w:t>056</w:t>
            </w:r>
            <w:r>
              <w:rPr>
                <w:sz w:val="20"/>
                <w:szCs w:val="20"/>
              </w:rPr>
              <w:t xml:space="preserve"> </w:t>
            </w:r>
            <w:r w:rsidRPr="009A0BCD">
              <w:rPr>
                <w:sz w:val="20"/>
                <w:szCs w:val="20"/>
              </w:rPr>
              <w:t>565</w:t>
            </w:r>
            <w:r>
              <w:rPr>
                <w:sz w:val="20"/>
                <w:szCs w:val="20"/>
              </w:rPr>
              <w:t xml:space="preserve"> </w:t>
            </w:r>
            <w:r w:rsidRPr="009A0BCD">
              <w:rPr>
                <w:sz w:val="20"/>
                <w:szCs w:val="20"/>
              </w:rPr>
              <w:t>707,3</w:t>
            </w:r>
            <w:r>
              <w:rPr>
                <w:sz w:val="20"/>
                <w:szCs w:val="20"/>
              </w:rPr>
              <w:t xml:space="preserve"> </w:t>
            </w:r>
            <w:r w:rsidRPr="00AF6060">
              <w:rPr>
                <w:sz w:val="20"/>
                <w:szCs w:val="20"/>
              </w:rPr>
              <w:t>zł</w:t>
            </w:r>
          </w:p>
        </w:tc>
      </w:tr>
      <w:tr w:rsidR="00076C52" w:rsidRPr="005A1FCC" w14:paraId="36686B8F" w14:textId="77777777" w:rsidTr="00030267">
        <w:trPr>
          <w:trHeight w:val="300"/>
          <w:jc w:val="center"/>
        </w:trPr>
        <w:tc>
          <w:tcPr>
            <w:tcW w:w="3022" w:type="dxa"/>
            <w:noWrap/>
            <w:vAlign w:val="center"/>
          </w:tcPr>
          <w:p w14:paraId="1C0BECA5" w14:textId="77777777" w:rsidR="00076C52" w:rsidRPr="005A1FCC" w:rsidRDefault="00076C52" w:rsidP="00076C52">
            <w:pPr>
              <w:jc w:val="center"/>
              <w:rPr>
                <w:rFonts w:cs="Arial"/>
                <w:bCs/>
                <w:sz w:val="20"/>
                <w:szCs w:val="20"/>
              </w:rPr>
            </w:pPr>
            <w:r w:rsidRPr="005A1FCC">
              <w:rPr>
                <w:rFonts w:cs="Arial"/>
                <w:bCs/>
                <w:sz w:val="20"/>
                <w:szCs w:val="20"/>
              </w:rPr>
              <w:t>Usługi</w:t>
            </w:r>
          </w:p>
        </w:tc>
        <w:tc>
          <w:tcPr>
            <w:tcW w:w="1368" w:type="dxa"/>
            <w:noWrap/>
            <w:vAlign w:val="center"/>
          </w:tcPr>
          <w:p w14:paraId="108245BE" w14:textId="7943C284" w:rsidR="00076C52" w:rsidRPr="00691A8D" w:rsidRDefault="00076C52" w:rsidP="00076C52">
            <w:pPr>
              <w:jc w:val="center"/>
              <w:rPr>
                <w:rFonts w:cs="Arial"/>
                <w:sz w:val="20"/>
                <w:szCs w:val="20"/>
              </w:rPr>
            </w:pPr>
            <w:r>
              <w:rPr>
                <w:rFonts w:cs="Arial"/>
                <w:sz w:val="20"/>
                <w:szCs w:val="20"/>
              </w:rPr>
              <w:t>1 439</w:t>
            </w:r>
          </w:p>
        </w:tc>
        <w:tc>
          <w:tcPr>
            <w:tcW w:w="4677" w:type="dxa"/>
            <w:vAlign w:val="center"/>
          </w:tcPr>
          <w:p w14:paraId="70BA4EA8" w14:textId="378A2935" w:rsidR="00076C52" w:rsidRPr="00691A8D" w:rsidRDefault="00076C52" w:rsidP="00076C52">
            <w:pPr>
              <w:jc w:val="center"/>
              <w:rPr>
                <w:rFonts w:cs="Arial"/>
                <w:sz w:val="20"/>
                <w:szCs w:val="20"/>
              </w:rPr>
            </w:pPr>
            <w:r w:rsidRPr="009A0BCD">
              <w:rPr>
                <w:sz w:val="20"/>
                <w:szCs w:val="20"/>
              </w:rPr>
              <w:t>1</w:t>
            </w:r>
            <w:r>
              <w:rPr>
                <w:sz w:val="20"/>
                <w:szCs w:val="20"/>
              </w:rPr>
              <w:t xml:space="preserve"> </w:t>
            </w:r>
            <w:r w:rsidRPr="009A0BCD">
              <w:rPr>
                <w:sz w:val="20"/>
                <w:szCs w:val="20"/>
              </w:rPr>
              <w:t>379</w:t>
            </w:r>
            <w:r>
              <w:rPr>
                <w:sz w:val="20"/>
                <w:szCs w:val="20"/>
              </w:rPr>
              <w:t xml:space="preserve"> </w:t>
            </w:r>
            <w:r w:rsidRPr="009A0BCD">
              <w:rPr>
                <w:sz w:val="20"/>
                <w:szCs w:val="20"/>
              </w:rPr>
              <w:t>152</w:t>
            </w:r>
            <w:r>
              <w:rPr>
                <w:sz w:val="20"/>
                <w:szCs w:val="20"/>
              </w:rPr>
              <w:t xml:space="preserve"> </w:t>
            </w:r>
            <w:r w:rsidRPr="009A0BCD">
              <w:rPr>
                <w:sz w:val="20"/>
                <w:szCs w:val="20"/>
              </w:rPr>
              <w:t>155,18</w:t>
            </w:r>
            <w:r>
              <w:rPr>
                <w:sz w:val="20"/>
                <w:szCs w:val="20"/>
              </w:rPr>
              <w:t xml:space="preserve"> </w:t>
            </w:r>
            <w:r w:rsidRPr="00AF6060">
              <w:rPr>
                <w:sz w:val="20"/>
                <w:szCs w:val="20"/>
              </w:rPr>
              <w:t>zł</w:t>
            </w:r>
          </w:p>
        </w:tc>
      </w:tr>
    </w:tbl>
    <w:p w14:paraId="2DA30D68" w14:textId="3513E9E7" w:rsidR="00F42F44" w:rsidRPr="004D7A8A" w:rsidRDefault="0055003D" w:rsidP="00852522">
      <w:pPr>
        <w:pStyle w:val="Nagwek4"/>
      </w:pPr>
      <w:r>
        <w:t xml:space="preserve">1.4. </w:t>
      </w:r>
      <w:r w:rsidR="00F42F44" w:rsidRPr="004D7A8A">
        <w:t>Określenie wymagań zw. z realizacją zamówienia w zakresie zatrudnienia na podstawie stosunku pracy, o których mowa w art. 95 ust. 1 ustawy Pzp</w:t>
      </w:r>
    </w:p>
    <w:p w14:paraId="3853F8E8" w14:textId="0D0E4849" w:rsidR="004D7A8A" w:rsidRPr="00F65571" w:rsidRDefault="004D7A8A" w:rsidP="006C14EB">
      <w:pPr>
        <w:pStyle w:val="Legenda"/>
      </w:pPr>
      <w:bookmarkStart w:id="131" w:name="_Toc141276536"/>
      <w:bookmarkStart w:id="132" w:name="_Toc233203386"/>
      <w:r w:rsidRPr="00793F0C">
        <w:t xml:space="preserve">Tab. </w:t>
      </w:r>
      <w:fldSimple w:instr=" SEQ Tab. \* ARABIC ">
        <w:r w:rsidR="00017C65">
          <w:rPr>
            <w:noProof/>
          </w:rPr>
          <w:t>14</w:t>
        </w:r>
      </w:fldSimple>
      <w:r w:rsidRPr="00793F0C">
        <w:t>. Zamówienia publiczne z zastosowaniem art. 95 ust. 1 ustawy Pzp</w:t>
      </w:r>
      <w:bookmarkEnd w:id="131"/>
      <w:bookmarkEnd w:id="13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95 ust. 1 ustawy Pzp."/>
        <w:tblDescription w:val="Tabela. Zamówienia publiczne z zastosowaniem art. 95 ust. 1 ustawy Pzp."/>
      </w:tblPr>
      <w:tblGrid>
        <w:gridCol w:w="6941"/>
        <w:gridCol w:w="2121"/>
      </w:tblGrid>
      <w:tr w:rsidR="008B33D3" w:rsidRPr="00FD623C" w14:paraId="1EBDC1C9" w14:textId="77777777" w:rsidTr="008B33D3">
        <w:trPr>
          <w:trHeight w:val="300"/>
          <w:jc w:val="center"/>
        </w:trPr>
        <w:tc>
          <w:tcPr>
            <w:tcW w:w="6941" w:type="dxa"/>
            <w:shd w:val="clear" w:color="auto" w:fill="DEEAF6"/>
            <w:noWrap/>
            <w:vAlign w:val="center"/>
          </w:tcPr>
          <w:p w14:paraId="13ABC47D" w14:textId="77777777" w:rsidR="008B33D3" w:rsidRPr="00FD623C" w:rsidRDefault="008B33D3" w:rsidP="008B33D3">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DEEAF6"/>
            <w:vAlign w:val="center"/>
          </w:tcPr>
          <w:p w14:paraId="1811126F" w14:textId="6E56925C" w:rsidR="008B33D3" w:rsidRPr="00245DC0" w:rsidRDefault="008B33D3" w:rsidP="008B33D3">
            <w:pPr>
              <w:jc w:val="center"/>
              <w:rPr>
                <w:rFonts w:cs="Arial"/>
                <w:sz w:val="20"/>
                <w:szCs w:val="20"/>
              </w:rPr>
            </w:pPr>
            <w:r>
              <w:rPr>
                <w:rFonts w:cs="Arial"/>
                <w:sz w:val="20"/>
                <w:szCs w:val="20"/>
              </w:rPr>
              <w:t>40 478</w:t>
            </w:r>
          </w:p>
        </w:tc>
      </w:tr>
      <w:tr w:rsidR="008B33D3" w:rsidRPr="00FD623C" w14:paraId="438E57A5" w14:textId="77777777" w:rsidTr="008B33D3">
        <w:trPr>
          <w:trHeight w:val="300"/>
          <w:jc w:val="center"/>
        </w:trPr>
        <w:tc>
          <w:tcPr>
            <w:tcW w:w="6941" w:type="dxa"/>
            <w:noWrap/>
            <w:vAlign w:val="center"/>
            <w:hideMark/>
          </w:tcPr>
          <w:p w14:paraId="70BFF1F7" w14:textId="77777777" w:rsidR="008B33D3" w:rsidRPr="00FD623C" w:rsidRDefault="008B33D3" w:rsidP="008B33D3">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vAlign w:val="center"/>
          </w:tcPr>
          <w:p w14:paraId="0A39BF66" w14:textId="77777777" w:rsidR="008B33D3" w:rsidRDefault="008B33D3" w:rsidP="008B33D3">
            <w:pPr>
              <w:jc w:val="center"/>
              <w:rPr>
                <w:rFonts w:cs="Arial"/>
                <w:sz w:val="20"/>
                <w:szCs w:val="20"/>
              </w:rPr>
            </w:pPr>
            <w:r w:rsidRPr="0005706D">
              <w:rPr>
                <w:rFonts w:cs="Arial"/>
                <w:sz w:val="20"/>
                <w:szCs w:val="20"/>
              </w:rPr>
              <w:t>105</w:t>
            </w:r>
            <w:r>
              <w:rPr>
                <w:rFonts w:cs="Arial"/>
                <w:sz w:val="20"/>
                <w:szCs w:val="20"/>
              </w:rPr>
              <w:t xml:space="preserve"> </w:t>
            </w:r>
            <w:r w:rsidRPr="0005706D">
              <w:rPr>
                <w:rFonts w:cs="Arial"/>
                <w:sz w:val="20"/>
                <w:szCs w:val="20"/>
              </w:rPr>
              <w:t>059</w:t>
            </w:r>
            <w:r>
              <w:rPr>
                <w:rFonts w:cs="Arial"/>
                <w:sz w:val="20"/>
                <w:szCs w:val="20"/>
              </w:rPr>
              <w:t xml:space="preserve"> </w:t>
            </w:r>
            <w:r w:rsidRPr="0005706D">
              <w:rPr>
                <w:rFonts w:cs="Arial"/>
                <w:sz w:val="20"/>
                <w:szCs w:val="20"/>
              </w:rPr>
              <w:t>561</w:t>
            </w:r>
            <w:r>
              <w:rPr>
                <w:rFonts w:cs="Arial"/>
                <w:sz w:val="20"/>
                <w:szCs w:val="20"/>
              </w:rPr>
              <w:t xml:space="preserve"> </w:t>
            </w:r>
            <w:r w:rsidRPr="0005706D">
              <w:rPr>
                <w:rFonts w:cs="Arial"/>
                <w:sz w:val="20"/>
                <w:szCs w:val="20"/>
              </w:rPr>
              <w:t>367,7</w:t>
            </w:r>
            <w:r>
              <w:rPr>
                <w:rFonts w:cs="Arial"/>
                <w:sz w:val="20"/>
                <w:szCs w:val="20"/>
              </w:rPr>
              <w:t xml:space="preserve">1 </w:t>
            </w:r>
            <w:r w:rsidRPr="006F5A5D">
              <w:rPr>
                <w:rFonts w:cs="Arial"/>
                <w:sz w:val="20"/>
                <w:szCs w:val="20"/>
              </w:rPr>
              <w:t>zł</w:t>
            </w:r>
          </w:p>
          <w:p w14:paraId="3F6A12E4" w14:textId="647055CA" w:rsidR="008B33D3" w:rsidRPr="00245DC0" w:rsidRDefault="008B33D3" w:rsidP="008B33D3">
            <w:pPr>
              <w:jc w:val="center"/>
              <w:rPr>
                <w:rFonts w:cs="Arial"/>
                <w:sz w:val="20"/>
                <w:szCs w:val="20"/>
              </w:rPr>
            </w:pPr>
            <w:r w:rsidRPr="003A3881">
              <w:rPr>
                <w:rFonts w:cs="Arial"/>
                <w:sz w:val="20"/>
                <w:szCs w:val="20"/>
              </w:rPr>
              <w:t>(wartość bez VAT)</w:t>
            </w:r>
          </w:p>
        </w:tc>
      </w:tr>
    </w:tbl>
    <w:p w14:paraId="46C51B99" w14:textId="77777777" w:rsidR="00F42F44" w:rsidRPr="00FD623C" w:rsidRDefault="00F42F44"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95 ust. 1 ustawy Pzp."/>
        <w:tblDescription w:val="Tabela. Zamówienia publiczne z zastosowaniem art. 95 ust. 1 ustawy Pzp."/>
      </w:tblPr>
      <w:tblGrid>
        <w:gridCol w:w="3022"/>
        <w:gridCol w:w="1084"/>
        <w:gridCol w:w="4961"/>
      </w:tblGrid>
      <w:tr w:rsidR="00F42F44" w:rsidRPr="00AB0D41" w14:paraId="194A9985" w14:textId="77777777" w:rsidTr="00030267">
        <w:trPr>
          <w:trHeight w:val="300"/>
          <w:tblHeader/>
          <w:jc w:val="center"/>
        </w:trPr>
        <w:tc>
          <w:tcPr>
            <w:tcW w:w="3022" w:type="dxa"/>
            <w:shd w:val="clear" w:color="auto" w:fill="5B9BD5"/>
            <w:noWrap/>
            <w:vAlign w:val="center"/>
          </w:tcPr>
          <w:p w14:paraId="12C0A170" w14:textId="77777777" w:rsidR="00F42F44" w:rsidRPr="00AB0D41" w:rsidRDefault="00F42F44" w:rsidP="002D092B">
            <w:pPr>
              <w:jc w:val="center"/>
              <w:rPr>
                <w:rFonts w:cs="Arial"/>
                <w:b/>
                <w:sz w:val="20"/>
                <w:szCs w:val="20"/>
              </w:rPr>
            </w:pPr>
            <w:r w:rsidRPr="00AB0D41">
              <w:rPr>
                <w:rFonts w:cs="Arial"/>
                <w:b/>
                <w:bCs/>
                <w:sz w:val="20"/>
                <w:szCs w:val="20"/>
              </w:rPr>
              <w:t>Rodzaj zamówienia</w:t>
            </w:r>
          </w:p>
        </w:tc>
        <w:tc>
          <w:tcPr>
            <w:tcW w:w="1084" w:type="dxa"/>
            <w:shd w:val="clear" w:color="auto" w:fill="5B9BD5"/>
            <w:vAlign w:val="center"/>
          </w:tcPr>
          <w:p w14:paraId="02FE0BE6" w14:textId="77777777" w:rsidR="00F42F44" w:rsidRPr="00AB0D41" w:rsidRDefault="00F42F44" w:rsidP="002D092B">
            <w:pPr>
              <w:jc w:val="center"/>
              <w:rPr>
                <w:rFonts w:cs="Arial"/>
                <w:b/>
                <w:sz w:val="20"/>
                <w:szCs w:val="20"/>
              </w:rPr>
            </w:pPr>
            <w:r w:rsidRPr="00AB0D41">
              <w:rPr>
                <w:rFonts w:cs="Arial"/>
                <w:b/>
                <w:sz w:val="20"/>
                <w:szCs w:val="20"/>
              </w:rPr>
              <w:t>Liczba</w:t>
            </w:r>
          </w:p>
        </w:tc>
        <w:tc>
          <w:tcPr>
            <w:tcW w:w="4961" w:type="dxa"/>
            <w:shd w:val="clear" w:color="auto" w:fill="5B9BD5"/>
            <w:vAlign w:val="center"/>
          </w:tcPr>
          <w:p w14:paraId="671B3199" w14:textId="77777777" w:rsidR="00F42F44" w:rsidRPr="00AB0D41" w:rsidRDefault="00F42F44" w:rsidP="002D092B">
            <w:pPr>
              <w:jc w:val="center"/>
              <w:rPr>
                <w:rFonts w:cs="Arial"/>
                <w:b/>
                <w:sz w:val="20"/>
                <w:szCs w:val="20"/>
              </w:rPr>
            </w:pPr>
            <w:r w:rsidRPr="00AB0D41">
              <w:rPr>
                <w:rFonts w:cs="Arial"/>
                <w:b/>
                <w:sz w:val="20"/>
                <w:szCs w:val="20"/>
              </w:rPr>
              <w:t>Wartość (bez VAT)</w:t>
            </w:r>
          </w:p>
        </w:tc>
      </w:tr>
      <w:tr w:rsidR="00D723A6" w:rsidRPr="00AB0D41" w14:paraId="62AC5235" w14:textId="77777777" w:rsidTr="00030267">
        <w:trPr>
          <w:trHeight w:val="313"/>
          <w:jc w:val="center"/>
        </w:trPr>
        <w:tc>
          <w:tcPr>
            <w:tcW w:w="3022" w:type="dxa"/>
            <w:noWrap/>
            <w:vAlign w:val="center"/>
          </w:tcPr>
          <w:p w14:paraId="5DF0531D" w14:textId="77777777" w:rsidR="00D723A6" w:rsidRPr="00AB0D41" w:rsidRDefault="00D723A6" w:rsidP="00D723A6">
            <w:pPr>
              <w:jc w:val="center"/>
              <w:rPr>
                <w:rFonts w:cs="Arial"/>
                <w:bCs/>
                <w:sz w:val="20"/>
                <w:szCs w:val="20"/>
              </w:rPr>
            </w:pPr>
            <w:r w:rsidRPr="00AB0D41">
              <w:rPr>
                <w:rFonts w:cs="Arial"/>
                <w:bCs/>
                <w:sz w:val="20"/>
                <w:szCs w:val="20"/>
              </w:rPr>
              <w:t>Dostawy</w:t>
            </w:r>
          </w:p>
        </w:tc>
        <w:tc>
          <w:tcPr>
            <w:tcW w:w="1084" w:type="dxa"/>
            <w:noWrap/>
            <w:vAlign w:val="center"/>
          </w:tcPr>
          <w:p w14:paraId="67B16A88" w14:textId="2E80A37D" w:rsidR="00D723A6" w:rsidRPr="00245DC0" w:rsidRDefault="00D723A6" w:rsidP="00D723A6">
            <w:pPr>
              <w:jc w:val="center"/>
              <w:rPr>
                <w:rFonts w:cs="Arial"/>
                <w:sz w:val="20"/>
                <w:szCs w:val="20"/>
              </w:rPr>
            </w:pPr>
            <w:r>
              <w:rPr>
                <w:rFonts w:cs="Arial"/>
                <w:sz w:val="20"/>
                <w:szCs w:val="20"/>
              </w:rPr>
              <w:t>679</w:t>
            </w:r>
          </w:p>
        </w:tc>
        <w:tc>
          <w:tcPr>
            <w:tcW w:w="4961" w:type="dxa"/>
            <w:vAlign w:val="center"/>
          </w:tcPr>
          <w:p w14:paraId="1C50CBEF" w14:textId="180CB8B2" w:rsidR="00D723A6" w:rsidRPr="00245DC0" w:rsidRDefault="00D723A6" w:rsidP="00D723A6">
            <w:pPr>
              <w:jc w:val="center"/>
              <w:rPr>
                <w:rFonts w:cs="Arial"/>
                <w:sz w:val="20"/>
                <w:szCs w:val="20"/>
              </w:rPr>
            </w:pPr>
            <w:r w:rsidRPr="000E668E">
              <w:rPr>
                <w:sz w:val="20"/>
                <w:szCs w:val="20"/>
              </w:rPr>
              <w:t>1</w:t>
            </w:r>
            <w:r>
              <w:rPr>
                <w:sz w:val="20"/>
                <w:szCs w:val="20"/>
              </w:rPr>
              <w:t xml:space="preserve"> </w:t>
            </w:r>
            <w:r w:rsidRPr="000E668E">
              <w:rPr>
                <w:sz w:val="20"/>
                <w:szCs w:val="20"/>
              </w:rPr>
              <w:t>244</w:t>
            </w:r>
            <w:r>
              <w:rPr>
                <w:sz w:val="20"/>
                <w:szCs w:val="20"/>
              </w:rPr>
              <w:t xml:space="preserve"> </w:t>
            </w:r>
            <w:r w:rsidRPr="000E668E">
              <w:rPr>
                <w:sz w:val="20"/>
                <w:szCs w:val="20"/>
              </w:rPr>
              <w:t>073</w:t>
            </w:r>
            <w:r>
              <w:rPr>
                <w:sz w:val="20"/>
                <w:szCs w:val="20"/>
              </w:rPr>
              <w:t xml:space="preserve"> </w:t>
            </w:r>
            <w:r w:rsidRPr="000E668E">
              <w:rPr>
                <w:sz w:val="20"/>
                <w:szCs w:val="20"/>
              </w:rPr>
              <w:t>723,7</w:t>
            </w:r>
            <w:r>
              <w:rPr>
                <w:sz w:val="20"/>
                <w:szCs w:val="20"/>
              </w:rPr>
              <w:t xml:space="preserve">6 </w:t>
            </w:r>
            <w:r w:rsidRPr="00AF6060">
              <w:rPr>
                <w:sz w:val="20"/>
                <w:szCs w:val="20"/>
              </w:rPr>
              <w:t>zł</w:t>
            </w:r>
          </w:p>
        </w:tc>
      </w:tr>
      <w:tr w:rsidR="00D723A6" w:rsidRPr="00AB0D41" w14:paraId="6D32A610" w14:textId="77777777" w:rsidTr="00030267">
        <w:trPr>
          <w:trHeight w:val="300"/>
          <w:jc w:val="center"/>
        </w:trPr>
        <w:tc>
          <w:tcPr>
            <w:tcW w:w="3022" w:type="dxa"/>
            <w:shd w:val="clear" w:color="auto" w:fill="DEEAF6"/>
            <w:noWrap/>
            <w:vAlign w:val="center"/>
            <w:hideMark/>
          </w:tcPr>
          <w:p w14:paraId="07DAB8EA" w14:textId="77777777" w:rsidR="00D723A6" w:rsidRPr="00AB0D41" w:rsidRDefault="00D723A6" w:rsidP="00D723A6">
            <w:pPr>
              <w:jc w:val="center"/>
              <w:rPr>
                <w:rFonts w:cs="Arial"/>
                <w:bCs/>
                <w:sz w:val="20"/>
                <w:szCs w:val="20"/>
              </w:rPr>
            </w:pPr>
            <w:r w:rsidRPr="00AB0D41">
              <w:rPr>
                <w:rFonts w:cs="Arial"/>
                <w:bCs/>
                <w:sz w:val="20"/>
                <w:szCs w:val="20"/>
              </w:rPr>
              <w:t>Roboty budowlane</w:t>
            </w:r>
          </w:p>
        </w:tc>
        <w:tc>
          <w:tcPr>
            <w:tcW w:w="1084" w:type="dxa"/>
            <w:shd w:val="clear" w:color="auto" w:fill="DEEAF6"/>
            <w:noWrap/>
            <w:vAlign w:val="center"/>
          </w:tcPr>
          <w:p w14:paraId="6CF48D92" w14:textId="3B1646AD" w:rsidR="00D723A6" w:rsidRPr="00245DC0" w:rsidRDefault="00D723A6" w:rsidP="00D723A6">
            <w:pPr>
              <w:jc w:val="center"/>
              <w:rPr>
                <w:rFonts w:cs="Arial"/>
                <w:sz w:val="20"/>
                <w:szCs w:val="20"/>
              </w:rPr>
            </w:pPr>
            <w:r>
              <w:rPr>
                <w:rFonts w:cs="Arial"/>
                <w:sz w:val="20"/>
                <w:szCs w:val="20"/>
              </w:rPr>
              <w:t>21 439</w:t>
            </w:r>
          </w:p>
        </w:tc>
        <w:tc>
          <w:tcPr>
            <w:tcW w:w="4961" w:type="dxa"/>
            <w:shd w:val="clear" w:color="auto" w:fill="DEEAF6"/>
            <w:vAlign w:val="center"/>
          </w:tcPr>
          <w:p w14:paraId="7CE80C74" w14:textId="60A235A9" w:rsidR="00D723A6" w:rsidRPr="00245DC0" w:rsidRDefault="00D723A6" w:rsidP="00D723A6">
            <w:pPr>
              <w:jc w:val="center"/>
              <w:rPr>
                <w:rFonts w:cs="Arial"/>
                <w:sz w:val="20"/>
                <w:szCs w:val="20"/>
              </w:rPr>
            </w:pPr>
            <w:r w:rsidRPr="000E668E">
              <w:rPr>
                <w:sz w:val="20"/>
                <w:szCs w:val="20"/>
              </w:rPr>
              <w:t>60</w:t>
            </w:r>
            <w:r>
              <w:rPr>
                <w:sz w:val="20"/>
                <w:szCs w:val="20"/>
              </w:rPr>
              <w:t xml:space="preserve"> </w:t>
            </w:r>
            <w:r w:rsidRPr="000E668E">
              <w:rPr>
                <w:sz w:val="20"/>
                <w:szCs w:val="20"/>
              </w:rPr>
              <w:t>700</w:t>
            </w:r>
            <w:r>
              <w:rPr>
                <w:sz w:val="20"/>
                <w:szCs w:val="20"/>
              </w:rPr>
              <w:t xml:space="preserve"> </w:t>
            </w:r>
            <w:r w:rsidRPr="000E668E">
              <w:rPr>
                <w:sz w:val="20"/>
                <w:szCs w:val="20"/>
              </w:rPr>
              <w:t>899</w:t>
            </w:r>
            <w:r>
              <w:rPr>
                <w:sz w:val="20"/>
                <w:szCs w:val="20"/>
              </w:rPr>
              <w:t xml:space="preserve"> </w:t>
            </w:r>
            <w:r w:rsidRPr="000E668E">
              <w:rPr>
                <w:sz w:val="20"/>
                <w:szCs w:val="20"/>
              </w:rPr>
              <w:t>119,33</w:t>
            </w:r>
            <w:r>
              <w:rPr>
                <w:sz w:val="20"/>
                <w:szCs w:val="20"/>
              </w:rPr>
              <w:t xml:space="preserve"> </w:t>
            </w:r>
            <w:r w:rsidRPr="00AF6060">
              <w:rPr>
                <w:sz w:val="20"/>
                <w:szCs w:val="20"/>
              </w:rPr>
              <w:t>zł</w:t>
            </w:r>
          </w:p>
        </w:tc>
      </w:tr>
      <w:tr w:rsidR="00D723A6" w:rsidRPr="00AB0D41" w14:paraId="76594314" w14:textId="77777777" w:rsidTr="00030267">
        <w:trPr>
          <w:trHeight w:val="300"/>
          <w:jc w:val="center"/>
        </w:trPr>
        <w:tc>
          <w:tcPr>
            <w:tcW w:w="3022" w:type="dxa"/>
            <w:noWrap/>
            <w:vAlign w:val="center"/>
          </w:tcPr>
          <w:p w14:paraId="4B19B19E" w14:textId="77777777" w:rsidR="00D723A6" w:rsidRPr="00AB0D41" w:rsidRDefault="00D723A6" w:rsidP="00D723A6">
            <w:pPr>
              <w:jc w:val="center"/>
              <w:rPr>
                <w:rFonts w:cs="Arial"/>
                <w:bCs/>
                <w:sz w:val="20"/>
                <w:szCs w:val="20"/>
              </w:rPr>
            </w:pPr>
            <w:r w:rsidRPr="00AB0D41">
              <w:rPr>
                <w:rFonts w:cs="Arial"/>
                <w:bCs/>
                <w:sz w:val="20"/>
                <w:szCs w:val="20"/>
              </w:rPr>
              <w:t>Usługi</w:t>
            </w:r>
          </w:p>
        </w:tc>
        <w:tc>
          <w:tcPr>
            <w:tcW w:w="1084" w:type="dxa"/>
            <w:noWrap/>
            <w:vAlign w:val="center"/>
          </w:tcPr>
          <w:p w14:paraId="33BFD357" w14:textId="49F173EE" w:rsidR="00D723A6" w:rsidRPr="00245DC0" w:rsidRDefault="00D723A6" w:rsidP="00D723A6">
            <w:pPr>
              <w:jc w:val="center"/>
              <w:rPr>
                <w:rFonts w:cs="Arial"/>
                <w:sz w:val="20"/>
                <w:szCs w:val="20"/>
              </w:rPr>
            </w:pPr>
            <w:r>
              <w:rPr>
                <w:rFonts w:cs="Arial"/>
                <w:sz w:val="20"/>
                <w:szCs w:val="20"/>
              </w:rPr>
              <w:t>18 360</w:t>
            </w:r>
          </w:p>
        </w:tc>
        <w:tc>
          <w:tcPr>
            <w:tcW w:w="4961" w:type="dxa"/>
            <w:vAlign w:val="center"/>
          </w:tcPr>
          <w:p w14:paraId="611B7B62" w14:textId="4EF93BA4" w:rsidR="00D723A6" w:rsidRPr="00245DC0" w:rsidRDefault="00D723A6" w:rsidP="00D723A6">
            <w:pPr>
              <w:jc w:val="center"/>
              <w:rPr>
                <w:rFonts w:cs="Arial"/>
                <w:sz w:val="20"/>
                <w:szCs w:val="20"/>
              </w:rPr>
            </w:pPr>
            <w:r w:rsidRPr="000E668E">
              <w:rPr>
                <w:sz w:val="20"/>
                <w:szCs w:val="20"/>
              </w:rPr>
              <w:t>43</w:t>
            </w:r>
            <w:r>
              <w:rPr>
                <w:sz w:val="20"/>
                <w:szCs w:val="20"/>
              </w:rPr>
              <w:t xml:space="preserve"> </w:t>
            </w:r>
            <w:r w:rsidRPr="000E668E">
              <w:rPr>
                <w:sz w:val="20"/>
                <w:szCs w:val="20"/>
              </w:rPr>
              <w:t>114</w:t>
            </w:r>
            <w:r>
              <w:rPr>
                <w:sz w:val="20"/>
                <w:szCs w:val="20"/>
              </w:rPr>
              <w:t xml:space="preserve"> </w:t>
            </w:r>
            <w:r w:rsidRPr="000E668E">
              <w:rPr>
                <w:sz w:val="20"/>
                <w:szCs w:val="20"/>
              </w:rPr>
              <w:t>588</w:t>
            </w:r>
            <w:r>
              <w:rPr>
                <w:sz w:val="20"/>
                <w:szCs w:val="20"/>
              </w:rPr>
              <w:t xml:space="preserve"> </w:t>
            </w:r>
            <w:r w:rsidRPr="000E668E">
              <w:rPr>
                <w:sz w:val="20"/>
                <w:szCs w:val="20"/>
              </w:rPr>
              <w:t>524,6</w:t>
            </w:r>
            <w:r>
              <w:rPr>
                <w:sz w:val="20"/>
                <w:szCs w:val="20"/>
              </w:rPr>
              <w:t xml:space="preserve">2 </w:t>
            </w:r>
            <w:r w:rsidRPr="00AF6060">
              <w:rPr>
                <w:sz w:val="20"/>
                <w:szCs w:val="20"/>
              </w:rPr>
              <w:t>zł</w:t>
            </w:r>
          </w:p>
        </w:tc>
      </w:tr>
    </w:tbl>
    <w:p w14:paraId="1CEB0713" w14:textId="2B04BA26" w:rsidR="00F42F44" w:rsidRPr="004D7A8A" w:rsidRDefault="0055003D" w:rsidP="00852522">
      <w:pPr>
        <w:pStyle w:val="Nagwek4"/>
      </w:pPr>
      <w:r>
        <w:t xml:space="preserve">1.5. </w:t>
      </w:r>
      <w:r w:rsidR="00F42F44" w:rsidRPr="004D7A8A">
        <w:t>Określenie wymagań zw. z realizacją zamówienia obejmujących aspekty społeczne związane z zatrudnieniem, o których mowa w art. 96 ust. 1 ustawy Pzp</w:t>
      </w:r>
    </w:p>
    <w:p w14:paraId="510F8D94" w14:textId="02B7B35F" w:rsidR="004D7A8A" w:rsidRPr="00F65571" w:rsidRDefault="004D7A8A" w:rsidP="006C14EB">
      <w:pPr>
        <w:pStyle w:val="Legenda"/>
      </w:pPr>
      <w:bookmarkStart w:id="133" w:name="_Toc141276537"/>
      <w:bookmarkStart w:id="134" w:name="_Toc233203387"/>
      <w:r w:rsidRPr="00305FA6">
        <w:t xml:space="preserve">Tab. </w:t>
      </w:r>
      <w:fldSimple w:instr=" SEQ Tab. \* ARABIC ">
        <w:r w:rsidR="00017C65">
          <w:rPr>
            <w:noProof/>
          </w:rPr>
          <w:t>15</w:t>
        </w:r>
      </w:fldSimple>
      <w:r w:rsidRPr="00305FA6">
        <w:t>. Społeczne zamówienia publiczne z zastosowaniem art. 96 ust. 1 ustawy Pzp</w:t>
      </w:r>
      <w:bookmarkEnd w:id="133"/>
      <w:bookmarkEnd w:id="134"/>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z zastosowaniem art. 96 ust. 1 ustawy Pzp."/>
        <w:tblDescription w:val="Tabela. Społeczne zamówienia publiczne z zastosowaniem art. 96 ust. 1 ustawy Pzp."/>
      </w:tblPr>
      <w:tblGrid>
        <w:gridCol w:w="6941"/>
        <w:gridCol w:w="2126"/>
      </w:tblGrid>
      <w:tr w:rsidR="00AD52F6" w:rsidRPr="00FD623C" w14:paraId="7A2502A5" w14:textId="77777777" w:rsidTr="00AD52F6">
        <w:trPr>
          <w:trHeight w:val="300"/>
          <w:jc w:val="center"/>
        </w:trPr>
        <w:tc>
          <w:tcPr>
            <w:tcW w:w="6941" w:type="dxa"/>
            <w:shd w:val="clear" w:color="auto" w:fill="DEEAF6"/>
            <w:noWrap/>
            <w:vAlign w:val="center"/>
          </w:tcPr>
          <w:p w14:paraId="29EF4E69" w14:textId="77777777" w:rsidR="00AD52F6" w:rsidRPr="00FD623C" w:rsidRDefault="00AD52F6" w:rsidP="00AD52F6">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6" w:type="dxa"/>
            <w:shd w:val="clear" w:color="auto" w:fill="DEEAF6"/>
            <w:vAlign w:val="center"/>
          </w:tcPr>
          <w:p w14:paraId="2D620BC0" w14:textId="115E471F" w:rsidR="00AD52F6" w:rsidRPr="00C82492" w:rsidRDefault="00AD52F6" w:rsidP="00AD52F6">
            <w:pPr>
              <w:jc w:val="center"/>
              <w:rPr>
                <w:rFonts w:cs="Arial"/>
                <w:sz w:val="20"/>
                <w:szCs w:val="20"/>
              </w:rPr>
            </w:pPr>
            <w:r>
              <w:rPr>
                <w:rFonts w:cs="Arial"/>
                <w:sz w:val="20"/>
                <w:szCs w:val="20"/>
              </w:rPr>
              <w:t>1 502</w:t>
            </w:r>
          </w:p>
        </w:tc>
      </w:tr>
      <w:tr w:rsidR="00AD52F6" w:rsidRPr="00FD623C" w14:paraId="45265D8B" w14:textId="77777777" w:rsidTr="00AD52F6">
        <w:trPr>
          <w:trHeight w:val="300"/>
          <w:jc w:val="center"/>
        </w:trPr>
        <w:tc>
          <w:tcPr>
            <w:tcW w:w="6941" w:type="dxa"/>
            <w:noWrap/>
            <w:vAlign w:val="center"/>
            <w:hideMark/>
          </w:tcPr>
          <w:p w14:paraId="78E362FB" w14:textId="77777777" w:rsidR="00AD52F6" w:rsidRPr="00FD623C" w:rsidRDefault="00AD52F6" w:rsidP="00AD52F6">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6" w:type="dxa"/>
            <w:vAlign w:val="center"/>
          </w:tcPr>
          <w:p w14:paraId="68DB2AA1" w14:textId="77777777" w:rsidR="00AD52F6" w:rsidRDefault="00AD52F6" w:rsidP="00AD52F6">
            <w:pPr>
              <w:jc w:val="center"/>
              <w:rPr>
                <w:rFonts w:cs="Arial"/>
                <w:sz w:val="20"/>
                <w:szCs w:val="20"/>
              </w:rPr>
            </w:pPr>
            <w:r w:rsidRPr="006D0C1A">
              <w:rPr>
                <w:rFonts w:cs="Arial"/>
                <w:sz w:val="20"/>
                <w:szCs w:val="20"/>
              </w:rPr>
              <w:t>3</w:t>
            </w:r>
            <w:r>
              <w:rPr>
                <w:rFonts w:cs="Arial"/>
                <w:sz w:val="20"/>
                <w:szCs w:val="20"/>
              </w:rPr>
              <w:t xml:space="preserve"> </w:t>
            </w:r>
            <w:r w:rsidRPr="006D0C1A">
              <w:rPr>
                <w:rFonts w:cs="Arial"/>
                <w:sz w:val="20"/>
                <w:szCs w:val="20"/>
              </w:rPr>
              <w:t>513</w:t>
            </w:r>
            <w:r>
              <w:rPr>
                <w:rFonts w:cs="Arial"/>
                <w:sz w:val="20"/>
                <w:szCs w:val="20"/>
              </w:rPr>
              <w:t xml:space="preserve"> </w:t>
            </w:r>
            <w:r w:rsidRPr="006D0C1A">
              <w:rPr>
                <w:rFonts w:cs="Arial"/>
                <w:sz w:val="20"/>
                <w:szCs w:val="20"/>
              </w:rPr>
              <w:t>085</w:t>
            </w:r>
            <w:r>
              <w:rPr>
                <w:rFonts w:cs="Arial"/>
                <w:sz w:val="20"/>
                <w:szCs w:val="20"/>
              </w:rPr>
              <w:t xml:space="preserve"> </w:t>
            </w:r>
            <w:r w:rsidRPr="006D0C1A">
              <w:rPr>
                <w:rFonts w:cs="Arial"/>
                <w:sz w:val="20"/>
                <w:szCs w:val="20"/>
              </w:rPr>
              <w:t>812,97</w:t>
            </w:r>
            <w:r>
              <w:rPr>
                <w:rFonts w:cs="Arial"/>
                <w:sz w:val="20"/>
                <w:szCs w:val="20"/>
              </w:rPr>
              <w:t xml:space="preserve"> </w:t>
            </w:r>
            <w:r w:rsidRPr="00073446">
              <w:rPr>
                <w:rFonts w:cs="Arial"/>
                <w:sz w:val="20"/>
                <w:szCs w:val="20"/>
              </w:rPr>
              <w:t>zł</w:t>
            </w:r>
          </w:p>
          <w:p w14:paraId="5CA01EF0" w14:textId="3AFF4F6F" w:rsidR="00AD52F6" w:rsidRPr="00C82492" w:rsidRDefault="00AD52F6" w:rsidP="00AD52F6">
            <w:pPr>
              <w:jc w:val="center"/>
              <w:rPr>
                <w:rFonts w:cs="Arial"/>
                <w:sz w:val="20"/>
                <w:szCs w:val="20"/>
              </w:rPr>
            </w:pPr>
            <w:r w:rsidRPr="003A3881">
              <w:rPr>
                <w:rFonts w:cs="Arial"/>
                <w:sz w:val="20"/>
                <w:szCs w:val="20"/>
              </w:rPr>
              <w:t>(wartość bez VAT)</w:t>
            </w:r>
          </w:p>
        </w:tc>
      </w:tr>
    </w:tbl>
    <w:p w14:paraId="6BDF66B3" w14:textId="77777777" w:rsidR="00F42F44" w:rsidRPr="00FD623C" w:rsidRDefault="00F42F44"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z zastosowaniem art. 96 ust. 1 ustawy Pzp."/>
        <w:tblDescription w:val="Tabela. Społeczne zamówienia publiczne z zastosowaniem art. 96 ust. 1 ustawy Pzp."/>
      </w:tblPr>
      <w:tblGrid>
        <w:gridCol w:w="3022"/>
        <w:gridCol w:w="1368"/>
        <w:gridCol w:w="4677"/>
      </w:tblGrid>
      <w:tr w:rsidR="00F42F44" w:rsidRPr="008358C8" w14:paraId="011071DE" w14:textId="77777777" w:rsidTr="00030267">
        <w:trPr>
          <w:trHeight w:val="300"/>
          <w:tblHeader/>
          <w:jc w:val="center"/>
        </w:trPr>
        <w:tc>
          <w:tcPr>
            <w:tcW w:w="3022" w:type="dxa"/>
            <w:shd w:val="clear" w:color="auto" w:fill="5B9BD5"/>
            <w:noWrap/>
            <w:vAlign w:val="center"/>
          </w:tcPr>
          <w:p w14:paraId="7473CC9F" w14:textId="77777777" w:rsidR="00F42F44" w:rsidRPr="008358C8" w:rsidRDefault="00F42F44" w:rsidP="0055003D">
            <w:pPr>
              <w:jc w:val="center"/>
              <w:rPr>
                <w:rFonts w:cs="Arial"/>
                <w:b/>
                <w:sz w:val="20"/>
                <w:szCs w:val="20"/>
              </w:rPr>
            </w:pPr>
            <w:r w:rsidRPr="008358C8">
              <w:rPr>
                <w:rFonts w:cs="Arial"/>
                <w:b/>
                <w:bCs/>
                <w:sz w:val="20"/>
                <w:szCs w:val="20"/>
              </w:rPr>
              <w:t>Rodzaj zamówienia</w:t>
            </w:r>
          </w:p>
        </w:tc>
        <w:tc>
          <w:tcPr>
            <w:tcW w:w="1368" w:type="dxa"/>
            <w:shd w:val="clear" w:color="auto" w:fill="5B9BD5"/>
            <w:vAlign w:val="center"/>
          </w:tcPr>
          <w:p w14:paraId="197DE9AC" w14:textId="77777777" w:rsidR="00F42F44" w:rsidRPr="008358C8" w:rsidRDefault="00F42F44" w:rsidP="0055003D">
            <w:pPr>
              <w:jc w:val="center"/>
              <w:rPr>
                <w:rFonts w:cs="Arial"/>
                <w:b/>
                <w:sz w:val="20"/>
                <w:szCs w:val="20"/>
              </w:rPr>
            </w:pPr>
            <w:r w:rsidRPr="008358C8">
              <w:rPr>
                <w:rFonts w:cs="Arial"/>
                <w:b/>
                <w:sz w:val="20"/>
                <w:szCs w:val="20"/>
              </w:rPr>
              <w:t>Liczba</w:t>
            </w:r>
          </w:p>
        </w:tc>
        <w:tc>
          <w:tcPr>
            <w:tcW w:w="4677" w:type="dxa"/>
            <w:shd w:val="clear" w:color="auto" w:fill="5B9BD5"/>
            <w:vAlign w:val="center"/>
          </w:tcPr>
          <w:p w14:paraId="0E7A3358" w14:textId="77777777" w:rsidR="00F42F44" w:rsidRPr="008358C8" w:rsidRDefault="00F42F44" w:rsidP="0055003D">
            <w:pPr>
              <w:jc w:val="center"/>
              <w:rPr>
                <w:rFonts w:cs="Arial"/>
                <w:b/>
                <w:sz w:val="20"/>
                <w:szCs w:val="20"/>
              </w:rPr>
            </w:pPr>
            <w:r w:rsidRPr="008358C8">
              <w:rPr>
                <w:rFonts w:cs="Arial"/>
                <w:b/>
                <w:sz w:val="20"/>
                <w:szCs w:val="20"/>
              </w:rPr>
              <w:t>Wartość (bez VAT)</w:t>
            </w:r>
          </w:p>
        </w:tc>
      </w:tr>
      <w:tr w:rsidR="00F33575" w:rsidRPr="00380295" w14:paraId="62BD0961" w14:textId="77777777" w:rsidTr="00030267">
        <w:trPr>
          <w:trHeight w:val="355"/>
          <w:jc w:val="center"/>
        </w:trPr>
        <w:tc>
          <w:tcPr>
            <w:tcW w:w="3022" w:type="dxa"/>
            <w:noWrap/>
            <w:vAlign w:val="center"/>
          </w:tcPr>
          <w:p w14:paraId="6EECFC48" w14:textId="77777777" w:rsidR="00F33575" w:rsidRPr="00380295" w:rsidRDefault="00F33575" w:rsidP="00F33575">
            <w:pPr>
              <w:jc w:val="center"/>
              <w:rPr>
                <w:rFonts w:cs="Arial"/>
                <w:bCs/>
                <w:sz w:val="20"/>
                <w:szCs w:val="20"/>
              </w:rPr>
            </w:pPr>
            <w:r w:rsidRPr="00380295">
              <w:rPr>
                <w:rFonts w:cs="Arial"/>
                <w:bCs/>
                <w:sz w:val="20"/>
                <w:szCs w:val="20"/>
              </w:rPr>
              <w:t>Dostawy</w:t>
            </w:r>
          </w:p>
        </w:tc>
        <w:tc>
          <w:tcPr>
            <w:tcW w:w="1368" w:type="dxa"/>
            <w:noWrap/>
            <w:vAlign w:val="center"/>
          </w:tcPr>
          <w:p w14:paraId="14973D90" w14:textId="2D73FA75" w:rsidR="00F33575" w:rsidRPr="00452FAC" w:rsidRDefault="00F33575" w:rsidP="00F33575">
            <w:pPr>
              <w:jc w:val="center"/>
              <w:rPr>
                <w:rFonts w:cs="Arial"/>
                <w:sz w:val="20"/>
                <w:szCs w:val="20"/>
              </w:rPr>
            </w:pPr>
            <w:r>
              <w:rPr>
                <w:rFonts w:cs="Arial"/>
                <w:sz w:val="20"/>
                <w:szCs w:val="20"/>
              </w:rPr>
              <w:t>159</w:t>
            </w:r>
          </w:p>
        </w:tc>
        <w:tc>
          <w:tcPr>
            <w:tcW w:w="4677" w:type="dxa"/>
            <w:vAlign w:val="center"/>
          </w:tcPr>
          <w:p w14:paraId="09216F71" w14:textId="555C1C84" w:rsidR="00F33575" w:rsidRPr="00452FAC" w:rsidRDefault="00F33575" w:rsidP="00F33575">
            <w:pPr>
              <w:jc w:val="center"/>
              <w:rPr>
                <w:rFonts w:cs="Arial"/>
                <w:sz w:val="20"/>
                <w:szCs w:val="20"/>
              </w:rPr>
            </w:pPr>
            <w:r w:rsidRPr="006D0C1A">
              <w:rPr>
                <w:sz w:val="20"/>
                <w:szCs w:val="20"/>
              </w:rPr>
              <w:t>443</w:t>
            </w:r>
            <w:r>
              <w:rPr>
                <w:sz w:val="20"/>
                <w:szCs w:val="20"/>
              </w:rPr>
              <w:t xml:space="preserve"> </w:t>
            </w:r>
            <w:r w:rsidRPr="006D0C1A">
              <w:rPr>
                <w:sz w:val="20"/>
                <w:szCs w:val="20"/>
              </w:rPr>
              <w:t>107</w:t>
            </w:r>
            <w:r>
              <w:rPr>
                <w:sz w:val="20"/>
                <w:szCs w:val="20"/>
              </w:rPr>
              <w:t xml:space="preserve"> </w:t>
            </w:r>
            <w:r w:rsidRPr="006D0C1A">
              <w:rPr>
                <w:sz w:val="20"/>
                <w:szCs w:val="20"/>
              </w:rPr>
              <w:t>325,6</w:t>
            </w:r>
            <w:r>
              <w:rPr>
                <w:sz w:val="20"/>
                <w:szCs w:val="20"/>
              </w:rPr>
              <w:t xml:space="preserve"> </w:t>
            </w:r>
            <w:r w:rsidRPr="00AF6060">
              <w:rPr>
                <w:sz w:val="20"/>
                <w:szCs w:val="20"/>
              </w:rPr>
              <w:t>zł</w:t>
            </w:r>
          </w:p>
        </w:tc>
      </w:tr>
      <w:tr w:rsidR="00F33575" w:rsidRPr="00380295" w14:paraId="3C4103B2" w14:textId="77777777" w:rsidTr="00030267">
        <w:trPr>
          <w:trHeight w:val="300"/>
          <w:jc w:val="center"/>
        </w:trPr>
        <w:tc>
          <w:tcPr>
            <w:tcW w:w="3022" w:type="dxa"/>
            <w:shd w:val="clear" w:color="auto" w:fill="DEEAF6"/>
            <w:noWrap/>
            <w:vAlign w:val="center"/>
            <w:hideMark/>
          </w:tcPr>
          <w:p w14:paraId="091DCB72" w14:textId="77777777" w:rsidR="00F33575" w:rsidRPr="00380295" w:rsidRDefault="00F33575" w:rsidP="00F33575">
            <w:pPr>
              <w:jc w:val="center"/>
              <w:rPr>
                <w:rFonts w:cs="Arial"/>
                <w:bCs/>
                <w:sz w:val="20"/>
                <w:szCs w:val="20"/>
              </w:rPr>
            </w:pPr>
            <w:r w:rsidRPr="00380295">
              <w:rPr>
                <w:rFonts w:cs="Arial"/>
                <w:bCs/>
                <w:sz w:val="20"/>
                <w:szCs w:val="20"/>
              </w:rPr>
              <w:lastRenderedPageBreak/>
              <w:t>Roboty budowlane</w:t>
            </w:r>
          </w:p>
        </w:tc>
        <w:tc>
          <w:tcPr>
            <w:tcW w:w="1368" w:type="dxa"/>
            <w:shd w:val="clear" w:color="auto" w:fill="DEEAF6"/>
            <w:noWrap/>
            <w:vAlign w:val="center"/>
          </w:tcPr>
          <w:p w14:paraId="57129BE5" w14:textId="49BECEC4" w:rsidR="00F33575" w:rsidRPr="00452FAC" w:rsidRDefault="00F33575" w:rsidP="00F33575">
            <w:pPr>
              <w:jc w:val="center"/>
              <w:rPr>
                <w:rFonts w:cs="Arial"/>
                <w:sz w:val="20"/>
                <w:szCs w:val="20"/>
              </w:rPr>
            </w:pPr>
            <w:r>
              <w:rPr>
                <w:rFonts w:cs="Arial"/>
                <w:sz w:val="20"/>
                <w:szCs w:val="20"/>
              </w:rPr>
              <w:t>524</w:t>
            </w:r>
          </w:p>
        </w:tc>
        <w:tc>
          <w:tcPr>
            <w:tcW w:w="4677" w:type="dxa"/>
            <w:shd w:val="clear" w:color="auto" w:fill="DEEAF6"/>
            <w:vAlign w:val="center"/>
          </w:tcPr>
          <w:p w14:paraId="7FF384F7" w14:textId="380F14BD" w:rsidR="00F33575" w:rsidRPr="00452FAC" w:rsidRDefault="00F33575" w:rsidP="00F33575">
            <w:pPr>
              <w:jc w:val="center"/>
              <w:rPr>
                <w:rFonts w:cs="Arial"/>
                <w:sz w:val="20"/>
                <w:szCs w:val="20"/>
              </w:rPr>
            </w:pPr>
            <w:r w:rsidRPr="006D0C1A">
              <w:rPr>
                <w:sz w:val="20"/>
                <w:szCs w:val="20"/>
              </w:rPr>
              <w:t>831</w:t>
            </w:r>
            <w:r>
              <w:rPr>
                <w:sz w:val="20"/>
                <w:szCs w:val="20"/>
              </w:rPr>
              <w:t xml:space="preserve"> </w:t>
            </w:r>
            <w:r w:rsidRPr="006D0C1A">
              <w:rPr>
                <w:sz w:val="20"/>
                <w:szCs w:val="20"/>
              </w:rPr>
              <w:t>641</w:t>
            </w:r>
            <w:r>
              <w:rPr>
                <w:sz w:val="20"/>
                <w:szCs w:val="20"/>
              </w:rPr>
              <w:t xml:space="preserve"> </w:t>
            </w:r>
            <w:r w:rsidRPr="006D0C1A">
              <w:rPr>
                <w:sz w:val="20"/>
                <w:szCs w:val="20"/>
              </w:rPr>
              <w:t>071,1</w:t>
            </w:r>
            <w:r>
              <w:rPr>
                <w:sz w:val="20"/>
                <w:szCs w:val="20"/>
              </w:rPr>
              <w:t xml:space="preserve">6 </w:t>
            </w:r>
            <w:r w:rsidRPr="00AF6060">
              <w:rPr>
                <w:sz w:val="20"/>
                <w:szCs w:val="20"/>
              </w:rPr>
              <w:t>zł</w:t>
            </w:r>
          </w:p>
        </w:tc>
      </w:tr>
      <w:tr w:rsidR="00F33575" w:rsidRPr="00380295" w14:paraId="6323F6C0" w14:textId="77777777" w:rsidTr="00030267">
        <w:trPr>
          <w:trHeight w:val="300"/>
          <w:jc w:val="center"/>
        </w:trPr>
        <w:tc>
          <w:tcPr>
            <w:tcW w:w="3022" w:type="dxa"/>
            <w:noWrap/>
            <w:vAlign w:val="center"/>
          </w:tcPr>
          <w:p w14:paraId="2537A932" w14:textId="77777777" w:rsidR="00F33575" w:rsidRPr="00380295" w:rsidRDefault="00F33575" w:rsidP="00F33575">
            <w:pPr>
              <w:jc w:val="center"/>
              <w:rPr>
                <w:rFonts w:cs="Arial"/>
                <w:bCs/>
                <w:sz w:val="20"/>
                <w:szCs w:val="20"/>
              </w:rPr>
            </w:pPr>
            <w:r w:rsidRPr="00380295">
              <w:rPr>
                <w:rFonts w:cs="Arial"/>
                <w:bCs/>
                <w:sz w:val="20"/>
                <w:szCs w:val="20"/>
              </w:rPr>
              <w:t>Usługi</w:t>
            </w:r>
          </w:p>
        </w:tc>
        <w:tc>
          <w:tcPr>
            <w:tcW w:w="1368" w:type="dxa"/>
            <w:noWrap/>
            <w:vAlign w:val="center"/>
          </w:tcPr>
          <w:p w14:paraId="63629B5C" w14:textId="359B60D7" w:rsidR="00F33575" w:rsidRPr="00452FAC" w:rsidRDefault="00F33575" w:rsidP="00F33575">
            <w:pPr>
              <w:jc w:val="center"/>
              <w:rPr>
                <w:rFonts w:cs="Arial"/>
                <w:sz w:val="20"/>
                <w:szCs w:val="20"/>
              </w:rPr>
            </w:pPr>
            <w:r>
              <w:rPr>
                <w:rFonts w:cs="Arial"/>
                <w:sz w:val="20"/>
                <w:szCs w:val="20"/>
              </w:rPr>
              <w:t>819</w:t>
            </w:r>
          </w:p>
        </w:tc>
        <w:tc>
          <w:tcPr>
            <w:tcW w:w="4677" w:type="dxa"/>
            <w:vAlign w:val="center"/>
          </w:tcPr>
          <w:p w14:paraId="58EEFB1A" w14:textId="24DEEB34" w:rsidR="00F33575" w:rsidRPr="00452FAC" w:rsidRDefault="00F33575" w:rsidP="00F33575">
            <w:pPr>
              <w:jc w:val="center"/>
              <w:rPr>
                <w:rFonts w:cs="Arial"/>
                <w:sz w:val="20"/>
                <w:szCs w:val="20"/>
              </w:rPr>
            </w:pPr>
            <w:r w:rsidRPr="006D0C1A">
              <w:rPr>
                <w:sz w:val="20"/>
                <w:szCs w:val="20"/>
              </w:rPr>
              <w:t>2</w:t>
            </w:r>
            <w:r>
              <w:rPr>
                <w:sz w:val="20"/>
                <w:szCs w:val="20"/>
              </w:rPr>
              <w:t xml:space="preserve"> </w:t>
            </w:r>
            <w:r w:rsidRPr="006D0C1A">
              <w:rPr>
                <w:sz w:val="20"/>
                <w:szCs w:val="20"/>
              </w:rPr>
              <w:t>238</w:t>
            </w:r>
            <w:r>
              <w:rPr>
                <w:sz w:val="20"/>
                <w:szCs w:val="20"/>
              </w:rPr>
              <w:t xml:space="preserve"> </w:t>
            </w:r>
            <w:r w:rsidRPr="006D0C1A">
              <w:rPr>
                <w:sz w:val="20"/>
                <w:szCs w:val="20"/>
              </w:rPr>
              <w:t>337</w:t>
            </w:r>
            <w:r>
              <w:rPr>
                <w:sz w:val="20"/>
                <w:szCs w:val="20"/>
              </w:rPr>
              <w:t xml:space="preserve"> </w:t>
            </w:r>
            <w:r w:rsidRPr="006D0C1A">
              <w:rPr>
                <w:sz w:val="20"/>
                <w:szCs w:val="20"/>
              </w:rPr>
              <w:t>416,21</w:t>
            </w:r>
            <w:r>
              <w:rPr>
                <w:sz w:val="20"/>
                <w:szCs w:val="20"/>
              </w:rPr>
              <w:t xml:space="preserve"> </w:t>
            </w:r>
            <w:r w:rsidRPr="00AF6060">
              <w:rPr>
                <w:sz w:val="20"/>
                <w:szCs w:val="20"/>
              </w:rPr>
              <w:t>zł</w:t>
            </w:r>
          </w:p>
        </w:tc>
      </w:tr>
    </w:tbl>
    <w:p w14:paraId="44F3BA1A" w14:textId="77777777" w:rsidR="000E1FE4" w:rsidRPr="003C367A" w:rsidRDefault="000E1FE4" w:rsidP="00852522">
      <w:pPr>
        <w:pStyle w:val="Nagwek4"/>
      </w:pPr>
      <w:bookmarkStart w:id="135" w:name="_Toc141276538"/>
      <w:r>
        <w:t>1.6. Określenie etykiety związanej z aspektami społecznymi albo innego przedmiotowego środka dowodowego, o których mowa w art. 104 ustawy Pzp</w:t>
      </w:r>
    </w:p>
    <w:p w14:paraId="04911C26" w14:textId="47F31A9F" w:rsidR="00353029" w:rsidRPr="00A773EB" w:rsidRDefault="00353029" w:rsidP="006C14EB">
      <w:pPr>
        <w:pStyle w:val="Legenda"/>
      </w:pPr>
      <w:bookmarkStart w:id="136" w:name="_Toc233203388"/>
      <w:r w:rsidRPr="000E2307">
        <w:t xml:space="preserve">Tab. </w:t>
      </w:r>
      <w:fldSimple w:instr=" SEQ Tab. \* ARABIC ">
        <w:r w:rsidR="00017C65">
          <w:rPr>
            <w:noProof/>
          </w:rPr>
          <w:t>16</w:t>
        </w:r>
      </w:fldSimple>
      <w:r w:rsidRPr="000E2307">
        <w:t>. Społeczne zamówienia publiczne z zastosowaniem art. 104 ustawy Pzp</w:t>
      </w:r>
      <w:bookmarkEnd w:id="135"/>
      <w:bookmarkEnd w:id="13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z zastosowaniem art. 104 ustawy Pzp."/>
        <w:tblDescription w:val="Tabela. Społeczne zamówienia publiczne z zastosowaniem art. 104 ustawy Pzp."/>
      </w:tblPr>
      <w:tblGrid>
        <w:gridCol w:w="7083"/>
        <w:gridCol w:w="1979"/>
      </w:tblGrid>
      <w:tr w:rsidR="00F33575" w:rsidRPr="00FD623C" w14:paraId="17184372" w14:textId="77777777" w:rsidTr="00F33575">
        <w:trPr>
          <w:trHeight w:val="300"/>
          <w:jc w:val="center"/>
        </w:trPr>
        <w:tc>
          <w:tcPr>
            <w:tcW w:w="7083" w:type="dxa"/>
            <w:shd w:val="clear" w:color="auto" w:fill="DEEAF6"/>
            <w:noWrap/>
            <w:vAlign w:val="center"/>
          </w:tcPr>
          <w:p w14:paraId="58EB86CB" w14:textId="77777777" w:rsidR="00F33575" w:rsidRPr="00FD623C" w:rsidRDefault="00F33575" w:rsidP="00F33575">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979" w:type="dxa"/>
            <w:shd w:val="clear" w:color="auto" w:fill="DEEAF6"/>
            <w:vAlign w:val="center"/>
          </w:tcPr>
          <w:p w14:paraId="0961B233" w14:textId="02E98C82" w:rsidR="00F33575" w:rsidRPr="00814F49" w:rsidRDefault="00F33575" w:rsidP="00F33575">
            <w:pPr>
              <w:jc w:val="center"/>
              <w:rPr>
                <w:rFonts w:cs="Arial"/>
                <w:sz w:val="20"/>
                <w:szCs w:val="20"/>
              </w:rPr>
            </w:pPr>
            <w:r>
              <w:rPr>
                <w:rFonts w:cs="Arial"/>
                <w:sz w:val="20"/>
                <w:szCs w:val="20"/>
              </w:rPr>
              <w:t>279</w:t>
            </w:r>
          </w:p>
        </w:tc>
      </w:tr>
      <w:tr w:rsidR="00F33575" w:rsidRPr="00FD623C" w14:paraId="32C00F59" w14:textId="77777777" w:rsidTr="00F33575">
        <w:trPr>
          <w:trHeight w:val="300"/>
          <w:jc w:val="center"/>
        </w:trPr>
        <w:tc>
          <w:tcPr>
            <w:tcW w:w="7083" w:type="dxa"/>
            <w:noWrap/>
            <w:vAlign w:val="center"/>
            <w:hideMark/>
          </w:tcPr>
          <w:p w14:paraId="18E02D4E" w14:textId="77777777" w:rsidR="00F33575" w:rsidRPr="00FD623C" w:rsidRDefault="00F33575" w:rsidP="00F33575">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1979" w:type="dxa"/>
            <w:vAlign w:val="center"/>
          </w:tcPr>
          <w:p w14:paraId="54C01B69" w14:textId="77777777" w:rsidR="00F33575" w:rsidRDefault="00F33575" w:rsidP="00F33575">
            <w:pPr>
              <w:jc w:val="center"/>
              <w:rPr>
                <w:rFonts w:cs="Arial"/>
                <w:sz w:val="20"/>
                <w:szCs w:val="20"/>
              </w:rPr>
            </w:pPr>
            <w:r w:rsidRPr="002C0FD6">
              <w:rPr>
                <w:rFonts w:cs="Arial"/>
                <w:sz w:val="20"/>
                <w:szCs w:val="20"/>
              </w:rPr>
              <w:t>1</w:t>
            </w:r>
            <w:r>
              <w:rPr>
                <w:rFonts w:cs="Arial"/>
                <w:sz w:val="20"/>
                <w:szCs w:val="20"/>
              </w:rPr>
              <w:t xml:space="preserve"> </w:t>
            </w:r>
            <w:r w:rsidRPr="002C0FD6">
              <w:rPr>
                <w:rFonts w:cs="Arial"/>
                <w:sz w:val="20"/>
                <w:szCs w:val="20"/>
              </w:rPr>
              <w:t>068</w:t>
            </w:r>
            <w:r>
              <w:rPr>
                <w:rFonts w:cs="Arial"/>
                <w:sz w:val="20"/>
                <w:szCs w:val="20"/>
              </w:rPr>
              <w:t xml:space="preserve"> </w:t>
            </w:r>
            <w:r w:rsidRPr="002C0FD6">
              <w:rPr>
                <w:rFonts w:cs="Arial"/>
                <w:sz w:val="20"/>
                <w:szCs w:val="20"/>
              </w:rPr>
              <w:t>945</w:t>
            </w:r>
            <w:r>
              <w:rPr>
                <w:rFonts w:cs="Arial"/>
                <w:sz w:val="20"/>
                <w:szCs w:val="20"/>
              </w:rPr>
              <w:t xml:space="preserve"> </w:t>
            </w:r>
            <w:r w:rsidRPr="002C0FD6">
              <w:rPr>
                <w:rFonts w:cs="Arial"/>
                <w:sz w:val="20"/>
                <w:szCs w:val="20"/>
              </w:rPr>
              <w:t>818,76</w:t>
            </w:r>
            <w:r>
              <w:rPr>
                <w:rFonts w:cs="Arial"/>
                <w:sz w:val="20"/>
                <w:szCs w:val="20"/>
              </w:rPr>
              <w:t xml:space="preserve"> </w:t>
            </w:r>
            <w:r w:rsidRPr="008B213E">
              <w:rPr>
                <w:rFonts w:cs="Arial"/>
                <w:sz w:val="20"/>
                <w:szCs w:val="20"/>
              </w:rPr>
              <w:t>zł</w:t>
            </w:r>
          </w:p>
          <w:p w14:paraId="42C7F03A" w14:textId="68E87039" w:rsidR="00F33575" w:rsidRPr="00814F49" w:rsidRDefault="00F33575" w:rsidP="00F33575">
            <w:pPr>
              <w:jc w:val="center"/>
              <w:rPr>
                <w:rFonts w:cs="Arial"/>
                <w:sz w:val="20"/>
                <w:szCs w:val="20"/>
              </w:rPr>
            </w:pPr>
            <w:r w:rsidRPr="00FD623C">
              <w:rPr>
                <w:rFonts w:cs="Arial"/>
                <w:sz w:val="20"/>
                <w:szCs w:val="20"/>
              </w:rPr>
              <w:t>(wartość bez VAT)</w:t>
            </w:r>
          </w:p>
        </w:tc>
      </w:tr>
    </w:tbl>
    <w:p w14:paraId="0D19AAE4" w14:textId="77777777" w:rsidR="00F42F44" w:rsidRPr="00FD623C" w:rsidRDefault="00F42F44"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z zastosowaniem art. 104 ustawy Pzp."/>
        <w:tblDescription w:val="Tabela. Społeczne zamówienia publiczne z zastosowaniem art. 104 ustawy Pzp."/>
      </w:tblPr>
      <w:tblGrid>
        <w:gridCol w:w="3022"/>
        <w:gridCol w:w="1368"/>
        <w:gridCol w:w="4677"/>
      </w:tblGrid>
      <w:tr w:rsidR="00F42F44" w:rsidRPr="00DA3076" w14:paraId="691FE0A0" w14:textId="77777777" w:rsidTr="00030267">
        <w:trPr>
          <w:trHeight w:val="300"/>
          <w:tblHeader/>
          <w:jc w:val="center"/>
        </w:trPr>
        <w:tc>
          <w:tcPr>
            <w:tcW w:w="3022" w:type="dxa"/>
            <w:shd w:val="clear" w:color="auto" w:fill="5B9BD5"/>
            <w:noWrap/>
            <w:vAlign w:val="center"/>
          </w:tcPr>
          <w:p w14:paraId="2CBDB356" w14:textId="77777777" w:rsidR="00F42F44" w:rsidRPr="00DA3076" w:rsidRDefault="00F42F44" w:rsidP="00561834">
            <w:pPr>
              <w:jc w:val="center"/>
              <w:rPr>
                <w:rFonts w:cs="Arial"/>
                <w:b/>
                <w:sz w:val="20"/>
                <w:szCs w:val="20"/>
              </w:rPr>
            </w:pPr>
            <w:r w:rsidRPr="00DA3076">
              <w:rPr>
                <w:rFonts w:cs="Arial"/>
                <w:b/>
                <w:bCs/>
                <w:sz w:val="20"/>
                <w:szCs w:val="20"/>
              </w:rPr>
              <w:t>Rodzaj zamówienia</w:t>
            </w:r>
          </w:p>
        </w:tc>
        <w:tc>
          <w:tcPr>
            <w:tcW w:w="1368" w:type="dxa"/>
            <w:shd w:val="clear" w:color="auto" w:fill="5B9BD5"/>
            <w:vAlign w:val="center"/>
          </w:tcPr>
          <w:p w14:paraId="0495C12A" w14:textId="77777777" w:rsidR="00F42F44" w:rsidRPr="00DA3076" w:rsidRDefault="00F42F44" w:rsidP="00561834">
            <w:pPr>
              <w:jc w:val="center"/>
              <w:rPr>
                <w:rFonts w:cs="Arial"/>
                <w:b/>
                <w:sz w:val="20"/>
                <w:szCs w:val="20"/>
              </w:rPr>
            </w:pPr>
            <w:r w:rsidRPr="00DA3076">
              <w:rPr>
                <w:rFonts w:cs="Arial"/>
                <w:b/>
                <w:sz w:val="20"/>
                <w:szCs w:val="20"/>
              </w:rPr>
              <w:t>Liczba</w:t>
            </w:r>
          </w:p>
        </w:tc>
        <w:tc>
          <w:tcPr>
            <w:tcW w:w="4677" w:type="dxa"/>
            <w:shd w:val="clear" w:color="auto" w:fill="5B9BD5"/>
            <w:vAlign w:val="center"/>
          </w:tcPr>
          <w:p w14:paraId="00201059" w14:textId="77777777" w:rsidR="00F42F44" w:rsidRPr="00DA3076" w:rsidRDefault="00F42F44" w:rsidP="00561834">
            <w:pPr>
              <w:jc w:val="center"/>
              <w:rPr>
                <w:rFonts w:cs="Arial"/>
                <w:b/>
                <w:sz w:val="20"/>
                <w:szCs w:val="20"/>
              </w:rPr>
            </w:pPr>
            <w:r w:rsidRPr="00DA3076">
              <w:rPr>
                <w:rFonts w:cs="Arial"/>
                <w:b/>
                <w:sz w:val="20"/>
                <w:szCs w:val="20"/>
              </w:rPr>
              <w:t>Wartość (bez VAT)</w:t>
            </w:r>
          </w:p>
        </w:tc>
      </w:tr>
      <w:tr w:rsidR="00F33575" w:rsidRPr="00DA3076" w14:paraId="5D536347" w14:textId="77777777" w:rsidTr="00030267">
        <w:trPr>
          <w:trHeight w:val="300"/>
          <w:jc w:val="center"/>
        </w:trPr>
        <w:tc>
          <w:tcPr>
            <w:tcW w:w="3022" w:type="dxa"/>
            <w:noWrap/>
            <w:vAlign w:val="center"/>
          </w:tcPr>
          <w:p w14:paraId="06F9401C" w14:textId="77777777" w:rsidR="00F33575" w:rsidRPr="00DA3076" w:rsidRDefault="00F33575" w:rsidP="00F33575">
            <w:pPr>
              <w:jc w:val="center"/>
              <w:rPr>
                <w:rFonts w:cs="Arial"/>
                <w:bCs/>
                <w:sz w:val="20"/>
                <w:szCs w:val="20"/>
              </w:rPr>
            </w:pPr>
            <w:r w:rsidRPr="00DA3076">
              <w:rPr>
                <w:rFonts w:cs="Arial"/>
                <w:bCs/>
                <w:sz w:val="20"/>
                <w:szCs w:val="20"/>
              </w:rPr>
              <w:t>Dostawy</w:t>
            </w:r>
          </w:p>
        </w:tc>
        <w:tc>
          <w:tcPr>
            <w:tcW w:w="1368" w:type="dxa"/>
            <w:noWrap/>
            <w:vAlign w:val="center"/>
          </w:tcPr>
          <w:p w14:paraId="231D15D7" w14:textId="7327EBED" w:rsidR="00F33575" w:rsidRPr="00814F49" w:rsidRDefault="00F33575" w:rsidP="00F33575">
            <w:pPr>
              <w:jc w:val="center"/>
              <w:rPr>
                <w:rFonts w:cs="Arial"/>
                <w:sz w:val="20"/>
                <w:szCs w:val="20"/>
              </w:rPr>
            </w:pPr>
            <w:r>
              <w:rPr>
                <w:rFonts w:cs="Arial"/>
                <w:sz w:val="20"/>
                <w:szCs w:val="20"/>
              </w:rPr>
              <w:t>51</w:t>
            </w:r>
          </w:p>
        </w:tc>
        <w:tc>
          <w:tcPr>
            <w:tcW w:w="4677" w:type="dxa"/>
            <w:vAlign w:val="center"/>
          </w:tcPr>
          <w:p w14:paraId="2DDB9E44" w14:textId="5D92E552" w:rsidR="00F33575" w:rsidRPr="00814F49" w:rsidRDefault="00F33575" w:rsidP="00F33575">
            <w:pPr>
              <w:jc w:val="center"/>
              <w:rPr>
                <w:rFonts w:cs="Arial"/>
                <w:sz w:val="20"/>
                <w:szCs w:val="20"/>
              </w:rPr>
            </w:pPr>
            <w:r w:rsidRPr="002C0FD6">
              <w:rPr>
                <w:sz w:val="20"/>
                <w:szCs w:val="20"/>
              </w:rPr>
              <w:t>68</w:t>
            </w:r>
            <w:r>
              <w:rPr>
                <w:sz w:val="20"/>
                <w:szCs w:val="20"/>
              </w:rPr>
              <w:t xml:space="preserve"> </w:t>
            </w:r>
            <w:r w:rsidRPr="002C0FD6">
              <w:rPr>
                <w:sz w:val="20"/>
                <w:szCs w:val="20"/>
              </w:rPr>
              <w:t>883</w:t>
            </w:r>
            <w:r>
              <w:rPr>
                <w:sz w:val="20"/>
                <w:szCs w:val="20"/>
              </w:rPr>
              <w:t xml:space="preserve"> </w:t>
            </w:r>
            <w:r w:rsidRPr="002C0FD6">
              <w:rPr>
                <w:sz w:val="20"/>
                <w:szCs w:val="20"/>
              </w:rPr>
              <w:t>098,27</w:t>
            </w:r>
            <w:r>
              <w:rPr>
                <w:sz w:val="20"/>
                <w:szCs w:val="20"/>
              </w:rPr>
              <w:t xml:space="preserve"> </w:t>
            </w:r>
            <w:r w:rsidRPr="00AF6060">
              <w:rPr>
                <w:sz w:val="20"/>
                <w:szCs w:val="20"/>
              </w:rPr>
              <w:t>zł</w:t>
            </w:r>
          </w:p>
        </w:tc>
      </w:tr>
      <w:tr w:rsidR="00F33575" w:rsidRPr="00DA3076" w14:paraId="2D6634DE" w14:textId="77777777" w:rsidTr="001324B1">
        <w:trPr>
          <w:trHeight w:val="300"/>
          <w:jc w:val="center"/>
        </w:trPr>
        <w:tc>
          <w:tcPr>
            <w:tcW w:w="3022" w:type="dxa"/>
            <w:shd w:val="clear" w:color="auto" w:fill="DEEAF6" w:themeFill="accent1" w:themeFillTint="33"/>
            <w:noWrap/>
            <w:vAlign w:val="center"/>
            <w:hideMark/>
          </w:tcPr>
          <w:p w14:paraId="63148D0F" w14:textId="77777777" w:rsidR="00F33575" w:rsidRPr="00DA3076" w:rsidRDefault="00F33575" w:rsidP="00F33575">
            <w:pPr>
              <w:jc w:val="center"/>
              <w:rPr>
                <w:rFonts w:cs="Arial"/>
                <w:bCs/>
                <w:sz w:val="20"/>
                <w:szCs w:val="20"/>
              </w:rPr>
            </w:pPr>
            <w:r w:rsidRPr="00DA3076">
              <w:rPr>
                <w:rFonts w:cs="Arial"/>
                <w:bCs/>
                <w:sz w:val="20"/>
                <w:szCs w:val="20"/>
              </w:rPr>
              <w:t>Roboty budowlane</w:t>
            </w:r>
          </w:p>
        </w:tc>
        <w:tc>
          <w:tcPr>
            <w:tcW w:w="1368" w:type="dxa"/>
            <w:shd w:val="clear" w:color="auto" w:fill="DEEAF6" w:themeFill="accent1" w:themeFillTint="33"/>
            <w:noWrap/>
            <w:vAlign w:val="center"/>
          </w:tcPr>
          <w:p w14:paraId="2674525D" w14:textId="67746F4D" w:rsidR="00F33575" w:rsidRPr="00814F49" w:rsidRDefault="00F33575" w:rsidP="00F33575">
            <w:pPr>
              <w:jc w:val="center"/>
              <w:rPr>
                <w:rFonts w:cs="Arial"/>
                <w:sz w:val="20"/>
                <w:szCs w:val="20"/>
              </w:rPr>
            </w:pPr>
            <w:r>
              <w:rPr>
                <w:rFonts w:cs="Arial"/>
                <w:sz w:val="20"/>
                <w:szCs w:val="20"/>
              </w:rPr>
              <w:t>101</w:t>
            </w:r>
          </w:p>
        </w:tc>
        <w:tc>
          <w:tcPr>
            <w:tcW w:w="4677" w:type="dxa"/>
            <w:shd w:val="clear" w:color="auto" w:fill="DEEAF6" w:themeFill="accent1" w:themeFillTint="33"/>
            <w:vAlign w:val="center"/>
          </w:tcPr>
          <w:p w14:paraId="5788926D" w14:textId="78DEC81E" w:rsidR="00F33575" w:rsidRPr="00814F49" w:rsidRDefault="00F33575" w:rsidP="00F33575">
            <w:pPr>
              <w:jc w:val="center"/>
              <w:rPr>
                <w:rFonts w:cs="Arial"/>
                <w:sz w:val="20"/>
                <w:szCs w:val="20"/>
              </w:rPr>
            </w:pPr>
            <w:r w:rsidRPr="002C0FD6">
              <w:rPr>
                <w:sz w:val="20"/>
                <w:szCs w:val="20"/>
              </w:rPr>
              <w:t>921</w:t>
            </w:r>
            <w:r>
              <w:rPr>
                <w:sz w:val="20"/>
                <w:szCs w:val="20"/>
              </w:rPr>
              <w:t xml:space="preserve"> </w:t>
            </w:r>
            <w:r w:rsidRPr="002C0FD6">
              <w:rPr>
                <w:sz w:val="20"/>
                <w:szCs w:val="20"/>
              </w:rPr>
              <w:t>963</w:t>
            </w:r>
            <w:r>
              <w:rPr>
                <w:sz w:val="20"/>
                <w:szCs w:val="20"/>
              </w:rPr>
              <w:t xml:space="preserve"> </w:t>
            </w:r>
            <w:r w:rsidRPr="002C0FD6">
              <w:rPr>
                <w:sz w:val="20"/>
                <w:szCs w:val="20"/>
              </w:rPr>
              <w:t>275,16</w:t>
            </w:r>
            <w:r>
              <w:rPr>
                <w:sz w:val="20"/>
                <w:szCs w:val="20"/>
              </w:rPr>
              <w:t xml:space="preserve"> </w:t>
            </w:r>
            <w:r w:rsidRPr="00AF6060">
              <w:rPr>
                <w:sz w:val="20"/>
                <w:szCs w:val="20"/>
              </w:rPr>
              <w:t>zł</w:t>
            </w:r>
          </w:p>
        </w:tc>
      </w:tr>
      <w:tr w:rsidR="00F33575" w:rsidRPr="00DA3076" w14:paraId="2391F1A1" w14:textId="77777777" w:rsidTr="00030267">
        <w:trPr>
          <w:trHeight w:val="300"/>
          <w:jc w:val="center"/>
        </w:trPr>
        <w:tc>
          <w:tcPr>
            <w:tcW w:w="3022" w:type="dxa"/>
            <w:noWrap/>
            <w:vAlign w:val="center"/>
          </w:tcPr>
          <w:p w14:paraId="4506F740" w14:textId="77777777" w:rsidR="00F33575" w:rsidRPr="00DA3076" w:rsidRDefault="00F33575" w:rsidP="00F33575">
            <w:pPr>
              <w:jc w:val="center"/>
              <w:rPr>
                <w:rFonts w:cs="Arial"/>
                <w:bCs/>
                <w:sz w:val="20"/>
                <w:szCs w:val="20"/>
              </w:rPr>
            </w:pPr>
            <w:r w:rsidRPr="00DA3076">
              <w:rPr>
                <w:rFonts w:cs="Arial"/>
                <w:bCs/>
                <w:sz w:val="20"/>
                <w:szCs w:val="20"/>
              </w:rPr>
              <w:t>Usługi</w:t>
            </w:r>
          </w:p>
        </w:tc>
        <w:tc>
          <w:tcPr>
            <w:tcW w:w="1368" w:type="dxa"/>
            <w:noWrap/>
            <w:vAlign w:val="center"/>
          </w:tcPr>
          <w:p w14:paraId="37481A7B" w14:textId="15B01D5D" w:rsidR="00F33575" w:rsidRPr="00814F49" w:rsidRDefault="00F33575" w:rsidP="00F33575">
            <w:pPr>
              <w:jc w:val="center"/>
              <w:rPr>
                <w:rFonts w:cs="Arial"/>
                <w:sz w:val="20"/>
                <w:szCs w:val="20"/>
              </w:rPr>
            </w:pPr>
            <w:r>
              <w:rPr>
                <w:rFonts w:cs="Arial"/>
                <w:sz w:val="20"/>
                <w:szCs w:val="20"/>
              </w:rPr>
              <w:t>127</w:t>
            </w:r>
          </w:p>
        </w:tc>
        <w:tc>
          <w:tcPr>
            <w:tcW w:w="4677" w:type="dxa"/>
            <w:vAlign w:val="center"/>
          </w:tcPr>
          <w:p w14:paraId="642CBE6B" w14:textId="20633302" w:rsidR="00F33575" w:rsidRPr="00814F49" w:rsidRDefault="00F33575" w:rsidP="00F33575">
            <w:pPr>
              <w:jc w:val="center"/>
              <w:rPr>
                <w:rFonts w:cs="Arial"/>
                <w:sz w:val="20"/>
                <w:szCs w:val="20"/>
              </w:rPr>
            </w:pPr>
            <w:r w:rsidRPr="002C0FD6">
              <w:rPr>
                <w:sz w:val="20"/>
                <w:szCs w:val="20"/>
              </w:rPr>
              <w:t>78</w:t>
            </w:r>
            <w:r>
              <w:rPr>
                <w:sz w:val="20"/>
                <w:szCs w:val="20"/>
              </w:rPr>
              <w:t xml:space="preserve"> </w:t>
            </w:r>
            <w:r w:rsidRPr="002C0FD6">
              <w:rPr>
                <w:sz w:val="20"/>
                <w:szCs w:val="20"/>
              </w:rPr>
              <w:t>099</w:t>
            </w:r>
            <w:r>
              <w:rPr>
                <w:sz w:val="20"/>
                <w:szCs w:val="20"/>
              </w:rPr>
              <w:t xml:space="preserve"> </w:t>
            </w:r>
            <w:r w:rsidRPr="002C0FD6">
              <w:rPr>
                <w:sz w:val="20"/>
                <w:szCs w:val="20"/>
              </w:rPr>
              <w:t>445,33</w:t>
            </w:r>
            <w:r>
              <w:rPr>
                <w:sz w:val="20"/>
                <w:szCs w:val="20"/>
              </w:rPr>
              <w:t xml:space="preserve"> </w:t>
            </w:r>
            <w:r w:rsidRPr="00AF6060">
              <w:rPr>
                <w:sz w:val="20"/>
                <w:szCs w:val="20"/>
              </w:rPr>
              <w:t>zł</w:t>
            </w:r>
          </w:p>
        </w:tc>
      </w:tr>
    </w:tbl>
    <w:p w14:paraId="6CB7DAC2" w14:textId="53691D0E" w:rsidR="00F42F44" w:rsidRPr="00353029" w:rsidRDefault="00561834" w:rsidP="00852522">
      <w:pPr>
        <w:pStyle w:val="Nagwek4"/>
      </w:pPr>
      <w:r>
        <w:t xml:space="preserve">1.7. </w:t>
      </w:r>
      <w:r w:rsidR="00F42F44" w:rsidRPr="00353029">
        <w:t>Zamówienie udzielone jako zamówienie zastrzeżone na usługi zdrowotne, społeczne oraz kulturalne, o którym mowa w art. 361 ust. 1 lub art. 392 ust. 3 ustawy Pzp</w:t>
      </w:r>
    </w:p>
    <w:p w14:paraId="6054AA5F" w14:textId="6D41B15C" w:rsidR="003537B8" w:rsidRPr="00F65571" w:rsidRDefault="003537B8" w:rsidP="006C14EB">
      <w:pPr>
        <w:pStyle w:val="Legenda"/>
      </w:pPr>
      <w:bookmarkStart w:id="137" w:name="_Toc141276539"/>
      <w:bookmarkStart w:id="138" w:name="_Toc233203389"/>
      <w:r w:rsidRPr="008C6FEE">
        <w:t xml:space="preserve">Tab. </w:t>
      </w:r>
      <w:fldSimple w:instr=" SEQ Tab. \* ARABIC ">
        <w:r w:rsidR="00017C65">
          <w:rPr>
            <w:noProof/>
          </w:rPr>
          <w:t>17</w:t>
        </w:r>
      </w:fldSimple>
      <w:r w:rsidRPr="008C6FEE">
        <w:t>. Zamówienia publiczne z zastosowaniem art. 361 ust. 1 lub art. 392 ust. 3 ustawy Pzp</w:t>
      </w:r>
      <w:bookmarkEnd w:id="137"/>
      <w:bookmarkEnd w:id="13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361 ust. 1 lub art. 392 ust. 3 ustawy Pzp."/>
        <w:tblDescription w:val="Tabela. Zamówienia publiczne z zastosowaniem art. 361 ust. 1 lub art. 392 ust. 3 ustawy Pzp."/>
      </w:tblPr>
      <w:tblGrid>
        <w:gridCol w:w="7225"/>
        <w:gridCol w:w="1837"/>
      </w:tblGrid>
      <w:tr w:rsidR="003D2C8C" w:rsidRPr="00FD623C" w14:paraId="3453E034" w14:textId="77777777" w:rsidTr="003D2C8C">
        <w:trPr>
          <w:trHeight w:val="300"/>
          <w:jc w:val="center"/>
        </w:trPr>
        <w:tc>
          <w:tcPr>
            <w:tcW w:w="7225" w:type="dxa"/>
            <w:tcBorders>
              <w:bottom w:val="single" w:sz="4" w:space="0" w:color="auto"/>
            </w:tcBorders>
            <w:shd w:val="clear" w:color="auto" w:fill="DEEAF6"/>
            <w:noWrap/>
            <w:vAlign w:val="center"/>
          </w:tcPr>
          <w:p w14:paraId="7B96073B" w14:textId="77777777" w:rsidR="003D2C8C" w:rsidRPr="00FD623C" w:rsidRDefault="003D2C8C" w:rsidP="003D2C8C">
            <w:pPr>
              <w:jc w:val="left"/>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udzielonych </w:t>
            </w:r>
            <w:r w:rsidRPr="00FD623C">
              <w:rPr>
                <w:rFonts w:eastAsia="Calibri" w:cs="Arial"/>
                <w:sz w:val="20"/>
                <w:szCs w:val="20"/>
              </w:rPr>
              <w:t xml:space="preserve">jako zamówienie zastrzeżone na usługi zdrowotne, społeczne lub kulturalne, o których mowa w </w:t>
            </w:r>
            <w:r w:rsidRPr="00E243E4">
              <w:rPr>
                <w:rFonts w:eastAsia="Calibri" w:cs="Arial"/>
                <w:sz w:val="20"/>
                <w:szCs w:val="20"/>
              </w:rPr>
              <w:t>art. 361 ust. 1 lub art. 392 ust. 3</w:t>
            </w:r>
            <w:r>
              <w:rPr>
                <w:rFonts w:eastAsia="Calibri" w:cs="Arial"/>
                <w:sz w:val="20"/>
                <w:szCs w:val="20"/>
              </w:rPr>
              <w:t xml:space="preserve"> </w:t>
            </w:r>
            <w:r w:rsidRPr="00FD623C">
              <w:rPr>
                <w:rFonts w:eastAsia="Calibri" w:cs="Arial"/>
                <w:sz w:val="20"/>
                <w:szCs w:val="20"/>
              </w:rPr>
              <w:t>ustawy Pzp</w:t>
            </w:r>
          </w:p>
        </w:tc>
        <w:tc>
          <w:tcPr>
            <w:tcW w:w="1837" w:type="dxa"/>
            <w:tcBorders>
              <w:bottom w:val="single" w:sz="4" w:space="0" w:color="auto"/>
            </w:tcBorders>
            <w:shd w:val="clear" w:color="auto" w:fill="DEEAF6"/>
            <w:vAlign w:val="center"/>
          </w:tcPr>
          <w:p w14:paraId="62056EE0" w14:textId="670DE05D" w:rsidR="003D2C8C" w:rsidRPr="00FD5184" w:rsidRDefault="003D2C8C" w:rsidP="003D2C8C">
            <w:pPr>
              <w:jc w:val="center"/>
              <w:rPr>
                <w:rFonts w:cs="Arial"/>
                <w:sz w:val="20"/>
                <w:szCs w:val="20"/>
              </w:rPr>
            </w:pPr>
            <w:r>
              <w:rPr>
                <w:rFonts w:cs="Arial"/>
                <w:sz w:val="20"/>
                <w:szCs w:val="20"/>
              </w:rPr>
              <w:t>667</w:t>
            </w:r>
          </w:p>
        </w:tc>
      </w:tr>
      <w:tr w:rsidR="003D2C8C" w:rsidRPr="00FD623C" w14:paraId="7DF19E4F" w14:textId="77777777" w:rsidTr="003D2C8C">
        <w:trPr>
          <w:trHeight w:val="300"/>
          <w:jc w:val="center"/>
        </w:trPr>
        <w:tc>
          <w:tcPr>
            <w:tcW w:w="7225" w:type="dxa"/>
            <w:noWrap/>
            <w:vAlign w:val="center"/>
          </w:tcPr>
          <w:p w14:paraId="10CD0BDA" w14:textId="77777777" w:rsidR="003D2C8C" w:rsidRPr="00FD623C" w:rsidRDefault="003D2C8C" w:rsidP="003D2C8C">
            <w:pPr>
              <w:jc w:val="left"/>
              <w:rPr>
                <w:rFonts w:eastAsia="Calibri" w:cs="Arial"/>
                <w:sz w:val="20"/>
                <w:szCs w:val="20"/>
              </w:rPr>
            </w:pPr>
            <w:r w:rsidRPr="00FD623C">
              <w:rPr>
                <w:rFonts w:cs="Arial"/>
                <w:bCs/>
                <w:sz w:val="20"/>
                <w:szCs w:val="20"/>
              </w:rPr>
              <w:t>Liczba zamawiających, którzy udzielili zamówień zastrzeżonych</w:t>
            </w:r>
            <w:r>
              <w:rPr>
                <w:rFonts w:cs="Arial"/>
                <w:bCs/>
                <w:sz w:val="20"/>
                <w:szCs w:val="20"/>
              </w:rPr>
              <w:t xml:space="preserve"> </w:t>
            </w:r>
            <w:r w:rsidRPr="00FD623C">
              <w:rPr>
                <w:rFonts w:eastAsia="Calibri" w:cs="Arial"/>
                <w:sz w:val="20"/>
                <w:szCs w:val="20"/>
              </w:rPr>
              <w:t xml:space="preserve">na usługi zdrowotne, społeczne lub kulturalne, o których mowa w </w:t>
            </w:r>
            <w:r w:rsidRPr="00E243E4">
              <w:rPr>
                <w:rFonts w:eastAsia="Calibri" w:cs="Arial"/>
                <w:sz w:val="20"/>
                <w:szCs w:val="20"/>
              </w:rPr>
              <w:t>art. 361 ust. 1 lub art. 392 ust. 3</w:t>
            </w:r>
            <w:r>
              <w:rPr>
                <w:rFonts w:eastAsia="Calibri" w:cs="Arial"/>
                <w:sz w:val="20"/>
                <w:szCs w:val="20"/>
              </w:rPr>
              <w:t xml:space="preserve"> </w:t>
            </w:r>
            <w:r w:rsidRPr="00FD623C">
              <w:rPr>
                <w:rFonts w:eastAsia="Calibri" w:cs="Arial"/>
                <w:sz w:val="20"/>
                <w:szCs w:val="20"/>
              </w:rPr>
              <w:t>ustawy Pzp</w:t>
            </w:r>
          </w:p>
        </w:tc>
        <w:tc>
          <w:tcPr>
            <w:tcW w:w="1837" w:type="dxa"/>
            <w:vAlign w:val="center"/>
          </w:tcPr>
          <w:p w14:paraId="6EB9AE2F" w14:textId="1A65499F" w:rsidR="003D2C8C" w:rsidRDefault="003D2C8C" w:rsidP="003D2C8C">
            <w:pPr>
              <w:jc w:val="center"/>
              <w:rPr>
                <w:rFonts w:cs="Arial"/>
                <w:sz w:val="20"/>
                <w:szCs w:val="20"/>
              </w:rPr>
            </w:pPr>
            <w:r>
              <w:rPr>
                <w:rFonts w:cs="Arial"/>
                <w:sz w:val="20"/>
                <w:szCs w:val="20"/>
              </w:rPr>
              <w:t>303</w:t>
            </w:r>
          </w:p>
        </w:tc>
      </w:tr>
      <w:tr w:rsidR="003D2C8C" w:rsidRPr="00FD623C" w14:paraId="77D12711" w14:textId="77777777" w:rsidTr="003D2C8C">
        <w:trPr>
          <w:trHeight w:val="300"/>
          <w:jc w:val="center"/>
        </w:trPr>
        <w:tc>
          <w:tcPr>
            <w:tcW w:w="7225" w:type="dxa"/>
            <w:tcBorders>
              <w:bottom w:val="single" w:sz="4" w:space="0" w:color="auto"/>
            </w:tcBorders>
            <w:shd w:val="clear" w:color="auto" w:fill="DEEAF6" w:themeFill="accent1" w:themeFillTint="33"/>
            <w:noWrap/>
            <w:vAlign w:val="center"/>
            <w:hideMark/>
          </w:tcPr>
          <w:p w14:paraId="39532E84" w14:textId="77777777" w:rsidR="003D2C8C" w:rsidRPr="00FD623C" w:rsidRDefault="003D2C8C" w:rsidP="003D2C8C">
            <w:pPr>
              <w:jc w:val="left"/>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udzielonych </w:t>
            </w:r>
            <w:r w:rsidRPr="00FD623C">
              <w:rPr>
                <w:rFonts w:eastAsia="Calibri" w:cs="Arial"/>
                <w:sz w:val="20"/>
                <w:szCs w:val="20"/>
              </w:rPr>
              <w:t xml:space="preserve">jako zamówienie zastrzeżone na usługi zdrowotne, społeczne lub kulturalne, o których mowa w </w:t>
            </w:r>
            <w:r w:rsidRPr="00E243E4">
              <w:rPr>
                <w:rFonts w:eastAsia="Calibri" w:cs="Arial"/>
                <w:sz w:val="20"/>
                <w:szCs w:val="20"/>
              </w:rPr>
              <w:t>art. 361 ust. 1 lub art. 392 ust. 3</w:t>
            </w:r>
            <w:r>
              <w:rPr>
                <w:rFonts w:eastAsia="Calibri" w:cs="Arial"/>
                <w:sz w:val="20"/>
                <w:szCs w:val="20"/>
              </w:rPr>
              <w:t xml:space="preserve"> </w:t>
            </w:r>
            <w:r w:rsidRPr="00FD623C">
              <w:rPr>
                <w:rFonts w:eastAsia="Calibri" w:cs="Arial"/>
                <w:sz w:val="20"/>
                <w:szCs w:val="20"/>
              </w:rPr>
              <w:t>ustawy Pzp</w:t>
            </w:r>
          </w:p>
        </w:tc>
        <w:tc>
          <w:tcPr>
            <w:tcW w:w="1837" w:type="dxa"/>
            <w:tcBorders>
              <w:bottom w:val="single" w:sz="4" w:space="0" w:color="auto"/>
            </w:tcBorders>
            <w:shd w:val="clear" w:color="auto" w:fill="DEEAF6" w:themeFill="accent1" w:themeFillTint="33"/>
            <w:vAlign w:val="center"/>
          </w:tcPr>
          <w:p w14:paraId="3AC61993" w14:textId="77777777" w:rsidR="003D2C8C" w:rsidRDefault="003D2C8C" w:rsidP="003D2C8C">
            <w:pPr>
              <w:jc w:val="center"/>
              <w:rPr>
                <w:rFonts w:cs="Arial"/>
                <w:sz w:val="20"/>
                <w:szCs w:val="20"/>
              </w:rPr>
            </w:pPr>
            <w:r w:rsidRPr="00472112">
              <w:rPr>
                <w:rFonts w:cs="Arial"/>
                <w:sz w:val="20"/>
                <w:szCs w:val="20"/>
              </w:rPr>
              <w:t>608</w:t>
            </w:r>
            <w:r>
              <w:rPr>
                <w:rFonts w:cs="Arial"/>
                <w:sz w:val="20"/>
                <w:szCs w:val="20"/>
              </w:rPr>
              <w:t xml:space="preserve"> </w:t>
            </w:r>
            <w:r w:rsidRPr="00472112">
              <w:rPr>
                <w:rFonts w:cs="Arial"/>
                <w:sz w:val="20"/>
                <w:szCs w:val="20"/>
              </w:rPr>
              <w:t>925</w:t>
            </w:r>
            <w:r>
              <w:rPr>
                <w:rFonts w:cs="Arial"/>
                <w:sz w:val="20"/>
                <w:szCs w:val="20"/>
              </w:rPr>
              <w:t xml:space="preserve"> </w:t>
            </w:r>
            <w:r w:rsidRPr="00472112">
              <w:rPr>
                <w:rFonts w:cs="Arial"/>
                <w:sz w:val="20"/>
                <w:szCs w:val="20"/>
              </w:rPr>
              <w:t>460,49</w:t>
            </w:r>
            <w:r>
              <w:rPr>
                <w:rFonts w:cs="Arial"/>
                <w:sz w:val="20"/>
                <w:szCs w:val="20"/>
              </w:rPr>
              <w:t xml:space="preserve"> </w:t>
            </w:r>
            <w:r w:rsidRPr="007845D1">
              <w:rPr>
                <w:rFonts w:cs="Arial"/>
                <w:sz w:val="20"/>
                <w:szCs w:val="20"/>
              </w:rPr>
              <w:t>zł</w:t>
            </w:r>
          </w:p>
          <w:p w14:paraId="42D96B9C" w14:textId="5CCFFAD0" w:rsidR="003D2C8C" w:rsidRPr="00FD5184" w:rsidRDefault="003D2C8C" w:rsidP="003D2C8C">
            <w:pPr>
              <w:jc w:val="center"/>
              <w:rPr>
                <w:rFonts w:cs="Arial"/>
                <w:sz w:val="20"/>
                <w:szCs w:val="20"/>
              </w:rPr>
            </w:pPr>
            <w:r w:rsidRPr="00FD623C">
              <w:rPr>
                <w:rFonts w:cs="Arial"/>
                <w:sz w:val="20"/>
                <w:szCs w:val="20"/>
              </w:rPr>
              <w:t>(wartość bez VAT)</w:t>
            </w:r>
          </w:p>
        </w:tc>
      </w:tr>
    </w:tbl>
    <w:p w14:paraId="410AAA3A" w14:textId="23D806B3" w:rsidR="004F0913" w:rsidRDefault="004F0913" w:rsidP="00A47E69">
      <w:pPr>
        <w:pStyle w:val="Legenda"/>
        <w:spacing w:before="240"/>
      </w:pPr>
      <w:bookmarkStart w:id="139" w:name="_Toc141276492"/>
      <w:bookmarkStart w:id="140" w:name="_Toc203993356"/>
      <w:bookmarkStart w:id="141" w:name="_Toc233203350"/>
      <w:r w:rsidRPr="001D48D0">
        <w:lastRenderedPageBreak/>
        <w:t xml:space="preserve">Rys. </w:t>
      </w:r>
      <w:fldSimple w:instr=" SEQ Rys. \* ARABIC ">
        <w:r w:rsidR="00017C65">
          <w:rPr>
            <w:noProof/>
          </w:rPr>
          <w:t>29</w:t>
        </w:r>
      </w:fldSimple>
      <w:r w:rsidRPr="001D48D0">
        <w:t>. Liczba zamówień, w których zastosowano odpowiednie aspekty społeczne</w:t>
      </w:r>
      <w:bookmarkEnd w:id="139"/>
      <w:bookmarkEnd w:id="140"/>
      <w:bookmarkEnd w:id="141"/>
    </w:p>
    <w:p w14:paraId="09995D91" w14:textId="00E8751E" w:rsidR="004F0913" w:rsidRDefault="00D20C98" w:rsidP="009E1BCE">
      <w:pPr>
        <w:shd w:val="clear" w:color="auto" w:fill="FFFFFF"/>
        <w:spacing w:before="240" w:line="360" w:lineRule="auto"/>
        <w:jc w:val="left"/>
      </w:pPr>
      <w:r>
        <w:rPr>
          <w:noProof/>
        </w:rPr>
        <w:drawing>
          <wp:inline distT="0" distB="0" distL="0" distR="0" wp14:anchorId="70E1BAF0" wp14:editId="199050DA">
            <wp:extent cx="5212080" cy="5223510"/>
            <wp:effectExtent l="0" t="0" r="7620" b="15240"/>
            <wp:docPr id="748819525" name="Wykres 1" descr="Liczba zamówień, w których zastosowano odpowiednie aspekty społeczne" title="Liczba zamówień, w których zastosowano odpowiednie aspekty społeczne">
              <a:extLst xmlns:a="http://schemas.openxmlformats.org/drawingml/2006/main">
                <a:ext uri="{FF2B5EF4-FFF2-40B4-BE49-F238E27FC236}">
                  <a16:creationId xmlns:a16="http://schemas.microsoft.com/office/drawing/2014/main" id="{64B1B099-0882-3A63-4C75-2F7BA1A60E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EEA16ED" w14:textId="4CFB9509" w:rsidR="004F0913" w:rsidRDefault="004F0913" w:rsidP="0026657C">
      <w:pPr>
        <w:pStyle w:val="Legenda"/>
        <w:spacing w:before="240"/>
      </w:pPr>
      <w:bookmarkStart w:id="142" w:name="_Toc141276493"/>
      <w:bookmarkStart w:id="143" w:name="_Toc203993357"/>
      <w:bookmarkStart w:id="144" w:name="_Toc233203351"/>
      <w:r w:rsidRPr="005275CC">
        <w:lastRenderedPageBreak/>
        <w:t xml:space="preserve">Rys. </w:t>
      </w:r>
      <w:fldSimple w:instr=" SEQ Rys. \* ARABIC ">
        <w:r w:rsidR="00017C65">
          <w:rPr>
            <w:noProof/>
          </w:rPr>
          <w:t>30</w:t>
        </w:r>
      </w:fldSimple>
      <w:r w:rsidRPr="005275CC">
        <w:t>. Wartość zamówień, w których zastosowano odpowiednie aspekty społeczne</w:t>
      </w:r>
      <w:bookmarkEnd w:id="142"/>
      <w:bookmarkEnd w:id="143"/>
      <w:bookmarkEnd w:id="144"/>
    </w:p>
    <w:p w14:paraId="390FA5AB" w14:textId="65F14B81" w:rsidR="004F0913" w:rsidRDefault="004F31FC" w:rsidP="009E1BCE">
      <w:pPr>
        <w:shd w:val="clear" w:color="auto" w:fill="FFFFFF"/>
        <w:spacing w:before="240" w:line="360" w:lineRule="auto"/>
        <w:jc w:val="left"/>
      </w:pPr>
      <w:r>
        <w:rPr>
          <w:noProof/>
        </w:rPr>
        <w:drawing>
          <wp:inline distT="0" distB="0" distL="0" distR="0" wp14:anchorId="74EA8E98" wp14:editId="29D249D4">
            <wp:extent cx="5135880" cy="5627370"/>
            <wp:effectExtent l="0" t="0" r="7620" b="11430"/>
            <wp:docPr id="861216377" name="Wykres 1" descr="Wartość zamówień, w których zastosowano odpowiednie aspekty społeczne" title="Wartość zamówień, w których zastosowano odpowiednie aspekty społeczne">
              <a:extLst xmlns:a="http://schemas.openxmlformats.org/drawingml/2006/main">
                <a:ext uri="{FF2B5EF4-FFF2-40B4-BE49-F238E27FC236}">
                  <a16:creationId xmlns:a16="http://schemas.microsoft.com/office/drawing/2014/main" id="{09EC85AA-21DC-6E86-DA24-C04BD655B7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497836E" w14:textId="255D5BD9" w:rsidR="009E1BCE" w:rsidRPr="009E1BCE" w:rsidRDefault="009E1BCE" w:rsidP="009E1BCE">
      <w:pPr>
        <w:shd w:val="clear" w:color="auto" w:fill="FFFFFF"/>
        <w:spacing w:before="240" w:line="360" w:lineRule="auto"/>
        <w:jc w:val="left"/>
      </w:pPr>
      <w:r w:rsidRPr="009E1BCE">
        <w:t xml:space="preserve">W zdecydowanej większości społecznych zamówień publicznych udzielonych w 2025 r. zamawiający zastosowali instrument prawny z art. 95 ust. 1 ustawy Pzp. Określenie wymagań związanych z realizacją zamówienia w zakresie zatrudnienia na podstawie stosunku pracy odpowiadało również za największą wartość społecznych zamówień publicznych. W odniesieniu do liczby zamówień, w których uwzględniono ten instrument społeczny, odnotowano wzrost – o 1 449 zamówień w porównaniu do roku 2024. Spadła jednak wartość zamówień, w których zastosowano ten aspekt społeczny – ok. 19,5 mld zł (bez VAT). </w:t>
      </w:r>
    </w:p>
    <w:p w14:paraId="6399CF47" w14:textId="697D0232" w:rsidR="009E1BCE" w:rsidRPr="009E1BCE" w:rsidRDefault="009E1BCE" w:rsidP="009E1BCE">
      <w:pPr>
        <w:shd w:val="clear" w:color="auto" w:fill="FFFFFF"/>
        <w:spacing w:before="120" w:line="360" w:lineRule="auto"/>
        <w:jc w:val="left"/>
      </w:pPr>
      <w:r w:rsidRPr="009E1BCE">
        <w:t xml:space="preserve">Drugim pod względem liczby i wartości aspektem społecznym uwzględnianym w zamówieniach publicznych było określenie w opisie przedmiotu zamówienia wymagań w zakresie dostępności i projektowania z przeznaczeniem dla wszystkich użytkowników, </w:t>
      </w:r>
      <w:r w:rsidRPr="009E1BCE">
        <w:lastRenderedPageBreak/>
        <w:t>zgodnie z art. 100 ust. 1 ustawy Pzp. W przypadku tego instrumentu liczba zamówień, w których go uwzględniono</w:t>
      </w:r>
      <w:r w:rsidR="00FC5022">
        <w:t>,</w:t>
      </w:r>
      <w:r w:rsidRPr="009E1BCE">
        <w:t xml:space="preserve"> wzrosła w porównaniu do 2024 r. – o 1 711 przypadków. Spadła jednak wartość zamówień w tym zakresie, która w porównaniu do roku 2024 była mniejsza o ok. 11,5 mld zł. </w:t>
      </w:r>
    </w:p>
    <w:p w14:paraId="1EB1B91A" w14:textId="3DD8E063" w:rsidR="009E1BCE" w:rsidRPr="009E1BCE" w:rsidRDefault="009E1BCE" w:rsidP="009E1BCE">
      <w:pPr>
        <w:shd w:val="clear" w:color="auto" w:fill="FFFFFF"/>
        <w:spacing w:before="120" w:line="360" w:lineRule="auto"/>
        <w:jc w:val="left"/>
      </w:pPr>
      <w:r w:rsidRPr="009E1BCE">
        <w:t>Społeczne kryteria oceny ofert (w oparciu o art. 242 ust. 2 ustawy Pzp) to trzeci najbardziej popularny instrument społeczny. Liczba zamówień, w których zastosowano kryteria oceny ofert o charakterze społecznym</w:t>
      </w:r>
      <w:r w:rsidR="00FC5022">
        <w:t>,</w:t>
      </w:r>
      <w:r w:rsidRPr="009E1BCE">
        <w:t xml:space="preserve"> wzrosła w porównaniu do roku 2024 o 496 zamówień. Przełożyło się to również na wzrost wartości takich zamówień, która w 2025 roku była wyższa o 75,74 mln zł w porównaniu do roku 2024. Pod względem wartości zamówienia, w</w:t>
      </w:r>
      <w:r w:rsidR="00FC5022">
        <w:t> </w:t>
      </w:r>
      <w:r w:rsidRPr="009E1BCE">
        <w:t>których zastosowano ten instrument</w:t>
      </w:r>
      <w:r w:rsidR="00FC5022">
        <w:t>,</w:t>
      </w:r>
      <w:r w:rsidRPr="009E1BCE">
        <w:t xml:space="preserve"> uplasowały się na czwartym miejscu.</w:t>
      </w:r>
    </w:p>
    <w:p w14:paraId="2316D9E9" w14:textId="59E545A6" w:rsidR="009E1BCE" w:rsidRPr="009E1BCE" w:rsidRDefault="009E1BCE" w:rsidP="009E1BCE">
      <w:pPr>
        <w:shd w:val="clear" w:color="auto" w:fill="FFFFFF"/>
        <w:spacing w:before="120" w:line="360" w:lineRule="auto"/>
        <w:jc w:val="left"/>
      </w:pPr>
      <w:r w:rsidRPr="009E1BCE">
        <w:t>Popularność pewnych instrumentów społecznych oraz częstotliwość ich zastosowania w</w:t>
      </w:r>
      <w:r w:rsidR="00FC5022">
        <w:t> </w:t>
      </w:r>
      <w:r w:rsidRPr="009E1BCE">
        <w:t xml:space="preserve">udzielonych zamówieniach wynika w dużej mierze z ich obligatoryjnego charakteru. Dotyczy to przede wszystkim instrumentów prawnych z art. 95 ust. 1 oraz art. 100 ust. 1 ustawy Pzp. Na ustanowienie społecznych kryteriów oceny ofert w części udzielonych zamówień publicznych wpływ mogą mieć z kolei przepisy art. 246 ust. 2 ustawy Pzp zobowiązujące zamawiających do stosowania </w:t>
      </w:r>
      <w:proofErr w:type="spellStart"/>
      <w:r w:rsidRPr="009E1BCE">
        <w:t>pozacenowych</w:t>
      </w:r>
      <w:proofErr w:type="spellEnd"/>
      <w:r w:rsidRPr="009E1BCE">
        <w:t xml:space="preserve"> kryteriów oceny ofert oraz przypisania im odpowiednio wysokiej wagi. </w:t>
      </w:r>
    </w:p>
    <w:p w14:paraId="3EB293B7" w14:textId="0DD5DF6B" w:rsidR="009E1BCE" w:rsidRPr="009E1BCE" w:rsidRDefault="009E1BCE" w:rsidP="009E1BCE">
      <w:pPr>
        <w:shd w:val="clear" w:color="auto" w:fill="FFFFFF"/>
        <w:spacing w:before="120" w:line="360" w:lineRule="auto"/>
        <w:jc w:val="left"/>
      </w:pPr>
      <w:r w:rsidRPr="009E1BCE">
        <w:t xml:space="preserve">Na czwartym miejscu pod względem liczby zamówień, znalazły się zamówienia, w których zastosowano rozwiązanie prawne z art. 96 ust. 1 ustawy Pzp umożliwiające ustanowienie społecznych wymagań związanych z realizacją zamówienia, w tym wymagań dotyczących zatrudnienia osób z grup </w:t>
      </w:r>
      <w:proofErr w:type="spellStart"/>
      <w:r w:rsidRPr="009E1BCE">
        <w:t>defaworyzowanych</w:t>
      </w:r>
      <w:proofErr w:type="spellEnd"/>
      <w:r w:rsidRPr="009E1BCE">
        <w:t>. W przypadku tego aspektu społecznego, w porównaniu do danych za 2024 rok, odnotowano wzrost w odniesieniu do liczby zamówień – o 233 przypadki</w:t>
      </w:r>
      <w:r w:rsidR="00FC5022">
        <w:t xml:space="preserve"> -</w:t>
      </w:r>
      <w:r w:rsidRPr="009E1BCE">
        <w:t xml:space="preserve"> oraz wartości – aż o ponad 1 mld zł. Dzięki znaczącemu wzrostowi wartości zamówienia, w których zastosowano instrument z art. 96, zajęły trzecie miejsce</w:t>
      </w:r>
      <w:r w:rsidR="00FC5022">
        <w:t>,</w:t>
      </w:r>
      <w:r w:rsidRPr="009E1BCE">
        <w:t xml:space="preserve"> wyprzedzając kryteria oceny ofert.</w:t>
      </w:r>
    </w:p>
    <w:p w14:paraId="63D9A5AD" w14:textId="5F808A5A" w:rsidR="009E1BCE" w:rsidRPr="009E1BCE" w:rsidRDefault="009E1BCE" w:rsidP="009E1BCE">
      <w:pPr>
        <w:shd w:val="clear" w:color="auto" w:fill="FFFFFF"/>
        <w:spacing w:before="120" w:line="360" w:lineRule="auto"/>
        <w:jc w:val="left"/>
      </w:pPr>
      <w:r w:rsidRPr="009E1BCE">
        <w:t>Zastosowanie pozostałych instrumentów społecznych, które przewidują przepisy ustawy Pzp, miało jedynie charakter incydentalny. W 2025 r. udzielono 321 zamówień zastrzeżonych (na podst. art. 94 ust. 1 ustawy Pzp). Zarówno w zakresie liczby takich zamówień, jak i ich wartości odnotowano wzrost – odpowiednio o 100 zamówień oraz ok. 127,5 mln zł w porównaniu do 2024 roku. Z możliwości bezpośredniego odwołania do oznakowania o charakterze społecznym albo innego przedmiotowego środka dowodowego, o których mowa w art. 104 ustawy Pzp</w:t>
      </w:r>
      <w:r w:rsidR="00FC5022">
        <w:t>,</w:t>
      </w:r>
      <w:r w:rsidRPr="009E1BCE">
        <w:t xml:space="preserve"> skorzystano w 279 przypadkach zamówień publicznych, co oznacza wzrost - o 25 zamówień w porównaniu do roku 2024. Blisko trzykrotnie wzrosła wartość zamówień, w których zastosowano ten instrument (o ok. 693 mln zł). W przypadku zamówień zastrzeżonych na usługi zdrowotne, społeczne i kulturalne liczba </w:t>
      </w:r>
      <w:r w:rsidRPr="009E1BCE">
        <w:lastRenderedPageBreak/>
        <w:t>zamówień wyniosła 667, a więc o 91 przypadków więcej w porównaniu do roku 2024. W</w:t>
      </w:r>
      <w:r w:rsidR="00FC5022">
        <w:t> </w:t>
      </w:r>
      <w:r w:rsidRPr="009E1BCE">
        <w:t>zakresie tego instrumentu odnotowano również wzrost wartości zamówień – o blisko 131 mln zł.</w:t>
      </w:r>
    </w:p>
    <w:p w14:paraId="2FB5C1A7" w14:textId="353386B5" w:rsidR="009E1BCE" w:rsidRDefault="009E1BCE" w:rsidP="009E1BCE">
      <w:pPr>
        <w:shd w:val="clear" w:color="auto" w:fill="FFFFFF"/>
        <w:spacing w:before="120" w:line="360" w:lineRule="auto"/>
        <w:jc w:val="left"/>
      </w:pPr>
      <w:r w:rsidRPr="009E1BCE">
        <w:t>Należy zauważyć, że w przypadku wszystkich aspektów społecznych, zarówno obligatoryjnych, jak i fakultatywnych, liczba zamówień udzielonych w 2025 roku, w których je zastosowano wzrosła w porównaniu do roku 2024. Pod względem wartości odnotowano spadek w zakresie zamówień, w których zastosowano aspekty o charakterze obligatoryjnym. Warty podkreślenia jest jednak fakt, że w przypadku wszystkich instrumentów o charakterze nieobowiązkowym wartość udzielonych w 2025 roku zamówień, w których uwzględniono takie aspekty, wzrosła w porównaniu do roku 2024.</w:t>
      </w:r>
      <w:r w:rsidR="00FC5022">
        <w:t xml:space="preserve"> </w:t>
      </w:r>
    </w:p>
    <w:p w14:paraId="4EF9E5EE" w14:textId="44465018" w:rsidR="00151FAB" w:rsidRPr="00151FAB" w:rsidRDefault="00151FAB" w:rsidP="00151FAB">
      <w:pPr>
        <w:shd w:val="clear" w:color="auto" w:fill="FFFFFF"/>
        <w:spacing w:before="120" w:line="360" w:lineRule="auto"/>
        <w:jc w:val="left"/>
        <w:rPr>
          <w:i/>
        </w:rPr>
      </w:pPr>
      <w:r w:rsidRPr="00726902">
        <w:rPr>
          <w:i/>
        </w:rPr>
        <w:t xml:space="preserve">Dane dotyczące zamówień, w których zastosowano odpowiednie instrumenty prospołeczne, przedstawiono w </w:t>
      </w:r>
      <w:hyperlink w:anchor="_Załącznik_nr_2." w:history="1">
        <w:r w:rsidRPr="00726902">
          <w:rPr>
            <w:rStyle w:val="Hipercze"/>
            <w:i/>
          </w:rPr>
          <w:t xml:space="preserve">załączniku nr </w:t>
        </w:r>
        <w:r w:rsidR="00F35B10">
          <w:rPr>
            <w:rStyle w:val="Hipercze"/>
            <w:i/>
          </w:rPr>
          <w:t>1</w:t>
        </w:r>
      </w:hyperlink>
      <w:r w:rsidRPr="00726902">
        <w:rPr>
          <w:i/>
        </w:rPr>
        <w:t xml:space="preserve"> do niniejszego Sprawozdania.</w:t>
      </w:r>
    </w:p>
    <w:p w14:paraId="72308148" w14:textId="7208C5E7" w:rsidR="00245B26" w:rsidRPr="00C75625" w:rsidRDefault="003F6172" w:rsidP="00852522">
      <w:pPr>
        <w:pStyle w:val="Nagwek4"/>
      </w:pPr>
      <w:r w:rsidRPr="00C5625B">
        <w:t xml:space="preserve">2. </w:t>
      </w:r>
      <w:r w:rsidR="00245B26" w:rsidRPr="00C5625B">
        <w:t>Zielone zamówienia publiczne</w:t>
      </w:r>
    </w:p>
    <w:p w14:paraId="1B3D93A5" w14:textId="5E06CFAA" w:rsidR="000A11D1" w:rsidRDefault="000A11D1" w:rsidP="006C14EB">
      <w:pPr>
        <w:pStyle w:val="Legenda"/>
      </w:pPr>
      <w:bookmarkStart w:id="145" w:name="_Toc141276540"/>
      <w:bookmarkStart w:id="146" w:name="_Toc233203390"/>
      <w:r w:rsidRPr="000B1410">
        <w:t xml:space="preserve">Tab. </w:t>
      </w:r>
      <w:fldSimple w:instr=" SEQ Tab. \* ARABIC ">
        <w:r w:rsidR="00017C65">
          <w:rPr>
            <w:noProof/>
          </w:rPr>
          <w:t>18</w:t>
        </w:r>
      </w:fldSimple>
      <w:r w:rsidRPr="000B1410">
        <w:t>. Zielone zamówienia publiczne w 202</w:t>
      </w:r>
      <w:r w:rsidR="006E23D3">
        <w:t>5</w:t>
      </w:r>
      <w:r w:rsidRPr="000B1410">
        <w:t xml:space="preserve"> r.</w:t>
      </w:r>
      <w:r>
        <w:t xml:space="preserve"> </w:t>
      </w:r>
      <w:r w:rsidRPr="000B1410">
        <w:t>– dane ogólne</w:t>
      </w:r>
      <w:bookmarkEnd w:id="145"/>
      <w:bookmarkEnd w:id="14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w 2025 r. – dane ogólne."/>
        <w:tblDescription w:val="Tabela. Zielone zamówienia publiczne w 2025 r. – dane ogólne."/>
      </w:tblPr>
      <w:tblGrid>
        <w:gridCol w:w="6941"/>
        <w:gridCol w:w="2121"/>
      </w:tblGrid>
      <w:tr w:rsidR="00374042" w:rsidRPr="00284073" w14:paraId="76610EC5" w14:textId="77777777" w:rsidTr="00930CB8">
        <w:trPr>
          <w:trHeight w:val="300"/>
          <w:tblHeader/>
          <w:jc w:val="center"/>
        </w:trPr>
        <w:tc>
          <w:tcPr>
            <w:tcW w:w="9062" w:type="dxa"/>
            <w:gridSpan w:val="2"/>
            <w:shd w:val="clear" w:color="auto" w:fill="C5E0B3" w:themeFill="accent6" w:themeFillTint="66"/>
            <w:noWrap/>
            <w:vAlign w:val="center"/>
            <w:hideMark/>
          </w:tcPr>
          <w:p w14:paraId="36EB27C2" w14:textId="77777777" w:rsidR="00374042" w:rsidRPr="00284073" w:rsidRDefault="00374042" w:rsidP="00E4524F">
            <w:pPr>
              <w:jc w:val="center"/>
              <w:rPr>
                <w:rFonts w:cs="Arial"/>
                <w:b/>
                <w:sz w:val="20"/>
                <w:szCs w:val="20"/>
              </w:rPr>
            </w:pPr>
            <w:r w:rsidRPr="00284073">
              <w:rPr>
                <w:rFonts w:cs="Arial"/>
                <w:b/>
                <w:sz w:val="20"/>
                <w:szCs w:val="20"/>
              </w:rPr>
              <w:t>DANE OGÓLNE</w:t>
            </w:r>
          </w:p>
        </w:tc>
      </w:tr>
      <w:tr w:rsidR="00B46D90" w:rsidRPr="00284073" w14:paraId="0C114112" w14:textId="77777777" w:rsidTr="00930CB8">
        <w:trPr>
          <w:trHeight w:val="300"/>
          <w:jc w:val="center"/>
        </w:trPr>
        <w:tc>
          <w:tcPr>
            <w:tcW w:w="6941" w:type="dxa"/>
            <w:noWrap/>
            <w:vAlign w:val="center"/>
            <w:hideMark/>
          </w:tcPr>
          <w:p w14:paraId="04809ED8" w14:textId="77777777" w:rsidR="00B46D90" w:rsidRPr="00284073" w:rsidRDefault="00B46D90" w:rsidP="00B46D90">
            <w:pPr>
              <w:jc w:val="left"/>
              <w:rPr>
                <w:rFonts w:cs="Arial"/>
                <w:bCs/>
                <w:sz w:val="20"/>
                <w:szCs w:val="20"/>
              </w:rPr>
            </w:pPr>
            <w:r w:rsidRPr="00284073">
              <w:rPr>
                <w:rFonts w:cs="Arial"/>
                <w:bCs/>
                <w:sz w:val="20"/>
                <w:szCs w:val="20"/>
              </w:rPr>
              <w:t xml:space="preserve">Liczba zamawiających, którzy udzielili zamówień publicznych o charakterze środowiskowym </w:t>
            </w:r>
          </w:p>
        </w:tc>
        <w:tc>
          <w:tcPr>
            <w:tcW w:w="2121" w:type="dxa"/>
            <w:noWrap/>
            <w:vAlign w:val="center"/>
          </w:tcPr>
          <w:p w14:paraId="555A80EF" w14:textId="0226B954" w:rsidR="00B46D90" w:rsidRPr="00284073" w:rsidRDefault="00B46D90" w:rsidP="00B46D90">
            <w:pPr>
              <w:jc w:val="center"/>
              <w:rPr>
                <w:rFonts w:cs="Arial"/>
                <w:sz w:val="20"/>
                <w:szCs w:val="20"/>
              </w:rPr>
            </w:pPr>
            <w:r w:rsidRPr="00D40105">
              <w:rPr>
                <w:rFonts w:cs="Arial"/>
                <w:color w:val="000000"/>
                <w:sz w:val="20"/>
                <w:szCs w:val="20"/>
              </w:rPr>
              <w:t>828</w:t>
            </w:r>
          </w:p>
        </w:tc>
      </w:tr>
      <w:tr w:rsidR="00B46D90" w:rsidRPr="00284073" w14:paraId="78178D8B" w14:textId="77777777" w:rsidTr="00930CB8">
        <w:trPr>
          <w:trHeight w:val="300"/>
          <w:jc w:val="center"/>
        </w:trPr>
        <w:tc>
          <w:tcPr>
            <w:tcW w:w="6941" w:type="dxa"/>
            <w:shd w:val="clear" w:color="auto" w:fill="E2EFD9" w:themeFill="accent6" w:themeFillTint="33"/>
            <w:noWrap/>
            <w:vAlign w:val="center"/>
          </w:tcPr>
          <w:p w14:paraId="0CFA06C4" w14:textId="77777777" w:rsidR="00B46D90" w:rsidRPr="00284073" w:rsidRDefault="00B46D90" w:rsidP="00B46D90">
            <w:pPr>
              <w:jc w:val="left"/>
              <w:rPr>
                <w:rFonts w:cs="Arial"/>
                <w:bCs/>
                <w:sz w:val="20"/>
                <w:szCs w:val="20"/>
              </w:rPr>
            </w:pPr>
            <w:r w:rsidRPr="00284073">
              <w:rPr>
                <w:rFonts w:cs="Arial"/>
                <w:bCs/>
                <w:sz w:val="20"/>
                <w:szCs w:val="20"/>
              </w:rPr>
              <w:t xml:space="preserve">Liczba </w:t>
            </w:r>
            <w:r w:rsidRPr="00284073">
              <w:rPr>
                <w:rFonts w:cs="Arial"/>
                <w:sz w:val="20"/>
                <w:szCs w:val="20"/>
              </w:rPr>
              <w:t>udzielonych zamówień uwzględniających aspekty środowiskowe</w:t>
            </w:r>
          </w:p>
        </w:tc>
        <w:tc>
          <w:tcPr>
            <w:tcW w:w="2121" w:type="dxa"/>
            <w:shd w:val="clear" w:color="auto" w:fill="E2EFD9" w:themeFill="accent6" w:themeFillTint="33"/>
            <w:noWrap/>
            <w:vAlign w:val="center"/>
          </w:tcPr>
          <w:p w14:paraId="6EE23BA8" w14:textId="22A07DA5" w:rsidR="00B46D90" w:rsidRPr="00284073" w:rsidRDefault="00B46D90" w:rsidP="00B46D90">
            <w:pPr>
              <w:jc w:val="center"/>
              <w:rPr>
                <w:rFonts w:cs="Arial"/>
                <w:sz w:val="20"/>
                <w:szCs w:val="20"/>
              </w:rPr>
            </w:pPr>
            <w:r w:rsidRPr="00D40105">
              <w:rPr>
                <w:rFonts w:cs="Arial"/>
                <w:color w:val="000000"/>
                <w:sz w:val="20"/>
                <w:szCs w:val="20"/>
              </w:rPr>
              <w:t>4092</w:t>
            </w:r>
          </w:p>
        </w:tc>
      </w:tr>
      <w:tr w:rsidR="00B46D90" w:rsidRPr="00284073" w14:paraId="4F64D574" w14:textId="77777777" w:rsidTr="00374042">
        <w:trPr>
          <w:trHeight w:val="300"/>
          <w:jc w:val="center"/>
        </w:trPr>
        <w:tc>
          <w:tcPr>
            <w:tcW w:w="6941" w:type="dxa"/>
            <w:noWrap/>
            <w:vAlign w:val="center"/>
            <w:hideMark/>
          </w:tcPr>
          <w:p w14:paraId="3A9E14E4" w14:textId="77777777" w:rsidR="00B46D90" w:rsidRPr="00284073" w:rsidRDefault="00B46D90" w:rsidP="00B46D90">
            <w:pPr>
              <w:jc w:val="left"/>
              <w:rPr>
                <w:rFonts w:cs="Arial"/>
                <w:bCs/>
                <w:sz w:val="20"/>
                <w:szCs w:val="20"/>
              </w:rPr>
            </w:pPr>
            <w:r w:rsidRPr="00284073">
              <w:rPr>
                <w:rFonts w:cs="Arial"/>
                <w:bCs/>
                <w:sz w:val="20"/>
                <w:szCs w:val="20"/>
              </w:rPr>
              <w:t xml:space="preserve">Wartość </w:t>
            </w:r>
            <w:r w:rsidRPr="00284073">
              <w:rPr>
                <w:rFonts w:cs="Arial"/>
                <w:sz w:val="20"/>
                <w:szCs w:val="20"/>
              </w:rPr>
              <w:t>udzielonych zamówień uwzględniających aspekty środowiskowe</w:t>
            </w:r>
          </w:p>
        </w:tc>
        <w:tc>
          <w:tcPr>
            <w:tcW w:w="2121" w:type="dxa"/>
            <w:noWrap/>
            <w:vAlign w:val="center"/>
          </w:tcPr>
          <w:p w14:paraId="1E020ACB" w14:textId="0200EA48" w:rsidR="00B46D90" w:rsidRPr="00284073" w:rsidRDefault="00B46D90" w:rsidP="00B46D90">
            <w:pPr>
              <w:jc w:val="center"/>
              <w:rPr>
                <w:rFonts w:cs="Arial"/>
                <w:sz w:val="20"/>
                <w:szCs w:val="20"/>
              </w:rPr>
            </w:pPr>
            <w:r w:rsidRPr="00D40105">
              <w:rPr>
                <w:rFonts w:cs="Arial"/>
                <w:color w:val="000000"/>
                <w:sz w:val="20"/>
                <w:szCs w:val="20"/>
              </w:rPr>
              <w:t xml:space="preserve">27 063 291 316,51 zł </w:t>
            </w:r>
            <w:r w:rsidRPr="00D40105">
              <w:rPr>
                <w:rFonts w:cs="Arial"/>
                <w:sz w:val="20"/>
                <w:szCs w:val="20"/>
              </w:rPr>
              <w:t>(wartość bez VAT)</w:t>
            </w:r>
          </w:p>
        </w:tc>
      </w:tr>
    </w:tbl>
    <w:p w14:paraId="6FF77014" w14:textId="111F7756" w:rsidR="004F748B" w:rsidRPr="004F748B" w:rsidRDefault="004F748B" w:rsidP="004F748B">
      <w:pPr>
        <w:shd w:val="clear" w:color="auto" w:fill="FFFFFF" w:themeFill="background1"/>
        <w:spacing w:before="240" w:line="360" w:lineRule="auto"/>
        <w:jc w:val="left"/>
      </w:pPr>
      <w:r w:rsidRPr="004F748B">
        <w:t xml:space="preserve">W 2025 r. 828 zamawiających udzieliło 4092 zamówienia publiczne uwzględniające aspekty środowiskowe o łącznej wartości 27 063 291 316,51 zł (bez podatku od towarów i usług). W porównaniu z rokiem 2024 oznacza to spadek liczby zamówień zielonych aż o 238 zamówień przy jednoczesnym spadku ich wartości o 5 843 906 176,94 zł (bez podatku od towarów i usług). Wzrostowi o 114 podmiotów uległa natomiast liczba zamawiających, którzy </w:t>
      </w:r>
      <w:r w:rsidRPr="00254D42">
        <w:t>udzielili zielonych zamówień w 2025 r. Udział zielonych w ogólnej liczbie udzielonych w 2025</w:t>
      </w:r>
      <w:r w:rsidR="00171E6E" w:rsidRPr="00254D42">
        <w:t> </w:t>
      </w:r>
      <w:r w:rsidRPr="00254D42">
        <w:t xml:space="preserve">r. zamówień publicznych wyniósł </w:t>
      </w:r>
      <w:r w:rsidR="00254D42" w:rsidRPr="00254D42">
        <w:t>2</w:t>
      </w:r>
      <w:r w:rsidRPr="00254D42">
        <w:t xml:space="preserve">%, podczas gdy ich wartość stanowiła </w:t>
      </w:r>
      <w:r w:rsidR="00254D42" w:rsidRPr="00254D42">
        <w:t>8</w:t>
      </w:r>
      <w:r w:rsidRPr="00254D42">
        <w:t>% łącznej wartości udzielonych zamówień publicznych.</w:t>
      </w:r>
    </w:p>
    <w:p w14:paraId="066DE457" w14:textId="3B67AA62" w:rsidR="00CF5AF4" w:rsidRPr="00CF5AF4" w:rsidRDefault="00CF5AF4" w:rsidP="00CF5AF4">
      <w:pPr>
        <w:shd w:val="clear" w:color="auto" w:fill="FFFFFF" w:themeFill="background1"/>
        <w:spacing w:before="120" w:line="360" w:lineRule="auto"/>
        <w:jc w:val="left"/>
      </w:pPr>
      <w:r w:rsidRPr="00CF5AF4">
        <w:t xml:space="preserve">Instrumenty </w:t>
      </w:r>
      <w:proofErr w:type="spellStart"/>
      <w:r w:rsidRPr="00CF5AF4">
        <w:t>prośrodowiskowe</w:t>
      </w:r>
      <w:proofErr w:type="spellEnd"/>
      <w:r w:rsidRPr="00CF5AF4">
        <w:t xml:space="preserve"> najczęściej stosowano w zamówieniach na dostawy, podczas gdy w poprzednich latach największą liczbę zielonych zamówień stanowiły zamówienia na usługi. W zamówieniach na dostawy najczęściej stosowano </w:t>
      </w:r>
      <w:r w:rsidRPr="00CF5AF4">
        <w:rPr>
          <w:bCs/>
        </w:rPr>
        <w:t xml:space="preserve">opis przedmiotu zamówienia zawierający wymagania środowiskowe oraz środowiskowe kryteria oceny ofert. </w:t>
      </w:r>
      <w:r w:rsidRPr="00CF5AF4">
        <w:t xml:space="preserve">Z kolei w przypadku zamówień na usługi najczęściej </w:t>
      </w:r>
      <w:r w:rsidRPr="00CF5AF4">
        <w:rPr>
          <w:bCs/>
        </w:rPr>
        <w:t>stosowano środowiskowe wymagania związane z</w:t>
      </w:r>
      <w:r w:rsidR="00171E6E">
        <w:rPr>
          <w:bCs/>
        </w:rPr>
        <w:t> </w:t>
      </w:r>
      <w:r w:rsidRPr="00CF5AF4">
        <w:rPr>
          <w:bCs/>
        </w:rPr>
        <w:t xml:space="preserve">realizacją zamówienia oraz </w:t>
      </w:r>
      <w:r w:rsidRPr="00CF5AF4">
        <w:t>dokonywano o</w:t>
      </w:r>
      <w:r w:rsidRPr="00CF5AF4">
        <w:rPr>
          <w:bCs/>
        </w:rPr>
        <w:t>kreślenia w opisie przedmiotu zamówienia wymagań środowiskowych</w:t>
      </w:r>
      <w:r w:rsidRPr="00CF5AF4">
        <w:t xml:space="preserve">. W robotach budowlanych do najczęściej stosowanych </w:t>
      </w:r>
      <w:r w:rsidRPr="00CF5AF4">
        <w:lastRenderedPageBreak/>
        <w:t>instrumentów należały wymagania środowiskowe ujmowane w ramach opisu przedmiotu zamówienia oraz środowiskowe wymagania związane z realizacją zamówienia.</w:t>
      </w:r>
      <w:r w:rsidRPr="00CF5AF4">
        <w:rPr>
          <w:bCs/>
        </w:rPr>
        <w:t xml:space="preserve"> </w:t>
      </w:r>
    </w:p>
    <w:p w14:paraId="127EB43C" w14:textId="0B4D414F" w:rsidR="00CF5AF4" w:rsidRPr="00CF5AF4" w:rsidRDefault="00CF5AF4" w:rsidP="00CF5AF4">
      <w:pPr>
        <w:shd w:val="clear" w:color="auto" w:fill="FFFFFF" w:themeFill="background1"/>
        <w:spacing w:before="120" w:line="360" w:lineRule="auto"/>
        <w:jc w:val="left"/>
      </w:pPr>
      <w:r w:rsidRPr="00CF5AF4">
        <w:t>Poniższe tabele prezentują zestawienie szczegółowych danych dotyczących zarówno liczby</w:t>
      </w:r>
      <w:r w:rsidR="00171E6E">
        <w:t>,</w:t>
      </w:r>
      <w:r w:rsidRPr="00CF5AF4">
        <w:t xml:space="preserve"> jak i wartości zamówień, w których zastosowano poszczególne instrumenty, dodatkowo w</w:t>
      </w:r>
      <w:r w:rsidR="00171E6E">
        <w:t> </w:t>
      </w:r>
      <w:r w:rsidRPr="00CF5AF4">
        <w:t>podziale na rodzaj zamówienia.</w:t>
      </w:r>
    </w:p>
    <w:p w14:paraId="4D7ECB17" w14:textId="77777777" w:rsidR="003D3431" w:rsidRPr="00401A48" w:rsidRDefault="003D3431" w:rsidP="00852522">
      <w:pPr>
        <w:pStyle w:val="Nagwek4"/>
      </w:pPr>
      <w:bookmarkStart w:id="147" w:name="_Toc141276541"/>
      <w:r>
        <w:t>2.1. Określenie w opisie przedmiotu zamówienia wymagań środowiskowych zgodnie z art. 101 ustawy Pzp</w:t>
      </w:r>
    </w:p>
    <w:p w14:paraId="62DE1AF4" w14:textId="1FDF403D" w:rsidR="00D917DA" w:rsidRPr="00284073" w:rsidRDefault="00D917DA" w:rsidP="006C14EB">
      <w:pPr>
        <w:pStyle w:val="Legenda"/>
      </w:pPr>
      <w:bookmarkStart w:id="148" w:name="_Toc233203391"/>
      <w:r w:rsidRPr="009477E4">
        <w:t xml:space="preserve">Tab. </w:t>
      </w:r>
      <w:fldSimple w:instr=" SEQ Tab. \* ARABIC ">
        <w:r w:rsidR="00017C65">
          <w:rPr>
            <w:noProof/>
          </w:rPr>
          <w:t>19</w:t>
        </w:r>
      </w:fldSimple>
      <w:r w:rsidRPr="009477E4">
        <w:t>. Zielone zamówienia publiczne z zastosowaniem art. 101 ustawy Pzp</w:t>
      </w:r>
      <w:bookmarkEnd w:id="147"/>
      <w:bookmarkEnd w:id="14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101 ustawy Pzp."/>
        <w:tblDescription w:val="Tabela. Zielone zamówienia publiczne z zastosowaniem art. 101 ustawy Pzp."/>
      </w:tblPr>
      <w:tblGrid>
        <w:gridCol w:w="6799"/>
        <w:gridCol w:w="2263"/>
      </w:tblGrid>
      <w:tr w:rsidR="00CF5AF4" w:rsidRPr="00487C10" w14:paraId="161D6F76" w14:textId="77777777" w:rsidTr="00CF5AF4">
        <w:trPr>
          <w:trHeight w:val="300"/>
          <w:jc w:val="center"/>
        </w:trPr>
        <w:tc>
          <w:tcPr>
            <w:tcW w:w="6799" w:type="dxa"/>
            <w:shd w:val="clear" w:color="auto" w:fill="E2EFD9"/>
            <w:noWrap/>
            <w:vAlign w:val="center"/>
          </w:tcPr>
          <w:p w14:paraId="17D89E0A" w14:textId="77777777" w:rsidR="00CF5AF4" w:rsidRPr="00487C10" w:rsidRDefault="00CF5AF4" w:rsidP="00CF5AF4">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263" w:type="dxa"/>
            <w:shd w:val="clear" w:color="auto" w:fill="E2EFD9"/>
            <w:vAlign w:val="center"/>
          </w:tcPr>
          <w:p w14:paraId="0D1614F9" w14:textId="50C1C6B7" w:rsidR="00CF5AF4" w:rsidRPr="00487C10" w:rsidRDefault="00CF5AF4" w:rsidP="00CF5AF4">
            <w:pPr>
              <w:jc w:val="center"/>
              <w:rPr>
                <w:rFonts w:cs="Arial"/>
                <w:sz w:val="20"/>
                <w:szCs w:val="20"/>
              </w:rPr>
            </w:pPr>
            <w:r w:rsidRPr="00D40105">
              <w:rPr>
                <w:rFonts w:cs="Arial"/>
                <w:color w:val="000000"/>
                <w:sz w:val="20"/>
                <w:szCs w:val="20"/>
              </w:rPr>
              <w:t>2</w:t>
            </w:r>
            <w:r>
              <w:rPr>
                <w:rFonts w:cs="Arial"/>
                <w:color w:val="000000"/>
                <w:sz w:val="20"/>
                <w:szCs w:val="20"/>
              </w:rPr>
              <w:t xml:space="preserve"> </w:t>
            </w:r>
            <w:r w:rsidRPr="00D40105">
              <w:rPr>
                <w:rFonts w:cs="Arial"/>
                <w:color w:val="000000"/>
                <w:sz w:val="20"/>
                <w:szCs w:val="20"/>
              </w:rPr>
              <w:t>326</w:t>
            </w:r>
          </w:p>
        </w:tc>
      </w:tr>
      <w:tr w:rsidR="00CF5AF4" w:rsidRPr="00487C10" w14:paraId="21059D66" w14:textId="77777777" w:rsidTr="00CF5AF4">
        <w:trPr>
          <w:trHeight w:val="300"/>
          <w:jc w:val="center"/>
        </w:trPr>
        <w:tc>
          <w:tcPr>
            <w:tcW w:w="6799" w:type="dxa"/>
            <w:noWrap/>
            <w:vAlign w:val="center"/>
            <w:hideMark/>
          </w:tcPr>
          <w:p w14:paraId="0249CD06" w14:textId="77777777" w:rsidR="00CF5AF4" w:rsidRPr="00487C10" w:rsidRDefault="00CF5AF4" w:rsidP="00CF5AF4">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263" w:type="dxa"/>
            <w:vAlign w:val="center"/>
          </w:tcPr>
          <w:p w14:paraId="1E6741CE" w14:textId="77777777" w:rsidR="00CF5AF4" w:rsidRPr="00D40105" w:rsidRDefault="00CF5AF4" w:rsidP="00CF5AF4">
            <w:pPr>
              <w:jc w:val="center"/>
              <w:rPr>
                <w:rFonts w:cs="Arial"/>
                <w:sz w:val="20"/>
                <w:szCs w:val="20"/>
              </w:rPr>
            </w:pPr>
            <w:r w:rsidRPr="00D40105">
              <w:rPr>
                <w:rFonts w:cs="Arial"/>
                <w:color w:val="000000"/>
                <w:sz w:val="20"/>
                <w:szCs w:val="20"/>
              </w:rPr>
              <w:t xml:space="preserve">10 680 522 237,16 </w:t>
            </w:r>
            <w:r w:rsidRPr="00D40105">
              <w:rPr>
                <w:rFonts w:cs="Arial"/>
                <w:sz w:val="20"/>
                <w:szCs w:val="20"/>
              </w:rPr>
              <w:t>zł</w:t>
            </w:r>
          </w:p>
          <w:p w14:paraId="6754D417" w14:textId="7A544BEE" w:rsidR="00CF5AF4" w:rsidRPr="00487C10" w:rsidRDefault="00CF5AF4" w:rsidP="00CF5AF4">
            <w:pPr>
              <w:jc w:val="center"/>
              <w:rPr>
                <w:rFonts w:cs="Arial"/>
                <w:sz w:val="20"/>
                <w:szCs w:val="20"/>
              </w:rPr>
            </w:pPr>
            <w:r w:rsidRPr="00D40105">
              <w:rPr>
                <w:rFonts w:cs="Arial"/>
                <w:sz w:val="20"/>
                <w:szCs w:val="20"/>
              </w:rPr>
              <w:t>(wartość bez VAT)</w:t>
            </w:r>
          </w:p>
        </w:tc>
      </w:tr>
    </w:tbl>
    <w:p w14:paraId="6F741470" w14:textId="229E3EBE" w:rsidR="00401A48" w:rsidRDefault="00401A48"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101 ustawy Pzp."/>
        <w:tblDescription w:val="Tabela. Zielone zamówienia publiczne z zastosowaniem art. 101 ustawy Pzp."/>
      </w:tblPr>
      <w:tblGrid>
        <w:gridCol w:w="2547"/>
        <w:gridCol w:w="1843"/>
        <w:gridCol w:w="4677"/>
      </w:tblGrid>
      <w:tr w:rsidR="00A06377" w:rsidRPr="00487C10" w14:paraId="2A5F3389" w14:textId="77777777" w:rsidTr="007C3E50">
        <w:trPr>
          <w:trHeight w:val="300"/>
          <w:tblHeader/>
          <w:jc w:val="center"/>
        </w:trPr>
        <w:tc>
          <w:tcPr>
            <w:tcW w:w="2547" w:type="dxa"/>
            <w:shd w:val="clear" w:color="auto" w:fill="C5E0B3" w:themeFill="accent6" w:themeFillTint="66"/>
            <w:noWrap/>
            <w:vAlign w:val="center"/>
          </w:tcPr>
          <w:p w14:paraId="5B4811FA" w14:textId="77777777" w:rsidR="00A06377" w:rsidRPr="00487C10" w:rsidRDefault="00A06377" w:rsidP="007C3E50">
            <w:pPr>
              <w:jc w:val="center"/>
              <w:rPr>
                <w:rFonts w:cs="Arial"/>
                <w:b/>
                <w:sz w:val="20"/>
                <w:szCs w:val="20"/>
              </w:rPr>
            </w:pPr>
            <w:r w:rsidRPr="00487C10">
              <w:rPr>
                <w:rFonts w:cs="Arial"/>
                <w:b/>
                <w:bCs/>
                <w:sz w:val="20"/>
                <w:szCs w:val="20"/>
              </w:rPr>
              <w:t>Rodzaj zamówienia</w:t>
            </w:r>
          </w:p>
        </w:tc>
        <w:tc>
          <w:tcPr>
            <w:tcW w:w="1843" w:type="dxa"/>
            <w:shd w:val="clear" w:color="auto" w:fill="C5E0B3" w:themeFill="accent6" w:themeFillTint="66"/>
            <w:vAlign w:val="center"/>
          </w:tcPr>
          <w:p w14:paraId="76E688BF" w14:textId="77777777" w:rsidR="00A06377" w:rsidRPr="00487C10" w:rsidRDefault="00A06377" w:rsidP="007C3E50">
            <w:pPr>
              <w:jc w:val="center"/>
              <w:rPr>
                <w:rFonts w:cs="Arial"/>
                <w:b/>
                <w:sz w:val="20"/>
                <w:szCs w:val="20"/>
              </w:rPr>
            </w:pPr>
            <w:r w:rsidRPr="00487C10">
              <w:rPr>
                <w:rFonts w:cs="Arial"/>
                <w:b/>
                <w:sz w:val="20"/>
                <w:szCs w:val="20"/>
              </w:rPr>
              <w:t>Liczba</w:t>
            </w:r>
          </w:p>
        </w:tc>
        <w:tc>
          <w:tcPr>
            <w:tcW w:w="4677" w:type="dxa"/>
            <w:shd w:val="clear" w:color="auto" w:fill="C5E0B3" w:themeFill="accent6" w:themeFillTint="66"/>
            <w:vAlign w:val="center"/>
          </w:tcPr>
          <w:p w14:paraId="0518FAEE" w14:textId="77777777" w:rsidR="00A06377" w:rsidRPr="00487C10" w:rsidRDefault="00A06377" w:rsidP="007C3E50">
            <w:pPr>
              <w:jc w:val="center"/>
              <w:rPr>
                <w:rFonts w:cs="Arial"/>
                <w:b/>
                <w:sz w:val="20"/>
                <w:szCs w:val="20"/>
              </w:rPr>
            </w:pPr>
            <w:r w:rsidRPr="00487C10">
              <w:rPr>
                <w:rFonts w:cs="Arial"/>
                <w:b/>
                <w:sz w:val="20"/>
                <w:szCs w:val="20"/>
              </w:rPr>
              <w:t>Wartość (bez VAT)</w:t>
            </w:r>
          </w:p>
        </w:tc>
      </w:tr>
      <w:tr w:rsidR="00157E5C" w:rsidRPr="00487C10" w14:paraId="387C635A" w14:textId="77777777" w:rsidTr="007C3E50">
        <w:trPr>
          <w:trHeight w:val="300"/>
          <w:jc w:val="center"/>
        </w:trPr>
        <w:tc>
          <w:tcPr>
            <w:tcW w:w="2547" w:type="dxa"/>
            <w:noWrap/>
            <w:vAlign w:val="center"/>
          </w:tcPr>
          <w:p w14:paraId="2148D5A7" w14:textId="77777777" w:rsidR="00157E5C" w:rsidRPr="00487C10" w:rsidRDefault="00157E5C" w:rsidP="00157E5C">
            <w:pPr>
              <w:jc w:val="center"/>
              <w:rPr>
                <w:rFonts w:cs="Arial"/>
                <w:bCs/>
                <w:sz w:val="20"/>
                <w:szCs w:val="20"/>
              </w:rPr>
            </w:pPr>
            <w:r w:rsidRPr="00487C10">
              <w:rPr>
                <w:rFonts w:cs="Arial"/>
                <w:bCs/>
                <w:sz w:val="20"/>
                <w:szCs w:val="20"/>
              </w:rPr>
              <w:t>Dostawy</w:t>
            </w:r>
          </w:p>
        </w:tc>
        <w:tc>
          <w:tcPr>
            <w:tcW w:w="1843" w:type="dxa"/>
            <w:noWrap/>
            <w:vAlign w:val="center"/>
          </w:tcPr>
          <w:p w14:paraId="02393B11" w14:textId="68D0E77F" w:rsidR="00157E5C" w:rsidRPr="00487C10" w:rsidRDefault="00157E5C" w:rsidP="00157E5C">
            <w:pPr>
              <w:jc w:val="center"/>
              <w:rPr>
                <w:rFonts w:cs="Arial"/>
                <w:sz w:val="20"/>
                <w:szCs w:val="20"/>
              </w:rPr>
            </w:pPr>
            <w:r w:rsidRPr="00D40105">
              <w:rPr>
                <w:rFonts w:cs="Arial"/>
                <w:color w:val="000000"/>
                <w:sz w:val="20"/>
                <w:szCs w:val="20"/>
              </w:rPr>
              <w:t>1</w:t>
            </w:r>
            <w:r>
              <w:rPr>
                <w:rFonts w:cs="Arial"/>
                <w:color w:val="000000"/>
                <w:sz w:val="20"/>
                <w:szCs w:val="20"/>
              </w:rPr>
              <w:t xml:space="preserve"> </w:t>
            </w:r>
            <w:r w:rsidRPr="00D40105">
              <w:rPr>
                <w:rFonts w:cs="Arial"/>
                <w:color w:val="000000"/>
                <w:sz w:val="20"/>
                <w:szCs w:val="20"/>
              </w:rPr>
              <w:t>048</w:t>
            </w:r>
          </w:p>
        </w:tc>
        <w:tc>
          <w:tcPr>
            <w:tcW w:w="4677" w:type="dxa"/>
            <w:vAlign w:val="center"/>
          </w:tcPr>
          <w:p w14:paraId="689BB505" w14:textId="5995EA00" w:rsidR="00157E5C" w:rsidRPr="00487C10" w:rsidRDefault="00157E5C" w:rsidP="00157E5C">
            <w:pPr>
              <w:jc w:val="center"/>
              <w:rPr>
                <w:rFonts w:cs="Arial"/>
                <w:sz w:val="20"/>
                <w:szCs w:val="20"/>
              </w:rPr>
            </w:pPr>
            <w:r w:rsidRPr="00D40105">
              <w:rPr>
                <w:rFonts w:cs="Arial"/>
                <w:color w:val="000000"/>
                <w:sz w:val="20"/>
                <w:szCs w:val="20"/>
              </w:rPr>
              <w:t xml:space="preserve">5 437 082 629,88 zł </w:t>
            </w:r>
          </w:p>
        </w:tc>
      </w:tr>
      <w:tr w:rsidR="00157E5C" w:rsidRPr="00487C10" w14:paraId="24B9AEE9" w14:textId="77777777" w:rsidTr="007C3E50">
        <w:trPr>
          <w:trHeight w:val="300"/>
          <w:jc w:val="center"/>
        </w:trPr>
        <w:tc>
          <w:tcPr>
            <w:tcW w:w="2547" w:type="dxa"/>
            <w:shd w:val="clear" w:color="auto" w:fill="E2EFD9" w:themeFill="accent6" w:themeFillTint="33"/>
            <w:noWrap/>
            <w:vAlign w:val="center"/>
            <w:hideMark/>
          </w:tcPr>
          <w:p w14:paraId="16FC38B5" w14:textId="77777777" w:rsidR="00157E5C" w:rsidRPr="00487C10" w:rsidRDefault="00157E5C" w:rsidP="00157E5C">
            <w:pPr>
              <w:jc w:val="center"/>
              <w:rPr>
                <w:rFonts w:cs="Arial"/>
                <w:bCs/>
                <w:sz w:val="20"/>
                <w:szCs w:val="20"/>
              </w:rPr>
            </w:pPr>
            <w:r w:rsidRPr="00487C10">
              <w:rPr>
                <w:rFonts w:cs="Arial"/>
                <w:bCs/>
                <w:sz w:val="20"/>
                <w:szCs w:val="20"/>
              </w:rPr>
              <w:t>Roboty budowlane</w:t>
            </w:r>
          </w:p>
        </w:tc>
        <w:tc>
          <w:tcPr>
            <w:tcW w:w="1843" w:type="dxa"/>
            <w:shd w:val="clear" w:color="auto" w:fill="E2EFD9" w:themeFill="accent6" w:themeFillTint="33"/>
            <w:noWrap/>
            <w:vAlign w:val="center"/>
          </w:tcPr>
          <w:p w14:paraId="65183664" w14:textId="673EF889" w:rsidR="00157E5C" w:rsidRPr="00487C10" w:rsidRDefault="00157E5C" w:rsidP="00157E5C">
            <w:pPr>
              <w:jc w:val="center"/>
              <w:rPr>
                <w:rFonts w:cs="Arial"/>
                <w:sz w:val="20"/>
                <w:szCs w:val="20"/>
              </w:rPr>
            </w:pPr>
            <w:r w:rsidRPr="00D40105">
              <w:rPr>
                <w:rFonts w:cs="Arial"/>
                <w:sz w:val="20"/>
                <w:szCs w:val="20"/>
              </w:rPr>
              <w:t>663</w:t>
            </w:r>
          </w:p>
        </w:tc>
        <w:tc>
          <w:tcPr>
            <w:tcW w:w="4677" w:type="dxa"/>
            <w:shd w:val="clear" w:color="auto" w:fill="E2EFD9" w:themeFill="accent6" w:themeFillTint="33"/>
            <w:vAlign w:val="center"/>
          </w:tcPr>
          <w:p w14:paraId="6CEB94D5" w14:textId="75D1873E" w:rsidR="00157E5C" w:rsidRPr="00487C10" w:rsidRDefault="00157E5C" w:rsidP="00157E5C">
            <w:pPr>
              <w:jc w:val="center"/>
              <w:rPr>
                <w:rFonts w:cs="Arial"/>
                <w:sz w:val="20"/>
                <w:szCs w:val="20"/>
              </w:rPr>
            </w:pPr>
            <w:r w:rsidRPr="00D40105">
              <w:rPr>
                <w:rFonts w:cs="Arial"/>
                <w:color w:val="000000"/>
                <w:sz w:val="20"/>
                <w:szCs w:val="20"/>
              </w:rPr>
              <w:t xml:space="preserve">1 935 977 569,16 </w:t>
            </w:r>
            <w:r w:rsidRPr="00D40105">
              <w:rPr>
                <w:rFonts w:cs="Arial"/>
                <w:sz w:val="20"/>
                <w:szCs w:val="20"/>
              </w:rPr>
              <w:t>zł</w:t>
            </w:r>
          </w:p>
        </w:tc>
      </w:tr>
      <w:tr w:rsidR="00157E5C" w:rsidRPr="00487C10" w14:paraId="51A2BF6E" w14:textId="77777777" w:rsidTr="007C3E50">
        <w:trPr>
          <w:trHeight w:val="300"/>
          <w:jc w:val="center"/>
        </w:trPr>
        <w:tc>
          <w:tcPr>
            <w:tcW w:w="2547" w:type="dxa"/>
            <w:noWrap/>
            <w:vAlign w:val="center"/>
          </w:tcPr>
          <w:p w14:paraId="0277DA1E" w14:textId="77777777" w:rsidR="00157E5C" w:rsidRPr="00487C10" w:rsidRDefault="00157E5C" w:rsidP="00157E5C">
            <w:pPr>
              <w:jc w:val="center"/>
              <w:rPr>
                <w:rFonts w:cs="Arial"/>
                <w:bCs/>
                <w:sz w:val="20"/>
                <w:szCs w:val="20"/>
              </w:rPr>
            </w:pPr>
            <w:r w:rsidRPr="00487C10">
              <w:rPr>
                <w:rFonts w:cs="Arial"/>
                <w:bCs/>
                <w:sz w:val="20"/>
                <w:szCs w:val="20"/>
              </w:rPr>
              <w:t>Usługi</w:t>
            </w:r>
          </w:p>
        </w:tc>
        <w:tc>
          <w:tcPr>
            <w:tcW w:w="1843" w:type="dxa"/>
            <w:noWrap/>
            <w:vAlign w:val="center"/>
          </w:tcPr>
          <w:p w14:paraId="4AF77096" w14:textId="023E4FCF" w:rsidR="00157E5C" w:rsidRPr="00487C10" w:rsidRDefault="00157E5C" w:rsidP="00157E5C">
            <w:pPr>
              <w:jc w:val="center"/>
              <w:rPr>
                <w:rFonts w:cs="Arial"/>
                <w:sz w:val="20"/>
                <w:szCs w:val="20"/>
              </w:rPr>
            </w:pPr>
            <w:r w:rsidRPr="00D40105">
              <w:rPr>
                <w:rFonts w:cs="Arial"/>
                <w:sz w:val="20"/>
                <w:szCs w:val="20"/>
              </w:rPr>
              <w:t>615</w:t>
            </w:r>
          </w:p>
        </w:tc>
        <w:tc>
          <w:tcPr>
            <w:tcW w:w="4677" w:type="dxa"/>
            <w:vAlign w:val="center"/>
          </w:tcPr>
          <w:p w14:paraId="11A71379" w14:textId="2B887C76" w:rsidR="00157E5C" w:rsidRPr="00487C10" w:rsidRDefault="00157E5C" w:rsidP="00157E5C">
            <w:pPr>
              <w:jc w:val="center"/>
              <w:rPr>
                <w:rFonts w:cs="Arial"/>
                <w:sz w:val="20"/>
                <w:szCs w:val="20"/>
              </w:rPr>
            </w:pPr>
            <w:r w:rsidRPr="00D40105">
              <w:rPr>
                <w:rFonts w:cs="Arial"/>
                <w:sz w:val="20"/>
                <w:szCs w:val="20"/>
              </w:rPr>
              <w:t>2 418 394 634,06 zł</w:t>
            </w:r>
          </w:p>
        </w:tc>
      </w:tr>
    </w:tbl>
    <w:p w14:paraId="3A3806B4" w14:textId="5ED4C461" w:rsidR="00401A48" w:rsidRPr="00D917DA" w:rsidRDefault="006C65A0" w:rsidP="00852522">
      <w:pPr>
        <w:pStyle w:val="Nagwek4"/>
      </w:pPr>
      <w:r>
        <w:t xml:space="preserve">2.2. </w:t>
      </w:r>
      <w:r w:rsidR="00401A48" w:rsidRPr="00D917DA">
        <w:t>Określenie wymogu spełniania wymagań odpowiednich systemów lub norm zarządzania środowiskowego zgodnie z art. 116 ust. 1 ustawy Pzp</w:t>
      </w:r>
    </w:p>
    <w:p w14:paraId="25F6F6A4" w14:textId="078D1FE1" w:rsidR="00D917DA" w:rsidRPr="00284073" w:rsidRDefault="00D917DA" w:rsidP="006C14EB">
      <w:pPr>
        <w:pStyle w:val="Legenda"/>
      </w:pPr>
      <w:bookmarkStart w:id="149" w:name="_Toc141276542"/>
      <w:bookmarkStart w:id="150" w:name="_Toc233203392"/>
      <w:r w:rsidRPr="009477E4">
        <w:t xml:space="preserve">Tab. </w:t>
      </w:r>
      <w:fldSimple w:instr=" SEQ Tab. \* ARABIC ">
        <w:r w:rsidR="00017C65">
          <w:rPr>
            <w:noProof/>
          </w:rPr>
          <w:t>20</w:t>
        </w:r>
      </w:fldSimple>
      <w:r w:rsidRPr="009477E4">
        <w:t>. Zielone zamówienia publiczne z zastosowaniem art. 116 ust. 1 ustawy Pzp</w:t>
      </w:r>
      <w:bookmarkEnd w:id="149"/>
      <w:bookmarkEnd w:id="15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116 ust. 1 ustawy Pzp."/>
        <w:tblDescription w:val="Tabela. Zielone zamówienia publiczne z zastosowaniem art. 116 ust. 1 ustawy Pzp."/>
      </w:tblPr>
      <w:tblGrid>
        <w:gridCol w:w="6799"/>
        <w:gridCol w:w="2263"/>
      </w:tblGrid>
      <w:tr w:rsidR="00554C59" w:rsidRPr="00487C10" w14:paraId="0379CF2A" w14:textId="77777777" w:rsidTr="00554C59">
        <w:trPr>
          <w:trHeight w:val="300"/>
          <w:jc w:val="center"/>
        </w:trPr>
        <w:tc>
          <w:tcPr>
            <w:tcW w:w="6799" w:type="dxa"/>
            <w:shd w:val="clear" w:color="auto" w:fill="E2EFD9"/>
            <w:noWrap/>
            <w:vAlign w:val="center"/>
          </w:tcPr>
          <w:p w14:paraId="7C21ACDF" w14:textId="77777777" w:rsidR="00554C59" w:rsidRPr="00487C10" w:rsidRDefault="00554C59" w:rsidP="00554C59">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263" w:type="dxa"/>
            <w:shd w:val="clear" w:color="auto" w:fill="E2EFD9"/>
            <w:vAlign w:val="center"/>
          </w:tcPr>
          <w:p w14:paraId="55D6D1BC" w14:textId="45487959" w:rsidR="00554C59" w:rsidRPr="00487C10" w:rsidRDefault="00554C59" w:rsidP="00554C59">
            <w:pPr>
              <w:jc w:val="center"/>
              <w:rPr>
                <w:rFonts w:cs="Arial"/>
                <w:sz w:val="20"/>
                <w:szCs w:val="20"/>
              </w:rPr>
            </w:pPr>
            <w:r w:rsidRPr="00A20C94">
              <w:rPr>
                <w:rFonts w:cs="Arial"/>
                <w:color w:val="000000"/>
                <w:sz w:val="20"/>
                <w:szCs w:val="20"/>
              </w:rPr>
              <w:t>306</w:t>
            </w:r>
          </w:p>
        </w:tc>
      </w:tr>
      <w:tr w:rsidR="00554C59" w:rsidRPr="00487C10" w14:paraId="2303D2F2" w14:textId="77777777" w:rsidTr="00554C59">
        <w:trPr>
          <w:trHeight w:val="300"/>
          <w:jc w:val="center"/>
        </w:trPr>
        <w:tc>
          <w:tcPr>
            <w:tcW w:w="6799" w:type="dxa"/>
            <w:noWrap/>
            <w:vAlign w:val="center"/>
            <w:hideMark/>
          </w:tcPr>
          <w:p w14:paraId="730D3733" w14:textId="77777777" w:rsidR="00554C59" w:rsidRPr="00487C10" w:rsidRDefault="00554C59" w:rsidP="00554C59">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263" w:type="dxa"/>
            <w:vAlign w:val="center"/>
          </w:tcPr>
          <w:p w14:paraId="0864324A" w14:textId="77777777" w:rsidR="00554C59" w:rsidRPr="00A20C94" w:rsidRDefault="00554C59" w:rsidP="00554C59">
            <w:pPr>
              <w:jc w:val="center"/>
              <w:rPr>
                <w:rFonts w:cs="Arial"/>
                <w:sz w:val="20"/>
                <w:szCs w:val="20"/>
              </w:rPr>
            </w:pPr>
            <w:r w:rsidRPr="00A20C94">
              <w:rPr>
                <w:rFonts w:cs="Arial"/>
                <w:color w:val="000000"/>
                <w:sz w:val="20"/>
                <w:szCs w:val="20"/>
              </w:rPr>
              <w:t xml:space="preserve">1 020 358 225,49 </w:t>
            </w:r>
            <w:r w:rsidRPr="00A20C94">
              <w:rPr>
                <w:rFonts w:cs="Arial"/>
                <w:sz w:val="20"/>
                <w:szCs w:val="20"/>
              </w:rPr>
              <w:t>zł</w:t>
            </w:r>
          </w:p>
          <w:p w14:paraId="7BD762C4" w14:textId="06E9E407" w:rsidR="00554C59" w:rsidRPr="00487C10" w:rsidRDefault="00554C59" w:rsidP="00554C59">
            <w:pPr>
              <w:jc w:val="center"/>
              <w:rPr>
                <w:rFonts w:cs="Arial"/>
                <w:sz w:val="20"/>
                <w:szCs w:val="20"/>
              </w:rPr>
            </w:pPr>
            <w:r w:rsidRPr="00A20C94">
              <w:rPr>
                <w:rFonts w:cs="Arial"/>
                <w:sz w:val="20"/>
                <w:szCs w:val="20"/>
              </w:rPr>
              <w:t>(wartość bez VAT)</w:t>
            </w:r>
          </w:p>
        </w:tc>
      </w:tr>
    </w:tbl>
    <w:p w14:paraId="64C06102" w14:textId="77777777" w:rsidR="00401A48" w:rsidRPr="00487C10" w:rsidRDefault="00401A48" w:rsidP="008F2675">
      <w:pPr>
        <w:shd w:val="clear" w:color="auto" w:fill="FFFFFF"/>
        <w:spacing w:line="360" w:lineRule="auto"/>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116 ust. 1 ustawy Pzp."/>
        <w:tblDescription w:val="Tabela. Zielone zamówienia publiczne z zastosowaniem art. 116 ust. 1 ustawy Pzp."/>
      </w:tblPr>
      <w:tblGrid>
        <w:gridCol w:w="2122"/>
        <w:gridCol w:w="2409"/>
        <w:gridCol w:w="4536"/>
      </w:tblGrid>
      <w:tr w:rsidR="00401A48" w:rsidRPr="00487C10" w14:paraId="673BF30D" w14:textId="77777777" w:rsidTr="00930CB8">
        <w:trPr>
          <w:trHeight w:val="300"/>
          <w:tblHeader/>
          <w:jc w:val="center"/>
        </w:trPr>
        <w:tc>
          <w:tcPr>
            <w:tcW w:w="2122" w:type="dxa"/>
            <w:shd w:val="clear" w:color="auto" w:fill="C5E0B3"/>
            <w:noWrap/>
            <w:vAlign w:val="center"/>
          </w:tcPr>
          <w:p w14:paraId="4356746D" w14:textId="77777777" w:rsidR="00401A48" w:rsidRPr="00487C10" w:rsidRDefault="00401A48" w:rsidP="006C65A0">
            <w:pPr>
              <w:jc w:val="center"/>
              <w:rPr>
                <w:rFonts w:cs="Arial"/>
                <w:b/>
                <w:sz w:val="20"/>
                <w:szCs w:val="20"/>
              </w:rPr>
            </w:pPr>
            <w:r w:rsidRPr="00487C10">
              <w:rPr>
                <w:rFonts w:cs="Arial"/>
                <w:b/>
                <w:bCs/>
                <w:sz w:val="20"/>
                <w:szCs w:val="20"/>
              </w:rPr>
              <w:br w:type="page"/>
              <w:t>Rodzaj zamówienia</w:t>
            </w:r>
          </w:p>
        </w:tc>
        <w:tc>
          <w:tcPr>
            <w:tcW w:w="2409" w:type="dxa"/>
            <w:shd w:val="clear" w:color="auto" w:fill="C5E0B3"/>
            <w:vAlign w:val="center"/>
          </w:tcPr>
          <w:p w14:paraId="66BD463F" w14:textId="77777777" w:rsidR="00401A48" w:rsidRPr="00487C10" w:rsidRDefault="00401A48" w:rsidP="006C65A0">
            <w:pPr>
              <w:jc w:val="center"/>
              <w:rPr>
                <w:rFonts w:cs="Arial"/>
                <w:b/>
                <w:sz w:val="20"/>
                <w:szCs w:val="20"/>
              </w:rPr>
            </w:pPr>
            <w:r w:rsidRPr="00487C10">
              <w:rPr>
                <w:rFonts w:cs="Arial"/>
                <w:b/>
                <w:sz w:val="20"/>
                <w:szCs w:val="20"/>
              </w:rPr>
              <w:t>Liczba</w:t>
            </w:r>
          </w:p>
        </w:tc>
        <w:tc>
          <w:tcPr>
            <w:tcW w:w="4536" w:type="dxa"/>
            <w:shd w:val="clear" w:color="auto" w:fill="C5E0B3"/>
            <w:vAlign w:val="center"/>
          </w:tcPr>
          <w:p w14:paraId="063CD820" w14:textId="77777777" w:rsidR="00401A48" w:rsidRPr="00487C10" w:rsidRDefault="00401A48" w:rsidP="006C65A0">
            <w:pPr>
              <w:jc w:val="center"/>
              <w:rPr>
                <w:rFonts w:cs="Arial"/>
                <w:b/>
                <w:sz w:val="20"/>
                <w:szCs w:val="20"/>
              </w:rPr>
            </w:pPr>
            <w:r w:rsidRPr="00487C10">
              <w:rPr>
                <w:rFonts w:cs="Arial"/>
                <w:b/>
                <w:sz w:val="20"/>
                <w:szCs w:val="20"/>
              </w:rPr>
              <w:t>Wartość (bez VAT)</w:t>
            </w:r>
          </w:p>
        </w:tc>
      </w:tr>
      <w:tr w:rsidR="00A35C07" w:rsidRPr="00487C10" w14:paraId="03072A01" w14:textId="77777777" w:rsidTr="00930CB8">
        <w:trPr>
          <w:trHeight w:val="300"/>
          <w:jc w:val="center"/>
        </w:trPr>
        <w:tc>
          <w:tcPr>
            <w:tcW w:w="2122" w:type="dxa"/>
            <w:noWrap/>
            <w:vAlign w:val="center"/>
          </w:tcPr>
          <w:p w14:paraId="01E8391B" w14:textId="77777777" w:rsidR="00A35C07" w:rsidRPr="00487C10" w:rsidRDefault="00A35C07" w:rsidP="00A35C07">
            <w:pPr>
              <w:jc w:val="center"/>
              <w:rPr>
                <w:rFonts w:cs="Arial"/>
                <w:bCs/>
                <w:sz w:val="20"/>
                <w:szCs w:val="20"/>
              </w:rPr>
            </w:pPr>
            <w:r w:rsidRPr="00487C10">
              <w:rPr>
                <w:rFonts w:cs="Arial"/>
                <w:bCs/>
                <w:sz w:val="20"/>
                <w:szCs w:val="20"/>
              </w:rPr>
              <w:t>Dostawy</w:t>
            </w:r>
          </w:p>
        </w:tc>
        <w:tc>
          <w:tcPr>
            <w:tcW w:w="2409" w:type="dxa"/>
            <w:noWrap/>
            <w:vAlign w:val="center"/>
          </w:tcPr>
          <w:p w14:paraId="44E36C31" w14:textId="384D3018" w:rsidR="00A35C07" w:rsidRPr="00487C10" w:rsidRDefault="00A35C07" w:rsidP="00A35C07">
            <w:pPr>
              <w:jc w:val="center"/>
              <w:rPr>
                <w:rFonts w:cs="Arial"/>
                <w:sz w:val="20"/>
                <w:szCs w:val="20"/>
              </w:rPr>
            </w:pPr>
            <w:r w:rsidRPr="00A20C94">
              <w:rPr>
                <w:rFonts w:cs="Arial"/>
                <w:sz w:val="20"/>
                <w:szCs w:val="20"/>
              </w:rPr>
              <w:t>65</w:t>
            </w:r>
          </w:p>
        </w:tc>
        <w:tc>
          <w:tcPr>
            <w:tcW w:w="4536" w:type="dxa"/>
            <w:vAlign w:val="center"/>
          </w:tcPr>
          <w:p w14:paraId="63BA7429" w14:textId="043AE2F0" w:rsidR="00A35C07" w:rsidRPr="00487C10" w:rsidRDefault="00A35C07" w:rsidP="00A35C07">
            <w:pPr>
              <w:jc w:val="center"/>
              <w:rPr>
                <w:rFonts w:cs="Arial"/>
                <w:sz w:val="20"/>
                <w:szCs w:val="20"/>
              </w:rPr>
            </w:pPr>
            <w:r w:rsidRPr="00A20C94">
              <w:rPr>
                <w:rFonts w:cs="Arial"/>
                <w:color w:val="000000"/>
                <w:sz w:val="20"/>
                <w:szCs w:val="20"/>
              </w:rPr>
              <w:t xml:space="preserve">92 152 952,17 </w:t>
            </w:r>
            <w:r w:rsidRPr="00A20C94">
              <w:rPr>
                <w:rFonts w:cs="Arial"/>
                <w:sz w:val="20"/>
                <w:szCs w:val="20"/>
              </w:rPr>
              <w:t>zł</w:t>
            </w:r>
          </w:p>
        </w:tc>
      </w:tr>
      <w:tr w:rsidR="00A35C07" w:rsidRPr="00487C10" w14:paraId="54056145" w14:textId="77777777" w:rsidTr="00930CB8">
        <w:trPr>
          <w:trHeight w:val="300"/>
          <w:jc w:val="center"/>
        </w:trPr>
        <w:tc>
          <w:tcPr>
            <w:tcW w:w="2122" w:type="dxa"/>
            <w:shd w:val="clear" w:color="auto" w:fill="E2EFD9"/>
            <w:noWrap/>
            <w:vAlign w:val="center"/>
            <w:hideMark/>
          </w:tcPr>
          <w:p w14:paraId="44E32B6D" w14:textId="77777777" w:rsidR="00A35C07" w:rsidRPr="00487C10" w:rsidRDefault="00A35C07" w:rsidP="00A35C07">
            <w:pPr>
              <w:jc w:val="center"/>
              <w:rPr>
                <w:rFonts w:cs="Arial"/>
                <w:bCs/>
                <w:sz w:val="20"/>
                <w:szCs w:val="20"/>
              </w:rPr>
            </w:pPr>
            <w:r w:rsidRPr="00487C10">
              <w:rPr>
                <w:rFonts w:cs="Arial"/>
                <w:bCs/>
                <w:sz w:val="20"/>
                <w:szCs w:val="20"/>
              </w:rPr>
              <w:t>Roboty budowlane</w:t>
            </w:r>
          </w:p>
        </w:tc>
        <w:tc>
          <w:tcPr>
            <w:tcW w:w="2409" w:type="dxa"/>
            <w:shd w:val="clear" w:color="auto" w:fill="E2EFD9"/>
            <w:noWrap/>
            <w:vAlign w:val="center"/>
          </w:tcPr>
          <w:p w14:paraId="5A05BDE1" w14:textId="6220B8F9" w:rsidR="00A35C07" w:rsidRPr="00487C10" w:rsidRDefault="00A35C07" w:rsidP="00A35C07">
            <w:pPr>
              <w:jc w:val="center"/>
              <w:rPr>
                <w:rFonts w:cs="Arial"/>
                <w:sz w:val="20"/>
                <w:szCs w:val="20"/>
              </w:rPr>
            </w:pPr>
            <w:r w:rsidRPr="00A20C94">
              <w:rPr>
                <w:rFonts w:cs="Arial"/>
                <w:sz w:val="20"/>
                <w:szCs w:val="20"/>
              </w:rPr>
              <w:t>79</w:t>
            </w:r>
          </w:p>
        </w:tc>
        <w:tc>
          <w:tcPr>
            <w:tcW w:w="4536" w:type="dxa"/>
            <w:shd w:val="clear" w:color="auto" w:fill="E2EFD9"/>
            <w:vAlign w:val="center"/>
          </w:tcPr>
          <w:p w14:paraId="295243F2" w14:textId="1C65139B" w:rsidR="00A35C07" w:rsidRPr="00487C10" w:rsidRDefault="00A35C07" w:rsidP="00A35C07">
            <w:pPr>
              <w:jc w:val="center"/>
              <w:rPr>
                <w:rFonts w:cs="Arial"/>
                <w:sz w:val="20"/>
                <w:szCs w:val="20"/>
              </w:rPr>
            </w:pPr>
            <w:r w:rsidRPr="00A20C94">
              <w:rPr>
                <w:rFonts w:cs="Arial"/>
                <w:color w:val="000000"/>
                <w:sz w:val="20"/>
                <w:szCs w:val="20"/>
              </w:rPr>
              <w:t xml:space="preserve">203 502 106,78 </w:t>
            </w:r>
            <w:r w:rsidRPr="00A20C94">
              <w:rPr>
                <w:rFonts w:cs="Arial"/>
                <w:sz w:val="20"/>
                <w:szCs w:val="20"/>
              </w:rPr>
              <w:t>zł</w:t>
            </w:r>
          </w:p>
        </w:tc>
      </w:tr>
      <w:tr w:rsidR="00A35C07" w:rsidRPr="00487C10" w14:paraId="400A6B32" w14:textId="77777777" w:rsidTr="00930CB8">
        <w:trPr>
          <w:trHeight w:val="300"/>
          <w:jc w:val="center"/>
        </w:trPr>
        <w:tc>
          <w:tcPr>
            <w:tcW w:w="2122" w:type="dxa"/>
            <w:noWrap/>
            <w:vAlign w:val="center"/>
          </w:tcPr>
          <w:p w14:paraId="6D718368" w14:textId="77777777" w:rsidR="00A35C07" w:rsidRPr="00487C10" w:rsidRDefault="00A35C07" w:rsidP="00A35C07">
            <w:pPr>
              <w:jc w:val="center"/>
              <w:rPr>
                <w:rFonts w:cs="Arial"/>
                <w:bCs/>
                <w:sz w:val="20"/>
                <w:szCs w:val="20"/>
              </w:rPr>
            </w:pPr>
            <w:r w:rsidRPr="00487C10">
              <w:rPr>
                <w:rFonts w:cs="Arial"/>
                <w:bCs/>
                <w:sz w:val="20"/>
                <w:szCs w:val="20"/>
              </w:rPr>
              <w:t>Usługi</w:t>
            </w:r>
          </w:p>
        </w:tc>
        <w:tc>
          <w:tcPr>
            <w:tcW w:w="2409" w:type="dxa"/>
            <w:noWrap/>
            <w:vAlign w:val="center"/>
          </w:tcPr>
          <w:p w14:paraId="36CB29D6" w14:textId="6CADF168" w:rsidR="00A35C07" w:rsidRPr="00487C10" w:rsidRDefault="00A35C07" w:rsidP="00A35C07">
            <w:pPr>
              <w:jc w:val="center"/>
              <w:rPr>
                <w:rFonts w:cs="Arial"/>
                <w:sz w:val="20"/>
                <w:szCs w:val="20"/>
              </w:rPr>
            </w:pPr>
            <w:r w:rsidRPr="00A20C94">
              <w:rPr>
                <w:rFonts w:cs="Arial"/>
                <w:color w:val="000000"/>
                <w:sz w:val="20"/>
                <w:szCs w:val="20"/>
              </w:rPr>
              <w:t>162</w:t>
            </w:r>
          </w:p>
        </w:tc>
        <w:tc>
          <w:tcPr>
            <w:tcW w:w="4536" w:type="dxa"/>
            <w:vAlign w:val="center"/>
          </w:tcPr>
          <w:p w14:paraId="2B10D6BA" w14:textId="68130349" w:rsidR="00A35C07" w:rsidRPr="00487C10" w:rsidRDefault="00A35C07" w:rsidP="00A35C07">
            <w:pPr>
              <w:jc w:val="center"/>
              <w:rPr>
                <w:rFonts w:cs="Arial"/>
                <w:sz w:val="20"/>
                <w:szCs w:val="20"/>
              </w:rPr>
            </w:pPr>
            <w:r w:rsidRPr="00A20C94">
              <w:rPr>
                <w:rFonts w:cs="Arial"/>
                <w:color w:val="000000"/>
                <w:sz w:val="20"/>
                <w:szCs w:val="20"/>
              </w:rPr>
              <w:t xml:space="preserve">724 703 166,54 </w:t>
            </w:r>
            <w:r w:rsidRPr="00A20C94">
              <w:rPr>
                <w:rFonts w:cs="Arial"/>
                <w:sz w:val="20"/>
                <w:szCs w:val="20"/>
              </w:rPr>
              <w:t>zł</w:t>
            </w:r>
          </w:p>
        </w:tc>
      </w:tr>
    </w:tbl>
    <w:p w14:paraId="45B66723" w14:textId="09BD95F5" w:rsidR="00401A48" w:rsidRPr="00D917DA" w:rsidRDefault="004852AE" w:rsidP="00852522">
      <w:pPr>
        <w:pStyle w:val="Nagwek4"/>
      </w:pPr>
      <w:r>
        <w:t xml:space="preserve">2.3. </w:t>
      </w:r>
      <w:r w:rsidR="00401A48" w:rsidRPr="00D917DA">
        <w:t>Określenie w kryteriach oceny ofert aspektów środowiskowych, w tym efektywności energetycznej przedmiotu zamówienia, o których mowa w art. 242 ust. 2 ustawy Pzp</w:t>
      </w:r>
    </w:p>
    <w:p w14:paraId="5BFA1A60" w14:textId="044C94D6" w:rsidR="00D917DA" w:rsidRPr="00284073" w:rsidRDefault="00D917DA" w:rsidP="006C14EB">
      <w:pPr>
        <w:pStyle w:val="Legenda"/>
      </w:pPr>
      <w:bookmarkStart w:id="151" w:name="_Toc141276543"/>
      <w:bookmarkStart w:id="152" w:name="_Toc233203393"/>
      <w:r w:rsidRPr="003E238D">
        <w:t xml:space="preserve">Tab. </w:t>
      </w:r>
      <w:fldSimple w:instr=" SEQ Tab. \* ARABIC ">
        <w:r w:rsidR="00017C65">
          <w:rPr>
            <w:noProof/>
          </w:rPr>
          <w:t>21</w:t>
        </w:r>
      </w:fldSimple>
      <w:r w:rsidRPr="003E238D">
        <w:t>. Zielone zamówienia publiczne z zastosowaniem art. 242 ust. 2 ustawy Pzp</w:t>
      </w:r>
      <w:bookmarkEnd w:id="151"/>
      <w:bookmarkEnd w:id="15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242 ust. 2 ustawy Pzp."/>
        <w:tblDescription w:val="Tabela. Zielone zamówienia publiczne z zastosowaniem art. 242 ust. 2 ustawy Pzp."/>
      </w:tblPr>
      <w:tblGrid>
        <w:gridCol w:w="6941"/>
        <w:gridCol w:w="2121"/>
      </w:tblGrid>
      <w:tr w:rsidR="00A35C07" w:rsidRPr="00487C10" w14:paraId="11E211C5" w14:textId="77777777" w:rsidTr="00A35C07">
        <w:trPr>
          <w:trHeight w:val="300"/>
          <w:jc w:val="center"/>
        </w:trPr>
        <w:tc>
          <w:tcPr>
            <w:tcW w:w="6941" w:type="dxa"/>
            <w:shd w:val="clear" w:color="auto" w:fill="E2EFD9"/>
            <w:noWrap/>
            <w:vAlign w:val="center"/>
          </w:tcPr>
          <w:p w14:paraId="0FFF0377" w14:textId="77777777" w:rsidR="00A35C07" w:rsidRPr="00487C10" w:rsidRDefault="00A35C07" w:rsidP="00A35C07">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1F205C13" w14:textId="6C5C7AC8" w:rsidR="00A35C07" w:rsidRPr="00487C10" w:rsidRDefault="00A35C07" w:rsidP="00A35C07">
            <w:pPr>
              <w:jc w:val="center"/>
              <w:rPr>
                <w:rFonts w:cs="Arial"/>
                <w:sz w:val="20"/>
                <w:szCs w:val="20"/>
              </w:rPr>
            </w:pPr>
            <w:r w:rsidRPr="00A20C94">
              <w:rPr>
                <w:rFonts w:cs="Arial"/>
                <w:color w:val="000000"/>
                <w:sz w:val="20"/>
                <w:szCs w:val="20"/>
              </w:rPr>
              <w:t>958</w:t>
            </w:r>
          </w:p>
        </w:tc>
      </w:tr>
      <w:tr w:rsidR="00A35C07" w:rsidRPr="00487C10" w14:paraId="6170C67F" w14:textId="77777777" w:rsidTr="00A35C07">
        <w:trPr>
          <w:trHeight w:val="300"/>
          <w:jc w:val="center"/>
        </w:trPr>
        <w:tc>
          <w:tcPr>
            <w:tcW w:w="6941" w:type="dxa"/>
            <w:noWrap/>
            <w:vAlign w:val="center"/>
            <w:hideMark/>
          </w:tcPr>
          <w:p w14:paraId="28D06DB0" w14:textId="77777777" w:rsidR="00A35C07" w:rsidRPr="00487C10" w:rsidRDefault="00A35C07" w:rsidP="00A35C07">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32DF3428" w14:textId="77777777" w:rsidR="00A35C07" w:rsidRPr="00A20C94" w:rsidRDefault="00A35C07" w:rsidP="00A35C07">
            <w:pPr>
              <w:jc w:val="center"/>
              <w:rPr>
                <w:rFonts w:cs="Arial"/>
                <w:sz w:val="20"/>
                <w:szCs w:val="20"/>
              </w:rPr>
            </w:pPr>
            <w:r w:rsidRPr="00A20C94">
              <w:rPr>
                <w:rFonts w:cs="Arial"/>
                <w:color w:val="000000"/>
                <w:sz w:val="20"/>
                <w:szCs w:val="20"/>
              </w:rPr>
              <w:t xml:space="preserve">5 690 400 433,80 </w:t>
            </w:r>
            <w:r w:rsidRPr="00A20C94">
              <w:rPr>
                <w:rFonts w:cs="Arial"/>
                <w:sz w:val="20"/>
                <w:szCs w:val="20"/>
              </w:rPr>
              <w:t>zł</w:t>
            </w:r>
          </w:p>
          <w:p w14:paraId="37D4A7CA" w14:textId="37E0B2C8" w:rsidR="00A35C07" w:rsidRPr="00487C10" w:rsidRDefault="00A35C07" w:rsidP="00A35C07">
            <w:pPr>
              <w:jc w:val="center"/>
              <w:rPr>
                <w:rFonts w:cs="Arial"/>
                <w:sz w:val="20"/>
                <w:szCs w:val="20"/>
              </w:rPr>
            </w:pPr>
            <w:r w:rsidRPr="00A20C94">
              <w:rPr>
                <w:rFonts w:cs="Arial"/>
                <w:sz w:val="20"/>
                <w:szCs w:val="20"/>
              </w:rPr>
              <w:t>(wartość bez VAT)</w:t>
            </w:r>
          </w:p>
        </w:tc>
      </w:tr>
    </w:tbl>
    <w:p w14:paraId="3E7BDA51" w14:textId="77777777" w:rsidR="00401A48" w:rsidRPr="00487C10" w:rsidRDefault="00401A48"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242 ust. 2 ustawy Pzp."/>
        <w:tblDescription w:val="Tabela. Zielone zamówienia publiczne z zastosowaniem art. 242 ust. 2 ustawy Pzp."/>
      </w:tblPr>
      <w:tblGrid>
        <w:gridCol w:w="3022"/>
        <w:gridCol w:w="1226"/>
        <w:gridCol w:w="4819"/>
      </w:tblGrid>
      <w:tr w:rsidR="00401A48" w:rsidRPr="00487C10" w14:paraId="730AC8B8" w14:textId="77777777" w:rsidTr="00930CB8">
        <w:trPr>
          <w:trHeight w:val="300"/>
          <w:tblHeader/>
          <w:jc w:val="center"/>
        </w:trPr>
        <w:tc>
          <w:tcPr>
            <w:tcW w:w="3022" w:type="dxa"/>
            <w:shd w:val="clear" w:color="auto" w:fill="C5E0B3"/>
            <w:noWrap/>
            <w:vAlign w:val="center"/>
          </w:tcPr>
          <w:p w14:paraId="307329A5" w14:textId="77777777" w:rsidR="00401A48" w:rsidRPr="00487C10" w:rsidRDefault="00401A48" w:rsidP="004852AE">
            <w:pPr>
              <w:jc w:val="center"/>
              <w:rPr>
                <w:rFonts w:cs="Arial"/>
                <w:b/>
                <w:sz w:val="20"/>
                <w:szCs w:val="20"/>
              </w:rPr>
            </w:pPr>
            <w:r w:rsidRPr="00487C10">
              <w:rPr>
                <w:rFonts w:cs="Arial"/>
                <w:b/>
                <w:bCs/>
                <w:sz w:val="20"/>
                <w:szCs w:val="20"/>
              </w:rPr>
              <w:t>Rodzaj zamówienia</w:t>
            </w:r>
          </w:p>
        </w:tc>
        <w:tc>
          <w:tcPr>
            <w:tcW w:w="1226" w:type="dxa"/>
            <w:shd w:val="clear" w:color="auto" w:fill="C5E0B3"/>
            <w:vAlign w:val="center"/>
          </w:tcPr>
          <w:p w14:paraId="4D117F13" w14:textId="77777777" w:rsidR="00401A48" w:rsidRPr="00487C10" w:rsidRDefault="00401A48" w:rsidP="004852AE">
            <w:pPr>
              <w:jc w:val="center"/>
              <w:rPr>
                <w:rFonts w:cs="Arial"/>
                <w:b/>
                <w:sz w:val="20"/>
                <w:szCs w:val="20"/>
              </w:rPr>
            </w:pPr>
            <w:r w:rsidRPr="00487C10">
              <w:rPr>
                <w:rFonts w:cs="Arial"/>
                <w:b/>
                <w:sz w:val="20"/>
                <w:szCs w:val="20"/>
              </w:rPr>
              <w:t>Liczba</w:t>
            </w:r>
          </w:p>
        </w:tc>
        <w:tc>
          <w:tcPr>
            <w:tcW w:w="4819" w:type="dxa"/>
            <w:shd w:val="clear" w:color="auto" w:fill="C5E0B3"/>
            <w:vAlign w:val="center"/>
          </w:tcPr>
          <w:p w14:paraId="3344D777" w14:textId="77777777" w:rsidR="00401A48" w:rsidRPr="00487C10" w:rsidRDefault="00401A48" w:rsidP="004852AE">
            <w:pPr>
              <w:jc w:val="center"/>
              <w:rPr>
                <w:rFonts w:cs="Arial"/>
                <w:b/>
                <w:sz w:val="20"/>
                <w:szCs w:val="20"/>
              </w:rPr>
            </w:pPr>
            <w:r w:rsidRPr="00487C10">
              <w:rPr>
                <w:rFonts w:cs="Arial"/>
                <w:b/>
                <w:sz w:val="20"/>
                <w:szCs w:val="20"/>
              </w:rPr>
              <w:t>Wartość (bez VAT)</w:t>
            </w:r>
          </w:p>
        </w:tc>
      </w:tr>
      <w:tr w:rsidR="00A35C07" w:rsidRPr="00487C10" w14:paraId="676440B2" w14:textId="77777777" w:rsidTr="00930CB8">
        <w:trPr>
          <w:trHeight w:val="300"/>
          <w:jc w:val="center"/>
        </w:trPr>
        <w:tc>
          <w:tcPr>
            <w:tcW w:w="3022" w:type="dxa"/>
            <w:noWrap/>
            <w:vAlign w:val="center"/>
          </w:tcPr>
          <w:p w14:paraId="7FC32889" w14:textId="77777777" w:rsidR="00A35C07" w:rsidRPr="00487C10" w:rsidRDefault="00A35C07" w:rsidP="00A35C07">
            <w:pPr>
              <w:jc w:val="center"/>
              <w:rPr>
                <w:rFonts w:cs="Arial"/>
                <w:bCs/>
                <w:sz w:val="20"/>
                <w:szCs w:val="20"/>
              </w:rPr>
            </w:pPr>
            <w:r w:rsidRPr="00487C10">
              <w:rPr>
                <w:rFonts w:cs="Arial"/>
                <w:bCs/>
                <w:sz w:val="20"/>
                <w:szCs w:val="20"/>
              </w:rPr>
              <w:t>Dostawy</w:t>
            </w:r>
          </w:p>
        </w:tc>
        <w:tc>
          <w:tcPr>
            <w:tcW w:w="1226" w:type="dxa"/>
            <w:noWrap/>
            <w:vAlign w:val="center"/>
          </w:tcPr>
          <w:p w14:paraId="7CF70CF9" w14:textId="36E72D40" w:rsidR="00A35C07" w:rsidRPr="00487C10" w:rsidRDefault="00A35C07" w:rsidP="00A35C07">
            <w:pPr>
              <w:jc w:val="center"/>
              <w:rPr>
                <w:rFonts w:cs="Arial"/>
                <w:sz w:val="20"/>
                <w:szCs w:val="20"/>
              </w:rPr>
            </w:pPr>
            <w:r w:rsidRPr="00A20C94">
              <w:rPr>
                <w:rFonts w:cs="Arial"/>
                <w:color w:val="000000"/>
                <w:sz w:val="20"/>
                <w:szCs w:val="20"/>
              </w:rPr>
              <w:t>418</w:t>
            </w:r>
          </w:p>
        </w:tc>
        <w:tc>
          <w:tcPr>
            <w:tcW w:w="4819" w:type="dxa"/>
            <w:vAlign w:val="center"/>
          </w:tcPr>
          <w:p w14:paraId="2CB99A61" w14:textId="42E4D989" w:rsidR="00A35C07" w:rsidRPr="00487C10" w:rsidRDefault="00A35C07" w:rsidP="00A35C07">
            <w:pPr>
              <w:jc w:val="center"/>
              <w:rPr>
                <w:rFonts w:cs="Arial"/>
                <w:sz w:val="20"/>
                <w:szCs w:val="20"/>
              </w:rPr>
            </w:pPr>
            <w:r w:rsidRPr="00A20C94">
              <w:rPr>
                <w:rFonts w:cs="Arial"/>
                <w:color w:val="000000"/>
                <w:sz w:val="20"/>
                <w:szCs w:val="20"/>
              </w:rPr>
              <w:t xml:space="preserve">3 501 762 218,58 </w:t>
            </w:r>
            <w:r w:rsidRPr="00A20C94">
              <w:rPr>
                <w:rFonts w:cs="Arial"/>
                <w:sz w:val="20"/>
                <w:szCs w:val="20"/>
              </w:rPr>
              <w:t>zł</w:t>
            </w:r>
          </w:p>
        </w:tc>
      </w:tr>
      <w:tr w:rsidR="00A35C07" w:rsidRPr="00487C10" w14:paraId="6913FBA8" w14:textId="77777777" w:rsidTr="00930CB8">
        <w:trPr>
          <w:trHeight w:val="300"/>
          <w:jc w:val="center"/>
        </w:trPr>
        <w:tc>
          <w:tcPr>
            <w:tcW w:w="3022" w:type="dxa"/>
            <w:shd w:val="clear" w:color="auto" w:fill="E2EFD9"/>
            <w:noWrap/>
            <w:vAlign w:val="center"/>
            <w:hideMark/>
          </w:tcPr>
          <w:p w14:paraId="0C12D51E" w14:textId="77777777" w:rsidR="00A35C07" w:rsidRPr="00487C10" w:rsidRDefault="00A35C07" w:rsidP="00A35C07">
            <w:pPr>
              <w:jc w:val="center"/>
              <w:rPr>
                <w:rFonts w:cs="Arial"/>
                <w:bCs/>
                <w:sz w:val="20"/>
                <w:szCs w:val="20"/>
              </w:rPr>
            </w:pPr>
            <w:r w:rsidRPr="00487C10">
              <w:rPr>
                <w:rFonts w:cs="Arial"/>
                <w:bCs/>
                <w:sz w:val="20"/>
                <w:szCs w:val="20"/>
              </w:rPr>
              <w:lastRenderedPageBreak/>
              <w:t>Roboty budowlane</w:t>
            </w:r>
          </w:p>
        </w:tc>
        <w:tc>
          <w:tcPr>
            <w:tcW w:w="1226" w:type="dxa"/>
            <w:shd w:val="clear" w:color="auto" w:fill="E2EFD9"/>
            <w:noWrap/>
            <w:vAlign w:val="center"/>
          </w:tcPr>
          <w:p w14:paraId="49869B51" w14:textId="21BB85E6" w:rsidR="00A35C07" w:rsidRPr="00487C10" w:rsidRDefault="00A35C07" w:rsidP="00A35C07">
            <w:pPr>
              <w:jc w:val="center"/>
              <w:rPr>
                <w:rFonts w:cs="Arial"/>
                <w:sz w:val="20"/>
                <w:szCs w:val="20"/>
              </w:rPr>
            </w:pPr>
            <w:r w:rsidRPr="00A20C94">
              <w:rPr>
                <w:rFonts w:cs="Arial"/>
                <w:sz w:val="20"/>
                <w:szCs w:val="20"/>
              </w:rPr>
              <w:t>44</w:t>
            </w:r>
          </w:p>
        </w:tc>
        <w:tc>
          <w:tcPr>
            <w:tcW w:w="4819" w:type="dxa"/>
            <w:shd w:val="clear" w:color="auto" w:fill="E2EFD9"/>
            <w:vAlign w:val="center"/>
          </w:tcPr>
          <w:p w14:paraId="4C014DD6" w14:textId="320C9DD3" w:rsidR="00A35C07" w:rsidRPr="00487C10" w:rsidRDefault="00A35C07" w:rsidP="00A35C07">
            <w:pPr>
              <w:jc w:val="center"/>
              <w:rPr>
                <w:rFonts w:cs="Arial"/>
                <w:sz w:val="20"/>
                <w:szCs w:val="20"/>
              </w:rPr>
            </w:pPr>
            <w:r w:rsidRPr="00A20C94">
              <w:rPr>
                <w:rFonts w:cs="Arial"/>
                <w:color w:val="000000"/>
                <w:sz w:val="20"/>
                <w:szCs w:val="20"/>
              </w:rPr>
              <w:t xml:space="preserve">517 672 349,20 </w:t>
            </w:r>
            <w:r w:rsidRPr="00A20C94">
              <w:rPr>
                <w:rFonts w:cs="Arial"/>
                <w:sz w:val="20"/>
                <w:szCs w:val="20"/>
              </w:rPr>
              <w:t>zł</w:t>
            </w:r>
          </w:p>
        </w:tc>
      </w:tr>
      <w:tr w:rsidR="00A35C07" w:rsidRPr="00487C10" w14:paraId="392CFCFE" w14:textId="77777777" w:rsidTr="00930CB8">
        <w:trPr>
          <w:trHeight w:val="300"/>
          <w:jc w:val="center"/>
        </w:trPr>
        <w:tc>
          <w:tcPr>
            <w:tcW w:w="3022" w:type="dxa"/>
            <w:noWrap/>
            <w:vAlign w:val="center"/>
          </w:tcPr>
          <w:p w14:paraId="3EAA51F8" w14:textId="77777777" w:rsidR="00A35C07" w:rsidRPr="00487C10" w:rsidRDefault="00A35C07" w:rsidP="00A35C07">
            <w:pPr>
              <w:jc w:val="center"/>
              <w:rPr>
                <w:rFonts w:cs="Arial"/>
                <w:bCs/>
                <w:sz w:val="20"/>
                <w:szCs w:val="20"/>
              </w:rPr>
            </w:pPr>
            <w:r w:rsidRPr="00487C10">
              <w:rPr>
                <w:rFonts w:cs="Arial"/>
                <w:bCs/>
                <w:sz w:val="20"/>
                <w:szCs w:val="20"/>
              </w:rPr>
              <w:t>Usługi</w:t>
            </w:r>
          </w:p>
        </w:tc>
        <w:tc>
          <w:tcPr>
            <w:tcW w:w="1226" w:type="dxa"/>
            <w:noWrap/>
            <w:vAlign w:val="center"/>
          </w:tcPr>
          <w:p w14:paraId="27176D30" w14:textId="290F7641" w:rsidR="00A35C07" w:rsidRPr="00487C10" w:rsidRDefault="00A35C07" w:rsidP="00A35C07">
            <w:pPr>
              <w:jc w:val="center"/>
              <w:rPr>
                <w:rFonts w:cs="Arial"/>
                <w:sz w:val="20"/>
                <w:szCs w:val="20"/>
              </w:rPr>
            </w:pPr>
            <w:r w:rsidRPr="00A20C94">
              <w:rPr>
                <w:rFonts w:cs="Arial"/>
                <w:sz w:val="20"/>
                <w:szCs w:val="20"/>
              </w:rPr>
              <w:t>496</w:t>
            </w:r>
          </w:p>
        </w:tc>
        <w:tc>
          <w:tcPr>
            <w:tcW w:w="4819" w:type="dxa"/>
            <w:vAlign w:val="center"/>
          </w:tcPr>
          <w:p w14:paraId="48C498F6" w14:textId="513863D8" w:rsidR="00A35C07" w:rsidRPr="00487C10" w:rsidRDefault="00A35C07" w:rsidP="00A35C07">
            <w:pPr>
              <w:jc w:val="center"/>
              <w:rPr>
                <w:rFonts w:cs="Arial"/>
                <w:sz w:val="20"/>
                <w:szCs w:val="20"/>
              </w:rPr>
            </w:pPr>
            <w:r w:rsidRPr="00A20C94">
              <w:rPr>
                <w:rFonts w:cs="Arial"/>
                <w:color w:val="000000"/>
                <w:sz w:val="20"/>
                <w:szCs w:val="20"/>
              </w:rPr>
              <w:t xml:space="preserve">1 670 965 866,02 </w:t>
            </w:r>
            <w:r w:rsidRPr="00A20C94">
              <w:rPr>
                <w:rFonts w:cs="Arial"/>
                <w:sz w:val="20"/>
                <w:szCs w:val="20"/>
              </w:rPr>
              <w:t>zł</w:t>
            </w:r>
          </w:p>
        </w:tc>
      </w:tr>
    </w:tbl>
    <w:p w14:paraId="2ADD9A5F" w14:textId="0BD90A41" w:rsidR="00401A48" w:rsidRPr="00D917DA" w:rsidRDefault="004852AE" w:rsidP="00852522">
      <w:pPr>
        <w:pStyle w:val="Nagwek4"/>
      </w:pPr>
      <w:r>
        <w:t xml:space="preserve">2.4. </w:t>
      </w:r>
      <w:r w:rsidR="00401A48" w:rsidRPr="00D917DA">
        <w:t>Zastosowanie kryterium kosztu z wykorzystaniem rachunku kosztów cyklu życia, o którym mowa w art. 245 ust. 1 ustawy Pzp</w:t>
      </w:r>
    </w:p>
    <w:p w14:paraId="02A2F6D0" w14:textId="6BC3C667" w:rsidR="00D917DA" w:rsidRPr="00284073" w:rsidRDefault="00D917DA" w:rsidP="006C14EB">
      <w:pPr>
        <w:pStyle w:val="Legenda"/>
      </w:pPr>
      <w:bookmarkStart w:id="153" w:name="_Toc141276544"/>
      <w:bookmarkStart w:id="154" w:name="_Toc233203394"/>
      <w:r w:rsidRPr="003E238D">
        <w:t xml:space="preserve">Tab. </w:t>
      </w:r>
      <w:fldSimple w:instr=" SEQ Tab. \* ARABIC ">
        <w:r w:rsidR="00017C65">
          <w:rPr>
            <w:noProof/>
          </w:rPr>
          <w:t>22</w:t>
        </w:r>
      </w:fldSimple>
      <w:r w:rsidRPr="003E238D">
        <w:t>. Zielone zamówienia publiczne z zastosowaniem art. 245 ust. 1 ustawy Pzp</w:t>
      </w:r>
      <w:bookmarkEnd w:id="153"/>
      <w:bookmarkEnd w:id="15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245 ust. 1 ustawy Pzp."/>
        <w:tblDescription w:val="Tabela. Zielone zamówienia publiczne z zastosowaniem art. 245 ust. 1 ustawy Pzp."/>
      </w:tblPr>
      <w:tblGrid>
        <w:gridCol w:w="6941"/>
        <w:gridCol w:w="2121"/>
      </w:tblGrid>
      <w:tr w:rsidR="00E32D9A" w:rsidRPr="00487C10" w14:paraId="7335719A" w14:textId="77777777" w:rsidTr="00E32D9A">
        <w:trPr>
          <w:trHeight w:val="300"/>
          <w:jc w:val="center"/>
        </w:trPr>
        <w:tc>
          <w:tcPr>
            <w:tcW w:w="6941" w:type="dxa"/>
            <w:shd w:val="clear" w:color="auto" w:fill="E2EFD9"/>
            <w:noWrap/>
            <w:vAlign w:val="center"/>
          </w:tcPr>
          <w:p w14:paraId="60266BDB" w14:textId="77777777" w:rsidR="00E32D9A" w:rsidRPr="00487C10" w:rsidRDefault="00E32D9A" w:rsidP="00E32D9A">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6F07B0C4" w14:textId="6B91C1AF" w:rsidR="00E32D9A" w:rsidRPr="00487C10" w:rsidRDefault="00E32D9A" w:rsidP="00E32D9A">
            <w:pPr>
              <w:jc w:val="center"/>
              <w:rPr>
                <w:rFonts w:cs="Arial"/>
                <w:sz w:val="20"/>
                <w:szCs w:val="20"/>
              </w:rPr>
            </w:pPr>
            <w:r w:rsidRPr="00A20C94">
              <w:rPr>
                <w:rFonts w:cs="Arial"/>
                <w:sz w:val="20"/>
                <w:szCs w:val="20"/>
              </w:rPr>
              <w:t>41</w:t>
            </w:r>
          </w:p>
        </w:tc>
      </w:tr>
      <w:tr w:rsidR="00E32D9A" w:rsidRPr="00487C10" w14:paraId="6827E147" w14:textId="77777777" w:rsidTr="00E32D9A">
        <w:trPr>
          <w:trHeight w:val="300"/>
          <w:jc w:val="center"/>
        </w:trPr>
        <w:tc>
          <w:tcPr>
            <w:tcW w:w="6941" w:type="dxa"/>
            <w:noWrap/>
            <w:vAlign w:val="center"/>
            <w:hideMark/>
          </w:tcPr>
          <w:p w14:paraId="6454178E" w14:textId="77777777" w:rsidR="00E32D9A" w:rsidRPr="00487C10" w:rsidRDefault="00E32D9A" w:rsidP="00E32D9A">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51C03DD3" w14:textId="77777777" w:rsidR="00E32D9A" w:rsidRPr="00A20C94" w:rsidRDefault="00E32D9A" w:rsidP="00E32D9A">
            <w:pPr>
              <w:jc w:val="center"/>
              <w:rPr>
                <w:rFonts w:cs="Arial"/>
                <w:sz w:val="20"/>
                <w:szCs w:val="20"/>
              </w:rPr>
            </w:pPr>
            <w:r w:rsidRPr="00A20C94">
              <w:rPr>
                <w:rFonts w:cs="Arial"/>
                <w:color w:val="000000"/>
                <w:sz w:val="20"/>
                <w:szCs w:val="20"/>
              </w:rPr>
              <w:t xml:space="preserve">303 408 799,42 </w:t>
            </w:r>
            <w:r w:rsidRPr="00A20C94">
              <w:rPr>
                <w:rFonts w:cs="Arial"/>
                <w:sz w:val="20"/>
                <w:szCs w:val="20"/>
              </w:rPr>
              <w:t>zł</w:t>
            </w:r>
          </w:p>
          <w:p w14:paraId="69C2C67F" w14:textId="5710AD2E" w:rsidR="00E32D9A" w:rsidRPr="00487C10" w:rsidRDefault="00E32D9A" w:rsidP="00E32D9A">
            <w:pPr>
              <w:jc w:val="center"/>
              <w:rPr>
                <w:rFonts w:cs="Arial"/>
                <w:sz w:val="20"/>
                <w:szCs w:val="20"/>
              </w:rPr>
            </w:pPr>
            <w:r w:rsidRPr="00A20C94">
              <w:rPr>
                <w:rFonts w:cs="Arial"/>
                <w:sz w:val="20"/>
                <w:szCs w:val="20"/>
              </w:rPr>
              <w:t>(wartość bez VAT)</w:t>
            </w:r>
          </w:p>
        </w:tc>
      </w:tr>
    </w:tbl>
    <w:p w14:paraId="5CFA49B1" w14:textId="3C5B3092" w:rsidR="00401A48" w:rsidRDefault="00401A48"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245 ust. 1 ustawy Pzp."/>
        <w:tblDescription w:val="Tabela. Zielone zamówienia publiczne z zastosowaniem art. 245 ust. 1 ustawy Pzp."/>
      </w:tblPr>
      <w:tblGrid>
        <w:gridCol w:w="3022"/>
        <w:gridCol w:w="1368"/>
        <w:gridCol w:w="4677"/>
      </w:tblGrid>
      <w:tr w:rsidR="001C5266" w:rsidRPr="00487C10" w14:paraId="26F3E995" w14:textId="77777777" w:rsidTr="007C3E50">
        <w:trPr>
          <w:trHeight w:val="300"/>
          <w:tblHeader/>
          <w:jc w:val="center"/>
        </w:trPr>
        <w:tc>
          <w:tcPr>
            <w:tcW w:w="3022" w:type="dxa"/>
            <w:shd w:val="clear" w:color="auto" w:fill="C5E0B3" w:themeFill="accent6" w:themeFillTint="66"/>
            <w:noWrap/>
            <w:vAlign w:val="center"/>
          </w:tcPr>
          <w:p w14:paraId="3241FFD6" w14:textId="77777777" w:rsidR="001C5266" w:rsidRPr="00487C10" w:rsidRDefault="001C5266" w:rsidP="007C3E50">
            <w:pPr>
              <w:jc w:val="center"/>
              <w:rPr>
                <w:rFonts w:cs="Arial"/>
                <w:b/>
                <w:sz w:val="20"/>
                <w:szCs w:val="20"/>
              </w:rPr>
            </w:pPr>
            <w:r w:rsidRPr="00487C10">
              <w:rPr>
                <w:rFonts w:cs="Arial"/>
                <w:b/>
                <w:bCs/>
                <w:sz w:val="20"/>
                <w:szCs w:val="20"/>
              </w:rPr>
              <w:t>Rodzaj zamówienia</w:t>
            </w:r>
          </w:p>
        </w:tc>
        <w:tc>
          <w:tcPr>
            <w:tcW w:w="1368" w:type="dxa"/>
            <w:shd w:val="clear" w:color="auto" w:fill="C5E0B3" w:themeFill="accent6" w:themeFillTint="66"/>
            <w:vAlign w:val="center"/>
          </w:tcPr>
          <w:p w14:paraId="290090D5" w14:textId="77777777" w:rsidR="001C5266" w:rsidRPr="00487C10" w:rsidRDefault="001C5266" w:rsidP="007C3E50">
            <w:pPr>
              <w:jc w:val="center"/>
              <w:rPr>
                <w:rFonts w:cs="Arial"/>
                <w:b/>
                <w:sz w:val="20"/>
                <w:szCs w:val="20"/>
              </w:rPr>
            </w:pPr>
            <w:r w:rsidRPr="00487C10">
              <w:rPr>
                <w:rFonts w:cs="Arial"/>
                <w:b/>
                <w:sz w:val="20"/>
                <w:szCs w:val="20"/>
              </w:rPr>
              <w:t>Liczba</w:t>
            </w:r>
          </w:p>
        </w:tc>
        <w:tc>
          <w:tcPr>
            <w:tcW w:w="4677" w:type="dxa"/>
            <w:shd w:val="clear" w:color="auto" w:fill="C5E0B3" w:themeFill="accent6" w:themeFillTint="66"/>
            <w:vAlign w:val="center"/>
          </w:tcPr>
          <w:p w14:paraId="15C0F7ED" w14:textId="77777777" w:rsidR="001C5266" w:rsidRPr="00487C10" w:rsidRDefault="001C5266" w:rsidP="007C3E50">
            <w:pPr>
              <w:jc w:val="center"/>
              <w:rPr>
                <w:rFonts w:cs="Arial"/>
                <w:b/>
                <w:sz w:val="20"/>
                <w:szCs w:val="20"/>
              </w:rPr>
            </w:pPr>
            <w:r w:rsidRPr="00487C10">
              <w:rPr>
                <w:rFonts w:cs="Arial"/>
                <w:b/>
                <w:sz w:val="20"/>
                <w:szCs w:val="20"/>
              </w:rPr>
              <w:t>Wartość (bez VAT)</w:t>
            </w:r>
          </w:p>
        </w:tc>
      </w:tr>
      <w:tr w:rsidR="00E32D9A" w:rsidRPr="00487C10" w14:paraId="5C94694D" w14:textId="77777777" w:rsidTr="007C3E50">
        <w:trPr>
          <w:trHeight w:val="300"/>
          <w:jc w:val="center"/>
        </w:trPr>
        <w:tc>
          <w:tcPr>
            <w:tcW w:w="3022" w:type="dxa"/>
            <w:noWrap/>
            <w:vAlign w:val="center"/>
          </w:tcPr>
          <w:p w14:paraId="7654D297" w14:textId="77777777" w:rsidR="00E32D9A" w:rsidRPr="00487C10" w:rsidRDefault="00E32D9A" w:rsidP="00E32D9A">
            <w:pPr>
              <w:jc w:val="center"/>
              <w:rPr>
                <w:rFonts w:cs="Arial"/>
                <w:bCs/>
                <w:sz w:val="20"/>
                <w:szCs w:val="20"/>
              </w:rPr>
            </w:pPr>
            <w:r w:rsidRPr="00487C10">
              <w:rPr>
                <w:rFonts w:cs="Arial"/>
                <w:bCs/>
                <w:sz w:val="20"/>
                <w:szCs w:val="20"/>
              </w:rPr>
              <w:t>Dostawy</w:t>
            </w:r>
          </w:p>
        </w:tc>
        <w:tc>
          <w:tcPr>
            <w:tcW w:w="1368" w:type="dxa"/>
            <w:noWrap/>
            <w:vAlign w:val="center"/>
          </w:tcPr>
          <w:p w14:paraId="2F1FE66A" w14:textId="46A0D59D" w:rsidR="00E32D9A" w:rsidRPr="00487C10" w:rsidRDefault="00E32D9A" w:rsidP="00E32D9A">
            <w:pPr>
              <w:jc w:val="center"/>
              <w:rPr>
                <w:rFonts w:cs="Arial"/>
                <w:sz w:val="20"/>
                <w:szCs w:val="20"/>
              </w:rPr>
            </w:pPr>
            <w:r w:rsidRPr="00A20C94">
              <w:rPr>
                <w:rFonts w:cs="Arial"/>
                <w:sz w:val="20"/>
                <w:szCs w:val="20"/>
              </w:rPr>
              <w:t>35</w:t>
            </w:r>
          </w:p>
        </w:tc>
        <w:tc>
          <w:tcPr>
            <w:tcW w:w="4677" w:type="dxa"/>
            <w:vAlign w:val="center"/>
          </w:tcPr>
          <w:p w14:paraId="75D73836" w14:textId="232FB4C4" w:rsidR="00E32D9A" w:rsidRPr="00487C10" w:rsidRDefault="00E32D9A" w:rsidP="00E32D9A">
            <w:pPr>
              <w:jc w:val="center"/>
              <w:rPr>
                <w:rFonts w:cs="Arial"/>
                <w:sz w:val="20"/>
                <w:szCs w:val="20"/>
              </w:rPr>
            </w:pPr>
            <w:r w:rsidRPr="00A20C94">
              <w:rPr>
                <w:rFonts w:cs="Arial"/>
                <w:color w:val="000000"/>
                <w:sz w:val="20"/>
                <w:szCs w:val="20"/>
              </w:rPr>
              <w:t xml:space="preserve">294 907 928,67 </w:t>
            </w:r>
            <w:r w:rsidRPr="00A20C94">
              <w:rPr>
                <w:rFonts w:cs="Arial"/>
                <w:sz w:val="20"/>
                <w:szCs w:val="20"/>
              </w:rPr>
              <w:t>zł</w:t>
            </w:r>
          </w:p>
        </w:tc>
      </w:tr>
      <w:tr w:rsidR="00E32D9A" w:rsidRPr="00487C10" w14:paraId="4117E60A" w14:textId="77777777" w:rsidTr="007C3E50">
        <w:trPr>
          <w:trHeight w:val="300"/>
          <w:jc w:val="center"/>
        </w:trPr>
        <w:tc>
          <w:tcPr>
            <w:tcW w:w="3022" w:type="dxa"/>
            <w:shd w:val="clear" w:color="auto" w:fill="E2EFD9" w:themeFill="accent6" w:themeFillTint="33"/>
            <w:noWrap/>
            <w:vAlign w:val="center"/>
            <w:hideMark/>
          </w:tcPr>
          <w:p w14:paraId="44988836" w14:textId="77777777" w:rsidR="00E32D9A" w:rsidRPr="00487C10" w:rsidRDefault="00E32D9A" w:rsidP="00E32D9A">
            <w:pPr>
              <w:jc w:val="center"/>
              <w:rPr>
                <w:rFonts w:cs="Arial"/>
                <w:bCs/>
                <w:sz w:val="20"/>
                <w:szCs w:val="20"/>
              </w:rPr>
            </w:pPr>
            <w:r w:rsidRPr="00487C10">
              <w:rPr>
                <w:rFonts w:cs="Arial"/>
                <w:bCs/>
                <w:sz w:val="20"/>
                <w:szCs w:val="20"/>
              </w:rPr>
              <w:t>Roboty budowlane</w:t>
            </w:r>
          </w:p>
        </w:tc>
        <w:tc>
          <w:tcPr>
            <w:tcW w:w="1368" w:type="dxa"/>
            <w:shd w:val="clear" w:color="auto" w:fill="E2EFD9" w:themeFill="accent6" w:themeFillTint="33"/>
            <w:noWrap/>
            <w:vAlign w:val="center"/>
          </w:tcPr>
          <w:p w14:paraId="2AAE6645" w14:textId="783676AD" w:rsidR="00E32D9A" w:rsidRPr="00487C10" w:rsidRDefault="00E32D9A" w:rsidP="00E32D9A">
            <w:pPr>
              <w:jc w:val="center"/>
              <w:rPr>
                <w:rFonts w:cs="Arial"/>
                <w:sz w:val="20"/>
                <w:szCs w:val="20"/>
              </w:rPr>
            </w:pPr>
            <w:r w:rsidRPr="00A20C94">
              <w:rPr>
                <w:rFonts w:cs="Arial"/>
                <w:sz w:val="20"/>
                <w:szCs w:val="20"/>
              </w:rPr>
              <w:t>0</w:t>
            </w:r>
          </w:p>
        </w:tc>
        <w:tc>
          <w:tcPr>
            <w:tcW w:w="4677" w:type="dxa"/>
            <w:shd w:val="clear" w:color="auto" w:fill="E2EFD9" w:themeFill="accent6" w:themeFillTint="33"/>
            <w:vAlign w:val="center"/>
          </w:tcPr>
          <w:p w14:paraId="7F96390F" w14:textId="5C73C2E2" w:rsidR="00E32D9A" w:rsidRPr="00487C10" w:rsidRDefault="00E32D9A" w:rsidP="00E32D9A">
            <w:pPr>
              <w:jc w:val="center"/>
              <w:rPr>
                <w:rFonts w:cs="Arial"/>
                <w:sz w:val="20"/>
                <w:szCs w:val="20"/>
              </w:rPr>
            </w:pPr>
            <w:r w:rsidRPr="00A20C94">
              <w:rPr>
                <w:rFonts w:cs="Arial"/>
                <w:sz w:val="20"/>
                <w:szCs w:val="20"/>
              </w:rPr>
              <w:t>0,00 zł</w:t>
            </w:r>
          </w:p>
        </w:tc>
      </w:tr>
      <w:tr w:rsidR="00E32D9A" w:rsidRPr="00487C10" w14:paraId="6C2E2F28" w14:textId="77777777" w:rsidTr="007C3E50">
        <w:trPr>
          <w:trHeight w:val="300"/>
          <w:jc w:val="center"/>
        </w:trPr>
        <w:tc>
          <w:tcPr>
            <w:tcW w:w="3022" w:type="dxa"/>
            <w:noWrap/>
            <w:vAlign w:val="center"/>
          </w:tcPr>
          <w:p w14:paraId="4CE0F58F" w14:textId="77777777" w:rsidR="00E32D9A" w:rsidRPr="00487C10" w:rsidRDefault="00E32D9A" w:rsidP="00E32D9A">
            <w:pPr>
              <w:jc w:val="center"/>
              <w:rPr>
                <w:rFonts w:cs="Arial"/>
                <w:bCs/>
                <w:sz w:val="20"/>
                <w:szCs w:val="20"/>
              </w:rPr>
            </w:pPr>
            <w:r w:rsidRPr="00487C10">
              <w:rPr>
                <w:rFonts w:cs="Arial"/>
                <w:bCs/>
                <w:sz w:val="20"/>
                <w:szCs w:val="20"/>
              </w:rPr>
              <w:t>Usługi</w:t>
            </w:r>
          </w:p>
        </w:tc>
        <w:tc>
          <w:tcPr>
            <w:tcW w:w="1368" w:type="dxa"/>
            <w:noWrap/>
            <w:vAlign w:val="center"/>
          </w:tcPr>
          <w:p w14:paraId="6D394650" w14:textId="600831A4" w:rsidR="00E32D9A" w:rsidRPr="00487C10" w:rsidRDefault="00E32D9A" w:rsidP="00E32D9A">
            <w:pPr>
              <w:jc w:val="center"/>
              <w:rPr>
                <w:rFonts w:cs="Arial"/>
                <w:sz w:val="20"/>
                <w:szCs w:val="20"/>
              </w:rPr>
            </w:pPr>
            <w:r w:rsidRPr="00A20C94">
              <w:rPr>
                <w:rFonts w:cs="Arial"/>
                <w:sz w:val="20"/>
                <w:szCs w:val="20"/>
              </w:rPr>
              <w:t>6</w:t>
            </w:r>
          </w:p>
        </w:tc>
        <w:tc>
          <w:tcPr>
            <w:tcW w:w="4677" w:type="dxa"/>
            <w:vAlign w:val="center"/>
          </w:tcPr>
          <w:p w14:paraId="494B6352" w14:textId="35653CBE" w:rsidR="00E32D9A" w:rsidRPr="00487C10" w:rsidRDefault="00E32D9A" w:rsidP="00E32D9A">
            <w:pPr>
              <w:jc w:val="center"/>
              <w:rPr>
                <w:rFonts w:cs="Arial"/>
                <w:sz w:val="20"/>
                <w:szCs w:val="20"/>
              </w:rPr>
            </w:pPr>
            <w:r w:rsidRPr="00A20C94">
              <w:rPr>
                <w:rFonts w:cs="Arial"/>
                <w:color w:val="000000"/>
                <w:sz w:val="20"/>
                <w:szCs w:val="20"/>
              </w:rPr>
              <w:t xml:space="preserve">8 500 870,75 </w:t>
            </w:r>
            <w:r w:rsidRPr="00A20C94">
              <w:rPr>
                <w:rFonts w:cs="Arial"/>
                <w:sz w:val="20"/>
                <w:szCs w:val="20"/>
              </w:rPr>
              <w:t>zł</w:t>
            </w:r>
          </w:p>
        </w:tc>
      </w:tr>
    </w:tbl>
    <w:p w14:paraId="56E34223" w14:textId="35E03569" w:rsidR="00401A48" w:rsidRPr="00BC7B1D" w:rsidRDefault="00EE0F50" w:rsidP="00852522">
      <w:pPr>
        <w:pStyle w:val="Nagwek4"/>
      </w:pPr>
      <w:r>
        <w:t xml:space="preserve">2.5. </w:t>
      </w:r>
      <w:r w:rsidR="00401A48" w:rsidRPr="00BC7B1D">
        <w:t>Określenie wymagań zw. z realizacją zamówienia obejmujących aspekty środowiskowe, o których mowa w art. 96 ust. 1 ustawy Pzp</w:t>
      </w:r>
    </w:p>
    <w:p w14:paraId="71FC1C00" w14:textId="63B2CD0E" w:rsidR="00BC7B1D" w:rsidRPr="00284073" w:rsidRDefault="00BC7B1D" w:rsidP="006C14EB">
      <w:pPr>
        <w:pStyle w:val="Legenda"/>
      </w:pPr>
      <w:bookmarkStart w:id="155" w:name="_Toc141276545"/>
      <w:bookmarkStart w:id="156" w:name="_Toc233203395"/>
      <w:r w:rsidRPr="003E238D">
        <w:t xml:space="preserve">Tab. </w:t>
      </w:r>
      <w:fldSimple w:instr=" SEQ Tab. \* ARABIC ">
        <w:r w:rsidR="00017C65">
          <w:rPr>
            <w:noProof/>
          </w:rPr>
          <w:t>23</w:t>
        </w:r>
      </w:fldSimple>
      <w:r w:rsidRPr="003E238D">
        <w:t>. Zamówienia publiczne z zastosowaniem art. 96 ust. 1 ustawy Pzp</w:t>
      </w:r>
      <w:bookmarkEnd w:id="155"/>
      <w:bookmarkEnd w:id="15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96 ust. 1 ustawy Pzp."/>
        <w:tblDescription w:val="Tabela. Zamówienia publiczne z zastosowaniem art. 96 ust. 1 ustawy Pzp."/>
      </w:tblPr>
      <w:tblGrid>
        <w:gridCol w:w="6941"/>
        <w:gridCol w:w="2121"/>
      </w:tblGrid>
      <w:tr w:rsidR="0007782C" w:rsidRPr="00487C10" w14:paraId="652A08CA" w14:textId="77777777" w:rsidTr="0007782C">
        <w:trPr>
          <w:trHeight w:val="300"/>
          <w:jc w:val="center"/>
        </w:trPr>
        <w:tc>
          <w:tcPr>
            <w:tcW w:w="6941" w:type="dxa"/>
            <w:shd w:val="clear" w:color="auto" w:fill="E2EFD9"/>
            <w:noWrap/>
            <w:vAlign w:val="center"/>
          </w:tcPr>
          <w:p w14:paraId="66117DA6" w14:textId="77777777" w:rsidR="0007782C" w:rsidRPr="00487C10" w:rsidRDefault="0007782C" w:rsidP="0007782C">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046231EE" w14:textId="2CD2BAD2" w:rsidR="0007782C" w:rsidRPr="00487C10" w:rsidRDefault="0007782C" w:rsidP="0007782C">
            <w:pPr>
              <w:jc w:val="center"/>
              <w:rPr>
                <w:rFonts w:cs="Arial"/>
                <w:sz w:val="20"/>
                <w:szCs w:val="20"/>
              </w:rPr>
            </w:pPr>
            <w:r w:rsidRPr="00A20C94">
              <w:rPr>
                <w:rFonts w:cs="Arial"/>
                <w:color w:val="000000"/>
                <w:sz w:val="20"/>
                <w:szCs w:val="20"/>
              </w:rPr>
              <w:t>1</w:t>
            </w:r>
            <w:r>
              <w:rPr>
                <w:rFonts w:cs="Arial"/>
                <w:color w:val="000000"/>
                <w:sz w:val="20"/>
                <w:szCs w:val="20"/>
              </w:rPr>
              <w:t xml:space="preserve"> </w:t>
            </w:r>
            <w:r w:rsidRPr="00A20C94">
              <w:rPr>
                <w:rFonts w:cs="Arial"/>
                <w:color w:val="000000"/>
                <w:sz w:val="20"/>
                <w:szCs w:val="20"/>
              </w:rPr>
              <w:t>610</w:t>
            </w:r>
          </w:p>
        </w:tc>
      </w:tr>
      <w:tr w:rsidR="0007782C" w:rsidRPr="00487C10" w14:paraId="7A3937EA" w14:textId="77777777" w:rsidTr="0007782C">
        <w:trPr>
          <w:trHeight w:val="300"/>
          <w:jc w:val="center"/>
        </w:trPr>
        <w:tc>
          <w:tcPr>
            <w:tcW w:w="6941" w:type="dxa"/>
            <w:noWrap/>
            <w:vAlign w:val="center"/>
            <w:hideMark/>
          </w:tcPr>
          <w:p w14:paraId="18A0074D" w14:textId="77777777" w:rsidR="0007782C" w:rsidRPr="00487C10" w:rsidRDefault="0007782C" w:rsidP="0007782C">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11414317" w14:textId="77777777" w:rsidR="0007782C" w:rsidRPr="00A20C94" w:rsidRDefault="0007782C" w:rsidP="0007782C">
            <w:pPr>
              <w:jc w:val="center"/>
              <w:rPr>
                <w:rFonts w:cs="Arial"/>
                <w:sz w:val="20"/>
                <w:szCs w:val="20"/>
              </w:rPr>
            </w:pPr>
            <w:r w:rsidRPr="00A20C94">
              <w:rPr>
                <w:rFonts w:cs="Arial"/>
                <w:color w:val="000000"/>
                <w:sz w:val="20"/>
                <w:szCs w:val="20"/>
              </w:rPr>
              <w:t xml:space="preserve">8 304 732 744,77 </w:t>
            </w:r>
            <w:r w:rsidRPr="00A20C94">
              <w:rPr>
                <w:rFonts w:cs="Arial"/>
                <w:sz w:val="20"/>
                <w:szCs w:val="20"/>
              </w:rPr>
              <w:t>zł</w:t>
            </w:r>
          </w:p>
          <w:p w14:paraId="258025C3" w14:textId="0FB78F6B" w:rsidR="0007782C" w:rsidRPr="00487C10" w:rsidRDefault="0007782C" w:rsidP="0007782C">
            <w:pPr>
              <w:jc w:val="center"/>
              <w:rPr>
                <w:rFonts w:cs="Arial"/>
                <w:sz w:val="20"/>
                <w:szCs w:val="20"/>
              </w:rPr>
            </w:pPr>
            <w:r w:rsidRPr="00A20C94">
              <w:rPr>
                <w:rFonts w:cs="Arial"/>
                <w:sz w:val="20"/>
                <w:szCs w:val="20"/>
              </w:rPr>
              <w:t>(wartość bez VAT)</w:t>
            </w:r>
          </w:p>
        </w:tc>
      </w:tr>
    </w:tbl>
    <w:p w14:paraId="0022FA9B" w14:textId="20261BCD" w:rsidR="00401A48" w:rsidRDefault="00401A48"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96 ust. 1 ustawy Pzp."/>
        <w:tblDescription w:val="Tabela. Zamówienia publiczne z zastosowaniem art. 96 ust. 1 ustawy Pzp."/>
      </w:tblPr>
      <w:tblGrid>
        <w:gridCol w:w="3022"/>
        <w:gridCol w:w="1226"/>
        <w:gridCol w:w="4819"/>
      </w:tblGrid>
      <w:tr w:rsidR="009536A1" w:rsidRPr="00487C10" w14:paraId="0D1AB827" w14:textId="77777777" w:rsidTr="007C3E50">
        <w:trPr>
          <w:trHeight w:val="300"/>
          <w:tblHeader/>
          <w:jc w:val="center"/>
        </w:trPr>
        <w:tc>
          <w:tcPr>
            <w:tcW w:w="3022" w:type="dxa"/>
            <w:shd w:val="clear" w:color="auto" w:fill="C5E0B3" w:themeFill="accent6" w:themeFillTint="66"/>
            <w:noWrap/>
            <w:vAlign w:val="center"/>
          </w:tcPr>
          <w:p w14:paraId="6FC4BB60" w14:textId="77777777" w:rsidR="009536A1" w:rsidRPr="00487C10" w:rsidRDefault="009536A1" w:rsidP="007C3E50">
            <w:pPr>
              <w:jc w:val="center"/>
              <w:rPr>
                <w:rFonts w:cs="Arial"/>
                <w:b/>
                <w:sz w:val="20"/>
                <w:szCs w:val="20"/>
              </w:rPr>
            </w:pPr>
            <w:r w:rsidRPr="00487C10">
              <w:rPr>
                <w:rFonts w:cs="Arial"/>
                <w:b/>
                <w:bCs/>
                <w:sz w:val="20"/>
                <w:szCs w:val="20"/>
              </w:rPr>
              <w:t>Rodzaj zamówienia</w:t>
            </w:r>
          </w:p>
        </w:tc>
        <w:tc>
          <w:tcPr>
            <w:tcW w:w="1226" w:type="dxa"/>
            <w:shd w:val="clear" w:color="auto" w:fill="C5E0B3" w:themeFill="accent6" w:themeFillTint="66"/>
            <w:vAlign w:val="center"/>
          </w:tcPr>
          <w:p w14:paraId="695544AA" w14:textId="77777777" w:rsidR="009536A1" w:rsidRPr="00487C10" w:rsidRDefault="009536A1" w:rsidP="007C3E50">
            <w:pPr>
              <w:jc w:val="center"/>
              <w:rPr>
                <w:rFonts w:cs="Arial"/>
                <w:b/>
                <w:sz w:val="20"/>
                <w:szCs w:val="20"/>
              </w:rPr>
            </w:pPr>
            <w:r w:rsidRPr="00487C10">
              <w:rPr>
                <w:rFonts w:cs="Arial"/>
                <w:b/>
                <w:sz w:val="20"/>
                <w:szCs w:val="20"/>
              </w:rPr>
              <w:t>Liczba</w:t>
            </w:r>
          </w:p>
        </w:tc>
        <w:tc>
          <w:tcPr>
            <w:tcW w:w="4819" w:type="dxa"/>
            <w:shd w:val="clear" w:color="auto" w:fill="C5E0B3" w:themeFill="accent6" w:themeFillTint="66"/>
            <w:vAlign w:val="center"/>
          </w:tcPr>
          <w:p w14:paraId="07381217" w14:textId="77777777" w:rsidR="009536A1" w:rsidRPr="00487C10" w:rsidRDefault="009536A1" w:rsidP="007C3E50">
            <w:pPr>
              <w:jc w:val="center"/>
              <w:rPr>
                <w:rFonts w:cs="Arial"/>
                <w:b/>
                <w:sz w:val="20"/>
                <w:szCs w:val="20"/>
              </w:rPr>
            </w:pPr>
            <w:r w:rsidRPr="00487C10">
              <w:rPr>
                <w:rFonts w:cs="Arial"/>
                <w:b/>
                <w:sz w:val="20"/>
                <w:szCs w:val="20"/>
              </w:rPr>
              <w:t>Wartość (bez VAT)</w:t>
            </w:r>
          </w:p>
        </w:tc>
      </w:tr>
      <w:tr w:rsidR="0007782C" w:rsidRPr="00487C10" w14:paraId="4CB9F0A0" w14:textId="77777777" w:rsidTr="007C3E50">
        <w:trPr>
          <w:trHeight w:val="300"/>
          <w:jc w:val="center"/>
        </w:trPr>
        <w:tc>
          <w:tcPr>
            <w:tcW w:w="3022" w:type="dxa"/>
            <w:noWrap/>
            <w:vAlign w:val="center"/>
          </w:tcPr>
          <w:p w14:paraId="551761B2" w14:textId="77777777" w:rsidR="0007782C" w:rsidRPr="00487C10" w:rsidRDefault="0007782C" w:rsidP="0007782C">
            <w:pPr>
              <w:jc w:val="center"/>
              <w:rPr>
                <w:rFonts w:cs="Arial"/>
                <w:bCs/>
                <w:sz w:val="20"/>
                <w:szCs w:val="20"/>
              </w:rPr>
            </w:pPr>
            <w:r w:rsidRPr="00487C10">
              <w:rPr>
                <w:rFonts w:cs="Arial"/>
                <w:bCs/>
                <w:sz w:val="20"/>
                <w:szCs w:val="20"/>
              </w:rPr>
              <w:t>Dostawy</w:t>
            </w:r>
          </w:p>
        </w:tc>
        <w:tc>
          <w:tcPr>
            <w:tcW w:w="1226" w:type="dxa"/>
            <w:noWrap/>
            <w:vAlign w:val="center"/>
          </w:tcPr>
          <w:p w14:paraId="7D0BC5F9" w14:textId="58E7C3D7" w:rsidR="0007782C" w:rsidRPr="00487C10" w:rsidRDefault="0007782C" w:rsidP="0007782C">
            <w:pPr>
              <w:jc w:val="center"/>
              <w:rPr>
                <w:rFonts w:cs="Arial"/>
                <w:sz w:val="20"/>
                <w:szCs w:val="20"/>
              </w:rPr>
            </w:pPr>
            <w:r w:rsidRPr="00A20C94">
              <w:rPr>
                <w:rFonts w:cs="Arial"/>
                <w:sz w:val="20"/>
                <w:szCs w:val="20"/>
              </w:rPr>
              <w:t>378</w:t>
            </w:r>
          </w:p>
        </w:tc>
        <w:tc>
          <w:tcPr>
            <w:tcW w:w="4819" w:type="dxa"/>
            <w:vAlign w:val="center"/>
          </w:tcPr>
          <w:p w14:paraId="47B6D944" w14:textId="4E50FE60" w:rsidR="0007782C" w:rsidRPr="00487C10" w:rsidRDefault="0007782C" w:rsidP="0007782C">
            <w:pPr>
              <w:jc w:val="center"/>
              <w:rPr>
                <w:rFonts w:cs="Arial"/>
                <w:sz w:val="20"/>
                <w:szCs w:val="20"/>
              </w:rPr>
            </w:pPr>
            <w:r w:rsidRPr="00A20C94">
              <w:rPr>
                <w:rFonts w:cs="Arial"/>
                <w:color w:val="000000"/>
                <w:sz w:val="20"/>
                <w:szCs w:val="20"/>
              </w:rPr>
              <w:t xml:space="preserve">2 939 852 270,68 </w:t>
            </w:r>
            <w:r w:rsidRPr="00A20C94">
              <w:rPr>
                <w:rFonts w:cs="Arial"/>
                <w:sz w:val="20"/>
                <w:szCs w:val="20"/>
              </w:rPr>
              <w:t>zł</w:t>
            </w:r>
          </w:p>
        </w:tc>
      </w:tr>
      <w:tr w:rsidR="0007782C" w:rsidRPr="00487C10" w14:paraId="33248C4F" w14:textId="77777777" w:rsidTr="007C3E50">
        <w:trPr>
          <w:trHeight w:val="300"/>
          <w:jc w:val="center"/>
        </w:trPr>
        <w:tc>
          <w:tcPr>
            <w:tcW w:w="3022" w:type="dxa"/>
            <w:shd w:val="clear" w:color="auto" w:fill="E2EFD9" w:themeFill="accent6" w:themeFillTint="33"/>
            <w:noWrap/>
            <w:vAlign w:val="center"/>
            <w:hideMark/>
          </w:tcPr>
          <w:p w14:paraId="14510BAF" w14:textId="77777777" w:rsidR="0007782C" w:rsidRPr="00487C10" w:rsidRDefault="0007782C" w:rsidP="0007782C">
            <w:pPr>
              <w:jc w:val="center"/>
              <w:rPr>
                <w:rFonts w:cs="Arial"/>
                <w:bCs/>
                <w:sz w:val="20"/>
                <w:szCs w:val="20"/>
              </w:rPr>
            </w:pPr>
            <w:r w:rsidRPr="00487C10">
              <w:rPr>
                <w:rFonts w:cs="Arial"/>
                <w:bCs/>
                <w:sz w:val="20"/>
                <w:szCs w:val="20"/>
              </w:rPr>
              <w:t>Roboty budowlane</w:t>
            </w:r>
          </w:p>
        </w:tc>
        <w:tc>
          <w:tcPr>
            <w:tcW w:w="1226" w:type="dxa"/>
            <w:shd w:val="clear" w:color="auto" w:fill="E2EFD9" w:themeFill="accent6" w:themeFillTint="33"/>
            <w:noWrap/>
            <w:vAlign w:val="center"/>
          </w:tcPr>
          <w:p w14:paraId="0439FF16" w14:textId="143B789A" w:rsidR="0007782C" w:rsidRPr="00487C10" w:rsidRDefault="0007782C" w:rsidP="0007782C">
            <w:pPr>
              <w:jc w:val="center"/>
              <w:rPr>
                <w:rFonts w:cs="Arial"/>
                <w:sz w:val="20"/>
                <w:szCs w:val="20"/>
              </w:rPr>
            </w:pPr>
            <w:r w:rsidRPr="00A20C94">
              <w:rPr>
                <w:rFonts w:cs="Arial"/>
                <w:color w:val="000000"/>
                <w:sz w:val="20"/>
                <w:szCs w:val="20"/>
              </w:rPr>
              <w:t>594</w:t>
            </w:r>
          </w:p>
        </w:tc>
        <w:tc>
          <w:tcPr>
            <w:tcW w:w="4819" w:type="dxa"/>
            <w:shd w:val="clear" w:color="auto" w:fill="E2EFD9" w:themeFill="accent6" w:themeFillTint="33"/>
            <w:vAlign w:val="center"/>
          </w:tcPr>
          <w:p w14:paraId="3FFB9F8C" w14:textId="488E699C" w:rsidR="0007782C" w:rsidRPr="00487C10" w:rsidRDefault="0007782C" w:rsidP="0007782C">
            <w:pPr>
              <w:jc w:val="center"/>
              <w:rPr>
                <w:rFonts w:cs="Arial"/>
                <w:sz w:val="20"/>
                <w:szCs w:val="20"/>
              </w:rPr>
            </w:pPr>
            <w:r w:rsidRPr="00A20C94">
              <w:rPr>
                <w:rFonts w:cs="Arial"/>
                <w:color w:val="000000"/>
                <w:sz w:val="20"/>
                <w:szCs w:val="20"/>
              </w:rPr>
              <w:t xml:space="preserve">2 107 880 691,94 </w:t>
            </w:r>
            <w:r w:rsidRPr="00A20C94">
              <w:rPr>
                <w:rFonts w:cs="Arial"/>
                <w:sz w:val="20"/>
                <w:szCs w:val="20"/>
              </w:rPr>
              <w:t>zł</w:t>
            </w:r>
          </w:p>
        </w:tc>
      </w:tr>
      <w:tr w:rsidR="0007782C" w:rsidRPr="00487C10" w14:paraId="429D4CBF" w14:textId="77777777" w:rsidTr="007C3E50">
        <w:trPr>
          <w:trHeight w:val="300"/>
          <w:jc w:val="center"/>
        </w:trPr>
        <w:tc>
          <w:tcPr>
            <w:tcW w:w="3022" w:type="dxa"/>
            <w:noWrap/>
            <w:vAlign w:val="center"/>
          </w:tcPr>
          <w:p w14:paraId="1C27935C" w14:textId="77777777" w:rsidR="0007782C" w:rsidRPr="00487C10" w:rsidRDefault="0007782C" w:rsidP="0007782C">
            <w:pPr>
              <w:jc w:val="center"/>
              <w:rPr>
                <w:rFonts w:cs="Arial"/>
                <w:bCs/>
                <w:sz w:val="20"/>
                <w:szCs w:val="20"/>
              </w:rPr>
            </w:pPr>
            <w:r w:rsidRPr="00487C10">
              <w:rPr>
                <w:rFonts w:cs="Arial"/>
                <w:bCs/>
                <w:sz w:val="20"/>
                <w:szCs w:val="20"/>
              </w:rPr>
              <w:t>Usługi</w:t>
            </w:r>
          </w:p>
        </w:tc>
        <w:tc>
          <w:tcPr>
            <w:tcW w:w="1226" w:type="dxa"/>
            <w:noWrap/>
            <w:vAlign w:val="center"/>
          </w:tcPr>
          <w:p w14:paraId="354CF009" w14:textId="1A767252" w:rsidR="0007782C" w:rsidRPr="00487C10" w:rsidRDefault="0007782C" w:rsidP="0007782C">
            <w:pPr>
              <w:jc w:val="center"/>
              <w:rPr>
                <w:rFonts w:cs="Arial"/>
                <w:sz w:val="20"/>
                <w:szCs w:val="20"/>
              </w:rPr>
            </w:pPr>
            <w:r w:rsidRPr="00A20C94">
              <w:rPr>
                <w:rFonts w:cs="Arial"/>
                <w:color w:val="000000"/>
                <w:sz w:val="20"/>
                <w:szCs w:val="20"/>
              </w:rPr>
              <w:t>638</w:t>
            </w:r>
          </w:p>
        </w:tc>
        <w:tc>
          <w:tcPr>
            <w:tcW w:w="4819" w:type="dxa"/>
            <w:vAlign w:val="center"/>
          </w:tcPr>
          <w:p w14:paraId="63A16B46" w14:textId="4D0C75CD" w:rsidR="0007782C" w:rsidRPr="00487C10" w:rsidRDefault="0007782C" w:rsidP="0007782C">
            <w:pPr>
              <w:jc w:val="center"/>
              <w:rPr>
                <w:rFonts w:cs="Arial"/>
                <w:sz w:val="20"/>
                <w:szCs w:val="20"/>
              </w:rPr>
            </w:pPr>
            <w:r w:rsidRPr="00A20C94">
              <w:rPr>
                <w:rFonts w:cs="Arial"/>
                <w:color w:val="000000"/>
                <w:sz w:val="20"/>
                <w:szCs w:val="20"/>
              </w:rPr>
              <w:t xml:space="preserve">3 256 999 782,15 </w:t>
            </w:r>
            <w:r w:rsidRPr="00A20C94">
              <w:rPr>
                <w:rFonts w:cs="Arial"/>
                <w:sz w:val="20"/>
                <w:szCs w:val="20"/>
              </w:rPr>
              <w:t>zł</w:t>
            </w:r>
          </w:p>
        </w:tc>
      </w:tr>
    </w:tbl>
    <w:p w14:paraId="021514AB" w14:textId="219C51CC" w:rsidR="00401A48" w:rsidRPr="00BC7B1D" w:rsidRDefault="00A06B9F" w:rsidP="00852522">
      <w:pPr>
        <w:pStyle w:val="Nagwek4"/>
      </w:pPr>
      <w:r>
        <w:t xml:space="preserve">2.6. </w:t>
      </w:r>
      <w:r w:rsidR="00401A48" w:rsidRPr="00BC7B1D">
        <w:t>Określenie etykiety związanej z aspektami środowiskowym i albo innego przedmiotowego środka dowodowego, o których mowa w art. 104 ustawy Pzp</w:t>
      </w:r>
    </w:p>
    <w:p w14:paraId="3779DB0C" w14:textId="63A82FEC" w:rsidR="00BC7B1D" w:rsidRPr="00667A9B" w:rsidRDefault="00BC7B1D" w:rsidP="006C14EB">
      <w:pPr>
        <w:pStyle w:val="Legenda"/>
      </w:pPr>
      <w:bookmarkStart w:id="157" w:name="_Toc141276546"/>
      <w:bookmarkStart w:id="158" w:name="_Toc233203396"/>
      <w:r w:rsidRPr="003E238D">
        <w:t xml:space="preserve">Tab. </w:t>
      </w:r>
      <w:fldSimple w:instr=" SEQ Tab. \* ARABIC ">
        <w:r w:rsidR="00017C65">
          <w:rPr>
            <w:noProof/>
          </w:rPr>
          <w:t>24</w:t>
        </w:r>
      </w:fldSimple>
      <w:r w:rsidRPr="003E238D">
        <w:t>. Zamówienia publiczne z zastosowaniem art. 104 ustawy Pzp</w:t>
      </w:r>
      <w:bookmarkEnd w:id="157"/>
      <w:bookmarkEnd w:id="15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104 ustawy Pzp."/>
        <w:tblDescription w:val="Tabela. Zamówienia publiczne z zastosowaniem art. 104 ustawy Pzp."/>
      </w:tblPr>
      <w:tblGrid>
        <w:gridCol w:w="6941"/>
        <w:gridCol w:w="2121"/>
      </w:tblGrid>
      <w:tr w:rsidR="008C6F30" w:rsidRPr="00487C10" w14:paraId="037CE34B" w14:textId="77777777" w:rsidTr="008C6F30">
        <w:trPr>
          <w:trHeight w:val="300"/>
          <w:jc w:val="center"/>
        </w:trPr>
        <w:tc>
          <w:tcPr>
            <w:tcW w:w="6941" w:type="dxa"/>
            <w:shd w:val="clear" w:color="auto" w:fill="E2EFD9"/>
            <w:noWrap/>
            <w:vAlign w:val="center"/>
          </w:tcPr>
          <w:p w14:paraId="0BE12E0D" w14:textId="77777777" w:rsidR="008C6F30" w:rsidRPr="00487C10" w:rsidRDefault="008C6F30" w:rsidP="008C6F30">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57CECF2C" w14:textId="2050E34F" w:rsidR="008C6F30" w:rsidRPr="00487C10" w:rsidRDefault="008C6F30" w:rsidP="008C6F30">
            <w:pPr>
              <w:jc w:val="center"/>
              <w:rPr>
                <w:rFonts w:cs="Arial"/>
                <w:sz w:val="20"/>
                <w:szCs w:val="20"/>
              </w:rPr>
            </w:pPr>
            <w:r w:rsidRPr="00A20C94">
              <w:rPr>
                <w:rFonts w:cs="Arial"/>
                <w:sz w:val="20"/>
                <w:szCs w:val="20"/>
              </w:rPr>
              <w:t>306</w:t>
            </w:r>
          </w:p>
        </w:tc>
      </w:tr>
      <w:tr w:rsidR="008C6F30" w:rsidRPr="00487C10" w14:paraId="31793ADC" w14:textId="77777777" w:rsidTr="008C6F30">
        <w:trPr>
          <w:trHeight w:val="300"/>
          <w:jc w:val="center"/>
        </w:trPr>
        <w:tc>
          <w:tcPr>
            <w:tcW w:w="6941" w:type="dxa"/>
            <w:noWrap/>
            <w:vAlign w:val="center"/>
            <w:hideMark/>
          </w:tcPr>
          <w:p w14:paraId="692873C8" w14:textId="77777777" w:rsidR="008C6F30" w:rsidRPr="00487C10" w:rsidRDefault="008C6F30" w:rsidP="008C6F30">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5A2D1182" w14:textId="77777777" w:rsidR="008C6F30" w:rsidRPr="00A20C94" w:rsidRDefault="008C6F30" w:rsidP="008C6F30">
            <w:pPr>
              <w:jc w:val="center"/>
              <w:rPr>
                <w:rFonts w:cs="Arial"/>
                <w:sz w:val="20"/>
                <w:szCs w:val="20"/>
              </w:rPr>
            </w:pPr>
            <w:r w:rsidRPr="00A20C94">
              <w:rPr>
                <w:rFonts w:cs="Arial"/>
                <w:color w:val="000000"/>
                <w:sz w:val="20"/>
                <w:szCs w:val="20"/>
              </w:rPr>
              <w:t xml:space="preserve">1 063 868 875,87 </w:t>
            </w:r>
            <w:r w:rsidRPr="00A20C94">
              <w:rPr>
                <w:rFonts w:cs="Arial"/>
                <w:sz w:val="20"/>
                <w:szCs w:val="20"/>
              </w:rPr>
              <w:t>zł</w:t>
            </w:r>
          </w:p>
          <w:p w14:paraId="668C14EF" w14:textId="0E0590D4" w:rsidR="008C6F30" w:rsidRPr="00487C10" w:rsidRDefault="008C6F30" w:rsidP="008C6F30">
            <w:pPr>
              <w:jc w:val="center"/>
              <w:rPr>
                <w:rFonts w:cs="Arial"/>
                <w:sz w:val="20"/>
                <w:szCs w:val="20"/>
              </w:rPr>
            </w:pPr>
            <w:r w:rsidRPr="00A20C94">
              <w:rPr>
                <w:rFonts w:cs="Arial"/>
                <w:sz w:val="20"/>
                <w:szCs w:val="20"/>
              </w:rPr>
              <w:t>(wartość bez VAT)</w:t>
            </w:r>
          </w:p>
        </w:tc>
      </w:tr>
    </w:tbl>
    <w:p w14:paraId="12D3DE25" w14:textId="77777777" w:rsidR="00401A48" w:rsidRPr="00487C10" w:rsidRDefault="00401A48"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104 ustawy Pzp."/>
        <w:tblDescription w:val="Tabela. Zamówienia publiczne z zastosowaniem art. 104 ustawy Pzp."/>
      </w:tblPr>
      <w:tblGrid>
        <w:gridCol w:w="3022"/>
        <w:gridCol w:w="1368"/>
        <w:gridCol w:w="4677"/>
      </w:tblGrid>
      <w:tr w:rsidR="00401A48" w:rsidRPr="00487C10" w14:paraId="70B59D4B" w14:textId="77777777" w:rsidTr="00930CB8">
        <w:trPr>
          <w:trHeight w:val="300"/>
          <w:tblHeader/>
          <w:jc w:val="center"/>
        </w:trPr>
        <w:tc>
          <w:tcPr>
            <w:tcW w:w="3022" w:type="dxa"/>
            <w:shd w:val="clear" w:color="auto" w:fill="C5E0B3"/>
            <w:noWrap/>
            <w:vAlign w:val="center"/>
          </w:tcPr>
          <w:p w14:paraId="64FDEB36" w14:textId="77777777" w:rsidR="00401A48" w:rsidRPr="00487C10" w:rsidRDefault="00401A48" w:rsidP="00A06B9F">
            <w:pPr>
              <w:jc w:val="center"/>
              <w:rPr>
                <w:rFonts w:cs="Arial"/>
                <w:b/>
                <w:sz w:val="20"/>
                <w:szCs w:val="20"/>
              </w:rPr>
            </w:pPr>
            <w:r w:rsidRPr="00487C10">
              <w:rPr>
                <w:rFonts w:cs="Arial"/>
                <w:b/>
                <w:bCs/>
                <w:sz w:val="20"/>
                <w:szCs w:val="20"/>
              </w:rPr>
              <w:t>Rodzaj zamówienia</w:t>
            </w:r>
          </w:p>
        </w:tc>
        <w:tc>
          <w:tcPr>
            <w:tcW w:w="1368" w:type="dxa"/>
            <w:shd w:val="clear" w:color="auto" w:fill="C5E0B3"/>
            <w:vAlign w:val="center"/>
          </w:tcPr>
          <w:p w14:paraId="7C35522D" w14:textId="77777777" w:rsidR="00401A48" w:rsidRPr="00487C10" w:rsidRDefault="00401A48" w:rsidP="00A06B9F">
            <w:pPr>
              <w:jc w:val="center"/>
              <w:rPr>
                <w:rFonts w:cs="Arial"/>
                <w:b/>
                <w:sz w:val="20"/>
                <w:szCs w:val="20"/>
              </w:rPr>
            </w:pPr>
            <w:r w:rsidRPr="00487C10">
              <w:rPr>
                <w:rFonts w:cs="Arial"/>
                <w:b/>
                <w:sz w:val="20"/>
                <w:szCs w:val="20"/>
              </w:rPr>
              <w:t>Liczba</w:t>
            </w:r>
          </w:p>
        </w:tc>
        <w:tc>
          <w:tcPr>
            <w:tcW w:w="4677" w:type="dxa"/>
            <w:shd w:val="clear" w:color="auto" w:fill="C5E0B3"/>
            <w:vAlign w:val="center"/>
          </w:tcPr>
          <w:p w14:paraId="249E8734" w14:textId="77777777" w:rsidR="00401A48" w:rsidRPr="00487C10" w:rsidRDefault="00401A48" w:rsidP="00A06B9F">
            <w:pPr>
              <w:jc w:val="center"/>
              <w:rPr>
                <w:rFonts w:cs="Arial"/>
                <w:b/>
                <w:sz w:val="20"/>
                <w:szCs w:val="20"/>
              </w:rPr>
            </w:pPr>
            <w:r w:rsidRPr="00487C10">
              <w:rPr>
                <w:rFonts w:cs="Arial"/>
                <w:b/>
                <w:sz w:val="20"/>
                <w:szCs w:val="20"/>
              </w:rPr>
              <w:t>Wartość (bez VAT)</w:t>
            </w:r>
          </w:p>
        </w:tc>
      </w:tr>
      <w:tr w:rsidR="00034A45" w:rsidRPr="00487C10" w14:paraId="3CAE2599" w14:textId="77777777" w:rsidTr="00930CB8">
        <w:trPr>
          <w:trHeight w:val="300"/>
          <w:jc w:val="center"/>
        </w:trPr>
        <w:tc>
          <w:tcPr>
            <w:tcW w:w="3022" w:type="dxa"/>
            <w:noWrap/>
            <w:vAlign w:val="center"/>
          </w:tcPr>
          <w:p w14:paraId="02604A6C" w14:textId="77777777" w:rsidR="00034A45" w:rsidRPr="00487C10" w:rsidRDefault="00034A45" w:rsidP="00034A45">
            <w:pPr>
              <w:jc w:val="center"/>
              <w:rPr>
                <w:rFonts w:cs="Arial"/>
                <w:bCs/>
                <w:sz w:val="20"/>
                <w:szCs w:val="20"/>
              </w:rPr>
            </w:pPr>
            <w:r w:rsidRPr="00487C10">
              <w:rPr>
                <w:rFonts w:cs="Arial"/>
                <w:bCs/>
                <w:sz w:val="20"/>
                <w:szCs w:val="20"/>
              </w:rPr>
              <w:t>Dostawy</w:t>
            </w:r>
          </w:p>
        </w:tc>
        <w:tc>
          <w:tcPr>
            <w:tcW w:w="1368" w:type="dxa"/>
            <w:noWrap/>
            <w:vAlign w:val="center"/>
          </w:tcPr>
          <w:p w14:paraId="4313D498" w14:textId="09730DB4" w:rsidR="00034A45" w:rsidRPr="00487C10" w:rsidRDefault="00034A45" w:rsidP="00034A45">
            <w:pPr>
              <w:jc w:val="center"/>
              <w:rPr>
                <w:rFonts w:cs="Arial"/>
                <w:sz w:val="20"/>
                <w:szCs w:val="20"/>
              </w:rPr>
            </w:pPr>
            <w:r w:rsidRPr="00A20C94">
              <w:rPr>
                <w:rFonts w:cs="Arial"/>
                <w:sz w:val="20"/>
                <w:szCs w:val="20"/>
              </w:rPr>
              <w:t>226</w:t>
            </w:r>
          </w:p>
        </w:tc>
        <w:tc>
          <w:tcPr>
            <w:tcW w:w="4677" w:type="dxa"/>
            <w:vAlign w:val="center"/>
          </w:tcPr>
          <w:p w14:paraId="6ACFB05F" w14:textId="1DE16A37" w:rsidR="00034A45" w:rsidRPr="00487C10" w:rsidRDefault="00034A45" w:rsidP="00034A45">
            <w:pPr>
              <w:jc w:val="center"/>
              <w:rPr>
                <w:rFonts w:cs="Arial"/>
                <w:sz w:val="20"/>
                <w:szCs w:val="20"/>
              </w:rPr>
            </w:pPr>
            <w:r w:rsidRPr="00A20C94">
              <w:rPr>
                <w:rFonts w:cs="Arial"/>
                <w:color w:val="000000"/>
                <w:sz w:val="20"/>
                <w:szCs w:val="20"/>
              </w:rPr>
              <w:t xml:space="preserve">864 237 088,29 </w:t>
            </w:r>
            <w:r w:rsidRPr="00A20C94">
              <w:rPr>
                <w:rFonts w:cs="Arial"/>
                <w:sz w:val="20"/>
                <w:szCs w:val="20"/>
              </w:rPr>
              <w:t>zł</w:t>
            </w:r>
          </w:p>
        </w:tc>
      </w:tr>
      <w:tr w:rsidR="00034A45" w:rsidRPr="00487C10" w14:paraId="633A44C9" w14:textId="77777777" w:rsidTr="00930CB8">
        <w:trPr>
          <w:trHeight w:val="300"/>
          <w:jc w:val="center"/>
        </w:trPr>
        <w:tc>
          <w:tcPr>
            <w:tcW w:w="3022" w:type="dxa"/>
            <w:shd w:val="clear" w:color="auto" w:fill="E2EFD9"/>
            <w:noWrap/>
            <w:vAlign w:val="center"/>
            <w:hideMark/>
          </w:tcPr>
          <w:p w14:paraId="7FE5266F" w14:textId="77777777" w:rsidR="00034A45" w:rsidRPr="00487C10" w:rsidRDefault="00034A45" w:rsidP="00034A45">
            <w:pPr>
              <w:jc w:val="center"/>
              <w:rPr>
                <w:rFonts w:cs="Arial"/>
                <w:bCs/>
                <w:sz w:val="20"/>
                <w:szCs w:val="20"/>
              </w:rPr>
            </w:pPr>
            <w:r w:rsidRPr="00487C10">
              <w:rPr>
                <w:rFonts w:cs="Arial"/>
                <w:bCs/>
                <w:sz w:val="20"/>
                <w:szCs w:val="20"/>
              </w:rPr>
              <w:t>Roboty budowlane</w:t>
            </w:r>
          </w:p>
        </w:tc>
        <w:tc>
          <w:tcPr>
            <w:tcW w:w="1368" w:type="dxa"/>
            <w:shd w:val="clear" w:color="auto" w:fill="E2EFD9"/>
            <w:noWrap/>
            <w:vAlign w:val="center"/>
          </w:tcPr>
          <w:p w14:paraId="150077F3" w14:textId="6BB47FD1" w:rsidR="00034A45" w:rsidRPr="00487C10" w:rsidRDefault="00034A45" w:rsidP="00034A45">
            <w:pPr>
              <w:jc w:val="center"/>
              <w:rPr>
                <w:rFonts w:cs="Arial"/>
                <w:sz w:val="20"/>
                <w:szCs w:val="20"/>
              </w:rPr>
            </w:pPr>
            <w:r w:rsidRPr="00A20C94">
              <w:rPr>
                <w:rFonts w:cs="Arial"/>
                <w:sz w:val="20"/>
                <w:szCs w:val="20"/>
              </w:rPr>
              <w:t>21</w:t>
            </w:r>
          </w:p>
        </w:tc>
        <w:tc>
          <w:tcPr>
            <w:tcW w:w="4677" w:type="dxa"/>
            <w:shd w:val="clear" w:color="auto" w:fill="E2EFD9"/>
            <w:vAlign w:val="center"/>
          </w:tcPr>
          <w:p w14:paraId="4E065010" w14:textId="06986BD7" w:rsidR="00034A45" w:rsidRPr="00487C10" w:rsidRDefault="00034A45" w:rsidP="00034A45">
            <w:pPr>
              <w:jc w:val="center"/>
              <w:rPr>
                <w:rFonts w:cs="Arial"/>
                <w:sz w:val="20"/>
                <w:szCs w:val="20"/>
              </w:rPr>
            </w:pPr>
            <w:r w:rsidRPr="00A20C94">
              <w:rPr>
                <w:rFonts w:cs="Arial"/>
                <w:color w:val="000000"/>
                <w:sz w:val="20"/>
                <w:szCs w:val="20"/>
              </w:rPr>
              <w:t xml:space="preserve">128 266 556,32 </w:t>
            </w:r>
            <w:r w:rsidRPr="00A20C94">
              <w:rPr>
                <w:rFonts w:cs="Arial"/>
                <w:sz w:val="20"/>
                <w:szCs w:val="20"/>
              </w:rPr>
              <w:t>zł</w:t>
            </w:r>
          </w:p>
        </w:tc>
      </w:tr>
      <w:tr w:rsidR="00034A45" w:rsidRPr="00487C10" w14:paraId="48418A88" w14:textId="77777777" w:rsidTr="00930CB8">
        <w:trPr>
          <w:trHeight w:val="300"/>
          <w:jc w:val="center"/>
        </w:trPr>
        <w:tc>
          <w:tcPr>
            <w:tcW w:w="3022" w:type="dxa"/>
            <w:noWrap/>
            <w:vAlign w:val="center"/>
          </w:tcPr>
          <w:p w14:paraId="4D6DBE17" w14:textId="77777777" w:rsidR="00034A45" w:rsidRPr="00487C10" w:rsidRDefault="00034A45" w:rsidP="00034A45">
            <w:pPr>
              <w:jc w:val="center"/>
              <w:rPr>
                <w:rFonts w:cs="Arial"/>
                <w:bCs/>
                <w:sz w:val="20"/>
                <w:szCs w:val="20"/>
              </w:rPr>
            </w:pPr>
            <w:r w:rsidRPr="00487C10">
              <w:rPr>
                <w:rFonts w:cs="Arial"/>
                <w:bCs/>
                <w:sz w:val="20"/>
                <w:szCs w:val="20"/>
              </w:rPr>
              <w:t>Usługi</w:t>
            </w:r>
          </w:p>
        </w:tc>
        <w:tc>
          <w:tcPr>
            <w:tcW w:w="1368" w:type="dxa"/>
            <w:noWrap/>
            <w:vAlign w:val="center"/>
          </w:tcPr>
          <w:p w14:paraId="062267DA" w14:textId="206DD4C6" w:rsidR="00034A45" w:rsidRPr="00487C10" w:rsidRDefault="00034A45" w:rsidP="00034A45">
            <w:pPr>
              <w:jc w:val="center"/>
              <w:rPr>
                <w:rFonts w:cs="Arial"/>
                <w:sz w:val="20"/>
                <w:szCs w:val="20"/>
              </w:rPr>
            </w:pPr>
            <w:r w:rsidRPr="00A20C94">
              <w:rPr>
                <w:rFonts w:cs="Arial"/>
                <w:sz w:val="20"/>
                <w:szCs w:val="20"/>
              </w:rPr>
              <w:t>59</w:t>
            </w:r>
          </w:p>
        </w:tc>
        <w:tc>
          <w:tcPr>
            <w:tcW w:w="4677" w:type="dxa"/>
            <w:vAlign w:val="center"/>
          </w:tcPr>
          <w:p w14:paraId="70F6D475" w14:textId="30887637" w:rsidR="00034A45" w:rsidRPr="00487C10" w:rsidRDefault="00034A45" w:rsidP="00034A45">
            <w:pPr>
              <w:jc w:val="center"/>
              <w:rPr>
                <w:rFonts w:cs="Arial"/>
                <w:sz w:val="20"/>
                <w:szCs w:val="20"/>
              </w:rPr>
            </w:pPr>
            <w:r w:rsidRPr="00A20C94">
              <w:rPr>
                <w:rFonts w:cs="Arial"/>
                <w:color w:val="000000"/>
                <w:sz w:val="20"/>
                <w:szCs w:val="20"/>
              </w:rPr>
              <w:t xml:space="preserve">71 365 231,26 </w:t>
            </w:r>
            <w:r w:rsidRPr="00A20C94">
              <w:rPr>
                <w:rFonts w:cs="Arial"/>
                <w:sz w:val="20"/>
                <w:szCs w:val="20"/>
              </w:rPr>
              <w:t>zł</w:t>
            </w:r>
          </w:p>
        </w:tc>
      </w:tr>
    </w:tbl>
    <w:p w14:paraId="79F5CFA3" w14:textId="2D22DA50" w:rsidR="009D5079" w:rsidRPr="00257BDC" w:rsidRDefault="009D5079" w:rsidP="0026657C">
      <w:pPr>
        <w:pStyle w:val="Legenda"/>
        <w:spacing w:before="240"/>
      </w:pPr>
      <w:bookmarkStart w:id="159" w:name="_Toc141276494"/>
      <w:bookmarkStart w:id="160" w:name="_Toc203993358"/>
      <w:bookmarkStart w:id="161" w:name="_Toc233203352"/>
      <w:r w:rsidRPr="003E365B">
        <w:lastRenderedPageBreak/>
        <w:t xml:space="preserve">Rys. </w:t>
      </w:r>
      <w:fldSimple w:instr=" SEQ Rys. \* ARABIC ">
        <w:r w:rsidR="00017C65">
          <w:rPr>
            <w:noProof/>
          </w:rPr>
          <w:t>31</w:t>
        </w:r>
      </w:fldSimple>
      <w:r w:rsidRPr="003E365B">
        <w:t>. Liczba zamówień, w których zastosowano odpowiednie aspekty środowiskowe</w:t>
      </w:r>
      <w:bookmarkEnd w:id="159"/>
      <w:bookmarkEnd w:id="160"/>
      <w:bookmarkEnd w:id="161"/>
    </w:p>
    <w:p w14:paraId="1D750710" w14:textId="7C582033" w:rsidR="00724E04" w:rsidRDefault="0043769A" w:rsidP="0065666B">
      <w:pPr>
        <w:spacing w:before="240" w:line="360" w:lineRule="auto"/>
        <w:jc w:val="left"/>
        <w:rPr>
          <w:rFonts w:cs="Arial"/>
        </w:rPr>
      </w:pPr>
      <w:r w:rsidRPr="00D6514E">
        <w:rPr>
          <w:rFonts w:cs="Arial"/>
          <w:noProof/>
        </w:rPr>
        <w:drawing>
          <wp:inline distT="0" distB="0" distL="0" distR="0" wp14:anchorId="5BD8422E" wp14:editId="1FB79A38">
            <wp:extent cx="5060950" cy="5715000"/>
            <wp:effectExtent l="0" t="0" r="6350" b="0"/>
            <wp:docPr id="1060833672" name="Wykres 1" descr="Liczba zamówień, w których zastosowano odpowiednie aspekty środowiskowe" title="Liczba zamówień, w których zastosowano odpowiednie aspekty środowiskowe">
              <a:extLst xmlns:a="http://schemas.openxmlformats.org/drawingml/2006/main">
                <a:ext uri="{FF2B5EF4-FFF2-40B4-BE49-F238E27FC236}">
                  <a16:creationId xmlns:a16="http://schemas.microsoft.com/office/drawing/2014/main" id="{D7405EB5-7143-CE0E-B496-A15CF9C8A4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8494935" w14:textId="12A229EB" w:rsidR="00122EBB" w:rsidRPr="00257BDC" w:rsidRDefault="00122EBB" w:rsidP="0026657C">
      <w:pPr>
        <w:pStyle w:val="Legenda"/>
        <w:spacing w:before="240"/>
      </w:pPr>
      <w:bookmarkStart w:id="162" w:name="_Toc141276495"/>
      <w:bookmarkStart w:id="163" w:name="_Toc203993359"/>
      <w:bookmarkStart w:id="164" w:name="_Toc233203353"/>
      <w:r w:rsidRPr="003E365B">
        <w:lastRenderedPageBreak/>
        <w:t xml:space="preserve">Rys. </w:t>
      </w:r>
      <w:fldSimple w:instr=" SEQ Rys. \* ARABIC ">
        <w:r w:rsidR="00017C65">
          <w:rPr>
            <w:noProof/>
          </w:rPr>
          <w:t>32</w:t>
        </w:r>
      </w:fldSimple>
      <w:r w:rsidRPr="003E365B">
        <w:t>. Wartość zamówień, w których zastosowano odpowiednie aspekty środowiskowe</w:t>
      </w:r>
      <w:bookmarkEnd w:id="162"/>
      <w:bookmarkEnd w:id="163"/>
      <w:bookmarkEnd w:id="164"/>
    </w:p>
    <w:p w14:paraId="73544748" w14:textId="644D1457" w:rsidR="009D5079" w:rsidRDefault="00BB7A8C" w:rsidP="0065666B">
      <w:pPr>
        <w:spacing w:before="240" w:line="360" w:lineRule="auto"/>
        <w:jc w:val="left"/>
        <w:rPr>
          <w:rFonts w:cs="Arial"/>
        </w:rPr>
      </w:pPr>
      <w:r>
        <w:rPr>
          <w:noProof/>
        </w:rPr>
        <w:drawing>
          <wp:inline distT="0" distB="0" distL="0" distR="0" wp14:anchorId="7C123BD2" wp14:editId="14BF862E">
            <wp:extent cx="5029200" cy="7124700"/>
            <wp:effectExtent l="0" t="0" r="0" b="0"/>
            <wp:docPr id="902194483" name="Wykres 1" descr="Wartość zamówień, w których zastosowano odpowiednie aspekty środowiskowe" title="Wartość zamówień, w których zastosowano odpowiednie aspekty środowiskowe">
              <a:extLst xmlns:a="http://schemas.openxmlformats.org/drawingml/2006/main">
                <a:ext uri="{FF2B5EF4-FFF2-40B4-BE49-F238E27FC236}">
                  <a16:creationId xmlns:a16="http://schemas.microsoft.com/office/drawing/2014/main" id="{050F2A6B-6278-B8F6-833F-1CC6FC0855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EB9E44C" w14:textId="523ED0F2" w:rsidR="002E3EA8" w:rsidRPr="002E3EA8" w:rsidRDefault="002E3EA8" w:rsidP="002E3EA8">
      <w:pPr>
        <w:spacing w:before="240" w:line="360" w:lineRule="auto"/>
        <w:jc w:val="left"/>
        <w:rPr>
          <w:rFonts w:cs="Arial"/>
        </w:rPr>
      </w:pPr>
      <w:r w:rsidRPr="002E3EA8">
        <w:rPr>
          <w:rFonts w:cs="Arial"/>
        </w:rPr>
        <w:t xml:space="preserve">W zielonych zamówieniach udzielonych w 2025 r., najczęściej określano w opisie przedmiotu zamówienia wymagania środowiskowe, co w latach poprzednich było drugim najbardziej popularnym aspektem. To również przełożyło się na największą wartość zamówień z takim instrumentem środowiskowym. W porównaniu z rokiem 2024 aż o 921 wzrosła liczba </w:t>
      </w:r>
      <w:r w:rsidRPr="002E3EA8">
        <w:rPr>
          <w:rFonts w:cs="Arial"/>
        </w:rPr>
        <w:lastRenderedPageBreak/>
        <w:t>zamówień z zastosowaniem wymagań środowiskowych w ramach OPZ, jednak wartość takich zamówień spadła o 1 169 405 041,08 zł (bez podatku od towarów i usług).</w:t>
      </w:r>
    </w:p>
    <w:p w14:paraId="6C782C0C" w14:textId="16968B6F" w:rsidR="002E3EA8" w:rsidRPr="002E3EA8" w:rsidRDefault="002E3EA8" w:rsidP="002E3EA8">
      <w:pPr>
        <w:spacing w:before="120" w:line="360" w:lineRule="auto"/>
        <w:jc w:val="left"/>
        <w:rPr>
          <w:rFonts w:cs="Arial"/>
        </w:rPr>
      </w:pPr>
      <w:r w:rsidRPr="002E3EA8">
        <w:rPr>
          <w:rFonts w:cs="Arial"/>
        </w:rPr>
        <w:t>Zastosowanie przez zamawiających wymogu z art. 96 ust. 1 ustawy Pzp stanowiło drugi pod względem liczby i wartości aspekt środowiskowy. W porównaniu z rokiem 2024 o 219 spadła liczba zamówień z takim aspektem środowiskowym, podczas gdy ich wartość wzrosła o</w:t>
      </w:r>
      <w:r w:rsidR="00105137">
        <w:rPr>
          <w:rFonts w:cs="Arial"/>
        </w:rPr>
        <w:t> </w:t>
      </w:r>
      <w:r w:rsidRPr="002E3EA8">
        <w:rPr>
          <w:rFonts w:cs="Arial"/>
        </w:rPr>
        <w:t>382 117 080,33 zł (bez podatku od towarów i usług).</w:t>
      </w:r>
    </w:p>
    <w:p w14:paraId="593EACB0" w14:textId="4A7FBA8E" w:rsidR="002E3EA8" w:rsidRPr="002E3EA8" w:rsidRDefault="002E3EA8" w:rsidP="002E3EA8">
      <w:pPr>
        <w:spacing w:before="120" w:line="360" w:lineRule="auto"/>
        <w:jc w:val="left"/>
        <w:rPr>
          <w:rFonts w:cs="Arial"/>
        </w:rPr>
      </w:pPr>
      <w:r w:rsidRPr="002E3EA8">
        <w:rPr>
          <w:rFonts w:cs="Arial"/>
        </w:rPr>
        <w:t>Trzecim pod względem liczby i wartości najczęściej stosowanym instrumentem prawnym o</w:t>
      </w:r>
      <w:r w:rsidR="00105137">
        <w:rPr>
          <w:rFonts w:cs="Arial"/>
        </w:rPr>
        <w:t> </w:t>
      </w:r>
      <w:r w:rsidRPr="002E3EA8">
        <w:rPr>
          <w:rFonts w:cs="Arial"/>
        </w:rPr>
        <w:t>charakterze środowiskowym było zastosowanie środowiskowych kryteriów oceny ofert, w</w:t>
      </w:r>
      <w:r w:rsidR="00D07A35">
        <w:rPr>
          <w:rFonts w:cs="Arial"/>
        </w:rPr>
        <w:t> </w:t>
      </w:r>
      <w:r w:rsidRPr="002E3EA8">
        <w:rPr>
          <w:rFonts w:cs="Arial"/>
        </w:rPr>
        <w:t xml:space="preserve">tym odwołanie do efektywności energetycznej przedmiotu zamówienia (zgodnie z art. 242 ust. 2 ustawy Pzp). Porównując z rokiem 2024, </w:t>
      </w:r>
      <w:r w:rsidR="00D07A35">
        <w:rPr>
          <w:rFonts w:cs="Arial"/>
        </w:rPr>
        <w:t xml:space="preserve">należy stwierdzić, że </w:t>
      </w:r>
      <w:r w:rsidRPr="002E3EA8">
        <w:rPr>
          <w:rFonts w:cs="Arial"/>
        </w:rPr>
        <w:t>nastąpił wzrost liczby zamówień publicznych z zastosowaniem tego aspektu środowiskowego (o 269 zamówień) przy jednoczesnym nieznacznym wzroście wartości takich zamówień (o 16 256 765,08 zł bez podatku od towarów i usług).</w:t>
      </w:r>
      <w:r w:rsidR="00326395">
        <w:rPr>
          <w:rFonts w:cs="Arial"/>
        </w:rPr>
        <w:t xml:space="preserve"> </w:t>
      </w:r>
    </w:p>
    <w:p w14:paraId="5473BE2B" w14:textId="59AB4841" w:rsidR="002E3EA8" w:rsidRPr="002E3EA8" w:rsidRDefault="00D07A35" w:rsidP="002E3EA8">
      <w:pPr>
        <w:spacing w:before="120" w:line="360" w:lineRule="auto"/>
        <w:jc w:val="left"/>
        <w:rPr>
          <w:rFonts w:cs="Arial"/>
        </w:rPr>
      </w:pPr>
      <w:r>
        <w:rPr>
          <w:rFonts w:cs="Arial"/>
        </w:rPr>
        <w:t>Czwarte miejsce</w:t>
      </w:r>
      <w:r w:rsidR="002E3EA8" w:rsidRPr="002E3EA8">
        <w:rPr>
          <w:rFonts w:cs="Arial"/>
        </w:rPr>
        <w:t xml:space="preserve"> pod względem liczby zielonych zamówień zajęły zamówienia, w których określono etykietę związaną z aspektami środowiskowymi z art. 104 ustawy Pzp</w:t>
      </w:r>
      <w:r>
        <w:rPr>
          <w:rFonts w:cs="Arial"/>
        </w:rPr>
        <w:t>,</w:t>
      </w:r>
      <w:r w:rsidR="002E3EA8" w:rsidRPr="002E3EA8">
        <w:rPr>
          <w:rFonts w:cs="Arial"/>
        </w:rPr>
        <w:t xml:space="preserve"> oraz zamówienia, w których określono wymóg spełniania wymagań odpowiednich systemów lub norm zarządzania środowiskowego. W obu przypadkach odnotowano po 306 takich zamówień. </w:t>
      </w:r>
    </w:p>
    <w:p w14:paraId="7753567A" w14:textId="6DFAB421" w:rsidR="002E3EA8" w:rsidRPr="002E3EA8" w:rsidRDefault="002E3EA8" w:rsidP="002E3EA8">
      <w:pPr>
        <w:spacing w:before="120" w:line="360" w:lineRule="auto"/>
        <w:jc w:val="left"/>
        <w:rPr>
          <w:rFonts w:cs="Arial"/>
        </w:rPr>
      </w:pPr>
      <w:r w:rsidRPr="002E3EA8">
        <w:rPr>
          <w:rFonts w:cs="Arial"/>
        </w:rPr>
        <w:t xml:space="preserve">W przypadku zamówień, w których określono etykietę związaną z aspektami środowiskowymi, w porównaniu z rokiem 2024 odnotowano zarówno wzrost liczby i wartości zamówień z takim instrumentem. Aż o 124 wzrosła liczba zamówień z </w:t>
      </w:r>
      <w:proofErr w:type="spellStart"/>
      <w:r w:rsidRPr="002E3EA8">
        <w:rPr>
          <w:rFonts w:cs="Arial"/>
        </w:rPr>
        <w:t>ekoetykietą</w:t>
      </w:r>
      <w:proofErr w:type="spellEnd"/>
      <w:r w:rsidRPr="002E3EA8">
        <w:rPr>
          <w:rFonts w:cs="Arial"/>
        </w:rPr>
        <w:t>, podczas gdy wartość takich zamówień wzrosła aż o 598 498 972,15 zł (bez podatku od towarów i</w:t>
      </w:r>
      <w:r w:rsidR="00D07A35">
        <w:rPr>
          <w:rFonts w:cs="Arial"/>
        </w:rPr>
        <w:t> </w:t>
      </w:r>
      <w:r w:rsidRPr="002E3EA8">
        <w:rPr>
          <w:rFonts w:cs="Arial"/>
        </w:rPr>
        <w:t>usług).</w:t>
      </w:r>
      <w:r w:rsidR="00326395">
        <w:rPr>
          <w:rFonts w:cs="Arial"/>
        </w:rPr>
        <w:t xml:space="preserve"> </w:t>
      </w:r>
    </w:p>
    <w:p w14:paraId="532984E0" w14:textId="2016D1FE" w:rsidR="002E3EA8" w:rsidRPr="002E3EA8" w:rsidRDefault="002E3EA8" w:rsidP="002E3EA8">
      <w:pPr>
        <w:spacing w:before="120" w:line="360" w:lineRule="auto"/>
        <w:jc w:val="left"/>
        <w:rPr>
          <w:rFonts w:cs="Arial"/>
        </w:rPr>
      </w:pPr>
      <w:r w:rsidRPr="002E3EA8">
        <w:rPr>
          <w:rFonts w:cs="Arial"/>
        </w:rPr>
        <w:t>Z kolei liczba zamówień, w których określono wymóg spełniania wymagań odpowiednich systemów lub norm zarządzania środowiskowego, w porównaniu z rokiem 2024 wzrosła o 121 zamówień przy spadku wartości takich zamówień o 272 670 239,76 zł (bez podatku od towarów i usług).</w:t>
      </w:r>
      <w:r w:rsidR="00326395">
        <w:rPr>
          <w:rFonts w:cs="Arial"/>
        </w:rPr>
        <w:t xml:space="preserve"> </w:t>
      </w:r>
    </w:p>
    <w:p w14:paraId="4BAFE05C" w14:textId="5EB151B6" w:rsidR="002E3EA8" w:rsidRDefault="002E3EA8" w:rsidP="002E3EA8">
      <w:pPr>
        <w:spacing w:before="120" w:line="360" w:lineRule="auto"/>
        <w:jc w:val="left"/>
        <w:rPr>
          <w:rFonts w:cs="Arial"/>
        </w:rPr>
      </w:pPr>
      <w:r w:rsidRPr="002E3EA8">
        <w:rPr>
          <w:rFonts w:cs="Arial"/>
        </w:rPr>
        <w:t xml:space="preserve">Ostatnie miejsce pod względem liczby i wartości zajęły zamówienia, w których zastosowano kryterium kosztu pozwalające na wykorzystanie rachunku kosztów cyklu życia. Mimo iż pozostaje to najrzadziej stosowany instrument o charakterze środowiskowym, w porównaniu z rokiem 2024 liczba zamówień z zastosowanie LCC wzrosła o 12 zamówień, podczas gdy ich wartość wzrosła aż o 256 538 264,19 </w:t>
      </w:r>
      <w:r w:rsidRPr="002E3EA8">
        <w:rPr>
          <w:rFonts w:cs="Arial"/>
          <w:bCs/>
        </w:rPr>
        <w:t xml:space="preserve">zł </w:t>
      </w:r>
      <w:r w:rsidRPr="002E3EA8">
        <w:rPr>
          <w:rFonts w:cs="Arial"/>
        </w:rPr>
        <w:t>(bez podatku od towarów i usług).</w:t>
      </w:r>
      <w:r w:rsidR="00326395">
        <w:rPr>
          <w:rFonts w:cs="Arial"/>
        </w:rPr>
        <w:t xml:space="preserve"> </w:t>
      </w:r>
    </w:p>
    <w:p w14:paraId="48B8A745" w14:textId="7F7AEBCB" w:rsidR="00885C4E" w:rsidRPr="00885C4E" w:rsidRDefault="00885C4E" w:rsidP="00885C4E">
      <w:pPr>
        <w:spacing w:before="120" w:line="360" w:lineRule="auto"/>
        <w:jc w:val="left"/>
        <w:rPr>
          <w:rFonts w:cs="Arial"/>
          <w:i/>
        </w:rPr>
      </w:pPr>
      <w:r w:rsidRPr="0049704B">
        <w:rPr>
          <w:rFonts w:cs="Arial"/>
          <w:i/>
        </w:rPr>
        <w:t xml:space="preserve">Ogólne dane dotyczące zamówień, w których odwołano się do odpowiednich instrumentów środowiskowych przedstawiono w </w:t>
      </w:r>
      <w:hyperlink w:anchor="_Załącznik_nr_3." w:history="1">
        <w:r w:rsidRPr="0049704B">
          <w:rPr>
            <w:rStyle w:val="Hipercze"/>
            <w:rFonts w:cs="Arial"/>
            <w:i/>
          </w:rPr>
          <w:t xml:space="preserve">załączniku nr </w:t>
        </w:r>
        <w:r w:rsidR="00F35B10">
          <w:rPr>
            <w:rStyle w:val="Hipercze"/>
            <w:rFonts w:cs="Arial"/>
            <w:i/>
          </w:rPr>
          <w:t>2</w:t>
        </w:r>
      </w:hyperlink>
      <w:r w:rsidRPr="0049704B">
        <w:rPr>
          <w:rFonts w:cs="Arial"/>
          <w:i/>
        </w:rPr>
        <w:t xml:space="preserve"> do niniejszego Sprawozdania.</w:t>
      </w:r>
      <w:r w:rsidRPr="00885C4E">
        <w:rPr>
          <w:rFonts w:cs="Arial"/>
          <w:i/>
        </w:rPr>
        <w:t xml:space="preserve"> </w:t>
      </w:r>
    </w:p>
    <w:p w14:paraId="1906A263" w14:textId="401BF0CA" w:rsidR="00245B26" w:rsidRPr="00DF5B7E" w:rsidRDefault="0050015B" w:rsidP="00852522">
      <w:pPr>
        <w:pStyle w:val="Nagwek4"/>
      </w:pPr>
      <w:r w:rsidRPr="00554935">
        <w:lastRenderedPageBreak/>
        <w:t xml:space="preserve">3. </w:t>
      </w:r>
      <w:r w:rsidR="00C56EAC" w:rsidRPr="00C56EAC">
        <w:t>Zamówienia publiczne na innowacje</w:t>
      </w:r>
    </w:p>
    <w:p w14:paraId="3EF31FF4" w14:textId="3D801455" w:rsidR="00933344" w:rsidRPr="00284073" w:rsidRDefault="00933344" w:rsidP="006C14EB">
      <w:pPr>
        <w:pStyle w:val="Legenda"/>
      </w:pPr>
      <w:bookmarkStart w:id="165" w:name="_Toc141276547"/>
      <w:bookmarkStart w:id="166" w:name="_Toc233203397"/>
      <w:r w:rsidRPr="00D30177">
        <w:t xml:space="preserve">Tab. </w:t>
      </w:r>
      <w:fldSimple w:instr=" SEQ Tab. \* ARABIC ">
        <w:r w:rsidR="00017C65">
          <w:rPr>
            <w:noProof/>
          </w:rPr>
          <w:t>25</w:t>
        </w:r>
      </w:fldSimple>
      <w:r w:rsidRPr="00D30177">
        <w:t xml:space="preserve">. </w:t>
      </w:r>
      <w:r w:rsidR="0001568B" w:rsidRPr="0001568B">
        <w:t>Zamówienia publiczne na innowacje</w:t>
      </w:r>
      <w:r w:rsidRPr="00D30177">
        <w:t xml:space="preserve"> w 202</w:t>
      </w:r>
      <w:r w:rsidR="0001568B">
        <w:t>5</w:t>
      </w:r>
      <w:r w:rsidRPr="00D30177">
        <w:t xml:space="preserve"> r.</w:t>
      </w:r>
      <w:r>
        <w:t xml:space="preserve"> </w:t>
      </w:r>
      <w:r w:rsidRPr="00D30177">
        <w:t>– dane ogólne</w:t>
      </w:r>
      <w:bookmarkEnd w:id="165"/>
      <w:bookmarkEnd w:id="16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w 2025 r. – dane ogólne."/>
        <w:tblDescription w:val="Tabela. Innowacyjne zamówienia publiczne w 2025 r. – dane ogólne."/>
      </w:tblPr>
      <w:tblGrid>
        <w:gridCol w:w="6941"/>
        <w:gridCol w:w="2121"/>
      </w:tblGrid>
      <w:tr w:rsidR="00B27F26" w:rsidRPr="00284073" w14:paraId="5952E204" w14:textId="77777777" w:rsidTr="00185788">
        <w:trPr>
          <w:trHeight w:val="300"/>
          <w:tblHeader/>
          <w:jc w:val="center"/>
        </w:trPr>
        <w:tc>
          <w:tcPr>
            <w:tcW w:w="9062" w:type="dxa"/>
            <w:gridSpan w:val="2"/>
            <w:shd w:val="clear" w:color="auto" w:fill="FFD966" w:themeFill="accent4" w:themeFillTint="99"/>
            <w:noWrap/>
            <w:vAlign w:val="center"/>
            <w:hideMark/>
          </w:tcPr>
          <w:p w14:paraId="655A6EA0" w14:textId="77777777" w:rsidR="00B27F26" w:rsidRPr="00284073" w:rsidRDefault="00B27F26" w:rsidP="003C352F">
            <w:pPr>
              <w:jc w:val="center"/>
              <w:rPr>
                <w:rFonts w:cs="Arial"/>
                <w:b/>
                <w:sz w:val="20"/>
                <w:szCs w:val="20"/>
              </w:rPr>
            </w:pPr>
            <w:r w:rsidRPr="00284073">
              <w:rPr>
                <w:rFonts w:cs="Arial"/>
                <w:b/>
                <w:sz w:val="20"/>
                <w:szCs w:val="20"/>
              </w:rPr>
              <w:t>DANE OGÓLNE</w:t>
            </w:r>
          </w:p>
        </w:tc>
      </w:tr>
      <w:tr w:rsidR="00EE7C63" w:rsidRPr="00284073" w14:paraId="6FD9B683" w14:textId="77777777" w:rsidTr="00185788">
        <w:trPr>
          <w:trHeight w:val="300"/>
          <w:jc w:val="center"/>
        </w:trPr>
        <w:tc>
          <w:tcPr>
            <w:tcW w:w="6941" w:type="dxa"/>
            <w:noWrap/>
            <w:vAlign w:val="center"/>
            <w:hideMark/>
          </w:tcPr>
          <w:p w14:paraId="5BB590E3" w14:textId="77777777" w:rsidR="00EE7C63" w:rsidRPr="00284073" w:rsidRDefault="00EE7C63" w:rsidP="00EE7C63">
            <w:pPr>
              <w:jc w:val="left"/>
              <w:rPr>
                <w:rFonts w:cs="Arial"/>
                <w:bCs/>
                <w:sz w:val="20"/>
                <w:szCs w:val="20"/>
              </w:rPr>
            </w:pPr>
            <w:r w:rsidRPr="00284073">
              <w:rPr>
                <w:rFonts w:cs="Arial"/>
                <w:bCs/>
                <w:sz w:val="20"/>
                <w:szCs w:val="20"/>
              </w:rPr>
              <w:t xml:space="preserve">Liczba zamawiających, którzy udzielili zamówień publicznych o charakterze innowacyjnym </w:t>
            </w:r>
          </w:p>
        </w:tc>
        <w:tc>
          <w:tcPr>
            <w:tcW w:w="2121" w:type="dxa"/>
            <w:noWrap/>
            <w:vAlign w:val="center"/>
          </w:tcPr>
          <w:p w14:paraId="5F8441B5" w14:textId="03486E0A" w:rsidR="00EE7C63" w:rsidRPr="00284073" w:rsidRDefault="00EE7C63" w:rsidP="00EE7C63">
            <w:pPr>
              <w:jc w:val="center"/>
              <w:rPr>
                <w:rFonts w:cs="Arial"/>
                <w:sz w:val="20"/>
                <w:szCs w:val="20"/>
              </w:rPr>
            </w:pPr>
            <w:r w:rsidRPr="00696EC5">
              <w:rPr>
                <w:rFonts w:cs="Arial"/>
                <w:sz w:val="20"/>
                <w:szCs w:val="20"/>
              </w:rPr>
              <w:t>59</w:t>
            </w:r>
          </w:p>
        </w:tc>
      </w:tr>
      <w:tr w:rsidR="00EE7C63" w:rsidRPr="00284073" w14:paraId="3F5962F3" w14:textId="77777777" w:rsidTr="00185788">
        <w:trPr>
          <w:trHeight w:val="300"/>
          <w:jc w:val="center"/>
        </w:trPr>
        <w:tc>
          <w:tcPr>
            <w:tcW w:w="6941" w:type="dxa"/>
            <w:shd w:val="clear" w:color="auto" w:fill="FFF2CC" w:themeFill="accent4" w:themeFillTint="33"/>
            <w:noWrap/>
            <w:vAlign w:val="center"/>
          </w:tcPr>
          <w:p w14:paraId="0E3B9FCD" w14:textId="77777777" w:rsidR="00EE7C63" w:rsidRPr="00284073" w:rsidRDefault="00EE7C63" w:rsidP="00EE7C63">
            <w:pPr>
              <w:jc w:val="left"/>
              <w:rPr>
                <w:rFonts w:cs="Arial"/>
                <w:bCs/>
                <w:sz w:val="20"/>
                <w:szCs w:val="20"/>
              </w:rPr>
            </w:pPr>
            <w:r w:rsidRPr="00284073">
              <w:rPr>
                <w:rFonts w:cs="Arial"/>
                <w:bCs/>
                <w:sz w:val="20"/>
                <w:szCs w:val="20"/>
              </w:rPr>
              <w:t xml:space="preserve">Liczba </w:t>
            </w:r>
            <w:r w:rsidRPr="00284073">
              <w:rPr>
                <w:rFonts w:cs="Arial"/>
                <w:sz w:val="20"/>
                <w:szCs w:val="20"/>
              </w:rPr>
              <w:t xml:space="preserve">udzielonych zamówień uwzględniających aspekty </w:t>
            </w:r>
            <w:r w:rsidRPr="00284073">
              <w:rPr>
                <w:rFonts w:cs="Arial"/>
                <w:bCs/>
                <w:sz w:val="20"/>
                <w:szCs w:val="20"/>
              </w:rPr>
              <w:t>innowacyjne</w:t>
            </w:r>
          </w:p>
        </w:tc>
        <w:tc>
          <w:tcPr>
            <w:tcW w:w="2121" w:type="dxa"/>
            <w:shd w:val="clear" w:color="auto" w:fill="FFF2CC" w:themeFill="accent4" w:themeFillTint="33"/>
            <w:noWrap/>
            <w:vAlign w:val="center"/>
          </w:tcPr>
          <w:p w14:paraId="206E37A4" w14:textId="0CB2236B" w:rsidR="00EE7C63" w:rsidRPr="00284073" w:rsidRDefault="00EE7C63" w:rsidP="00EE7C63">
            <w:pPr>
              <w:jc w:val="center"/>
              <w:rPr>
                <w:rFonts w:cs="Arial"/>
                <w:sz w:val="20"/>
                <w:szCs w:val="20"/>
              </w:rPr>
            </w:pPr>
            <w:r w:rsidRPr="00696EC5">
              <w:rPr>
                <w:rFonts w:cs="Arial"/>
                <w:sz w:val="20"/>
                <w:szCs w:val="20"/>
              </w:rPr>
              <w:t>157</w:t>
            </w:r>
          </w:p>
        </w:tc>
      </w:tr>
      <w:tr w:rsidR="00EE7C63" w:rsidRPr="00284073" w14:paraId="3858311E" w14:textId="77777777" w:rsidTr="00B27F26">
        <w:trPr>
          <w:trHeight w:val="300"/>
          <w:jc w:val="center"/>
        </w:trPr>
        <w:tc>
          <w:tcPr>
            <w:tcW w:w="6941" w:type="dxa"/>
            <w:noWrap/>
            <w:vAlign w:val="center"/>
            <w:hideMark/>
          </w:tcPr>
          <w:p w14:paraId="6335CBFB" w14:textId="77777777" w:rsidR="00EE7C63" w:rsidRPr="00284073" w:rsidRDefault="00EE7C63" w:rsidP="00EE7C63">
            <w:pPr>
              <w:jc w:val="left"/>
              <w:rPr>
                <w:rFonts w:cs="Arial"/>
                <w:bCs/>
                <w:sz w:val="20"/>
                <w:szCs w:val="20"/>
              </w:rPr>
            </w:pPr>
            <w:r w:rsidRPr="00284073">
              <w:rPr>
                <w:rFonts w:cs="Arial"/>
                <w:bCs/>
                <w:sz w:val="20"/>
                <w:szCs w:val="20"/>
              </w:rPr>
              <w:t xml:space="preserve">Wartość </w:t>
            </w:r>
            <w:r w:rsidRPr="00284073">
              <w:rPr>
                <w:rFonts w:cs="Arial"/>
                <w:sz w:val="20"/>
                <w:szCs w:val="20"/>
              </w:rPr>
              <w:t xml:space="preserve">udzielonych zamówień uwzględniających aspekty </w:t>
            </w:r>
            <w:r w:rsidRPr="00284073">
              <w:rPr>
                <w:rFonts w:cs="Arial"/>
                <w:bCs/>
                <w:sz w:val="20"/>
                <w:szCs w:val="20"/>
              </w:rPr>
              <w:t>innowacyjne</w:t>
            </w:r>
          </w:p>
        </w:tc>
        <w:tc>
          <w:tcPr>
            <w:tcW w:w="2121" w:type="dxa"/>
            <w:noWrap/>
            <w:vAlign w:val="center"/>
          </w:tcPr>
          <w:p w14:paraId="290572AD" w14:textId="77777777" w:rsidR="00EE7C63" w:rsidRPr="00696EC5" w:rsidRDefault="00EE7C63" w:rsidP="00EE7C63">
            <w:pPr>
              <w:jc w:val="center"/>
              <w:rPr>
                <w:rFonts w:cs="Arial"/>
                <w:sz w:val="20"/>
                <w:szCs w:val="20"/>
              </w:rPr>
            </w:pPr>
            <w:r w:rsidRPr="00696EC5">
              <w:rPr>
                <w:rFonts w:cs="Arial"/>
                <w:color w:val="000000"/>
                <w:sz w:val="20"/>
                <w:szCs w:val="20"/>
              </w:rPr>
              <w:t xml:space="preserve">2 012 283 967,97 </w:t>
            </w:r>
            <w:r w:rsidRPr="00696EC5">
              <w:rPr>
                <w:rFonts w:cs="Arial"/>
                <w:sz w:val="20"/>
                <w:szCs w:val="20"/>
              </w:rPr>
              <w:t>zł</w:t>
            </w:r>
          </w:p>
          <w:p w14:paraId="0FEDFEE4" w14:textId="510D2729" w:rsidR="00EE7C63" w:rsidRPr="00284073" w:rsidRDefault="00EE7C63" w:rsidP="00EE7C63">
            <w:pPr>
              <w:jc w:val="center"/>
              <w:rPr>
                <w:rFonts w:cs="Arial"/>
                <w:sz w:val="20"/>
                <w:szCs w:val="20"/>
              </w:rPr>
            </w:pPr>
            <w:r w:rsidRPr="00696EC5">
              <w:rPr>
                <w:rFonts w:cs="Arial"/>
                <w:sz w:val="20"/>
                <w:szCs w:val="20"/>
              </w:rPr>
              <w:t>(wartość bez VAT)</w:t>
            </w:r>
          </w:p>
        </w:tc>
      </w:tr>
    </w:tbl>
    <w:p w14:paraId="2A1B10EC" w14:textId="77777777" w:rsidR="006B18CF" w:rsidRPr="006B18CF" w:rsidRDefault="006B18CF" w:rsidP="006B18CF">
      <w:pPr>
        <w:spacing w:before="240" w:line="360" w:lineRule="auto"/>
        <w:jc w:val="left"/>
        <w:rPr>
          <w:rFonts w:cs="Arial"/>
        </w:rPr>
      </w:pPr>
      <w:r w:rsidRPr="006B18CF">
        <w:rPr>
          <w:rFonts w:cs="Arial"/>
        </w:rPr>
        <w:t xml:space="preserve">Instrumenty o charakterze innowacyjnym w największej liczbie przypadków stosowano w zamówieniach na usługi, analogicznie jak w latach ubiegłych. W tego rodzaju zamówieniach najczęściej stosowano </w:t>
      </w:r>
      <w:r w:rsidRPr="006B18CF">
        <w:rPr>
          <w:rFonts w:cs="Arial"/>
          <w:bCs/>
        </w:rPr>
        <w:t>kryteria oceny ofert odnoszące się aspektów innowacyjnych.</w:t>
      </w:r>
      <w:r w:rsidRPr="006B18CF">
        <w:rPr>
          <w:rFonts w:cs="Arial"/>
          <w:b/>
        </w:rPr>
        <w:t xml:space="preserve"> </w:t>
      </w:r>
      <w:r w:rsidRPr="006B18CF">
        <w:rPr>
          <w:rFonts w:cs="Arial"/>
        </w:rPr>
        <w:t>Ten aspekt również okazał się najczęściej stosowany w przypadku zamówień na usługi oraz zamówień na roboty budowlane.</w:t>
      </w:r>
    </w:p>
    <w:p w14:paraId="40D19A4A" w14:textId="5A640218" w:rsidR="00724E04" w:rsidRDefault="006B18CF" w:rsidP="006B18CF">
      <w:pPr>
        <w:spacing w:before="120" w:line="360" w:lineRule="auto"/>
        <w:jc w:val="left"/>
        <w:rPr>
          <w:rFonts w:cs="Arial"/>
        </w:rPr>
      </w:pPr>
      <w:r w:rsidRPr="006B18CF">
        <w:rPr>
          <w:rFonts w:cs="Arial"/>
        </w:rPr>
        <w:t>Poniższe tabele prezentują zestawienie szczegółowych danych dotyczących zarówno liczby</w:t>
      </w:r>
      <w:r w:rsidR="00D07A35">
        <w:rPr>
          <w:rFonts w:cs="Arial"/>
        </w:rPr>
        <w:t>,</w:t>
      </w:r>
      <w:r w:rsidRPr="006B18CF">
        <w:rPr>
          <w:rFonts w:cs="Arial"/>
        </w:rPr>
        <w:t xml:space="preserve"> jak i wartości zamówień, w których zastosowano poszczególne instrumenty, dodatkowo w</w:t>
      </w:r>
      <w:r w:rsidR="00D07A35">
        <w:rPr>
          <w:rFonts w:cs="Arial"/>
        </w:rPr>
        <w:t> </w:t>
      </w:r>
      <w:r w:rsidRPr="006B18CF">
        <w:rPr>
          <w:rFonts w:cs="Arial"/>
        </w:rPr>
        <w:t>podziale na rodzaj zamówienia.</w:t>
      </w:r>
      <w:r w:rsidR="00D07A35">
        <w:rPr>
          <w:rFonts w:cs="Arial"/>
        </w:rPr>
        <w:t xml:space="preserve"> </w:t>
      </w:r>
    </w:p>
    <w:p w14:paraId="64972944" w14:textId="77777777" w:rsidR="00F936B2" w:rsidRPr="00A23CE9" w:rsidRDefault="00F936B2" w:rsidP="00852522">
      <w:pPr>
        <w:pStyle w:val="Nagwek4"/>
      </w:pPr>
      <w:bookmarkStart w:id="167" w:name="_Toc141276548"/>
      <w:r>
        <w:t>3.1. Określenie w kryteriach oceny ofert aspektów innowacyjnych, o których mowa w art. 242 ust. 2 ustawy Pzp</w:t>
      </w:r>
    </w:p>
    <w:p w14:paraId="50A1C285" w14:textId="7C5A0F20" w:rsidR="00A23CE9" w:rsidRPr="00284073" w:rsidRDefault="00A23CE9" w:rsidP="006C14EB">
      <w:pPr>
        <w:pStyle w:val="Legenda"/>
      </w:pPr>
      <w:bookmarkStart w:id="168" w:name="_Toc233203398"/>
      <w:r w:rsidRPr="00534004">
        <w:t xml:space="preserve">Tab. </w:t>
      </w:r>
      <w:fldSimple w:instr=" SEQ Tab. \* ARABIC ">
        <w:r w:rsidR="00017C65">
          <w:rPr>
            <w:noProof/>
          </w:rPr>
          <w:t>26</w:t>
        </w:r>
      </w:fldSimple>
      <w:r w:rsidRPr="00534004">
        <w:t>. Innowacyjne zamówienia publiczne z zastosowaniem art. 242 ust. 2 ustawy Pzp</w:t>
      </w:r>
      <w:bookmarkEnd w:id="167"/>
      <w:bookmarkEnd w:id="16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z zastosowaniem art. 242 ust. 2 ustawy Pzp."/>
        <w:tblDescription w:val="Tabela. Innowacyjne zamówienia publiczne z zastosowaniem art. 242 ust. 2 ustawy Pzp."/>
      </w:tblPr>
      <w:tblGrid>
        <w:gridCol w:w="6941"/>
        <w:gridCol w:w="2121"/>
      </w:tblGrid>
      <w:tr w:rsidR="00873297" w:rsidRPr="00487C10" w14:paraId="0D6A08A6" w14:textId="77777777" w:rsidTr="00873297">
        <w:trPr>
          <w:trHeight w:val="300"/>
          <w:jc w:val="center"/>
        </w:trPr>
        <w:tc>
          <w:tcPr>
            <w:tcW w:w="6941" w:type="dxa"/>
            <w:shd w:val="clear" w:color="auto" w:fill="FFF2CC"/>
            <w:noWrap/>
            <w:vAlign w:val="center"/>
          </w:tcPr>
          <w:p w14:paraId="555F6597" w14:textId="77777777" w:rsidR="00873297" w:rsidRPr="00487C10" w:rsidRDefault="00873297" w:rsidP="00873297">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FFF2CC"/>
            <w:vAlign w:val="center"/>
          </w:tcPr>
          <w:p w14:paraId="655E8A00" w14:textId="69C9B9C5" w:rsidR="00873297" w:rsidRPr="00487C10" w:rsidRDefault="00873297" w:rsidP="00873297">
            <w:pPr>
              <w:jc w:val="center"/>
              <w:rPr>
                <w:rFonts w:cs="Arial"/>
                <w:sz w:val="20"/>
                <w:szCs w:val="20"/>
              </w:rPr>
            </w:pPr>
            <w:r w:rsidRPr="00696EC5">
              <w:rPr>
                <w:rFonts w:cs="Arial"/>
                <w:sz w:val="20"/>
                <w:szCs w:val="20"/>
              </w:rPr>
              <w:t>111</w:t>
            </w:r>
          </w:p>
        </w:tc>
      </w:tr>
      <w:tr w:rsidR="00873297" w:rsidRPr="00487C10" w14:paraId="3395F1D3" w14:textId="77777777" w:rsidTr="00873297">
        <w:trPr>
          <w:trHeight w:val="300"/>
          <w:jc w:val="center"/>
        </w:trPr>
        <w:tc>
          <w:tcPr>
            <w:tcW w:w="6941" w:type="dxa"/>
            <w:noWrap/>
            <w:vAlign w:val="center"/>
            <w:hideMark/>
          </w:tcPr>
          <w:p w14:paraId="37DA7423" w14:textId="77777777" w:rsidR="00873297" w:rsidRPr="00487C10" w:rsidRDefault="00873297" w:rsidP="00873297">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7AE89FCB" w14:textId="77777777" w:rsidR="00873297" w:rsidRPr="00696EC5" w:rsidRDefault="00873297" w:rsidP="00873297">
            <w:pPr>
              <w:jc w:val="center"/>
              <w:rPr>
                <w:rFonts w:cs="Arial"/>
                <w:sz w:val="20"/>
                <w:szCs w:val="20"/>
              </w:rPr>
            </w:pPr>
            <w:r w:rsidRPr="00696EC5">
              <w:rPr>
                <w:rFonts w:cs="Arial"/>
                <w:color w:val="000000"/>
                <w:sz w:val="20"/>
                <w:szCs w:val="20"/>
              </w:rPr>
              <w:t xml:space="preserve">1 004 283 880,35 </w:t>
            </w:r>
            <w:r w:rsidRPr="00696EC5">
              <w:rPr>
                <w:rFonts w:cs="Arial"/>
                <w:sz w:val="20"/>
                <w:szCs w:val="20"/>
              </w:rPr>
              <w:t>zł</w:t>
            </w:r>
          </w:p>
          <w:p w14:paraId="3477273F" w14:textId="494717CC" w:rsidR="00873297" w:rsidRPr="00487C10" w:rsidRDefault="00873297" w:rsidP="00873297">
            <w:pPr>
              <w:jc w:val="center"/>
              <w:rPr>
                <w:rFonts w:cs="Arial"/>
                <w:sz w:val="20"/>
                <w:szCs w:val="20"/>
              </w:rPr>
            </w:pPr>
            <w:r w:rsidRPr="00696EC5">
              <w:rPr>
                <w:rFonts w:cs="Arial"/>
                <w:sz w:val="20"/>
                <w:szCs w:val="20"/>
              </w:rPr>
              <w:t>(wartość bez VAT)</w:t>
            </w:r>
          </w:p>
        </w:tc>
      </w:tr>
    </w:tbl>
    <w:p w14:paraId="1A6B0558" w14:textId="77777777" w:rsidR="00A23CE9" w:rsidRPr="00487C10" w:rsidRDefault="00A23CE9"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842"/>
        <w:gridCol w:w="4536"/>
      </w:tblGrid>
      <w:tr w:rsidR="00A23CE9" w:rsidRPr="00487C10" w14:paraId="7267CDD3" w14:textId="77777777" w:rsidTr="00185788">
        <w:trPr>
          <w:trHeight w:val="300"/>
          <w:tblHeader/>
          <w:jc w:val="center"/>
        </w:trPr>
        <w:tc>
          <w:tcPr>
            <w:tcW w:w="2689" w:type="dxa"/>
            <w:shd w:val="clear" w:color="auto" w:fill="FFE599"/>
            <w:noWrap/>
            <w:vAlign w:val="center"/>
          </w:tcPr>
          <w:p w14:paraId="16B8C4B5" w14:textId="77777777" w:rsidR="00A23CE9" w:rsidRPr="00487C10" w:rsidRDefault="00A23CE9" w:rsidP="00135073">
            <w:pPr>
              <w:jc w:val="center"/>
              <w:rPr>
                <w:rFonts w:cs="Arial"/>
                <w:b/>
                <w:sz w:val="20"/>
                <w:szCs w:val="20"/>
              </w:rPr>
            </w:pPr>
            <w:r w:rsidRPr="00487C10">
              <w:rPr>
                <w:rFonts w:cs="Arial"/>
                <w:b/>
                <w:bCs/>
                <w:sz w:val="20"/>
                <w:szCs w:val="20"/>
              </w:rPr>
              <w:t>Rodzaj zamówienia</w:t>
            </w:r>
          </w:p>
        </w:tc>
        <w:tc>
          <w:tcPr>
            <w:tcW w:w="1842" w:type="dxa"/>
            <w:shd w:val="clear" w:color="auto" w:fill="FFE599"/>
            <w:vAlign w:val="center"/>
          </w:tcPr>
          <w:p w14:paraId="495F0F06" w14:textId="77777777" w:rsidR="00A23CE9" w:rsidRPr="00487C10" w:rsidRDefault="00A23CE9" w:rsidP="00135073">
            <w:pPr>
              <w:jc w:val="center"/>
              <w:rPr>
                <w:rFonts w:cs="Arial"/>
                <w:b/>
                <w:sz w:val="20"/>
                <w:szCs w:val="20"/>
              </w:rPr>
            </w:pPr>
            <w:r w:rsidRPr="00487C10">
              <w:rPr>
                <w:rFonts w:cs="Arial"/>
                <w:b/>
                <w:sz w:val="20"/>
                <w:szCs w:val="20"/>
              </w:rPr>
              <w:t>Liczba</w:t>
            </w:r>
          </w:p>
        </w:tc>
        <w:tc>
          <w:tcPr>
            <w:tcW w:w="4536" w:type="dxa"/>
            <w:shd w:val="clear" w:color="auto" w:fill="FFE599"/>
            <w:vAlign w:val="center"/>
          </w:tcPr>
          <w:p w14:paraId="5ED026A7" w14:textId="77777777" w:rsidR="00A23CE9" w:rsidRPr="00487C10" w:rsidRDefault="00A23CE9" w:rsidP="00135073">
            <w:pPr>
              <w:jc w:val="center"/>
              <w:rPr>
                <w:rFonts w:cs="Arial"/>
                <w:b/>
                <w:sz w:val="20"/>
                <w:szCs w:val="20"/>
              </w:rPr>
            </w:pPr>
            <w:r w:rsidRPr="00487C10">
              <w:rPr>
                <w:rFonts w:cs="Arial"/>
                <w:b/>
                <w:sz w:val="20"/>
                <w:szCs w:val="20"/>
              </w:rPr>
              <w:t>Wartość (bez VAT)</w:t>
            </w:r>
          </w:p>
        </w:tc>
      </w:tr>
      <w:tr w:rsidR="00177128" w:rsidRPr="00487C10" w14:paraId="520FBD12" w14:textId="77777777" w:rsidTr="00185788">
        <w:trPr>
          <w:trHeight w:val="300"/>
          <w:jc w:val="center"/>
        </w:trPr>
        <w:tc>
          <w:tcPr>
            <w:tcW w:w="2689" w:type="dxa"/>
            <w:noWrap/>
            <w:vAlign w:val="center"/>
          </w:tcPr>
          <w:p w14:paraId="13500CD8" w14:textId="77777777" w:rsidR="00177128" w:rsidRPr="00487C10" w:rsidRDefault="00177128" w:rsidP="00177128">
            <w:pPr>
              <w:jc w:val="center"/>
              <w:rPr>
                <w:rFonts w:cs="Arial"/>
                <w:bCs/>
                <w:sz w:val="20"/>
                <w:szCs w:val="20"/>
              </w:rPr>
            </w:pPr>
            <w:r w:rsidRPr="00487C10">
              <w:rPr>
                <w:rFonts w:cs="Arial"/>
                <w:bCs/>
                <w:sz w:val="20"/>
                <w:szCs w:val="20"/>
              </w:rPr>
              <w:t>Dostawy</w:t>
            </w:r>
          </w:p>
        </w:tc>
        <w:tc>
          <w:tcPr>
            <w:tcW w:w="1842" w:type="dxa"/>
            <w:noWrap/>
            <w:vAlign w:val="center"/>
          </w:tcPr>
          <w:p w14:paraId="0109713F" w14:textId="48524C4F" w:rsidR="00177128" w:rsidRPr="00487C10" w:rsidRDefault="00177128" w:rsidP="00177128">
            <w:pPr>
              <w:jc w:val="center"/>
              <w:rPr>
                <w:rFonts w:cs="Arial"/>
                <w:sz w:val="20"/>
                <w:szCs w:val="20"/>
              </w:rPr>
            </w:pPr>
            <w:r w:rsidRPr="00382D8A">
              <w:rPr>
                <w:rFonts w:cs="Arial"/>
                <w:sz w:val="20"/>
                <w:szCs w:val="20"/>
              </w:rPr>
              <w:t>44</w:t>
            </w:r>
          </w:p>
        </w:tc>
        <w:tc>
          <w:tcPr>
            <w:tcW w:w="4536" w:type="dxa"/>
            <w:vAlign w:val="center"/>
          </w:tcPr>
          <w:p w14:paraId="624A28E5" w14:textId="18464BF1" w:rsidR="00177128" w:rsidRPr="00487C10" w:rsidRDefault="00177128" w:rsidP="00177128">
            <w:pPr>
              <w:jc w:val="center"/>
              <w:rPr>
                <w:rFonts w:cs="Arial"/>
                <w:sz w:val="20"/>
                <w:szCs w:val="20"/>
              </w:rPr>
            </w:pPr>
            <w:r w:rsidRPr="00382D8A">
              <w:rPr>
                <w:rFonts w:cs="Arial"/>
                <w:color w:val="000000"/>
                <w:sz w:val="20"/>
                <w:szCs w:val="20"/>
              </w:rPr>
              <w:t xml:space="preserve">431 205 040,83 </w:t>
            </w:r>
            <w:r w:rsidRPr="00382D8A">
              <w:rPr>
                <w:rFonts w:cs="Arial"/>
                <w:sz w:val="20"/>
                <w:szCs w:val="20"/>
              </w:rPr>
              <w:t>zł</w:t>
            </w:r>
          </w:p>
        </w:tc>
      </w:tr>
      <w:tr w:rsidR="00177128" w:rsidRPr="00487C10" w14:paraId="05FA5AB4" w14:textId="77777777" w:rsidTr="00185788">
        <w:trPr>
          <w:trHeight w:val="300"/>
          <w:jc w:val="center"/>
        </w:trPr>
        <w:tc>
          <w:tcPr>
            <w:tcW w:w="2689" w:type="dxa"/>
            <w:shd w:val="clear" w:color="auto" w:fill="FFF2CC"/>
            <w:noWrap/>
            <w:vAlign w:val="center"/>
            <w:hideMark/>
          </w:tcPr>
          <w:p w14:paraId="40D545B6" w14:textId="77777777" w:rsidR="00177128" w:rsidRPr="00487C10" w:rsidRDefault="00177128" w:rsidP="00177128">
            <w:pPr>
              <w:jc w:val="center"/>
              <w:rPr>
                <w:rFonts w:cs="Arial"/>
                <w:bCs/>
                <w:sz w:val="20"/>
                <w:szCs w:val="20"/>
              </w:rPr>
            </w:pPr>
            <w:r w:rsidRPr="00487C10">
              <w:rPr>
                <w:rFonts w:cs="Arial"/>
                <w:bCs/>
                <w:sz w:val="20"/>
                <w:szCs w:val="20"/>
              </w:rPr>
              <w:t>Roboty budowlane</w:t>
            </w:r>
          </w:p>
        </w:tc>
        <w:tc>
          <w:tcPr>
            <w:tcW w:w="1842" w:type="dxa"/>
            <w:shd w:val="clear" w:color="auto" w:fill="FFF2CC"/>
            <w:noWrap/>
            <w:vAlign w:val="center"/>
          </w:tcPr>
          <w:p w14:paraId="50E03FB7" w14:textId="5BDC1CD6" w:rsidR="00177128" w:rsidRPr="00487C10" w:rsidRDefault="00177128" w:rsidP="00177128">
            <w:pPr>
              <w:jc w:val="center"/>
              <w:rPr>
                <w:rFonts w:cs="Arial"/>
                <w:sz w:val="20"/>
                <w:szCs w:val="20"/>
              </w:rPr>
            </w:pPr>
            <w:r w:rsidRPr="00382D8A">
              <w:rPr>
                <w:rFonts w:cs="Arial"/>
                <w:sz w:val="20"/>
                <w:szCs w:val="20"/>
              </w:rPr>
              <w:t>14</w:t>
            </w:r>
          </w:p>
        </w:tc>
        <w:tc>
          <w:tcPr>
            <w:tcW w:w="4536" w:type="dxa"/>
            <w:shd w:val="clear" w:color="auto" w:fill="FFF2CC"/>
            <w:vAlign w:val="center"/>
          </w:tcPr>
          <w:p w14:paraId="45F93F33" w14:textId="264B381A" w:rsidR="00177128" w:rsidRPr="00487C10" w:rsidRDefault="00177128" w:rsidP="00177128">
            <w:pPr>
              <w:jc w:val="center"/>
              <w:rPr>
                <w:rFonts w:cs="Arial"/>
                <w:sz w:val="20"/>
                <w:szCs w:val="20"/>
              </w:rPr>
            </w:pPr>
            <w:r w:rsidRPr="00382D8A">
              <w:rPr>
                <w:rFonts w:cs="Arial"/>
                <w:color w:val="000000"/>
                <w:sz w:val="20"/>
                <w:szCs w:val="20"/>
              </w:rPr>
              <w:t xml:space="preserve">99 481 849,78 </w:t>
            </w:r>
            <w:r w:rsidRPr="00382D8A">
              <w:rPr>
                <w:rFonts w:cs="Arial"/>
                <w:sz w:val="20"/>
                <w:szCs w:val="20"/>
              </w:rPr>
              <w:t>zł</w:t>
            </w:r>
          </w:p>
        </w:tc>
      </w:tr>
      <w:tr w:rsidR="00177128" w:rsidRPr="00487C10" w14:paraId="1BBFBE9A" w14:textId="77777777" w:rsidTr="00185788">
        <w:trPr>
          <w:trHeight w:val="300"/>
          <w:jc w:val="center"/>
        </w:trPr>
        <w:tc>
          <w:tcPr>
            <w:tcW w:w="2689" w:type="dxa"/>
            <w:noWrap/>
            <w:vAlign w:val="center"/>
          </w:tcPr>
          <w:p w14:paraId="70765054" w14:textId="77777777" w:rsidR="00177128" w:rsidRPr="00487C10" w:rsidRDefault="00177128" w:rsidP="00177128">
            <w:pPr>
              <w:jc w:val="center"/>
              <w:rPr>
                <w:rFonts w:cs="Arial"/>
                <w:bCs/>
                <w:sz w:val="20"/>
                <w:szCs w:val="20"/>
              </w:rPr>
            </w:pPr>
            <w:r w:rsidRPr="00487C10">
              <w:rPr>
                <w:rFonts w:cs="Arial"/>
                <w:bCs/>
                <w:sz w:val="20"/>
                <w:szCs w:val="20"/>
              </w:rPr>
              <w:t>Usługi</w:t>
            </w:r>
          </w:p>
        </w:tc>
        <w:tc>
          <w:tcPr>
            <w:tcW w:w="1842" w:type="dxa"/>
            <w:noWrap/>
            <w:vAlign w:val="center"/>
          </w:tcPr>
          <w:p w14:paraId="05F4956A" w14:textId="2EB408AD" w:rsidR="00177128" w:rsidRPr="00487C10" w:rsidRDefault="00177128" w:rsidP="00177128">
            <w:pPr>
              <w:jc w:val="center"/>
              <w:rPr>
                <w:rFonts w:cs="Arial"/>
                <w:sz w:val="20"/>
                <w:szCs w:val="20"/>
              </w:rPr>
            </w:pPr>
            <w:r w:rsidRPr="00382D8A">
              <w:rPr>
                <w:rFonts w:cs="Arial"/>
                <w:sz w:val="20"/>
                <w:szCs w:val="20"/>
              </w:rPr>
              <w:t>53</w:t>
            </w:r>
          </w:p>
        </w:tc>
        <w:tc>
          <w:tcPr>
            <w:tcW w:w="4536" w:type="dxa"/>
            <w:vAlign w:val="center"/>
          </w:tcPr>
          <w:p w14:paraId="1314B065" w14:textId="4BBD9669" w:rsidR="00177128" w:rsidRPr="00487C10" w:rsidRDefault="00177128" w:rsidP="00177128">
            <w:pPr>
              <w:jc w:val="center"/>
              <w:rPr>
                <w:rFonts w:cs="Arial"/>
                <w:sz w:val="20"/>
                <w:szCs w:val="20"/>
              </w:rPr>
            </w:pPr>
            <w:r w:rsidRPr="00382D8A">
              <w:rPr>
                <w:rFonts w:cs="Arial"/>
                <w:color w:val="000000"/>
                <w:sz w:val="20"/>
                <w:szCs w:val="20"/>
              </w:rPr>
              <w:t xml:space="preserve">473 596 989,74 </w:t>
            </w:r>
            <w:r w:rsidRPr="00382D8A">
              <w:rPr>
                <w:rFonts w:cs="Arial"/>
                <w:sz w:val="20"/>
                <w:szCs w:val="20"/>
              </w:rPr>
              <w:t>zł</w:t>
            </w:r>
          </w:p>
        </w:tc>
      </w:tr>
    </w:tbl>
    <w:p w14:paraId="64021CAD" w14:textId="1979FB5D" w:rsidR="00A23CE9" w:rsidRPr="00F13581" w:rsidRDefault="000D1A8F" w:rsidP="00852522">
      <w:pPr>
        <w:pStyle w:val="Nagwek4"/>
      </w:pPr>
      <w:r>
        <w:t xml:space="preserve">3.2. </w:t>
      </w:r>
      <w:r w:rsidR="00A23CE9" w:rsidRPr="00F13581">
        <w:t>Określenie wymagań zw. z realizacją zamówienia obejmujących aspekty zw. z innowacyjnością, o których mowa w art. 96 ust. 1 ustawy Pzp</w:t>
      </w:r>
    </w:p>
    <w:p w14:paraId="5FF2CEE8" w14:textId="3DA83168" w:rsidR="00F13581" w:rsidRPr="00424C93" w:rsidRDefault="00F13581" w:rsidP="006C14EB">
      <w:pPr>
        <w:pStyle w:val="Legenda"/>
      </w:pPr>
      <w:bookmarkStart w:id="169" w:name="_Toc141276549"/>
      <w:bookmarkStart w:id="170" w:name="_Toc233203399"/>
      <w:r w:rsidRPr="0040358A">
        <w:t xml:space="preserve">Tab. </w:t>
      </w:r>
      <w:fldSimple w:instr=" SEQ Tab. \* ARABIC ">
        <w:r w:rsidR="00017C65">
          <w:rPr>
            <w:noProof/>
          </w:rPr>
          <w:t>27</w:t>
        </w:r>
      </w:fldSimple>
      <w:r w:rsidRPr="0040358A">
        <w:t>. Innowacyjne zamówienia publiczne z zastosowaniem art. 96 ust. 1 ustawy Pzp</w:t>
      </w:r>
      <w:bookmarkEnd w:id="169"/>
      <w:bookmarkEnd w:id="17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z zastosowaniem art. 96 ust. 1 ustawy Pzp."/>
        <w:tblDescription w:val="Tabela. Innowacyjne zamówienia publiczne z zastosowaniem art. 96 ust. 1 ustawy Pzp."/>
      </w:tblPr>
      <w:tblGrid>
        <w:gridCol w:w="6658"/>
        <w:gridCol w:w="2404"/>
      </w:tblGrid>
      <w:tr w:rsidR="00BD0FB1" w:rsidRPr="00487C10" w14:paraId="2A237AB4" w14:textId="77777777" w:rsidTr="00BD0FB1">
        <w:trPr>
          <w:trHeight w:val="300"/>
          <w:jc w:val="center"/>
        </w:trPr>
        <w:tc>
          <w:tcPr>
            <w:tcW w:w="6658" w:type="dxa"/>
            <w:shd w:val="clear" w:color="auto" w:fill="FFF2CC"/>
            <w:noWrap/>
            <w:vAlign w:val="center"/>
          </w:tcPr>
          <w:p w14:paraId="6F4F9943" w14:textId="77777777" w:rsidR="00BD0FB1" w:rsidRPr="00487C10" w:rsidRDefault="00BD0FB1" w:rsidP="00BD0FB1">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404" w:type="dxa"/>
            <w:shd w:val="clear" w:color="auto" w:fill="FFF2CC"/>
            <w:vAlign w:val="center"/>
          </w:tcPr>
          <w:p w14:paraId="30D16FD1" w14:textId="6F57CBB8" w:rsidR="00BD0FB1" w:rsidRPr="00487C10" w:rsidRDefault="00BD0FB1" w:rsidP="00BD0FB1">
            <w:pPr>
              <w:jc w:val="center"/>
              <w:rPr>
                <w:rFonts w:cs="Arial"/>
                <w:sz w:val="20"/>
                <w:szCs w:val="20"/>
              </w:rPr>
            </w:pPr>
            <w:r w:rsidRPr="00382D8A">
              <w:rPr>
                <w:rFonts w:cs="Arial"/>
                <w:sz w:val="20"/>
                <w:szCs w:val="20"/>
              </w:rPr>
              <w:t>69</w:t>
            </w:r>
          </w:p>
        </w:tc>
      </w:tr>
      <w:tr w:rsidR="00BD0FB1" w:rsidRPr="00487C10" w14:paraId="0A00A386" w14:textId="77777777" w:rsidTr="00BD0FB1">
        <w:trPr>
          <w:trHeight w:val="300"/>
          <w:jc w:val="center"/>
        </w:trPr>
        <w:tc>
          <w:tcPr>
            <w:tcW w:w="6658" w:type="dxa"/>
            <w:noWrap/>
            <w:vAlign w:val="center"/>
            <w:hideMark/>
          </w:tcPr>
          <w:p w14:paraId="2E2703E3" w14:textId="77777777" w:rsidR="00BD0FB1" w:rsidRPr="00487C10" w:rsidRDefault="00BD0FB1" w:rsidP="00BD0FB1">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404" w:type="dxa"/>
            <w:vAlign w:val="center"/>
          </w:tcPr>
          <w:p w14:paraId="162F47EF" w14:textId="77777777" w:rsidR="00BD0FB1" w:rsidRPr="00382D8A" w:rsidRDefault="00BD0FB1" w:rsidP="00BD0FB1">
            <w:pPr>
              <w:jc w:val="center"/>
              <w:rPr>
                <w:rFonts w:cs="Arial"/>
                <w:sz w:val="20"/>
                <w:szCs w:val="20"/>
              </w:rPr>
            </w:pPr>
            <w:r w:rsidRPr="00382D8A">
              <w:rPr>
                <w:rFonts w:cs="Arial"/>
                <w:color w:val="000000"/>
                <w:sz w:val="20"/>
                <w:szCs w:val="20"/>
              </w:rPr>
              <w:t xml:space="preserve">1 008 000 087,62 </w:t>
            </w:r>
            <w:r w:rsidRPr="00382D8A">
              <w:rPr>
                <w:rFonts w:cs="Arial"/>
                <w:sz w:val="20"/>
                <w:szCs w:val="20"/>
              </w:rPr>
              <w:t>zł</w:t>
            </w:r>
          </w:p>
          <w:p w14:paraId="4DC70DB1" w14:textId="2EE7597E" w:rsidR="00BD0FB1" w:rsidRPr="00487C10" w:rsidRDefault="00BD0FB1" w:rsidP="00BD0FB1">
            <w:pPr>
              <w:jc w:val="center"/>
              <w:rPr>
                <w:rFonts w:cs="Arial"/>
                <w:sz w:val="20"/>
                <w:szCs w:val="20"/>
              </w:rPr>
            </w:pPr>
            <w:r w:rsidRPr="00382D8A">
              <w:rPr>
                <w:rFonts w:cs="Arial"/>
                <w:sz w:val="20"/>
                <w:szCs w:val="20"/>
              </w:rPr>
              <w:t>(wartość bez VAT)</w:t>
            </w:r>
          </w:p>
        </w:tc>
      </w:tr>
    </w:tbl>
    <w:p w14:paraId="558E11A9" w14:textId="77777777" w:rsidR="00A23CE9" w:rsidRPr="00487C10" w:rsidRDefault="00A23CE9"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z zastosowaniem art. 96 ust. 1 ustawy Pzp."/>
        <w:tblDescription w:val="Tabela. Innowacyjne zamówienia publiczne z zastosowaniem art. 96 ust. 1 ustawy Pzp."/>
      </w:tblPr>
      <w:tblGrid>
        <w:gridCol w:w="2547"/>
        <w:gridCol w:w="1559"/>
        <w:gridCol w:w="4961"/>
      </w:tblGrid>
      <w:tr w:rsidR="00A23CE9" w:rsidRPr="00487C10" w14:paraId="391A827F" w14:textId="77777777" w:rsidTr="00185788">
        <w:trPr>
          <w:trHeight w:val="300"/>
          <w:tblHeader/>
          <w:jc w:val="center"/>
        </w:trPr>
        <w:tc>
          <w:tcPr>
            <w:tcW w:w="2547" w:type="dxa"/>
            <w:shd w:val="clear" w:color="auto" w:fill="FFE599"/>
            <w:noWrap/>
            <w:vAlign w:val="center"/>
          </w:tcPr>
          <w:p w14:paraId="46487342" w14:textId="77777777" w:rsidR="00A23CE9" w:rsidRPr="00487C10" w:rsidRDefault="00A23CE9" w:rsidP="00F75FBB">
            <w:pPr>
              <w:jc w:val="center"/>
              <w:rPr>
                <w:rFonts w:cs="Arial"/>
                <w:b/>
                <w:sz w:val="20"/>
                <w:szCs w:val="20"/>
              </w:rPr>
            </w:pPr>
            <w:r w:rsidRPr="00487C10">
              <w:rPr>
                <w:rFonts w:cs="Arial"/>
                <w:b/>
                <w:bCs/>
                <w:sz w:val="20"/>
                <w:szCs w:val="20"/>
              </w:rPr>
              <w:t>Rodzaj zamówienia</w:t>
            </w:r>
          </w:p>
        </w:tc>
        <w:tc>
          <w:tcPr>
            <w:tcW w:w="1559" w:type="dxa"/>
            <w:shd w:val="clear" w:color="auto" w:fill="FFE599"/>
            <w:vAlign w:val="center"/>
          </w:tcPr>
          <w:p w14:paraId="647A9646" w14:textId="77777777" w:rsidR="00A23CE9" w:rsidRPr="00487C10" w:rsidRDefault="00A23CE9" w:rsidP="00F75FBB">
            <w:pPr>
              <w:jc w:val="center"/>
              <w:rPr>
                <w:rFonts w:cs="Arial"/>
                <w:b/>
                <w:sz w:val="20"/>
                <w:szCs w:val="20"/>
              </w:rPr>
            </w:pPr>
            <w:r w:rsidRPr="00487C10">
              <w:rPr>
                <w:rFonts w:cs="Arial"/>
                <w:b/>
                <w:sz w:val="20"/>
                <w:szCs w:val="20"/>
              </w:rPr>
              <w:t>Liczba</w:t>
            </w:r>
          </w:p>
        </w:tc>
        <w:tc>
          <w:tcPr>
            <w:tcW w:w="4961" w:type="dxa"/>
            <w:shd w:val="clear" w:color="auto" w:fill="FFE599"/>
            <w:vAlign w:val="center"/>
          </w:tcPr>
          <w:p w14:paraId="4DE3D977" w14:textId="77777777" w:rsidR="00A23CE9" w:rsidRPr="00487C10" w:rsidRDefault="00A23CE9" w:rsidP="00F75FBB">
            <w:pPr>
              <w:jc w:val="center"/>
              <w:rPr>
                <w:rFonts w:cs="Arial"/>
                <w:b/>
                <w:sz w:val="20"/>
                <w:szCs w:val="20"/>
              </w:rPr>
            </w:pPr>
            <w:r w:rsidRPr="00487C10">
              <w:rPr>
                <w:rFonts w:cs="Arial"/>
                <w:b/>
                <w:sz w:val="20"/>
                <w:szCs w:val="20"/>
              </w:rPr>
              <w:t>Wartość (bez VAT)</w:t>
            </w:r>
          </w:p>
        </w:tc>
      </w:tr>
      <w:tr w:rsidR="00BD0FB1" w:rsidRPr="00487C10" w14:paraId="1A2BB4A6" w14:textId="77777777" w:rsidTr="00185788">
        <w:trPr>
          <w:trHeight w:val="300"/>
          <w:jc w:val="center"/>
        </w:trPr>
        <w:tc>
          <w:tcPr>
            <w:tcW w:w="2547" w:type="dxa"/>
            <w:noWrap/>
            <w:vAlign w:val="center"/>
          </w:tcPr>
          <w:p w14:paraId="490D1AED" w14:textId="77777777" w:rsidR="00BD0FB1" w:rsidRPr="00487C10" w:rsidRDefault="00BD0FB1" w:rsidP="00BD0FB1">
            <w:pPr>
              <w:jc w:val="center"/>
              <w:rPr>
                <w:rFonts w:cs="Arial"/>
                <w:bCs/>
                <w:sz w:val="20"/>
                <w:szCs w:val="20"/>
              </w:rPr>
            </w:pPr>
            <w:r w:rsidRPr="00487C10">
              <w:rPr>
                <w:rFonts w:cs="Arial"/>
                <w:bCs/>
                <w:sz w:val="20"/>
                <w:szCs w:val="20"/>
              </w:rPr>
              <w:t>Dostawy</w:t>
            </w:r>
          </w:p>
        </w:tc>
        <w:tc>
          <w:tcPr>
            <w:tcW w:w="1559" w:type="dxa"/>
            <w:noWrap/>
            <w:vAlign w:val="center"/>
          </w:tcPr>
          <w:p w14:paraId="16CED94E" w14:textId="12E1164C" w:rsidR="00BD0FB1" w:rsidRPr="00487C10" w:rsidRDefault="00BD0FB1" w:rsidP="00BD0FB1">
            <w:pPr>
              <w:jc w:val="center"/>
              <w:rPr>
                <w:rFonts w:cs="Arial"/>
                <w:sz w:val="20"/>
                <w:szCs w:val="20"/>
              </w:rPr>
            </w:pPr>
            <w:r w:rsidRPr="00382D8A">
              <w:rPr>
                <w:rFonts w:cs="Arial"/>
                <w:sz w:val="20"/>
                <w:szCs w:val="20"/>
              </w:rPr>
              <w:t>30</w:t>
            </w:r>
          </w:p>
        </w:tc>
        <w:tc>
          <w:tcPr>
            <w:tcW w:w="4961" w:type="dxa"/>
            <w:vAlign w:val="center"/>
          </w:tcPr>
          <w:p w14:paraId="18734BB2" w14:textId="6021177C" w:rsidR="00BD0FB1" w:rsidRPr="00487C10" w:rsidRDefault="00BD0FB1" w:rsidP="00BD0FB1">
            <w:pPr>
              <w:jc w:val="center"/>
              <w:rPr>
                <w:rFonts w:cs="Arial"/>
                <w:sz w:val="20"/>
                <w:szCs w:val="20"/>
              </w:rPr>
            </w:pPr>
            <w:r w:rsidRPr="00382D8A">
              <w:rPr>
                <w:rFonts w:cs="Arial"/>
                <w:color w:val="000000"/>
                <w:sz w:val="20"/>
                <w:szCs w:val="20"/>
              </w:rPr>
              <w:t xml:space="preserve">357 507 495,56 </w:t>
            </w:r>
            <w:r w:rsidRPr="00382D8A">
              <w:rPr>
                <w:rFonts w:cs="Arial"/>
                <w:sz w:val="20"/>
                <w:szCs w:val="20"/>
              </w:rPr>
              <w:t>zł</w:t>
            </w:r>
          </w:p>
        </w:tc>
      </w:tr>
      <w:tr w:rsidR="00BD0FB1" w:rsidRPr="00487C10" w14:paraId="4FCA29FD" w14:textId="77777777" w:rsidTr="00185788">
        <w:trPr>
          <w:trHeight w:val="300"/>
          <w:jc w:val="center"/>
        </w:trPr>
        <w:tc>
          <w:tcPr>
            <w:tcW w:w="2547" w:type="dxa"/>
            <w:shd w:val="clear" w:color="auto" w:fill="FFF2CC"/>
            <w:noWrap/>
            <w:vAlign w:val="center"/>
            <w:hideMark/>
          </w:tcPr>
          <w:p w14:paraId="19BDF4A3" w14:textId="77777777" w:rsidR="00BD0FB1" w:rsidRPr="00487C10" w:rsidRDefault="00BD0FB1" w:rsidP="00BD0FB1">
            <w:pPr>
              <w:jc w:val="center"/>
              <w:rPr>
                <w:rFonts w:cs="Arial"/>
                <w:bCs/>
                <w:sz w:val="20"/>
                <w:szCs w:val="20"/>
              </w:rPr>
            </w:pPr>
            <w:r w:rsidRPr="00487C10">
              <w:rPr>
                <w:rFonts w:cs="Arial"/>
                <w:bCs/>
                <w:sz w:val="20"/>
                <w:szCs w:val="20"/>
              </w:rPr>
              <w:t>Roboty budowlane</w:t>
            </w:r>
          </w:p>
        </w:tc>
        <w:tc>
          <w:tcPr>
            <w:tcW w:w="1559" w:type="dxa"/>
            <w:shd w:val="clear" w:color="auto" w:fill="FFF2CC"/>
            <w:noWrap/>
            <w:vAlign w:val="center"/>
          </w:tcPr>
          <w:p w14:paraId="275ECAC3" w14:textId="708ED187" w:rsidR="00BD0FB1" w:rsidRPr="00487C10" w:rsidRDefault="00BD0FB1" w:rsidP="00BD0FB1">
            <w:pPr>
              <w:jc w:val="center"/>
              <w:rPr>
                <w:rFonts w:cs="Arial"/>
                <w:sz w:val="20"/>
                <w:szCs w:val="20"/>
              </w:rPr>
            </w:pPr>
            <w:r w:rsidRPr="00382D8A">
              <w:rPr>
                <w:rFonts w:cs="Arial"/>
                <w:sz w:val="20"/>
                <w:szCs w:val="20"/>
              </w:rPr>
              <w:t>10</w:t>
            </w:r>
          </w:p>
        </w:tc>
        <w:tc>
          <w:tcPr>
            <w:tcW w:w="4961" w:type="dxa"/>
            <w:shd w:val="clear" w:color="auto" w:fill="FFF2CC"/>
            <w:vAlign w:val="center"/>
          </w:tcPr>
          <w:p w14:paraId="7A95617E" w14:textId="32090DF2" w:rsidR="00BD0FB1" w:rsidRPr="00487C10" w:rsidRDefault="00BD0FB1" w:rsidP="00BD0FB1">
            <w:pPr>
              <w:jc w:val="center"/>
              <w:rPr>
                <w:rFonts w:cs="Arial"/>
                <w:sz w:val="20"/>
                <w:szCs w:val="20"/>
              </w:rPr>
            </w:pPr>
            <w:r w:rsidRPr="00382D8A">
              <w:rPr>
                <w:rFonts w:cs="Arial"/>
                <w:color w:val="000000"/>
                <w:sz w:val="20"/>
                <w:szCs w:val="20"/>
              </w:rPr>
              <w:t xml:space="preserve">530 064 961,63 </w:t>
            </w:r>
            <w:r w:rsidRPr="00382D8A">
              <w:rPr>
                <w:rFonts w:cs="Arial"/>
                <w:sz w:val="20"/>
                <w:szCs w:val="20"/>
              </w:rPr>
              <w:t>zł</w:t>
            </w:r>
          </w:p>
        </w:tc>
      </w:tr>
      <w:tr w:rsidR="00BD0FB1" w:rsidRPr="00487C10" w14:paraId="38027A73" w14:textId="77777777" w:rsidTr="00185788">
        <w:trPr>
          <w:trHeight w:val="300"/>
          <w:jc w:val="center"/>
        </w:trPr>
        <w:tc>
          <w:tcPr>
            <w:tcW w:w="2547" w:type="dxa"/>
            <w:noWrap/>
            <w:vAlign w:val="center"/>
          </w:tcPr>
          <w:p w14:paraId="19B9BBA2" w14:textId="77777777" w:rsidR="00BD0FB1" w:rsidRPr="00487C10" w:rsidRDefault="00BD0FB1" w:rsidP="00BD0FB1">
            <w:pPr>
              <w:jc w:val="center"/>
              <w:rPr>
                <w:rFonts w:cs="Arial"/>
                <w:bCs/>
                <w:sz w:val="20"/>
                <w:szCs w:val="20"/>
              </w:rPr>
            </w:pPr>
            <w:r w:rsidRPr="00487C10">
              <w:rPr>
                <w:rFonts w:cs="Arial"/>
                <w:bCs/>
                <w:sz w:val="20"/>
                <w:szCs w:val="20"/>
              </w:rPr>
              <w:lastRenderedPageBreak/>
              <w:t>Usługi</w:t>
            </w:r>
          </w:p>
        </w:tc>
        <w:tc>
          <w:tcPr>
            <w:tcW w:w="1559" w:type="dxa"/>
            <w:noWrap/>
            <w:vAlign w:val="center"/>
          </w:tcPr>
          <w:p w14:paraId="055FFED6" w14:textId="2068D7F4" w:rsidR="00BD0FB1" w:rsidRPr="00487C10" w:rsidRDefault="00BD0FB1" w:rsidP="00BD0FB1">
            <w:pPr>
              <w:jc w:val="center"/>
              <w:rPr>
                <w:rFonts w:cs="Arial"/>
                <w:sz w:val="20"/>
                <w:szCs w:val="20"/>
              </w:rPr>
            </w:pPr>
            <w:r w:rsidRPr="00382D8A">
              <w:rPr>
                <w:rFonts w:cs="Arial"/>
                <w:sz w:val="20"/>
                <w:szCs w:val="20"/>
              </w:rPr>
              <w:t>29</w:t>
            </w:r>
          </w:p>
        </w:tc>
        <w:tc>
          <w:tcPr>
            <w:tcW w:w="4961" w:type="dxa"/>
            <w:vAlign w:val="center"/>
          </w:tcPr>
          <w:p w14:paraId="4EC00812" w14:textId="713179B7" w:rsidR="00BD0FB1" w:rsidRPr="00487C10" w:rsidRDefault="00BD0FB1" w:rsidP="00BD0FB1">
            <w:pPr>
              <w:jc w:val="center"/>
              <w:rPr>
                <w:rFonts w:cs="Arial"/>
                <w:sz w:val="20"/>
                <w:szCs w:val="20"/>
              </w:rPr>
            </w:pPr>
            <w:r w:rsidRPr="00382D8A">
              <w:rPr>
                <w:rFonts w:cs="Arial"/>
                <w:color w:val="000000"/>
                <w:sz w:val="20"/>
                <w:szCs w:val="20"/>
              </w:rPr>
              <w:t xml:space="preserve">120 427 630,43 </w:t>
            </w:r>
            <w:r w:rsidRPr="00382D8A">
              <w:rPr>
                <w:rFonts w:cs="Arial"/>
                <w:sz w:val="20"/>
                <w:szCs w:val="20"/>
              </w:rPr>
              <w:t>zł</w:t>
            </w:r>
          </w:p>
        </w:tc>
      </w:tr>
    </w:tbl>
    <w:p w14:paraId="56DC7571" w14:textId="5ED652CD" w:rsidR="00786C29" w:rsidRPr="00135705" w:rsidRDefault="00786C29" w:rsidP="0026657C">
      <w:pPr>
        <w:pStyle w:val="Legenda"/>
        <w:spacing w:before="240"/>
      </w:pPr>
      <w:bookmarkStart w:id="171" w:name="_Toc141276496"/>
      <w:bookmarkStart w:id="172" w:name="_Toc203993360"/>
      <w:bookmarkStart w:id="173" w:name="_Toc233203354"/>
      <w:r w:rsidRPr="0040358A">
        <w:t xml:space="preserve">Rys. </w:t>
      </w:r>
      <w:fldSimple w:instr=" SEQ Rys. \* ARABIC ">
        <w:r w:rsidR="00017C65">
          <w:rPr>
            <w:noProof/>
          </w:rPr>
          <w:t>33</w:t>
        </w:r>
      </w:fldSimple>
      <w:r w:rsidRPr="0040358A">
        <w:t>. Liczba zamówień, w których zastosowano odpowiednie aspekty innowacyjne</w:t>
      </w:r>
      <w:bookmarkEnd w:id="171"/>
      <w:bookmarkEnd w:id="172"/>
      <w:bookmarkEnd w:id="173"/>
    </w:p>
    <w:p w14:paraId="541818D5" w14:textId="329EF5C9" w:rsidR="00724E04" w:rsidRDefault="00786C29" w:rsidP="000F33CE">
      <w:pPr>
        <w:spacing w:before="240" w:line="360" w:lineRule="auto"/>
        <w:jc w:val="left"/>
        <w:rPr>
          <w:rFonts w:cs="Arial"/>
        </w:rPr>
      </w:pPr>
      <w:r w:rsidRPr="00D6514E">
        <w:rPr>
          <w:rFonts w:cs="Arial"/>
          <w:noProof/>
        </w:rPr>
        <w:drawing>
          <wp:inline distT="0" distB="0" distL="0" distR="0" wp14:anchorId="272FBAEA" wp14:editId="492421FC">
            <wp:extent cx="5280660" cy="3134360"/>
            <wp:effectExtent l="0" t="0" r="15240" b="8890"/>
            <wp:docPr id="1167798688" name="Wykres 1" descr="Liczba zamówień, w których zastosowano odpowiednie aspekty innowacyjne" title="Liczba zamówień, w których zastosowano odpowiednie aspekty innowacyjne">
              <a:extLst xmlns:a="http://schemas.openxmlformats.org/drawingml/2006/main">
                <a:ext uri="{FF2B5EF4-FFF2-40B4-BE49-F238E27FC236}">
                  <a16:creationId xmlns:a16="http://schemas.microsoft.com/office/drawing/2014/main" id="{279FBED7-2133-A45E-A299-F4FF3A972E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DD61454" w14:textId="50C98DD8" w:rsidR="0053541C" w:rsidRPr="00257BDC" w:rsidRDefault="0053541C" w:rsidP="009A775F">
      <w:pPr>
        <w:pStyle w:val="Legenda"/>
        <w:spacing w:before="240"/>
      </w:pPr>
      <w:bookmarkStart w:id="174" w:name="_Toc141276497"/>
      <w:bookmarkStart w:id="175" w:name="_Toc203993361"/>
      <w:bookmarkStart w:id="176" w:name="_Toc233203355"/>
      <w:r w:rsidRPr="00433B2C">
        <w:t xml:space="preserve">Rys. </w:t>
      </w:r>
      <w:fldSimple w:instr=" SEQ Rys. \* ARABIC ">
        <w:r w:rsidR="00017C65">
          <w:rPr>
            <w:noProof/>
          </w:rPr>
          <w:t>34</w:t>
        </w:r>
      </w:fldSimple>
      <w:r w:rsidRPr="00433B2C">
        <w:t>. Wartość zamówień, w których zastosowano odpowiednie aspekty innowacyjne</w:t>
      </w:r>
      <w:bookmarkEnd w:id="174"/>
      <w:bookmarkEnd w:id="175"/>
      <w:bookmarkEnd w:id="176"/>
    </w:p>
    <w:p w14:paraId="1747EB7A" w14:textId="3FD5788D" w:rsidR="0053541C" w:rsidRDefault="00B45487" w:rsidP="000F33CE">
      <w:pPr>
        <w:spacing w:before="240" w:line="360" w:lineRule="auto"/>
        <w:jc w:val="left"/>
        <w:rPr>
          <w:rFonts w:cs="Arial"/>
        </w:rPr>
      </w:pPr>
      <w:r w:rsidRPr="00D6514E">
        <w:rPr>
          <w:rFonts w:cs="Arial"/>
          <w:noProof/>
        </w:rPr>
        <w:drawing>
          <wp:inline distT="0" distB="0" distL="0" distR="0" wp14:anchorId="7B7E9A8D" wp14:editId="284FA8F9">
            <wp:extent cx="5486400" cy="3225800"/>
            <wp:effectExtent l="0" t="0" r="0" b="12700"/>
            <wp:docPr id="1861771020" name="Wykres 1" descr="Wartość zamówień, w których zastosowano odpowiednie aspekty innowacyjne" title="Wartość zamówień, w których zastosowano odpowiednie aspekty innowacyjne">
              <a:extLst xmlns:a="http://schemas.openxmlformats.org/drawingml/2006/main">
                <a:ext uri="{FF2B5EF4-FFF2-40B4-BE49-F238E27FC236}">
                  <a16:creationId xmlns:a16="http://schemas.microsoft.com/office/drawing/2014/main" id="{E6BF5993-9BB7-AB22-E129-F6C3266B7C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86FE370" w14:textId="0A66EECD" w:rsidR="00EC3CE9" w:rsidRPr="00EC3CE9" w:rsidRDefault="00EC3CE9" w:rsidP="00EC3CE9">
      <w:pPr>
        <w:spacing w:before="240" w:line="360" w:lineRule="auto"/>
        <w:jc w:val="left"/>
        <w:rPr>
          <w:rFonts w:cs="Arial"/>
        </w:rPr>
      </w:pPr>
      <w:r w:rsidRPr="00EC3CE9">
        <w:rPr>
          <w:rFonts w:cs="Arial"/>
        </w:rPr>
        <w:t>W przypadku rozwiązań innowacyjnych ponad dwukrotnie wzrosła</w:t>
      </w:r>
      <w:r w:rsidR="00326395">
        <w:rPr>
          <w:rFonts w:cs="Arial"/>
        </w:rPr>
        <w:t xml:space="preserve"> </w:t>
      </w:r>
      <w:r w:rsidRPr="00EC3CE9">
        <w:rPr>
          <w:rFonts w:cs="Arial"/>
        </w:rPr>
        <w:t>liczba zamówień, w</w:t>
      </w:r>
      <w:r w:rsidR="00D07A35">
        <w:rPr>
          <w:rFonts w:cs="Arial"/>
        </w:rPr>
        <w:t> </w:t>
      </w:r>
      <w:r w:rsidRPr="00EC3CE9">
        <w:rPr>
          <w:rFonts w:cs="Arial"/>
        </w:rPr>
        <w:t xml:space="preserve">których aspekty związane z innowacyjnością uwzględniono w ramach kryteriów oceny ofert. Z drugiej jednak strony odnotowano znaczny spadek wartości zamówień na innowacje </w:t>
      </w:r>
      <w:r w:rsidRPr="00EC3CE9">
        <w:rPr>
          <w:rFonts w:cs="Arial"/>
        </w:rPr>
        <w:lastRenderedPageBreak/>
        <w:t xml:space="preserve">z takim aspektem. W porównaniu z 2024 r. ich wartość spadła o 609 140 807,68 zł (bez podatku od towarów i usług). </w:t>
      </w:r>
    </w:p>
    <w:p w14:paraId="377504EC" w14:textId="5E3C3155" w:rsidR="00EC3CE9" w:rsidRPr="00EC3CE9" w:rsidRDefault="00EC3CE9" w:rsidP="00EC3CE9">
      <w:pPr>
        <w:spacing w:before="240" w:line="360" w:lineRule="auto"/>
        <w:jc w:val="left"/>
        <w:rPr>
          <w:rFonts w:cs="Arial"/>
        </w:rPr>
      </w:pPr>
      <w:r w:rsidRPr="00EC3CE9">
        <w:rPr>
          <w:rFonts w:cs="Arial"/>
        </w:rPr>
        <w:t>W przypadku zamówień, w których ujęto wymagania związane z realizacją zamówienia obejmujące aspekty dotyczące innowacyjności</w:t>
      </w:r>
      <w:r w:rsidR="00D07A35">
        <w:rPr>
          <w:rFonts w:cs="Arial"/>
        </w:rPr>
        <w:t>,</w:t>
      </w:r>
      <w:r w:rsidRPr="00EC3CE9">
        <w:rPr>
          <w:rFonts w:cs="Arial"/>
        </w:rPr>
        <w:t xml:space="preserve"> ich liczba pozostała niezmienna w</w:t>
      </w:r>
      <w:r w:rsidR="00D07A35">
        <w:rPr>
          <w:rFonts w:cs="Arial"/>
        </w:rPr>
        <w:t> </w:t>
      </w:r>
      <w:r w:rsidRPr="00EC3CE9">
        <w:rPr>
          <w:rFonts w:cs="Arial"/>
        </w:rPr>
        <w:t xml:space="preserve">porównaniu z rokiem 2024. Ich wartość z kolei wzrosła ponad trzykrotnie (tj. o 685 860 388,13 zł bez podatku od towarów i usług) i wyniosła w 2025 r. 1 008 000 087,62 zł (bez podatku od towarów i usług). </w:t>
      </w:r>
    </w:p>
    <w:p w14:paraId="50A66059" w14:textId="41F34407" w:rsidR="00E558D8" w:rsidRPr="00E558D8" w:rsidRDefault="00E558D8" w:rsidP="00E558D8">
      <w:pPr>
        <w:spacing w:before="120" w:line="360" w:lineRule="auto"/>
        <w:jc w:val="left"/>
        <w:rPr>
          <w:rFonts w:cs="Arial"/>
        </w:rPr>
      </w:pPr>
      <w:r w:rsidRPr="0049704B">
        <w:rPr>
          <w:rFonts w:cs="Arial"/>
          <w:i/>
        </w:rPr>
        <w:t>Ogólne dane dotyczące zamówień, w których odwołano się do odpowiednich instrumentów innowacyjnych</w:t>
      </w:r>
      <w:r w:rsidR="00D07A35" w:rsidRPr="0049704B">
        <w:rPr>
          <w:rFonts w:cs="Arial"/>
          <w:i/>
        </w:rPr>
        <w:t>,</w:t>
      </w:r>
      <w:r w:rsidRPr="0049704B">
        <w:rPr>
          <w:rFonts w:cs="Arial"/>
          <w:i/>
        </w:rPr>
        <w:t xml:space="preserve"> przedstawiono w </w:t>
      </w:r>
      <w:hyperlink w:anchor="_Załącznik_nr_4." w:history="1">
        <w:r w:rsidRPr="0049704B">
          <w:rPr>
            <w:rStyle w:val="Hipercze"/>
            <w:rFonts w:cs="Arial"/>
            <w:i/>
          </w:rPr>
          <w:t xml:space="preserve">załączniku nr </w:t>
        </w:r>
        <w:r w:rsidR="00410A22">
          <w:rPr>
            <w:rStyle w:val="Hipercze"/>
            <w:rFonts w:cs="Arial"/>
            <w:i/>
          </w:rPr>
          <w:t>3</w:t>
        </w:r>
      </w:hyperlink>
      <w:r w:rsidRPr="0049704B">
        <w:rPr>
          <w:rFonts w:cs="Arial"/>
          <w:i/>
        </w:rPr>
        <w:t xml:space="preserve"> do niniejszego Sprawozdania.</w:t>
      </w:r>
      <w:r w:rsidRPr="00E558D8">
        <w:rPr>
          <w:rFonts w:cs="Arial"/>
          <w:i/>
        </w:rPr>
        <w:t xml:space="preserve"> </w:t>
      </w:r>
    </w:p>
    <w:p w14:paraId="02B6E812" w14:textId="03816031" w:rsidR="00245B26" w:rsidRPr="00F25BBC" w:rsidRDefault="00DF178E" w:rsidP="00852522">
      <w:pPr>
        <w:pStyle w:val="Nagwek4"/>
      </w:pPr>
      <w:r>
        <w:t xml:space="preserve">4. </w:t>
      </w:r>
      <w:r w:rsidR="008935C7" w:rsidRPr="00F25BBC">
        <w:t>Jednostki administracji rządowej</w:t>
      </w:r>
    </w:p>
    <w:p w14:paraId="2D3788A3" w14:textId="3B92E7E4" w:rsidR="008935C7" w:rsidRPr="00F25BBC" w:rsidRDefault="00DF178E" w:rsidP="00852522">
      <w:pPr>
        <w:pStyle w:val="Nagwek4"/>
      </w:pPr>
      <w:r>
        <w:t xml:space="preserve">4.1. </w:t>
      </w:r>
      <w:r w:rsidR="008935C7" w:rsidRPr="00F25BBC">
        <w:t>Realizacja przez jednostki administracji rządowej zaleceń Rady Ministrów w</w:t>
      </w:r>
      <w:r w:rsidR="009343A1" w:rsidRPr="00F25BBC">
        <w:t xml:space="preserve"> </w:t>
      </w:r>
      <w:r w:rsidR="008935C7" w:rsidRPr="00F25BBC">
        <w:t>sprawie uwzględniania aspektów społecznych w zamówieniach publicznych</w:t>
      </w:r>
    </w:p>
    <w:p w14:paraId="07C80F01" w14:textId="03FA5873" w:rsidR="00530E56" w:rsidRPr="00530E56" w:rsidRDefault="00530E56" w:rsidP="00530E56">
      <w:pPr>
        <w:pStyle w:val="StylArial11ptWyjustowany"/>
        <w:spacing w:before="240" w:line="360" w:lineRule="auto"/>
        <w:jc w:val="left"/>
        <w:rPr>
          <w:rFonts w:cs="Arial"/>
          <w:iCs/>
          <w:szCs w:val="22"/>
        </w:rPr>
      </w:pPr>
      <w:r w:rsidRPr="00530E56">
        <w:rPr>
          <w:rFonts w:cs="Arial"/>
          <w:iCs/>
          <w:szCs w:val="22"/>
        </w:rPr>
        <w:t xml:space="preserve">W świetle przyjętych przez Radę Ministrów w dniu 8 grudnia 2022 r. „Zaleceń w sprawie uwzględniania przez administrację rządową aspektów społecznych w zamówieniach publicznych” Prezes Urzędu zobowiązany jest do prowadzenia monitoringu stosowania przez jednostki administracji rządowej aspektów społecznych w postępowaniach o udzielenie zamówienia publicznego. Prowadzona przez Urząd </w:t>
      </w:r>
      <w:r w:rsidR="000A63B5">
        <w:rPr>
          <w:rFonts w:cs="Arial"/>
          <w:iCs/>
          <w:szCs w:val="22"/>
        </w:rPr>
        <w:t>Zamówień Publicznych, zwany dalej „Urzędem Zamówień Publicznych”, „Urzędem</w:t>
      </w:r>
      <w:r w:rsidR="00437416">
        <w:rPr>
          <w:rFonts w:cs="Arial"/>
          <w:iCs/>
          <w:szCs w:val="22"/>
        </w:rPr>
        <w:t xml:space="preserve">” lub „UZP”, </w:t>
      </w:r>
      <w:r w:rsidRPr="00530E56">
        <w:rPr>
          <w:rFonts w:cs="Arial"/>
          <w:iCs/>
          <w:szCs w:val="22"/>
        </w:rPr>
        <w:t>analiza uwzględnia informacje przekazywane przez:</w:t>
      </w:r>
    </w:p>
    <w:p w14:paraId="20F44EF1" w14:textId="77777777" w:rsidR="00530E56" w:rsidRPr="00530E56" w:rsidRDefault="00530E56" w:rsidP="00F47F50">
      <w:pPr>
        <w:pStyle w:val="StylArial11ptWyjustowany"/>
        <w:numPr>
          <w:ilvl w:val="0"/>
          <w:numId w:val="45"/>
        </w:numPr>
        <w:spacing w:line="360" w:lineRule="auto"/>
        <w:jc w:val="left"/>
        <w:rPr>
          <w:rFonts w:cs="Arial"/>
          <w:iCs/>
          <w:szCs w:val="22"/>
        </w:rPr>
      </w:pPr>
      <w:r w:rsidRPr="00530E56">
        <w:rPr>
          <w:rFonts w:cs="Arial"/>
          <w:iCs/>
          <w:szCs w:val="22"/>
        </w:rPr>
        <w:t xml:space="preserve">ministerstwa, </w:t>
      </w:r>
    </w:p>
    <w:p w14:paraId="57852DA8" w14:textId="77777777" w:rsidR="00530E56" w:rsidRPr="00530E56" w:rsidRDefault="00530E56" w:rsidP="00F47F50">
      <w:pPr>
        <w:pStyle w:val="StylArial11ptWyjustowany"/>
        <w:numPr>
          <w:ilvl w:val="0"/>
          <w:numId w:val="45"/>
        </w:numPr>
        <w:spacing w:line="360" w:lineRule="auto"/>
        <w:jc w:val="left"/>
        <w:rPr>
          <w:rFonts w:cs="Arial"/>
          <w:iCs/>
          <w:szCs w:val="22"/>
        </w:rPr>
      </w:pPr>
      <w:r w:rsidRPr="00530E56">
        <w:rPr>
          <w:rFonts w:cs="Arial"/>
          <w:iCs/>
          <w:szCs w:val="22"/>
        </w:rPr>
        <w:t xml:space="preserve">Kancelarię Prezesa Rady Ministrów, </w:t>
      </w:r>
    </w:p>
    <w:p w14:paraId="2B356DC5" w14:textId="77777777" w:rsidR="00530E56" w:rsidRPr="00530E56" w:rsidRDefault="00530E56" w:rsidP="00F47F50">
      <w:pPr>
        <w:pStyle w:val="StylArial11ptWyjustowany"/>
        <w:numPr>
          <w:ilvl w:val="0"/>
          <w:numId w:val="45"/>
        </w:numPr>
        <w:spacing w:line="360" w:lineRule="auto"/>
        <w:jc w:val="left"/>
        <w:rPr>
          <w:rFonts w:cs="Arial"/>
          <w:iCs/>
          <w:szCs w:val="22"/>
        </w:rPr>
      </w:pPr>
      <w:r w:rsidRPr="00530E56">
        <w:rPr>
          <w:rFonts w:cs="Arial"/>
          <w:iCs/>
          <w:szCs w:val="22"/>
        </w:rPr>
        <w:t xml:space="preserve">organy oraz jednostki podległe lub nadzorowane przez ministrów, </w:t>
      </w:r>
    </w:p>
    <w:p w14:paraId="3BC0F7BB" w14:textId="77777777" w:rsidR="00530E56" w:rsidRPr="00530E56" w:rsidRDefault="00530E56" w:rsidP="00F47F50">
      <w:pPr>
        <w:pStyle w:val="StylArial11ptWyjustowany"/>
        <w:numPr>
          <w:ilvl w:val="0"/>
          <w:numId w:val="45"/>
        </w:numPr>
        <w:spacing w:line="360" w:lineRule="auto"/>
        <w:jc w:val="left"/>
        <w:rPr>
          <w:rFonts w:cs="Arial"/>
          <w:iCs/>
          <w:szCs w:val="22"/>
        </w:rPr>
      </w:pPr>
      <w:r w:rsidRPr="00530E56">
        <w:rPr>
          <w:rFonts w:cs="Arial"/>
          <w:iCs/>
          <w:szCs w:val="22"/>
        </w:rPr>
        <w:t xml:space="preserve">jednostki podległe lub nadzorowane przez Prezesa Rady Ministrów, </w:t>
      </w:r>
    </w:p>
    <w:p w14:paraId="74ECA09D" w14:textId="77777777" w:rsidR="00530E56" w:rsidRPr="00530E56" w:rsidRDefault="00530E56" w:rsidP="00F47F50">
      <w:pPr>
        <w:pStyle w:val="StylArial11ptWyjustowany"/>
        <w:numPr>
          <w:ilvl w:val="0"/>
          <w:numId w:val="45"/>
        </w:numPr>
        <w:spacing w:line="360" w:lineRule="auto"/>
        <w:jc w:val="left"/>
        <w:rPr>
          <w:rFonts w:cs="Arial"/>
          <w:iCs/>
          <w:szCs w:val="22"/>
        </w:rPr>
      </w:pPr>
      <w:r w:rsidRPr="00530E56">
        <w:rPr>
          <w:rFonts w:cs="Arial"/>
          <w:iCs/>
          <w:szCs w:val="22"/>
        </w:rPr>
        <w:t xml:space="preserve">urzędy wojewódzkie, </w:t>
      </w:r>
    </w:p>
    <w:p w14:paraId="34DAA584" w14:textId="77777777" w:rsidR="00530E56" w:rsidRPr="00530E56" w:rsidRDefault="00530E56" w:rsidP="00F47F50">
      <w:pPr>
        <w:pStyle w:val="StylArial11ptWyjustowany"/>
        <w:numPr>
          <w:ilvl w:val="0"/>
          <w:numId w:val="45"/>
        </w:numPr>
        <w:spacing w:line="360" w:lineRule="auto"/>
        <w:jc w:val="left"/>
        <w:rPr>
          <w:rFonts w:cs="Arial"/>
          <w:iCs/>
          <w:szCs w:val="22"/>
        </w:rPr>
      </w:pPr>
      <w:r w:rsidRPr="00530E56">
        <w:rPr>
          <w:rFonts w:cs="Arial"/>
          <w:iCs/>
          <w:szCs w:val="22"/>
        </w:rPr>
        <w:t xml:space="preserve">służby, straże i inspekcje zespolonej administracji rządowej, </w:t>
      </w:r>
    </w:p>
    <w:p w14:paraId="430C83CE" w14:textId="77777777" w:rsidR="00530E56" w:rsidRPr="00530E56" w:rsidRDefault="00530E56" w:rsidP="00F47F50">
      <w:pPr>
        <w:pStyle w:val="StylArial11ptWyjustowany"/>
        <w:numPr>
          <w:ilvl w:val="0"/>
          <w:numId w:val="45"/>
        </w:numPr>
        <w:spacing w:line="360" w:lineRule="auto"/>
        <w:jc w:val="left"/>
        <w:rPr>
          <w:rFonts w:cs="Arial"/>
          <w:iCs/>
          <w:szCs w:val="22"/>
        </w:rPr>
      </w:pPr>
      <w:r w:rsidRPr="00530E56">
        <w:rPr>
          <w:rFonts w:cs="Arial"/>
          <w:iCs/>
          <w:szCs w:val="22"/>
        </w:rPr>
        <w:t xml:space="preserve">jednostki niezespolonej administracji rządowej oraz </w:t>
      </w:r>
    </w:p>
    <w:p w14:paraId="52296148" w14:textId="77777777" w:rsidR="00530E56" w:rsidRPr="00530E56" w:rsidRDefault="00530E56" w:rsidP="00F47F50">
      <w:pPr>
        <w:pStyle w:val="StylArial11ptWyjustowany"/>
        <w:numPr>
          <w:ilvl w:val="0"/>
          <w:numId w:val="45"/>
        </w:numPr>
        <w:spacing w:line="360" w:lineRule="auto"/>
        <w:jc w:val="left"/>
        <w:rPr>
          <w:rFonts w:cs="Arial"/>
          <w:iCs/>
          <w:szCs w:val="22"/>
        </w:rPr>
      </w:pPr>
      <w:r w:rsidRPr="00530E56">
        <w:rPr>
          <w:rFonts w:cs="Arial"/>
          <w:iCs/>
          <w:szCs w:val="22"/>
        </w:rPr>
        <w:t xml:space="preserve">instytucje gospodarki budżetowej w administracji rządowej. </w:t>
      </w:r>
    </w:p>
    <w:p w14:paraId="65CD0902" w14:textId="2F2D5D75" w:rsidR="00530E56" w:rsidRPr="00530E56" w:rsidRDefault="00530E56" w:rsidP="00530E56">
      <w:pPr>
        <w:pStyle w:val="StylArial11ptWyjustowany"/>
        <w:spacing w:before="120" w:line="360" w:lineRule="auto"/>
        <w:jc w:val="left"/>
        <w:rPr>
          <w:rFonts w:cs="Arial"/>
          <w:iCs/>
          <w:szCs w:val="22"/>
        </w:rPr>
      </w:pPr>
      <w:r w:rsidRPr="00530E56">
        <w:rPr>
          <w:rFonts w:cs="Arial"/>
          <w:iCs/>
          <w:szCs w:val="22"/>
        </w:rPr>
        <w:t>Sprawozdawczość w zakresie stosowania aspektów społecznych w prowadzonych postępowaniach przetargowych realizowana jest przez poszczególne jednostki administracji rządowej w ramach rocznego sprawozdania o udzielonych zamówieniach (w tabeli V i VI), o</w:t>
      </w:r>
      <w:r w:rsidR="00D07A35">
        <w:rPr>
          <w:rFonts w:cs="Arial"/>
          <w:iCs/>
          <w:szCs w:val="22"/>
        </w:rPr>
        <w:t> </w:t>
      </w:r>
      <w:r w:rsidRPr="00530E56">
        <w:rPr>
          <w:rFonts w:cs="Arial"/>
          <w:iCs/>
          <w:szCs w:val="22"/>
        </w:rPr>
        <w:t xml:space="preserve">którym mowa w art. 82 ustawy Pzp. </w:t>
      </w:r>
    </w:p>
    <w:p w14:paraId="4E144446" w14:textId="228F115B" w:rsidR="00C85FEF" w:rsidRPr="00443DC3" w:rsidRDefault="00C85FEF" w:rsidP="006C14EB">
      <w:pPr>
        <w:pStyle w:val="Legenda"/>
      </w:pPr>
      <w:bookmarkStart w:id="177" w:name="_Toc141276550"/>
      <w:bookmarkStart w:id="178" w:name="_Toc233203400"/>
      <w:r w:rsidRPr="00A31B1F">
        <w:lastRenderedPageBreak/>
        <w:t xml:space="preserve">Tab. </w:t>
      </w:r>
      <w:fldSimple w:instr=" SEQ Tab. \* ARABIC ">
        <w:r w:rsidR="00017C65">
          <w:rPr>
            <w:noProof/>
          </w:rPr>
          <w:t>28</w:t>
        </w:r>
      </w:fldSimple>
      <w:r w:rsidRPr="00A31B1F">
        <w:t>. Społeczne zamówienia publiczne udzielane przez jednostki administracji rządowej w 202</w:t>
      </w:r>
      <w:r w:rsidR="00EF364D">
        <w:t>5</w:t>
      </w:r>
      <w:r w:rsidRPr="00A31B1F">
        <w:t xml:space="preserve"> r.</w:t>
      </w:r>
      <w:r>
        <w:t xml:space="preserve"> </w:t>
      </w:r>
      <w:r w:rsidRPr="00A31B1F">
        <w:t>– dane ogólne</w:t>
      </w:r>
      <w:bookmarkEnd w:id="177"/>
      <w:bookmarkEnd w:id="17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w 2025 r. – dane ogólne."/>
        <w:tblDescription w:val="Tabela. Społeczne zamówienia publiczne udzielane przez jednostki administracji rządowej w 2025 r. – dane ogólne."/>
      </w:tblPr>
      <w:tblGrid>
        <w:gridCol w:w="6799"/>
        <w:gridCol w:w="2263"/>
      </w:tblGrid>
      <w:tr w:rsidR="007805B5" w:rsidRPr="00FD623C" w14:paraId="116CBC3D" w14:textId="77777777" w:rsidTr="00293687">
        <w:trPr>
          <w:trHeight w:val="300"/>
          <w:tblHeader/>
          <w:jc w:val="center"/>
        </w:trPr>
        <w:tc>
          <w:tcPr>
            <w:tcW w:w="9062" w:type="dxa"/>
            <w:gridSpan w:val="2"/>
            <w:shd w:val="clear" w:color="auto" w:fill="5B9BD5"/>
            <w:noWrap/>
            <w:vAlign w:val="center"/>
            <w:hideMark/>
          </w:tcPr>
          <w:p w14:paraId="0BB09C66" w14:textId="77777777" w:rsidR="007805B5" w:rsidRPr="00FD623C" w:rsidRDefault="007805B5" w:rsidP="006A65D5">
            <w:pPr>
              <w:jc w:val="center"/>
              <w:rPr>
                <w:rFonts w:cs="Arial"/>
                <w:b/>
                <w:sz w:val="20"/>
                <w:szCs w:val="20"/>
              </w:rPr>
            </w:pPr>
            <w:r w:rsidRPr="00FD623C">
              <w:rPr>
                <w:rFonts w:cs="Arial"/>
                <w:b/>
                <w:sz w:val="20"/>
                <w:szCs w:val="20"/>
              </w:rPr>
              <w:t>DANE OGÓLNE</w:t>
            </w:r>
          </w:p>
        </w:tc>
      </w:tr>
      <w:tr w:rsidR="00DB41D3" w:rsidRPr="00FD623C" w14:paraId="3C752B96" w14:textId="77777777" w:rsidTr="00293687">
        <w:trPr>
          <w:trHeight w:val="300"/>
          <w:jc w:val="center"/>
        </w:trPr>
        <w:tc>
          <w:tcPr>
            <w:tcW w:w="6799" w:type="dxa"/>
            <w:noWrap/>
            <w:vAlign w:val="center"/>
          </w:tcPr>
          <w:p w14:paraId="137E3912" w14:textId="77777777" w:rsidR="00DB41D3" w:rsidRPr="00FD623C" w:rsidRDefault="00DB41D3" w:rsidP="00DB41D3">
            <w:pPr>
              <w:jc w:val="left"/>
              <w:rPr>
                <w:rFonts w:cs="Arial"/>
                <w:bCs/>
                <w:sz w:val="20"/>
                <w:szCs w:val="20"/>
              </w:rPr>
            </w:pPr>
            <w:r w:rsidRPr="00FD623C">
              <w:rPr>
                <w:rFonts w:cs="Arial"/>
                <w:bCs/>
                <w:sz w:val="20"/>
                <w:szCs w:val="20"/>
              </w:rPr>
              <w:t xml:space="preserve">Liczba zamawiających, którzy udzielili zamówień publicznych uwzględniających aspekty społeczne </w:t>
            </w:r>
            <w:r>
              <w:rPr>
                <w:rFonts w:cs="Arial"/>
                <w:sz w:val="20"/>
                <w:szCs w:val="20"/>
              </w:rPr>
              <w:t xml:space="preserve">(na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noWrap/>
            <w:vAlign w:val="center"/>
          </w:tcPr>
          <w:p w14:paraId="6C6010E6" w14:textId="0687EFF3" w:rsidR="00DB41D3" w:rsidRPr="00C119F4" w:rsidRDefault="00DB41D3" w:rsidP="00DB41D3">
            <w:pPr>
              <w:jc w:val="center"/>
              <w:rPr>
                <w:rFonts w:cs="Arial"/>
                <w:sz w:val="20"/>
                <w:szCs w:val="20"/>
              </w:rPr>
            </w:pPr>
            <w:r>
              <w:rPr>
                <w:rFonts w:cs="Arial"/>
                <w:sz w:val="20"/>
                <w:szCs w:val="20"/>
              </w:rPr>
              <w:t>638</w:t>
            </w:r>
          </w:p>
        </w:tc>
      </w:tr>
      <w:tr w:rsidR="00357089" w:rsidRPr="00FD623C" w14:paraId="779DD030" w14:textId="77777777" w:rsidTr="00293687">
        <w:trPr>
          <w:trHeight w:val="300"/>
          <w:jc w:val="center"/>
        </w:trPr>
        <w:tc>
          <w:tcPr>
            <w:tcW w:w="6799" w:type="dxa"/>
            <w:shd w:val="clear" w:color="auto" w:fill="DEEAF6"/>
            <w:noWrap/>
            <w:vAlign w:val="center"/>
          </w:tcPr>
          <w:p w14:paraId="7615DFD9" w14:textId="77777777" w:rsidR="00357089" w:rsidRPr="00FD623C" w:rsidRDefault="00357089" w:rsidP="00357089">
            <w:pPr>
              <w:jc w:val="left"/>
              <w:rPr>
                <w:rFonts w:cs="Arial"/>
                <w:bCs/>
                <w:sz w:val="20"/>
                <w:szCs w:val="20"/>
              </w:rPr>
            </w:pPr>
            <w:r w:rsidRPr="00FD623C">
              <w:rPr>
                <w:rFonts w:cs="Arial"/>
                <w:bCs/>
                <w:sz w:val="20"/>
                <w:szCs w:val="20"/>
              </w:rPr>
              <w:t xml:space="preserve">Liczba </w:t>
            </w:r>
            <w:r w:rsidRPr="00FD623C">
              <w:rPr>
                <w:rFonts w:cs="Arial"/>
                <w:sz w:val="20"/>
                <w:szCs w:val="20"/>
              </w:rPr>
              <w:t>udzielonych zamówień publicznych uwzględniających aspekty społeczne</w:t>
            </w:r>
            <w:r>
              <w:rPr>
                <w:rFonts w:cs="Arial"/>
                <w:sz w:val="20"/>
                <w:szCs w:val="20"/>
              </w:rPr>
              <w:t xml:space="preserve"> (na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DEEAF6"/>
            <w:noWrap/>
            <w:vAlign w:val="center"/>
          </w:tcPr>
          <w:p w14:paraId="4039772D" w14:textId="27460521" w:rsidR="00357089" w:rsidRPr="00FC19E6" w:rsidRDefault="00357089" w:rsidP="00357089">
            <w:pPr>
              <w:jc w:val="center"/>
              <w:rPr>
                <w:rFonts w:cs="Arial"/>
                <w:sz w:val="20"/>
                <w:szCs w:val="20"/>
                <w:highlight w:val="yellow"/>
              </w:rPr>
            </w:pPr>
            <w:r>
              <w:rPr>
                <w:rFonts w:cs="Arial"/>
                <w:sz w:val="20"/>
                <w:szCs w:val="20"/>
              </w:rPr>
              <w:t>7 495</w:t>
            </w:r>
          </w:p>
        </w:tc>
      </w:tr>
      <w:tr w:rsidR="00357089" w:rsidRPr="00FD623C" w14:paraId="199415C8" w14:textId="77777777" w:rsidTr="00724E04">
        <w:trPr>
          <w:trHeight w:val="300"/>
          <w:jc w:val="center"/>
        </w:trPr>
        <w:tc>
          <w:tcPr>
            <w:tcW w:w="6799" w:type="dxa"/>
            <w:noWrap/>
            <w:vAlign w:val="center"/>
            <w:hideMark/>
          </w:tcPr>
          <w:p w14:paraId="7C48AF47" w14:textId="77777777" w:rsidR="00357089" w:rsidRPr="00FD623C" w:rsidRDefault="00357089" w:rsidP="00357089">
            <w:pPr>
              <w:jc w:val="left"/>
              <w:rPr>
                <w:rFonts w:cs="Arial"/>
                <w:bCs/>
                <w:sz w:val="20"/>
                <w:szCs w:val="20"/>
              </w:rPr>
            </w:pPr>
            <w:r w:rsidRPr="00FD623C">
              <w:rPr>
                <w:rFonts w:cs="Arial"/>
                <w:bCs/>
                <w:sz w:val="20"/>
                <w:szCs w:val="20"/>
              </w:rPr>
              <w:t xml:space="preserve">Wartość </w:t>
            </w:r>
            <w:r w:rsidRPr="00FD623C">
              <w:rPr>
                <w:rFonts w:cs="Arial"/>
                <w:sz w:val="20"/>
                <w:szCs w:val="20"/>
              </w:rPr>
              <w:t>udzielonych zamówień publicznych uwzględniających aspekty społeczne</w:t>
            </w:r>
            <w:r>
              <w:rPr>
                <w:rFonts w:cs="Arial"/>
                <w:sz w:val="20"/>
                <w:szCs w:val="20"/>
              </w:rPr>
              <w:t xml:space="preserve"> (na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noWrap/>
            <w:vAlign w:val="center"/>
          </w:tcPr>
          <w:p w14:paraId="443F8E4B" w14:textId="77777777" w:rsidR="00357089" w:rsidRDefault="00357089" w:rsidP="00357089">
            <w:pPr>
              <w:jc w:val="center"/>
              <w:rPr>
                <w:rFonts w:cs="Arial"/>
                <w:sz w:val="20"/>
                <w:szCs w:val="20"/>
              </w:rPr>
            </w:pPr>
            <w:r w:rsidRPr="00962B77">
              <w:rPr>
                <w:rFonts w:cs="Arial"/>
                <w:sz w:val="20"/>
                <w:szCs w:val="20"/>
              </w:rPr>
              <w:t>2</w:t>
            </w:r>
            <w:r>
              <w:rPr>
                <w:rFonts w:cs="Arial"/>
                <w:sz w:val="20"/>
                <w:szCs w:val="20"/>
              </w:rPr>
              <w:t>0 673 663 169,92</w:t>
            </w:r>
            <w:r w:rsidRPr="00962B77">
              <w:rPr>
                <w:rFonts w:cs="Arial"/>
                <w:sz w:val="20"/>
                <w:szCs w:val="20"/>
              </w:rPr>
              <w:t xml:space="preserve"> zł</w:t>
            </w:r>
          </w:p>
          <w:p w14:paraId="45E9133E" w14:textId="55429BC7" w:rsidR="00357089" w:rsidRPr="007A13C9" w:rsidRDefault="00357089" w:rsidP="00357089">
            <w:pPr>
              <w:jc w:val="center"/>
              <w:rPr>
                <w:rFonts w:cs="Arial"/>
                <w:sz w:val="20"/>
                <w:szCs w:val="20"/>
              </w:rPr>
            </w:pPr>
            <w:r w:rsidRPr="007A13C9">
              <w:rPr>
                <w:rFonts w:cs="Arial"/>
                <w:sz w:val="20"/>
                <w:szCs w:val="20"/>
              </w:rPr>
              <w:t>(wartość bez VAT)</w:t>
            </w:r>
          </w:p>
        </w:tc>
      </w:tr>
      <w:tr w:rsidR="00357089" w:rsidRPr="00FD623C" w14:paraId="0308A89B" w14:textId="77777777" w:rsidTr="006127B0">
        <w:trPr>
          <w:trHeight w:val="300"/>
          <w:jc w:val="center"/>
        </w:trPr>
        <w:tc>
          <w:tcPr>
            <w:tcW w:w="6799" w:type="dxa"/>
            <w:shd w:val="clear" w:color="auto" w:fill="DEEAF6" w:themeFill="accent1" w:themeFillTint="33"/>
            <w:noWrap/>
            <w:vAlign w:val="center"/>
          </w:tcPr>
          <w:p w14:paraId="61144E7B" w14:textId="77777777" w:rsidR="00357089" w:rsidRPr="00C14078" w:rsidRDefault="00357089" w:rsidP="00357089">
            <w:pPr>
              <w:jc w:val="left"/>
              <w:rPr>
                <w:rFonts w:eastAsia="Calibri" w:cs="Arial"/>
                <w:sz w:val="20"/>
                <w:szCs w:val="20"/>
              </w:rPr>
            </w:pPr>
            <w:r w:rsidRPr="00C14078">
              <w:rPr>
                <w:rFonts w:cs="Arial"/>
                <w:bCs/>
                <w:sz w:val="20"/>
                <w:szCs w:val="20"/>
              </w:rPr>
              <w:t xml:space="preserve">Liczba zamawiających, którzy udzielili zamówień zastrzeżonych </w:t>
            </w:r>
            <w:r w:rsidRPr="00C14078">
              <w:rPr>
                <w:rFonts w:eastAsia="Calibri" w:cs="Arial"/>
                <w:sz w:val="20"/>
                <w:szCs w:val="20"/>
              </w:rPr>
              <w:t xml:space="preserve">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DEEAF6" w:themeFill="accent1" w:themeFillTint="33"/>
            <w:noWrap/>
            <w:vAlign w:val="center"/>
          </w:tcPr>
          <w:p w14:paraId="6313A0B2" w14:textId="775EF489" w:rsidR="00357089" w:rsidRPr="002D7F77" w:rsidRDefault="00357089" w:rsidP="00357089">
            <w:pPr>
              <w:jc w:val="center"/>
              <w:rPr>
                <w:rFonts w:cs="Arial"/>
                <w:sz w:val="20"/>
                <w:szCs w:val="20"/>
              </w:rPr>
            </w:pPr>
            <w:r>
              <w:rPr>
                <w:rFonts w:cs="Arial"/>
                <w:sz w:val="20"/>
                <w:szCs w:val="20"/>
              </w:rPr>
              <w:t>65</w:t>
            </w:r>
          </w:p>
        </w:tc>
      </w:tr>
      <w:tr w:rsidR="00357089" w:rsidRPr="00FD623C" w14:paraId="4C1920CD" w14:textId="77777777" w:rsidTr="006127B0">
        <w:trPr>
          <w:trHeight w:val="300"/>
          <w:jc w:val="center"/>
        </w:trPr>
        <w:tc>
          <w:tcPr>
            <w:tcW w:w="6799" w:type="dxa"/>
            <w:noWrap/>
            <w:vAlign w:val="center"/>
          </w:tcPr>
          <w:p w14:paraId="7E38F0E9" w14:textId="77777777" w:rsidR="00357089" w:rsidRPr="00FD623C" w:rsidRDefault="00357089" w:rsidP="00357089">
            <w:pPr>
              <w:jc w:val="left"/>
              <w:rPr>
                <w:rFonts w:cs="Arial"/>
                <w:bCs/>
                <w:sz w:val="20"/>
                <w:szCs w:val="20"/>
              </w:rPr>
            </w:pPr>
            <w:r w:rsidRPr="00FD623C">
              <w:rPr>
                <w:rFonts w:eastAsia="Calibri" w:cs="Arial"/>
                <w:sz w:val="20"/>
                <w:szCs w:val="20"/>
              </w:rPr>
              <w:t xml:space="preserve">Liczba zamówień zastrzeżonych 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noWrap/>
            <w:vAlign w:val="center"/>
          </w:tcPr>
          <w:p w14:paraId="697F1A19" w14:textId="10D82468" w:rsidR="00357089" w:rsidRPr="00FD623C" w:rsidRDefault="00357089" w:rsidP="00357089">
            <w:pPr>
              <w:jc w:val="center"/>
              <w:rPr>
                <w:rFonts w:cs="Arial"/>
                <w:sz w:val="20"/>
                <w:szCs w:val="20"/>
              </w:rPr>
            </w:pPr>
            <w:r>
              <w:rPr>
                <w:rFonts w:cs="Arial"/>
                <w:sz w:val="20"/>
                <w:szCs w:val="20"/>
              </w:rPr>
              <w:t>151</w:t>
            </w:r>
          </w:p>
        </w:tc>
      </w:tr>
      <w:tr w:rsidR="00357089" w:rsidRPr="00FD623C" w14:paraId="5723B4FC" w14:textId="77777777" w:rsidTr="006127B0">
        <w:trPr>
          <w:trHeight w:val="300"/>
          <w:jc w:val="center"/>
        </w:trPr>
        <w:tc>
          <w:tcPr>
            <w:tcW w:w="6799" w:type="dxa"/>
            <w:shd w:val="clear" w:color="auto" w:fill="DEEAF6" w:themeFill="accent1" w:themeFillTint="33"/>
            <w:noWrap/>
            <w:vAlign w:val="center"/>
          </w:tcPr>
          <w:p w14:paraId="7B0C2BA4" w14:textId="77777777" w:rsidR="00357089" w:rsidRPr="00FD623C" w:rsidRDefault="00357089" w:rsidP="00357089">
            <w:pPr>
              <w:jc w:val="left"/>
              <w:rPr>
                <w:rFonts w:eastAsia="Calibri" w:cs="Arial"/>
                <w:sz w:val="20"/>
                <w:szCs w:val="20"/>
              </w:rPr>
            </w:pPr>
            <w:r w:rsidRPr="00FD623C">
              <w:rPr>
                <w:rFonts w:cs="Arial"/>
                <w:bCs/>
                <w:sz w:val="20"/>
                <w:szCs w:val="20"/>
              </w:rPr>
              <w:t xml:space="preserve">Wartość </w:t>
            </w:r>
            <w:r w:rsidRPr="00FD623C">
              <w:rPr>
                <w:rFonts w:eastAsia="Calibri" w:cs="Arial"/>
                <w:sz w:val="20"/>
                <w:szCs w:val="20"/>
              </w:rPr>
              <w:t xml:space="preserve">zamówień zastrzeżonych 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DEEAF6" w:themeFill="accent1" w:themeFillTint="33"/>
            <w:noWrap/>
            <w:vAlign w:val="center"/>
          </w:tcPr>
          <w:p w14:paraId="4EF96E57" w14:textId="77777777" w:rsidR="00357089" w:rsidRDefault="00357089" w:rsidP="00357089">
            <w:pPr>
              <w:jc w:val="center"/>
              <w:rPr>
                <w:rFonts w:cs="Arial"/>
                <w:sz w:val="20"/>
                <w:szCs w:val="20"/>
              </w:rPr>
            </w:pPr>
            <w:r w:rsidRPr="00BD03E7">
              <w:rPr>
                <w:rFonts w:cs="Arial"/>
                <w:sz w:val="20"/>
                <w:szCs w:val="20"/>
              </w:rPr>
              <w:t>186</w:t>
            </w:r>
            <w:r>
              <w:rPr>
                <w:rFonts w:cs="Arial"/>
                <w:sz w:val="20"/>
                <w:szCs w:val="20"/>
              </w:rPr>
              <w:t xml:space="preserve"> </w:t>
            </w:r>
            <w:r w:rsidRPr="00BD03E7">
              <w:rPr>
                <w:rFonts w:cs="Arial"/>
                <w:sz w:val="20"/>
                <w:szCs w:val="20"/>
              </w:rPr>
              <w:t>930</w:t>
            </w:r>
            <w:r>
              <w:rPr>
                <w:rFonts w:cs="Arial"/>
                <w:sz w:val="20"/>
                <w:szCs w:val="20"/>
              </w:rPr>
              <w:t xml:space="preserve"> </w:t>
            </w:r>
            <w:r w:rsidRPr="00BD03E7">
              <w:rPr>
                <w:rFonts w:cs="Arial"/>
                <w:sz w:val="20"/>
                <w:szCs w:val="20"/>
              </w:rPr>
              <w:t>136,13</w:t>
            </w:r>
            <w:r w:rsidRPr="00513B44">
              <w:rPr>
                <w:rFonts w:cs="Arial"/>
                <w:sz w:val="20"/>
                <w:szCs w:val="20"/>
              </w:rPr>
              <w:t xml:space="preserve"> zł</w:t>
            </w:r>
          </w:p>
          <w:p w14:paraId="36C24D7E" w14:textId="520AE129" w:rsidR="00357089" w:rsidRPr="00FD623C" w:rsidRDefault="00357089" w:rsidP="00357089">
            <w:pPr>
              <w:jc w:val="center"/>
              <w:rPr>
                <w:rFonts w:cs="Arial"/>
                <w:b/>
                <w:sz w:val="20"/>
                <w:szCs w:val="20"/>
              </w:rPr>
            </w:pPr>
            <w:r w:rsidRPr="00FD623C">
              <w:rPr>
                <w:rFonts w:cs="Arial"/>
                <w:sz w:val="20"/>
                <w:szCs w:val="20"/>
              </w:rPr>
              <w:t>(wartość bez VAT)</w:t>
            </w:r>
          </w:p>
        </w:tc>
      </w:tr>
      <w:tr w:rsidR="00DB41D3" w:rsidRPr="00A70DC9" w14:paraId="38DEFBAE" w14:textId="77777777" w:rsidTr="006127B0">
        <w:trPr>
          <w:trHeight w:val="300"/>
          <w:jc w:val="center"/>
        </w:trPr>
        <w:tc>
          <w:tcPr>
            <w:tcW w:w="6799" w:type="dxa"/>
            <w:tcBorders>
              <w:top w:val="single" w:sz="4" w:space="0" w:color="auto"/>
              <w:left w:val="single" w:sz="4" w:space="0" w:color="auto"/>
              <w:bottom w:val="single" w:sz="4" w:space="0" w:color="auto"/>
              <w:right w:val="single" w:sz="4" w:space="0" w:color="auto"/>
            </w:tcBorders>
            <w:noWrap/>
            <w:vAlign w:val="center"/>
          </w:tcPr>
          <w:p w14:paraId="0FE31C10" w14:textId="77777777" w:rsidR="00DB41D3" w:rsidRPr="00A70DC9" w:rsidRDefault="00DB41D3" w:rsidP="00DB41D3">
            <w:pPr>
              <w:jc w:val="center"/>
              <w:rPr>
                <w:rFonts w:cs="Arial"/>
                <w:b/>
                <w:bCs/>
                <w:sz w:val="20"/>
                <w:szCs w:val="20"/>
              </w:rPr>
            </w:pPr>
            <w:r w:rsidRPr="00A70DC9">
              <w:rPr>
                <w:rFonts w:cs="Arial"/>
                <w:b/>
                <w:bCs/>
                <w:sz w:val="20"/>
                <w:szCs w:val="20"/>
              </w:rPr>
              <w:t>ŁĄCZNIE</w:t>
            </w:r>
          </w:p>
        </w:tc>
        <w:tc>
          <w:tcPr>
            <w:tcW w:w="2263" w:type="dxa"/>
            <w:tcBorders>
              <w:top w:val="single" w:sz="4" w:space="0" w:color="auto"/>
              <w:left w:val="single" w:sz="4" w:space="0" w:color="auto"/>
              <w:bottom w:val="single" w:sz="4" w:space="0" w:color="auto"/>
              <w:right w:val="single" w:sz="4" w:space="0" w:color="auto"/>
            </w:tcBorders>
            <w:noWrap/>
            <w:vAlign w:val="center"/>
          </w:tcPr>
          <w:p w14:paraId="16B85699" w14:textId="77777777" w:rsidR="00DB41D3" w:rsidRPr="00A70DC9" w:rsidRDefault="00DB41D3" w:rsidP="00DB41D3">
            <w:pPr>
              <w:jc w:val="center"/>
              <w:rPr>
                <w:rFonts w:cs="Arial"/>
                <w:b/>
                <w:sz w:val="20"/>
                <w:szCs w:val="20"/>
              </w:rPr>
            </w:pPr>
          </w:p>
        </w:tc>
      </w:tr>
      <w:tr w:rsidR="00DB41D3" w:rsidRPr="007C42A4" w14:paraId="0A07FC5A" w14:textId="77777777" w:rsidTr="00293687">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5D6A22B8" w14:textId="2697009C" w:rsidR="00DB41D3" w:rsidRPr="007C42A4" w:rsidRDefault="00DB41D3" w:rsidP="00DB41D3">
            <w:pPr>
              <w:jc w:val="left"/>
              <w:rPr>
                <w:rFonts w:cs="Arial"/>
                <w:bCs/>
                <w:sz w:val="20"/>
                <w:szCs w:val="20"/>
              </w:rPr>
            </w:pPr>
            <w:r w:rsidRPr="00A70DC9">
              <w:rPr>
                <w:rFonts w:cs="Arial"/>
                <w:bCs/>
                <w:sz w:val="20"/>
                <w:szCs w:val="20"/>
              </w:rPr>
              <w:t>Liczba zamawiających, którzy udzielili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4BC2C4E2" w14:textId="7D7E577D" w:rsidR="00DB41D3" w:rsidRPr="007C42A4" w:rsidRDefault="00DB41D3" w:rsidP="00DB41D3">
            <w:pPr>
              <w:jc w:val="center"/>
              <w:rPr>
                <w:rFonts w:cs="Arial"/>
                <w:sz w:val="20"/>
                <w:szCs w:val="20"/>
              </w:rPr>
            </w:pPr>
            <w:r>
              <w:rPr>
                <w:rFonts w:cs="Arial"/>
                <w:sz w:val="20"/>
                <w:szCs w:val="20"/>
              </w:rPr>
              <w:t>647</w:t>
            </w:r>
            <w:r w:rsidR="006F10DD">
              <w:rPr>
                <w:rStyle w:val="Odwoanieprzypisudolnego"/>
                <w:rFonts w:cs="Arial"/>
                <w:sz w:val="20"/>
                <w:szCs w:val="20"/>
              </w:rPr>
              <w:footnoteReference w:id="13"/>
            </w:r>
          </w:p>
        </w:tc>
      </w:tr>
      <w:tr w:rsidR="00DB41D3" w:rsidRPr="00FD623C" w14:paraId="4E94BBB6" w14:textId="77777777" w:rsidTr="00293687">
        <w:trPr>
          <w:trHeight w:val="300"/>
          <w:jc w:val="center"/>
        </w:trPr>
        <w:tc>
          <w:tcPr>
            <w:tcW w:w="6799" w:type="dxa"/>
            <w:tcBorders>
              <w:top w:val="single" w:sz="4" w:space="0" w:color="auto"/>
              <w:left w:val="single" w:sz="4" w:space="0" w:color="auto"/>
              <w:bottom w:val="single" w:sz="4" w:space="0" w:color="auto"/>
              <w:right w:val="single" w:sz="4" w:space="0" w:color="auto"/>
            </w:tcBorders>
            <w:noWrap/>
            <w:vAlign w:val="center"/>
          </w:tcPr>
          <w:p w14:paraId="6F68D1E6" w14:textId="60BDAFAE" w:rsidR="00DB41D3" w:rsidRPr="00A70DC9" w:rsidRDefault="00DB41D3" w:rsidP="00DB41D3">
            <w:pPr>
              <w:jc w:val="left"/>
              <w:rPr>
                <w:rFonts w:cs="Arial"/>
                <w:bCs/>
                <w:sz w:val="20"/>
                <w:szCs w:val="20"/>
              </w:rPr>
            </w:pPr>
            <w:r w:rsidRPr="00A70DC9">
              <w:rPr>
                <w:rFonts w:cs="Arial"/>
                <w:bCs/>
                <w:sz w:val="20"/>
                <w:szCs w:val="20"/>
              </w:rPr>
              <w:t>Liczba społecznych zamówień publicznych</w:t>
            </w:r>
          </w:p>
        </w:tc>
        <w:tc>
          <w:tcPr>
            <w:tcW w:w="2263" w:type="dxa"/>
            <w:tcBorders>
              <w:top w:val="single" w:sz="4" w:space="0" w:color="auto"/>
              <w:left w:val="single" w:sz="4" w:space="0" w:color="auto"/>
              <w:bottom w:val="single" w:sz="4" w:space="0" w:color="auto"/>
              <w:right w:val="single" w:sz="4" w:space="0" w:color="auto"/>
            </w:tcBorders>
            <w:noWrap/>
            <w:vAlign w:val="center"/>
          </w:tcPr>
          <w:p w14:paraId="23495027" w14:textId="24C10482" w:rsidR="00DB41D3" w:rsidRPr="00291BEE" w:rsidRDefault="00DB41D3" w:rsidP="00DB41D3">
            <w:pPr>
              <w:jc w:val="center"/>
              <w:rPr>
                <w:rFonts w:cs="Arial"/>
                <w:sz w:val="20"/>
                <w:szCs w:val="20"/>
              </w:rPr>
            </w:pPr>
            <w:r w:rsidRPr="004F1357">
              <w:rPr>
                <w:rFonts w:cs="Arial"/>
                <w:sz w:val="20"/>
                <w:szCs w:val="20"/>
              </w:rPr>
              <w:t xml:space="preserve">7 </w:t>
            </w:r>
            <w:r>
              <w:rPr>
                <w:rFonts w:cs="Arial"/>
                <w:sz w:val="20"/>
                <w:szCs w:val="20"/>
              </w:rPr>
              <w:t>646</w:t>
            </w:r>
          </w:p>
        </w:tc>
      </w:tr>
      <w:tr w:rsidR="00DB41D3" w:rsidRPr="00FD623C" w14:paraId="0142449C" w14:textId="77777777" w:rsidTr="006127B0">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3AF22343" w14:textId="3EB1754A" w:rsidR="00DB41D3" w:rsidRPr="007C42A4" w:rsidRDefault="00DB41D3" w:rsidP="00DB41D3">
            <w:pPr>
              <w:jc w:val="left"/>
              <w:rPr>
                <w:rFonts w:cs="Arial"/>
                <w:bCs/>
                <w:sz w:val="20"/>
                <w:szCs w:val="20"/>
              </w:rPr>
            </w:pPr>
            <w:r w:rsidRPr="00A70DC9">
              <w:rPr>
                <w:rFonts w:cs="Arial"/>
                <w:bCs/>
                <w:sz w:val="20"/>
                <w:szCs w:val="20"/>
              </w:rPr>
              <w:t>Wartość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1BD6A4E1" w14:textId="77777777" w:rsidR="00DB41D3" w:rsidRPr="00291BEE" w:rsidRDefault="00DB41D3" w:rsidP="00DB41D3">
            <w:pPr>
              <w:jc w:val="center"/>
              <w:rPr>
                <w:rFonts w:cs="Arial"/>
                <w:sz w:val="20"/>
                <w:szCs w:val="20"/>
              </w:rPr>
            </w:pPr>
            <w:r w:rsidRPr="009C587D">
              <w:rPr>
                <w:rFonts w:cs="Arial"/>
                <w:sz w:val="20"/>
                <w:szCs w:val="20"/>
              </w:rPr>
              <w:t>20</w:t>
            </w:r>
            <w:r>
              <w:rPr>
                <w:rFonts w:cs="Arial"/>
                <w:sz w:val="20"/>
                <w:szCs w:val="20"/>
              </w:rPr>
              <w:t xml:space="preserve"> </w:t>
            </w:r>
            <w:r w:rsidRPr="009C587D">
              <w:rPr>
                <w:rFonts w:cs="Arial"/>
                <w:sz w:val="20"/>
                <w:szCs w:val="20"/>
              </w:rPr>
              <w:t>860</w:t>
            </w:r>
            <w:r>
              <w:rPr>
                <w:rFonts w:cs="Arial"/>
                <w:sz w:val="20"/>
                <w:szCs w:val="20"/>
              </w:rPr>
              <w:t xml:space="preserve"> </w:t>
            </w:r>
            <w:r w:rsidRPr="009C587D">
              <w:rPr>
                <w:rFonts w:cs="Arial"/>
                <w:sz w:val="20"/>
                <w:szCs w:val="20"/>
              </w:rPr>
              <w:t>593</w:t>
            </w:r>
            <w:r>
              <w:rPr>
                <w:rFonts w:cs="Arial"/>
                <w:sz w:val="20"/>
                <w:szCs w:val="20"/>
              </w:rPr>
              <w:t xml:space="preserve"> </w:t>
            </w:r>
            <w:r w:rsidRPr="009C587D">
              <w:rPr>
                <w:rFonts w:cs="Arial"/>
                <w:sz w:val="20"/>
                <w:szCs w:val="20"/>
              </w:rPr>
              <w:t>306,05</w:t>
            </w:r>
            <w:r>
              <w:rPr>
                <w:rFonts w:cs="Arial"/>
                <w:sz w:val="20"/>
                <w:szCs w:val="20"/>
              </w:rPr>
              <w:t xml:space="preserve"> </w:t>
            </w:r>
            <w:r w:rsidRPr="004F1357">
              <w:rPr>
                <w:rFonts w:cs="Arial"/>
                <w:sz w:val="20"/>
                <w:szCs w:val="20"/>
              </w:rPr>
              <w:t>zł</w:t>
            </w:r>
          </w:p>
          <w:p w14:paraId="763F9BA0" w14:textId="14800151" w:rsidR="00DB41D3" w:rsidRDefault="00DB41D3" w:rsidP="00DB41D3">
            <w:pPr>
              <w:jc w:val="center"/>
              <w:rPr>
                <w:rFonts w:cs="Arial"/>
                <w:sz w:val="20"/>
                <w:szCs w:val="20"/>
              </w:rPr>
            </w:pPr>
            <w:r w:rsidRPr="00291BEE">
              <w:rPr>
                <w:rFonts w:cs="Arial"/>
                <w:sz w:val="20"/>
                <w:szCs w:val="20"/>
              </w:rPr>
              <w:t>(wartość bez VAT)</w:t>
            </w:r>
          </w:p>
        </w:tc>
      </w:tr>
      <w:tr w:rsidR="00DB41D3" w:rsidRPr="007C42A4" w14:paraId="127F5CA7" w14:textId="77777777" w:rsidTr="00293687">
        <w:trPr>
          <w:trHeight w:val="300"/>
          <w:jc w:val="center"/>
        </w:trPr>
        <w:tc>
          <w:tcPr>
            <w:tcW w:w="6799" w:type="dxa"/>
            <w:tcBorders>
              <w:top w:val="single" w:sz="4" w:space="0" w:color="auto"/>
              <w:left w:val="single" w:sz="4" w:space="0" w:color="auto"/>
              <w:bottom w:val="single" w:sz="4" w:space="0" w:color="auto"/>
              <w:right w:val="single" w:sz="4" w:space="0" w:color="auto"/>
            </w:tcBorders>
            <w:noWrap/>
            <w:vAlign w:val="center"/>
          </w:tcPr>
          <w:p w14:paraId="2453C049" w14:textId="77777777" w:rsidR="00DB41D3" w:rsidRPr="004A62E8" w:rsidRDefault="00DB41D3" w:rsidP="00DB41D3">
            <w:pPr>
              <w:jc w:val="left"/>
              <w:rPr>
                <w:rFonts w:cs="Arial"/>
                <w:bCs/>
                <w:sz w:val="20"/>
                <w:szCs w:val="20"/>
              </w:rPr>
            </w:pPr>
            <w:r w:rsidRPr="004A62E8">
              <w:rPr>
                <w:rFonts w:cs="Arial"/>
                <w:bCs/>
                <w:sz w:val="20"/>
                <w:szCs w:val="20"/>
              </w:rPr>
              <w:t xml:space="preserve">Udział społecznych zamówień publicznych </w:t>
            </w:r>
            <w:r w:rsidRPr="004A62E8">
              <w:rPr>
                <w:rFonts w:cs="Arial"/>
                <w:sz w:val="20"/>
                <w:szCs w:val="20"/>
              </w:rPr>
              <w:t xml:space="preserve">udzielonych przez jednostki administracji rządowej </w:t>
            </w:r>
            <w:r w:rsidRPr="004A62E8">
              <w:rPr>
                <w:rFonts w:cs="Arial"/>
                <w:bCs/>
                <w:sz w:val="20"/>
                <w:szCs w:val="20"/>
              </w:rPr>
              <w:t>w ogólnej liczbie społecznych zamówień publicznych w danym roku</w:t>
            </w:r>
          </w:p>
        </w:tc>
        <w:tc>
          <w:tcPr>
            <w:tcW w:w="2263" w:type="dxa"/>
            <w:tcBorders>
              <w:top w:val="single" w:sz="4" w:space="0" w:color="auto"/>
              <w:left w:val="single" w:sz="4" w:space="0" w:color="auto"/>
              <w:bottom w:val="single" w:sz="4" w:space="0" w:color="auto"/>
              <w:right w:val="single" w:sz="4" w:space="0" w:color="auto"/>
            </w:tcBorders>
            <w:noWrap/>
            <w:vAlign w:val="center"/>
          </w:tcPr>
          <w:p w14:paraId="3C047814" w14:textId="0DBF2F09" w:rsidR="00DB41D3" w:rsidRPr="00546D8D" w:rsidRDefault="00DB41D3" w:rsidP="00DB41D3">
            <w:pPr>
              <w:jc w:val="center"/>
              <w:rPr>
                <w:rFonts w:cs="Arial"/>
                <w:sz w:val="20"/>
                <w:szCs w:val="20"/>
              </w:rPr>
            </w:pPr>
            <w:r>
              <w:rPr>
                <w:rFonts w:cs="Arial"/>
                <w:sz w:val="20"/>
                <w:szCs w:val="20"/>
              </w:rPr>
              <w:t>16%</w:t>
            </w:r>
          </w:p>
        </w:tc>
      </w:tr>
      <w:tr w:rsidR="00DB41D3" w14:paraId="3BE701C6" w14:textId="77777777" w:rsidTr="006127B0">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3B122DC9" w14:textId="77777777" w:rsidR="00DB41D3" w:rsidRPr="004A62E8" w:rsidRDefault="00DB41D3" w:rsidP="00DB41D3">
            <w:pPr>
              <w:jc w:val="left"/>
              <w:rPr>
                <w:rFonts w:cs="Arial"/>
                <w:bCs/>
                <w:sz w:val="20"/>
                <w:szCs w:val="20"/>
              </w:rPr>
            </w:pPr>
            <w:r w:rsidRPr="004A62E8">
              <w:rPr>
                <w:rFonts w:cs="Arial"/>
                <w:bCs/>
                <w:sz w:val="20"/>
                <w:szCs w:val="20"/>
              </w:rPr>
              <w:t xml:space="preserve">Udział społecznych zamówień publicznych </w:t>
            </w:r>
            <w:r w:rsidRPr="004A62E8">
              <w:rPr>
                <w:rFonts w:cs="Arial"/>
                <w:sz w:val="20"/>
                <w:szCs w:val="20"/>
              </w:rPr>
              <w:t xml:space="preserve">udzielonych przez jednostki administracji rządowej </w:t>
            </w:r>
            <w:r w:rsidRPr="004A62E8">
              <w:rPr>
                <w:rFonts w:cs="Arial"/>
                <w:bCs/>
                <w:sz w:val="20"/>
                <w:szCs w:val="20"/>
              </w:rPr>
              <w:t>w ogólnej wartości społecznych zamówień publicznych w danym roku</w:t>
            </w:r>
          </w:p>
        </w:tc>
        <w:tc>
          <w:tcPr>
            <w:tcW w:w="226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43735DEC" w14:textId="7A7C1EFE" w:rsidR="00DB41D3" w:rsidRPr="00546D8D" w:rsidRDefault="00DB41D3" w:rsidP="00DB41D3">
            <w:pPr>
              <w:jc w:val="center"/>
              <w:rPr>
                <w:rFonts w:cs="Arial"/>
                <w:sz w:val="20"/>
                <w:szCs w:val="20"/>
              </w:rPr>
            </w:pPr>
            <w:r>
              <w:rPr>
                <w:rFonts w:cs="Arial"/>
                <w:sz w:val="20"/>
                <w:szCs w:val="20"/>
              </w:rPr>
              <w:t>18%</w:t>
            </w:r>
          </w:p>
        </w:tc>
      </w:tr>
    </w:tbl>
    <w:p w14:paraId="4FF0901A" w14:textId="4CF88BB5" w:rsidR="00303A5B" w:rsidRPr="00303A5B" w:rsidRDefault="00303A5B" w:rsidP="00303A5B">
      <w:pPr>
        <w:pStyle w:val="StylArial11ptWyjustowany"/>
        <w:spacing w:before="240" w:line="360" w:lineRule="auto"/>
        <w:jc w:val="left"/>
        <w:rPr>
          <w:rFonts w:cs="Arial"/>
          <w:b/>
          <w:iCs/>
          <w:szCs w:val="22"/>
        </w:rPr>
      </w:pPr>
      <w:r w:rsidRPr="00303A5B">
        <w:rPr>
          <w:rFonts w:cs="Arial"/>
          <w:iCs/>
          <w:szCs w:val="22"/>
        </w:rPr>
        <w:t>W 2025 r. 647 zamawiających stanowiących jednostki administracji rządowej udzieliło 7 646 zamówień publicznych</w:t>
      </w:r>
      <w:r w:rsidR="00D07A35">
        <w:rPr>
          <w:rFonts w:cs="Arial"/>
          <w:iCs/>
          <w:szCs w:val="22"/>
        </w:rPr>
        <w:t>,</w:t>
      </w:r>
      <w:r w:rsidRPr="00303A5B">
        <w:rPr>
          <w:rFonts w:cs="Arial"/>
          <w:iCs/>
          <w:szCs w:val="22"/>
        </w:rPr>
        <w:t xml:space="preserve"> uwzględniających aspekty społeczne o łącznej wartości 20 860 593 306,05 zł (bez podatku od towarów i usług). W porównaniu z rokiem 2024 odnotowano wzrost liczby społecznych zamówień publicznych udzielonych przez jednostki administracji rządowej - o 505 zamówień </w:t>
      </w:r>
      <w:r w:rsidR="00541EB3">
        <w:rPr>
          <w:rFonts w:cs="Arial"/>
          <w:iCs/>
          <w:szCs w:val="22"/>
        </w:rPr>
        <w:t xml:space="preserve">- </w:t>
      </w:r>
      <w:r w:rsidRPr="00303A5B">
        <w:rPr>
          <w:rFonts w:cs="Arial"/>
          <w:iCs/>
          <w:szCs w:val="22"/>
        </w:rPr>
        <w:t>oraz spadek wartości tych zamówień – o ponad 3</w:t>
      </w:r>
      <w:r w:rsidR="00541EB3">
        <w:rPr>
          <w:rFonts w:cs="Arial"/>
          <w:iCs/>
          <w:szCs w:val="22"/>
        </w:rPr>
        <w:t> </w:t>
      </w:r>
      <w:r w:rsidRPr="00303A5B">
        <w:rPr>
          <w:rFonts w:cs="Arial"/>
          <w:iCs/>
          <w:szCs w:val="22"/>
        </w:rPr>
        <w:t>mld zł (wartość bez podatku od towaru i usług). O 6 podmiotów zwiększyła się również liczba zamawiających z administracji rządowej, którzy udzielili społecznych zamówień w</w:t>
      </w:r>
      <w:r w:rsidR="00541EB3">
        <w:rPr>
          <w:rFonts w:cs="Arial"/>
          <w:iCs/>
          <w:szCs w:val="22"/>
        </w:rPr>
        <w:t> </w:t>
      </w:r>
      <w:r w:rsidRPr="00303A5B">
        <w:rPr>
          <w:rFonts w:cs="Arial"/>
          <w:iCs/>
          <w:szCs w:val="22"/>
        </w:rPr>
        <w:t xml:space="preserve">2025 r. Udział społecznych zamówień udzielonych przez jednostki administracji rządowej w ogólnej liczbie zamówień o charakterze społecznym stanowił ok. 16%. Z kolei wartość społecznych zamówień udzielonych przez jednostki administracji rządowej stanowiła 18% </w:t>
      </w:r>
      <w:r w:rsidRPr="00303A5B">
        <w:rPr>
          <w:rFonts w:cs="Arial"/>
          <w:iCs/>
          <w:szCs w:val="22"/>
        </w:rPr>
        <w:lastRenderedPageBreak/>
        <w:t>wartości ogółu zamówień uwzględniających aspekty społeczne, któr</w:t>
      </w:r>
      <w:r w:rsidR="00541EB3">
        <w:rPr>
          <w:rFonts w:cs="Arial"/>
          <w:iCs/>
          <w:szCs w:val="22"/>
        </w:rPr>
        <w:t>ych</w:t>
      </w:r>
      <w:r w:rsidRPr="00303A5B">
        <w:rPr>
          <w:rFonts w:cs="Arial"/>
          <w:iCs/>
          <w:szCs w:val="22"/>
        </w:rPr>
        <w:t xml:space="preserve"> polscy zamawiający udzielili w 2025 r.</w:t>
      </w:r>
    </w:p>
    <w:p w14:paraId="6F31B710" w14:textId="32454BF3" w:rsidR="00E60B97" w:rsidRPr="00E60B97" w:rsidRDefault="00E60B97" w:rsidP="00E60B97">
      <w:pPr>
        <w:pStyle w:val="StylArial11ptWyjustowany"/>
        <w:spacing w:before="120" w:line="360" w:lineRule="auto"/>
        <w:jc w:val="left"/>
        <w:rPr>
          <w:rFonts w:cs="Arial"/>
          <w:iCs/>
          <w:szCs w:val="22"/>
        </w:rPr>
      </w:pPr>
      <w:r w:rsidRPr="00E60B97">
        <w:rPr>
          <w:rFonts w:cs="Arial"/>
          <w:iCs/>
          <w:szCs w:val="22"/>
        </w:rPr>
        <w:t xml:space="preserve">Instrumenty prospołeczne przewidziane ustawą Pzp w 2025 r. w większości przypadków stosowane były w zamówieniach na usługi. Dotyczyło to wymogu zatrudnienia na podstawie stosunku pracy z art. 95 ust. 1 ustawy Pzp, obowiązku </w:t>
      </w:r>
      <w:bookmarkStart w:id="179" w:name="_Hlk195601200"/>
      <w:r w:rsidRPr="00E60B97">
        <w:rPr>
          <w:rFonts w:cs="Arial"/>
          <w:iCs/>
          <w:szCs w:val="22"/>
        </w:rPr>
        <w:t>uwzględnienia w opisie przedmiotu zamówienia wymogów dotyczących dostępności i projektowania z przeznaczeniem dla wszystkich użytkowników</w:t>
      </w:r>
      <w:bookmarkEnd w:id="179"/>
      <w:r w:rsidRPr="00E60B97">
        <w:rPr>
          <w:rFonts w:cs="Arial"/>
          <w:iCs/>
          <w:szCs w:val="22"/>
        </w:rPr>
        <w:t xml:space="preserve"> (art. 100 ust. 1) oraz wymogu stosowania społecznych kryteriów oceny ofert (art. 242 ust. 2).</w:t>
      </w:r>
      <w:r w:rsidR="00326395">
        <w:rPr>
          <w:rFonts w:cs="Arial"/>
          <w:iCs/>
          <w:szCs w:val="22"/>
        </w:rPr>
        <w:t xml:space="preserve"> </w:t>
      </w:r>
      <w:r w:rsidRPr="00E60B97">
        <w:rPr>
          <w:rFonts w:cs="Arial"/>
          <w:iCs/>
          <w:szCs w:val="22"/>
        </w:rPr>
        <w:t>W zamówieniach na roboty budowlane również najczęściej stosowano wymóg zatrudnienia na podstawie stosunku pracy, a także instrument dotyczący uwzględnienia w opisie przedmiotu zamówienia wymogów dotyczących dostępności i</w:t>
      </w:r>
      <w:r w:rsidR="00541EB3">
        <w:rPr>
          <w:rFonts w:cs="Arial"/>
          <w:iCs/>
          <w:szCs w:val="22"/>
        </w:rPr>
        <w:t> </w:t>
      </w:r>
      <w:r w:rsidRPr="00E60B97">
        <w:rPr>
          <w:rFonts w:cs="Arial"/>
          <w:iCs/>
          <w:szCs w:val="22"/>
        </w:rPr>
        <w:t>projektowania uniwersalnego. Najrzadziej instrumenty prospołeczne wykorzystywano w</w:t>
      </w:r>
      <w:r w:rsidR="00541EB3">
        <w:rPr>
          <w:rFonts w:cs="Arial"/>
          <w:iCs/>
          <w:szCs w:val="22"/>
        </w:rPr>
        <w:t> </w:t>
      </w:r>
      <w:r w:rsidRPr="00E60B97">
        <w:rPr>
          <w:rFonts w:cs="Arial"/>
          <w:iCs/>
          <w:szCs w:val="22"/>
        </w:rPr>
        <w:t>zamówieniach na dostawy.</w:t>
      </w:r>
    </w:p>
    <w:p w14:paraId="6148CFEE" w14:textId="77777777" w:rsidR="00E60B97" w:rsidRPr="00E60B97" w:rsidRDefault="00E60B97" w:rsidP="00E60B97">
      <w:pPr>
        <w:pStyle w:val="StylArial11ptWyjustowany"/>
        <w:spacing w:before="120" w:line="360" w:lineRule="auto"/>
        <w:jc w:val="left"/>
        <w:rPr>
          <w:rFonts w:cs="Arial"/>
          <w:iCs/>
          <w:szCs w:val="22"/>
        </w:rPr>
      </w:pPr>
      <w:r w:rsidRPr="00E60B97">
        <w:rPr>
          <w:rFonts w:cs="Arial"/>
          <w:iCs/>
          <w:szCs w:val="22"/>
        </w:rPr>
        <w:t>Poniższe tabele prezentują zestawienie szczegółowych danych dotyczących zarówno liczby, jak i wartości zamówień, w których zastosowano poszczególne instrumenty. Zestawienia te zawierają również informacje na temat zastosowania poszczególnych aspektów społecznych przewidzianych w ustawie Pzp w zamówieniach publicznych udzielonych w 2025 r. Wskazują zarówno łączną liczbę i wartość takich zamówień, jak również ujęcie w podziale na rodzaj zamówienia.</w:t>
      </w:r>
    </w:p>
    <w:p w14:paraId="5DE1CBD0" w14:textId="2AE41DF5" w:rsidR="0056362A" w:rsidRPr="0056362A" w:rsidRDefault="00A802F8" w:rsidP="00852522">
      <w:pPr>
        <w:pStyle w:val="Nagwek4"/>
      </w:pPr>
      <w:r>
        <w:t xml:space="preserve">4.1.1. </w:t>
      </w:r>
      <w:r w:rsidR="0056362A" w:rsidRPr="0056362A">
        <w:t>Zamówienia udzielone jako zamówienie zastrzeżone, o którym mowa w</w:t>
      </w:r>
      <w:r w:rsidR="00541EB3">
        <w:t> </w:t>
      </w:r>
      <w:r w:rsidR="0056362A" w:rsidRPr="0056362A">
        <w:t>art. 94 ust. 1 ustawy Pzp</w:t>
      </w:r>
    </w:p>
    <w:p w14:paraId="00E6D99B" w14:textId="69BF8759" w:rsidR="00211566" w:rsidRPr="00443DC3" w:rsidRDefault="00211566" w:rsidP="006C14EB">
      <w:pPr>
        <w:pStyle w:val="Legenda"/>
      </w:pPr>
      <w:bookmarkStart w:id="180" w:name="_Toc141276551"/>
      <w:bookmarkStart w:id="181" w:name="_Toc233203401"/>
      <w:r w:rsidRPr="00886D63">
        <w:t xml:space="preserve">Tab. </w:t>
      </w:r>
      <w:fldSimple w:instr=" SEQ Tab. \* ARABIC ">
        <w:r w:rsidR="00017C65">
          <w:rPr>
            <w:noProof/>
          </w:rPr>
          <w:t>29</w:t>
        </w:r>
      </w:fldSimple>
      <w:r w:rsidRPr="00886D63">
        <w:t>. Zamówienia publiczne udzielane przez jednostki administracji rządowej z zastosowaniem art. 94 ust. 1 ustawy Pzp</w:t>
      </w:r>
      <w:bookmarkEnd w:id="180"/>
      <w:bookmarkEnd w:id="18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94 ust. 1 ustawy Pzp."/>
        <w:tblDescription w:val="Tabela. Zamówienia publiczne udzielane przez jednostki administracji rządowej z zastosowaniem art. 94 ust. 1 ustawy Pzp."/>
      </w:tblPr>
      <w:tblGrid>
        <w:gridCol w:w="7083"/>
        <w:gridCol w:w="1979"/>
      </w:tblGrid>
      <w:tr w:rsidR="001D74AA" w:rsidRPr="00FD623C" w14:paraId="6EF720FF" w14:textId="77777777" w:rsidTr="001D74AA">
        <w:trPr>
          <w:trHeight w:val="300"/>
          <w:jc w:val="center"/>
        </w:trPr>
        <w:tc>
          <w:tcPr>
            <w:tcW w:w="7083" w:type="dxa"/>
            <w:shd w:val="clear" w:color="auto" w:fill="DEEAF6"/>
            <w:noWrap/>
            <w:vAlign w:val="center"/>
          </w:tcPr>
          <w:p w14:paraId="156C6076" w14:textId="77777777" w:rsidR="001D74AA" w:rsidRPr="00FD623C" w:rsidRDefault="001D74AA" w:rsidP="001D74AA">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979" w:type="dxa"/>
            <w:shd w:val="clear" w:color="auto" w:fill="DEEAF6"/>
            <w:vAlign w:val="center"/>
          </w:tcPr>
          <w:p w14:paraId="5D3A7911" w14:textId="0EB0E91D" w:rsidR="001D74AA" w:rsidRPr="00086192" w:rsidRDefault="001D74AA" w:rsidP="001D74AA">
            <w:pPr>
              <w:jc w:val="center"/>
              <w:rPr>
                <w:rFonts w:cs="Arial"/>
                <w:sz w:val="20"/>
                <w:szCs w:val="20"/>
              </w:rPr>
            </w:pPr>
            <w:r>
              <w:rPr>
                <w:rFonts w:cs="Arial"/>
                <w:sz w:val="20"/>
                <w:szCs w:val="20"/>
              </w:rPr>
              <w:t>26</w:t>
            </w:r>
          </w:p>
        </w:tc>
      </w:tr>
      <w:tr w:rsidR="001D74AA" w:rsidRPr="00FD623C" w14:paraId="2EAB4118" w14:textId="77777777" w:rsidTr="001D74AA">
        <w:trPr>
          <w:trHeight w:val="300"/>
          <w:jc w:val="center"/>
        </w:trPr>
        <w:tc>
          <w:tcPr>
            <w:tcW w:w="7083" w:type="dxa"/>
            <w:noWrap/>
            <w:vAlign w:val="center"/>
            <w:hideMark/>
          </w:tcPr>
          <w:p w14:paraId="19B9D172" w14:textId="77777777" w:rsidR="001D74AA" w:rsidRPr="00FD623C" w:rsidRDefault="001D74AA" w:rsidP="001D74AA">
            <w:pPr>
              <w:rPr>
                <w:rFonts w:cs="Arial"/>
                <w:bCs/>
                <w:sz w:val="20"/>
                <w:szCs w:val="20"/>
              </w:rPr>
            </w:pPr>
            <w:r w:rsidRPr="00FD623C">
              <w:rPr>
                <w:rFonts w:cs="Arial"/>
                <w:bCs/>
                <w:sz w:val="20"/>
                <w:szCs w:val="20"/>
              </w:rPr>
              <w:t xml:space="preserve">Wartość </w:t>
            </w:r>
            <w:r w:rsidRPr="00FD623C">
              <w:rPr>
                <w:rFonts w:cs="Arial"/>
                <w:sz w:val="20"/>
                <w:szCs w:val="20"/>
              </w:rPr>
              <w:t xml:space="preserve">zamówień </w:t>
            </w:r>
          </w:p>
        </w:tc>
        <w:tc>
          <w:tcPr>
            <w:tcW w:w="1979" w:type="dxa"/>
            <w:vAlign w:val="center"/>
          </w:tcPr>
          <w:p w14:paraId="33EBB821" w14:textId="77777777" w:rsidR="001D74AA" w:rsidRDefault="001D74AA" w:rsidP="001D74AA">
            <w:pPr>
              <w:jc w:val="center"/>
              <w:rPr>
                <w:rFonts w:cs="Arial"/>
                <w:sz w:val="20"/>
                <w:szCs w:val="20"/>
              </w:rPr>
            </w:pPr>
            <w:r>
              <w:rPr>
                <w:rFonts w:cs="Arial"/>
                <w:sz w:val="20"/>
                <w:szCs w:val="20"/>
              </w:rPr>
              <w:t>98 226 223,33</w:t>
            </w:r>
            <w:r w:rsidRPr="003656C0">
              <w:rPr>
                <w:rFonts w:cs="Arial"/>
                <w:sz w:val="20"/>
                <w:szCs w:val="20"/>
              </w:rPr>
              <w:t>zł</w:t>
            </w:r>
          </w:p>
          <w:p w14:paraId="627F86A7" w14:textId="7503A579" w:rsidR="001D74AA" w:rsidRPr="00086192" w:rsidRDefault="001D74AA" w:rsidP="001D74AA">
            <w:pPr>
              <w:jc w:val="center"/>
              <w:rPr>
                <w:rFonts w:cs="Arial"/>
                <w:sz w:val="20"/>
                <w:szCs w:val="20"/>
              </w:rPr>
            </w:pPr>
            <w:r w:rsidRPr="00FD623C">
              <w:rPr>
                <w:rFonts w:cs="Arial"/>
                <w:sz w:val="20"/>
                <w:szCs w:val="20"/>
              </w:rPr>
              <w:t>(wartość bez VAT)</w:t>
            </w:r>
          </w:p>
        </w:tc>
      </w:tr>
    </w:tbl>
    <w:p w14:paraId="7AECF2DB" w14:textId="77777777" w:rsidR="0056362A" w:rsidRPr="00FD623C" w:rsidRDefault="0056362A"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94 ust. 1 ustawy Pzp."/>
        <w:tblDescription w:val="Tabela. Zamówienia publiczne udzielane przez jednostki administracji rządowej z zastosowaniem art. 94 ust. 1 ustawy Pzp."/>
      </w:tblPr>
      <w:tblGrid>
        <w:gridCol w:w="2689"/>
        <w:gridCol w:w="1701"/>
        <w:gridCol w:w="4677"/>
      </w:tblGrid>
      <w:tr w:rsidR="0056362A" w:rsidRPr="00002820" w14:paraId="02279EE2" w14:textId="77777777" w:rsidTr="00293687">
        <w:trPr>
          <w:trHeight w:val="300"/>
          <w:tblHeader/>
          <w:jc w:val="center"/>
        </w:trPr>
        <w:tc>
          <w:tcPr>
            <w:tcW w:w="2689" w:type="dxa"/>
            <w:shd w:val="clear" w:color="auto" w:fill="5B9BD5"/>
            <w:noWrap/>
            <w:vAlign w:val="center"/>
          </w:tcPr>
          <w:p w14:paraId="6F2DC426" w14:textId="77777777" w:rsidR="0056362A" w:rsidRPr="00002820" w:rsidRDefault="0056362A" w:rsidP="00A802F8">
            <w:pPr>
              <w:jc w:val="center"/>
              <w:rPr>
                <w:rFonts w:cs="Arial"/>
                <w:b/>
                <w:sz w:val="20"/>
                <w:szCs w:val="20"/>
              </w:rPr>
            </w:pPr>
            <w:r w:rsidRPr="00002820">
              <w:rPr>
                <w:rFonts w:cs="Arial"/>
                <w:b/>
                <w:bCs/>
                <w:sz w:val="20"/>
                <w:szCs w:val="20"/>
              </w:rPr>
              <w:t>Rodzaj zamówienia</w:t>
            </w:r>
          </w:p>
        </w:tc>
        <w:tc>
          <w:tcPr>
            <w:tcW w:w="1701" w:type="dxa"/>
            <w:shd w:val="clear" w:color="auto" w:fill="5B9BD5"/>
            <w:vAlign w:val="center"/>
          </w:tcPr>
          <w:p w14:paraId="49CAEB1A" w14:textId="77777777" w:rsidR="0056362A" w:rsidRPr="00002820" w:rsidRDefault="0056362A" w:rsidP="00A802F8">
            <w:pPr>
              <w:jc w:val="center"/>
              <w:rPr>
                <w:rFonts w:cs="Arial"/>
                <w:b/>
                <w:sz w:val="20"/>
                <w:szCs w:val="20"/>
              </w:rPr>
            </w:pPr>
            <w:r w:rsidRPr="00002820">
              <w:rPr>
                <w:rFonts w:cs="Arial"/>
                <w:b/>
                <w:sz w:val="20"/>
                <w:szCs w:val="20"/>
              </w:rPr>
              <w:t>Liczba</w:t>
            </w:r>
          </w:p>
        </w:tc>
        <w:tc>
          <w:tcPr>
            <w:tcW w:w="4677" w:type="dxa"/>
            <w:shd w:val="clear" w:color="auto" w:fill="5B9BD5"/>
            <w:vAlign w:val="center"/>
          </w:tcPr>
          <w:p w14:paraId="08AA23AF" w14:textId="77777777" w:rsidR="0056362A" w:rsidRPr="00002820" w:rsidRDefault="0056362A" w:rsidP="00A802F8">
            <w:pPr>
              <w:jc w:val="center"/>
              <w:rPr>
                <w:rFonts w:cs="Arial"/>
                <w:b/>
                <w:sz w:val="20"/>
                <w:szCs w:val="20"/>
              </w:rPr>
            </w:pPr>
            <w:r w:rsidRPr="00002820">
              <w:rPr>
                <w:rFonts w:cs="Arial"/>
                <w:b/>
                <w:sz w:val="20"/>
                <w:szCs w:val="20"/>
              </w:rPr>
              <w:t>Wartość (bez VAT)</w:t>
            </w:r>
          </w:p>
        </w:tc>
      </w:tr>
      <w:tr w:rsidR="00E96AD1" w:rsidRPr="00002820" w14:paraId="4FEAE426" w14:textId="77777777" w:rsidTr="00293687">
        <w:trPr>
          <w:trHeight w:val="300"/>
          <w:jc w:val="center"/>
        </w:trPr>
        <w:tc>
          <w:tcPr>
            <w:tcW w:w="2689" w:type="dxa"/>
            <w:noWrap/>
            <w:vAlign w:val="center"/>
          </w:tcPr>
          <w:p w14:paraId="45070151" w14:textId="77777777" w:rsidR="00E96AD1" w:rsidRPr="00002820" w:rsidRDefault="00E96AD1" w:rsidP="00E96AD1">
            <w:pPr>
              <w:jc w:val="center"/>
              <w:rPr>
                <w:rFonts w:cs="Arial"/>
                <w:bCs/>
                <w:sz w:val="20"/>
                <w:szCs w:val="20"/>
              </w:rPr>
            </w:pPr>
            <w:r w:rsidRPr="00002820">
              <w:rPr>
                <w:rFonts w:cs="Arial"/>
                <w:bCs/>
                <w:sz w:val="20"/>
                <w:szCs w:val="20"/>
              </w:rPr>
              <w:t>Dostawy</w:t>
            </w:r>
          </w:p>
        </w:tc>
        <w:tc>
          <w:tcPr>
            <w:tcW w:w="1701" w:type="dxa"/>
            <w:noWrap/>
            <w:vAlign w:val="center"/>
          </w:tcPr>
          <w:p w14:paraId="38CA69A1" w14:textId="4A6E341C" w:rsidR="00E96AD1" w:rsidRPr="00F4465C" w:rsidRDefault="00E96AD1" w:rsidP="00E96AD1">
            <w:pPr>
              <w:jc w:val="center"/>
              <w:rPr>
                <w:rFonts w:cs="Arial"/>
                <w:sz w:val="20"/>
                <w:szCs w:val="20"/>
              </w:rPr>
            </w:pPr>
            <w:r>
              <w:rPr>
                <w:rFonts w:cs="Arial"/>
                <w:sz w:val="20"/>
                <w:szCs w:val="20"/>
              </w:rPr>
              <w:t>4</w:t>
            </w:r>
          </w:p>
        </w:tc>
        <w:tc>
          <w:tcPr>
            <w:tcW w:w="4677" w:type="dxa"/>
            <w:vAlign w:val="center"/>
          </w:tcPr>
          <w:p w14:paraId="484310DE" w14:textId="00D1EBBF" w:rsidR="00E96AD1" w:rsidRPr="00F4465C" w:rsidRDefault="00E96AD1" w:rsidP="00E96AD1">
            <w:pPr>
              <w:jc w:val="center"/>
              <w:rPr>
                <w:rFonts w:cs="Arial"/>
                <w:sz w:val="20"/>
                <w:szCs w:val="20"/>
              </w:rPr>
            </w:pPr>
            <w:r w:rsidRPr="00AB65E4">
              <w:rPr>
                <w:sz w:val="20"/>
                <w:szCs w:val="20"/>
              </w:rPr>
              <w:t>81</w:t>
            </w:r>
            <w:r>
              <w:rPr>
                <w:sz w:val="20"/>
                <w:szCs w:val="20"/>
              </w:rPr>
              <w:t xml:space="preserve"> </w:t>
            </w:r>
            <w:r w:rsidRPr="00AB65E4">
              <w:rPr>
                <w:sz w:val="20"/>
                <w:szCs w:val="20"/>
              </w:rPr>
              <w:t>719</w:t>
            </w:r>
            <w:r>
              <w:rPr>
                <w:sz w:val="20"/>
                <w:szCs w:val="20"/>
              </w:rPr>
              <w:t xml:space="preserve"> </w:t>
            </w:r>
            <w:r w:rsidRPr="00AB65E4">
              <w:rPr>
                <w:sz w:val="20"/>
                <w:szCs w:val="20"/>
              </w:rPr>
              <w:t>512,19</w:t>
            </w:r>
            <w:r>
              <w:rPr>
                <w:sz w:val="20"/>
                <w:szCs w:val="20"/>
              </w:rPr>
              <w:t xml:space="preserve"> </w:t>
            </w:r>
            <w:r w:rsidRPr="007B23A1">
              <w:rPr>
                <w:sz w:val="20"/>
                <w:szCs w:val="20"/>
              </w:rPr>
              <w:t>zł</w:t>
            </w:r>
          </w:p>
        </w:tc>
      </w:tr>
      <w:tr w:rsidR="00E96AD1" w:rsidRPr="00002820" w14:paraId="1881405E" w14:textId="77777777" w:rsidTr="00293687">
        <w:trPr>
          <w:trHeight w:val="300"/>
          <w:jc w:val="center"/>
        </w:trPr>
        <w:tc>
          <w:tcPr>
            <w:tcW w:w="2689" w:type="dxa"/>
            <w:shd w:val="clear" w:color="auto" w:fill="DEEAF6"/>
            <w:noWrap/>
            <w:vAlign w:val="center"/>
            <w:hideMark/>
          </w:tcPr>
          <w:p w14:paraId="013F54EF" w14:textId="77777777" w:rsidR="00E96AD1" w:rsidRPr="00002820" w:rsidRDefault="00E96AD1" w:rsidP="00E96AD1">
            <w:pPr>
              <w:jc w:val="center"/>
              <w:rPr>
                <w:rFonts w:cs="Arial"/>
                <w:bCs/>
                <w:sz w:val="20"/>
                <w:szCs w:val="20"/>
              </w:rPr>
            </w:pPr>
            <w:r w:rsidRPr="00002820">
              <w:rPr>
                <w:rFonts w:cs="Arial"/>
                <w:bCs/>
                <w:sz w:val="20"/>
                <w:szCs w:val="20"/>
              </w:rPr>
              <w:t>Roboty budowlane</w:t>
            </w:r>
          </w:p>
        </w:tc>
        <w:tc>
          <w:tcPr>
            <w:tcW w:w="1701" w:type="dxa"/>
            <w:shd w:val="clear" w:color="auto" w:fill="DEEAF6"/>
            <w:noWrap/>
            <w:vAlign w:val="center"/>
          </w:tcPr>
          <w:p w14:paraId="75AA011B" w14:textId="104D9C23" w:rsidR="00E96AD1" w:rsidRPr="00F4465C" w:rsidRDefault="00E96AD1" w:rsidP="00E96AD1">
            <w:pPr>
              <w:jc w:val="center"/>
              <w:rPr>
                <w:rFonts w:cs="Arial"/>
                <w:sz w:val="20"/>
                <w:szCs w:val="20"/>
              </w:rPr>
            </w:pPr>
            <w:r w:rsidRPr="007B23A1">
              <w:rPr>
                <w:sz w:val="20"/>
                <w:szCs w:val="20"/>
              </w:rPr>
              <w:t>2</w:t>
            </w:r>
          </w:p>
        </w:tc>
        <w:tc>
          <w:tcPr>
            <w:tcW w:w="4677" w:type="dxa"/>
            <w:shd w:val="clear" w:color="auto" w:fill="DEEAF6"/>
            <w:vAlign w:val="center"/>
          </w:tcPr>
          <w:p w14:paraId="15F95010" w14:textId="0C6BA277" w:rsidR="00E96AD1" w:rsidRPr="00F4465C" w:rsidRDefault="00E96AD1" w:rsidP="00E96AD1">
            <w:pPr>
              <w:jc w:val="center"/>
              <w:rPr>
                <w:rFonts w:cs="Arial"/>
                <w:sz w:val="20"/>
                <w:szCs w:val="20"/>
              </w:rPr>
            </w:pPr>
            <w:r w:rsidRPr="00AB65E4">
              <w:rPr>
                <w:sz w:val="20"/>
                <w:szCs w:val="20"/>
              </w:rPr>
              <w:t>981</w:t>
            </w:r>
            <w:r>
              <w:rPr>
                <w:sz w:val="20"/>
                <w:szCs w:val="20"/>
              </w:rPr>
              <w:t xml:space="preserve"> </w:t>
            </w:r>
            <w:r w:rsidRPr="00AB65E4">
              <w:rPr>
                <w:sz w:val="20"/>
                <w:szCs w:val="20"/>
              </w:rPr>
              <w:t>910,57</w:t>
            </w:r>
            <w:r>
              <w:rPr>
                <w:sz w:val="20"/>
                <w:szCs w:val="20"/>
              </w:rPr>
              <w:t xml:space="preserve"> </w:t>
            </w:r>
            <w:r w:rsidRPr="007B23A1">
              <w:rPr>
                <w:sz w:val="20"/>
                <w:szCs w:val="20"/>
              </w:rPr>
              <w:t>zł</w:t>
            </w:r>
          </w:p>
        </w:tc>
      </w:tr>
      <w:tr w:rsidR="00E96AD1" w:rsidRPr="00002820" w14:paraId="5126E7C3" w14:textId="77777777" w:rsidTr="00293687">
        <w:trPr>
          <w:trHeight w:val="300"/>
          <w:jc w:val="center"/>
        </w:trPr>
        <w:tc>
          <w:tcPr>
            <w:tcW w:w="2689" w:type="dxa"/>
            <w:noWrap/>
            <w:vAlign w:val="center"/>
          </w:tcPr>
          <w:p w14:paraId="318F25B9" w14:textId="77777777" w:rsidR="00E96AD1" w:rsidRPr="00002820" w:rsidRDefault="00E96AD1" w:rsidP="00E96AD1">
            <w:pPr>
              <w:jc w:val="center"/>
              <w:rPr>
                <w:rFonts w:cs="Arial"/>
                <w:bCs/>
                <w:sz w:val="20"/>
                <w:szCs w:val="20"/>
              </w:rPr>
            </w:pPr>
            <w:r w:rsidRPr="00002820">
              <w:rPr>
                <w:rFonts w:cs="Arial"/>
                <w:bCs/>
                <w:sz w:val="20"/>
                <w:szCs w:val="20"/>
              </w:rPr>
              <w:t>Usługi</w:t>
            </w:r>
          </w:p>
        </w:tc>
        <w:tc>
          <w:tcPr>
            <w:tcW w:w="1701" w:type="dxa"/>
            <w:noWrap/>
            <w:vAlign w:val="center"/>
          </w:tcPr>
          <w:p w14:paraId="5BA7004C" w14:textId="1844739B" w:rsidR="00E96AD1" w:rsidRPr="00F4465C" w:rsidRDefault="00E96AD1" w:rsidP="00E96AD1">
            <w:pPr>
              <w:jc w:val="center"/>
              <w:rPr>
                <w:rFonts w:cs="Arial"/>
                <w:sz w:val="20"/>
                <w:szCs w:val="20"/>
              </w:rPr>
            </w:pPr>
            <w:r>
              <w:rPr>
                <w:sz w:val="20"/>
                <w:szCs w:val="20"/>
              </w:rPr>
              <w:t>20</w:t>
            </w:r>
          </w:p>
        </w:tc>
        <w:tc>
          <w:tcPr>
            <w:tcW w:w="4677" w:type="dxa"/>
            <w:vAlign w:val="center"/>
          </w:tcPr>
          <w:p w14:paraId="30C35880" w14:textId="1513BE44" w:rsidR="00E96AD1" w:rsidRPr="00F4465C" w:rsidRDefault="00E96AD1" w:rsidP="00E96AD1">
            <w:pPr>
              <w:jc w:val="center"/>
              <w:rPr>
                <w:rFonts w:cs="Arial"/>
                <w:sz w:val="20"/>
                <w:szCs w:val="20"/>
              </w:rPr>
            </w:pPr>
            <w:r w:rsidRPr="00B6165B">
              <w:rPr>
                <w:sz w:val="20"/>
                <w:szCs w:val="20"/>
              </w:rPr>
              <w:t>15</w:t>
            </w:r>
            <w:r>
              <w:rPr>
                <w:sz w:val="20"/>
                <w:szCs w:val="20"/>
              </w:rPr>
              <w:t xml:space="preserve"> </w:t>
            </w:r>
            <w:r w:rsidRPr="00B6165B">
              <w:rPr>
                <w:sz w:val="20"/>
                <w:szCs w:val="20"/>
              </w:rPr>
              <w:t>524</w:t>
            </w:r>
            <w:r>
              <w:rPr>
                <w:sz w:val="20"/>
                <w:szCs w:val="20"/>
              </w:rPr>
              <w:t xml:space="preserve"> </w:t>
            </w:r>
            <w:r w:rsidRPr="00B6165B">
              <w:rPr>
                <w:sz w:val="20"/>
                <w:szCs w:val="20"/>
              </w:rPr>
              <w:t>800,57</w:t>
            </w:r>
            <w:r w:rsidRPr="007B23A1">
              <w:rPr>
                <w:sz w:val="20"/>
                <w:szCs w:val="20"/>
              </w:rPr>
              <w:t>zł</w:t>
            </w:r>
          </w:p>
        </w:tc>
      </w:tr>
    </w:tbl>
    <w:p w14:paraId="0265600D" w14:textId="0DF9F1B7" w:rsidR="0056362A" w:rsidRPr="00211566" w:rsidRDefault="00A802F8" w:rsidP="00852522">
      <w:pPr>
        <w:pStyle w:val="Nagwek4"/>
      </w:pPr>
      <w:r>
        <w:t xml:space="preserve">4.1.2. </w:t>
      </w:r>
      <w:r w:rsidR="0056362A" w:rsidRPr="00211566">
        <w:t>Określenie w opisie przedmiotu zamówienia wymagań w zakresie dostępności dla osób niepełnosprawnych oraz projektowania z</w:t>
      </w:r>
      <w:r w:rsidR="00121D31">
        <w:t> </w:t>
      </w:r>
      <w:r w:rsidR="0056362A" w:rsidRPr="00211566">
        <w:t>przeznaczeniem dla wszystkich użytkowników, o których mowa w art. 100 ust. 1 ustawy Pzp</w:t>
      </w:r>
    </w:p>
    <w:p w14:paraId="4A70F561" w14:textId="72C43134" w:rsidR="00D00339" w:rsidRPr="00443DC3" w:rsidRDefault="00D00339" w:rsidP="006C14EB">
      <w:pPr>
        <w:pStyle w:val="Legenda"/>
      </w:pPr>
      <w:bookmarkStart w:id="182" w:name="_Toc141276552"/>
      <w:bookmarkStart w:id="183" w:name="_Toc233203402"/>
      <w:r w:rsidRPr="00FD70DA">
        <w:lastRenderedPageBreak/>
        <w:t xml:space="preserve">Tab. </w:t>
      </w:r>
      <w:fldSimple w:instr=" SEQ Tab. \* ARABIC ">
        <w:r w:rsidR="00017C65">
          <w:rPr>
            <w:noProof/>
          </w:rPr>
          <w:t>30</w:t>
        </w:r>
      </w:fldSimple>
      <w:r w:rsidRPr="00FD70DA">
        <w:t>. Zamówienia publiczne udzielane przez jednostki administracji rządowej z zastosowaniem art. 100 ust. 1 ustawy Pzp</w:t>
      </w:r>
      <w:bookmarkEnd w:id="182"/>
      <w:bookmarkEnd w:id="18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100 ust. 1 ustawy Pzp."/>
        <w:tblDescription w:val="Tabela. Zamówienia publiczne udzielane przez jednostki administracji rządowej z zastosowaniem art. 100 ust. 1 ustawy Pzp."/>
      </w:tblPr>
      <w:tblGrid>
        <w:gridCol w:w="6799"/>
        <w:gridCol w:w="2263"/>
      </w:tblGrid>
      <w:tr w:rsidR="006C449F" w:rsidRPr="00FD623C" w14:paraId="2A5279E2" w14:textId="77777777" w:rsidTr="006C449F">
        <w:trPr>
          <w:trHeight w:val="300"/>
          <w:jc w:val="center"/>
        </w:trPr>
        <w:tc>
          <w:tcPr>
            <w:tcW w:w="6799" w:type="dxa"/>
            <w:shd w:val="clear" w:color="auto" w:fill="DEEAF6"/>
            <w:noWrap/>
            <w:vAlign w:val="center"/>
          </w:tcPr>
          <w:p w14:paraId="31D3873B" w14:textId="77777777" w:rsidR="006C449F" w:rsidRPr="00FD623C" w:rsidRDefault="006C449F" w:rsidP="006C449F">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263" w:type="dxa"/>
            <w:shd w:val="clear" w:color="auto" w:fill="DEEAF6"/>
            <w:vAlign w:val="center"/>
          </w:tcPr>
          <w:p w14:paraId="2FE72690" w14:textId="25E1C1A9" w:rsidR="006C449F" w:rsidRPr="00E9440F" w:rsidRDefault="006C449F" w:rsidP="006C449F">
            <w:pPr>
              <w:jc w:val="center"/>
              <w:rPr>
                <w:rFonts w:cs="Arial"/>
                <w:sz w:val="20"/>
                <w:szCs w:val="20"/>
              </w:rPr>
            </w:pPr>
            <w:r>
              <w:rPr>
                <w:rFonts w:cs="Arial"/>
                <w:sz w:val="20"/>
                <w:szCs w:val="20"/>
              </w:rPr>
              <w:t>736</w:t>
            </w:r>
          </w:p>
        </w:tc>
      </w:tr>
      <w:tr w:rsidR="006C449F" w:rsidRPr="00FD623C" w14:paraId="317A7614" w14:textId="77777777" w:rsidTr="006C449F">
        <w:trPr>
          <w:trHeight w:val="300"/>
          <w:jc w:val="center"/>
        </w:trPr>
        <w:tc>
          <w:tcPr>
            <w:tcW w:w="6799" w:type="dxa"/>
            <w:noWrap/>
            <w:vAlign w:val="center"/>
            <w:hideMark/>
          </w:tcPr>
          <w:p w14:paraId="391A9BDC" w14:textId="77777777" w:rsidR="006C449F" w:rsidRPr="00FD623C" w:rsidRDefault="006C449F" w:rsidP="006C449F">
            <w:pPr>
              <w:rPr>
                <w:rFonts w:cs="Arial"/>
                <w:bCs/>
                <w:sz w:val="20"/>
                <w:szCs w:val="20"/>
              </w:rPr>
            </w:pPr>
            <w:r w:rsidRPr="00FD623C">
              <w:rPr>
                <w:rFonts w:cs="Arial"/>
                <w:bCs/>
                <w:sz w:val="20"/>
                <w:szCs w:val="20"/>
              </w:rPr>
              <w:t xml:space="preserve">Wartość </w:t>
            </w:r>
            <w:r w:rsidRPr="00FD623C">
              <w:rPr>
                <w:rFonts w:cs="Arial"/>
                <w:sz w:val="20"/>
                <w:szCs w:val="20"/>
              </w:rPr>
              <w:t xml:space="preserve">zamówień </w:t>
            </w:r>
          </w:p>
        </w:tc>
        <w:tc>
          <w:tcPr>
            <w:tcW w:w="2263" w:type="dxa"/>
            <w:vAlign w:val="center"/>
          </w:tcPr>
          <w:p w14:paraId="60CF33C1" w14:textId="77777777" w:rsidR="006C449F" w:rsidRDefault="006C449F" w:rsidP="006C449F">
            <w:pPr>
              <w:jc w:val="center"/>
              <w:rPr>
                <w:rFonts w:cs="Arial"/>
                <w:sz w:val="20"/>
                <w:szCs w:val="20"/>
              </w:rPr>
            </w:pPr>
            <w:r w:rsidRPr="00453C0A">
              <w:rPr>
                <w:rFonts w:cs="Arial"/>
                <w:sz w:val="20"/>
                <w:szCs w:val="20"/>
              </w:rPr>
              <w:t>4</w:t>
            </w:r>
            <w:r>
              <w:rPr>
                <w:rFonts w:cs="Arial"/>
                <w:sz w:val="20"/>
                <w:szCs w:val="20"/>
              </w:rPr>
              <w:t xml:space="preserve"> </w:t>
            </w:r>
            <w:r w:rsidRPr="00453C0A">
              <w:rPr>
                <w:rFonts w:cs="Arial"/>
                <w:sz w:val="20"/>
                <w:szCs w:val="20"/>
              </w:rPr>
              <w:t>194</w:t>
            </w:r>
            <w:r>
              <w:rPr>
                <w:rFonts w:cs="Arial"/>
                <w:sz w:val="20"/>
                <w:szCs w:val="20"/>
              </w:rPr>
              <w:t xml:space="preserve"> </w:t>
            </w:r>
            <w:r w:rsidRPr="00453C0A">
              <w:rPr>
                <w:rFonts w:cs="Arial"/>
                <w:sz w:val="20"/>
                <w:szCs w:val="20"/>
              </w:rPr>
              <w:t>094</w:t>
            </w:r>
            <w:r>
              <w:rPr>
                <w:rFonts w:cs="Arial"/>
                <w:sz w:val="20"/>
                <w:szCs w:val="20"/>
              </w:rPr>
              <w:t xml:space="preserve"> </w:t>
            </w:r>
            <w:r w:rsidRPr="00453C0A">
              <w:rPr>
                <w:rFonts w:cs="Arial"/>
                <w:sz w:val="20"/>
                <w:szCs w:val="20"/>
              </w:rPr>
              <w:t>635,5</w:t>
            </w:r>
            <w:r>
              <w:rPr>
                <w:rFonts w:cs="Arial"/>
                <w:sz w:val="20"/>
                <w:szCs w:val="20"/>
              </w:rPr>
              <w:t xml:space="preserve">4 </w:t>
            </w:r>
            <w:r w:rsidRPr="0016100C">
              <w:rPr>
                <w:rFonts w:cs="Arial"/>
                <w:sz w:val="20"/>
                <w:szCs w:val="20"/>
              </w:rPr>
              <w:t>zł</w:t>
            </w:r>
          </w:p>
          <w:p w14:paraId="2ED2A898" w14:textId="08015845" w:rsidR="006C449F" w:rsidRPr="00E9440F" w:rsidRDefault="006C449F" w:rsidP="006C449F">
            <w:pPr>
              <w:jc w:val="center"/>
              <w:rPr>
                <w:rFonts w:cs="Arial"/>
                <w:sz w:val="20"/>
                <w:szCs w:val="20"/>
              </w:rPr>
            </w:pPr>
            <w:r w:rsidRPr="00FD623C">
              <w:rPr>
                <w:rFonts w:cs="Arial"/>
                <w:sz w:val="20"/>
                <w:szCs w:val="20"/>
              </w:rPr>
              <w:t>(wartość bez VAT)</w:t>
            </w:r>
          </w:p>
        </w:tc>
      </w:tr>
    </w:tbl>
    <w:p w14:paraId="4210A652" w14:textId="77777777" w:rsidR="0056362A" w:rsidRPr="00FD623C" w:rsidRDefault="0056362A"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100 ust. 1 ustawy Pzp."/>
        <w:tblDescription w:val="Tabela. Zamówienia publiczne udzielane przez jednostki administracji rządowej z zastosowaniem art. 100 ust. 1 ustawy Pzp."/>
      </w:tblPr>
      <w:tblGrid>
        <w:gridCol w:w="3022"/>
        <w:gridCol w:w="1084"/>
        <w:gridCol w:w="4961"/>
      </w:tblGrid>
      <w:tr w:rsidR="0056362A" w:rsidRPr="00002820" w14:paraId="75C93615" w14:textId="77777777" w:rsidTr="00293687">
        <w:trPr>
          <w:trHeight w:val="300"/>
          <w:tblHeader/>
          <w:jc w:val="center"/>
        </w:trPr>
        <w:tc>
          <w:tcPr>
            <w:tcW w:w="3022" w:type="dxa"/>
            <w:shd w:val="clear" w:color="auto" w:fill="5B9BD5"/>
            <w:noWrap/>
            <w:vAlign w:val="center"/>
          </w:tcPr>
          <w:p w14:paraId="13C97574" w14:textId="77777777" w:rsidR="0056362A" w:rsidRPr="00002820" w:rsidRDefault="0056362A" w:rsidP="00DC2060">
            <w:pPr>
              <w:jc w:val="center"/>
              <w:rPr>
                <w:rFonts w:cs="Arial"/>
                <w:b/>
                <w:sz w:val="20"/>
                <w:szCs w:val="20"/>
              </w:rPr>
            </w:pPr>
            <w:r w:rsidRPr="00002820">
              <w:rPr>
                <w:rFonts w:cs="Arial"/>
                <w:b/>
                <w:bCs/>
                <w:sz w:val="20"/>
                <w:szCs w:val="20"/>
              </w:rPr>
              <w:t>Rodzaj zamówienia</w:t>
            </w:r>
          </w:p>
        </w:tc>
        <w:tc>
          <w:tcPr>
            <w:tcW w:w="1084" w:type="dxa"/>
            <w:shd w:val="clear" w:color="auto" w:fill="5B9BD5"/>
            <w:vAlign w:val="center"/>
          </w:tcPr>
          <w:p w14:paraId="32AB9891" w14:textId="77777777" w:rsidR="0056362A" w:rsidRPr="00002820" w:rsidRDefault="0056362A" w:rsidP="00DC2060">
            <w:pPr>
              <w:jc w:val="center"/>
              <w:rPr>
                <w:rFonts w:cs="Arial"/>
                <w:b/>
                <w:sz w:val="20"/>
                <w:szCs w:val="20"/>
              </w:rPr>
            </w:pPr>
            <w:r w:rsidRPr="00002820">
              <w:rPr>
                <w:rFonts w:cs="Arial"/>
                <w:b/>
                <w:sz w:val="20"/>
                <w:szCs w:val="20"/>
              </w:rPr>
              <w:t>Liczba</w:t>
            </w:r>
          </w:p>
        </w:tc>
        <w:tc>
          <w:tcPr>
            <w:tcW w:w="4961" w:type="dxa"/>
            <w:shd w:val="clear" w:color="auto" w:fill="5B9BD5"/>
            <w:vAlign w:val="center"/>
          </w:tcPr>
          <w:p w14:paraId="7C08B9B4" w14:textId="77777777" w:rsidR="0056362A" w:rsidRPr="00002820" w:rsidRDefault="0056362A" w:rsidP="00DC2060">
            <w:pPr>
              <w:jc w:val="center"/>
              <w:rPr>
                <w:rFonts w:cs="Arial"/>
                <w:b/>
                <w:sz w:val="20"/>
                <w:szCs w:val="20"/>
              </w:rPr>
            </w:pPr>
            <w:r w:rsidRPr="00002820">
              <w:rPr>
                <w:rFonts w:cs="Arial"/>
                <w:b/>
                <w:sz w:val="20"/>
                <w:szCs w:val="20"/>
              </w:rPr>
              <w:t>Wartość (bez VAT)</w:t>
            </w:r>
          </w:p>
        </w:tc>
      </w:tr>
      <w:tr w:rsidR="00BA506A" w:rsidRPr="00002820" w14:paraId="22B95BC9" w14:textId="77777777" w:rsidTr="00293687">
        <w:trPr>
          <w:trHeight w:val="300"/>
          <w:jc w:val="center"/>
        </w:trPr>
        <w:tc>
          <w:tcPr>
            <w:tcW w:w="3022" w:type="dxa"/>
            <w:noWrap/>
            <w:vAlign w:val="center"/>
          </w:tcPr>
          <w:p w14:paraId="432CC208" w14:textId="77777777" w:rsidR="00BA506A" w:rsidRPr="00002820" w:rsidRDefault="00BA506A" w:rsidP="00BA506A">
            <w:pPr>
              <w:jc w:val="center"/>
              <w:rPr>
                <w:rFonts w:cs="Arial"/>
                <w:bCs/>
                <w:sz w:val="20"/>
                <w:szCs w:val="20"/>
              </w:rPr>
            </w:pPr>
            <w:r w:rsidRPr="00002820">
              <w:rPr>
                <w:rFonts w:cs="Arial"/>
                <w:bCs/>
                <w:sz w:val="20"/>
                <w:szCs w:val="20"/>
              </w:rPr>
              <w:t>Dostawy</w:t>
            </w:r>
          </w:p>
        </w:tc>
        <w:tc>
          <w:tcPr>
            <w:tcW w:w="1084" w:type="dxa"/>
            <w:noWrap/>
            <w:vAlign w:val="center"/>
          </w:tcPr>
          <w:p w14:paraId="271C973B" w14:textId="6E733621" w:rsidR="00BA506A" w:rsidRPr="00AB07F7" w:rsidRDefault="00BA506A" w:rsidP="00BA506A">
            <w:pPr>
              <w:jc w:val="center"/>
              <w:rPr>
                <w:rFonts w:cs="Arial"/>
                <w:sz w:val="20"/>
                <w:szCs w:val="20"/>
              </w:rPr>
            </w:pPr>
            <w:r>
              <w:rPr>
                <w:rFonts w:cs="Arial"/>
                <w:sz w:val="20"/>
                <w:szCs w:val="20"/>
              </w:rPr>
              <w:t>154</w:t>
            </w:r>
          </w:p>
        </w:tc>
        <w:tc>
          <w:tcPr>
            <w:tcW w:w="4961" w:type="dxa"/>
            <w:vAlign w:val="center"/>
          </w:tcPr>
          <w:p w14:paraId="0EE2829C" w14:textId="54F08DCB" w:rsidR="00BA506A" w:rsidRPr="00AB07F7" w:rsidRDefault="00BA506A" w:rsidP="00BA506A">
            <w:pPr>
              <w:jc w:val="center"/>
              <w:rPr>
                <w:rFonts w:cs="Arial"/>
                <w:sz w:val="20"/>
                <w:szCs w:val="20"/>
              </w:rPr>
            </w:pPr>
            <w:r w:rsidRPr="003A23E0">
              <w:rPr>
                <w:sz w:val="20"/>
                <w:szCs w:val="20"/>
              </w:rPr>
              <w:t>64</w:t>
            </w:r>
            <w:r>
              <w:rPr>
                <w:sz w:val="20"/>
                <w:szCs w:val="20"/>
              </w:rPr>
              <w:t xml:space="preserve"> </w:t>
            </w:r>
            <w:r w:rsidRPr="003A23E0">
              <w:rPr>
                <w:sz w:val="20"/>
                <w:szCs w:val="20"/>
              </w:rPr>
              <w:t>613</w:t>
            </w:r>
            <w:r>
              <w:rPr>
                <w:sz w:val="20"/>
                <w:szCs w:val="20"/>
              </w:rPr>
              <w:t xml:space="preserve"> </w:t>
            </w:r>
            <w:r w:rsidRPr="003A23E0">
              <w:rPr>
                <w:sz w:val="20"/>
                <w:szCs w:val="20"/>
              </w:rPr>
              <w:t>141,9</w:t>
            </w:r>
            <w:r>
              <w:rPr>
                <w:sz w:val="20"/>
                <w:szCs w:val="20"/>
              </w:rPr>
              <w:t xml:space="preserve">7 </w:t>
            </w:r>
            <w:r w:rsidRPr="007B23A1">
              <w:rPr>
                <w:sz w:val="20"/>
                <w:szCs w:val="20"/>
              </w:rPr>
              <w:t>zł</w:t>
            </w:r>
          </w:p>
        </w:tc>
      </w:tr>
      <w:tr w:rsidR="00BA506A" w:rsidRPr="00002820" w14:paraId="262782E1" w14:textId="77777777" w:rsidTr="00293687">
        <w:trPr>
          <w:trHeight w:val="300"/>
          <w:jc w:val="center"/>
        </w:trPr>
        <w:tc>
          <w:tcPr>
            <w:tcW w:w="3022" w:type="dxa"/>
            <w:shd w:val="clear" w:color="auto" w:fill="DEEAF6"/>
            <w:noWrap/>
            <w:vAlign w:val="center"/>
            <w:hideMark/>
          </w:tcPr>
          <w:p w14:paraId="3C0301F1" w14:textId="77777777" w:rsidR="00BA506A" w:rsidRPr="00002820" w:rsidRDefault="00BA506A" w:rsidP="00BA506A">
            <w:pPr>
              <w:jc w:val="center"/>
              <w:rPr>
                <w:rFonts w:cs="Arial"/>
                <w:bCs/>
                <w:sz w:val="20"/>
                <w:szCs w:val="20"/>
              </w:rPr>
            </w:pPr>
            <w:r w:rsidRPr="00002820">
              <w:rPr>
                <w:rFonts w:cs="Arial"/>
                <w:bCs/>
                <w:sz w:val="20"/>
                <w:szCs w:val="20"/>
              </w:rPr>
              <w:t>Roboty budowlane</w:t>
            </w:r>
          </w:p>
        </w:tc>
        <w:tc>
          <w:tcPr>
            <w:tcW w:w="1084" w:type="dxa"/>
            <w:shd w:val="clear" w:color="auto" w:fill="DEEAF6"/>
            <w:noWrap/>
            <w:vAlign w:val="center"/>
          </w:tcPr>
          <w:p w14:paraId="5A6E3ECF" w14:textId="2B7C7DB0" w:rsidR="00BA506A" w:rsidRPr="00AB07F7" w:rsidRDefault="00BA506A" w:rsidP="00BA506A">
            <w:pPr>
              <w:jc w:val="center"/>
              <w:rPr>
                <w:rFonts w:cs="Arial"/>
                <w:sz w:val="20"/>
                <w:szCs w:val="20"/>
              </w:rPr>
            </w:pPr>
            <w:r>
              <w:rPr>
                <w:rFonts w:cs="Arial"/>
                <w:sz w:val="20"/>
                <w:szCs w:val="20"/>
              </w:rPr>
              <w:t>235</w:t>
            </w:r>
          </w:p>
        </w:tc>
        <w:tc>
          <w:tcPr>
            <w:tcW w:w="4961" w:type="dxa"/>
            <w:shd w:val="clear" w:color="auto" w:fill="DEEAF6"/>
            <w:vAlign w:val="center"/>
          </w:tcPr>
          <w:p w14:paraId="526C773F" w14:textId="61EE93B7" w:rsidR="00BA506A" w:rsidRPr="00AB07F7" w:rsidRDefault="00BA506A" w:rsidP="00BA506A">
            <w:pPr>
              <w:jc w:val="center"/>
              <w:rPr>
                <w:rFonts w:cs="Arial"/>
                <w:sz w:val="20"/>
                <w:szCs w:val="20"/>
              </w:rPr>
            </w:pPr>
            <w:r w:rsidRPr="0063496B">
              <w:rPr>
                <w:sz w:val="20"/>
                <w:szCs w:val="20"/>
              </w:rPr>
              <w:t>2</w:t>
            </w:r>
            <w:r>
              <w:rPr>
                <w:sz w:val="20"/>
                <w:szCs w:val="20"/>
              </w:rPr>
              <w:t xml:space="preserve"> </w:t>
            </w:r>
            <w:r w:rsidRPr="0063496B">
              <w:rPr>
                <w:sz w:val="20"/>
                <w:szCs w:val="20"/>
              </w:rPr>
              <w:t>079</w:t>
            </w:r>
            <w:r>
              <w:rPr>
                <w:sz w:val="20"/>
                <w:szCs w:val="20"/>
              </w:rPr>
              <w:t xml:space="preserve"> </w:t>
            </w:r>
            <w:r w:rsidRPr="0063496B">
              <w:rPr>
                <w:sz w:val="20"/>
                <w:szCs w:val="20"/>
              </w:rPr>
              <w:t>903</w:t>
            </w:r>
            <w:r>
              <w:rPr>
                <w:sz w:val="20"/>
                <w:szCs w:val="20"/>
              </w:rPr>
              <w:t xml:space="preserve"> </w:t>
            </w:r>
            <w:r w:rsidRPr="0063496B">
              <w:rPr>
                <w:sz w:val="20"/>
                <w:szCs w:val="20"/>
              </w:rPr>
              <w:t>715,83</w:t>
            </w:r>
            <w:r>
              <w:rPr>
                <w:sz w:val="20"/>
                <w:szCs w:val="20"/>
              </w:rPr>
              <w:t xml:space="preserve"> zł</w:t>
            </w:r>
          </w:p>
        </w:tc>
      </w:tr>
      <w:tr w:rsidR="00BA506A" w:rsidRPr="00002820" w14:paraId="35C65988" w14:textId="77777777" w:rsidTr="00293687">
        <w:trPr>
          <w:trHeight w:val="300"/>
          <w:jc w:val="center"/>
        </w:trPr>
        <w:tc>
          <w:tcPr>
            <w:tcW w:w="3022" w:type="dxa"/>
            <w:noWrap/>
            <w:vAlign w:val="center"/>
          </w:tcPr>
          <w:p w14:paraId="54D4C728" w14:textId="77777777" w:rsidR="00BA506A" w:rsidRPr="00002820" w:rsidRDefault="00BA506A" w:rsidP="00BA506A">
            <w:pPr>
              <w:jc w:val="center"/>
              <w:rPr>
                <w:rFonts w:cs="Arial"/>
                <w:bCs/>
                <w:sz w:val="20"/>
                <w:szCs w:val="20"/>
              </w:rPr>
            </w:pPr>
            <w:r w:rsidRPr="00002820">
              <w:rPr>
                <w:rFonts w:cs="Arial"/>
                <w:bCs/>
                <w:sz w:val="20"/>
                <w:szCs w:val="20"/>
              </w:rPr>
              <w:t>Usługi</w:t>
            </w:r>
          </w:p>
        </w:tc>
        <w:tc>
          <w:tcPr>
            <w:tcW w:w="1084" w:type="dxa"/>
            <w:noWrap/>
            <w:vAlign w:val="center"/>
          </w:tcPr>
          <w:p w14:paraId="01E92612" w14:textId="18A5B7F6" w:rsidR="00BA506A" w:rsidRPr="00AB07F7" w:rsidRDefault="00BA506A" w:rsidP="00BA506A">
            <w:pPr>
              <w:jc w:val="center"/>
              <w:rPr>
                <w:rFonts w:cs="Arial"/>
                <w:sz w:val="20"/>
                <w:szCs w:val="20"/>
              </w:rPr>
            </w:pPr>
            <w:r>
              <w:rPr>
                <w:rFonts w:cs="Arial"/>
                <w:sz w:val="20"/>
                <w:szCs w:val="20"/>
              </w:rPr>
              <w:t>347</w:t>
            </w:r>
          </w:p>
        </w:tc>
        <w:tc>
          <w:tcPr>
            <w:tcW w:w="4961" w:type="dxa"/>
            <w:vAlign w:val="center"/>
          </w:tcPr>
          <w:p w14:paraId="68664087" w14:textId="288F2219" w:rsidR="00BA506A" w:rsidRPr="00AB07F7" w:rsidRDefault="00BA506A" w:rsidP="00BA506A">
            <w:pPr>
              <w:jc w:val="center"/>
              <w:rPr>
                <w:rFonts w:cs="Arial"/>
                <w:sz w:val="20"/>
                <w:szCs w:val="20"/>
              </w:rPr>
            </w:pPr>
            <w:r w:rsidRPr="00E152C0">
              <w:rPr>
                <w:sz w:val="20"/>
                <w:szCs w:val="20"/>
              </w:rPr>
              <w:t>2</w:t>
            </w:r>
            <w:r>
              <w:rPr>
                <w:sz w:val="20"/>
                <w:szCs w:val="20"/>
              </w:rPr>
              <w:t xml:space="preserve"> </w:t>
            </w:r>
            <w:r w:rsidRPr="00E152C0">
              <w:rPr>
                <w:sz w:val="20"/>
                <w:szCs w:val="20"/>
              </w:rPr>
              <w:t>049</w:t>
            </w:r>
            <w:r>
              <w:rPr>
                <w:sz w:val="20"/>
                <w:szCs w:val="20"/>
              </w:rPr>
              <w:t xml:space="preserve"> </w:t>
            </w:r>
            <w:r w:rsidRPr="00E152C0">
              <w:rPr>
                <w:sz w:val="20"/>
                <w:szCs w:val="20"/>
              </w:rPr>
              <w:t>577</w:t>
            </w:r>
            <w:r>
              <w:rPr>
                <w:sz w:val="20"/>
                <w:szCs w:val="20"/>
              </w:rPr>
              <w:t xml:space="preserve"> </w:t>
            </w:r>
            <w:r w:rsidRPr="00E152C0">
              <w:rPr>
                <w:sz w:val="20"/>
                <w:szCs w:val="20"/>
              </w:rPr>
              <w:t>777,74</w:t>
            </w:r>
            <w:r>
              <w:rPr>
                <w:sz w:val="20"/>
                <w:szCs w:val="20"/>
              </w:rPr>
              <w:t xml:space="preserve"> </w:t>
            </w:r>
            <w:r w:rsidRPr="007B23A1">
              <w:rPr>
                <w:sz w:val="20"/>
                <w:szCs w:val="20"/>
              </w:rPr>
              <w:t>zł</w:t>
            </w:r>
          </w:p>
        </w:tc>
      </w:tr>
    </w:tbl>
    <w:p w14:paraId="725629D6" w14:textId="4E8AAE4E" w:rsidR="0056362A" w:rsidRPr="00D00339" w:rsidRDefault="007D66B3" w:rsidP="00852522">
      <w:pPr>
        <w:pStyle w:val="Nagwek4"/>
      </w:pPr>
      <w:r>
        <w:t xml:space="preserve">4.1.3. </w:t>
      </w:r>
      <w:r w:rsidR="0056362A" w:rsidRPr="00D00339">
        <w:t>Określenie aspektów społecznych w kryteriach oceny ofert, o których mowa w art. 242 ust. 2 ustawy Pzp</w:t>
      </w:r>
    </w:p>
    <w:p w14:paraId="31873466" w14:textId="3B7325A6" w:rsidR="00D00339" w:rsidRPr="00443DC3" w:rsidRDefault="00D00339" w:rsidP="006C14EB">
      <w:pPr>
        <w:pStyle w:val="Legenda"/>
      </w:pPr>
      <w:bookmarkStart w:id="184" w:name="_Toc141276553"/>
      <w:bookmarkStart w:id="185" w:name="_Toc233203403"/>
      <w:r w:rsidRPr="007828F0">
        <w:t xml:space="preserve">Tab. </w:t>
      </w:r>
      <w:fldSimple w:instr=" SEQ Tab. \* ARABIC ">
        <w:r w:rsidR="00017C65">
          <w:rPr>
            <w:noProof/>
          </w:rPr>
          <w:t>31</w:t>
        </w:r>
      </w:fldSimple>
      <w:r w:rsidRPr="007828F0">
        <w:t>. Społeczne zamówienia publiczne udzielane przez jednostki administracji rządowej z zastosowaniem art. 242 ust. 2 ustawy Pzp</w:t>
      </w:r>
      <w:bookmarkEnd w:id="184"/>
      <w:bookmarkEnd w:id="18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z zastosowaniem art. 242 ust. 2 ustawy Pzp."/>
        <w:tblDescription w:val="Tabela. Społeczne zamówienia publiczne udzielane przez jednostki administracji rządowej z zastosowaniem art. 242 ust. 2 ustawy Pzp."/>
      </w:tblPr>
      <w:tblGrid>
        <w:gridCol w:w="6941"/>
        <w:gridCol w:w="2121"/>
      </w:tblGrid>
      <w:tr w:rsidR="003D35AF" w:rsidRPr="00FD623C" w14:paraId="53A7ECB0" w14:textId="77777777" w:rsidTr="003D35AF">
        <w:trPr>
          <w:trHeight w:val="300"/>
          <w:jc w:val="center"/>
        </w:trPr>
        <w:tc>
          <w:tcPr>
            <w:tcW w:w="6941" w:type="dxa"/>
            <w:shd w:val="clear" w:color="auto" w:fill="DEEAF6"/>
            <w:noWrap/>
            <w:vAlign w:val="center"/>
          </w:tcPr>
          <w:p w14:paraId="5B93DCA8" w14:textId="77777777" w:rsidR="003D35AF" w:rsidRPr="00FD623C" w:rsidRDefault="003D35AF" w:rsidP="003D35AF">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DEEAF6"/>
            <w:vAlign w:val="center"/>
          </w:tcPr>
          <w:p w14:paraId="521DEF4E" w14:textId="30E31FDE" w:rsidR="003D35AF" w:rsidRPr="00A22BB7" w:rsidRDefault="003D35AF" w:rsidP="003D35AF">
            <w:pPr>
              <w:jc w:val="center"/>
              <w:rPr>
                <w:rFonts w:cs="Arial"/>
                <w:sz w:val="20"/>
                <w:szCs w:val="20"/>
              </w:rPr>
            </w:pPr>
            <w:r>
              <w:rPr>
                <w:rFonts w:cs="Arial"/>
                <w:sz w:val="20"/>
                <w:szCs w:val="20"/>
              </w:rPr>
              <w:t>331</w:t>
            </w:r>
          </w:p>
        </w:tc>
      </w:tr>
      <w:tr w:rsidR="003D35AF" w:rsidRPr="00FD623C" w14:paraId="6FABF984" w14:textId="77777777" w:rsidTr="003D35AF">
        <w:trPr>
          <w:trHeight w:val="300"/>
          <w:jc w:val="center"/>
        </w:trPr>
        <w:tc>
          <w:tcPr>
            <w:tcW w:w="6941" w:type="dxa"/>
            <w:noWrap/>
            <w:vAlign w:val="center"/>
            <w:hideMark/>
          </w:tcPr>
          <w:p w14:paraId="6C3004FC" w14:textId="77777777" w:rsidR="003D35AF" w:rsidRPr="00FD623C" w:rsidRDefault="003D35AF" w:rsidP="003D35AF">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vAlign w:val="center"/>
          </w:tcPr>
          <w:p w14:paraId="144A61DD" w14:textId="77777777" w:rsidR="003D35AF" w:rsidRDefault="003D35AF" w:rsidP="003D35AF">
            <w:pPr>
              <w:jc w:val="center"/>
              <w:rPr>
                <w:rFonts w:cs="Arial"/>
                <w:sz w:val="20"/>
                <w:szCs w:val="20"/>
              </w:rPr>
            </w:pPr>
            <w:r w:rsidRPr="00742484">
              <w:rPr>
                <w:rFonts w:cs="Arial"/>
                <w:sz w:val="20"/>
                <w:szCs w:val="20"/>
              </w:rPr>
              <w:t>392</w:t>
            </w:r>
            <w:r>
              <w:rPr>
                <w:rFonts w:cs="Arial"/>
                <w:sz w:val="20"/>
                <w:szCs w:val="20"/>
              </w:rPr>
              <w:t xml:space="preserve"> </w:t>
            </w:r>
            <w:r w:rsidRPr="00742484">
              <w:rPr>
                <w:rFonts w:cs="Arial"/>
                <w:sz w:val="20"/>
                <w:szCs w:val="20"/>
              </w:rPr>
              <w:t>464</w:t>
            </w:r>
            <w:r>
              <w:rPr>
                <w:rFonts w:cs="Arial"/>
                <w:sz w:val="20"/>
                <w:szCs w:val="20"/>
              </w:rPr>
              <w:t xml:space="preserve"> </w:t>
            </w:r>
            <w:r w:rsidRPr="00742484">
              <w:rPr>
                <w:rFonts w:cs="Arial"/>
                <w:sz w:val="20"/>
                <w:szCs w:val="20"/>
              </w:rPr>
              <w:t>045,39</w:t>
            </w:r>
            <w:r>
              <w:rPr>
                <w:rFonts w:cs="Arial"/>
                <w:sz w:val="20"/>
                <w:szCs w:val="20"/>
              </w:rPr>
              <w:t xml:space="preserve"> </w:t>
            </w:r>
            <w:r w:rsidRPr="004B4C33">
              <w:rPr>
                <w:rFonts w:cs="Arial"/>
                <w:sz w:val="20"/>
                <w:szCs w:val="20"/>
              </w:rPr>
              <w:t>zł</w:t>
            </w:r>
          </w:p>
          <w:p w14:paraId="7C6D2D82" w14:textId="04992970" w:rsidR="003D35AF" w:rsidRPr="00A22BB7" w:rsidRDefault="003D35AF" w:rsidP="003D35AF">
            <w:pPr>
              <w:jc w:val="center"/>
              <w:rPr>
                <w:rFonts w:cs="Arial"/>
                <w:sz w:val="20"/>
                <w:szCs w:val="20"/>
              </w:rPr>
            </w:pPr>
            <w:r w:rsidRPr="00FD623C">
              <w:rPr>
                <w:rFonts w:cs="Arial"/>
                <w:sz w:val="20"/>
                <w:szCs w:val="20"/>
              </w:rPr>
              <w:t>(wartość bez VAT)</w:t>
            </w:r>
          </w:p>
        </w:tc>
      </w:tr>
    </w:tbl>
    <w:p w14:paraId="339038F6" w14:textId="77777777" w:rsidR="0056362A" w:rsidRPr="00FD623C" w:rsidRDefault="0056362A"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z zastosowaniem art. 242 ust. 2 ustawy Pzp."/>
        <w:tblDescription w:val="Tabela. Społeczne zamówienia publiczne udzielane przez jednostki administracji rządowej z zastosowaniem art. 242 ust. 2 ustawy Pzp."/>
      </w:tblPr>
      <w:tblGrid>
        <w:gridCol w:w="3022"/>
        <w:gridCol w:w="1368"/>
        <w:gridCol w:w="4677"/>
      </w:tblGrid>
      <w:tr w:rsidR="0056362A" w:rsidRPr="00EE3A2E" w14:paraId="4ACE87E5" w14:textId="77777777" w:rsidTr="00293687">
        <w:trPr>
          <w:trHeight w:val="300"/>
          <w:tblHeader/>
          <w:jc w:val="center"/>
        </w:trPr>
        <w:tc>
          <w:tcPr>
            <w:tcW w:w="3022" w:type="dxa"/>
            <w:shd w:val="clear" w:color="auto" w:fill="5B9BD5"/>
            <w:noWrap/>
            <w:vAlign w:val="center"/>
          </w:tcPr>
          <w:p w14:paraId="3EE60085" w14:textId="77777777" w:rsidR="0056362A" w:rsidRPr="00EE3A2E" w:rsidRDefault="0056362A" w:rsidP="007D66B3">
            <w:pPr>
              <w:jc w:val="center"/>
              <w:rPr>
                <w:rFonts w:cs="Arial"/>
                <w:b/>
                <w:sz w:val="20"/>
                <w:szCs w:val="20"/>
              </w:rPr>
            </w:pPr>
            <w:r w:rsidRPr="00EE3A2E">
              <w:rPr>
                <w:rFonts w:cs="Arial"/>
                <w:b/>
                <w:bCs/>
                <w:sz w:val="20"/>
                <w:szCs w:val="20"/>
              </w:rPr>
              <w:t>Rodzaj zamówienia</w:t>
            </w:r>
          </w:p>
        </w:tc>
        <w:tc>
          <w:tcPr>
            <w:tcW w:w="1368" w:type="dxa"/>
            <w:shd w:val="clear" w:color="auto" w:fill="5B9BD5"/>
            <w:vAlign w:val="center"/>
          </w:tcPr>
          <w:p w14:paraId="18AECF47" w14:textId="77777777" w:rsidR="0056362A" w:rsidRPr="00EE3A2E" w:rsidRDefault="0056362A" w:rsidP="007D66B3">
            <w:pPr>
              <w:jc w:val="center"/>
              <w:rPr>
                <w:rFonts w:cs="Arial"/>
                <w:b/>
                <w:sz w:val="20"/>
                <w:szCs w:val="20"/>
              </w:rPr>
            </w:pPr>
            <w:r w:rsidRPr="00EE3A2E">
              <w:rPr>
                <w:rFonts w:cs="Arial"/>
                <w:b/>
                <w:sz w:val="20"/>
                <w:szCs w:val="20"/>
              </w:rPr>
              <w:t>Liczba</w:t>
            </w:r>
          </w:p>
        </w:tc>
        <w:tc>
          <w:tcPr>
            <w:tcW w:w="4677" w:type="dxa"/>
            <w:shd w:val="clear" w:color="auto" w:fill="5B9BD5"/>
            <w:vAlign w:val="center"/>
          </w:tcPr>
          <w:p w14:paraId="05528BEC" w14:textId="77777777" w:rsidR="0056362A" w:rsidRPr="00EE3A2E" w:rsidRDefault="0056362A" w:rsidP="007D66B3">
            <w:pPr>
              <w:jc w:val="center"/>
              <w:rPr>
                <w:rFonts w:cs="Arial"/>
                <w:b/>
                <w:sz w:val="20"/>
                <w:szCs w:val="20"/>
              </w:rPr>
            </w:pPr>
            <w:r w:rsidRPr="00EE3A2E">
              <w:rPr>
                <w:rFonts w:cs="Arial"/>
                <w:b/>
                <w:sz w:val="20"/>
                <w:szCs w:val="20"/>
              </w:rPr>
              <w:t>Wartość (bez VAT)</w:t>
            </w:r>
          </w:p>
        </w:tc>
      </w:tr>
      <w:tr w:rsidR="0039391E" w:rsidRPr="00EE3A2E" w14:paraId="21062292" w14:textId="77777777" w:rsidTr="00293687">
        <w:trPr>
          <w:trHeight w:val="260"/>
          <w:jc w:val="center"/>
        </w:trPr>
        <w:tc>
          <w:tcPr>
            <w:tcW w:w="3022" w:type="dxa"/>
            <w:noWrap/>
            <w:vAlign w:val="center"/>
          </w:tcPr>
          <w:p w14:paraId="704027A4" w14:textId="77777777" w:rsidR="0039391E" w:rsidRPr="00EE3A2E" w:rsidRDefault="0039391E" w:rsidP="0039391E">
            <w:pPr>
              <w:jc w:val="center"/>
              <w:rPr>
                <w:rFonts w:cs="Arial"/>
                <w:bCs/>
                <w:sz w:val="20"/>
                <w:szCs w:val="20"/>
              </w:rPr>
            </w:pPr>
            <w:r w:rsidRPr="00EE3A2E">
              <w:rPr>
                <w:rFonts w:cs="Arial"/>
                <w:bCs/>
                <w:sz w:val="20"/>
                <w:szCs w:val="20"/>
              </w:rPr>
              <w:t>Dostawy</w:t>
            </w:r>
          </w:p>
        </w:tc>
        <w:tc>
          <w:tcPr>
            <w:tcW w:w="1368" w:type="dxa"/>
            <w:noWrap/>
            <w:vAlign w:val="center"/>
          </w:tcPr>
          <w:p w14:paraId="683DBB68" w14:textId="2F6CEC58" w:rsidR="0039391E" w:rsidRPr="00A22BB7" w:rsidRDefault="0039391E" w:rsidP="0039391E">
            <w:pPr>
              <w:jc w:val="center"/>
              <w:rPr>
                <w:rFonts w:cs="Arial"/>
                <w:sz w:val="20"/>
                <w:szCs w:val="20"/>
              </w:rPr>
            </w:pPr>
            <w:r>
              <w:rPr>
                <w:rFonts w:cs="Arial"/>
                <w:sz w:val="20"/>
                <w:szCs w:val="20"/>
              </w:rPr>
              <w:t>52</w:t>
            </w:r>
          </w:p>
        </w:tc>
        <w:tc>
          <w:tcPr>
            <w:tcW w:w="4677" w:type="dxa"/>
            <w:vAlign w:val="center"/>
          </w:tcPr>
          <w:p w14:paraId="234B764D" w14:textId="00B3BC85" w:rsidR="0039391E" w:rsidRPr="00A22BB7" w:rsidRDefault="0039391E" w:rsidP="0039391E">
            <w:pPr>
              <w:jc w:val="center"/>
              <w:rPr>
                <w:rFonts w:cs="Arial"/>
                <w:sz w:val="20"/>
                <w:szCs w:val="20"/>
              </w:rPr>
            </w:pPr>
            <w:r w:rsidRPr="00CE29D2">
              <w:rPr>
                <w:sz w:val="20"/>
                <w:szCs w:val="20"/>
              </w:rPr>
              <w:t>99</w:t>
            </w:r>
            <w:r>
              <w:rPr>
                <w:sz w:val="20"/>
                <w:szCs w:val="20"/>
              </w:rPr>
              <w:t xml:space="preserve"> </w:t>
            </w:r>
            <w:r w:rsidRPr="00CE29D2">
              <w:rPr>
                <w:sz w:val="20"/>
                <w:szCs w:val="20"/>
              </w:rPr>
              <w:t>669</w:t>
            </w:r>
            <w:r>
              <w:rPr>
                <w:sz w:val="20"/>
                <w:szCs w:val="20"/>
              </w:rPr>
              <w:t xml:space="preserve"> </w:t>
            </w:r>
            <w:r w:rsidRPr="00CE29D2">
              <w:rPr>
                <w:sz w:val="20"/>
                <w:szCs w:val="20"/>
              </w:rPr>
              <w:t>125,33</w:t>
            </w:r>
            <w:r>
              <w:rPr>
                <w:sz w:val="20"/>
                <w:szCs w:val="20"/>
              </w:rPr>
              <w:t xml:space="preserve"> </w:t>
            </w:r>
            <w:r w:rsidRPr="007B23A1">
              <w:rPr>
                <w:sz w:val="20"/>
                <w:szCs w:val="20"/>
              </w:rPr>
              <w:t>zł</w:t>
            </w:r>
          </w:p>
        </w:tc>
      </w:tr>
      <w:tr w:rsidR="0039391E" w:rsidRPr="00EE3A2E" w14:paraId="70EBE8B6" w14:textId="77777777" w:rsidTr="00293687">
        <w:trPr>
          <w:trHeight w:val="300"/>
          <w:jc w:val="center"/>
        </w:trPr>
        <w:tc>
          <w:tcPr>
            <w:tcW w:w="3022" w:type="dxa"/>
            <w:shd w:val="clear" w:color="auto" w:fill="DEEAF6"/>
            <w:noWrap/>
            <w:vAlign w:val="center"/>
            <w:hideMark/>
          </w:tcPr>
          <w:p w14:paraId="0368F02B" w14:textId="77777777" w:rsidR="0039391E" w:rsidRPr="00EE3A2E" w:rsidRDefault="0039391E" w:rsidP="0039391E">
            <w:pPr>
              <w:jc w:val="center"/>
              <w:rPr>
                <w:rFonts w:cs="Arial"/>
                <w:bCs/>
                <w:sz w:val="20"/>
                <w:szCs w:val="20"/>
              </w:rPr>
            </w:pPr>
            <w:r w:rsidRPr="00EE3A2E">
              <w:rPr>
                <w:rFonts w:cs="Arial"/>
                <w:bCs/>
                <w:sz w:val="20"/>
                <w:szCs w:val="20"/>
              </w:rPr>
              <w:t>Roboty budowlane</w:t>
            </w:r>
          </w:p>
        </w:tc>
        <w:tc>
          <w:tcPr>
            <w:tcW w:w="1368" w:type="dxa"/>
            <w:shd w:val="clear" w:color="auto" w:fill="DEEAF6"/>
            <w:noWrap/>
            <w:vAlign w:val="center"/>
          </w:tcPr>
          <w:p w14:paraId="6BD24CC7" w14:textId="0A53F7E9" w:rsidR="0039391E" w:rsidRPr="00A22BB7" w:rsidRDefault="0039391E" w:rsidP="0039391E">
            <w:pPr>
              <w:jc w:val="center"/>
              <w:rPr>
                <w:rFonts w:cs="Arial"/>
                <w:sz w:val="20"/>
                <w:szCs w:val="20"/>
              </w:rPr>
            </w:pPr>
            <w:r>
              <w:rPr>
                <w:rFonts w:cs="Arial"/>
                <w:sz w:val="20"/>
                <w:szCs w:val="20"/>
              </w:rPr>
              <w:t>31</w:t>
            </w:r>
          </w:p>
        </w:tc>
        <w:tc>
          <w:tcPr>
            <w:tcW w:w="4677" w:type="dxa"/>
            <w:shd w:val="clear" w:color="auto" w:fill="DEEAF6"/>
            <w:vAlign w:val="center"/>
          </w:tcPr>
          <w:p w14:paraId="7DD8601B" w14:textId="525A64F6" w:rsidR="0039391E" w:rsidRPr="00A22BB7" w:rsidRDefault="0039391E" w:rsidP="0039391E">
            <w:pPr>
              <w:jc w:val="center"/>
              <w:rPr>
                <w:rFonts w:cs="Arial"/>
                <w:sz w:val="20"/>
                <w:szCs w:val="20"/>
              </w:rPr>
            </w:pPr>
            <w:r w:rsidRPr="007D602A">
              <w:rPr>
                <w:sz w:val="20"/>
                <w:szCs w:val="20"/>
              </w:rPr>
              <w:t>53</w:t>
            </w:r>
            <w:r>
              <w:rPr>
                <w:sz w:val="20"/>
                <w:szCs w:val="20"/>
              </w:rPr>
              <w:t xml:space="preserve"> </w:t>
            </w:r>
            <w:r w:rsidRPr="007D602A">
              <w:rPr>
                <w:sz w:val="20"/>
                <w:szCs w:val="20"/>
              </w:rPr>
              <w:t>552</w:t>
            </w:r>
            <w:r>
              <w:rPr>
                <w:sz w:val="20"/>
                <w:szCs w:val="20"/>
              </w:rPr>
              <w:t xml:space="preserve"> </w:t>
            </w:r>
            <w:r w:rsidRPr="007D602A">
              <w:rPr>
                <w:sz w:val="20"/>
                <w:szCs w:val="20"/>
              </w:rPr>
              <w:t>830,12</w:t>
            </w:r>
            <w:r>
              <w:rPr>
                <w:sz w:val="20"/>
                <w:szCs w:val="20"/>
              </w:rPr>
              <w:t xml:space="preserve"> </w:t>
            </w:r>
            <w:r w:rsidRPr="007B23A1">
              <w:rPr>
                <w:sz w:val="20"/>
                <w:szCs w:val="20"/>
              </w:rPr>
              <w:t>zł</w:t>
            </w:r>
          </w:p>
        </w:tc>
      </w:tr>
      <w:tr w:rsidR="0039391E" w:rsidRPr="00EE3A2E" w14:paraId="54B2E801" w14:textId="77777777" w:rsidTr="00293687">
        <w:trPr>
          <w:trHeight w:val="300"/>
          <w:jc w:val="center"/>
        </w:trPr>
        <w:tc>
          <w:tcPr>
            <w:tcW w:w="3022" w:type="dxa"/>
            <w:noWrap/>
            <w:vAlign w:val="center"/>
          </w:tcPr>
          <w:p w14:paraId="254B8687" w14:textId="77777777" w:rsidR="0039391E" w:rsidRPr="00EE3A2E" w:rsidRDefault="0039391E" w:rsidP="0039391E">
            <w:pPr>
              <w:jc w:val="center"/>
              <w:rPr>
                <w:rFonts w:cs="Arial"/>
                <w:bCs/>
                <w:sz w:val="20"/>
                <w:szCs w:val="20"/>
              </w:rPr>
            </w:pPr>
            <w:r w:rsidRPr="00EE3A2E">
              <w:rPr>
                <w:rFonts w:cs="Arial"/>
                <w:bCs/>
                <w:sz w:val="20"/>
                <w:szCs w:val="20"/>
              </w:rPr>
              <w:t>Usługi</w:t>
            </w:r>
          </w:p>
        </w:tc>
        <w:tc>
          <w:tcPr>
            <w:tcW w:w="1368" w:type="dxa"/>
            <w:noWrap/>
            <w:vAlign w:val="center"/>
          </w:tcPr>
          <w:p w14:paraId="5D74BEFC" w14:textId="70E00300" w:rsidR="0039391E" w:rsidRPr="00A22BB7" w:rsidRDefault="0039391E" w:rsidP="0039391E">
            <w:pPr>
              <w:jc w:val="center"/>
              <w:rPr>
                <w:rFonts w:cs="Arial"/>
                <w:sz w:val="20"/>
                <w:szCs w:val="20"/>
              </w:rPr>
            </w:pPr>
            <w:r>
              <w:rPr>
                <w:rFonts w:cs="Arial"/>
                <w:sz w:val="20"/>
                <w:szCs w:val="20"/>
              </w:rPr>
              <w:t>248</w:t>
            </w:r>
          </w:p>
        </w:tc>
        <w:tc>
          <w:tcPr>
            <w:tcW w:w="4677" w:type="dxa"/>
            <w:vAlign w:val="center"/>
          </w:tcPr>
          <w:p w14:paraId="62CFB07F" w14:textId="5CE0000C" w:rsidR="0039391E" w:rsidRPr="00A22BB7" w:rsidRDefault="0039391E" w:rsidP="0039391E">
            <w:pPr>
              <w:jc w:val="center"/>
              <w:rPr>
                <w:rFonts w:cs="Arial"/>
                <w:sz w:val="20"/>
                <w:szCs w:val="20"/>
              </w:rPr>
            </w:pPr>
            <w:r w:rsidRPr="007D602A">
              <w:rPr>
                <w:sz w:val="20"/>
                <w:szCs w:val="20"/>
              </w:rPr>
              <w:t>239</w:t>
            </w:r>
            <w:r>
              <w:rPr>
                <w:sz w:val="20"/>
                <w:szCs w:val="20"/>
              </w:rPr>
              <w:t xml:space="preserve"> </w:t>
            </w:r>
            <w:r w:rsidRPr="007D602A">
              <w:rPr>
                <w:sz w:val="20"/>
                <w:szCs w:val="20"/>
              </w:rPr>
              <w:t>242</w:t>
            </w:r>
            <w:r>
              <w:rPr>
                <w:sz w:val="20"/>
                <w:szCs w:val="20"/>
              </w:rPr>
              <w:t xml:space="preserve"> </w:t>
            </w:r>
            <w:r w:rsidRPr="007D602A">
              <w:rPr>
                <w:sz w:val="20"/>
                <w:szCs w:val="20"/>
              </w:rPr>
              <w:t>089,74</w:t>
            </w:r>
            <w:r>
              <w:rPr>
                <w:sz w:val="20"/>
                <w:szCs w:val="20"/>
              </w:rPr>
              <w:t xml:space="preserve"> </w:t>
            </w:r>
            <w:r w:rsidRPr="007B23A1">
              <w:rPr>
                <w:sz w:val="20"/>
                <w:szCs w:val="20"/>
              </w:rPr>
              <w:t>zł</w:t>
            </w:r>
          </w:p>
        </w:tc>
      </w:tr>
    </w:tbl>
    <w:p w14:paraId="0BA49805" w14:textId="3658E060" w:rsidR="0056362A" w:rsidRPr="00D00339" w:rsidRDefault="007D66B3" w:rsidP="00852522">
      <w:pPr>
        <w:pStyle w:val="Nagwek4"/>
      </w:pPr>
      <w:r>
        <w:t xml:space="preserve">4.1.4. </w:t>
      </w:r>
      <w:r w:rsidR="0056362A" w:rsidRPr="00D00339">
        <w:t>Określenie wymagań zw. z realizacją zamówienia w zakresie zatrudnienia na podstawie stosunku pracy, o których mowa w art. 95 ust. 1 ustawy Pzp</w:t>
      </w:r>
    </w:p>
    <w:p w14:paraId="3E102CE7" w14:textId="6415AA16" w:rsidR="00D00339" w:rsidRPr="00443DC3" w:rsidRDefault="00D00339" w:rsidP="006C14EB">
      <w:pPr>
        <w:pStyle w:val="Legenda"/>
      </w:pPr>
      <w:bookmarkStart w:id="186" w:name="_Toc141276554"/>
      <w:bookmarkStart w:id="187" w:name="_Toc233203404"/>
      <w:r w:rsidRPr="00BB38CE">
        <w:t xml:space="preserve">Tab. </w:t>
      </w:r>
      <w:fldSimple w:instr=" SEQ Tab. \* ARABIC ">
        <w:r w:rsidR="00017C65">
          <w:rPr>
            <w:noProof/>
          </w:rPr>
          <w:t>32</w:t>
        </w:r>
      </w:fldSimple>
      <w:r w:rsidRPr="00BB38CE">
        <w:t>. Zamówienia publiczne udzielane przez jednostki administracji rządowej z zastosowaniem art. 95 ust. 1 ustawy Pzp</w:t>
      </w:r>
      <w:bookmarkEnd w:id="186"/>
      <w:bookmarkEnd w:id="18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95 ust. 1 ustawy Pzp."/>
        <w:tblDescription w:val="Tabela. Zamówienia publiczne udzielane przez jednostki administracji rządowej z zastosowaniem art. 95 ust. 1 ustawy Pzp."/>
      </w:tblPr>
      <w:tblGrid>
        <w:gridCol w:w="6941"/>
        <w:gridCol w:w="2121"/>
      </w:tblGrid>
      <w:tr w:rsidR="00250461" w:rsidRPr="00FD623C" w14:paraId="3D0912AE" w14:textId="77777777" w:rsidTr="00250461">
        <w:trPr>
          <w:trHeight w:val="300"/>
          <w:jc w:val="center"/>
        </w:trPr>
        <w:tc>
          <w:tcPr>
            <w:tcW w:w="6941" w:type="dxa"/>
            <w:shd w:val="clear" w:color="auto" w:fill="DEEAF6"/>
            <w:noWrap/>
            <w:vAlign w:val="center"/>
          </w:tcPr>
          <w:p w14:paraId="5EBF31D5" w14:textId="77777777" w:rsidR="00250461" w:rsidRPr="00FD623C" w:rsidRDefault="00250461" w:rsidP="00250461">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DEEAF6"/>
            <w:vAlign w:val="center"/>
          </w:tcPr>
          <w:p w14:paraId="5A8D6210" w14:textId="4573C5F3" w:rsidR="00250461" w:rsidRPr="00A22BB7" w:rsidRDefault="00250461" w:rsidP="00250461">
            <w:pPr>
              <w:jc w:val="center"/>
              <w:rPr>
                <w:rFonts w:cs="Arial"/>
                <w:sz w:val="20"/>
                <w:szCs w:val="20"/>
              </w:rPr>
            </w:pPr>
            <w:r w:rsidRPr="0029723C">
              <w:rPr>
                <w:rFonts w:cs="Arial"/>
                <w:sz w:val="20"/>
                <w:szCs w:val="20"/>
              </w:rPr>
              <w:t xml:space="preserve">6 </w:t>
            </w:r>
            <w:r>
              <w:rPr>
                <w:rFonts w:cs="Arial"/>
                <w:sz w:val="20"/>
                <w:szCs w:val="20"/>
              </w:rPr>
              <w:t>716</w:t>
            </w:r>
          </w:p>
        </w:tc>
      </w:tr>
      <w:tr w:rsidR="00250461" w:rsidRPr="00FD623C" w14:paraId="235129D8" w14:textId="77777777" w:rsidTr="00250461">
        <w:trPr>
          <w:trHeight w:val="300"/>
          <w:jc w:val="center"/>
        </w:trPr>
        <w:tc>
          <w:tcPr>
            <w:tcW w:w="6941" w:type="dxa"/>
            <w:noWrap/>
            <w:vAlign w:val="center"/>
            <w:hideMark/>
          </w:tcPr>
          <w:p w14:paraId="201E666B" w14:textId="77777777" w:rsidR="00250461" w:rsidRPr="00FD623C" w:rsidRDefault="00250461" w:rsidP="00250461">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vAlign w:val="center"/>
          </w:tcPr>
          <w:p w14:paraId="057DC828" w14:textId="77777777" w:rsidR="00250461" w:rsidRDefault="00250461" w:rsidP="00250461">
            <w:pPr>
              <w:jc w:val="center"/>
              <w:rPr>
                <w:rFonts w:cs="Arial"/>
                <w:sz w:val="20"/>
                <w:szCs w:val="20"/>
              </w:rPr>
            </w:pPr>
            <w:r w:rsidRPr="00C43253">
              <w:rPr>
                <w:rFonts w:cs="Arial"/>
                <w:sz w:val="20"/>
                <w:szCs w:val="20"/>
              </w:rPr>
              <w:t>19</w:t>
            </w:r>
            <w:r>
              <w:rPr>
                <w:rFonts w:cs="Arial"/>
                <w:sz w:val="20"/>
                <w:szCs w:val="20"/>
              </w:rPr>
              <w:t xml:space="preserve"> </w:t>
            </w:r>
            <w:r w:rsidRPr="00C43253">
              <w:rPr>
                <w:rFonts w:cs="Arial"/>
                <w:sz w:val="20"/>
                <w:szCs w:val="20"/>
              </w:rPr>
              <w:t>659</w:t>
            </w:r>
            <w:r>
              <w:rPr>
                <w:rFonts w:cs="Arial"/>
                <w:sz w:val="20"/>
                <w:szCs w:val="20"/>
              </w:rPr>
              <w:t xml:space="preserve"> </w:t>
            </w:r>
            <w:r w:rsidRPr="00C43253">
              <w:rPr>
                <w:rFonts w:cs="Arial"/>
                <w:sz w:val="20"/>
                <w:szCs w:val="20"/>
              </w:rPr>
              <w:t>508</w:t>
            </w:r>
            <w:r>
              <w:rPr>
                <w:rFonts w:cs="Arial"/>
                <w:sz w:val="20"/>
                <w:szCs w:val="20"/>
              </w:rPr>
              <w:t xml:space="preserve"> </w:t>
            </w:r>
            <w:r w:rsidRPr="00C43253">
              <w:rPr>
                <w:rFonts w:cs="Arial"/>
                <w:sz w:val="20"/>
                <w:szCs w:val="20"/>
              </w:rPr>
              <w:t>822,80</w:t>
            </w:r>
            <w:r>
              <w:rPr>
                <w:rFonts w:cs="Arial"/>
                <w:sz w:val="20"/>
                <w:szCs w:val="20"/>
              </w:rPr>
              <w:t xml:space="preserve"> </w:t>
            </w:r>
            <w:r w:rsidRPr="0029723C">
              <w:rPr>
                <w:rFonts w:cs="Arial"/>
                <w:sz w:val="20"/>
                <w:szCs w:val="20"/>
              </w:rPr>
              <w:t>zł</w:t>
            </w:r>
          </w:p>
          <w:p w14:paraId="4D8D9482" w14:textId="457467F2" w:rsidR="00250461" w:rsidRPr="00A22BB7" w:rsidRDefault="00250461" w:rsidP="00250461">
            <w:pPr>
              <w:jc w:val="center"/>
              <w:rPr>
                <w:rFonts w:cs="Arial"/>
                <w:sz w:val="20"/>
                <w:szCs w:val="20"/>
              </w:rPr>
            </w:pPr>
            <w:r w:rsidRPr="00FD623C">
              <w:rPr>
                <w:rFonts w:cs="Arial"/>
                <w:sz w:val="20"/>
                <w:szCs w:val="20"/>
              </w:rPr>
              <w:t>(wartość bez VAT)</w:t>
            </w:r>
          </w:p>
        </w:tc>
      </w:tr>
    </w:tbl>
    <w:p w14:paraId="7BBEF78A" w14:textId="77777777" w:rsidR="0056362A" w:rsidRPr="00FD623C" w:rsidRDefault="0056362A"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95 ust. 1 ustawy Pzp."/>
        <w:tblDescription w:val="Tabela. Zamówienia publiczne udzielane przez jednostki administracji rządowej z zastosowaniem art. 95 ust. 1 ustawy Pzp."/>
      </w:tblPr>
      <w:tblGrid>
        <w:gridCol w:w="3022"/>
        <w:gridCol w:w="1084"/>
        <w:gridCol w:w="4961"/>
      </w:tblGrid>
      <w:tr w:rsidR="0056362A" w:rsidRPr="00F03F23" w14:paraId="156AD701" w14:textId="77777777" w:rsidTr="00293687">
        <w:trPr>
          <w:trHeight w:val="300"/>
          <w:tblHeader/>
          <w:jc w:val="center"/>
        </w:trPr>
        <w:tc>
          <w:tcPr>
            <w:tcW w:w="3022" w:type="dxa"/>
            <w:shd w:val="clear" w:color="auto" w:fill="5B9BD5"/>
            <w:noWrap/>
            <w:vAlign w:val="center"/>
          </w:tcPr>
          <w:p w14:paraId="682B728D" w14:textId="77777777" w:rsidR="0056362A" w:rsidRPr="00F03F23" w:rsidRDefault="0056362A" w:rsidP="007D66B3">
            <w:pPr>
              <w:jc w:val="center"/>
              <w:rPr>
                <w:rFonts w:cs="Arial"/>
                <w:b/>
                <w:sz w:val="20"/>
                <w:szCs w:val="20"/>
              </w:rPr>
            </w:pPr>
            <w:r w:rsidRPr="00F03F23">
              <w:rPr>
                <w:rFonts w:cs="Arial"/>
                <w:b/>
                <w:bCs/>
                <w:sz w:val="20"/>
                <w:szCs w:val="20"/>
              </w:rPr>
              <w:t>Rodzaj zamówienia</w:t>
            </w:r>
          </w:p>
        </w:tc>
        <w:tc>
          <w:tcPr>
            <w:tcW w:w="1084" w:type="dxa"/>
            <w:shd w:val="clear" w:color="auto" w:fill="5B9BD5"/>
            <w:vAlign w:val="center"/>
          </w:tcPr>
          <w:p w14:paraId="65D66A28" w14:textId="77777777" w:rsidR="0056362A" w:rsidRPr="00F03F23" w:rsidRDefault="0056362A" w:rsidP="007D66B3">
            <w:pPr>
              <w:jc w:val="center"/>
              <w:rPr>
                <w:rFonts w:cs="Arial"/>
                <w:b/>
                <w:sz w:val="20"/>
                <w:szCs w:val="20"/>
              </w:rPr>
            </w:pPr>
            <w:r w:rsidRPr="00F03F23">
              <w:rPr>
                <w:rFonts w:cs="Arial"/>
                <w:b/>
                <w:sz w:val="20"/>
                <w:szCs w:val="20"/>
              </w:rPr>
              <w:t>Liczba</w:t>
            </w:r>
          </w:p>
        </w:tc>
        <w:tc>
          <w:tcPr>
            <w:tcW w:w="4961" w:type="dxa"/>
            <w:shd w:val="clear" w:color="auto" w:fill="5B9BD5"/>
            <w:vAlign w:val="center"/>
          </w:tcPr>
          <w:p w14:paraId="6DB35FB0" w14:textId="77777777" w:rsidR="0056362A" w:rsidRPr="00F03F23" w:rsidRDefault="0056362A" w:rsidP="007D66B3">
            <w:pPr>
              <w:jc w:val="center"/>
              <w:rPr>
                <w:rFonts w:cs="Arial"/>
                <w:b/>
                <w:sz w:val="20"/>
                <w:szCs w:val="20"/>
              </w:rPr>
            </w:pPr>
            <w:r w:rsidRPr="00F03F23">
              <w:rPr>
                <w:rFonts w:cs="Arial"/>
                <w:b/>
                <w:sz w:val="20"/>
                <w:szCs w:val="20"/>
              </w:rPr>
              <w:t>Wartość (bez VAT)</w:t>
            </w:r>
          </w:p>
        </w:tc>
      </w:tr>
      <w:tr w:rsidR="002F091C" w:rsidRPr="00F03F23" w14:paraId="45FF4197" w14:textId="77777777" w:rsidTr="00293687">
        <w:trPr>
          <w:trHeight w:val="313"/>
          <w:jc w:val="center"/>
        </w:trPr>
        <w:tc>
          <w:tcPr>
            <w:tcW w:w="3022" w:type="dxa"/>
            <w:noWrap/>
            <w:vAlign w:val="center"/>
          </w:tcPr>
          <w:p w14:paraId="3EC702C7" w14:textId="77777777" w:rsidR="002F091C" w:rsidRPr="00F03F23" w:rsidRDefault="002F091C" w:rsidP="002F091C">
            <w:pPr>
              <w:jc w:val="center"/>
              <w:rPr>
                <w:rFonts w:cs="Arial"/>
                <w:bCs/>
                <w:sz w:val="20"/>
                <w:szCs w:val="20"/>
              </w:rPr>
            </w:pPr>
            <w:r w:rsidRPr="00F03F23">
              <w:rPr>
                <w:rFonts w:cs="Arial"/>
                <w:bCs/>
                <w:sz w:val="20"/>
                <w:szCs w:val="20"/>
              </w:rPr>
              <w:t>Dostawy</w:t>
            </w:r>
          </w:p>
        </w:tc>
        <w:tc>
          <w:tcPr>
            <w:tcW w:w="1084" w:type="dxa"/>
            <w:noWrap/>
            <w:vAlign w:val="center"/>
          </w:tcPr>
          <w:p w14:paraId="73C255B8" w14:textId="65C7C0B3" w:rsidR="002F091C" w:rsidRPr="002065A3" w:rsidRDefault="002F091C" w:rsidP="002F091C">
            <w:pPr>
              <w:jc w:val="center"/>
              <w:rPr>
                <w:rFonts w:cs="Arial"/>
                <w:sz w:val="20"/>
                <w:szCs w:val="20"/>
              </w:rPr>
            </w:pPr>
            <w:r>
              <w:rPr>
                <w:rFonts w:cs="Arial"/>
                <w:sz w:val="20"/>
                <w:szCs w:val="20"/>
              </w:rPr>
              <w:t>81</w:t>
            </w:r>
          </w:p>
        </w:tc>
        <w:tc>
          <w:tcPr>
            <w:tcW w:w="4961" w:type="dxa"/>
            <w:vAlign w:val="center"/>
          </w:tcPr>
          <w:p w14:paraId="015F745A" w14:textId="3B388718" w:rsidR="002F091C" w:rsidRPr="002065A3" w:rsidRDefault="002F091C" w:rsidP="002F091C">
            <w:pPr>
              <w:jc w:val="center"/>
              <w:rPr>
                <w:rFonts w:cs="Arial"/>
                <w:sz w:val="20"/>
                <w:szCs w:val="20"/>
              </w:rPr>
            </w:pPr>
            <w:r w:rsidRPr="00421F13">
              <w:rPr>
                <w:sz w:val="20"/>
                <w:szCs w:val="20"/>
              </w:rPr>
              <w:t>299</w:t>
            </w:r>
            <w:r>
              <w:rPr>
                <w:sz w:val="20"/>
                <w:szCs w:val="20"/>
              </w:rPr>
              <w:t xml:space="preserve"> </w:t>
            </w:r>
            <w:r w:rsidRPr="00421F13">
              <w:rPr>
                <w:sz w:val="20"/>
                <w:szCs w:val="20"/>
              </w:rPr>
              <w:t>807</w:t>
            </w:r>
            <w:r>
              <w:rPr>
                <w:sz w:val="20"/>
                <w:szCs w:val="20"/>
              </w:rPr>
              <w:t xml:space="preserve"> </w:t>
            </w:r>
            <w:r w:rsidRPr="00421F13">
              <w:rPr>
                <w:sz w:val="20"/>
                <w:szCs w:val="20"/>
              </w:rPr>
              <w:t>806,63</w:t>
            </w:r>
            <w:r>
              <w:rPr>
                <w:sz w:val="20"/>
                <w:szCs w:val="20"/>
              </w:rPr>
              <w:t xml:space="preserve"> </w:t>
            </w:r>
            <w:r w:rsidRPr="007B23A1">
              <w:rPr>
                <w:sz w:val="20"/>
                <w:szCs w:val="20"/>
              </w:rPr>
              <w:t>zł</w:t>
            </w:r>
          </w:p>
        </w:tc>
      </w:tr>
      <w:tr w:rsidR="002F091C" w:rsidRPr="00F03F23" w14:paraId="3870201F" w14:textId="77777777" w:rsidTr="00293687">
        <w:trPr>
          <w:trHeight w:val="300"/>
          <w:jc w:val="center"/>
        </w:trPr>
        <w:tc>
          <w:tcPr>
            <w:tcW w:w="3022" w:type="dxa"/>
            <w:shd w:val="clear" w:color="auto" w:fill="DEEAF6"/>
            <w:noWrap/>
            <w:vAlign w:val="center"/>
            <w:hideMark/>
          </w:tcPr>
          <w:p w14:paraId="6C840DBA" w14:textId="77777777" w:rsidR="002F091C" w:rsidRPr="00F03F23" w:rsidRDefault="002F091C" w:rsidP="002F091C">
            <w:pPr>
              <w:jc w:val="center"/>
              <w:rPr>
                <w:rFonts w:cs="Arial"/>
                <w:bCs/>
                <w:sz w:val="20"/>
                <w:szCs w:val="20"/>
              </w:rPr>
            </w:pPr>
            <w:r w:rsidRPr="00F03F23">
              <w:rPr>
                <w:rFonts w:cs="Arial"/>
                <w:bCs/>
                <w:sz w:val="20"/>
                <w:szCs w:val="20"/>
              </w:rPr>
              <w:t>Roboty budowlane</w:t>
            </w:r>
          </w:p>
        </w:tc>
        <w:tc>
          <w:tcPr>
            <w:tcW w:w="1084" w:type="dxa"/>
            <w:shd w:val="clear" w:color="auto" w:fill="DEEAF6"/>
            <w:noWrap/>
            <w:vAlign w:val="center"/>
          </w:tcPr>
          <w:p w14:paraId="210F9601" w14:textId="5BFBDCE5" w:rsidR="002F091C" w:rsidRPr="002065A3" w:rsidRDefault="002F091C" w:rsidP="002F091C">
            <w:pPr>
              <w:jc w:val="center"/>
              <w:rPr>
                <w:rFonts w:cs="Arial"/>
                <w:sz w:val="20"/>
                <w:szCs w:val="20"/>
              </w:rPr>
            </w:pPr>
            <w:r>
              <w:rPr>
                <w:rFonts w:cs="Arial"/>
                <w:sz w:val="20"/>
                <w:szCs w:val="20"/>
              </w:rPr>
              <w:t>2 470</w:t>
            </w:r>
          </w:p>
        </w:tc>
        <w:tc>
          <w:tcPr>
            <w:tcW w:w="4961" w:type="dxa"/>
            <w:shd w:val="clear" w:color="auto" w:fill="DEEAF6"/>
            <w:vAlign w:val="center"/>
          </w:tcPr>
          <w:p w14:paraId="6DFA5A89" w14:textId="5168B2E9" w:rsidR="002F091C" w:rsidRPr="002065A3" w:rsidRDefault="002F091C" w:rsidP="002F091C">
            <w:pPr>
              <w:jc w:val="center"/>
              <w:rPr>
                <w:rFonts w:cs="Arial"/>
                <w:sz w:val="20"/>
                <w:szCs w:val="20"/>
              </w:rPr>
            </w:pPr>
            <w:r w:rsidRPr="00CF6996">
              <w:rPr>
                <w:sz w:val="20"/>
                <w:szCs w:val="20"/>
              </w:rPr>
              <w:t>9</w:t>
            </w:r>
            <w:r>
              <w:rPr>
                <w:sz w:val="20"/>
                <w:szCs w:val="20"/>
              </w:rPr>
              <w:t xml:space="preserve"> </w:t>
            </w:r>
            <w:r w:rsidRPr="00CF6996">
              <w:rPr>
                <w:sz w:val="20"/>
                <w:szCs w:val="20"/>
              </w:rPr>
              <w:t>230</w:t>
            </w:r>
            <w:r>
              <w:rPr>
                <w:sz w:val="20"/>
                <w:szCs w:val="20"/>
              </w:rPr>
              <w:t xml:space="preserve"> </w:t>
            </w:r>
            <w:r w:rsidRPr="00CF6996">
              <w:rPr>
                <w:sz w:val="20"/>
                <w:szCs w:val="20"/>
              </w:rPr>
              <w:t>858</w:t>
            </w:r>
            <w:r>
              <w:rPr>
                <w:sz w:val="20"/>
                <w:szCs w:val="20"/>
              </w:rPr>
              <w:t xml:space="preserve"> </w:t>
            </w:r>
            <w:r w:rsidRPr="00CF6996">
              <w:rPr>
                <w:sz w:val="20"/>
                <w:szCs w:val="20"/>
              </w:rPr>
              <w:t>391,0</w:t>
            </w:r>
            <w:r>
              <w:rPr>
                <w:sz w:val="20"/>
                <w:szCs w:val="20"/>
              </w:rPr>
              <w:t xml:space="preserve">3 </w:t>
            </w:r>
            <w:r w:rsidRPr="007B23A1">
              <w:rPr>
                <w:sz w:val="20"/>
                <w:szCs w:val="20"/>
              </w:rPr>
              <w:t>zł</w:t>
            </w:r>
          </w:p>
        </w:tc>
      </w:tr>
      <w:tr w:rsidR="002F091C" w:rsidRPr="00F03F23" w14:paraId="06BD3417" w14:textId="77777777" w:rsidTr="00293687">
        <w:trPr>
          <w:trHeight w:val="300"/>
          <w:jc w:val="center"/>
        </w:trPr>
        <w:tc>
          <w:tcPr>
            <w:tcW w:w="3022" w:type="dxa"/>
            <w:noWrap/>
            <w:vAlign w:val="center"/>
          </w:tcPr>
          <w:p w14:paraId="408D23E5" w14:textId="77777777" w:rsidR="002F091C" w:rsidRPr="00F03F23" w:rsidRDefault="002F091C" w:rsidP="002F091C">
            <w:pPr>
              <w:jc w:val="center"/>
              <w:rPr>
                <w:rFonts w:cs="Arial"/>
                <w:bCs/>
                <w:sz w:val="20"/>
                <w:szCs w:val="20"/>
              </w:rPr>
            </w:pPr>
            <w:r w:rsidRPr="00F03F23">
              <w:rPr>
                <w:rFonts w:cs="Arial"/>
                <w:bCs/>
                <w:sz w:val="20"/>
                <w:szCs w:val="20"/>
              </w:rPr>
              <w:t>Usługi</w:t>
            </w:r>
          </w:p>
        </w:tc>
        <w:tc>
          <w:tcPr>
            <w:tcW w:w="1084" w:type="dxa"/>
            <w:noWrap/>
            <w:vAlign w:val="center"/>
          </w:tcPr>
          <w:p w14:paraId="01A6F1D8" w14:textId="6059B58D" w:rsidR="002F091C" w:rsidRPr="002065A3" w:rsidRDefault="002F091C" w:rsidP="002F091C">
            <w:pPr>
              <w:jc w:val="center"/>
              <w:rPr>
                <w:rFonts w:cs="Arial"/>
                <w:sz w:val="20"/>
                <w:szCs w:val="20"/>
              </w:rPr>
            </w:pPr>
            <w:r>
              <w:rPr>
                <w:rFonts w:cs="Arial"/>
                <w:sz w:val="20"/>
                <w:szCs w:val="20"/>
              </w:rPr>
              <w:t>4 165</w:t>
            </w:r>
          </w:p>
        </w:tc>
        <w:tc>
          <w:tcPr>
            <w:tcW w:w="4961" w:type="dxa"/>
            <w:vAlign w:val="center"/>
          </w:tcPr>
          <w:p w14:paraId="7C98A349" w14:textId="17D90C18" w:rsidR="002F091C" w:rsidRPr="002065A3" w:rsidRDefault="002F091C" w:rsidP="002F091C">
            <w:pPr>
              <w:jc w:val="center"/>
              <w:rPr>
                <w:rFonts w:cs="Arial"/>
                <w:sz w:val="20"/>
                <w:szCs w:val="20"/>
              </w:rPr>
            </w:pPr>
            <w:r w:rsidRPr="00CF6996">
              <w:rPr>
                <w:sz w:val="20"/>
                <w:szCs w:val="20"/>
              </w:rPr>
              <w:t>10</w:t>
            </w:r>
            <w:r>
              <w:rPr>
                <w:sz w:val="20"/>
                <w:szCs w:val="20"/>
              </w:rPr>
              <w:t xml:space="preserve"> </w:t>
            </w:r>
            <w:r w:rsidRPr="00CF6996">
              <w:rPr>
                <w:sz w:val="20"/>
                <w:szCs w:val="20"/>
              </w:rPr>
              <w:t>128</w:t>
            </w:r>
            <w:r>
              <w:rPr>
                <w:sz w:val="20"/>
                <w:szCs w:val="20"/>
              </w:rPr>
              <w:t xml:space="preserve"> </w:t>
            </w:r>
            <w:r w:rsidRPr="00CF6996">
              <w:rPr>
                <w:sz w:val="20"/>
                <w:szCs w:val="20"/>
              </w:rPr>
              <w:t>842</w:t>
            </w:r>
            <w:r>
              <w:rPr>
                <w:sz w:val="20"/>
                <w:szCs w:val="20"/>
              </w:rPr>
              <w:t xml:space="preserve"> </w:t>
            </w:r>
            <w:r w:rsidRPr="00CF6996">
              <w:rPr>
                <w:sz w:val="20"/>
                <w:szCs w:val="20"/>
              </w:rPr>
              <w:t>625,1</w:t>
            </w:r>
            <w:r>
              <w:rPr>
                <w:sz w:val="20"/>
                <w:szCs w:val="20"/>
              </w:rPr>
              <w:t xml:space="preserve">4 </w:t>
            </w:r>
            <w:r w:rsidRPr="007B23A1">
              <w:rPr>
                <w:sz w:val="20"/>
                <w:szCs w:val="20"/>
              </w:rPr>
              <w:t>zł</w:t>
            </w:r>
          </w:p>
        </w:tc>
      </w:tr>
    </w:tbl>
    <w:p w14:paraId="717ECE4C" w14:textId="742967D6" w:rsidR="00465A80" w:rsidRPr="00D00339" w:rsidRDefault="00465A80" w:rsidP="00852522">
      <w:pPr>
        <w:pStyle w:val="Nagwek4"/>
      </w:pPr>
      <w:bookmarkStart w:id="188" w:name="_Toc141276555"/>
      <w:r>
        <w:t xml:space="preserve">4.1.5. </w:t>
      </w:r>
      <w:r w:rsidRPr="00D00339">
        <w:t>Określenie wymagań zw. z realizacją zamówienia obejmujących aspekty społeczne związane z zatrudnieniem, o których mowa w art. 96 ust. 1 ustawy Pzp</w:t>
      </w:r>
    </w:p>
    <w:p w14:paraId="592DA07D" w14:textId="0EFE9403" w:rsidR="00D00339" w:rsidRPr="00443DC3" w:rsidRDefault="00D00339" w:rsidP="006C14EB">
      <w:pPr>
        <w:pStyle w:val="Legenda"/>
      </w:pPr>
      <w:bookmarkStart w:id="189" w:name="_Toc233203405"/>
      <w:r w:rsidRPr="00522D56">
        <w:lastRenderedPageBreak/>
        <w:t xml:space="preserve">Tab. </w:t>
      </w:r>
      <w:fldSimple w:instr=" SEQ Tab. \* ARABIC ">
        <w:r w:rsidR="00017C65">
          <w:rPr>
            <w:noProof/>
          </w:rPr>
          <w:t>33</w:t>
        </w:r>
      </w:fldSimple>
      <w:r w:rsidRPr="00522D56">
        <w:t>. Społeczne zamówienia publiczne udzielane przez jednostki administracji rządowej z zastosowaniem art. 96 ust. 1 ustawy Pzp</w:t>
      </w:r>
      <w:bookmarkEnd w:id="188"/>
      <w:bookmarkEnd w:id="189"/>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z zastosowaniem art. 96 ust. 1 ustawy Pzp."/>
        <w:tblDescription w:val="Tabela. Społeczne zamówienia publiczne udzielane przez jednostki administracji rządowej z zastosowaniem art. 96 ust. 1 ustawy Pzp."/>
      </w:tblPr>
      <w:tblGrid>
        <w:gridCol w:w="6941"/>
        <w:gridCol w:w="2126"/>
      </w:tblGrid>
      <w:tr w:rsidR="005642A3" w:rsidRPr="00FD623C" w14:paraId="2FCC92AE" w14:textId="77777777" w:rsidTr="005642A3">
        <w:trPr>
          <w:trHeight w:val="300"/>
          <w:jc w:val="center"/>
        </w:trPr>
        <w:tc>
          <w:tcPr>
            <w:tcW w:w="6941" w:type="dxa"/>
            <w:shd w:val="clear" w:color="auto" w:fill="DEEAF6"/>
            <w:noWrap/>
            <w:vAlign w:val="center"/>
          </w:tcPr>
          <w:p w14:paraId="230E45AA" w14:textId="77777777" w:rsidR="005642A3" w:rsidRPr="00FD623C" w:rsidRDefault="005642A3" w:rsidP="005642A3">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6" w:type="dxa"/>
            <w:shd w:val="clear" w:color="auto" w:fill="DEEAF6"/>
            <w:vAlign w:val="center"/>
          </w:tcPr>
          <w:p w14:paraId="5715301C" w14:textId="27A1EE42" w:rsidR="005642A3" w:rsidRPr="00523E4B" w:rsidRDefault="005642A3" w:rsidP="005642A3">
            <w:pPr>
              <w:jc w:val="center"/>
              <w:rPr>
                <w:rFonts w:cs="Arial"/>
                <w:sz w:val="20"/>
                <w:szCs w:val="20"/>
              </w:rPr>
            </w:pPr>
            <w:r>
              <w:rPr>
                <w:rFonts w:cs="Arial"/>
                <w:sz w:val="20"/>
                <w:szCs w:val="20"/>
              </w:rPr>
              <w:t>198</w:t>
            </w:r>
          </w:p>
        </w:tc>
      </w:tr>
      <w:tr w:rsidR="005642A3" w:rsidRPr="00FD623C" w14:paraId="77E94095" w14:textId="77777777" w:rsidTr="005642A3">
        <w:trPr>
          <w:trHeight w:val="300"/>
          <w:jc w:val="center"/>
        </w:trPr>
        <w:tc>
          <w:tcPr>
            <w:tcW w:w="6941" w:type="dxa"/>
            <w:noWrap/>
            <w:vAlign w:val="center"/>
            <w:hideMark/>
          </w:tcPr>
          <w:p w14:paraId="5623FAA5" w14:textId="77777777" w:rsidR="005642A3" w:rsidRPr="00FD623C" w:rsidRDefault="005642A3" w:rsidP="005642A3">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6" w:type="dxa"/>
            <w:vAlign w:val="center"/>
          </w:tcPr>
          <w:p w14:paraId="0A3E2EA6" w14:textId="77777777" w:rsidR="005642A3" w:rsidRDefault="005642A3" w:rsidP="005642A3">
            <w:pPr>
              <w:jc w:val="center"/>
              <w:rPr>
                <w:rFonts w:cs="Arial"/>
                <w:sz w:val="20"/>
                <w:szCs w:val="20"/>
              </w:rPr>
            </w:pPr>
            <w:r w:rsidRPr="00050F87">
              <w:rPr>
                <w:rFonts w:cs="Arial"/>
                <w:sz w:val="20"/>
                <w:szCs w:val="20"/>
              </w:rPr>
              <w:t>2</w:t>
            </w:r>
            <w:r>
              <w:rPr>
                <w:rFonts w:cs="Arial"/>
                <w:sz w:val="20"/>
                <w:szCs w:val="20"/>
              </w:rPr>
              <w:t xml:space="preserve"> </w:t>
            </w:r>
            <w:r w:rsidRPr="00050F87">
              <w:rPr>
                <w:rFonts w:cs="Arial"/>
                <w:sz w:val="20"/>
                <w:szCs w:val="20"/>
              </w:rPr>
              <w:t>207</w:t>
            </w:r>
            <w:r>
              <w:rPr>
                <w:rFonts w:cs="Arial"/>
                <w:sz w:val="20"/>
                <w:szCs w:val="20"/>
              </w:rPr>
              <w:t xml:space="preserve"> </w:t>
            </w:r>
            <w:r w:rsidRPr="00050F87">
              <w:rPr>
                <w:rFonts w:cs="Arial"/>
                <w:sz w:val="20"/>
                <w:szCs w:val="20"/>
              </w:rPr>
              <w:t>565</w:t>
            </w:r>
            <w:r>
              <w:rPr>
                <w:rFonts w:cs="Arial"/>
                <w:sz w:val="20"/>
                <w:szCs w:val="20"/>
              </w:rPr>
              <w:t xml:space="preserve"> </w:t>
            </w:r>
            <w:r w:rsidRPr="00050F87">
              <w:rPr>
                <w:rFonts w:cs="Arial"/>
                <w:sz w:val="20"/>
                <w:szCs w:val="20"/>
              </w:rPr>
              <w:t>643,83</w:t>
            </w:r>
            <w:r>
              <w:rPr>
                <w:rFonts w:cs="Arial"/>
                <w:sz w:val="20"/>
                <w:szCs w:val="20"/>
              </w:rPr>
              <w:t xml:space="preserve"> </w:t>
            </w:r>
            <w:r w:rsidRPr="00C060C6">
              <w:rPr>
                <w:rFonts w:cs="Arial"/>
                <w:sz w:val="20"/>
                <w:szCs w:val="20"/>
              </w:rPr>
              <w:t>zł</w:t>
            </w:r>
          </w:p>
          <w:p w14:paraId="4E32E40B" w14:textId="0E905386" w:rsidR="005642A3" w:rsidRPr="00523E4B" w:rsidRDefault="005642A3" w:rsidP="005642A3">
            <w:pPr>
              <w:jc w:val="center"/>
              <w:rPr>
                <w:rFonts w:cs="Arial"/>
                <w:sz w:val="20"/>
                <w:szCs w:val="20"/>
              </w:rPr>
            </w:pPr>
            <w:r w:rsidRPr="00FD623C">
              <w:rPr>
                <w:rFonts w:cs="Arial"/>
                <w:sz w:val="20"/>
                <w:szCs w:val="20"/>
              </w:rPr>
              <w:t>(wartość bez VAT)</w:t>
            </w:r>
          </w:p>
        </w:tc>
      </w:tr>
    </w:tbl>
    <w:p w14:paraId="4A5F9D06" w14:textId="77777777" w:rsidR="0056362A" w:rsidRPr="00FD623C" w:rsidRDefault="0056362A"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z zastosowaniem art. 96 ust. 1 ustawy Pzp."/>
        <w:tblDescription w:val="Tabela. Społeczne zamówienia publiczne udzielane przez jednostki administracji rządowej z zastosowaniem art. 96 ust. 1 ustawy Pzp."/>
      </w:tblPr>
      <w:tblGrid>
        <w:gridCol w:w="3022"/>
        <w:gridCol w:w="1368"/>
        <w:gridCol w:w="4677"/>
      </w:tblGrid>
      <w:tr w:rsidR="0056362A" w:rsidRPr="00DC0C60" w14:paraId="7E588218" w14:textId="77777777" w:rsidTr="00293687">
        <w:trPr>
          <w:trHeight w:val="300"/>
          <w:tblHeader/>
          <w:jc w:val="center"/>
        </w:trPr>
        <w:tc>
          <w:tcPr>
            <w:tcW w:w="3022" w:type="dxa"/>
            <w:shd w:val="clear" w:color="auto" w:fill="5B9BD5"/>
            <w:noWrap/>
            <w:vAlign w:val="center"/>
          </w:tcPr>
          <w:p w14:paraId="5117C3A0" w14:textId="77777777" w:rsidR="0056362A" w:rsidRPr="00DC0C60" w:rsidRDefault="0056362A" w:rsidP="006B7A82">
            <w:pPr>
              <w:jc w:val="center"/>
              <w:rPr>
                <w:rFonts w:cs="Arial"/>
                <w:sz w:val="20"/>
                <w:szCs w:val="20"/>
              </w:rPr>
            </w:pPr>
            <w:r w:rsidRPr="00DC0C60">
              <w:rPr>
                <w:rFonts w:cs="Arial"/>
                <w:bCs/>
                <w:sz w:val="20"/>
                <w:szCs w:val="20"/>
              </w:rPr>
              <w:t>Rodzaj zamówienia</w:t>
            </w:r>
          </w:p>
        </w:tc>
        <w:tc>
          <w:tcPr>
            <w:tcW w:w="1368" w:type="dxa"/>
            <w:shd w:val="clear" w:color="auto" w:fill="5B9BD5"/>
            <w:vAlign w:val="center"/>
          </w:tcPr>
          <w:p w14:paraId="17B89FCD" w14:textId="77777777" w:rsidR="0056362A" w:rsidRPr="00DC0C60" w:rsidRDefault="0056362A" w:rsidP="006B7A82">
            <w:pPr>
              <w:jc w:val="center"/>
              <w:rPr>
                <w:rFonts w:cs="Arial"/>
                <w:sz w:val="20"/>
                <w:szCs w:val="20"/>
              </w:rPr>
            </w:pPr>
            <w:r w:rsidRPr="00DC0C60">
              <w:rPr>
                <w:rFonts w:cs="Arial"/>
                <w:sz w:val="20"/>
                <w:szCs w:val="20"/>
              </w:rPr>
              <w:t>Liczba</w:t>
            </w:r>
          </w:p>
        </w:tc>
        <w:tc>
          <w:tcPr>
            <w:tcW w:w="4677" w:type="dxa"/>
            <w:shd w:val="clear" w:color="auto" w:fill="5B9BD5"/>
            <w:vAlign w:val="center"/>
          </w:tcPr>
          <w:p w14:paraId="20D74AAD" w14:textId="77777777" w:rsidR="0056362A" w:rsidRPr="00DC0C60" w:rsidRDefault="0056362A" w:rsidP="006B7A82">
            <w:pPr>
              <w:jc w:val="center"/>
              <w:rPr>
                <w:rFonts w:cs="Arial"/>
                <w:sz w:val="20"/>
                <w:szCs w:val="20"/>
              </w:rPr>
            </w:pPr>
            <w:r w:rsidRPr="00DC0C60">
              <w:rPr>
                <w:rFonts w:cs="Arial"/>
                <w:b/>
                <w:sz w:val="20"/>
                <w:szCs w:val="20"/>
              </w:rPr>
              <w:t>Wartość (bez VAT)</w:t>
            </w:r>
          </w:p>
        </w:tc>
      </w:tr>
      <w:tr w:rsidR="0075342B" w:rsidRPr="00DC0C60" w14:paraId="7949FD64" w14:textId="77777777" w:rsidTr="00293687">
        <w:trPr>
          <w:trHeight w:val="355"/>
          <w:jc w:val="center"/>
        </w:trPr>
        <w:tc>
          <w:tcPr>
            <w:tcW w:w="3022" w:type="dxa"/>
            <w:noWrap/>
            <w:vAlign w:val="center"/>
          </w:tcPr>
          <w:p w14:paraId="2483DC37" w14:textId="77777777" w:rsidR="0075342B" w:rsidRPr="00DC0C60" w:rsidRDefault="0075342B" w:rsidP="0075342B">
            <w:pPr>
              <w:jc w:val="center"/>
              <w:rPr>
                <w:rFonts w:cs="Arial"/>
                <w:bCs/>
                <w:sz w:val="20"/>
                <w:szCs w:val="20"/>
              </w:rPr>
            </w:pPr>
            <w:r w:rsidRPr="00DC0C60">
              <w:rPr>
                <w:rFonts w:cs="Arial"/>
                <w:bCs/>
                <w:sz w:val="20"/>
                <w:szCs w:val="20"/>
              </w:rPr>
              <w:t>Dostawy</w:t>
            </w:r>
          </w:p>
        </w:tc>
        <w:tc>
          <w:tcPr>
            <w:tcW w:w="1368" w:type="dxa"/>
            <w:noWrap/>
            <w:vAlign w:val="center"/>
          </w:tcPr>
          <w:p w14:paraId="71A3E971" w14:textId="4E7AFDF8" w:rsidR="0075342B" w:rsidRPr="00523E4B" w:rsidRDefault="0075342B" w:rsidP="0075342B">
            <w:pPr>
              <w:jc w:val="center"/>
              <w:rPr>
                <w:rFonts w:cs="Arial"/>
                <w:sz w:val="20"/>
                <w:szCs w:val="20"/>
              </w:rPr>
            </w:pPr>
            <w:r>
              <w:rPr>
                <w:rFonts w:cs="Arial"/>
                <w:sz w:val="20"/>
                <w:szCs w:val="20"/>
              </w:rPr>
              <w:t>52</w:t>
            </w:r>
          </w:p>
        </w:tc>
        <w:tc>
          <w:tcPr>
            <w:tcW w:w="4677" w:type="dxa"/>
            <w:vAlign w:val="center"/>
          </w:tcPr>
          <w:p w14:paraId="383F8E7C" w14:textId="5F6E022C" w:rsidR="0075342B" w:rsidRPr="00523E4B" w:rsidRDefault="0075342B" w:rsidP="0075342B">
            <w:pPr>
              <w:jc w:val="center"/>
              <w:rPr>
                <w:rFonts w:cs="Arial"/>
                <w:sz w:val="20"/>
                <w:szCs w:val="20"/>
              </w:rPr>
            </w:pPr>
            <w:r w:rsidRPr="005360BB">
              <w:rPr>
                <w:sz w:val="20"/>
                <w:szCs w:val="20"/>
              </w:rPr>
              <w:t>408</w:t>
            </w:r>
            <w:r>
              <w:rPr>
                <w:sz w:val="20"/>
                <w:szCs w:val="20"/>
              </w:rPr>
              <w:t xml:space="preserve"> </w:t>
            </w:r>
            <w:r w:rsidRPr="005360BB">
              <w:rPr>
                <w:sz w:val="20"/>
                <w:szCs w:val="20"/>
              </w:rPr>
              <w:t>935</w:t>
            </w:r>
            <w:r>
              <w:rPr>
                <w:sz w:val="20"/>
                <w:szCs w:val="20"/>
              </w:rPr>
              <w:t xml:space="preserve"> </w:t>
            </w:r>
            <w:r w:rsidRPr="005360BB">
              <w:rPr>
                <w:sz w:val="20"/>
                <w:szCs w:val="20"/>
              </w:rPr>
              <w:t>267,1</w:t>
            </w:r>
            <w:r>
              <w:rPr>
                <w:sz w:val="20"/>
                <w:szCs w:val="20"/>
              </w:rPr>
              <w:t xml:space="preserve"> </w:t>
            </w:r>
            <w:r w:rsidRPr="007B23A1">
              <w:rPr>
                <w:sz w:val="20"/>
                <w:szCs w:val="20"/>
              </w:rPr>
              <w:t>zł</w:t>
            </w:r>
          </w:p>
        </w:tc>
      </w:tr>
      <w:tr w:rsidR="0075342B" w:rsidRPr="00DC0C60" w14:paraId="095253E8" w14:textId="77777777" w:rsidTr="00293687">
        <w:trPr>
          <w:trHeight w:val="300"/>
          <w:jc w:val="center"/>
        </w:trPr>
        <w:tc>
          <w:tcPr>
            <w:tcW w:w="3022" w:type="dxa"/>
            <w:shd w:val="clear" w:color="auto" w:fill="DEEAF6"/>
            <w:noWrap/>
            <w:vAlign w:val="center"/>
            <w:hideMark/>
          </w:tcPr>
          <w:p w14:paraId="268AD712" w14:textId="77777777" w:rsidR="0075342B" w:rsidRPr="00DC0C60" w:rsidRDefault="0075342B" w:rsidP="0075342B">
            <w:pPr>
              <w:jc w:val="center"/>
              <w:rPr>
                <w:rFonts w:cs="Arial"/>
                <w:bCs/>
                <w:sz w:val="20"/>
                <w:szCs w:val="20"/>
              </w:rPr>
            </w:pPr>
            <w:r w:rsidRPr="00DC0C60">
              <w:rPr>
                <w:rFonts w:cs="Arial"/>
                <w:bCs/>
                <w:sz w:val="20"/>
                <w:szCs w:val="20"/>
              </w:rPr>
              <w:t>Roboty budowlane</w:t>
            </w:r>
          </w:p>
        </w:tc>
        <w:tc>
          <w:tcPr>
            <w:tcW w:w="1368" w:type="dxa"/>
            <w:shd w:val="clear" w:color="auto" w:fill="DEEAF6"/>
            <w:noWrap/>
            <w:vAlign w:val="center"/>
          </w:tcPr>
          <w:p w14:paraId="37699D30" w14:textId="1A5649DF" w:rsidR="0075342B" w:rsidRPr="00523E4B" w:rsidRDefault="0075342B" w:rsidP="0075342B">
            <w:pPr>
              <w:jc w:val="center"/>
              <w:rPr>
                <w:rFonts w:cs="Arial"/>
                <w:sz w:val="20"/>
                <w:szCs w:val="20"/>
              </w:rPr>
            </w:pPr>
            <w:r>
              <w:rPr>
                <w:rFonts w:cs="Arial"/>
                <w:sz w:val="20"/>
                <w:szCs w:val="20"/>
              </w:rPr>
              <w:t>15</w:t>
            </w:r>
          </w:p>
        </w:tc>
        <w:tc>
          <w:tcPr>
            <w:tcW w:w="4677" w:type="dxa"/>
            <w:shd w:val="clear" w:color="auto" w:fill="DEEAF6"/>
            <w:vAlign w:val="center"/>
          </w:tcPr>
          <w:p w14:paraId="69C0177F" w14:textId="7B5CBB76" w:rsidR="0075342B" w:rsidRPr="00523E4B" w:rsidRDefault="0075342B" w:rsidP="0075342B">
            <w:pPr>
              <w:jc w:val="center"/>
              <w:rPr>
                <w:rFonts w:cs="Arial"/>
                <w:sz w:val="20"/>
                <w:szCs w:val="20"/>
              </w:rPr>
            </w:pPr>
            <w:r w:rsidRPr="005360BB">
              <w:rPr>
                <w:sz w:val="20"/>
                <w:szCs w:val="20"/>
              </w:rPr>
              <w:t>67</w:t>
            </w:r>
            <w:r>
              <w:rPr>
                <w:sz w:val="20"/>
                <w:szCs w:val="20"/>
              </w:rPr>
              <w:t xml:space="preserve"> </w:t>
            </w:r>
            <w:r w:rsidRPr="005360BB">
              <w:rPr>
                <w:sz w:val="20"/>
                <w:szCs w:val="20"/>
              </w:rPr>
              <w:t>274</w:t>
            </w:r>
            <w:r>
              <w:rPr>
                <w:sz w:val="20"/>
                <w:szCs w:val="20"/>
              </w:rPr>
              <w:t xml:space="preserve"> </w:t>
            </w:r>
            <w:r w:rsidRPr="005360BB">
              <w:rPr>
                <w:sz w:val="20"/>
                <w:szCs w:val="20"/>
              </w:rPr>
              <w:t>925,98</w:t>
            </w:r>
            <w:r>
              <w:rPr>
                <w:sz w:val="20"/>
                <w:szCs w:val="20"/>
              </w:rPr>
              <w:t xml:space="preserve"> </w:t>
            </w:r>
            <w:r w:rsidRPr="007B23A1">
              <w:rPr>
                <w:sz w:val="20"/>
                <w:szCs w:val="20"/>
              </w:rPr>
              <w:t>zł</w:t>
            </w:r>
          </w:p>
        </w:tc>
      </w:tr>
      <w:tr w:rsidR="0075342B" w:rsidRPr="00DC0C60" w14:paraId="4B821BB6" w14:textId="77777777" w:rsidTr="00293687">
        <w:trPr>
          <w:trHeight w:val="300"/>
          <w:jc w:val="center"/>
        </w:trPr>
        <w:tc>
          <w:tcPr>
            <w:tcW w:w="3022" w:type="dxa"/>
            <w:noWrap/>
            <w:vAlign w:val="center"/>
          </w:tcPr>
          <w:p w14:paraId="3669ACEB" w14:textId="77777777" w:rsidR="0075342B" w:rsidRPr="00DC0C60" w:rsidRDefault="0075342B" w:rsidP="0075342B">
            <w:pPr>
              <w:jc w:val="center"/>
              <w:rPr>
                <w:rFonts w:cs="Arial"/>
                <w:bCs/>
                <w:sz w:val="20"/>
                <w:szCs w:val="20"/>
              </w:rPr>
            </w:pPr>
            <w:r w:rsidRPr="00DC0C60">
              <w:rPr>
                <w:rFonts w:cs="Arial"/>
                <w:bCs/>
                <w:sz w:val="20"/>
                <w:szCs w:val="20"/>
              </w:rPr>
              <w:t>Usługi</w:t>
            </w:r>
          </w:p>
        </w:tc>
        <w:tc>
          <w:tcPr>
            <w:tcW w:w="1368" w:type="dxa"/>
            <w:noWrap/>
            <w:vAlign w:val="center"/>
          </w:tcPr>
          <w:p w14:paraId="0F1B91B6" w14:textId="2F909AB3" w:rsidR="0075342B" w:rsidRPr="00523E4B" w:rsidRDefault="0075342B" w:rsidP="0075342B">
            <w:pPr>
              <w:jc w:val="center"/>
              <w:rPr>
                <w:rFonts w:cs="Arial"/>
                <w:sz w:val="20"/>
                <w:szCs w:val="20"/>
              </w:rPr>
            </w:pPr>
            <w:r>
              <w:rPr>
                <w:rFonts w:cs="Arial"/>
                <w:sz w:val="20"/>
                <w:szCs w:val="20"/>
              </w:rPr>
              <w:t>131</w:t>
            </w:r>
          </w:p>
        </w:tc>
        <w:tc>
          <w:tcPr>
            <w:tcW w:w="4677" w:type="dxa"/>
            <w:vAlign w:val="center"/>
          </w:tcPr>
          <w:p w14:paraId="2FB19A88" w14:textId="598B902E" w:rsidR="0075342B" w:rsidRPr="00523E4B" w:rsidRDefault="0075342B" w:rsidP="0075342B">
            <w:pPr>
              <w:jc w:val="center"/>
              <w:rPr>
                <w:rFonts w:cs="Arial"/>
                <w:sz w:val="20"/>
                <w:szCs w:val="20"/>
              </w:rPr>
            </w:pPr>
            <w:r w:rsidRPr="00A44F2B">
              <w:rPr>
                <w:sz w:val="20"/>
                <w:szCs w:val="20"/>
              </w:rPr>
              <w:t>1</w:t>
            </w:r>
            <w:r>
              <w:rPr>
                <w:sz w:val="20"/>
                <w:szCs w:val="20"/>
              </w:rPr>
              <w:t xml:space="preserve"> </w:t>
            </w:r>
            <w:r w:rsidRPr="00A44F2B">
              <w:rPr>
                <w:sz w:val="20"/>
                <w:szCs w:val="20"/>
              </w:rPr>
              <w:t>731</w:t>
            </w:r>
            <w:r>
              <w:rPr>
                <w:sz w:val="20"/>
                <w:szCs w:val="20"/>
              </w:rPr>
              <w:t xml:space="preserve"> </w:t>
            </w:r>
            <w:r w:rsidRPr="00A44F2B">
              <w:rPr>
                <w:sz w:val="20"/>
                <w:szCs w:val="20"/>
              </w:rPr>
              <w:t>355</w:t>
            </w:r>
            <w:r>
              <w:rPr>
                <w:sz w:val="20"/>
                <w:szCs w:val="20"/>
              </w:rPr>
              <w:t xml:space="preserve"> </w:t>
            </w:r>
            <w:r w:rsidRPr="00A44F2B">
              <w:rPr>
                <w:sz w:val="20"/>
                <w:szCs w:val="20"/>
              </w:rPr>
              <w:t>450,75</w:t>
            </w:r>
            <w:r>
              <w:rPr>
                <w:sz w:val="20"/>
                <w:szCs w:val="20"/>
              </w:rPr>
              <w:t xml:space="preserve"> </w:t>
            </w:r>
            <w:r w:rsidRPr="007B23A1">
              <w:rPr>
                <w:sz w:val="20"/>
                <w:szCs w:val="20"/>
              </w:rPr>
              <w:t>zł</w:t>
            </w:r>
          </w:p>
        </w:tc>
      </w:tr>
    </w:tbl>
    <w:p w14:paraId="6B15CBEC" w14:textId="2CEB9B83" w:rsidR="0056362A" w:rsidRPr="00D00339" w:rsidRDefault="006B7A82" w:rsidP="00852522">
      <w:pPr>
        <w:pStyle w:val="Nagwek4"/>
      </w:pPr>
      <w:r>
        <w:t xml:space="preserve">4.1.6. </w:t>
      </w:r>
      <w:r w:rsidR="0056362A" w:rsidRPr="00D00339">
        <w:t>Określenie etykiety związanej z aspektami społecznymi albo innego przedmiotowego środka dowodowego, o których mowa w art. 104 ustawy Pzp</w:t>
      </w:r>
    </w:p>
    <w:p w14:paraId="6E646FDD" w14:textId="0C0630F8" w:rsidR="00D00339" w:rsidRPr="006F1E17" w:rsidRDefault="00D00339" w:rsidP="006C14EB">
      <w:pPr>
        <w:pStyle w:val="Legenda"/>
      </w:pPr>
      <w:bookmarkStart w:id="190" w:name="_Toc141276556"/>
      <w:bookmarkStart w:id="191" w:name="_Toc233203406"/>
      <w:r w:rsidRPr="00522D56">
        <w:t xml:space="preserve">Tab. </w:t>
      </w:r>
      <w:fldSimple w:instr=" SEQ Tab. \* ARABIC ">
        <w:r w:rsidR="00017C65">
          <w:rPr>
            <w:noProof/>
          </w:rPr>
          <w:t>34</w:t>
        </w:r>
      </w:fldSimple>
      <w:r w:rsidRPr="00522D56">
        <w:t>. Społeczne zamówienia publiczne udzielane przez jednostki administracji rządowej z zastosowaniem art. 104 ustawy Pzp</w:t>
      </w:r>
      <w:bookmarkEnd w:id="190"/>
      <w:bookmarkEnd w:id="19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z zastosowaniem art. 104 ustawy Pzp."/>
        <w:tblDescription w:val="Tabela. Społeczne zamówienia publiczne udzielane przez jednostki administracji rządowej z zastosowaniem art. 104 ustawy Pzp."/>
      </w:tblPr>
      <w:tblGrid>
        <w:gridCol w:w="7083"/>
        <w:gridCol w:w="1979"/>
      </w:tblGrid>
      <w:tr w:rsidR="00A7144F" w:rsidRPr="00FD623C" w14:paraId="5858E50C" w14:textId="77777777" w:rsidTr="00A7144F">
        <w:trPr>
          <w:trHeight w:val="300"/>
          <w:jc w:val="center"/>
        </w:trPr>
        <w:tc>
          <w:tcPr>
            <w:tcW w:w="7083" w:type="dxa"/>
            <w:shd w:val="clear" w:color="auto" w:fill="DEEAF6"/>
            <w:noWrap/>
            <w:vAlign w:val="center"/>
          </w:tcPr>
          <w:p w14:paraId="7078B3F6" w14:textId="77777777" w:rsidR="00A7144F" w:rsidRPr="00FD623C" w:rsidRDefault="00A7144F" w:rsidP="00A7144F">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979" w:type="dxa"/>
            <w:shd w:val="clear" w:color="auto" w:fill="DEEAF6"/>
            <w:vAlign w:val="center"/>
          </w:tcPr>
          <w:p w14:paraId="147571E1" w14:textId="17BC9506" w:rsidR="00A7144F" w:rsidRPr="002810EF" w:rsidRDefault="00A7144F" w:rsidP="00A7144F">
            <w:pPr>
              <w:jc w:val="center"/>
              <w:rPr>
                <w:rFonts w:cs="Arial"/>
                <w:sz w:val="20"/>
                <w:szCs w:val="20"/>
              </w:rPr>
            </w:pPr>
            <w:r>
              <w:rPr>
                <w:rFonts w:cs="Arial"/>
                <w:sz w:val="20"/>
                <w:szCs w:val="20"/>
              </w:rPr>
              <w:t>59</w:t>
            </w:r>
          </w:p>
        </w:tc>
      </w:tr>
      <w:tr w:rsidR="00A7144F" w:rsidRPr="00FD623C" w14:paraId="39DA7795" w14:textId="77777777" w:rsidTr="00A7144F">
        <w:trPr>
          <w:trHeight w:val="300"/>
          <w:jc w:val="center"/>
        </w:trPr>
        <w:tc>
          <w:tcPr>
            <w:tcW w:w="7083" w:type="dxa"/>
            <w:noWrap/>
            <w:vAlign w:val="center"/>
            <w:hideMark/>
          </w:tcPr>
          <w:p w14:paraId="6557E2F6" w14:textId="77777777" w:rsidR="00A7144F" w:rsidRPr="00FD623C" w:rsidRDefault="00A7144F" w:rsidP="00A7144F">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1979" w:type="dxa"/>
            <w:vAlign w:val="center"/>
          </w:tcPr>
          <w:p w14:paraId="38ADD64E" w14:textId="77777777" w:rsidR="00A7144F" w:rsidRDefault="00A7144F" w:rsidP="00A7144F">
            <w:pPr>
              <w:jc w:val="center"/>
              <w:rPr>
                <w:rFonts w:cs="Arial"/>
                <w:sz w:val="20"/>
                <w:szCs w:val="20"/>
              </w:rPr>
            </w:pPr>
            <w:r w:rsidRPr="008E6156">
              <w:rPr>
                <w:rFonts w:cs="Arial"/>
                <w:sz w:val="20"/>
                <w:szCs w:val="20"/>
              </w:rPr>
              <w:t>160</w:t>
            </w:r>
            <w:r>
              <w:rPr>
                <w:rFonts w:cs="Arial"/>
                <w:sz w:val="20"/>
                <w:szCs w:val="20"/>
              </w:rPr>
              <w:t xml:space="preserve"> </w:t>
            </w:r>
            <w:r w:rsidRPr="008E6156">
              <w:rPr>
                <w:rFonts w:cs="Arial"/>
                <w:sz w:val="20"/>
                <w:szCs w:val="20"/>
              </w:rPr>
              <w:t>355</w:t>
            </w:r>
            <w:r>
              <w:rPr>
                <w:rFonts w:cs="Arial"/>
                <w:sz w:val="20"/>
                <w:szCs w:val="20"/>
              </w:rPr>
              <w:t xml:space="preserve"> </w:t>
            </w:r>
            <w:r w:rsidRPr="008E6156">
              <w:rPr>
                <w:rFonts w:cs="Arial"/>
                <w:sz w:val="20"/>
                <w:szCs w:val="20"/>
              </w:rPr>
              <w:t>437,46</w:t>
            </w:r>
            <w:r>
              <w:rPr>
                <w:rFonts w:cs="Arial"/>
                <w:sz w:val="20"/>
                <w:szCs w:val="20"/>
              </w:rPr>
              <w:t xml:space="preserve"> </w:t>
            </w:r>
            <w:r w:rsidRPr="00D1521B">
              <w:rPr>
                <w:rFonts w:cs="Arial"/>
                <w:sz w:val="20"/>
                <w:szCs w:val="20"/>
              </w:rPr>
              <w:t>zł</w:t>
            </w:r>
          </w:p>
          <w:p w14:paraId="768458F6" w14:textId="000340FC" w:rsidR="00A7144F" w:rsidRPr="00577A08" w:rsidRDefault="00A7144F" w:rsidP="00A7144F">
            <w:pPr>
              <w:jc w:val="center"/>
              <w:rPr>
                <w:rFonts w:cs="Arial"/>
                <w:sz w:val="20"/>
                <w:szCs w:val="20"/>
              </w:rPr>
            </w:pPr>
            <w:r w:rsidRPr="00FD623C">
              <w:rPr>
                <w:rFonts w:cs="Arial"/>
                <w:sz w:val="20"/>
                <w:szCs w:val="20"/>
              </w:rPr>
              <w:t>(wartość bez VAT)</w:t>
            </w:r>
          </w:p>
        </w:tc>
      </w:tr>
    </w:tbl>
    <w:p w14:paraId="0D2A5916" w14:textId="77777777" w:rsidR="0056362A" w:rsidRPr="00FD623C" w:rsidRDefault="0056362A"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z zastosowaniem art. 104 ustawy Pzp."/>
        <w:tblDescription w:val="Tabela. Społeczne zamówienia publiczne udzielane przez jednostki administracji rządowej z zastosowaniem art. 104 ustawy Pzp."/>
      </w:tblPr>
      <w:tblGrid>
        <w:gridCol w:w="3022"/>
        <w:gridCol w:w="1368"/>
        <w:gridCol w:w="4677"/>
      </w:tblGrid>
      <w:tr w:rsidR="0056362A" w:rsidRPr="002810EF" w14:paraId="4DFD6EF0" w14:textId="77777777" w:rsidTr="00293687">
        <w:trPr>
          <w:trHeight w:val="300"/>
          <w:tblHeader/>
          <w:jc w:val="center"/>
        </w:trPr>
        <w:tc>
          <w:tcPr>
            <w:tcW w:w="3022" w:type="dxa"/>
            <w:shd w:val="clear" w:color="auto" w:fill="5B9BD5"/>
            <w:noWrap/>
            <w:vAlign w:val="center"/>
          </w:tcPr>
          <w:p w14:paraId="2CA85F2F" w14:textId="77777777" w:rsidR="0056362A" w:rsidRPr="002810EF" w:rsidRDefault="0056362A" w:rsidP="00334133">
            <w:pPr>
              <w:jc w:val="center"/>
              <w:rPr>
                <w:rFonts w:cs="Arial"/>
                <w:b/>
                <w:sz w:val="20"/>
                <w:szCs w:val="20"/>
              </w:rPr>
            </w:pPr>
            <w:r w:rsidRPr="002810EF">
              <w:rPr>
                <w:rFonts w:cs="Arial"/>
                <w:b/>
                <w:bCs/>
                <w:sz w:val="20"/>
                <w:szCs w:val="20"/>
              </w:rPr>
              <w:t>Rodzaj zamówienia</w:t>
            </w:r>
          </w:p>
        </w:tc>
        <w:tc>
          <w:tcPr>
            <w:tcW w:w="1368" w:type="dxa"/>
            <w:shd w:val="clear" w:color="auto" w:fill="5B9BD5"/>
            <w:vAlign w:val="center"/>
          </w:tcPr>
          <w:p w14:paraId="52585EC5" w14:textId="77777777" w:rsidR="0056362A" w:rsidRPr="002810EF" w:rsidRDefault="0056362A" w:rsidP="00334133">
            <w:pPr>
              <w:jc w:val="center"/>
              <w:rPr>
                <w:rFonts w:cs="Arial"/>
                <w:b/>
                <w:sz w:val="20"/>
                <w:szCs w:val="20"/>
              </w:rPr>
            </w:pPr>
            <w:r w:rsidRPr="002810EF">
              <w:rPr>
                <w:rFonts w:cs="Arial"/>
                <w:b/>
                <w:sz w:val="20"/>
                <w:szCs w:val="20"/>
              </w:rPr>
              <w:t>Liczba</w:t>
            </w:r>
          </w:p>
        </w:tc>
        <w:tc>
          <w:tcPr>
            <w:tcW w:w="4677" w:type="dxa"/>
            <w:shd w:val="clear" w:color="auto" w:fill="5B9BD5"/>
            <w:vAlign w:val="center"/>
          </w:tcPr>
          <w:p w14:paraId="23389D76" w14:textId="77777777" w:rsidR="0056362A" w:rsidRPr="002810EF" w:rsidRDefault="0056362A" w:rsidP="00334133">
            <w:pPr>
              <w:jc w:val="center"/>
              <w:rPr>
                <w:rFonts w:cs="Arial"/>
                <w:b/>
                <w:sz w:val="20"/>
                <w:szCs w:val="20"/>
              </w:rPr>
            </w:pPr>
            <w:r w:rsidRPr="002810EF">
              <w:rPr>
                <w:rFonts w:cs="Arial"/>
                <w:b/>
                <w:sz w:val="20"/>
                <w:szCs w:val="20"/>
              </w:rPr>
              <w:t>Wartość (bez VAT)</w:t>
            </w:r>
          </w:p>
        </w:tc>
      </w:tr>
      <w:tr w:rsidR="004E40B4" w:rsidRPr="002810EF" w14:paraId="5791BB41" w14:textId="77777777" w:rsidTr="00293687">
        <w:trPr>
          <w:trHeight w:val="300"/>
          <w:jc w:val="center"/>
        </w:trPr>
        <w:tc>
          <w:tcPr>
            <w:tcW w:w="3022" w:type="dxa"/>
            <w:noWrap/>
            <w:vAlign w:val="center"/>
          </w:tcPr>
          <w:p w14:paraId="0E95DA70" w14:textId="77777777" w:rsidR="004E40B4" w:rsidRPr="002810EF" w:rsidRDefault="004E40B4" w:rsidP="004E40B4">
            <w:pPr>
              <w:jc w:val="center"/>
              <w:rPr>
                <w:rFonts w:cs="Arial"/>
                <w:bCs/>
                <w:sz w:val="20"/>
                <w:szCs w:val="20"/>
              </w:rPr>
            </w:pPr>
            <w:r w:rsidRPr="002810EF">
              <w:rPr>
                <w:rFonts w:cs="Arial"/>
                <w:bCs/>
                <w:sz w:val="20"/>
                <w:szCs w:val="20"/>
              </w:rPr>
              <w:t>Dostawy</w:t>
            </w:r>
          </w:p>
        </w:tc>
        <w:tc>
          <w:tcPr>
            <w:tcW w:w="1368" w:type="dxa"/>
            <w:noWrap/>
            <w:vAlign w:val="center"/>
          </w:tcPr>
          <w:p w14:paraId="25E9A7B9" w14:textId="7E785891" w:rsidR="004E40B4" w:rsidRPr="00577A08" w:rsidRDefault="004E40B4" w:rsidP="004E40B4">
            <w:pPr>
              <w:jc w:val="center"/>
              <w:rPr>
                <w:rFonts w:cs="Arial"/>
                <w:sz w:val="20"/>
                <w:szCs w:val="20"/>
              </w:rPr>
            </w:pPr>
            <w:r>
              <w:rPr>
                <w:rFonts w:cs="Arial"/>
                <w:sz w:val="20"/>
                <w:szCs w:val="20"/>
              </w:rPr>
              <w:t>17</w:t>
            </w:r>
          </w:p>
        </w:tc>
        <w:tc>
          <w:tcPr>
            <w:tcW w:w="4677" w:type="dxa"/>
            <w:vAlign w:val="center"/>
          </w:tcPr>
          <w:p w14:paraId="0FD41E0E" w14:textId="69EABD5E" w:rsidR="004E40B4" w:rsidRPr="00577A08" w:rsidRDefault="004E40B4" w:rsidP="004E40B4">
            <w:pPr>
              <w:jc w:val="center"/>
              <w:rPr>
                <w:rFonts w:cs="Arial"/>
                <w:sz w:val="20"/>
                <w:szCs w:val="20"/>
              </w:rPr>
            </w:pPr>
            <w:r w:rsidRPr="003C4022">
              <w:rPr>
                <w:sz w:val="20"/>
                <w:szCs w:val="20"/>
              </w:rPr>
              <w:t>42</w:t>
            </w:r>
            <w:r>
              <w:rPr>
                <w:sz w:val="20"/>
                <w:szCs w:val="20"/>
              </w:rPr>
              <w:t xml:space="preserve"> </w:t>
            </w:r>
            <w:r w:rsidRPr="003C4022">
              <w:rPr>
                <w:sz w:val="20"/>
                <w:szCs w:val="20"/>
              </w:rPr>
              <w:t>508</w:t>
            </w:r>
            <w:r>
              <w:rPr>
                <w:sz w:val="20"/>
                <w:szCs w:val="20"/>
              </w:rPr>
              <w:t xml:space="preserve"> </w:t>
            </w:r>
            <w:r w:rsidRPr="003C4022">
              <w:rPr>
                <w:sz w:val="20"/>
                <w:szCs w:val="20"/>
              </w:rPr>
              <w:t>410,88</w:t>
            </w:r>
            <w:r>
              <w:rPr>
                <w:sz w:val="20"/>
                <w:szCs w:val="20"/>
              </w:rPr>
              <w:t xml:space="preserve"> </w:t>
            </w:r>
            <w:r w:rsidRPr="007B23A1">
              <w:rPr>
                <w:sz w:val="20"/>
                <w:szCs w:val="20"/>
              </w:rPr>
              <w:t>zł</w:t>
            </w:r>
          </w:p>
        </w:tc>
      </w:tr>
      <w:tr w:rsidR="004E40B4" w:rsidRPr="002810EF" w14:paraId="58009D10" w14:textId="77777777" w:rsidTr="00D00339">
        <w:trPr>
          <w:trHeight w:val="300"/>
          <w:jc w:val="center"/>
        </w:trPr>
        <w:tc>
          <w:tcPr>
            <w:tcW w:w="3022" w:type="dxa"/>
            <w:shd w:val="clear" w:color="auto" w:fill="DEEAF6" w:themeFill="accent1" w:themeFillTint="33"/>
            <w:noWrap/>
            <w:vAlign w:val="center"/>
            <w:hideMark/>
          </w:tcPr>
          <w:p w14:paraId="0CC980FC" w14:textId="77777777" w:rsidR="004E40B4" w:rsidRPr="002810EF" w:rsidRDefault="004E40B4" w:rsidP="004E40B4">
            <w:pPr>
              <w:jc w:val="center"/>
              <w:rPr>
                <w:rFonts w:cs="Arial"/>
                <w:bCs/>
                <w:sz w:val="20"/>
                <w:szCs w:val="20"/>
              </w:rPr>
            </w:pPr>
            <w:r w:rsidRPr="002810EF">
              <w:rPr>
                <w:rFonts w:cs="Arial"/>
                <w:bCs/>
                <w:sz w:val="20"/>
                <w:szCs w:val="20"/>
              </w:rPr>
              <w:t>Roboty budowlane</w:t>
            </w:r>
          </w:p>
        </w:tc>
        <w:tc>
          <w:tcPr>
            <w:tcW w:w="1368" w:type="dxa"/>
            <w:shd w:val="clear" w:color="auto" w:fill="DEEAF6" w:themeFill="accent1" w:themeFillTint="33"/>
            <w:noWrap/>
            <w:vAlign w:val="center"/>
          </w:tcPr>
          <w:p w14:paraId="29660B41" w14:textId="6D6FA161" w:rsidR="004E40B4" w:rsidRPr="00577A08" w:rsidRDefault="004E40B4" w:rsidP="004E40B4">
            <w:pPr>
              <w:jc w:val="center"/>
              <w:rPr>
                <w:rFonts w:cs="Arial"/>
                <w:sz w:val="20"/>
                <w:szCs w:val="20"/>
              </w:rPr>
            </w:pPr>
            <w:r>
              <w:rPr>
                <w:rFonts w:cs="Arial"/>
                <w:sz w:val="20"/>
                <w:szCs w:val="20"/>
              </w:rPr>
              <w:t>14</w:t>
            </w:r>
          </w:p>
        </w:tc>
        <w:tc>
          <w:tcPr>
            <w:tcW w:w="4677" w:type="dxa"/>
            <w:shd w:val="clear" w:color="auto" w:fill="DEEAF6" w:themeFill="accent1" w:themeFillTint="33"/>
            <w:vAlign w:val="center"/>
          </w:tcPr>
          <w:p w14:paraId="4ACA8FEF" w14:textId="6E8EE518" w:rsidR="004E40B4" w:rsidRPr="00577A08" w:rsidRDefault="004E40B4" w:rsidP="004E40B4">
            <w:pPr>
              <w:jc w:val="center"/>
              <w:rPr>
                <w:rFonts w:cs="Arial"/>
                <w:sz w:val="20"/>
                <w:szCs w:val="20"/>
              </w:rPr>
            </w:pPr>
            <w:r w:rsidRPr="003C4022">
              <w:rPr>
                <w:sz w:val="20"/>
                <w:szCs w:val="20"/>
              </w:rPr>
              <w:t>92</w:t>
            </w:r>
            <w:r>
              <w:rPr>
                <w:sz w:val="20"/>
                <w:szCs w:val="20"/>
              </w:rPr>
              <w:t xml:space="preserve"> </w:t>
            </w:r>
            <w:r w:rsidRPr="003C4022">
              <w:rPr>
                <w:sz w:val="20"/>
                <w:szCs w:val="20"/>
              </w:rPr>
              <w:t>096</w:t>
            </w:r>
            <w:r>
              <w:rPr>
                <w:sz w:val="20"/>
                <w:szCs w:val="20"/>
              </w:rPr>
              <w:t xml:space="preserve"> </w:t>
            </w:r>
            <w:r w:rsidRPr="003C4022">
              <w:rPr>
                <w:sz w:val="20"/>
                <w:szCs w:val="20"/>
              </w:rPr>
              <w:t>127,06</w:t>
            </w:r>
            <w:r>
              <w:rPr>
                <w:sz w:val="20"/>
                <w:szCs w:val="20"/>
              </w:rPr>
              <w:t xml:space="preserve"> </w:t>
            </w:r>
            <w:r w:rsidRPr="007B23A1">
              <w:rPr>
                <w:sz w:val="20"/>
                <w:szCs w:val="20"/>
              </w:rPr>
              <w:t>zł</w:t>
            </w:r>
          </w:p>
        </w:tc>
      </w:tr>
      <w:tr w:rsidR="004E40B4" w:rsidRPr="002810EF" w14:paraId="7D7DB188" w14:textId="77777777" w:rsidTr="00293687">
        <w:trPr>
          <w:trHeight w:val="300"/>
          <w:jc w:val="center"/>
        </w:trPr>
        <w:tc>
          <w:tcPr>
            <w:tcW w:w="3022" w:type="dxa"/>
            <w:noWrap/>
            <w:vAlign w:val="center"/>
          </w:tcPr>
          <w:p w14:paraId="2A965577" w14:textId="77777777" w:rsidR="004E40B4" w:rsidRPr="002810EF" w:rsidRDefault="004E40B4" w:rsidP="004E40B4">
            <w:pPr>
              <w:jc w:val="center"/>
              <w:rPr>
                <w:rFonts w:cs="Arial"/>
                <w:bCs/>
                <w:sz w:val="20"/>
                <w:szCs w:val="20"/>
              </w:rPr>
            </w:pPr>
            <w:r w:rsidRPr="002810EF">
              <w:rPr>
                <w:rFonts w:cs="Arial"/>
                <w:bCs/>
                <w:sz w:val="20"/>
                <w:szCs w:val="20"/>
              </w:rPr>
              <w:t>Usługi</w:t>
            </w:r>
          </w:p>
        </w:tc>
        <w:tc>
          <w:tcPr>
            <w:tcW w:w="1368" w:type="dxa"/>
            <w:noWrap/>
            <w:vAlign w:val="center"/>
          </w:tcPr>
          <w:p w14:paraId="64598A39" w14:textId="7AF7C86B" w:rsidR="004E40B4" w:rsidRPr="00577A08" w:rsidRDefault="004E40B4" w:rsidP="004E40B4">
            <w:pPr>
              <w:jc w:val="center"/>
              <w:rPr>
                <w:rFonts w:cs="Arial"/>
                <w:sz w:val="20"/>
                <w:szCs w:val="20"/>
              </w:rPr>
            </w:pPr>
            <w:r>
              <w:rPr>
                <w:rFonts w:cs="Arial"/>
                <w:sz w:val="20"/>
                <w:szCs w:val="20"/>
              </w:rPr>
              <w:t>28</w:t>
            </w:r>
          </w:p>
        </w:tc>
        <w:tc>
          <w:tcPr>
            <w:tcW w:w="4677" w:type="dxa"/>
            <w:vAlign w:val="center"/>
          </w:tcPr>
          <w:p w14:paraId="5A189E4C" w14:textId="0ED0B712" w:rsidR="004E40B4" w:rsidRPr="00577A08" w:rsidRDefault="004E40B4" w:rsidP="004E40B4">
            <w:pPr>
              <w:jc w:val="center"/>
              <w:rPr>
                <w:rFonts w:cs="Arial"/>
                <w:sz w:val="20"/>
                <w:szCs w:val="20"/>
              </w:rPr>
            </w:pPr>
            <w:r w:rsidRPr="00912B2D">
              <w:rPr>
                <w:sz w:val="20"/>
                <w:szCs w:val="20"/>
              </w:rPr>
              <w:t>25</w:t>
            </w:r>
            <w:r>
              <w:rPr>
                <w:sz w:val="20"/>
                <w:szCs w:val="20"/>
              </w:rPr>
              <w:t xml:space="preserve"> </w:t>
            </w:r>
            <w:r w:rsidRPr="00912B2D">
              <w:rPr>
                <w:sz w:val="20"/>
                <w:szCs w:val="20"/>
              </w:rPr>
              <w:t>750</w:t>
            </w:r>
            <w:r>
              <w:rPr>
                <w:sz w:val="20"/>
                <w:szCs w:val="20"/>
              </w:rPr>
              <w:t xml:space="preserve"> </w:t>
            </w:r>
            <w:r w:rsidRPr="00912B2D">
              <w:rPr>
                <w:sz w:val="20"/>
                <w:szCs w:val="20"/>
              </w:rPr>
              <w:t>899,52</w:t>
            </w:r>
            <w:r>
              <w:rPr>
                <w:sz w:val="20"/>
                <w:szCs w:val="20"/>
              </w:rPr>
              <w:t xml:space="preserve"> </w:t>
            </w:r>
            <w:r w:rsidRPr="007B23A1">
              <w:rPr>
                <w:sz w:val="20"/>
                <w:szCs w:val="20"/>
              </w:rPr>
              <w:t>zł</w:t>
            </w:r>
          </w:p>
        </w:tc>
      </w:tr>
    </w:tbl>
    <w:p w14:paraId="4CA88CC3" w14:textId="36C8EDE4" w:rsidR="0056362A" w:rsidRPr="00D00339" w:rsidRDefault="004469DF" w:rsidP="00852522">
      <w:pPr>
        <w:pStyle w:val="Nagwek4"/>
      </w:pPr>
      <w:r>
        <w:t xml:space="preserve">4.1.7. </w:t>
      </w:r>
      <w:r w:rsidR="0056362A" w:rsidRPr="00D00339">
        <w:t>Zamówienie udzielone jako zamówienie zastrzeżone na usługi zdrowotne, społeczne oraz kulturalne, o którym mowa w art. 361 ust. 1 lub art. 392 ust. 3 ustawy Pzp</w:t>
      </w:r>
    </w:p>
    <w:p w14:paraId="0237D638" w14:textId="15A9FFF4" w:rsidR="00D00339" w:rsidRPr="00443DC3" w:rsidRDefault="00D00339" w:rsidP="006C14EB">
      <w:pPr>
        <w:pStyle w:val="Legenda"/>
      </w:pPr>
      <w:bookmarkStart w:id="192" w:name="_Toc141276557"/>
      <w:bookmarkStart w:id="193" w:name="_Toc233203407"/>
      <w:r w:rsidRPr="00C02005">
        <w:t xml:space="preserve">Tab. </w:t>
      </w:r>
      <w:fldSimple w:instr=" SEQ Tab. \* ARABIC ">
        <w:r w:rsidR="00017C65">
          <w:rPr>
            <w:noProof/>
          </w:rPr>
          <w:t>35</w:t>
        </w:r>
      </w:fldSimple>
      <w:r w:rsidRPr="00C02005">
        <w:t>. Zamówienia publiczne udzielane przez jednostki administracji rządowej z zastosowaniem art. 361 ust. 1 lub art. 392 ust. 3 ustawy Pzp</w:t>
      </w:r>
      <w:bookmarkEnd w:id="192"/>
      <w:bookmarkEnd w:id="19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361 ust. 1 lub art. 392 ust. 3 ustawy Pzp."/>
        <w:tblDescription w:val="Tabela. Zamówienia publiczne udzielane przez jednostki administracji rządowej z zastosowaniem art. 361 ust. 1 lub art. 392 ust. 3 ustawy Pzp."/>
      </w:tblPr>
      <w:tblGrid>
        <w:gridCol w:w="7225"/>
        <w:gridCol w:w="1837"/>
      </w:tblGrid>
      <w:tr w:rsidR="00F10708" w:rsidRPr="00FD623C" w14:paraId="2DC50016" w14:textId="77777777" w:rsidTr="00F10708">
        <w:trPr>
          <w:trHeight w:val="300"/>
          <w:jc w:val="center"/>
        </w:trPr>
        <w:tc>
          <w:tcPr>
            <w:tcW w:w="7225" w:type="dxa"/>
            <w:tcBorders>
              <w:bottom w:val="single" w:sz="4" w:space="0" w:color="auto"/>
            </w:tcBorders>
            <w:shd w:val="clear" w:color="auto" w:fill="DEEAF6"/>
            <w:noWrap/>
            <w:vAlign w:val="center"/>
          </w:tcPr>
          <w:p w14:paraId="4B907D5C" w14:textId="77777777" w:rsidR="00F10708" w:rsidRPr="00FD623C" w:rsidRDefault="00F10708" w:rsidP="00F10708">
            <w:pPr>
              <w:jc w:val="left"/>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udzielonych </w:t>
            </w:r>
            <w:r w:rsidRPr="00FD623C">
              <w:rPr>
                <w:rFonts w:eastAsia="Calibri" w:cs="Arial"/>
                <w:sz w:val="20"/>
                <w:szCs w:val="20"/>
              </w:rPr>
              <w:t xml:space="preserve">jako zamówienie zastrzeżone na usługi zdrowotne, społeczne lub kulturalne, o których mowa w </w:t>
            </w:r>
            <w:r w:rsidRPr="00E243E4">
              <w:rPr>
                <w:rFonts w:eastAsia="Calibri" w:cs="Arial"/>
                <w:sz w:val="20"/>
                <w:szCs w:val="20"/>
              </w:rPr>
              <w:t>art. 361 ust. 1 lub art. 392 ust. 3</w:t>
            </w:r>
            <w:r>
              <w:rPr>
                <w:rFonts w:eastAsia="Calibri" w:cs="Arial"/>
                <w:sz w:val="20"/>
                <w:szCs w:val="20"/>
              </w:rPr>
              <w:t xml:space="preserve"> </w:t>
            </w:r>
            <w:r w:rsidRPr="00FD623C">
              <w:rPr>
                <w:rFonts w:eastAsia="Calibri" w:cs="Arial"/>
                <w:sz w:val="20"/>
                <w:szCs w:val="20"/>
              </w:rPr>
              <w:t>ustawy Pzp</w:t>
            </w:r>
          </w:p>
        </w:tc>
        <w:tc>
          <w:tcPr>
            <w:tcW w:w="1837" w:type="dxa"/>
            <w:tcBorders>
              <w:bottom w:val="single" w:sz="4" w:space="0" w:color="auto"/>
            </w:tcBorders>
            <w:shd w:val="clear" w:color="auto" w:fill="DEEAF6"/>
            <w:vAlign w:val="center"/>
          </w:tcPr>
          <w:p w14:paraId="2061151E" w14:textId="4BD526DC" w:rsidR="00F10708" w:rsidRDefault="00F10708" w:rsidP="00F10708">
            <w:pPr>
              <w:jc w:val="center"/>
              <w:rPr>
                <w:rFonts w:cs="Arial"/>
                <w:sz w:val="20"/>
                <w:szCs w:val="20"/>
              </w:rPr>
            </w:pPr>
            <w:r>
              <w:rPr>
                <w:rFonts w:cs="Arial"/>
                <w:sz w:val="20"/>
                <w:szCs w:val="20"/>
              </w:rPr>
              <w:t>151</w:t>
            </w:r>
          </w:p>
        </w:tc>
      </w:tr>
      <w:tr w:rsidR="00F10708" w:rsidRPr="00FD623C" w14:paraId="1D2825ED" w14:textId="77777777" w:rsidTr="00F10708">
        <w:trPr>
          <w:trHeight w:val="300"/>
          <w:jc w:val="center"/>
        </w:trPr>
        <w:tc>
          <w:tcPr>
            <w:tcW w:w="7225" w:type="dxa"/>
            <w:noWrap/>
            <w:vAlign w:val="center"/>
          </w:tcPr>
          <w:p w14:paraId="79A12A40" w14:textId="77777777" w:rsidR="00F10708" w:rsidRPr="00FD623C" w:rsidRDefault="00F10708" w:rsidP="00F10708">
            <w:pPr>
              <w:jc w:val="left"/>
              <w:rPr>
                <w:rFonts w:eastAsia="Calibri" w:cs="Arial"/>
                <w:sz w:val="20"/>
                <w:szCs w:val="20"/>
              </w:rPr>
            </w:pPr>
            <w:r w:rsidRPr="00FD623C">
              <w:rPr>
                <w:rFonts w:cs="Arial"/>
                <w:bCs/>
                <w:sz w:val="20"/>
                <w:szCs w:val="20"/>
              </w:rPr>
              <w:t>Liczba zamawiających, którzy udzielili zamówień zastrzeżonych</w:t>
            </w:r>
            <w:r>
              <w:rPr>
                <w:rFonts w:cs="Arial"/>
                <w:bCs/>
                <w:sz w:val="20"/>
                <w:szCs w:val="20"/>
              </w:rPr>
              <w:t xml:space="preserve"> </w:t>
            </w:r>
            <w:r w:rsidRPr="00FD623C">
              <w:rPr>
                <w:rFonts w:eastAsia="Calibri" w:cs="Arial"/>
                <w:sz w:val="20"/>
                <w:szCs w:val="20"/>
              </w:rPr>
              <w:t xml:space="preserve">na usługi zdrowotne, społeczne lub kulturalne, o których mowa w </w:t>
            </w:r>
            <w:r w:rsidRPr="00E243E4">
              <w:rPr>
                <w:rFonts w:eastAsia="Calibri" w:cs="Arial"/>
                <w:sz w:val="20"/>
                <w:szCs w:val="20"/>
              </w:rPr>
              <w:t>art. 361 ust. 1 lub art. 392 ust. 3</w:t>
            </w:r>
            <w:r>
              <w:rPr>
                <w:rFonts w:eastAsia="Calibri" w:cs="Arial"/>
                <w:sz w:val="20"/>
                <w:szCs w:val="20"/>
              </w:rPr>
              <w:t xml:space="preserve"> </w:t>
            </w:r>
            <w:r w:rsidRPr="00FD623C">
              <w:rPr>
                <w:rFonts w:eastAsia="Calibri" w:cs="Arial"/>
                <w:sz w:val="20"/>
                <w:szCs w:val="20"/>
              </w:rPr>
              <w:t>ustawy Pzp</w:t>
            </w:r>
          </w:p>
        </w:tc>
        <w:tc>
          <w:tcPr>
            <w:tcW w:w="1837" w:type="dxa"/>
            <w:vAlign w:val="center"/>
          </w:tcPr>
          <w:p w14:paraId="4238D345" w14:textId="4B40A8FA" w:rsidR="00F10708" w:rsidRDefault="00F10708" w:rsidP="00F10708">
            <w:pPr>
              <w:jc w:val="center"/>
              <w:rPr>
                <w:rFonts w:cs="Arial"/>
                <w:sz w:val="20"/>
                <w:szCs w:val="20"/>
              </w:rPr>
            </w:pPr>
            <w:r>
              <w:rPr>
                <w:rFonts w:cs="Arial"/>
                <w:sz w:val="20"/>
                <w:szCs w:val="20"/>
              </w:rPr>
              <w:t>65</w:t>
            </w:r>
          </w:p>
        </w:tc>
      </w:tr>
      <w:tr w:rsidR="00F10708" w:rsidRPr="00FD623C" w14:paraId="3000745A" w14:textId="77777777" w:rsidTr="00F10708">
        <w:trPr>
          <w:trHeight w:val="300"/>
          <w:jc w:val="center"/>
        </w:trPr>
        <w:tc>
          <w:tcPr>
            <w:tcW w:w="7225" w:type="dxa"/>
            <w:tcBorders>
              <w:bottom w:val="single" w:sz="4" w:space="0" w:color="auto"/>
            </w:tcBorders>
            <w:shd w:val="clear" w:color="auto" w:fill="DEEAF6" w:themeFill="accent1" w:themeFillTint="33"/>
            <w:noWrap/>
            <w:vAlign w:val="center"/>
            <w:hideMark/>
          </w:tcPr>
          <w:p w14:paraId="2843AAC0" w14:textId="77777777" w:rsidR="00F10708" w:rsidRPr="00FD623C" w:rsidRDefault="00F10708" w:rsidP="00F10708">
            <w:pPr>
              <w:jc w:val="left"/>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udzielonych </w:t>
            </w:r>
            <w:r w:rsidRPr="00FD623C">
              <w:rPr>
                <w:rFonts w:eastAsia="Calibri" w:cs="Arial"/>
                <w:sz w:val="20"/>
                <w:szCs w:val="20"/>
              </w:rPr>
              <w:t xml:space="preserve">jako zamówienie zastrzeżone na usługi zdrowotne, społeczne lub kulturalne, o których mowa w </w:t>
            </w:r>
            <w:r w:rsidRPr="00E243E4">
              <w:rPr>
                <w:rFonts w:eastAsia="Calibri" w:cs="Arial"/>
                <w:sz w:val="20"/>
                <w:szCs w:val="20"/>
              </w:rPr>
              <w:t>art. 361 ust. 1 lub art. 392 ust. 3</w:t>
            </w:r>
            <w:r>
              <w:rPr>
                <w:rFonts w:eastAsia="Calibri" w:cs="Arial"/>
                <w:sz w:val="20"/>
                <w:szCs w:val="20"/>
              </w:rPr>
              <w:t xml:space="preserve"> </w:t>
            </w:r>
            <w:r w:rsidRPr="00FD623C">
              <w:rPr>
                <w:rFonts w:eastAsia="Calibri" w:cs="Arial"/>
                <w:sz w:val="20"/>
                <w:szCs w:val="20"/>
              </w:rPr>
              <w:t>ustawy Pzp</w:t>
            </w:r>
          </w:p>
        </w:tc>
        <w:tc>
          <w:tcPr>
            <w:tcW w:w="1837" w:type="dxa"/>
            <w:tcBorders>
              <w:bottom w:val="single" w:sz="4" w:space="0" w:color="auto"/>
            </w:tcBorders>
            <w:shd w:val="clear" w:color="auto" w:fill="DEEAF6" w:themeFill="accent1" w:themeFillTint="33"/>
            <w:vAlign w:val="center"/>
          </w:tcPr>
          <w:p w14:paraId="0A9F5D9C" w14:textId="77777777" w:rsidR="00F10708" w:rsidRDefault="00F10708" w:rsidP="00F10708">
            <w:pPr>
              <w:jc w:val="center"/>
              <w:rPr>
                <w:rFonts w:cs="Arial"/>
                <w:sz w:val="20"/>
                <w:szCs w:val="20"/>
              </w:rPr>
            </w:pPr>
            <w:r w:rsidRPr="00D16B88">
              <w:rPr>
                <w:rFonts w:cs="Arial"/>
                <w:sz w:val="20"/>
                <w:szCs w:val="20"/>
              </w:rPr>
              <w:t>186</w:t>
            </w:r>
            <w:r>
              <w:rPr>
                <w:rFonts w:cs="Arial"/>
                <w:sz w:val="20"/>
                <w:szCs w:val="20"/>
              </w:rPr>
              <w:t xml:space="preserve"> </w:t>
            </w:r>
            <w:r w:rsidRPr="00D16B88">
              <w:rPr>
                <w:rFonts w:cs="Arial"/>
                <w:sz w:val="20"/>
                <w:szCs w:val="20"/>
              </w:rPr>
              <w:t>930</w:t>
            </w:r>
            <w:r>
              <w:rPr>
                <w:rFonts w:cs="Arial"/>
                <w:sz w:val="20"/>
                <w:szCs w:val="20"/>
              </w:rPr>
              <w:t xml:space="preserve"> </w:t>
            </w:r>
            <w:r w:rsidRPr="00D16B88">
              <w:rPr>
                <w:rFonts w:cs="Arial"/>
                <w:sz w:val="20"/>
                <w:szCs w:val="20"/>
              </w:rPr>
              <w:t>136,13</w:t>
            </w:r>
            <w:r>
              <w:rPr>
                <w:rFonts w:cs="Arial"/>
                <w:sz w:val="20"/>
                <w:szCs w:val="20"/>
              </w:rPr>
              <w:t xml:space="preserve"> </w:t>
            </w:r>
            <w:r w:rsidRPr="00513B44">
              <w:rPr>
                <w:rFonts w:cs="Arial"/>
                <w:sz w:val="20"/>
                <w:szCs w:val="20"/>
              </w:rPr>
              <w:t>zł</w:t>
            </w:r>
          </w:p>
          <w:p w14:paraId="43C76974" w14:textId="1ED6D489" w:rsidR="00F10708" w:rsidRPr="00D4198E" w:rsidRDefault="00F10708" w:rsidP="00F10708">
            <w:pPr>
              <w:jc w:val="center"/>
              <w:rPr>
                <w:rFonts w:cs="Arial"/>
                <w:sz w:val="20"/>
                <w:szCs w:val="20"/>
              </w:rPr>
            </w:pPr>
            <w:r w:rsidRPr="00FD623C">
              <w:rPr>
                <w:rFonts w:cs="Arial"/>
                <w:sz w:val="20"/>
                <w:szCs w:val="20"/>
              </w:rPr>
              <w:t>(wartość bez VAT)</w:t>
            </w:r>
          </w:p>
        </w:tc>
      </w:tr>
    </w:tbl>
    <w:p w14:paraId="798ABD5D" w14:textId="37EA1AC4" w:rsidR="00EA7646" w:rsidRPr="006C3413" w:rsidRDefault="00EA7646" w:rsidP="008B06C3">
      <w:pPr>
        <w:pStyle w:val="Legenda"/>
        <w:spacing w:before="240"/>
      </w:pPr>
      <w:bookmarkStart w:id="194" w:name="_Toc141276498"/>
      <w:bookmarkStart w:id="195" w:name="_Toc203993362"/>
      <w:bookmarkStart w:id="196" w:name="_Toc233203356"/>
      <w:r w:rsidRPr="000A32F4">
        <w:lastRenderedPageBreak/>
        <w:t xml:space="preserve">Rys. </w:t>
      </w:r>
      <w:fldSimple w:instr=" SEQ Rys. \* ARABIC ">
        <w:r w:rsidR="00017C65">
          <w:rPr>
            <w:noProof/>
          </w:rPr>
          <w:t>35</w:t>
        </w:r>
      </w:fldSimple>
      <w:r w:rsidRPr="000A32F4">
        <w:t>. Liczba zamówień udzielonych przez jednostki administracji rządowej, w których zastosowano odpowiednie</w:t>
      </w:r>
      <w:r w:rsidRPr="00DA1EE9">
        <w:t xml:space="preserve"> aspekty </w:t>
      </w:r>
      <w:r>
        <w:t>społeczne</w:t>
      </w:r>
      <w:bookmarkEnd w:id="194"/>
      <w:bookmarkEnd w:id="195"/>
      <w:bookmarkEnd w:id="196"/>
    </w:p>
    <w:p w14:paraId="2B5D23E9" w14:textId="6286ADA8" w:rsidR="00F9610A" w:rsidRDefault="00EA7646" w:rsidP="00831C81">
      <w:pPr>
        <w:pStyle w:val="StylArial11ptWyjustowany"/>
        <w:shd w:val="clear" w:color="auto" w:fill="FFFFFF"/>
        <w:spacing w:before="240" w:line="360" w:lineRule="auto"/>
        <w:jc w:val="left"/>
        <w:rPr>
          <w:rFonts w:cs="Arial"/>
          <w:iCs/>
          <w:szCs w:val="22"/>
        </w:rPr>
      </w:pPr>
      <w:r w:rsidRPr="00B52DB2">
        <w:rPr>
          <w:rFonts w:cs="Arial"/>
          <w:noProof/>
          <w:color w:val="FF0000"/>
        </w:rPr>
        <w:drawing>
          <wp:inline distT="0" distB="0" distL="0" distR="0" wp14:anchorId="63C0DFCB" wp14:editId="1BB60CF4">
            <wp:extent cx="5095875" cy="6362700"/>
            <wp:effectExtent l="0" t="0" r="9525" b="0"/>
            <wp:docPr id="11" name="Wykres 11" descr="Liczba zamówień udzielonych przez jednostki administracji rządowej, w których zastosowano odpowiednie aspekty społeczne" title="Liczba zamówień udzielonych przez jednostki administracji rządowej, w których zastosowano odpowiednie aspekty społeczne"/>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65234C8" w14:textId="5A40240D" w:rsidR="00EA7646" w:rsidRPr="007D78E8" w:rsidRDefault="00EA7646" w:rsidP="00C92D1C">
      <w:pPr>
        <w:pStyle w:val="Legenda"/>
        <w:spacing w:before="240"/>
      </w:pPr>
      <w:bookmarkStart w:id="197" w:name="_Toc141276499"/>
      <w:bookmarkStart w:id="198" w:name="_Toc203993363"/>
      <w:bookmarkStart w:id="199" w:name="_Toc233203357"/>
      <w:r w:rsidRPr="00466B4B">
        <w:lastRenderedPageBreak/>
        <w:t xml:space="preserve">Rys. </w:t>
      </w:r>
      <w:fldSimple w:instr=" SEQ Rys. \* ARABIC ">
        <w:r w:rsidR="00017C65">
          <w:rPr>
            <w:noProof/>
          </w:rPr>
          <w:t>36</w:t>
        </w:r>
      </w:fldSimple>
      <w:r w:rsidRPr="00466B4B">
        <w:t xml:space="preserve">. </w:t>
      </w:r>
      <w:r>
        <w:t>Wartość</w:t>
      </w:r>
      <w:r w:rsidRPr="00466B4B">
        <w:t xml:space="preserve"> zamówień udzielonych przez jednostki administracji rządowej, w których zastosowano odpowiednie</w:t>
      </w:r>
      <w:r w:rsidRPr="00DA1EE9">
        <w:t xml:space="preserve"> aspekty </w:t>
      </w:r>
      <w:r>
        <w:t>społeczne</w:t>
      </w:r>
      <w:bookmarkEnd w:id="197"/>
      <w:bookmarkEnd w:id="198"/>
      <w:bookmarkEnd w:id="199"/>
    </w:p>
    <w:p w14:paraId="7CB4276D" w14:textId="0CFF0C66" w:rsidR="00EA7646" w:rsidRDefault="000D4ABE" w:rsidP="00831C81">
      <w:pPr>
        <w:pStyle w:val="StylArial11ptWyjustowany"/>
        <w:shd w:val="clear" w:color="auto" w:fill="FFFFFF"/>
        <w:spacing w:before="240" w:line="360" w:lineRule="auto"/>
        <w:jc w:val="left"/>
        <w:rPr>
          <w:rFonts w:cs="Arial"/>
          <w:iCs/>
          <w:szCs w:val="22"/>
        </w:rPr>
      </w:pPr>
      <w:r w:rsidRPr="008265F9">
        <w:rPr>
          <w:rFonts w:cs="Arial"/>
          <w:noProof/>
          <w:color w:val="FF0000"/>
        </w:rPr>
        <w:drawing>
          <wp:inline distT="0" distB="0" distL="0" distR="0" wp14:anchorId="2F8B52FD" wp14:editId="453B6E65">
            <wp:extent cx="5532120" cy="6568440"/>
            <wp:effectExtent l="0" t="0" r="11430" b="3810"/>
            <wp:docPr id="12" name="Wykres 12" descr="Wartość zamówień udzielonych przez jednostki administracji rządowej, w których zastosowano odpowiednie aspekty społeczne" title="Wartość zamówień udzielonych przez jednostki administracji rządowej, w których zastosowano odpowiednie aspekty społeczne"/>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65F8597" w14:textId="77777777" w:rsidR="00594E18" w:rsidRPr="00594E18" w:rsidRDefault="00594E18" w:rsidP="00594E18">
      <w:pPr>
        <w:pStyle w:val="StylArial11ptWyjustowany"/>
        <w:shd w:val="clear" w:color="auto" w:fill="FFFFFF"/>
        <w:spacing w:before="240" w:line="360" w:lineRule="auto"/>
        <w:jc w:val="left"/>
        <w:rPr>
          <w:rFonts w:cs="Arial"/>
          <w:iCs/>
          <w:szCs w:val="22"/>
        </w:rPr>
      </w:pPr>
      <w:r w:rsidRPr="00594E18">
        <w:rPr>
          <w:rFonts w:cs="Arial"/>
          <w:iCs/>
          <w:szCs w:val="22"/>
        </w:rPr>
        <w:t xml:space="preserve">Zamawiający sektora rządowego zastosowali wymóg zatrudnienia przy realizacji zamówienia na podstawie stosunku pracy w przeważającej większości społecznych zamówień publicznych udzielonych przez nich w 2025 roku. Ten aspekt przełożył się również na największą wartość społecznych zamówień publicznych. W tym zakresie w odniesieniu do liczby zamówień nastąpił wzrost o 233 zamówienia, ale jednocześnie spadek wartości zamówień z tym aspektem - o ok. 3,1 mld zł (bez podatku od towarów i usług). Drugim </w:t>
      </w:r>
      <w:r w:rsidRPr="00594E18">
        <w:rPr>
          <w:rFonts w:cs="Arial"/>
          <w:iCs/>
          <w:szCs w:val="22"/>
        </w:rPr>
        <w:lastRenderedPageBreak/>
        <w:t xml:space="preserve">najczęściej stosowanym instrumentem było odwołanie się w opisie przedmiotu zamówienia do kwestii dostępności dla osób z niepełnosprawnościami i projektowania dla wszystkich użytkowników (art. 100 ustawy Pzp). W przypadku tego instrumentu wzrosła liczba zamówień – o 119 zamówień. Jednak w zakresie wartości takich zamówień odnotowano spadek – o ponad 1,6 mld zł w porównaniu do roku 2024. Popularność tych instrumentów społecznych oraz częstotliwość ich zastosowania w udzielonych zamówieniach wynika przede wszystkim z ich obligatoryjnego charakteru. </w:t>
      </w:r>
    </w:p>
    <w:p w14:paraId="2C2C1F47" w14:textId="3D84BE22" w:rsidR="00594E18" w:rsidRPr="00594E18" w:rsidRDefault="00594E18" w:rsidP="00594E18">
      <w:pPr>
        <w:pStyle w:val="StylArial11ptWyjustowany"/>
        <w:shd w:val="clear" w:color="auto" w:fill="FFFFFF"/>
        <w:spacing w:before="120" w:line="360" w:lineRule="auto"/>
        <w:jc w:val="left"/>
        <w:rPr>
          <w:rFonts w:cs="Arial"/>
          <w:iCs/>
          <w:szCs w:val="22"/>
        </w:rPr>
      </w:pPr>
      <w:r w:rsidRPr="00594E18">
        <w:rPr>
          <w:rFonts w:cs="Arial"/>
          <w:iCs/>
          <w:szCs w:val="22"/>
        </w:rPr>
        <w:t>Na trzecim miejscu pod względem liczby zamówień znalazły się społeczne kryteria oceny ofert (na podstawie art. 242 ust. 2 ustawy Pzp). Jednak w przypadku tego aspektu społecznego odnotowano spadek liczby zamówień, w których go uwzględniono w</w:t>
      </w:r>
      <w:r w:rsidR="00BD0596">
        <w:rPr>
          <w:rFonts w:cs="Arial"/>
          <w:iCs/>
          <w:szCs w:val="22"/>
        </w:rPr>
        <w:t> </w:t>
      </w:r>
      <w:r w:rsidRPr="00594E18">
        <w:rPr>
          <w:rFonts w:cs="Arial"/>
          <w:iCs/>
          <w:szCs w:val="22"/>
        </w:rPr>
        <w:t>porównaniu do 2024 roku – o 33 zamówienia. Przełożyło się to również na wartość zamówień z zastosowaniem tego aspektu, która była niższa w porównaniu do 2024 roku o blisko 210 mln zł. Popularność tego rozwiązania może częściowo wynikać z nałożonych na zamawiających zobowiązań do stosowania innych niż cena kryteriów oceny ofert (art. 246 ust. 2 ustawy Pzp). Biorąc pod uwagę liczbę udzielonych zamówień publicznych, na czwartym miejscu sklasyfikowano określenie wymagań związanych z realizacją zamówienia obejmujących aspekty społeczne związane z zatrudnieniem (art. 96 ust. 1). W porównaniu do roku 2024 w zakresie stosowania tego instrumentu odnotowano spadek liczby zamówień o 89 przypadków, ale znaczny wzrost wartości takich zamówień - o ok. 1,37 mld zł.</w:t>
      </w:r>
      <w:r w:rsidR="00326395">
        <w:rPr>
          <w:rFonts w:cs="Arial"/>
          <w:iCs/>
          <w:szCs w:val="22"/>
        </w:rPr>
        <w:t xml:space="preserve"> </w:t>
      </w:r>
    </w:p>
    <w:p w14:paraId="4F759309" w14:textId="1A60F5B0" w:rsidR="00594E18" w:rsidRDefault="00594E18" w:rsidP="00594E18">
      <w:pPr>
        <w:pStyle w:val="StylArial11ptWyjustowany"/>
        <w:shd w:val="clear" w:color="auto" w:fill="FFFFFF"/>
        <w:spacing w:before="120" w:line="360" w:lineRule="auto"/>
        <w:jc w:val="left"/>
        <w:rPr>
          <w:rFonts w:cs="Arial"/>
          <w:iCs/>
          <w:szCs w:val="22"/>
        </w:rPr>
      </w:pPr>
      <w:r w:rsidRPr="00594E18">
        <w:rPr>
          <w:rFonts w:cs="Arial"/>
          <w:iCs/>
          <w:szCs w:val="22"/>
        </w:rPr>
        <w:t>Zastosowanie pozostałych aspektów społecznych dotyczyło jedynie niewielkiej liczby zamówień publicznych. Najrzadziej stosowaną klauzulą społeczną pozostało uprawnienie zamawiających do ograniczenia możliwości ubiegania się o zamówienie do określonej grupy podmiotów na podstawie art. 94 ust. 1 ustawy Pzp. Jednostki administracji rządowej udzieliły w 2025 r. jedynie 26 tego rodzaju zamówień, co oznacza spadek w porównaniu do roku 2024 o</w:t>
      </w:r>
      <w:r w:rsidR="00BD0596">
        <w:rPr>
          <w:rFonts w:cs="Arial"/>
          <w:iCs/>
          <w:szCs w:val="22"/>
        </w:rPr>
        <w:t> </w:t>
      </w:r>
      <w:r w:rsidRPr="00594E18">
        <w:rPr>
          <w:rFonts w:cs="Arial"/>
          <w:iCs/>
          <w:szCs w:val="22"/>
        </w:rPr>
        <w:t>17 zamówień.</w:t>
      </w:r>
      <w:r w:rsidR="00326395">
        <w:rPr>
          <w:rFonts w:cs="Arial"/>
          <w:iCs/>
          <w:szCs w:val="22"/>
        </w:rPr>
        <w:t xml:space="preserve"> </w:t>
      </w:r>
      <w:r w:rsidRPr="00594E18">
        <w:rPr>
          <w:rFonts w:cs="Arial"/>
          <w:iCs/>
          <w:szCs w:val="22"/>
        </w:rPr>
        <w:t xml:space="preserve">Spadła także wartość tego rodzaju zamówień - o niespełna 1 mln zł (bez podatku od towarów i usług). Spadek liczby zamówień udzielonych w 2025 roku odnotowano również w przypadku zastosowania dodatkowego reżimu zamówień zastrzeżonych na podstawie art. 361 ust. 1 ustawy Pzp – o 8 zamówień. Wzrosła jednak wartość tego rodzaju zamówień o blisko 56 mln zł. Spadła również liczba zamówień, w ramach których określono etykietę związaną z aspektami społecznymi zgodnie z art. 104 ustawy Pzp – o 16 przypadków. W 2025 r. odnotowano jednak wzrost wartości tych zamówień o ok. 26,5 mln zł (bez podatku od towarów i usług). </w:t>
      </w:r>
    </w:p>
    <w:p w14:paraId="66DE5186" w14:textId="1B49CF84" w:rsidR="00926B30" w:rsidRPr="00EA4A33" w:rsidRDefault="00926B30" w:rsidP="00926B30">
      <w:pPr>
        <w:shd w:val="clear" w:color="auto" w:fill="FFFFFF"/>
        <w:spacing w:before="120" w:line="360" w:lineRule="auto"/>
        <w:jc w:val="left"/>
        <w:rPr>
          <w:rFonts w:cs="Arial"/>
          <w:i/>
          <w:szCs w:val="22"/>
        </w:rPr>
      </w:pPr>
      <w:r w:rsidRPr="0049704B">
        <w:rPr>
          <w:rFonts w:cs="Arial"/>
          <w:i/>
          <w:szCs w:val="22"/>
        </w:rPr>
        <w:t xml:space="preserve">Dane dotyczące zamówień udzielonych przez jednostki administracji rządowej, w których zastosowano odpowiednie instrumenty prospołeczne, przedstawiono w </w:t>
      </w:r>
      <w:hyperlink w:anchor="_Załącznik_nr_5." w:history="1">
        <w:r w:rsidRPr="0049704B">
          <w:rPr>
            <w:rStyle w:val="Hipercze"/>
            <w:rFonts w:cs="Arial"/>
            <w:i/>
            <w:szCs w:val="22"/>
          </w:rPr>
          <w:t xml:space="preserve">załączniku nr </w:t>
        </w:r>
        <w:r w:rsidR="005B2C67">
          <w:rPr>
            <w:rStyle w:val="Hipercze"/>
            <w:rFonts w:cs="Arial"/>
            <w:i/>
            <w:szCs w:val="22"/>
          </w:rPr>
          <w:t>4</w:t>
        </w:r>
      </w:hyperlink>
      <w:r w:rsidRPr="0049704B">
        <w:rPr>
          <w:rFonts w:cs="Arial"/>
          <w:i/>
          <w:szCs w:val="22"/>
        </w:rPr>
        <w:t xml:space="preserve"> do niniejszego Sprawozdania.</w:t>
      </w:r>
      <w:r w:rsidRPr="00EA4A33">
        <w:rPr>
          <w:rFonts w:cs="Arial"/>
          <w:i/>
          <w:szCs w:val="22"/>
        </w:rPr>
        <w:t xml:space="preserve"> </w:t>
      </w:r>
    </w:p>
    <w:p w14:paraId="060BA082" w14:textId="49078260" w:rsidR="008935C7" w:rsidRDefault="00AC5FEC" w:rsidP="00852522">
      <w:pPr>
        <w:pStyle w:val="Nagwek4"/>
      </w:pPr>
      <w:r>
        <w:lastRenderedPageBreak/>
        <w:t xml:space="preserve">4.2. </w:t>
      </w:r>
      <w:r w:rsidR="008935C7" w:rsidRPr="008935C7">
        <w:t>Zielone zamówienia publiczne</w:t>
      </w:r>
      <w:r w:rsidR="008935C7">
        <w:t xml:space="preserve"> udzielane przez </w:t>
      </w:r>
      <w:r w:rsidR="008935C7" w:rsidRPr="008935C7">
        <w:t>jednostki administracji rządowej</w:t>
      </w:r>
    </w:p>
    <w:p w14:paraId="60D8B1AB" w14:textId="3646CEBA" w:rsidR="00090F90" w:rsidRPr="00A232C4" w:rsidRDefault="00090F90" w:rsidP="006C14EB">
      <w:pPr>
        <w:pStyle w:val="Legenda"/>
      </w:pPr>
      <w:bookmarkStart w:id="200" w:name="_Toc141276558"/>
      <w:bookmarkStart w:id="201" w:name="_Toc233203408"/>
      <w:r w:rsidRPr="001612F1">
        <w:t xml:space="preserve">Tab. </w:t>
      </w:r>
      <w:fldSimple w:instr=" SEQ Tab. \* ARABIC ">
        <w:r w:rsidR="00017C65">
          <w:rPr>
            <w:noProof/>
          </w:rPr>
          <w:t>36</w:t>
        </w:r>
      </w:fldSimple>
      <w:r w:rsidRPr="001612F1">
        <w:t>. Zielone zamówienia publiczne udzielane przez jednostki administracji rządowej w 202</w:t>
      </w:r>
      <w:r w:rsidR="005B7C4F">
        <w:t>5</w:t>
      </w:r>
      <w:r w:rsidRPr="001612F1">
        <w:t xml:space="preserve"> r.</w:t>
      </w:r>
      <w:r>
        <w:t xml:space="preserve"> </w:t>
      </w:r>
      <w:r w:rsidRPr="001612F1">
        <w:t>– dane ogólne</w:t>
      </w:r>
      <w:bookmarkEnd w:id="200"/>
      <w:bookmarkEnd w:id="20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w 2025 r. – dane ogólne."/>
        <w:tblDescription w:val="Tabela. Zielone zamówienia publiczne udzielane przez jednostki administracji rządowej w 2025 r. – dane ogólne."/>
      </w:tblPr>
      <w:tblGrid>
        <w:gridCol w:w="6941"/>
        <w:gridCol w:w="2121"/>
      </w:tblGrid>
      <w:tr w:rsidR="00090F90" w:rsidRPr="00487C10" w14:paraId="74A6CE7A" w14:textId="77777777" w:rsidTr="00293687">
        <w:trPr>
          <w:trHeight w:val="300"/>
          <w:tblHeader/>
          <w:jc w:val="center"/>
        </w:trPr>
        <w:tc>
          <w:tcPr>
            <w:tcW w:w="9062" w:type="dxa"/>
            <w:gridSpan w:val="2"/>
            <w:shd w:val="clear" w:color="auto" w:fill="C5E0B3"/>
            <w:noWrap/>
            <w:vAlign w:val="center"/>
            <w:hideMark/>
          </w:tcPr>
          <w:p w14:paraId="560E10C9" w14:textId="77777777" w:rsidR="00090F90" w:rsidRPr="00487C10" w:rsidRDefault="00090F90" w:rsidP="00AF69D2">
            <w:pPr>
              <w:jc w:val="center"/>
              <w:rPr>
                <w:rFonts w:cs="Arial"/>
                <w:b/>
                <w:sz w:val="20"/>
                <w:szCs w:val="20"/>
              </w:rPr>
            </w:pPr>
            <w:r w:rsidRPr="00487C10">
              <w:rPr>
                <w:rFonts w:cs="Arial"/>
                <w:b/>
                <w:sz w:val="20"/>
                <w:szCs w:val="20"/>
              </w:rPr>
              <w:t>DANE OGÓLNE</w:t>
            </w:r>
          </w:p>
        </w:tc>
      </w:tr>
      <w:tr w:rsidR="009F658B" w:rsidRPr="00487C10" w14:paraId="3F0D66FA" w14:textId="77777777" w:rsidTr="00293687">
        <w:trPr>
          <w:trHeight w:val="300"/>
          <w:jc w:val="center"/>
        </w:trPr>
        <w:tc>
          <w:tcPr>
            <w:tcW w:w="6941" w:type="dxa"/>
            <w:noWrap/>
            <w:vAlign w:val="center"/>
            <w:hideMark/>
          </w:tcPr>
          <w:p w14:paraId="3E4C07E5" w14:textId="77777777" w:rsidR="009F658B" w:rsidRPr="00487C10" w:rsidRDefault="009F658B" w:rsidP="009F658B">
            <w:pPr>
              <w:jc w:val="left"/>
              <w:rPr>
                <w:rFonts w:cs="Arial"/>
                <w:bCs/>
                <w:sz w:val="20"/>
                <w:szCs w:val="20"/>
              </w:rPr>
            </w:pPr>
            <w:r w:rsidRPr="00487C10">
              <w:rPr>
                <w:rFonts w:cs="Arial"/>
                <w:bCs/>
                <w:sz w:val="20"/>
                <w:szCs w:val="20"/>
              </w:rPr>
              <w:t xml:space="preserve">Liczba zamawiających, którzy udzielili zamówień publicznych o charakterze środowiskowym </w:t>
            </w:r>
          </w:p>
        </w:tc>
        <w:tc>
          <w:tcPr>
            <w:tcW w:w="2121" w:type="dxa"/>
            <w:noWrap/>
            <w:vAlign w:val="center"/>
          </w:tcPr>
          <w:p w14:paraId="05D7B37D" w14:textId="2442E8CA" w:rsidR="009F658B" w:rsidRPr="00487C10" w:rsidRDefault="009F658B" w:rsidP="009F658B">
            <w:pPr>
              <w:jc w:val="center"/>
              <w:rPr>
                <w:rFonts w:cs="Arial"/>
                <w:sz w:val="20"/>
                <w:szCs w:val="20"/>
              </w:rPr>
            </w:pPr>
            <w:r w:rsidRPr="00CA528C">
              <w:rPr>
                <w:rFonts w:cs="Arial"/>
                <w:sz w:val="20"/>
                <w:szCs w:val="20"/>
              </w:rPr>
              <w:t>134</w:t>
            </w:r>
          </w:p>
        </w:tc>
      </w:tr>
      <w:tr w:rsidR="009F658B" w:rsidRPr="00487C10" w14:paraId="535088AF" w14:textId="77777777" w:rsidTr="00293687">
        <w:trPr>
          <w:trHeight w:val="300"/>
          <w:jc w:val="center"/>
        </w:trPr>
        <w:tc>
          <w:tcPr>
            <w:tcW w:w="6941" w:type="dxa"/>
            <w:shd w:val="clear" w:color="auto" w:fill="E2EFD9"/>
            <w:noWrap/>
            <w:vAlign w:val="center"/>
          </w:tcPr>
          <w:p w14:paraId="003450E0" w14:textId="77777777" w:rsidR="009F658B" w:rsidRPr="00487C10" w:rsidRDefault="009F658B" w:rsidP="009F658B">
            <w:pPr>
              <w:jc w:val="left"/>
              <w:rPr>
                <w:rFonts w:cs="Arial"/>
                <w:bCs/>
                <w:sz w:val="20"/>
                <w:szCs w:val="20"/>
              </w:rPr>
            </w:pPr>
            <w:r w:rsidRPr="00487C10">
              <w:rPr>
                <w:rFonts w:cs="Arial"/>
                <w:bCs/>
                <w:sz w:val="20"/>
                <w:szCs w:val="20"/>
              </w:rPr>
              <w:t xml:space="preserve">Liczba </w:t>
            </w:r>
            <w:r w:rsidRPr="00487C10">
              <w:rPr>
                <w:rFonts w:cs="Arial"/>
                <w:sz w:val="20"/>
                <w:szCs w:val="20"/>
              </w:rPr>
              <w:t>udzielonych zamówień uwzględniających aspekty środowiskowe</w:t>
            </w:r>
          </w:p>
        </w:tc>
        <w:tc>
          <w:tcPr>
            <w:tcW w:w="2121" w:type="dxa"/>
            <w:shd w:val="clear" w:color="auto" w:fill="E2EFD9"/>
            <w:noWrap/>
            <w:vAlign w:val="center"/>
          </w:tcPr>
          <w:p w14:paraId="720F62DC" w14:textId="35E958C3" w:rsidR="009F658B" w:rsidRPr="00487C10" w:rsidRDefault="009F658B" w:rsidP="009F658B">
            <w:pPr>
              <w:jc w:val="center"/>
              <w:rPr>
                <w:rFonts w:cs="Arial"/>
                <w:sz w:val="20"/>
                <w:szCs w:val="20"/>
              </w:rPr>
            </w:pPr>
            <w:r w:rsidRPr="00CA528C">
              <w:rPr>
                <w:rFonts w:cs="Arial"/>
                <w:sz w:val="20"/>
                <w:szCs w:val="20"/>
              </w:rPr>
              <w:t>946</w:t>
            </w:r>
          </w:p>
        </w:tc>
      </w:tr>
      <w:tr w:rsidR="009F658B" w:rsidRPr="00487C10" w14:paraId="1D44F177" w14:textId="77777777" w:rsidTr="00F9610A">
        <w:trPr>
          <w:trHeight w:val="300"/>
          <w:jc w:val="center"/>
        </w:trPr>
        <w:tc>
          <w:tcPr>
            <w:tcW w:w="6941" w:type="dxa"/>
            <w:noWrap/>
            <w:vAlign w:val="center"/>
            <w:hideMark/>
          </w:tcPr>
          <w:p w14:paraId="5398860D" w14:textId="77777777" w:rsidR="009F658B" w:rsidRPr="00487C10" w:rsidRDefault="009F658B" w:rsidP="009F658B">
            <w:pPr>
              <w:jc w:val="left"/>
              <w:rPr>
                <w:rFonts w:cs="Arial"/>
                <w:bCs/>
                <w:sz w:val="20"/>
                <w:szCs w:val="20"/>
              </w:rPr>
            </w:pPr>
            <w:r w:rsidRPr="00487C10">
              <w:rPr>
                <w:rFonts w:cs="Arial"/>
                <w:bCs/>
                <w:sz w:val="20"/>
                <w:szCs w:val="20"/>
              </w:rPr>
              <w:t xml:space="preserve">Wartość </w:t>
            </w:r>
            <w:r w:rsidRPr="00487C10">
              <w:rPr>
                <w:rFonts w:cs="Arial"/>
                <w:sz w:val="20"/>
                <w:szCs w:val="20"/>
              </w:rPr>
              <w:t>udzielonych zamówień uwzględniających aspekty środowiskowe</w:t>
            </w:r>
          </w:p>
        </w:tc>
        <w:tc>
          <w:tcPr>
            <w:tcW w:w="2121" w:type="dxa"/>
            <w:noWrap/>
            <w:vAlign w:val="center"/>
          </w:tcPr>
          <w:p w14:paraId="53FF0056" w14:textId="77777777" w:rsidR="009F658B" w:rsidRPr="00CA528C" w:rsidRDefault="009F658B" w:rsidP="009F658B">
            <w:pPr>
              <w:jc w:val="center"/>
              <w:rPr>
                <w:rFonts w:cs="Arial"/>
                <w:sz w:val="20"/>
                <w:szCs w:val="20"/>
              </w:rPr>
            </w:pPr>
            <w:r w:rsidRPr="00CA528C">
              <w:rPr>
                <w:rFonts w:cs="Arial"/>
                <w:color w:val="000000"/>
                <w:sz w:val="20"/>
                <w:szCs w:val="20"/>
              </w:rPr>
              <w:t xml:space="preserve">3 853 742 963,50 </w:t>
            </w:r>
            <w:r w:rsidRPr="00CA528C">
              <w:rPr>
                <w:rFonts w:cs="Arial"/>
                <w:sz w:val="20"/>
                <w:szCs w:val="20"/>
              </w:rPr>
              <w:t>zł</w:t>
            </w:r>
          </w:p>
          <w:p w14:paraId="5CCF7193" w14:textId="78BCD8BA" w:rsidR="009F658B" w:rsidRPr="00487C10" w:rsidRDefault="009F658B" w:rsidP="009F658B">
            <w:pPr>
              <w:jc w:val="center"/>
              <w:rPr>
                <w:rFonts w:cs="Arial"/>
                <w:sz w:val="20"/>
                <w:szCs w:val="20"/>
              </w:rPr>
            </w:pPr>
            <w:r w:rsidRPr="00CA528C">
              <w:rPr>
                <w:rFonts w:cs="Arial"/>
                <w:sz w:val="20"/>
                <w:szCs w:val="20"/>
              </w:rPr>
              <w:t>(wartość bez VAT)</w:t>
            </w:r>
          </w:p>
        </w:tc>
      </w:tr>
    </w:tbl>
    <w:p w14:paraId="13D5B473" w14:textId="77777777" w:rsidR="007A0DD9" w:rsidRPr="007A0DD9" w:rsidRDefault="007A0DD9" w:rsidP="007A0DD9">
      <w:pPr>
        <w:shd w:val="clear" w:color="auto" w:fill="FFFFFF"/>
        <w:spacing w:before="240" w:line="360" w:lineRule="auto"/>
        <w:jc w:val="left"/>
        <w:rPr>
          <w:b/>
        </w:rPr>
      </w:pPr>
      <w:r w:rsidRPr="007A0DD9">
        <w:t xml:space="preserve">W 2025 r. 134 zamawiających reprezentujących jednostki administracji rządowej udzieliło 946 zamówień publicznych uwzględniających aspekty środowiskowe o łącznej wartości </w:t>
      </w:r>
      <w:r w:rsidRPr="007A0DD9">
        <w:br/>
        <w:t>3 853 742 963,50 zł (bez podatku od towarów i usług). W porównaniu z rokiem 2024, odnotowano znaczny wzrost liczby zielonych zamówień (o 209 zamówień) przy jednoczesnym znacznym wzroście ich wartości (o 2 859 006 310,81 zł). Udział zamówień jednostek administracji rządowej w zamówieniach o charakterze środowiskowym stanowił 23,12%. Z kolei wartość zielonych zamówień udzielonych przez jednostki administracji rządowej stanowiła 14,24% wartości ogółu zamówień uwzględniających aspekty środowiskowe, które polscy zamawiający udzielili w 2025 r.</w:t>
      </w:r>
    </w:p>
    <w:p w14:paraId="35A7FA71" w14:textId="6B9FD1BC" w:rsidR="00EB6EAD" w:rsidRPr="00EB6EAD" w:rsidRDefault="00EB6EAD" w:rsidP="00EB6EAD">
      <w:pPr>
        <w:shd w:val="clear" w:color="auto" w:fill="FFFFFF"/>
        <w:spacing w:before="120" w:line="360" w:lineRule="auto"/>
        <w:jc w:val="left"/>
      </w:pPr>
      <w:r w:rsidRPr="00EB6EAD">
        <w:t xml:space="preserve">Instrumenty </w:t>
      </w:r>
      <w:proofErr w:type="spellStart"/>
      <w:r w:rsidRPr="00EB6EAD">
        <w:t>prośrodowiskowe</w:t>
      </w:r>
      <w:proofErr w:type="spellEnd"/>
      <w:r w:rsidRPr="00EB6EAD">
        <w:t xml:space="preserve"> w zamówieniach udzielonych przez jednostki administracji rządowej najczęściej stosowano w zamówieniach na dostawy, analogicznie jak w poprzednich latach. W tego rodzaju zamówieniach w największej liczbie przypadków </w:t>
      </w:r>
      <w:r w:rsidRPr="00EB6EAD">
        <w:rPr>
          <w:bCs/>
        </w:rPr>
        <w:t>określano w opisie przedmiotu zamówienia wymagania środowiskowe oraz stosowano wymagania związane z realizacją zamówienia obejmujące aspekty środowiskowe. Na drugim miejscu pod względem liczby zielonych zamówień znalazły się zamówienia na usługi. W</w:t>
      </w:r>
      <w:r w:rsidR="00BD0596">
        <w:rPr>
          <w:bCs/>
        </w:rPr>
        <w:t> </w:t>
      </w:r>
      <w:r w:rsidRPr="00EB6EAD">
        <w:rPr>
          <w:bCs/>
        </w:rPr>
        <w:t>przypadku zamówień na usługi najczęściej określano wymagania związane z realizacją zamówienia obejmujące aspekty środowiskowe oraz uwzględniano w kryteriach oceny ofert aspekty środowiskowe. Z kolei w robotach budowlanych najczęściej stosowanym instrumentem było określenie w opisie przedmiotu zamówienia wymagań środowiskowych.</w:t>
      </w:r>
      <w:r w:rsidRPr="00EB6EAD">
        <w:rPr>
          <w:b/>
        </w:rPr>
        <w:t xml:space="preserve"> </w:t>
      </w:r>
    </w:p>
    <w:p w14:paraId="083F8A2F" w14:textId="26D85A6A" w:rsidR="00EB6EAD" w:rsidRPr="00EB6EAD" w:rsidRDefault="00EB6EAD" w:rsidP="00EB6EAD">
      <w:pPr>
        <w:shd w:val="clear" w:color="auto" w:fill="FFFFFF"/>
        <w:spacing w:before="240" w:line="360" w:lineRule="auto"/>
        <w:jc w:val="left"/>
      </w:pPr>
      <w:r w:rsidRPr="00EB6EAD">
        <w:t>Poniższe tabele prezentują zestawienie szczegółowych danych dotyczących zarówno liczby</w:t>
      </w:r>
      <w:r w:rsidR="00BD0596">
        <w:t>,</w:t>
      </w:r>
      <w:r w:rsidRPr="00EB6EAD">
        <w:t xml:space="preserve"> jak i wartości zamówień, w których zastosowano poszczególne instrumenty, dodatkowo w</w:t>
      </w:r>
      <w:r w:rsidR="00BD0596">
        <w:t> </w:t>
      </w:r>
      <w:r w:rsidRPr="00EB6EAD">
        <w:t>podziale na rodzaj zamówienia.</w:t>
      </w:r>
    </w:p>
    <w:p w14:paraId="0B147278" w14:textId="4ECD54D0" w:rsidR="001C37AF" w:rsidRPr="001C37AF" w:rsidRDefault="00511CD2" w:rsidP="00852522">
      <w:pPr>
        <w:pStyle w:val="Nagwek4"/>
      </w:pPr>
      <w:r>
        <w:t xml:space="preserve">4.2.1. </w:t>
      </w:r>
      <w:r w:rsidR="001C37AF" w:rsidRPr="001C37AF">
        <w:t>Określenie w opisie przedmiotu zamówienia wymagań środowiskowych zgodnie z art. 101 ustawy Pzp</w:t>
      </w:r>
    </w:p>
    <w:p w14:paraId="6DD9A2C4" w14:textId="22AFC476" w:rsidR="00165A76" w:rsidRPr="00A232C4" w:rsidRDefault="00165A76" w:rsidP="006C14EB">
      <w:pPr>
        <w:pStyle w:val="Legenda"/>
      </w:pPr>
      <w:bookmarkStart w:id="202" w:name="_Toc141276559"/>
      <w:bookmarkStart w:id="203" w:name="_Toc233203409"/>
      <w:r w:rsidRPr="003D264B">
        <w:lastRenderedPageBreak/>
        <w:t xml:space="preserve">Tab. </w:t>
      </w:r>
      <w:fldSimple w:instr=" SEQ Tab. \* ARABIC ">
        <w:r w:rsidR="00017C65">
          <w:rPr>
            <w:noProof/>
          </w:rPr>
          <w:t>37</w:t>
        </w:r>
      </w:fldSimple>
      <w:r w:rsidRPr="003D264B">
        <w:t>. Zielone zamówienia publiczne udzielane przez jednostki administracji rządowej z zastosowaniem art. 101 ustawy Pzp</w:t>
      </w:r>
      <w:bookmarkEnd w:id="202"/>
      <w:bookmarkEnd w:id="20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101 ustawy Pzp."/>
        <w:tblDescription w:val="Tabela. Zielone zamówienia publiczne udzielane przez jednostki administracji rządowej z zastosowaniem art. 101 ustawy Pzp."/>
      </w:tblPr>
      <w:tblGrid>
        <w:gridCol w:w="7083"/>
        <w:gridCol w:w="1979"/>
      </w:tblGrid>
      <w:tr w:rsidR="008123EB" w:rsidRPr="00487C10" w14:paraId="5E760522" w14:textId="77777777" w:rsidTr="008123EB">
        <w:trPr>
          <w:trHeight w:val="300"/>
          <w:jc w:val="center"/>
        </w:trPr>
        <w:tc>
          <w:tcPr>
            <w:tcW w:w="7083" w:type="dxa"/>
            <w:shd w:val="clear" w:color="auto" w:fill="E2EFD9"/>
            <w:noWrap/>
            <w:vAlign w:val="center"/>
          </w:tcPr>
          <w:p w14:paraId="510CB357" w14:textId="77777777" w:rsidR="008123EB" w:rsidRPr="00487C10" w:rsidRDefault="008123EB" w:rsidP="008123EB">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1979" w:type="dxa"/>
            <w:shd w:val="clear" w:color="auto" w:fill="E2EFD9"/>
            <w:vAlign w:val="center"/>
          </w:tcPr>
          <w:p w14:paraId="30E03490" w14:textId="41791634" w:rsidR="008123EB" w:rsidRPr="00487C10" w:rsidRDefault="008123EB" w:rsidP="008123EB">
            <w:pPr>
              <w:jc w:val="center"/>
              <w:rPr>
                <w:rFonts w:cs="Arial"/>
                <w:sz w:val="20"/>
                <w:szCs w:val="20"/>
              </w:rPr>
            </w:pPr>
            <w:r w:rsidRPr="001550D0">
              <w:rPr>
                <w:rFonts w:cs="Arial"/>
                <w:sz w:val="20"/>
                <w:szCs w:val="20"/>
              </w:rPr>
              <w:t>592</w:t>
            </w:r>
          </w:p>
        </w:tc>
      </w:tr>
      <w:tr w:rsidR="008123EB" w:rsidRPr="00487C10" w14:paraId="5A972046" w14:textId="77777777" w:rsidTr="008123EB">
        <w:trPr>
          <w:trHeight w:val="300"/>
          <w:jc w:val="center"/>
        </w:trPr>
        <w:tc>
          <w:tcPr>
            <w:tcW w:w="7083" w:type="dxa"/>
            <w:noWrap/>
            <w:vAlign w:val="center"/>
            <w:hideMark/>
          </w:tcPr>
          <w:p w14:paraId="70AFC7FC" w14:textId="77777777" w:rsidR="008123EB" w:rsidRPr="00487C10" w:rsidRDefault="008123EB" w:rsidP="008123EB">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1979" w:type="dxa"/>
            <w:vAlign w:val="center"/>
          </w:tcPr>
          <w:p w14:paraId="5D55AD71" w14:textId="77777777" w:rsidR="008123EB" w:rsidRPr="001550D0" w:rsidRDefault="008123EB" w:rsidP="008123EB">
            <w:pPr>
              <w:jc w:val="center"/>
              <w:rPr>
                <w:rFonts w:cs="Arial"/>
                <w:sz w:val="20"/>
                <w:szCs w:val="20"/>
              </w:rPr>
            </w:pPr>
            <w:r w:rsidRPr="001550D0">
              <w:rPr>
                <w:rFonts w:cs="Arial"/>
                <w:color w:val="000000"/>
                <w:sz w:val="20"/>
                <w:szCs w:val="20"/>
              </w:rPr>
              <w:t xml:space="preserve">1 768 099 654,48 </w:t>
            </w:r>
            <w:r w:rsidRPr="001550D0">
              <w:rPr>
                <w:rFonts w:cs="Arial"/>
                <w:sz w:val="20"/>
                <w:szCs w:val="20"/>
              </w:rPr>
              <w:t>zł</w:t>
            </w:r>
          </w:p>
          <w:p w14:paraId="426FD535" w14:textId="3AEBBF1D" w:rsidR="008123EB" w:rsidRPr="00487C10" w:rsidRDefault="008123EB" w:rsidP="008123EB">
            <w:pPr>
              <w:jc w:val="center"/>
              <w:rPr>
                <w:rFonts w:cs="Arial"/>
                <w:sz w:val="20"/>
                <w:szCs w:val="20"/>
              </w:rPr>
            </w:pPr>
            <w:r w:rsidRPr="001550D0">
              <w:rPr>
                <w:rFonts w:cs="Arial"/>
                <w:sz w:val="20"/>
                <w:szCs w:val="20"/>
              </w:rPr>
              <w:t>(wartość bez VAT)</w:t>
            </w:r>
          </w:p>
        </w:tc>
      </w:tr>
    </w:tbl>
    <w:p w14:paraId="72BE0C19" w14:textId="77777777" w:rsidR="001C37AF" w:rsidRPr="00487C10" w:rsidRDefault="001C37A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101 ustawy Pzp."/>
        <w:tblDescription w:val="Tabela. Zielone zamówienia publiczne udzielane przez jednostki administracji rządowej z zastosowaniem art. 101 ustawy Pzp."/>
      </w:tblPr>
      <w:tblGrid>
        <w:gridCol w:w="2547"/>
        <w:gridCol w:w="1843"/>
        <w:gridCol w:w="4677"/>
      </w:tblGrid>
      <w:tr w:rsidR="001C37AF" w:rsidRPr="00487C10" w14:paraId="71B4B17B" w14:textId="77777777" w:rsidTr="00293687">
        <w:trPr>
          <w:trHeight w:val="300"/>
          <w:tblHeader/>
          <w:jc w:val="center"/>
        </w:trPr>
        <w:tc>
          <w:tcPr>
            <w:tcW w:w="2547" w:type="dxa"/>
            <w:shd w:val="clear" w:color="auto" w:fill="C5E0B3"/>
            <w:noWrap/>
            <w:vAlign w:val="center"/>
          </w:tcPr>
          <w:p w14:paraId="7FE2FFC8" w14:textId="77777777" w:rsidR="001C37AF" w:rsidRPr="00487C10" w:rsidRDefault="001C37AF" w:rsidP="00511CD2">
            <w:pPr>
              <w:jc w:val="center"/>
              <w:rPr>
                <w:rFonts w:cs="Arial"/>
                <w:b/>
                <w:sz w:val="20"/>
                <w:szCs w:val="20"/>
              </w:rPr>
            </w:pPr>
            <w:r w:rsidRPr="00487C10">
              <w:rPr>
                <w:rFonts w:cs="Arial"/>
                <w:b/>
                <w:bCs/>
                <w:sz w:val="20"/>
                <w:szCs w:val="20"/>
              </w:rPr>
              <w:t>Rodzaj zamówienia</w:t>
            </w:r>
          </w:p>
        </w:tc>
        <w:tc>
          <w:tcPr>
            <w:tcW w:w="1843" w:type="dxa"/>
            <w:shd w:val="clear" w:color="auto" w:fill="C5E0B3"/>
            <w:vAlign w:val="center"/>
          </w:tcPr>
          <w:p w14:paraId="427BA0A7" w14:textId="77777777" w:rsidR="001C37AF" w:rsidRPr="00487C10" w:rsidRDefault="001C37AF" w:rsidP="00511CD2">
            <w:pPr>
              <w:jc w:val="center"/>
              <w:rPr>
                <w:rFonts w:cs="Arial"/>
                <w:b/>
                <w:sz w:val="20"/>
                <w:szCs w:val="20"/>
              </w:rPr>
            </w:pPr>
            <w:r w:rsidRPr="00487C10">
              <w:rPr>
                <w:rFonts w:cs="Arial"/>
                <w:b/>
                <w:sz w:val="20"/>
                <w:szCs w:val="20"/>
              </w:rPr>
              <w:t>Liczba</w:t>
            </w:r>
          </w:p>
        </w:tc>
        <w:tc>
          <w:tcPr>
            <w:tcW w:w="4677" w:type="dxa"/>
            <w:shd w:val="clear" w:color="auto" w:fill="C5E0B3"/>
            <w:vAlign w:val="center"/>
          </w:tcPr>
          <w:p w14:paraId="1BCF1065" w14:textId="77777777" w:rsidR="001C37AF" w:rsidRPr="00487C10" w:rsidRDefault="001C37AF" w:rsidP="00511CD2">
            <w:pPr>
              <w:jc w:val="center"/>
              <w:rPr>
                <w:rFonts w:cs="Arial"/>
                <w:b/>
                <w:sz w:val="20"/>
                <w:szCs w:val="20"/>
              </w:rPr>
            </w:pPr>
            <w:r w:rsidRPr="00487C10">
              <w:rPr>
                <w:rFonts w:cs="Arial"/>
                <w:b/>
                <w:sz w:val="20"/>
                <w:szCs w:val="20"/>
              </w:rPr>
              <w:t>Wartość (bez VAT)</w:t>
            </w:r>
          </w:p>
        </w:tc>
      </w:tr>
      <w:tr w:rsidR="002C0E1B" w:rsidRPr="00487C10" w14:paraId="5DB0B769" w14:textId="77777777" w:rsidTr="00293687">
        <w:trPr>
          <w:trHeight w:val="300"/>
          <w:jc w:val="center"/>
        </w:trPr>
        <w:tc>
          <w:tcPr>
            <w:tcW w:w="2547" w:type="dxa"/>
            <w:noWrap/>
            <w:vAlign w:val="center"/>
          </w:tcPr>
          <w:p w14:paraId="3C099DC4" w14:textId="77777777" w:rsidR="002C0E1B" w:rsidRPr="00487C10" w:rsidRDefault="002C0E1B" w:rsidP="002C0E1B">
            <w:pPr>
              <w:jc w:val="center"/>
              <w:rPr>
                <w:rFonts w:cs="Arial"/>
                <w:bCs/>
                <w:sz w:val="20"/>
                <w:szCs w:val="20"/>
              </w:rPr>
            </w:pPr>
            <w:r w:rsidRPr="00487C10">
              <w:rPr>
                <w:rFonts w:cs="Arial"/>
                <w:bCs/>
                <w:sz w:val="20"/>
                <w:szCs w:val="20"/>
              </w:rPr>
              <w:t>Dostawy</w:t>
            </w:r>
          </w:p>
        </w:tc>
        <w:tc>
          <w:tcPr>
            <w:tcW w:w="1843" w:type="dxa"/>
            <w:noWrap/>
            <w:vAlign w:val="center"/>
          </w:tcPr>
          <w:p w14:paraId="57F63933" w14:textId="5511353A" w:rsidR="002C0E1B" w:rsidRPr="00487C10" w:rsidRDefault="002C0E1B" w:rsidP="002C0E1B">
            <w:pPr>
              <w:jc w:val="center"/>
              <w:rPr>
                <w:rFonts w:cs="Arial"/>
                <w:sz w:val="20"/>
                <w:szCs w:val="20"/>
              </w:rPr>
            </w:pPr>
            <w:r w:rsidRPr="001550D0">
              <w:rPr>
                <w:rFonts w:cs="Arial"/>
                <w:sz w:val="20"/>
                <w:szCs w:val="20"/>
              </w:rPr>
              <w:t>410</w:t>
            </w:r>
          </w:p>
        </w:tc>
        <w:tc>
          <w:tcPr>
            <w:tcW w:w="4677" w:type="dxa"/>
            <w:vAlign w:val="center"/>
          </w:tcPr>
          <w:p w14:paraId="1BFD40EE" w14:textId="1033E17E" w:rsidR="002C0E1B" w:rsidRPr="00487C10" w:rsidRDefault="002C0E1B" w:rsidP="002C0E1B">
            <w:pPr>
              <w:jc w:val="center"/>
              <w:rPr>
                <w:rFonts w:cs="Arial"/>
                <w:sz w:val="20"/>
                <w:szCs w:val="20"/>
              </w:rPr>
            </w:pPr>
            <w:r w:rsidRPr="001550D0">
              <w:rPr>
                <w:rFonts w:cs="Arial"/>
                <w:color w:val="000000"/>
                <w:sz w:val="20"/>
                <w:szCs w:val="20"/>
              </w:rPr>
              <w:t xml:space="preserve">1 217 044 681,99 </w:t>
            </w:r>
            <w:r w:rsidRPr="001550D0">
              <w:rPr>
                <w:rFonts w:cs="Arial"/>
                <w:sz w:val="20"/>
                <w:szCs w:val="20"/>
              </w:rPr>
              <w:t>zł</w:t>
            </w:r>
          </w:p>
        </w:tc>
      </w:tr>
      <w:tr w:rsidR="002C0E1B" w:rsidRPr="00487C10" w14:paraId="30AED918" w14:textId="77777777" w:rsidTr="00293687">
        <w:trPr>
          <w:trHeight w:val="300"/>
          <w:jc w:val="center"/>
        </w:trPr>
        <w:tc>
          <w:tcPr>
            <w:tcW w:w="2547" w:type="dxa"/>
            <w:shd w:val="clear" w:color="auto" w:fill="E2EFD9"/>
            <w:noWrap/>
            <w:vAlign w:val="center"/>
            <w:hideMark/>
          </w:tcPr>
          <w:p w14:paraId="5F7925E3" w14:textId="77777777" w:rsidR="002C0E1B" w:rsidRPr="00487C10" w:rsidRDefault="002C0E1B" w:rsidP="002C0E1B">
            <w:pPr>
              <w:jc w:val="center"/>
              <w:rPr>
                <w:rFonts w:cs="Arial"/>
                <w:bCs/>
                <w:sz w:val="20"/>
                <w:szCs w:val="20"/>
              </w:rPr>
            </w:pPr>
            <w:r w:rsidRPr="00487C10">
              <w:rPr>
                <w:rFonts w:cs="Arial"/>
                <w:bCs/>
                <w:sz w:val="20"/>
                <w:szCs w:val="20"/>
              </w:rPr>
              <w:t>Roboty budowlane</w:t>
            </w:r>
          </w:p>
        </w:tc>
        <w:tc>
          <w:tcPr>
            <w:tcW w:w="1843" w:type="dxa"/>
            <w:shd w:val="clear" w:color="auto" w:fill="E2EFD9"/>
            <w:noWrap/>
            <w:vAlign w:val="center"/>
          </w:tcPr>
          <w:p w14:paraId="45AF6123" w14:textId="315E5612" w:rsidR="002C0E1B" w:rsidRPr="00487C10" w:rsidRDefault="002C0E1B" w:rsidP="002C0E1B">
            <w:pPr>
              <w:jc w:val="center"/>
              <w:rPr>
                <w:rFonts w:cs="Arial"/>
                <w:sz w:val="20"/>
                <w:szCs w:val="20"/>
              </w:rPr>
            </w:pPr>
            <w:r w:rsidRPr="001550D0">
              <w:rPr>
                <w:rFonts w:cs="Arial"/>
                <w:sz w:val="20"/>
                <w:szCs w:val="20"/>
              </w:rPr>
              <w:t>112</w:t>
            </w:r>
          </w:p>
        </w:tc>
        <w:tc>
          <w:tcPr>
            <w:tcW w:w="4677" w:type="dxa"/>
            <w:shd w:val="clear" w:color="auto" w:fill="E2EFD9"/>
            <w:vAlign w:val="center"/>
          </w:tcPr>
          <w:p w14:paraId="742E563A" w14:textId="0B18CC54" w:rsidR="002C0E1B" w:rsidRPr="00487C10" w:rsidRDefault="002C0E1B" w:rsidP="002C0E1B">
            <w:pPr>
              <w:jc w:val="center"/>
              <w:rPr>
                <w:rFonts w:cs="Arial"/>
                <w:sz w:val="20"/>
                <w:szCs w:val="20"/>
              </w:rPr>
            </w:pPr>
            <w:r w:rsidRPr="001550D0">
              <w:rPr>
                <w:rFonts w:cs="Arial"/>
                <w:color w:val="000000"/>
                <w:sz w:val="20"/>
                <w:szCs w:val="20"/>
              </w:rPr>
              <w:t xml:space="preserve">453 248 428,71 </w:t>
            </w:r>
            <w:r w:rsidRPr="001550D0">
              <w:rPr>
                <w:rFonts w:cs="Arial"/>
                <w:sz w:val="20"/>
                <w:szCs w:val="20"/>
              </w:rPr>
              <w:t>zł</w:t>
            </w:r>
          </w:p>
        </w:tc>
      </w:tr>
      <w:tr w:rsidR="002C0E1B" w:rsidRPr="00487C10" w14:paraId="367E1BD4" w14:textId="77777777" w:rsidTr="00293687">
        <w:trPr>
          <w:trHeight w:val="300"/>
          <w:jc w:val="center"/>
        </w:trPr>
        <w:tc>
          <w:tcPr>
            <w:tcW w:w="2547" w:type="dxa"/>
            <w:noWrap/>
            <w:vAlign w:val="center"/>
          </w:tcPr>
          <w:p w14:paraId="3ECB4875" w14:textId="77777777" w:rsidR="002C0E1B" w:rsidRPr="00487C10" w:rsidRDefault="002C0E1B" w:rsidP="002C0E1B">
            <w:pPr>
              <w:jc w:val="center"/>
              <w:rPr>
                <w:rFonts w:cs="Arial"/>
                <w:bCs/>
                <w:sz w:val="20"/>
                <w:szCs w:val="20"/>
              </w:rPr>
            </w:pPr>
            <w:r w:rsidRPr="00487C10">
              <w:rPr>
                <w:rFonts w:cs="Arial"/>
                <w:bCs/>
                <w:sz w:val="20"/>
                <w:szCs w:val="20"/>
              </w:rPr>
              <w:t>Usługi</w:t>
            </w:r>
          </w:p>
        </w:tc>
        <w:tc>
          <w:tcPr>
            <w:tcW w:w="1843" w:type="dxa"/>
            <w:noWrap/>
            <w:vAlign w:val="center"/>
          </w:tcPr>
          <w:p w14:paraId="17A78912" w14:textId="5163798C" w:rsidR="002C0E1B" w:rsidRPr="00487C10" w:rsidRDefault="002C0E1B" w:rsidP="002C0E1B">
            <w:pPr>
              <w:jc w:val="center"/>
              <w:rPr>
                <w:rFonts w:cs="Arial"/>
                <w:sz w:val="20"/>
                <w:szCs w:val="20"/>
              </w:rPr>
            </w:pPr>
            <w:r w:rsidRPr="001550D0">
              <w:rPr>
                <w:rFonts w:cs="Arial"/>
                <w:sz w:val="20"/>
                <w:szCs w:val="20"/>
              </w:rPr>
              <w:t>70</w:t>
            </w:r>
          </w:p>
        </w:tc>
        <w:tc>
          <w:tcPr>
            <w:tcW w:w="4677" w:type="dxa"/>
            <w:vAlign w:val="center"/>
          </w:tcPr>
          <w:p w14:paraId="114245D8" w14:textId="703AD130" w:rsidR="002C0E1B" w:rsidRPr="00487C10" w:rsidRDefault="002C0E1B" w:rsidP="002C0E1B">
            <w:pPr>
              <w:jc w:val="center"/>
              <w:rPr>
                <w:rFonts w:cs="Arial"/>
                <w:sz w:val="20"/>
                <w:szCs w:val="20"/>
              </w:rPr>
            </w:pPr>
            <w:r w:rsidRPr="001550D0">
              <w:rPr>
                <w:rFonts w:cs="Arial"/>
                <w:color w:val="000000"/>
                <w:sz w:val="20"/>
                <w:szCs w:val="20"/>
              </w:rPr>
              <w:t xml:space="preserve">97 806 543,78 </w:t>
            </w:r>
            <w:r w:rsidRPr="001550D0">
              <w:rPr>
                <w:rFonts w:cs="Arial"/>
                <w:sz w:val="20"/>
                <w:szCs w:val="20"/>
              </w:rPr>
              <w:t>zł</w:t>
            </w:r>
          </w:p>
        </w:tc>
      </w:tr>
    </w:tbl>
    <w:p w14:paraId="1F175B45" w14:textId="3B263718" w:rsidR="001C37AF" w:rsidRPr="008365E1" w:rsidRDefault="009F3A12" w:rsidP="00852522">
      <w:pPr>
        <w:pStyle w:val="Nagwek4"/>
      </w:pPr>
      <w:r>
        <w:t xml:space="preserve">4.2.2. </w:t>
      </w:r>
      <w:r w:rsidR="001C37AF" w:rsidRPr="008365E1">
        <w:t>Określenie wymogu spełniania wymagań odpowiednich systemów lub norm zarządzania środowiskowego zgodnie z art. 116 ust. 1 ustawy Pzp</w:t>
      </w:r>
    </w:p>
    <w:p w14:paraId="41B9FCEA" w14:textId="7D3AD072" w:rsidR="008365E1" w:rsidRPr="00A232C4" w:rsidRDefault="008365E1" w:rsidP="006C14EB">
      <w:pPr>
        <w:pStyle w:val="Legenda"/>
      </w:pPr>
      <w:bookmarkStart w:id="204" w:name="_Toc141276560"/>
      <w:bookmarkStart w:id="205" w:name="_Toc233203410"/>
      <w:r w:rsidRPr="001A1828">
        <w:t xml:space="preserve">Tab. </w:t>
      </w:r>
      <w:fldSimple w:instr=" SEQ Tab. \* ARABIC ">
        <w:r w:rsidR="00017C65">
          <w:rPr>
            <w:noProof/>
          </w:rPr>
          <w:t>38</w:t>
        </w:r>
      </w:fldSimple>
      <w:r w:rsidRPr="001A1828">
        <w:t>. Zielone zamówienia publiczne udzielane przez jednostki administracji rządowej z zastosowaniem art. 116 ust. 1 ustawy Pzp</w:t>
      </w:r>
      <w:bookmarkEnd w:id="204"/>
      <w:bookmarkEnd w:id="20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116 ust. 1 ustawy Pzp."/>
        <w:tblDescription w:val="Tabela. Zielone zamówienia publiczne udzielane przez jednostki administracji rządowej z zastosowaniem art. 116 ust. 1 ustawy Pzp."/>
      </w:tblPr>
      <w:tblGrid>
        <w:gridCol w:w="7083"/>
        <w:gridCol w:w="1979"/>
      </w:tblGrid>
      <w:tr w:rsidR="003A3364" w:rsidRPr="00487C10" w14:paraId="1F436D70" w14:textId="77777777" w:rsidTr="003A3364">
        <w:trPr>
          <w:trHeight w:val="300"/>
          <w:jc w:val="center"/>
        </w:trPr>
        <w:tc>
          <w:tcPr>
            <w:tcW w:w="7083" w:type="dxa"/>
            <w:shd w:val="clear" w:color="auto" w:fill="E2EFD9"/>
            <w:noWrap/>
            <w:vAlign w:val="center"/>
          </w:tcPr>
          <w:p w14:paraId="465532EF" w14:textId="77777777" w:rsidR="003A3364" w:rsidRPr="00487C10" w:rsidRDefault="003A3364" w:rsidP="003A3364">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1979" w:type="dxa"/>
            <w:shd w:val="clear" w:color="auto" w:fill="E2EFD9"/>
            <w:vAlign w:val="center"/>
          </w:tcPr>
          <w:p w14:paraId="484D0F7D" w14:textId="093590CC" w:rsidR="003A3364" w:rsidRPr="00487C10" w:rsidRDefault="003A3364" w:rsidP="003A3364">
            <w:pPr>
              <w:jc w:val="center"/>
              <w:rPr>
                <w:rFonts w:cs="Arial"/>
                <w:sz w:val="20"/>
                <w:szCs w:val="20"/>
              </w:rPr>
            </w:pPr>
            <w:r w:rsidRPr="001550D0">
              <w:rPr>
                <w:rFonts w:cs="Arial"/>
                <w:sz w:val="20"/>
                <w:szCs w:val="20"/>
              </w:rPr>
              <w:t>34</w:t>
            </w:r>
          </w:p>
        </w:tc>
      </w:tr>
      <w:tr w:rsidR="003A3364" w:rsidRPr="00487C10" w14:paraId="64900C2B" w14:textId="77777777" w:rsidTr="003A3364">
        <w:trPr>
          <w:trHeight w:val="300"/>
          <w:jc w:val="center"/>
        </w:trPr>
        <w:tc>
          <w:tcPr>
            <w:tcW w:w="7083" w:type="dxa"/>
            <w:noWrap/>
            <w:vAlign w:val="center"/>
            <w:hideMark/>
          </w:tcPr>
          <w:p w14:paraId="78CA11B7" w14:textId="77777777" w:rsidR="003A3364" w:rsidRPr="00487C10" w:rsidRDefault="003A3364" w:rsidP="003A3364">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1979" w:type="dxa"/>
            <w:vAlign w:val="center"/>
          </w:tcPr>
          <w:p w14:paraId="6700A0F9" w14:textId="77777777" w:rsidR="003A3364" w:rsidRPr="001550D0" w:rsidRDefault="003A3364" w:rsidP="003A3364">
            <w:pPr>
              <w:jc w:val="center"/>
              <w:rPr>
                <w:rFonts w:cs="Arial"/>
                <w:sz w:val="20"/>
                <w:szCs w:val="20"/>
              </w:rPr>
            </w:pPr>
            <w:r w:rsidRPr="001550D0">
              <w:rPr>
                <w:rFonts w:cs="Arial"/>
                <w:color w:val="000000"/>
                <w:sz w:val="20"/>
                <w:szCs w:val="20"/>
              </w:rPr>
              <w:t xml:space="preserve">33 024 234,26 </w:t>
            </w:r>
            <w:r w:rsidRPr="001550D0">
              <w:rPr>
                <w:rFonts w:cs="Arial"/>
                <w:sz w:val="20"/>
                <w:szCs w:val="20"/>
              </w:rPr>
              <w:t>zł</w:t>
            </w:r>
          </w:p>
          <w:p w14:paraId="005DE41F" w14:textId="1E2C5982" w:rsidR="003A3364" w:rsidRPr="00487C10" w:rsidRDefault="003A3364" w:rsidP="003A3364">
            <w:pPr>
              <w:jc w:val="center"/>
              <w:rPr>
                <w:rFonts w:cs="Arial"/>
                <w:sz w:val="20"/>
                <w:szCs w:val="20"/>
              </w:rPr>
            </w:pPr>
            <w:r w:rsidRPr="001550D0">
              <w:rPr>
                <w:rFonts w:cs="Arial"/>
                <w:sz w:val="20"/>
                <w:szCs w:val="20"/>
              </w:rPr>
              <w:t>(wartość bez VAT)</w:t>
            </w:r>
          </w:p>
        </w:tc>
      </w:tr>
    </w:tbl>
    <w:p w14:paraId="052FA8E3" w14:textId="77777777" w:rsidR="001C37AF" w:rsidRPr="00487C10" w:rsidRDefault="001C37A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116 ust. 1 ustawy Pzp."/>
        <w:tblDescription w:val="Tabela. Zielone zamówienia publiczne udzielane przez jednostki administracji rządowej z zastosowaniem art. 116 ust. 1 ustawy Pzp."/>
      </w:tblPr>
      <w:tblGrid>
        <w:gridCol w:w="2122"/>
        <w:gridCol w:w="2409"/>
        <w:gridCol w:w="4536"/>
      </w:tblGrid>
      <w:tr w:rsidR="001C37AF" w:rsidRPr="00487C10" w14:paraId="404C7C0C" w14:textId="77777777" w:rsidTr="00293687">
        <w:trPr>
          <w:trHeight w:val="300"/>
          <w:tblHeader/>
          <w:jc w:val="center"/>
        </w:trPr>
        <w:tc>
          <w:tcPr>
            <w:tcW w:w="2122" w:type="dxa"/>
            <w:shd w:val="clear" w:color="auto" w:fill="C5E0B3"/>
            <w:noWrap/>
            <w:vAlign w:val="center"/>
          </w:tcPr>
          <w:p w14:paraId="106EC916" w14:textId="77777777" w:rsidR="001C37AF" w:rsidRPr="00487C10" w:rsidRDefault="001C37AF" w:rsidP="009F3A12">
            <w:pPr>
              <w:jc w:val="center"/>
              <w:rPr>
                <w:rFonts w:cs="Arial"/>
                <w:b/>
                <w:sz w:val="20"/>
                <w:szCs w:val="20"/>
              </w:rPr>
            </w:pPr>
            <w:r w:rsidRPr="00487C10">
              <w:rPr>
                <w:rFonts w:cs="Arial"/>
                <w:b/>
                <w:bCs/>
                <w:sz w:val="20"/>
                <w:szCs w:val="20"/>
              </w:rPr>
              <w:br w:type="page"/>
              <w:t>Rodzaj zamówienia</w:t>
            </w:r>
          </w:p>
        </w:tc>
        <w:tc>
          <w:tcPr>
            <w:tcW w:w="2409" w:type="dxa"/>
            <w:shd w:val="clear" w:color="auto" w:fill="C5E0B3"/>
            <w:vAlign w:val="center"/>
          </w:tcPr>
          <w:p w14:paraId="05250273" w14:textId="77777777" w:rsidR="001C37AF" w:rsidRPr="00487C10" w:rsidRDefault="001C37AF" w:rsidP="009F3A12">
            <w:pPr>
              <w:jc w:val="center"/>
              <w:rPr>
                <w:rFonts w:cs="Arial"/>
                <w:b/>
                <w:sz w:val="20"/>
                <w:szCs w:val="20"/>
              </w:rPr>
            </w:pPr>
            <w:r w:rsidRPr="00487C10">
              <w:rPr>
                <w:rFonts w:cs="Arial"/>
                <w:b/>
                <w:sz w:val="20"/>
                <w:szCs w:val="20"/>
              </w:rPr>
              <w:t>Liczba</w:t>
            </w:r>
          </w:p>
        </w:tc>
        <w:tc>
          <w:tcPr>
            <w:tcW w:w="4536" w:type="dxa"/>
            <w:shd w:val="clear" w:color="auto" w:fill="C5E0B3"/>
            <w:vAlign w:val="center"/>
          </w:tcPr>
          <w:p w14:paraId="77DBA4C1" w14:textId="77777777" w:rsidR="001C37AF" w:rsidRPr="00487C10" w:rsidRDefault="001C37AF" w:rsidP="009F3A12">
            <w:pPr>
              <w:jc w:val="center"/>
              <w:rPr>
                <w:rFonts w:cs="Arial"/>
                <w:b/>
                <w:sz w:val="20"/>
                <w:szCs w:val="20"/>
              </w:rPr>
            </w:pPr>
            <w:r w:rsidRPr="00487C10">
              <w:rPr>
                <w:rFonts w:cs="Arial"/>
                <w:b/>
                <w:sz w:val="20"/>
                <w:szCs w:val="20"/>
              </w:rPr>
              <w:t>Wartość (bez VAT)</w:t>
            </w:r>
          </w:p>
        </w:tc>
      </w:tr>
      <w:tr w:rsidR="00583435" w:rsidRPr="00487C10" w14:paraId="3DD25433" w14:textId="77777777" w:rsidTr="00293687">
        <w:trPr>
          <w:trHeight w:val="300"/>
          <w:jc w:val="center"/>
        </w:trPr>
        <w:tc>
          <w:tcPr>
            <w:tcW w:w="2122" w:type="dxa"/>
            <w:noWrap/>
            <w:vAlign w:val="center"/>
          </w:tcPr>
          <w:p w14:paraId="513F9C9E" w14:textId="77777777" w:rsidR="00583435" w:rsidRPr="00487C10" w:rsidRDefault="00583435" w:rsidP="00583435">
            <w:pPr>
              <w:jc w:val="center"/>
              <w:rPr>
                <w:rFonts w:cs="Arial"/>
                <w:bCs/>
                <w:sz w:val="20"/>
                <w:szCs w:val="20"/>
              </w:rPr>
            </w:pPr>
            <w:r w:rsidRPr="00487C10">
              <w:rPr>
                <w:rFonts w:cs="Arial"/>
                <w:bCs/>
                <w:sz w:val="20"/>
                <w:szCs w:val="20"/>
              </w:rPr>
              <w:t>Dostawy</w:t>
            </w:r>
          </w:p>
        </w:tc>
        <w:tc>
          <w:tcPr>
            <w:tcW w:w="2409" w:type="dxa"/>
            <w:noWrap/>
            <w:vAlign w:val="center"/>
          </w:tcPr>
          <w:p w14:paraId="10684573" w14:textId="1420A950" w:rsidR="00583435" w:rsidRPr="00487C10" w:rsidRDefault="00583435" w:rsidP="00583435">
            <w:pPr>
              <w:jc w:val="center"/>
              <w:rPr>
                <w:rFonts w:cs="Arial"/>
                <w:sz w:val="20"/>
                <w:szCs w:val="20"/>
              </w:rPr>
            </w:pPr>
            <w:r w:rsidRPr="001550D0">
              <w:rPr>
                <w:rFonts w:cs="Arial"/>
                <w:sz w:val="20"/>
                <w:szCs w:val="20"/>
              </w:rPr>
              <w:t>25</w:t>
            </w:r>
          </w:p>
        </w:tc>
        <w:tc>
          <w:tcPr>
            <w:tcW w:w="4536" w:type="dxa"/>
            <w:vAlign w:val="center"/>
          </w:tcPr>
          <w:p w14:paraId="0B3CFD69" w14:textId="440C2E57" w:rsidR="00583435" w:rsidRPr="00487C10" w:rsidRDefault="00583435" w:rsidP="00583435">
            <w:pPr>
              <w:jc w:val="center"/>
              <w:rPr>
                <w:rFonts w:cs="Arial"/>
                <w:sz w:val="20"/>
                <w:szCs w:val="20"/>
              </w:rPr>
            </w:pPr>
            <w:r w:rsidRPr="001550D0">
              <w:rPr>
                <w:rFonts w:cs="Arial"/>
                <w:color w:val="000000"/>
                <w:sz w:val="20"/>
                <w:szCs w:val="20"/>
              </w:rPr>
              <w:t xml:space="preserve">28 343 563,51 </w:t>
            </w:r>
            <w:r w:rsidRPr="001550D0">
              <w:rPr>
                <w:rFonts w:cs="Arial"/>
                <w:sz w:val="20"/>
                <w:szCs w:val="20"/>
              </w:rPr>
              <w:t>zł</w:t>
            </w:r>
          </w:p>
        </w:tc>
      </w:tr>
      <w:tr w:rsidR="00583435" w:rsidRPr="00487C10" w14:paraId="7F04FECF" w14:textId="77777777" w:rsidTr="00293687">
        <w:trPr>
          <w:trHeight w:val="300"/>
          <w:jc w:val="center"/>
        </w:trPr>
        <w:tc>
          <w:tcPr>
            <w:tcW w:w="2122" w:type="dxa"/>
            <w:shd w:val="clear" w:color="auto" w:fill="E2EFD9"/>
            <w:noWrap/>
            <w:vAlign w:val="center"/>
            <w:hideMark/>
          </w:tcPr>
          <w:p w14:paraId="48F50510" w14:textId="77777777" w:rsidR="00583435" w:rsidRPr="00487C10" w:rsidRDefault="00583435" w:rsidP="00583435">
            <w:pPr>
              <w:jc w:val="center"/>
              <w:rPr>
                <w:rFonts w:cs="Arial"/>
                <w:bCs/>
                <w:sz w:val="20"/>
                <w:szCs w:val="20"/>
              </w:rPr>
            </w:pPr>
            <w:r w:rsidRPr="00487C10">
              <w:rPr>
                <w:rFonts w:cs="Arial"/>
                <w:bCs/>
                <w:sz w:val="20"/>
                <w:szCs w:val="20"/>
              </w:rPr>
              <w:t>Roboty budowlane</w:t>
            </w:r>
          </w:p>
        </w:tc>
        <w:tc>
          <w:tcPr>
            <w:tcW w:w="2409" w:type="dxa"/>
            <w:shd w:val="clear" w:color="auto" w:fill="E2EFD9"/>
            <w:noWrap/>
            <w:vAlign w:val="center"/>
          </w:tcPr>
          <w:p w14:paraId="7AD01D29" w14:textId="225A9600" w:rsidR="00583435" w:rsidRPr="00487C10" w:rsidRDefault="00583435" w:rsidP="00583435">
            <w:pPr>
              <w:jc w:val="center"/>
              <w:rPr>
                <w:rFonts w:cs="Arial"/>
                <w:sz w:val="20"/>
                <w:szCs w:val="20"/>
              </w:rPr>
            </w:pPr>
            <w:r w:rsidRPr="001550D0">
              <w:rPr>
                <w:rFonts w:cs="Arial"/>
                <w:sz w:val="20"/>
                <w:szCs w:val="20"/>
              </w:rPr>
              <w:t>2</w:t>
            </w:r>
          </w:p>
        </w:tc>
        <w:tc>
          <w:tcPr>
            <w:tcW w:w="4536" w:type="dxa"/>
            <w:shd w:val="clear" w:color="auto" w:fill="E2EFD9"/>
            <w:vAlign w:val="center"/>
          </w:tcPr>
          <w:p w14:paraId="1CFBB2BF" w14:textId="0839420A" w:rsidR="00583435" w:rsidRPr="00487C10" w:rsidRDefault="00583435" w:rsidP="00583435">
            <w:pPr>
              <w:jc w:val="center"/>
              <w:rPr>
                <w:rFonts w:cs="Arial"/>
                <w:sz w:val="20"/>
                <w:szCs w:val="20"/>
              </w:rPr>
            </w:pPr>
            <w:r w:rsidRPr="001550D0">
              <w:rPr>
                <w:rFonts w:cs="Arial"/>
                <w:color w:val="000000"/>
                <w:sz w:val="20"/>
                <w:szCs w:val="20"/>
              </w:rPr>
              <w:t xml:space="preserve">2 765 579,00 </w:t>
            </w:r>
            <w:r w:rsidRPr="001550D0">
              <w:rPr>
                <w:rFonts w:cs="Arial"/>
                <w:sz w:val="20"/>
                <w:szCs w:val="20"/>
              </w:rPr>
              <w:t>zł</w:t>
            </w:r>
          </w:p>
        </w:tc>
      </w:tr>
      <w:tr w:rsidR="00583435" w:rsidRPr="00487C10" w14:paraId="439C69AA" w14:textId="77777777" w:rsidTr="00293687">
        <w:trPr>
          <w:trHeight w:val="300"/>
          <w:jc w:val="center"/>
        </w:trPr>
        <w:tc>
          <w:tcPr>
            <w:tcW w:w="2122" w:type="dxa"/>
            <w:noWrap/>
            <w:vAlign w:val="center"/>
          </w:tcPr>
          <w:p w14:paraId="7DB03897" w14:textId="77777777" w:rsidR="00583435" w:rsidRPr="00487C10" w:rsidRDefault="00583435" w:rsidP="00583435">
            <w:pPr>
              <w:jc w:val="center"/>
              <w:rPr>
                <w:rFonts w:cs="Arial"/>
                <w:bCs/>
                <w:sz w:val="20"/>
                <w:szCs w:val="20"/>
              </w:rPr>
            </w:pPr>
            <w:r w:rsidRPr="00487C10">
              <w:rPr>
                <w:rFonts w:cs="Arial"/>
                <w:bCs/>
                <w:sz w:val="20"/>
                <w:szCs w:val="20"/>
              </w:rPr>
              <w:t>Usługi</w:t>
            </w:r>
          </w:p>
        </w:tc>
        <w:tc>
          <w:tcPr>
            <w:tcW w:w="2409" w:type="dxa"/>
            <w:noWrap/>
            <w:vAlign w:val="center"/>
          </w:tcPr>
          <w:p w14:paraId="6C78008C" w14:textId="17A72A6A" w:rsidR="00583435" w:rsidRPr="00487C10" w:rsidRDefault="00583435" w:rsidP="00583435">
            <w:pPr>
              <w:jc w:val="center"/>
              <w:rPr>
                <w:rFonts w:cs="Arial"/>
                <w:sz w:val="20"/>
                <w:szCs w:val="20"/>
              </w:rPr>
            </w:pPr>
            <w:r w:rsidRPr="001550D0">
              <w:rPr>
                <w:rFonts w:cs="Arial"/>
                <w:sz w:val="20"/>
                <w:szCs w:val="20"/>
              </w:rPr>
              <w:t>7</w:t>
            </w:r>
          </w:p>
        </w:tc>
        <w:tc>
          <w:tcPr>
            <w:tcW w:w="4536" w:type="dxa"/>
            <w:vAlign w:val="center"/>
          </w:tcPr>
          <w:p w14:paraId="52B9F943" w14:textId="0312E181" w:rsidR="00583435" w:rsidRPr="00487C10" w:rsidRDefault="00583435" w:rsidP="00583435">
            <w:pPr>
              <w:jc w:val="center"/>
              <w:rPr>
                <w:rFonts w:cs="Arial"/>
                <w:sz w:val="20"/>
                <w:szCs w:val="20"/>
              </w:rPr>
            </w:pPr>
            <w:r w:rsidRPr="001550D0">
              <w:rPr>
                <w:rFonts w:cs="Arial"/>
                <w:color w:val="000000"/>
                <w:sz w:val="20"/>
                <w:szCs w:val="20"/>
              </w:rPr>
              <w:t xml:space="preserve">1 915 091,75 </w:t>
            </w:r>
            <w:r w:rsidRPr="001550D0">
              <w:rPr>
                <w:rFonts w:cs="Arial"/>
                <w:sz w:val="20"/>
                <w:szCs w:val="20"/>
              </w:rPr>
              <w:t>zł</w:t>
            </w:r>
          </w:p>
        </w:tc>
      </w:tr>
    </w:tbl>
    <w:p w14:paraId="0D4287F1" w14:textId="071A0886" w:rsidR="001C37AF" w:rsidRPr="008F2DFC" w:rsidRDefault="00554F87" w:rsidP="00852522">
      <w:pPr>
        <w:pStyle w:val="Nagwek4"/>
      </w:pPr>
      <w:r>
        <w:t xml:space="preserve">4.2.3. </w:t>
      </w:r>
      <w:r w:rsidR="001C37AF" w:rsidRPr="008F2DFC">
        <w:t>Określenie w kryteriach oceny ofert aspektów środowiskowych, w tym efektywności energetycznej przedmiotu zamówienia, o których mowa w art. 242 ust. 2 ustawy Pzp</w:t>
      </w:r>
    </w:p>
    <w:p w14:paraId="5736A4B2" w14:textId="010AC29F" w:rsidR="008F2DFC" w:rsidRPr="00A232C4" w:rsidRDefault="008F2DFC" w:rsidP="006C14EB">
      <w:pPr>
        <w:pStyle w:val="Legenda"/>
      </w:pPr>
      <w:bookmarkStart w:id="206" w:name="_Toc141276561"/>
      <w:bookmarkStart w:id="207" w:name="_Toc233203411"/>
      <w:r w:rsidRPr="007B35F2">
        <w:t xml:space="preserve">Tab. </w:t>
      </w:r>
      <w:fldSimple w:instr=" SEQ Tab. \* ARABIC ">
        <w:r w:rsidR="00017C65">
          <w:rPr>
            <w:noProof/>
          </w:rPr>
          <w:t>39</w:t>
        </w:r>
      </w:fldSimple>
      <w:r w:rsidRPr="007B35F2">
        <w:t>. Zielone zamówienia publiczne udzielane przez jednostki administracji rządowej z zastosowaniem art. 242 ust. 2 ustawy Pzp</w:t>
      </w:r>
      <w:bookmarkEnd w:id="206"/>
      <w:bookmarkEnd w:id="20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242 ust. 2 ustawy Pzp."/>
        <w:tblDescription w:val="Tabela. Zielone zamówienia publiczne udzielane przez jednostki administracji rządowej z zastosowaniem art. 242 ust. 2 ustawy Pzp."/>
      </w:tblPr>
      <w:tblGrid>
        <w:gridCol w:w="6941"/>
        <w:gridCol w:w="2121"/>
      </w:tblGrid>
      <w:tr w:rsidR="00547986" w:rsidRPr="00487C10" w14:paraId="1BC70B02" w14:textId="77777777" w:rsidTr="00547986">
        <w:trPr>
          <w:trHeight w:val="300"/>
          <w:jc w:val="center"/>
        </w:trPr>
        <w:tc>
          <w:tcPr>
            <w:tcW w:w="6941" w:type="dxa"/>
            <w:shd w:val="clear" w:color="auto" w:fill="E2EFD9"/>
            <w:noWrap/>
            <w:vAlign w:val="center"/>
          </w:tcPr>
          <w:p w14:paraId="49BDCC02" w14:textId="77777777" w:rsidR="00547986" w:rsidRPr="00487C10" w:rsidRDefault="00547986" w:rsidP="00547986">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61A1F2C9" w14:textId="6D26571D" w:rsidR="00547986" w:rsidRPr="00487C10" w:rsidRDefault="00547986" w:rsidP="00547986">
            <w:pPr>
              <w:jc w:val="center"/>
              <w:rPr>
                <w:rFonts w:cs="Arial"/>
                <w:sz w:val="20"/>
                <w:szCs w:val="20"/>
              </w:rPr>
            </w:pPr>
            <w:r w:rsidRPr="00CC75A8">
              <w:rPr>
                <w:rFonts w:cs="Arial"/>
                <w:sz w:val="20"/>
                <w:szCs w:val="20"/>
              </w:rPr>
              <w:t>259</w:t>
            </w:r>
          </w:p>
        </w:tc>
      </w:tr>
      <w:tr w:rsidR="00547986" w:rsidRPr="00487C10" w14:paraId="4F50A89C" w14:textId="77777777" w:rsidTr="00547986">
        <w:trPr>
          <w:trHeight w:val="300"/>
          <w:jc w:val="center"/>
        </w:trPr>
        <w:tc>
          <w:tcPr>
            <w:tcW w:w="6941" w:type="dxa"/>
            <w:noWrap/>
            <w:vAlign w:val="center"/>
            <w:hideMark/>
          </w:tcPr>
          <w:p w14:paraId="3DFDF9A8" w14:textId="77777777" w:rsidR="00547986" w:rsidRPr="00487C10" w:rsidRDefault="00547986" w:rsidP="00547986">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72E8ECD7" w14:textId="77777777" w:rsidR="00547986" w:rsidRPr="00CC75A8" w:rsidRDefault="00547986" w:rsidP="00547986">
            <w:pPr>
              <w:jc w:val="center"/>
              <w:rPr>
                <w:rFonts w:cs="Arial"/>
                <w:sz w:val="20"/>
                <w:szCs w:val="20"/>
              </w:rPr>
            </w:pPr>
            <w:r w:rsidRPr="00CC75A8">
              <w:rPr>
                <w:rFonts w:cs="Arial"/>
                <w:color w:val="000000"/>
                <w:sz w:val="20"/>
                <w:szCs w:val="20"/>
              </w:rPr>
              <w:t xml:space="preserve">811 924 475,01 </w:t>
            </w:r>
            <w:r w:rsidRPr="00CC75A8">
              <w:rPr>
                <w:rFonts w:cs="Arial"/>
                <w:sz w:val="20"/>
                <w:szCs w:val="20"/>
              </w:rPr>
              <w:t>zł</w:t>
            </w:r>
          </w:p>
          <w:p w14:paraId="2347E29E" w14:textId="6CD2F74D" w:rsidR="00547986" w:rsidRPr="00487C10" w:rsidRDefault="00547986" w:rsidP="00547986">
            <w:pPr>
              <w:jc w:val="center"/>
              <w:rPr>
                <w:rFonts w:cs="Arial"/>
                <w:sz w:val="20"/>
                <w:szCs w:val="20"/>
              </w:rPr>
            </w:pPr>
            <w:r w:rsidRPr="00CC75A8">
              <w:rPr>
                <w:rFonts w:cs="Arial"/>
                <w:sz w:val="20"/>
                <w:szCs w:val="20"/>
              </w:rPr>
              <w:t>(wartość bez VAT)</w:t>
            </w:r>
          </w:p>
        </w:tc>
      </w:tr>
    </w:tbl>
    <w:p w14:paraId="646152D8" w14:textId="77777777" w:rsidR="001C37AF" w:rsidRPr="00487C10" w:rsidRDefault="001C37A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242 ust. 2 ustawy Pzp."/>
        <w:tblDescription w:val="Tabela. Zielone zamówienia publiczne udzielane przez jednostki administracji rządowej z zastosowaniem art. 242 ust. 2 ustawy Pzp."/>
      </w:tblPr>
      <w:tblGrid>
        <w:gridCol w:w="3022"/>
        <w:gridCol w:w="1226"/>
        <w:gridCol w:w="4819"/>
      </w:tblGrid>
      <w:tr w:rsidR="001C37AF" w:rsidRPr="00487C10" w14:paraId="3455B717" w14:textId="77777777" w:rsidTr="00293687">
        <w:trPr>
          <w:trHeight w:val="300"/>
          <w:tblHeader/>
          <w:jc w:val="center"/>
        </w:trPr>
        <w:tc>
          <w:tcPr>
            <w:tcW w:w="3022" w:type="dxa"/>
            <w:shd w:val="clear" w:color="auto" w:fill="C5E0B3"/>
            <w:noWrap/>
            <w:vAlign w:val="center"/>
          </w:tcPr>
          <w:p w14:paraId="04B41113" w14:textId="77777777" w:rsidR="001C37AF" w:rsidRPr="00487C10" w:rsidRDefault="001C37AF" w:rsidP="00554F87">
            <w:pPr>
              <w:jc w:val="center"/>
              <w:rPr>
                <w:rFonts w:cs="Arial"/>
                <w:b/>
                <w:sz w:val="20"/>
                <w:szCs w:val="20"/>
              </w:rPr>
            </w:pPr>
            <w:r w:rsidRPr="00487C10">
              <w:rPr>
                <w:rFonts w:cs="Arial"/>
                <w:b/>
                <w:bCs/>
                <w:sz w:val="20"/>
                <w:szCs w:val="20"/>
              </w:rPr>
              <w:t>Rodzaj zamówienia</w:t>
            </w:r>
          </w:p>
        </w:tc>
        <w:tc>
          <w:tcPr>
            <w:tcW w:w="1226" w:type="dxa"/>
            <w:shd w:val="clear" w:color="auto" w:fill="C5E0B3"/>
            <w:vAlign w:val="center"/>
          </w:tcPr>
          <w:p w14:paraId="0AFFA8E6" w14:textId="77777777" w:rsidR="001C37AF" w:rsidRPr="00487C10" w:rsidRDefault="001C37AF" w:rsidP="00554F87">
            <w:pPr>
              <w:jc w:val="center"/>
              <w:rPr>
                <w:rFonts w:cs="Arial"/>
                <w:b/>
                <w:sz w:val="20"/>
                <w:szCs w:val="20"/>
              </w:rPr>
            </w:pPr>
            <w:r w:rsidRPr="00487C10">
              <w:rPr>
                <w:rFonts w:cs="Arial"/>
                <w:b/>
                <w:sz w:val="20"/>
                <w:szCs w:val="20"/>
              </w:rPr>
              <w:t>Liczba</w:t>
            </w:r>
          </w:p>
        </w:tc>
        <w:tc>
          <w:tcPr>
            <w:tcW w:w="4819" w:type="dxa"/>
            <w:shd w:val="clear" w:color="auto" w:fill="C5E0B3"/>
            <w:vAlign w:val="center"/>
          </w:tcPr>
          <w:p w14:paraId="0CFF2C5E" w14:textId="77777777" w:rsidR="001C37AF" w:rsidRPr="00487C10" w:rsidRDefault="001C37AF" w:rsidP="00554F87">
            <w:pPr>
              <w:jc w:val="center"/>
              <w:rPr>
                <w:rFonts w:cs="Arial"/>
                <w:b/>
                <w:sz w:val="20"/>
                <w:szCs w:val="20"/>
              </w:rPr>
            </w:pPr>
            <w:r w:rsidRPr="00487C10">
              <w:rPr>
                <w:rFonts w:cs="Arial"/>
                <w:b/>
                <w:sz w:val="20"/>
                <w:szCs w:val="20"/>
              </w:rPr>
              <w:t>Wartość (bez VAT)</w:t>
            </w:r>
          </w:p>
        </w:tc>
      </w:tr>
      <w:tr w:rsidR="00536012" w:rsidRPr="00487C10" w14:paraId="5AFAD0BD" w14:textId="77777777" w:rsidTr="00293687">
        <w:trPr>
          <w:trHeight w:val="300"/>
          <w:jc w:val="center"/>
        </w:trPr>
        <w:tc>
          <w:tcPr>
            <w:tcW w:w="3022" w:type="dxa"/>
            <w:noWrap/>
            <w:vAlign w:val="center"/>
          </w:tcPr>
          <w:p w14:paraId="575DB5E3" w14:textId="77777777" w:rsidR="00536012" w:rsidRPr="00487C10" w:rsidRDefault="00536012" w:rsidP="00536012">
            <w:pPr>
              <w:jc w:val="center"/>
              <w:rPr>
                <w:rFonts w:cs="Arial"/>
                <w:bCs/>
                <w:sz w:val="20"/>
                <w:szCs w:val="20"/>
              </w:rPr>
            </w:pPr>
            <w:r w:rsidRPr="00487C10">
              <w:rPr>
                <w:rFonts w:cs="Arial"/>
                <w:bCs/>
                <w:sz w:val="20"/>
                <w:szCs w:val="20"/>
              </w:rPr>
              <w:t>Dostawy</w:t>
            </w:r>
          </w:p>
        </w:tc>
        <w:tc>
          <w:tcPr>
            <w:tcW w:w="1226" w:type="dxa"/>
            <w:noWrap/>
            <w:vAlign w:val="center"/>
          </w:tcPr>
          <w:p w14:paraId="411798B6" w14:textId="47BCD058" w:rsidR="00536012" w:rsidRPr="00487C10" w:rsidRDefault="00536012" w:rsidP="00536012">
            <w:pPr>
              <w:jc w:val="center"/>
              <w:rPr>
                <w:rFonts w:cs="Arial"/>
                <w:sz w:val="20"/>
                <w:szCs w:val="20"/>
              </w:rPr>
            </w:pPr>
            <w:r w:rsidRPr="00CC75A8">
              <w:rPr>
                <w:rFonts w:cs="Arial"/>
                <w:sz w:val="20"/>
                <w:szCs w:val="20"/>
              </w:rPr>
              <w:t>155</w:t>
            </w:r>
          </w:p>
        </w:tc>
        <w:tc>
          <w:tcPr>
            <w:tcW w:w="4819" w:type="dxa"/>
            <w:vAlign w:val="center"/>
          </w:tcPr>
          <w:p w14:paraId="414A5064" w14:textId="3191A306" w:rsidR="00536012" w:rsidRPr="00487C10" w:rsidRDefault="00536012" w:rsidP="00536012">
            <w:pPr>
              <w:jc w:val="center"/>
              <w:rPr>
                <w:rFonts w:cs="Arial"/>
                <w:sz w:val="20"/>
                <w:szCs w:val="20"/>
              </w:rPr>
            </w:pPr>
            <w:r w:rsidRPr="00CC75A8">
              <w:rPr>
                <w:rFonts w:cs="Arial"/>
                <w:color w:val="000000"/>
                <w:sz w:val="20"/>
                <w:szCs w:val="20"/>
              </w:rPr>
              <w:t xml:space="preserve">697 014 584,37 </w:t>
            </w:r>
            <w:r w:rsidRPr="00CC75A8">
              <w:rPr>
                <w:rFonts w:cs="Arial"/>
                <w:sz w:val="20"/>
                <w:szCs w:val="20"/>
              </w:rPr>
              <w:t>zł</w:t>
            </w:r>
          </w:p>
        </w:tc>
      </w:tr>
      <w:tr w:rsidR="00536012" w:rsidRPr="00487C10" w14:paraId="54F4E945" w14:textId="77777777" w:rsidTr="00293687">
        <w:trPr>
          <w:trHeight w:val="300"/>
          <w:jc w:val="center"/>
        </w:trPr>
        <w:tc>
          <w:tcPr>
            <w:tcW w:w="3022" w:type="dxa"/>
            <w:shd w:val="clear" w:color="auto" w:fill="E2EFD9"/>
            <w:noWrap/>
            <w:vAlign w:val="center"/>
            <w:hideMark/>
          </w:tcPr>
          <w:p w14:paraId="6326B647" w14:textId="77777777" w:rsidR="00536012" w:rsidRPr="00487C10" w:rsidRDefault="00536012" w:rsidP="00536012">
            <w:pPr>
              <w:jc w:val="center"/>
              <w:rPr>
                <w:rFonts w:cs="Arial"/>
                <w:bCs/>
                <w:sz w:val="20"/>
                <w:szCs w:val="20"/>
              </w:rPr>
            </w:pPr>
            <w:r w:rsidRPr="00487C10">
              <w:rPr>
                <w:rFonts w:cs="Arial"/>
                <w:bCs/>
                <w:sz w:val="20"/>
                <w:szCs w:val="20"/>
              </w:rPr>
              <w:t>Roboty budowlane</w:t>
            </w:r>
          </w:p>
        </w:tc>
        <w:tc>
          <w:tcPr>
            <w:tcW w:w="1226" w:type="dxa"/>
            <w:shd w:val="clear" w:color="auto" w:fill="E2EFD9"/>
            <w:noWrap/>
            <w:vAlign w:val="center"/>
          </w:tcPr>
          <w:p w14:paraId="5F2BB6E8" w14:textId="3B27FBF7" w:rsidR="00536012" w:rsidRPr="00487C10" w:rsidRDefault="00536012" w:rsidP="00536012">
            <w:pPr>
              <w:jc w:val="center"/>
              <w:rPr>
                <w:rFonts w:cs="Arial"/>
                <w:sz w:val="20"/>
                <w:szCs w:val="20"/>
              </w:rPr>
            </w:pPr>
            <w:r w:rsidRPr="00CC75A8">
              <w:rPr>
                <w:rFonts w:cs="Arial"/>
                <w:sz w:val="20"/>
                <w:szCs w:val="20"/>
              </w:rPr>
              <w:t>3</w:t>
            </w:r>
          </w:p>
        </w:tc>
        <w:tc>
          <w:tcPr>
            <w:tcW w:w="4819" w:type="dxa"/>
            <w:shd w:val="clear" w:color="auto" w:fill="E2EFD9"/>
            <w:vAlign w:val="center"/>
          </w:tcPr>
          <w:p w14:paraId="2B14B873" w14:textId="07FA03F5" w:rsidR="00536012" w:rsidRPr="00487C10" w:rsidRDefault="00536012" w:rsidP="00536012">
            <w:pPr>
              <w:jc w:val="center"/>
              <w:rPr>
                <w:rFonts w:cs="Arial"/>
                <w:sz w:val="20"/>
                <w:szCs w:val="20"/>
              </w:rPr>
            </w:pPr>
            <w:r w:rsidRPr="00CC75A8">
              <w:rPr>
                <w:rFonts w:cs="Arial"/>
                <w:color w:val="000000"/>
                <w:sz w:val="20"/>
                <w:szCs w:val="20"/>
              </w:rPr>
              <w:t xml:space="preserve">8 461 549,57 </w:t>
            </w:r>
            <w:r w:rsidRPr="00CC75A8">
              <w:rPr>
                <w:rFonts w:cs="Arial"/>
                <w:sz w:val="20"/>
                <w:szCs w:val="20"/>
              </w:rPr>
              <w:t>zł</w:t>
            </w:r>
          </w:p>
        </w:tc>
      </w:tr>
      <w:tr w:rsidR="00536012" w:rsidRPr="00487C10" w14:paraId="5A341349" w14:textId="77777777" w:rsidTr="00293687">
        <w:trPr>
          <w:trHeight w:val="300"/>
          <w:jc w:val="center"/>
        </w:trPr>
        <w:tc>
          <w:tcPr>
            <w:tcW w:w="3022" w:type="dxa"/>
            <w:noWrap/>
            <w:vAlign w:val="center"/>
          </w:tcPr>
          <w:p w14:paraId="52A5DF92" w14:textId="77777777" w:rsidR="00536012" w:rsidRPr="00487C10" w:rsidRDefault="00536012" w:rsidP="00536012">
            <w:pPr>
              <w:jc w:val="center"/>
              <w:rPr>
                <w:rFonts w:cs="Arial"/>
                <w:bCs/>
                <w:sz w:val="20"/>
                <w:szCs w:val="20"/>
              </w:rPr>
            </w:pPr>
            <w:r w:rsidRPr="00487C10">
              <w:rPr>
                <w:rFonts w:cs="Arial"/>
                <w:bCs/>
                <w:sz w:val="20"/>
                <w:szCs w:val="20"/>
              </w:rPr>
              <w:t>Usługi</w:t>
            </w:r>
          </w:p>
        </w:tc>
        <w:tc>
          <w:tcPr>
            <w:tcW w:w="1226" w:type="dxa"/>
            <w:noWrap/>
            <w:vAlign w:val="center"/>
          </w:tcPr>
          <w:p w14:paraId="407EC645" w14:textId="1D767D96" w:rsidR="00536012" w:rsidRPr="00487C10" w:rsidRDefault="00536012" w:rsidP="00536012">
            <w:pPr>
              <w:jc w:val="center"/>
              <w:rPr>
                <w:rFonts w:cs="Arial"/>
                <w:sz w:val="20"/>
                <w:szCs w:val="20"/>
              </w:rPr>
            </w:pPr>
            <w:r w:rsidRPr="00CC75A8">
              <w:rPr>
                <w:rFonts w:cs="Arial"/>
                <w:sz w:val="20"/>
                <w:szCs w:val="20"/>
              </w:rPr>
              <w:t>101</w:t>
            </w:r>
          </w:p>
        </w:tc>
        <w:tc>
          <w:tcPr>
            <w:tcW w:w="4819" w:type="dxa"/>
            <w:vAlign w:val="center"/>
          </w:tcPr>
          <w:p w14:paraId="5A8923ED" w14:textId="65BCA414" w:rsidR="00536012" w:rsidRPr="00487C10" w:rsidRDefault="00536012" w:rsidP="00536012">
            <w:pPr>
              <w:jc w:val="center"/>
              <w:rPr>
                <w:rFonts w:cs="Arial"/>
                <w:sz w:val="20"/>
                <w:szCs w:val="20"/>
              </w:rPr>
            </w:pPr>
            <w:r w:rsidRPr="00CC75A8">
              <w:rPr>
                <w:rFonts w:cs="Arial"/>
                <w:color w:val="000000"/>
                <w:sz w:val="20"/>
                <w:szCs w:val="20"/>
              </w:rPr>
              <w:t xml:space="preserve">106 448 341,07 </w:t>
            </w:r>
            <w:r w:rsidRPr="00CC75A8">
              <w:rPr>
                <w:rFonts w:cs="Arial"/>
                <w:sz w:val="20"/>
                <w:szCs w:val="20"/>
              </w:rPr>
              <w:t>zł</w:t>
            </w:r>
          </w:p>
        </w:tc>
      </w:tr>
    </w:tbl>
    <w:p w14:paraId="713113B7" w14:textId="52E17FF6" w:rsidR="001C37AF" w:rsidRPr="008F2DFC" w:rsidRDefault="00702A09" w:rsidP="00852522">
      <w:pPr>
        <w:pStyle w:val="Nagwek4"/>
      </w:pPr>
      <w:r>
        <w:t xml:space="preserve">4.2.4. </w:t>
      </w:r>
      <w:r w:rsidR="001C37AF" w:rsidRPr="008F2DFC">
        <w:t>Zastosowanie kryterium kosztu z wykorzystaniem rachunku kosztów cyklu życia, o którym mowa w art. 245 ust. 1 ustawy Pzp</w:t>
      </w:r>
    </w:p>
    <w:p w14:paraId="53009DB9" w14:textId="0FC466AA" w:rsidR="008F2DFC" w:rsidRPr="00A232C4" w:rsidRDefault="008F2DFC" w:rsidP="006C14EB">
      <w:pPr>
        <w:pStyle w:val="Legenda"/>
      </w:pPr>
      <w:bookmarkStart w:id="208" w:name="_Toc141276562"/>
      <w:bookmarkStart w:id="209" w:name="_Toc233203412"/>
      <w:r w:rsidRPr="00422D16">
        <w:lastRenderedPageBreak/>
        <w:t xml:space="preserve">Tab. </w:t>
      </w:r>
      <w:fldSimple w:instr=" SEQ Tab. \* ARABIC ">
        <w:r w:rsidR="00017C65">
          <w:rPr>
            <w:noProof/>
          </w:rPr>
          <w:t>40</w:t>
        </w:r>
      </w:fldSimple>
      <w:r w:rsidRPr="00422D16">
        <w:t>. Zielone zamówienia publiczne udzielane przez jednostki administracji rządowej z zastosowaniem art. 245 ust. 1 ustawy Pzp</w:t>
      </w:r>
      <w:bookmarkEnd w:id="208"/>
      <w:bookmarkEnd w:id="20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245 ust. 1 ustawy Pzp."/>
        <w:tblDescription w:val="Tabela. Zielone zamówienia publiczne udzielane przez jednostki administracji rządowej z zastosowaniem art. 245 ust. 1 ustawy Pzp."/>
      </w:tblPr>
      <w:tblGrid>
        <w:gridCol w:w="6941"/>
        <w:gridCol w:w="2121"/>
      </w:tblGrid>
      <w:tr w:rsidR="00477A1C" w:rsidRPr="00487C10" w14:paraId="515E317D" w14:textId="77777777" w:rsidTr="00477A1C">
        <w:trPr>
          <w:trHeight w:val="300"/>
          <w:jc w:val="center"/>
        </w:trPr>
        <w:tc>
          <w:tcPr>
            <w:tcW w:w="6941" w:type="dxa"/>
            <w:shd w:val="clear" w:color="auto" w:fill="E2EFD9"/>
            <w:noWrap/>
            <w:vAlign w:val="center"/>
          </w:tcPr>
          <w:p w14:paraId="114F96FF" w14:textId="77777777" w:rsidR="00477A1C" w:rsidRPr="00487C10" w:rsidRDefault="00477A1C" w:rsidP="00477A1C">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29468F6A" w14:textId="18BE4FC8" w:rsidR="00477A1C" w:rsidRPr="00487C10" w:rsidRDefault="00477A1C" w:rsidP="00477A1C">
            <w:pPr>
              <w:jc w:val="center"/>
              <w:rPr>
                <w:rFonts w:cs="Arial"/>
                <w:sz w:val="20"/>
                <w:szCs w:val="20"/>
              </w:rPr>
            </w:pPr>
            <w:r w:rsidRPr="00CC75A8">
              <w:rPr>
                <w:rFonts w:cs="Arial"/>
                <w:sz w:val="20"/>
                <w:szCs w:val="20"/>
              </w:rPr>
              <w:t>2</w:t>
            </w:r>
          </w:p>
        </w:tc>
      </w:tr>
      <w:tr w:rsidR="00477A1C" w:rsidRPr="00487C10" w14:paraId="41D7C32F" w14:textId="77777777" w:rsidTr="00477A1C">
        <w:trPr>
          <w:trHeight w:val="300"/>
          <w:jc w:val="center"/>
        </w:trPr>
        <w:tc>
          <w:tcPr>
            <w:tcW w:w="6941" w:type="dxa"/>
            <w:noWrap/>
            <w:vAlign w:val="center"/>
            <w:hideMark/>
          </w:tcPr>
          <w:p w14:paraId="259D5AFC" w14:textId="77777777" w:rsidR="00477A1C" w:rsidRPr="00487C10" w:rsidRDefault="00477A1C" w:rsidP="00477A1C">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580766B3" w14:textId="77777777" w:rsidR="00477A1C" w:rsidRPr="00CC75A8" w:rsidRDefault="00477A1C" w:rsidP="00477A1C">
            <w:pPr>
              <w:jc w:val="center"/>
              <w:rPr>
                <w:rFonts w:cs="Arial"/>
                <w:sz w:val="20"/>
                <w:szCs w:val="20"/>
              </w:rPr>
            </w:pPr>
            <w:r w:rsidRPr="00CC75A8">
              <w:rPr>
                <w:rFonts w:cs="Arial"/>
                <w:color w:val="000000"/>
                <w:sz w:val="20"/>
                <w:szCs w:val="20"/>
              </w:rPr>
              <w:t xml:space="preserve">19 942 200,00 </w:t>
            </w:r>
            <w:r w:rsidRPr="00CC75A8">
              <w:rPr>
                <w:rFonts w:cs="Arial"/>
                <w:sz w:val="20"/>
                <w:szCs w:val="20"/>
              </w:rPr>
              <w:t>zł</w:t>
            </w:r>
          </w:p>
          <w:p w14:paraId="66805CA0" w14:textId="2EFBBFF6" w:rsidR="00477A1C" w:rsidRPr="00487C10" w:rsidRDefault="00477A1C" w:rsidP="00477A1C">
            <w:pPr>
              <w:jc w:val="center"/>
              <w:rPr>
                <w:rFonts w:cs="Arial"/>
                <w:sz w:val="20"/>
                <w:szCs w:val="20"/>
              </w:rPr>
            </w:pPr>
            <w:r w:rsidRPr="00CC75A8">
              <w:rPr>
                <w:rFonts w:cs="Arial"/>
                <w:sz w:val="20"/>
                <w:szCs w:val="20"/>
              </w:rPr>
              <w:t>(wartość bez VAT)</w:t>
            </w:r>
          </w:p>
        </w:tc>
      </w:tr>
    </w:tbl>
    <w:p w14:paraId="0D67AA29" w14:textId="77777777" w:rsidR="001C37AF" w:rsidRPr="00487C10" w:rsidRDefault="001C37A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245 ust. 1 ustawy Pzp."/>
        <w:tblDescription w:val="Tabela. Zielone zamówienia publiczne udzielane przez jednostki administracji rządowej z zastosowaniem art. 245 ust. 1 ustawy Pzp."/>
      </w:tblPr>
      <w:tblGrid>
        <w:gridCol w:w="3022"/>
        <w:gridCol w:w="1368"/>
        <w:gridCol w:w="4677"/>
      </w:tblGrid>
      <w:tr w:rsidR="001C37AF" w:rsidRPr="00487C10" w14:paraId="0DF87C4A" w14:textId="77777777" w:rsidTr="00293687">
        <w:trPr>
          <w:trHeight w:val="300"/>
          <w:tblHeader/>
          <w:jc w:val="center"/>
        </w:trPr>
        <w:tc>
          <w:tcPr>
            <w:tcW w:w="3022" w:type="dxa"/>
            <w:shd w:val="clear" w:color="auto" w:fill="C5E0B3"/>
            <w:noWrap/>
            <w:vAlign w:val="center"/>
          </w:tcPr>
          <w:p w14:paraId="5CF79054" w14:textId="77777777" w:rsidR="001C37AF" w:rsidRPr="00487C10" w:rsidRDefault="001C37AF" w:rsidP="00702A09">
            <w:pPr>
              <w:jc w:val="center"/>
              <w:rPr>
                <w:rFonts w:cs="Arial"/>
                <w:b/>
                <w:sz w:val="20"/>
                <w:szCs w:val="20"/>
              </w:rPr>
            </w:pPr>
            <w:r w:rsidRPr="00487C10">
              <w:rPr>
                <w:rFonts w:cs="Arial"/>
                <w:b/>
                <w:bCs/>
                <w:sz w:val="20"/>
                <w:szCs w:val="20"/>
              </w:rPr>
              <w:t>Rodzaj zamówienia</w:t>
            </w:r>
          </w:p>
        </w:tc>
        <w:tc>
          <w:tcPr>
            <w:tcW w:w="1368" w:type="dxa"/>
            <w:shd w:val="clear" w:color="auto" w:fill="C5E0B3"/>
            <w:vAlign w:val="center"/>
          </w:tcPr>
          <w:p w14:paraId="2068D184" w14:textId="77777777" w:rsidR="001C37AF" w:rsidRPr="00487C10" w:rsidRDefault="001C37AF" w:rsidP="00702A09">
            <w:pPr>
              <w:jc w:val="center"/>
              <w:rPr>
                <w:rFonts w:cs="Arial"/>
                <w:b/>
                <w:sz w:val="20"/>
                <w:szCs w:val="20"/>
              </w:rPr>
            </w:pPr>
            <w:r w:rsidRPr="00487C10">
              <w:rPr>
                <w:rFonts w:cs="Arial"/>
                <w:b/>
                <w:sz w:val="20"/>
                <w:szCs w:val="20"/>
              </w:rPr>
              <w:t>Liczba</w:t>
            </w:r>
          </w:p>
        </w:tc>
        <w:tc>
          <w:tcPr>
            <w:tcW w:w="4677" w:type="dxa"/>
            <w:shd w:val="clear" w:color="auto" w:fill="C5E0B3"/>
            <w:vAlign w:val="center"/>
          </w:tcPr>
          <w:p w14:paraId="703A771D" w14:textId="77777777" w:rsidR="001C37AF" w:rsidRPr="00487C10" w:rsidRDefault="001C37AF" w:rsidP="00702A09">
            <w:pPr>
              <w:jc w:val="center"/>
              <w:rPr>
                <w:rFonts w:cs="Arial"/>
                <w:b/>
                <w:sz w:val="20"/>
                <w:szCs w:val="20"/>
              </w:rPr>
            </w:pPr>
            <w:r w:rsidRPr="00487C10">
              <w:rPr>
                <w:rFonts w:cs="Arial"/>
                <w:b/>
                <w:sz w:val="20"/>
                <w:szCs w:val="20"/>
              </w:rPr>
              <w:t>Wartość (bez VAT)</w:t>
            </w:r>
          </w:p>
        </w:tc>
      </w:tr>
      <w:tr w:rsidR="000A546A" w:rsidRPr="00487C10" w14:paraId="05C744EA" w14:textId="77777777" w:rsidTr="00293687">
        <w:trPr>
          <w:trHeight w:val="300"/>
          <w:jc w:val="center"/>
        </w:trPr>
        <w:tc>
          <w:tcPr>
            <w:tcW w:w="3022" w:type="dxa"/>
            <w:noWrap/>
            <w:vAlign w:val="center"/>
          </w:tcPr>
          <w:p w14:paraId="10C4D3F7" w14:textId="77777777" w:rsidR="000A546A" w:rsidRPr="00487C10" w:rsidRDefault="000A546A" w:rsidP="000A546A">
            <w:pPr>
              <w:jc w:val="center"/>
              <w:rPr>
                <w:rFonts w:cs="Arial"/>
                <w:bCs/>
                <w:sz w:val="20"/>
                <w:szCs w:val="20"/>
              </w:rPr>
            </w:pPr>
            <w:r w:rsidRPr="00487C10">
              <w:rPr>
                <w:rFonts w:cs="Arial"/>
                <w:bCs/>
                <w:sz w:val="20"/>
                <w:szCs w:val="20"/>
              </w:rPr>
              <w:t>Dostawy</w:t>
            </w:r>
          </w:p>
        </w:tc>
        <w:tc>
          <w:tcPr>
            <w:tcW w:w="1368" w:type="dxa"/>
            <w:noWrap/>
            <w:vAlign w:val="center"/>
          </w:tcPr>
          <w:p w14:paraId="6A045D3B" w14:textId="769B7EB7" w:rsidR="000A546A" w:rsidRPr="00487C10" w:rsidRDefault="000A546A" w:rsidP="000A546A">
            <w:pPr>
              <w:jc w:val="center"/>
              <w:rPr>
                <w:rFonts w:cs="Arial"/>
                <w:sz w:val="20"/>
                <w:szCs w:val="20"/>
              </w:rPr>
            </w:pPr>
            <w:r w:rsidRPr="00CC75A8">
              <w:rPr>
                <w:rFonts w:cs="Arial"/>
                <w:sz w:val="20"/>
                <w:szCs w:val="20"/>
              </w:rPr>
              <w:t>2</w:t>
            </w:r>
          </w:p>
        </w:tc>
        <w:tc>
          <w:tcPr>
            <w:tcW w:w="4677" w:type="dxa"/>
            <w:vAlign w:val="center"/>
          </w:tcPr>
          <w:p w14:paraId="44798A9B" w14:textId="46592A07" w:rsidR="000A546A" w:rsidRPr="00487C10" w:rsidRDefault="000A546A" w:rsidP="000A546A">
            <w:pPr>
              <w:jc w:val="center"/>
              <w:rPr>
                <w:rFonts w:cs="Arial"/>
                <w:sz w:val="20"/>
                <w:szCs w:val="20"/>
              </w:rPr>
            </w:pPr>
            <w:r w:rsidRPr="00CC75A8">
              <w:rPr>
                <w:rFonts w:cs="Arial"/>
                <w:color w:val="000000"/>
                <w:sz w:val="20"/>
                <w:szCs w:val="20"/>
              </w:rPr>
              <w:t xml:space="preserve">19 942 200,00 </w:t>
            </w:r>
            <w:r w:rsidRPr="00CC75A8">
              <w:rPr>
                <w:rFonts w:cs="Arial"/>
                <w:sz w:val="20"/>
                <w:szCs w:val="20"/>
              </w:rPr>
              <w:t>zł</w:t>
            </w:r>
          </w:p>
        </w:tc>
      </w:tr>
      <w:tr w:rsidR="000A546A" w:rsidRPr="00487C10" w14:paraId="0046897E" w14:textId="77777777" w:rsidTr="00293687">
        <w:trPr>
          <w:trHeight w:val="300"/>
          <w:jc w:val="center"/>
        </w:trPr>
        <w:tc>
          <w:tcPr>
            <w:tcW w:w="3022" w:type="dxa"/>
            <w:shd w:val="clear" w:color="auto" w:fill="E2EFD9"/>
            <w:noWrap/>
            <w:vAlign w:val="center"/>
            <w:hideMark/>
          </w:tcPr>
          <w:p w14:paraId="48AB6800" w14:textId="77777777" w:rsidR="000A546A" w:rsidRPr="00487C10" w:rsidRDefault="000A546A" w:rsidP="000A546A">
            <w:pPr>
              <w:jc w:val="center"/>
              <w:rPr>
                <w:rFonts w:cs="Arial"/>
                <w:bCs/>
                <w:sz w:val="20"/>
                <w:szCs w:val="20"/>
              </w:rPr>
            </w:pPr>
            <w:r w:rsidRPr="00487C10">
              <w:rPr>
                <w:rFonts w:cs="Arial"/>
                <w:bCs/>
                <w:sz w:val="20"/>
                <w:szCs w:val="20"/>
              </w:rPr>
              <w:t>Roboty budowlane</w:t>
            </w:r>
          </w:p>
        </w:tc>
        <w:tc>
          <w:tcPr>
            <w:tcW w:w="1368" w:type="dxa"/>
            <w:shd w:val="clear" w:color="auto" w:fill="E2EFD9"/>
            <w:noWrap/>
            <w:vAlign w:val="center"/>
          </w:tcPr>
          <w:p w14:paraId="72C19B2B" w14:textId="65AE3438" w:rsidR="000A546A" w:rsidRPr="00487C10" w:rsidRDefault="000A546A" w:rsidP="000A546A">
            <w:pPr>
              <w:jc w:val="center"/>
              <w:rPr>
                <w:rFonts w:cs="Arial"/>
                <w:sz w:val="20"/>
                <w:szCs w:val="20"/>
              </w:rPr>
            </w:pPr>
            <w:r w:rsidRPr="00CC75A8">
              <w:rPr>
                <w:rFonts w:cs="Arial"/>
                <w:sz w:val="20"/>
                <w:szCs w:val="20"/>
              </w:rPr>
              <w:t>0</w:t>
            </w:r>
          </w:p>
        </w:tc>
        <w:tc>
          <w:tcPr>
            <w:tcW w:w="4677" w:type="dxa"/>
            <w:shd w:val="clear" w:color="auto" w:fill="E2EFD9"/>
            <w:vAlign w:val="center"/>
          </w:tcPr>
          <w:p w14:paraId="086AB24B" w14:textId="671634D6" w:rsidR="000A546A" w:rsidRPr="00487C10" w:rsidRDefault="000A546A" w:rsidP="000A546A">
            <w:pPr>
              <w:jc w:val="center"/>
              <w:rPr>
                <w:rFonts w:cs="Arial"/>
                <w:sz w:val="20"/>
                <w:szCs w:val="20"/>
              </w:rPr>
            </w:pPr>
            <w:r w:rsidRPr="00CC75A8">
              <w:rPr>
                <w:rFonts w:cs="Arial"/>
                <w:sz w:val="20"/>
                <w:szCs w:val="20"/>
              </w:rPr>
              <w:t>0,00 zł</w:t>
            </w:r>
          </w:p>
        </w:tc>
      </w:tr>
      <w:tr w:rsidR="000A546A" w:rsidRPr="00487C10" w14:paraId="5B7F7708" w14:textId="77777777" w:rsidTr="00293687">
        <w:trPr>
          <w:trHeight w:val="300"/>
          <w:jc w:val="center"/>
        </w:trPr>
        <w:tc>
          <w:tcPr>
            <w:tcW w:w="3022" w:type="dxa"/>
            <w:noWrap/>
            <w:vAlign w:val="center"/>
          </w:tcPr>
          <w:p w14:paraId="2D155AA0" w14:textId="77777777" w:rsidR="000A546A" w:rsidRPr="00487C10" w:rsidRDefault="000A546A" w:rsidP="000A546A">
            <w:pPr>
              <w:jc w:val="center"/>
              <w:rPr>
                <w:rFonts w:cs="Arial"/>
                <w:bCs/>
                <w:sz w:val="20"/>
                <w:szCs w:val="20"/>
              </w:rPr>
            </w:pPr>
            <w:r w:rsidRPr="00487C10">
              <w:rPr>
                <w:rFonts w:cs="Arial"/>
                <w:bCs/>
                <w:sz w:val="20"/>
                <w:szCs w:val="20"/>
              </w:rPr>
              <w:t>Usługi</w:t>
            </w:r>
          </w:p>
        </w:tc>
        <w:tc>
          <w:tcPr>
            <w:tcW w:w="1368" w:type="dxa"/>
            <w:noWrap/>
            <w:vAlign w:val="center"/>
          </w:tcPr>
          <w:p w14:paraId="27427A47" w14:textId="59F5F68B" w:rsidR="000A546A" w:rsidRPr="00487C10" w:rsidRDefault="000A546A" w:rsidP="000A546A">
            <w:pPr>
              <w:jc w:val="center"/>
              <w:rPr>
                <w:rFonts w:cs="Arial"/>
                <w:sz w:val="20"/>
                <w:szCs w:val="20"/>
              </w:rPr>
            </w:pPr>
            <w:r w:rsidRPr="00CC75A8">
              <w:rPr>
                <w:rFonts w:cs="Arial"/>
                <w:sz w:val="20"/>
                <w:szCs w:val="20"/>
              </w:rPr>
              <w:t>0</w:t>
            </w:r>
          </w:p>
        </w:tc>
        <w:tc>
          <w:tcPr>
            <w:tcW w:w="4677" w:type="dxa"/>
            <w:vAlign w:val="center"/>
          </w:tcPr>
          <w:p w14:paraId="3C59C8F7" w14:textId="4C00158D" w:rsidR="000A546A" w:rsidRPr="00487C10" w:rsidRDefault="000A546A" w:rsidP="000A546A">
            <w:pPr>
              <w:jc w:val="center"/>
              <w:rPr>
                <w:rFonts w:cs="Arial"/>
                <w:sz w:val="20"/>
                <w:szCs w:val="20"/>
              </w:rPr>
            </w:pPr>
            <w:r w:rsidRPr="00CC75A8">
              <w:rPr>
                <w:rFonts w:cs="Arial"/>
                <w:sz w:val="20"/>
                <w:szCs w:val="20"/>
              </w:rPr>
              <w:t>0,00 zł</w:t>
            </w:r>
          </w:p>
        </w:tc>
      </w:tr>
    </w:tbl>
    <w:p w14:paraId="4322F7B8" w14:textId="0A0C63AA" w:rsidR="001C37AF" w:rsidRPr="008F2DFC" w:rsidRDefault="00B525F6" w:rsidP="00852522">
      <w:pPr>
        <w:pStyle w:val="Nagwek4"/>
      </w:pPr>
      <w:r>
        <w:t xml:space="preserve">4.2.5. </w:t>
      </w:r>
      <w:r w:rsidR="001C37AF" w:rsidRPr="008F2DFC">
        <w:t>Określenie wymagań zw. z realizacją zamówienia obejmujących aspekty środowiskowe, o których mowa w art. 96 ust. 1 ustawy Pzp</w:t>
      </w:r>
    </w:p>
    <w:p w14:paraId="50077ADD" w14:textId="264CD0BF" w:rsidR="008F2DFC" w:rsidRPr="00A232C4" w:rsidRDefault="008F2DFC" w:rsidP="006C14EB">
      <w:pPr>
        <w:pStyle w:val="Legenda"/>
      </w:pPr>
      <w:bookmarkStart w:id="210" w:name="_Toc141276563"/>
      <w:bookmarkStart w:id="211" w:name="_Toc233203413"/>
      <w:r w:rsidRPr="00563E12">
        <w:t xml:space="preserve">Tab. </w:t>
      </w:r>
      <w:fldSimple w:instr=" SEQ Tab. \* ARABIC ">
        <w:r w:rsidR="00017C65">
          <w:rPr>
            <w:noProof/>
          </w:rPr>
          <w:t>41</w:t>
        </w:r>
      </w:fldSimple>
      <w:r w:rsidRPr="00563E12">
        <w:t>. Zielone zamówienia publiczne udzielane przez jednostki administracji rządowej z zastosowaniem art. 96 ust. 1 ustawy Pzp</w:t>
      </w:r>
      <w:bookmarkEnd w:id="210"/>
      <w:bookmarkEnd w:id="21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96 ust. 1 ustawy Pzp."/>
        <w:tblDescription w:val="Tabela. Zielone zamówienia publiczne udzielane przez jednostki administracji rządowej z zastosowaniem art. 96 ust. 1 ustawy Pzp."/>
      </w:tblPr>
      <w:tblGrid>
        <w:gridCol w:w="6941"/>
        <w:gridCol w:w="2121"/>
      </w:tblGrid>
      <w:tr w:rsidR="00CA6EEE" w:rsidRPr="00487C10" w14:paraId="7EBD254C" w14:textId="77777777" w:rsidTr="00CA6EEE">
        <w:trPr>
          <w:trHeight w:val="300"/>
          <w:jc w:val="center"/>
        </w:trPr>
        <w:tc>
          <w:tcPr>
            <w:tcW w:w="6941" w:type="dxa"/>
            <w:shd w:val="clear" w:color="auto" w:fill="E2EFD9"/>
            <w:noWrap/>
            <w:vAlign w:val="center"/>
          </w:tcPr>
          <w:p w14:paraId="363F2152" w14:textId="77777777" w:rsidR="00CA6EEE" w:rsidRPr="00487C10" w:rsidRDefault="00CA6EEE" w:rsidP="00CA6EEE">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28F8A116" w14:textId="31B21896" w:rsidR="00CA6EEE" w:rsidRPr="00487C10" w:rsidRDefault="00CA6EEE" w:rsidP="00CA6EEE">
            <w:pPr>
              <w:jc w:val="center"/>
              <w:rPr>
                <w:rFonts w:cs="Arial"/>
                <w:sz w:val="20"/>
                <w:szCs w:val="20"/>
              </w:rPr>
            </w:pPr>
            <w:r w:rsidRPr="00CC75A8">
              <w:rPr>
                <w:rFonts w:cs="Arial"/>
                <w:sz w:val="20"/>
                <w:szCs w:val="20"/>
              </w:rPr>
              <w:t>323</w:t>
            </w:r>
          </w:p>
        </w:tc>
      </w:tr>
      <w:tr w:rsidR="00CA6EEE" w:rsidRPr="00487C10" w14:paraId="515C21CB" w14:textId="77777777" w:rsidTr="00CA6EEE">
        <w:trPr>
          <w:trHeight w:val="300"/>
          <w:jc w:val="center"/>
        </w:trPr>
        <w:tc>
          <w:tcPr>
            <w:tcW w:w="6941" w:type="dxa"/>
            <w:noWrap/>
            <w:vAlign w:val="center"/>
            <w:hideMark/>
          </w:tcPr>
          <w:p w14:paraId="394CD077" w14:textId="77777777" w:rsidR="00CA6EEE" w:rsidRPr="00487C10" w:rsidRDefault="00CA6EEE" w:rsidP="00CA6EEE">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18661207" w14:textId="77777777" w:rsidR="00CA6EEE" w:rsidRPr="00CC75A8" w:rsidRDefault="00CA6EEE" w:rsidP="00CA6EEE">
            <w:pPr>
              <w:jc w:val="center"/>
              <w:rPr>
                <w:rFonts w:cs="Arial"/>
                <w:sz w:val="20"/>
                <w:szCs w:val="20"/>
              </w:rPr>
            </w:pPr>
            <w:r w:rsidRPr="00CC75A8">
              <w:rPr>
                <w:rFonts w:cs="Arial"/>
                <w:color w:val="000000"/>
                <w:sz w:val="20"/>
                <w:szCs w:val="20"/>
              </w:rPr>
              <w:t xml:space="preserve">654 996 533,30 </w:t>
            </w:r>
            <w:r w:rsidRPr="00CC75A8">
              <w:rPr>
                <w:rFonts w:cs="Arial"/>
                <w:sz w:val="20"/>
                <w:szCs w:val="20"/>
              </w:rPr>
              <w:t>zł</w:t>
            </w:r>
          </w:p>
          <w:p w14:paraId="2BCFD741" w14:textId="1ECE60B9" w:rsidR="00CA6EEE" w:rsidRPr="00487C10" w:rsidRDefault="00CA6EEE" w:rsidP="00CA6EEE">
            <w:pPr>
              <w:jc w:val="center"/>
              <w:rPr>
                <w:rFonts w:cs="Arial"/>
                <w:sz w:val="20"/>
                <w:szCs w:val="20"/>
              </w:rPr>
            </w:pPr>
            <w:r w:rsidRPr="00CC75A8">
              <w:rPr>
                <w:rFonts w:cs="Arial"/>
                <w:sz w:val="20"/>
                <w:szCs w:val="20"/>
              </w:rPr>
              <w:t>(wartość bez VAT)</w:t>
            </w:r>
          </w:p>
        </w:tc>
      </w:tr>
    </w:tbl>
    <w:p w14:paraId="5689414F" w14:textId="77777777" w:rsidR="001C37AF" w:rsidRPr="00487C10" w:rsidRDefault="001C37A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96 ust. 1 ustawy Pzp."/>
        <w:tblDescription w:val="Tabela. Zielone zamówienia publiczne udzielane przez jednostki administracji rządowej z zastosowaniem art. 96 ust. 1 ustawy Pzp."/>
      </w:tblPr>
      <w:tblGrid>
        <w:gridCol w:w="3022"/>
        <w:gridCol w:w="1226"/>
        <w:gridCol w:w="4819"/>
      </w:tblGrid>
      <w:tr w:rsidR="001C37AF" w:rsidRPr="00487C10" w14:paraId="3D3FB7E3" w14:textId="77777777" w:rsidTr="00293687">
        <w:trPr>
          <w:trHeight w:val="300"/>
          <w:tblHeader/>
          <w:jc w:val="center"/>
        </w:trPr>
        <w:tc>
          <w:tcPr>
            <w:tcW w:w="3022" w:type="dxa"/>
            <w:shd w:val="clear" w:color="auto" w:fill="C5E0B3"/>
            <w:noWrap/>
            <w:vAlign w:val="center"/>
          </w:tcPr>
          <w:p w14:paraId="6A9B685C" w14:textId="77777777" w:rsidR="001C37AF" w:rsidRPr="00487C10" w:rsidRDefault="001C37AF" w:rsidP="000E2EC3">
            <w:pPr>
              <w:jc w:val="center"/>
              <w:rPr>
                <w:rFonts w:cs="Arial"/>
                <w:b/>
                <w:sz w:val="20"/>
                <w:szCs w:val="20"/>
              </w:rPr>
            </w:pPr>
            <w:r w:rsidRPr="00487C10">
              <w:rPr>
                <w:rFonts w:cs="Arial"/>
                <w:b/>
                <w:bCs/>
                <w:sz w:val="20"/>
                <w:szCs w:val="20"/>
              </w:rPr>
              <w:t>Rodzaj zamówienia</w:t>
            </w:r>
          </w:p>
        </w:tc>
        <w:tc>
          <w:tcPr>
            <w:tcW w:w="1226" w:type="dxa"/>
            <w:shd w:val="clear" w:color="auto" w:fill="C5E0B3"/>
            <w:vAlign w:val="center"/>
          </w:tcPr>
          <w:p w14:paraId="66FF8A81" w14:textId="77777777" w:rsidR="001C37AF" w:rsidRPr="00487C10" w:rsidRDefault="001C37AF" w:rsidP="000E2EC3">
            <w:pPr>
              <w:jc w:val="center"/>
              <w:rPr>
                <w:rFonts w:cs="Arial"/>
                <w:b/>
                <w:sz w:val="20"/>
                <w:szCs w:val="20"/>
              </w:rPr>
            </w:pPr>
            <w:r w:rsidRPr="00487C10">
              <w:rPr>
                <w:rFonts w:cs="Arial"/>
                <w:b/>
                <w:sz w:val="20"/>
                <w:szCs w:val="20"/>
              </w:rPr>
              <w:t>Liczba</w:t>
            </w:r>
          </w:p>
        </w:tc>
        <w:tc>
          <w:tcPr>
            <w:tcW w:w="4819" w:type="dxa"/>
            <w:shd w:val="clear" w:color="auto" w:fill="C5E0B3"/>
            <w:vAlign w:val="center"/>
          </w:tcPr>
          <w:p w14:paraId="74716514" w14:textId="77777777" w:rsidR="001C37AF" w:rsidRPr="00487C10" w:rsidRDefault="001C37AF" w:rsidP="000E2EC3">
            <w:pPr>
              <w:jc w:val="center"/>
              <w:rPr>
                <w:rFonts w:cs="Arial"/>
                <w:b/>
                <w:sz w:val="20"/>
                <w:szCs w:val="20"/>
              </w:rPr>
            </w:pPr>
            <w:r w:rsidRPr="00487C10">
              <w:rPr>
                <w:rFonts w:cs="Arial"/>
                <w:b/>
                <w:sz w:val="20"/>
                <w:szCs w:val="20"/>
              </w:rPr>
              <w:t>Wartość (bez VAT)</w:t>
            </w:r>
          </w:p>
        </w:tc>
      </w:tr>
      <w:tr w:rsidR="003807A7" w:rsidRPr="00487C10" w14:paraId="631F929A" w14:textId="77777777" w:rsidTr="00293687">
        <w:trPr>
          <w:trHeight w:val="300"/>
          <w:jc w:val="center"/>
        </w:trPr>
        <w:tc>
          <w:tcPr>
            <w:tcW w:w="3022" w:type="dxa"/>
            <w:noWrap/>
            <w:vAlign w:val="center"/>
          </w:tcPr>
          <w:p w14:paraId="507E509D" w14:textId="77777777" w:rsidR="003807A7" w:rsidRPr="00487C10" w:rsidRDefault="003807A7" w:rsidP="003807A7">
            <w:pPr>
              <w:jc w:val="center"/>
              <w:rPr>
                <w:rFonts w:cs="Arial"/>
                <w:bCs/>
                <w:sz w:val="20"/>
                <w:szCs w:val="20"/>
              </w:rPr>
            </w:pPr>
            <w:r w:rsidRPr="00487C10">
              <w:rPr>
                <w:rFonts w:cs="Arial"/>
                <w:bCs/>
                <w:sz w:val="20"/>
                <w:szCs w:val="20"/>
              </w:rPr>
              <w:t>Dostawy</w:t>
            </w:r>
          </w:p>
        </w:tc>
        <w:tc>
          <w:tcPr>
            <w:tcW w:w="1226" w:type="dxa"/>
            <w:noWrap/>
            <w:vAlign w:val="center"/>
          </w:tcPr>
          <w:p w14:paraId="18E76603" w14:textId="1D141AEA" w:rsidR="003807A7" w:rsidRPr="00487C10" w:rsidRDefault="003807A7" w:rsidP="003807A7">
            <w:pPr>
              <w:jc w:val="center"/>
              <w:rPr>
                <w:rFonts w:cs="Arial"/>
                <w:sz w:val="20"/>
                <w:szCs w:val="20"/>
              </w:rPr>
            </w:pPr>
            <w:r w:rsidRPr="00CC75A8">
              <w:rPr>
                <w:rFonts w:cs="Arial"/>
                <w:sz w:val="20"/>
                <w:szCs w:val="20"/>
              </w:rPr>
              <w:t>168</w:t>
            </w:r>
          </w:p>
        </w:tc>
        <w:tc>
          <w:tcPr>
            <w:tcW w:w="4819" w:type="dxa"/>
            <w:vAlign w:val="center"/>
          </w:tcPr>
          <w:p w14:paraId="004145CE" w14:textId="27594732" w:rsidR="003807A7" w:rsidRPr="00487C10" w:rsidRDefault="003807A7" w:rsidP="003807A7">
            <w:pPr>
              <w:jc w:val="center"/>
              <w:rPr>
                <w:rFonts w:cs="Arial"/>
                <w:sz w:val="20"/>
                <w:szCs w:val="20"/>
              </w:rPr>
            </w:pPr>
            <w:r w:rsidRPr="00CC75A8">
              <w:rPr>
                <w:rFonts w:cs="Arial"/>
                <w:color w:val="000000"/>
                <w:sz w:val="20"/>
                <w:szCs w:val="20"/>
              </w:rPr>
              <w:t xml:space="preserve">202 062 700,87 </w:t>
            </w:r>
            <w:r w:rsidRPr="00CC75A8">
              <w:rPr>
                <w:rFonts w:cs="Arial"/>
                <w:sz w:val="20"/>
                <w:szCs w:val="20"/>
              </w:rPr>
              <w:t>zł</w:t>
            </w:r>
          </w:p>
        </w:tc>
      </w:tr>
      <w:tr w:rsidR="003807A7" w:rsidRPr="00487C10" w14:paraId="4891A2BB" w14:textId="77777777" w:rsidTr="00293687">
        <w:trPr>
          <w:trHeight w:val="300"/>
          <w:jc w:val="center"/>
        </w:trPr>
        <w:tc>
          <w:tcPr>
            <w:tcW w:w="3022" w:type="dxa"/>
            <w:shd w:val="clear" w:color="auto" w:fill="E2EFD9"/>
            <w:noWrap/>
            <w:vAlign w:val="center"/>
            <w:hideMark/>
          </w:tcPr>
          <w:p w14:paraId="4D480293" w14:textId="77777777" w:rsidR="003807A7" w:rsidRPr="00487C10" w:rsidRDefault="003807A7" w:rsidP="003807A7">
            <w:pPr>
              <w:jc w:val="center"/>
              <w:rPr>
                <w:rFonts w:cs="Arial"/>
                <w:bCs/>
                <w:sz w:val="20"/>
                <w:szCs w:val="20"/>
              </w:rPr>
            </w:pPr>
            <w:r w:rsidRPr="00487C10">
              <w:rPr>
                <w:rFonts w:cs="Arial"/>
                <w:bCs/>
                <w:sz w:val="20"/>
                <w:szCs w:val="20"/>
              </w:rPr>
              <w:t>Roboty budowlane</w:t>
            </w:r>
          </w:p>
        </w:tc>
        <w:tc>
          <w:tcPr>
            <w:tcW w:w="1226" w:type="dxa"/>
            <w:shd w:val="clear" w:color="auto" w:fill="E2EFD9"/>
            <w:noWrap/>
            <w:vAlign w:val="center"/>
          </w:tcPr>
          <w:p w14:paraId="5E97A774" w14:textId="270D07E2" w:rsidR="003807A7" w:rsidRPr="00487C10" w:rsidRDefault="003807A7" w:rsidP="003807A7">
            <w:pPr>
              <w:jc w:val="center"/>
              <w:rPr>
                <w:rFonts w:cs="Arial"/>
                <w:sz w:val="20"/>
                <w:szCs w:val="20"/>
              </w:rPr>
            </w:pPr>
            <w:r w:rsidRPr="00CC75A8">
              <w:rPr>
                <w:rFonts w:cs="Arial"/>
                <w:sz w:val="20"/>
                <w:szCs w:val="20"/>
              </w:rPr>
              <w:t>28</w:t>
            </w:r>
          </w:p>
        </w:tc>
        <w:tc>
          <w:tcPr>
            <w:tcW w:w="4819" w:type="dxa"/>
            <w:shd w:val="clear" w:color="auto" w:fill="E2EFD9"/>
            <w:vAlign w:val="center"/>
          </w:tcPr>
          <w:p w14:paraId="7AFFF61D" w14:textId="39F41DDA" w:rsidR="003807A7" w:rsidRPr="00487C10" w:rsidRDefault="003807A7" w:rsidP="003807A7">
            <w:pPr>
              <w:jc w:val="center"/>
              <w:rPr>
                <w:rFonts w:cs="Arial"/>
                <w:sz w:val="20"/>
                <w:szCs w:val="20"/>
              </w:rPr>
            </w:pPr>
            <w:r w:rsidRPr="00CC75A8">
              <w:rPr>
                <w:rFonts w:cs="Arial"/>
                <w:color w:val="000000"/>
                <w:sz w:val="20"/>
                <w:szCs w:val="20"/>
              </w:rPr>
              <w:t xml:space="preserve">329 021 100,47 </w:t>
            </w:r>
            <w:r w:rsidRPr="00CC75A8">
              <w:rPr>
                <w:rFonts w:cs="Arial"/>
                <w:sz w:val="20"/>
                <w:szCs w:val="20"/>
              </w:rPr>
              <w:t>zł</w:t>
            </w:r>
          </w:p>
        </w:tc>
      </w:tr>
      <w:tr w:rsidR="003807A7" w:rsidRPr="00487C10" w14:paraId="042FEA7B" w14:textId="77777777" w:rsidTr="00293687">
        <w:trPr>
          <w:trHeight w:val="300"/>
          <w:jc w:val="center"/>
        </w:trPr>
        <w:tc>
          <w:tcPr>
            <w:tcW w:w="3022" w:type="dxa"/>
            <w:noWrap/>
            <w:vAlign w:val="center"/>
          </w:tcPr>
          <w:p w14:paraId="161CC4DD" w14:textId="77777777" w:rsidR="003807A7" w:rsidRPr="00487C10" w:rsidRDefault="003807A7" w:rsidP="003807A7">
            <w:pPr>
              <w:jc w:val="center"/>
              <w:rPr>
                <w:rFonts w:cs="Arial"/>
                <w:bCs/>
                <w:sz w:val="20"/>
                <w:szCs w:val="20"/>
              </w:rPr>
            </w:pPr>
            <w:r w:rsidRPr="00487C10">
              <w:rPr>
                <w:rFonts w:cs="Arial"/>
                <w:bCs/>
                <w:sz w:val="20"/>
                <w:szCs w:val="20"/>
              </w:rPr>
              <w:t>Usługi</w:t>
            </w:r>
          </w:p>
        </w:tc>
        <w:tc>
          <w:tcPr>
            <w:tcW w:w="1226" w:type="dxa"/>
            <w:noWrap/>
            <w:vAlign w:val="center"/>
          </w:tcPr>
          <w:p w14:paraId="68B91F76" w14:textId="652A093D" w:rsidR="003807A7" w:rsidRPr="00487C10" w:rsidRDefault="003807A7" w:rsidP="003807A7">
            <w:pPr>
              <w:jc w:val="center"/>
              <w:rPr>
                <w:rFonts w:cs="Arial"/>
                <w:sz w:val="20"/>
                <w:szCs w:val="20"/>
              </w:rPr>
            </w:pPr>
            <w:r w:rsidRPr="00CC75A8">
              <w:rPr>
                <w:rFonts w:cs="Arial"/>
                <w:sz w:val="20"/>
                <w:szCs w:val="20"/>
              </w:rPr>
              <w:t>127</w:t>
            </w:r>
          </w:p>
        </w:tc>
        <w:tc>
          <w:tcPr>
            <w:tcW w:w="4819" w:type="dxa"/>
            <w:vAlign w:val="center"/>
          </w:tcPr>
          <w:p w14:paraId="20F8CF28" w14:textId="18B14939" w:rsidR="003807A7" w:rsidRPr="00487C10" w:rsidRDefault="003807A7" w:rsidP="003807A7">
            <w:pPr>
              <w:jc w:val="center"/>
              <w:rPr>
                <w:rFonts w:cs="Arial"/>
                <w:sz w:val="20"/>
                <w:szCs w:val="20"/>
              </w:rPr>
            </w:pPr>
            <w:r w:rsidRPr="00CC75A8">
              <w:rPr>
                <w:rFonts w:cs="Arial"/>
                <w:color w:val="000000"/>
                <w:sz w:val="20"/>
                <w:szCs w:val="20"/>
              </w:rPr>
              <w:t xml:space="preserve">123 912 731,96 </w:t>
            </w:r>
            <w:r w:rsidRPr="00CC75A8">
              <w:rPr>
                <w:rFonts w:cs="Arial"/>
                <w:sz w:val="20"/>
                <w:szCs w:val="20"/>
              </w:rPr>
              <w:t>zł</w:t>
            </w:r>
          </w:p>
        </w:tc>
      </w:tr>
    </w:tbl>
    <w:p w14:paraId="54140776" w14:textId="40EB37FA" w:rsidR="001C37AF" w:rsidRPr="008737C1" w:rsidRDefault="000E2EC3" w:rsidP="00852522">
      <w:pPr>
        <w:pStyle w:val="Nagwek4"/>
      </w:pPr>
      <w:r>
        <w:t xml:space="preserve">4.2.6. </w:t>
      </w:r>
      <w:r w:rsidR="001C37AF" w:rsidRPr="008737C1">
        <w:t>Określenie etykiety związanej z aspektami środowiskowym</w:t>
      </w:r>
      <w:r w:rsidR="00AC5DEC">
        <w:t xml:space="preserve">i </w:t>
      </w:r>
      <w:r w:rsidR="001C37AF" w:rsidRPr="008737C1">
        <w:t>albo innego przedmiotowego środka dowodowego, o których mowa w art. 104 ustawy Pzp</w:t>
      </w:r>
    </w:p>
    <w:p w14:paraId="76EFEC3C" w14:textId="022376D3" w:rsidR="008737C1" w:rsidRPr="004C546A" w:rsidRDefault="008737C1" w:rsidP="006C14EB">
      <w:pPr>
        <w:pStyle w:val="Legenda"/>
      </w:pPr>
      <w:bookmarkStart w:id="212" w:name="_Toc141276564"/>
      <w:bookmarkStart w:id="213" w:name="_Toc233203414"/>
      <w:r w:rsidRPr="002326D3">
        <w:t xml:space="preserve">Tab. </w:t>
      </w:r>
      <w:fldSimple w:instr=" SEQ Tab. \* ARABIC ">
        <w:r w:rsidR="00017C65">
          <w:rPr>
            <w:noProof/>
          </w:rPr>
          <w:t>42</w:t>
        </w:r>
      </w:fldSimple>
      <w:r w:rsidRPr="002326D3">
        <w:t>. Zielone zamówienia publiczne udzielane przez jednostki administracji rządowej z art. 104 ustawy Pzp</w:t>
      </w:r>
      <w:bookmarkEnd w:id="212"/>
      <w:bookmarkEnd w:id="21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art. 104 ustawy Pzp."/>
        <w:tblDescription w:val="Tabela. Zielone zamówienia publiczne udzielane przez jednostki administracji rządowej z art. 104 ustawy Pzp."/>
      </w:tblPr>
      <w:tblGrid>
        <w:gridCol w:w="6941"/>
        <w:gridCol w:w="2121"/>
      </w:tblGrid>
      <w:tr w:rsidR="005A28A7" w:rsidRPr="00487C10" w14:paraId="3401E3F5" w14:textId="77777777" w:rsidTr="005A28A7">
        <w:trPr>
          <w:trHeight w:val="300"/>
          <w:jc w:val="center"/>
        </w:trPr>
        <w:tc>
          <w:tcPr>
            <w:tcW w:w="6941" w:type="dxa"/>
            <w:shd w:val="clear" w:color="auto" w:fill="E2EFD9"/>
            <w:noWrap/>
            <w:vAlign w:val="center"/>
          </w:tcPr>
          <w:p w14:paraId="38658407" w14:textId="77777777" w:rsidR="005A28A7" w:rsidRPr="00487C10" w:rsidRDefault="005A28A7" w:rsidP="005A28A7">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1D4803FB" w14:textId="25A50D6C" w:rsidR="005A28A7" w:rsidRPr="00487C10" w:rsidRDefault="005A28A7" w:rsidP="005A28A7">
            <w:pPr>
              <w:jc w:val="center"/>
              <w:rPr>
                <w:rFonts w:cs="Arial"/>
                <w:sz w:val="20"/>
                <w:szCs w:val="20"/>
              </w:rPr>
            </w:pPr>
            <w:r w:rsidRPr="00CC75A8">
              <w:rPr>
                <w:rFonts w:cs="Arial"/>
                <w:sz w:val="20"/>
                <w:szCs w:val="20"/>
              </w:rPr>
              <w:t>124</w:t>
            </w:r>
          </w:p>
        </w:tc>
      </w:tr>
      <w:tr w:rsidR="005A28A7" w:rsidRPr="00487C10" w14:paraId="2CA862F4" w14:textId="77777777" w:rsidTr="005A28A7">
        <w:trPr>
          <w:trHeight w:val="300"/>
          <w:jc w:val="center"/>
        </w:trPr>
        <w:tc>
          <w:tcPr>
            <w:tcW w:w="6941" w:type="dxa"/>
            <w:noWrap/>
            <w:vAlign w:val="center"/>
            <w:hideMark/>
          </w:tcPr>
          <w:p w14:paraId="479301EC" w14:textId="77777777" w:rsidR="005A28A7" w:rsidRPr="00487C10" w:rsidRDefault="005A28A7" w:rsidP="005A28A7">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4800C106" w14:textId="77777777" w:rsidR="005A28A7" w:rsidRPr="00CC75A8" w:rsidRDefault="005A28A7" w:rsidP="005A28A7">
            <w:pPr>
              <w:jc w:val="center"/>
              <w:rPr>
                <w:rFonts w:cs="Arial"/>
                <w:sz w:val="20"/>
                <w:szCs w:val="20"/>
              </w:rPr>
            </w:pPr>
            <w:r w:rsidRPr="00CC75A8">
              <w:rPr>
                <w:rFonts w:cs="Arial"/>
                <w:color w:val="000000"/>
                <w:sz w:val="20"/>
                <w:szCs w:val="20"/>
              </w:rPr>
              <w:t xml:space="preserve">565 755 866,45 </w:t>
            </w:r>
            <w:r w:rsidRPr="00CC75A8">
              <w:rPr>
                <w:rFonts w:cs="Arial"/>
                <w:sz w:val="20"/>
                <w:szCs w:val="20"/>
              </w:rPr>
              <w:t>zł</w:t>
            </w:r>
          </w:p>
          <w:p w14:paraId="58EEF17D" w14:textId="5FF9E662" w:rsidR="005A28A7" w:rsidRPr="00487C10" w:rsidRDefault="005A28A7" w:rsidP="005A28A7">
            <w:pPr>
              <w:jc w:val="center"/>
              <w:rPr>
                <w:rFonts w:cs="Arial"/>
                <w:sz w:val="20"/>
                <w:szCs w:val="20"/>
              </w:rPr>
            </w:pPr>
            <w:r w:rsidRPr="00CC75A8">
              <w:rPr>
                <w:rFonts w:cs="Arial"/>
                <w:sz w:val="20"/>
                <w:szCs w:val="20"/>
              </w:rPr>
              <w:t>(wartość bez VAT)</w:t>
            </w:r>
          </w:p>
        </w:tc>
      </w:tr>
    </w:tbl>
    <w:p w14:paraId="52E8E7A2" w14:textId="77777777" w:rsidR="001C37AF" w:rsidRPr="00487C10" w:rsidRDefault="001C37A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art. 104 ustawy Pzp."/>
        <w:tblDescription w:val="Tabela. Zielone zamówienia publiczne udzielane przez jednostki administracji rządowej z art. 104 ustawy Pzp."/>
      </w:tblPr>
      <w:tblGrid>
        <w:gridCol w:w="3022"/>
        <w:gridCol w:w="1368"/>
        <w:gridCol w:w="4677"/>
      </w:tblGrid>
      <w:tr w:rsidR="001C37AF" w:rsidRPr="00487C10" w14:paraId="6E5A8F0D" w14:textId="77777777" w:rsidTr="00293687">
        <w:trPr>
          <w:trHeight w:val="300"/>
          <w:tblHeader/>
          <w:jc w:val="center"/>
        </w:trPr>
        <w:tc>
          <w:tcPr>
            <w:tcW w:w="3022" w:type="dxa"/>
            <w:shd w:val="clear" w:color="auto" w:fill="C5E0B3"/>
            <w:noWrap/>
            <w:vAlign w:val="center"/>
          </w:tcPr>
          <w:p w14:paraId="4C0B0625" w14:textId="77777777" w:rsidR="001C37AF" w:rsidRPr="00487C10" w:rsidRDefault="001C37AF" w:rsidP="003C72FD">
            <w:pPr>
              <w:jc w:val="center"/>
              <w:rPr>
                <w:rFonts w:cs="Arial"/>
                <w:b/>
                <w:sz w:val="20"/>
                <w:szCs w:val="20"/>
              </w:rPr>
            </w:pPr>
            <w:r w:rsidRPr="00487C10">
              <w:rPr>
                <w:rFonts w:cs="Arial"/>
                <w:b/>
                <w:bCs/>
                <w:sz w:val="20"/>
                <w:szCs w:val="20"/>
              </w:rPr>
              <w:t>Rodzaj zamówienia</w:t>
            </w:r>
          </w:p>
        </w:tc>
        <w:tc>
          <w:tcPr>
            <w:tcW w:w="1368" w:type="dxa"/>
            <w:shd w:val="clear" w:color="auto" w:fill="C5E0B3"/>
            <w:vAlign w:val="center"/>
          </w:tcPr>
          <w:p w14:paraId="5DF7A08B" w14:textId="77777777" w:rsidR="001C37AF" w:rsidRPr="00487C10" w:rsidRDefault="001C37AF" w:rsidP="003C72FD">
            <w:pPr>
              <w:jc w:val="center"/>
              <w:rPr>
                <w:rFonts w:cs="Arial"/>
                <w:b/>
                <w:sz w:val="20"/>
                <w:szCs w:val="20"/>
              </w:rPr>
            </w:pPr>
            <w:r w:rsidRPr="00487C10">
              <w:rPr>
                <w:rFonts w:cs="Arial"/>
                <w:b/>
                <w:sz w:val="20"/>
                <w:szCs w:val="20"/>
              </w:rPr>
              <w:t>Liczba</w:t>
            </w:r>
          </w:p>
        </w:tc>
        <w:tc>
          <w:tcPr>
            <w:tcW w:w="4677" w:type="dxa"/>
            <w:shd w:val="clear" w:color="auto" w:fill="C5E0B3"/>
            <w:vAlign w:val="center"/>
          </w:tcPr>
          <w:p w14:paraId="7FD6CBEF" w14:textId="77777777" w:rsidR="001C37AF" w:rsidRPr="00487C10" w:rsidRDefault="001C37AF" w:rsidP="003C72FD">
            <w:pPr>
              <w:jc w:val="center"/>
              <w:rPr>
                <w:rFonts w:cs="Arial"/>
                <w:b/>
                <w:sz w:val="20"/>
                <w:szCs w:val="20"/>
              </w:rPr>
            </w:pPr>
            <w:r w:rsidRPr="00487C10">
              <w:rPr>
                <w:rFonts w:cs="Arial"/>
                <w:b/>
                <w:sz w:val="20"/>
                <w:szCs w:val="20"/>
              </w:rPr>
              <w:t>Wartość (bez VAT)</w:t>
            </w:r>
          </w:p>
        </w:tc>
      </w:tr>
      <w:tr w:rsidR="00A36DB6" w:rsidRPr="00487C10" w14:paraId="734ACFE9" w14:textId="77777777" w:rsidTr="00293687">
        <w:trPr>
          <w:trHeight w:val="300"/>
          <w:jc w:val="center"/>
        </w:trPr>
        <w:tc>
          <w:tcPr>
            <w:tcW w:w="3022" w:type="dxa"/>
            <w:noWrap/>
            <w:vAlign w:val="center"/>
          </w:tcPr>
          <w:p w14:paraId="232ED00C" w14:textId="77777777" w:rsidR="00A36DB6" w:rsidRPr="00487C10" w:rsidRDefault="00A36DB6" w:rsidP="00A36DB6">
            <w:pPr>
              <w:jc w:val="center"/>
              <w:rPr>
                <w:rFonts w:cs="Arial"/>
                <w:bCs/>
                <w:sz w:val="20"/>
                <w:szCs w:val="20"/>
              </w:rPr>
            </w:pPr>
            <w:r w:rsidRPr="00487C10">
              <w:rPr>
                <w:rFonts w:cs="Arial"/>
                <w:bCs/>
                <w:sz w:val="20"/>
                <w:szCs w:val="20"/>
              </w:rPr>
              <w:t>Dostawy</w:t>
            </w:r>
          </w:p>
        </w:tc>
        <w:tc>
          <w:tcPr>
            <w:tcW w:w="1368" w:type="dxa"/>
            <w:noWrap/>
            <w:vAlign w:val="center"/>
          </w:tcPr>
          <w:p w14:paraId="55F02C9B" w14:textId="1C698AD1" w:rsidR="00A36DB6" w:rsidRPr="00487C10" w:rsidRDefault="00A36DB6" w:rsidP="00A36DB6">
            <w:pPr>
              <w:jc w:val="center"/>
              <w:rPr>
                <w:rFonts w:cs="Arial"/>
                <w:sz w:val="20"/>
                <w:szCs w:val="20"/>
              </w:rPr>
            </w:pPr>
            <w:r w:rsidRPr="00CC75A8">
              <w:rPr>
                <w:rFonts w:cs="Arial"/>
                <w:sz w:val="20"/>
                <w:szCs w:val="20"/>
              </w:rPr>
              <w:t>100</w:t>
            </w:r>
          </w:p>
        </w:tc>
        <w:tc>
          <w:tcPr>
            <w:tcW w:w="4677" w:type="dxa"/>
            <w:vAlign w:val="center"/>
          </w:tcPr>
          <w:p w14:paraId="79EC24C0" w14:textId="17FF3B56" w:rsidR="00A36DB6" w:rsidRPr="00487C10" w:rsidRDefault="00A36DB6" w:rsidP="00A36DB6">
            <w:pPr>
              <w:jc w:val="center"/>
              <w:rPr>
                <w:rFonts w:cs="Arial"/>
                <w:sz w:val="20"/>
                <w:szCs w:val="20"/>
              </w:rPr>
            </w:pPr>
            <w:r w:rsidRPr="00CC75A8">
              <w:rPr>
                <w:rFonts w:cs="Arial"/>
                <w:color w:val="000000"/>
                <w:sz w:val="20"/>
                <w:szCs w:val="20"/>
              </w:rPr>
              <w:t xml:space="preserve">532 023 795,86 </w:t>
            </w:r>
            <w:r w:rsidRPr="00CC75A8">
              <w:rPr>
                <w:rFonts w:cs="Arial"/>
                <w:sz w:val="20"/>
                <w:szCs w:val="20"/>
              </w:rPr>
              <w:t>zł</w:t>
            </w:r>
          </w:p>
        </w:tc>
      </w:tr>
      <w:tr w:rsidR="00A36DB6" w:rsidRPr="00487C10" w14:paraId="7003698C" w14:textId="77777777" w:rsidTr="00293687">
        <w:trPr>
          <w:trHeight w:val="300"/>
          <w:jc w:val="center"/>
        </w:trPr>
        <w:tc>
          <w:tcPr>
            <w:tcW w:w="3022" w:type="dxa"/>
            <w:shd w:val="clear" w:color="auto" w:fill="E2EFD9"/>
            <w:noWrap/>
            <w:vAlign w:val="center"/>
            <w:hideMark/>
          </w:tcPr>
          <w:p w14:paraId="181708B8" w14:textId="77777777" w:rsidR="00A36DB6" w:rsidRPr="00487C10" w:rsidRDefault="00A36DB6" w:rsidP="00A36DB6">
            <w:pPr>
              <w:jc w:val="center"/>
              <w:rPr>
                <w:rFonts w:cs="Arial"/>
                <w:bCs/>
                <w:sz w:val="20"/>
                <w:szCs w:val="20"/>
              </w:rPr>
            </w:pPr>
            <w:r w:rsidRPr="00487C10">
              <w:rPr>
                <w:rFonts w:cs="Arial"/>
                <w:bCs/>
                <w:sz w:val="20"/>
                <w:szCs w:val="20"/>
              </w:rPr>
              <w:t>Roboty budowlane</w:t>
            </w:r>
          </w:p>
        </w:tc>
        <w:tc>
          <w:tcPr>
            <w:tcW w:w="1368" w:type="dxa"/>
            <w:shd w:val="clear" w:color="auto" w:fill="E2EFD9"/>
            <w:noWrap/>
            <w:vAlign w:val="center"/>
          </w:tcPr>
          <w:p w14:paraId="46B6440C" w14:textId="359409B1" w:rsidR="00A36DB6" w:rsidRPr="00487C10" w:rsidRDefault="00A36DB6" w:rsidP="00A36DB6">
            <w:pPr>
              <w:jc w:val="center"/>
              <w:rPr>
                <w:rFonts w:cs="Arial"/>
                <w:sz w:val="20"/>
                <w:szCs w:val="20"/>
              </w:rPr>
            </w:pPr>
            <w:r w:rsidRPr="00CC75A8">
              <w:rPr>
                <w:rFonts w:cs="Arial"/>
                <w:sz w:val="20"/>
                <w:szCs w:val="20"/>
              </w:rPr>
              <w:t>10</w:t>
            </w:r>
          </w:p>
        </w:tc>
        <w:tc>
          <w:tcPr>
            <w:tcW w:w="4677" w:type="dxa"/>
            <w:shd w:val="clear" w:color="auto" w:fill="E2EFD9"/>
            <w:vAlign w:val="center"/>
          </w:tcPr>
          <w:p w14:paraId="595D6BF5" w14:textId="0B448EAA" w:rsidR="00A36DB6" w:rsidRPr="00487C10" w:rsidRDefault="00A36DB6" w:rsidP="00A36DB6">
            <w:pPr>
              <w:jc w:val="center"/>
              <w:rPr>
                <w:rFonts w:cs="Arial"/>
                <w:sz w:val="20"/>
                <w:szCs w:val="20"/>
              </w:rPr>
            </w:pPr>
            <w:r w:rsidRPr="00CC75A8">
              <w:rPr>
                <w:rFonts w:cs="Arial"/>
                <w:color w:val="000000"/>
                <w:sz w:val="20"/>
                <w:szCs w:val="20"/>
              </w:rPr>
              <w:t xml:space="preserve">2 828 101,58 </w:t>
            </w:r>
            <w:r w:rsidRPr="00CC75A8">
              <w:rPr>
                <w:rFonts w:cs="Arial"/>
                <w:sz w:val="20"/>
                <w:szCs w:val="20"/>
              </w:rPr>
              <w:t>zł</w:t>
            </w:r>
          </w:p>
        </w:tc>
      </w:tr>
      <w:tr w:rsidR="00A36DB6" w:rsidRPr="00487C10" w14:paraId="4BE8AED4" w14:textId="77777777" w:rsidTr="00293687">
        <w:trPr>
          <w:trHeight w:val="300"/>
          <w:jc w:val="center"/>
        </w:trPr>
        <w:tc>
          <w:tcPr>
            <w:tcW w:w="3022" w:type="dxa"/>
            <w:noWrap/>
            <w:vAlign w:val="center"/>
          </w:tcPr>
          <w:p w14:paraId="4DF50E01" w14:textId="77777777" w:rsidR="00A36DB6" w:rsidRPr="00487C10" w:rsidRDefault="00A36DB6" w:rsidP="00A36DB6">
            <w:pPr>
              <w:jc w:val="center"/>
              <w:rPr>
                <w:rFonts w:cs="Arial"/>
                <w:bCs/>
                <w:sz w:val="20"/>
                <w:szCs w:val="20"/>
              </w:rPr>
            </w:pPr>
            <w:r w:rsidRPr="00487C10">
              <w:rPr>
                <w:rFonts w:cs="Arial"/>
                <w:bCs/>
                <w:sz w:val="20"/>
                <w:szCs w:val="20"/>
              </w:rPr>
              <w:t>Usługi</w:t>
            </w:r>
          </w:p>
        </w:tc>
        <w:tc>
          <w:tcPr>
            <w:tcW w:w="1368" w:type="dxa"/>
            <w:noWrap/>
            <w:vAlign w:val="center"/>
          </w:tcPr>
          <w:p w14:paraId="4D2716CD" w14:textId="6021CE8C" w:rsidR="00A36DB6" w:rsidRPr="00487C10" w:rsidRDefault="00A36DB6" w:rsidP="00A36DB6">
            <w:pPr>
              <w:jc w:val="center"/>
              <w:rPr>
                <w:rFonts w:cs="Arial"/>
                <w:sz w:val="20"/>
                <w:szCs w:val="20"/>
              </w:rPr>
            </w:pPr>
            <w:r w:rsidRPr="00CC75A8">
              <w:rPr>
                <w:rFonts w:cs="Arial"/>
                <w:sz w:val="20"/>
                <w:szCs w:val="20"/>
              </w:rPr>
              <w:t>14</w:t>
            </w:r>
          </w:p>
        </w:tc>
        <w:tc>
          <w:tcPr>
            <w:tcW w:w="4677" w:type="dxa"/>
            <w:vAlign w:val="center"/>
          </w:tcPr>
          <w:p w14:paraId="6FA29986" w14:textId="0BFDB2F2" w:rsidR="00A36DB6" w:rsidRPr="00487C10" w:rsidRDefault="00A36DB6" w:rsidP="00A36DB6">
            <w:pPr>
              <w:jc w:val="center"/>
              <w:rPr>
                <w:rFonts w:cs="Arial"/>
                <w:sz w:val="20"/>
                <w:szCs w:val="20"/>
              </w:rPr>
            </w:pPr>
            <w:r w:rsidRPr="00CC75A8">
              <w:rPr>
                <w:rFonts w:cs="Arial"/>
                <w:color w:val="000000"/>
                <w:sz w:val="20"/>
                <w:szCs w:val="20"/>
              </w:rPr>
              <w:t xml:space="preserve">30 903 969,01 </w:t>
            </w:r>
            <w:r w:rsidRPr="00CC75A8">
              <w:rPr>
                <w:rFonts w:cs="Arial"/>
                <w:sz w:val="20"/>
                <w:szCs w:val="20"/>
              </w:rPr>
              <w:t>zł</w:t>
            </w:r>
          </w:p>
        </w:tc>
      </w:tr>
    </w:tbl>
    <w:p w14:paraId="62A4534B" w14:textId="1C435BD4" w:rsidR="006E2327" w:rsidRPr="00135705" w:rsidRDefault="006E2327" w:rsidP="00FA3F53">
      <w:pPr>
        <w:pStyle w:val="Legenda"/>
        <w:spacing w:before="240"/>
      </w:pPr>
      <w:bookmarkStart w:id="214" w:name="_Toc141276500"/>
      <w:bookmarkStart w:id="215" w:name="_Toc203993364"/>
      <w:bookmarkStart w:id="216" w:name="_Toc233203358"/>
      <w:r w:rsidRPr="00B9095E">
        <w:lastRenderedPageBreak/>
        <w:t xml:space="preserve">Rys. </w:t>
      </w:r>
      <w:fldSimple w:instr=" SEQ Rys. \* ARABIC ">
        <w:r w:rsidR="00017C65">
          <w:rPr>
            <w:noProof/>
          </w:rPr>
          <w:t>37</w:t>
        </w:r>
      </w:fldSimple>
      <w:r w:rsidRPr="00B9095E">
        <w:t>. Liczba zamówień udzielonych przez jednostki administracji rządowej, w których zastosowano odpowiednie</w:t>
      </w:r>
      <w:r w:rsidRPr="00DA1EE9">
        <w:t xml:space="preserve"> aspekty środowiskowe</w:t>
      </w:r>
      <w:bookmarkEnd w:id="214"/>
      <w:bookmarkEnd w:id="215"/>
      <w:bookmarkEnd w:id="216"/>
    </w:p>
    <w:p w14:paraId="3EC6AFBE" w14:textId="118481F7" w:rsidR="00F9610A" w:rsidRDefault="00E1609B" w:rsidP="007B39A5">
      <w:pPr>
        <w:shd w:val="clear" w:color="auto" w:fill="FFFFFF"/>
        <w:spacing w:before="240" w:line="360" w:lineRule="auto"/>
        <w:jc w:val="left"/>
      </w:pPr>
      <w:r w:rsidRPr="00D6514E">
        <w:rPr>
          <w:rFonts w:cs="Arial"/>
          <w:noProof/>
        </w:rPr>
        <w:drawing>
          <wp:inline distT="0" distB="0" distL="0" distR="0" wp14:anchorId="237A9405" wp14:editId="4FD61140">
            <wp:extent cx="5494016" cy="5345436"/>
            <wp:effectExtent l="0" t="0" r="12065" b="7620"/>
            <wp:docPr id="971296468" name="Wykres 1" descr="Liczba zamówień udzielonych przez jednostki administracji rządowej, w których zastosowano odpowiednie aspekty środowiskowe" title="Liczba zamówień udzielonych przez jednostki administracji rządowej, w których zastosowano odpowiednie aspekty środowiskowe">
              <a:extLst xmlns:a="http://schemas.openxmlformats.org/drawingml/2006/main">
                <a:ext uri="{FF2B5EF4-FFF2-40B4-BE49-F238E27FC236}">
                  <a16:creationId xmlns:a16="http://schemas.microsoft.com/office/drawing/2014/main" id="{9862DF97-4D4F-A6FA-8DF5-2FDC031C23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34B4A8D" w14:textId="37124BF1" w:rsidR="00EB510B" w:rsidRPr="00135705" w:rsidRDefault="00EB510B" w:rsidP="00FA3F53">
      <w:pPr>
        <w:pStyle w:val="Legenda"/>
        <w:spacing w:before="240"/>
      </w:pPr>
      <w:bookmarkStart w:id="217" w:name="_Toc141276501"/>
      <w:bookmarkStart w:id="218" w:name="_Toc203993365"/>
      <w:bookmarkStart w:id="219" w:name="_Toc233203359"/>
      <w:r w:rsidRPr="00A35FF1">
        <w:lastRenderedPageBreak/>
        <w:t xml:space="preserve">Rys. </w:t>
      </w:r>
      <w:fldSimple w:instr=" SEQ Rys. \* ARABIC ">
        <w:r w:rsidR="00017C65">
          <w:rPr>
            <w:noProof/>
          </w:rPr>
          <w:t>38</w:t>
        </w:r>
      </w:fldSimple>
      <w:r w:rsidRPr="00A35FF1">
        <w:t>. Wartość zamówień udzielonych przez jednostki administracji rządowej, w których zastosowano</w:t>
      </w:r>
      <w:r w:rsidRPr="00DA1EE9">
        <w:t xml:space="preserve"> odpowiednie aspekty środowiskowe</w:t>
      </w:r>
      <w:bookmarkEnd w:id="217"/>
      <w:bookmarkEnd w:id="218"/>
      <w:bookmarkEnd w:id="219"/>
    </w:p>
    <w:p w14:paraId="2298D765" w14:textId="04439569" w:rsidR="006E2327" w:rsidRDefault="00AB2934" w:rsidP="007B39A5">
      <w:pPr>
        <w:shd w:val="clear" w:color="auto" w:fill="FFFFFF"/>
        <w:spacing w:before="240" w:line="360" w:lineRule="auto"/>
        <w:jc w:val="left"/>
      </w:pPr>
      <w:r w:rsidRPr="00D6514E">
        <w:rPr>
          <w:rFonts w:cs="Arial"/>
          <w:noProof/>
        </w:rPr>
        <w:drawing>
          <wp:inline distT="0" distB="0" distL="0" distR="0" wp14:anchorId="2FC79C03" wp14:editId="575B450C">
            <wp:extent cx="4991096" cy="5625471"/>
            <wp:effectExtent l="0" t="0" r="635" b="13335"/>
            <wp:docPr id="1004468600" name="Wykres 1" descr="Wartość zamówień udzielonych przez jednostki administracji rządowej, w których zastosowano odpowiednie aspekty środowiskowe" title="Wartość zamówień udzielonych przez jednostki administracji rządowej, w których zastosowano odpowiednie aspekty środowiskowe">
              <a:extLst xmlns:a="http://schemas.openxmlformats.org/drawingml/2006/main">
                <a:ext uri="{FF2B5EF4-FFF2-40B4-BE49-F238E27FC236}">
                  <a16:creationId xmlns:a16="http://schemas.microsoft.com/office/drawing/2014/main" id="{2571638D-290F-233B-EA2D-5DE760A20C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1F0F084" w14:textId="62D4F49A" w:rsidR="00250A43" w:rsidRPr="00250A43" w:rsidRDefault="00250A43" w:rsidP="00250A43">
      <w:pPr>
        <w:shd w:val="clear" w:color="auto" w:fill="FFFFFF"/>
        <w:spacing w:before="240" w:line="360" w:lineRule="auto"/>
        <w:jc w:val="left"/>
      </w:pPr>
      <w:r w:rsidRPr="00250A43">
        <w:t xml:space="preserve">W zielonych zamówieniach udzielonych przez jednostki administracji rządowej w 2025 r., najczęściej dokonano określenia w opisie przedmiotu zamówienia wymagań środowiskowych zgodnie z art. 101 ustawy Pzp, analogicznie jak w roku 2024. Również pod względem wartości zamówienia publiczne z określeniem wymagań środowiskowych w ramach OPZ zajęły niezmiennie pierwsze miejsce. </w:t>
      </w:r>
    </w:p>
    <w:p w14:paraId="0347C1C3" w14:textId="425FAA81" w:rsidR="00250A43" w:rsidRPr="00250A43" w:rsidRDefault="00250A43" w:rsidP="00250A43">
      <w:pPr>
        <w:shd w:val="clear" w:color="auto" w:fill="FFFFFF"/>
        <w:spacing w:before="120" w:line="360" w:lineRule="auto"/>
        <w:jc w:val="left"/>
      </w:pPr>
      <w:r w:rsidRPr="00250A43">
        <w:rPr>
          <w:bCs/>
        </w:rPr>
        <w:t>Określenie środowiskowych wymagań związanych z realizacją zamówienia stanowiło drugi najczęściej stosowany instrument środowiskowy wśród jednostek administracji rządowej. P</w:t>
      </w:r>
      <w:r w:rsidRPr="00250A43">
        <w:t>od względem wartości zamówienia publiczne z zastosowaniem tego aspektu środowiskowego zajęły z kolei trzecie miejsce.</w:t>
      </w:r>
    </w:p>
    <w:p w14:paraId="72E10617" w14:textId="77777777" w:rsidR="00250A43" w:rsidRPr="00250A43" w:rsidRDefault="00250A43" w:rsidP="00250A43">
      <w:pPr>
        <w:shd w:val="clear" w:color="auto" w:fill="FFFFFF"/>
        <w:spacing w:before="120" w:line="360" w:lineRule="auto"/>
        <w:jc w:val="left"/>
      </w:pPr>
      <w:r w:rsidRPr="00250A43">
        <w:lastRenderedPageBreak/>
        <w:t>Trzecim najbardziej popularnym rozwiązaniem prawnym o charakterze środowiskowym wśród zamawiających</w:t>
      </w:r>
      <w:r w:rsidRPr="00250A43">
        <w:rPr>
          <w:b/>
        </w:rPr>
        <w:t xml:space="preserve"> </w:t>
      </w:r>
      <w:r w:rsidRPr="00250A43">
        <w:rPr>
          <w:bCs/>
        </w:rPr>
        <w:t>reprezentujących jednostki administracji rządowej</w:t>
      </w:r>
      <w:r w:rsidRPr="00250A43">
        <w:rPr>
          <w:b/>
        </w:rPr>
        <w:t xml:space="preserve"> </w:t>
      </w:r>
      <w:r w:rsidRPr="00250A43">
        <w:t xml:space="preserve">było zastosowanie środowiskowych kryteriów oceny ofert, w tym odwołanie do efektywności energetycznej przedmiotu zamówienia (zgodnie z art. 242 ust. 2 ustawy Pzp), podczas gdy pod względem wartości takie zamówienia zajęły drugie miejsce. W porównaniu z rokiem 2024 wartość zamówień z takim aspektem środowiskowym wzrosła ponad 3-krotnie i osiągnęła wartość </w:t>
      </w:r>
      <w:r w:rsidRPr="00250A43">
        <w:br/>
        <w:t>811 924 475,01 zł (bez podatku od towarów i usług).</w:t>
      </w:r>
    </w:p>
    <w:p w14:paraId="3DB39FA9" w14:textId="77777777" w:rsidR="00250A43" w:rsidRPr="00250A43" w:rsidRDefault="00250A43" w:rsidP="00250A43">
      <w:pPr>
        <w:shd w:val="clear" w:color="auto" w:fill="FFFFFF"/>
        <w:spacing w:before="120" w:line="360" w:lineRule="auto"/>
        <w:jc w:val="left"/>
        <w:rPr>
          <w:b/>
        </w:rPr>
      </w:pPr>
      <w:r w:rsidRPr="00250A43">
        <w:t xml:space="preserve">Czwarte miejsce pod względem liczby i wartości zajęły zamówienia, w których określono </w:t>
      </w:r>
      <w:r w:rsidRPr="00250A43">
        <w:rPr>
          <w:bCs/>
        </w:rPr>
        <w:t>etykietę związaną z aspektami środowiskowymi z art. 104 ustawy Pzp.</w:t>
      </w:r>
      <w:r w:rsidRPr="00250A43">
        <w:rPr>
          <w:b/>
        </w:rPr>
        <w:t xml:space="preserve"> </w:t>
      </w:r>
    </w:p>
    <w:p w14:paraId="2F00F82D" w14:textId="06B62612" w:rsidR="00250A43" w:rsidRPr="00250A43" w:rsidRDefault="00250A43" w:rsidP="00250A43">
      <w:pPr>
        <w:shd w:val="clear" w:color="auto" w:fill="FFFFFF"/>
        <w:spacing w:before="120" w:line="360" w:lineRule="auto"/>
        <w:jc w:val="left"/>
      </w:pPr>
      <w:r w:rsidRPr="00250A43">
        <w:t>Postępowania o udzielenie zamówienia publicznego, w ramach których zamawiający stanowiący jednostki administracji rządowej odwołali się do wymagań odpowiednich systemów lub norm zarządzania środowiskowego w ramach warunków udziału w postępowaniu</w:t>
      </w:r>
      <w:r w:rsidR="00E16E6C">
        <w:t>,</w:t>
      </w:r>
      <w:r w:rsidRPr="00250A43">
        <w:t xml:space="preserve"> zajęły piąte miejsce pod względem liczby zastosowań i wartości zamówień publicznych. </w:t>
      </w:r>
    </w:p>
    <w:p w14:paraId="533DB1C2" w14:textId="77777777" w:rsidR="00250A43" w:rsidRPr="00250A43" w:rsidRDefault="00250A43" w:rsidP="00250A43">
      <w:pPr>
        <w:shd w:val="clear" w:color="auto" w:fill="FFFFFF"/>
        <w:spacing w:before="120" w:line="360" w:lineRule="auto"/>
        <w:jc w:val="left"/>
      </w:pPr>
      <w:r w:rsidRPr="00250A43">
        <w:t>Niezmienne najrzadziej stosowanym aspektem środowiskowym wśród jednostek administracji rządowej, podobnie jak w przypadku ogółu zamawiających, było kryterium kosztu, które pozwala na wykorzystanie rachunku kosztów cyklu życia. Tylko w dwóch przypadkach zastosowano takie kryterium oceny ofert, co też przełożyło się na najmniejszą wartość zamówień z tym aspektem środowiskowym.</w:t>
      </w:r>
    </w:p>
    <w:p w14:paraId="00D40E1D" w14:textId="7F70805B" w:rsidR="00D14AB1" w:rsidRPr="00D14AB1" w:rsidRDefault="00D14AB1" w:rsidP="00D14AB1">
      <w:pPr>
        <w:shd w:val="clear" w:color="auto" w:fill="FFFFFF"/>
        <w:spacing w:before="120" w:line="360" w:lineRule="auto"/>
        <w:jc w:val="left"/>
        <w:rPr>
          <w:i/>
        </w:rPr>
      </w:pPr>
      <w:r w:rsidRPr="0049704B">
        <w:rPr>
          <w:i/>
        </w:rPr>
        <w:t>Dane dotyczące zamówień udzielonych przez jednostki administracji rządowej, w których odwołano się do odpowiednich instrumentów środowiskowych</w:t>
      </w:r>
      <w:r w:rsidR="00E16E6C" w:rsidRPr="0049704B">
        <w:rPr>
          <w:i/>
        </w:rPr>
        <w:t>,</w:t>
      </w:r>
      <w:r w:rsidRPr="0049704B">
        <w:rPr>
          <w:i/>
        </w:rPr>
        <w:t xml:space="preserve"> przedstawiono w </w:t>
      </w:r>
      <w:hyperlink w:anchor="_Załącznik_nr_6." w:history="1">
        <w:r w:rsidRPr="0049704B">
          <w:rPr>
            <w:rStyle w:val="Hipercze"/>
            <w:i/>
          </w:rPr>
          <w:t xml:space="preserve">załączniku nr </w:t>
        </w:r>
        <w:r w:rsidR="00821659">
          <w:rPr>
            <w:rStyle w:val="Hipercze"/>
            <w:i/>
          </w:rPr>
          <w:t>5</w:t>
        </w:r>
      </w:hyperlink>
      <w:r w:rsidRPr="0049704B">
        <w:rPr>
          <w:i/>
        </w:rPr>
        <w:t xml:space="preserve"> do niniejszego Sprawozdania.</w:t>
      </w:r>
      <w:r w:rsidRPr="00D14AB1">
        <w:rPr>
          <w:i/>
        </w:rPr>
        <w:t xml:space="preserve"> </w:t>
      </w:r>
    </w:p>
    <w:p w14:paraId="766246A8" w14:textId="18EC644D" w:rsidR="008935C7" w:rsidRDefault="004627C5" w:rsidP="00852522">
      <w:pPr>
        <w:pStyle w:val="Nagwek4"/>
      </w:pPr>
      <w:r>
        <w:t xml:space="preserve">4.3. </w:t>
      </w:r>
      <w:r w:rsidR="00023940" w:rsidRPr="00023940">
        <w:t>Zamówienia publiczne na innowacje udzielone przez jednostki administracji rządowej</w:t>
      </w:r>
    </w:p>
    <w:p w14:paraId="36902F30" w14:textId="3DE49362" w:rsidR="00E24C13" w:rsidRPr="00A232C4" w:rsidRDefault="00E24C13" w:rsidP="006C14EB">
      <w:pPr>
        <w:pStyle w:val="Legenda"/>
      </w:pPr>
      <w:bookmarkStart w:id="220" w:name="_Toc141276565"/>
      <w:bookmarkStart w:id="221" w:name="_Toc233203415"/>
      <w:r w:rsidRPr="00086E16">
        <w:t xml:space="preserve">Tab. </w:t>
      </w:r>
      <w:fldSimple w:instr=" SEQ Tab. \* ARABIC ">
        <w:r w:rsidR="00017C65">
          <w:rPr>
            <w:noProof/>
          </w:rPr>
          <w:t>43</w:t>
        </w:r>
      </w:fldSimple>
      <w:r w:rsidRPr="00086E16">
        <w:t xml:space="preserve">. </w:t>
      </w:r>
      <w:r w:rsidR="004621D4" w:rsidRPr="004621D4">
        <w:t xml:space="preserve">Zamówienia publiczne na innowacje udzielone przez jednostki administracji rządowej </w:t>
      </w:r>
      <w:r w:rsidRPr="00086E16">
        <w:t>w 202</w:t>
      </w:r>
      <w:r w:rsidR="004621D4">
        <w:t>5</w:t>
      </w:r>
      <w:r w:rsidRPr="00086E16">
        <w:t xml:space="preserve"> r.</w:t>
      </w:r>
      <w:r>
        <w:t xml:space="preserve"> </w:t>
      </w:r>
      <w:r w:rsidRPr="00086E16">
        <w:t>– dane ogólne</w:t>
      </w:r>
      <w:bookmarkEnd w:id="220"/>
      <w:bookmarkEnd w:id="22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udzielane przez jednostki administracji rządowej w 2025 r. – dane ogólne."/>
        <w:tblDescription w:val="Tabela. Innowacyjne zamówienia publiczne udzielane przez jednostki administracji rządowej w 2025 r. – dane ogólne."/>
      </w:tblPr>
      <w:tblGrid>
        <w:gridCol w:w="6941"/>
        <w:gridCol w:w="2121"/>
      </w:tblGrid>
      <w:tr w:rsidR="00401E7D" w:rsidRPr="00487C10" w14:paraId="5502E22C" w14:textId="77777777" w:rsidTr="00293687">
        <w:trPr>
          <w:trHeight w:val="300"/>
          <w:tblHeader/>
          <w:jc w:val="center"/>
        </w:trPr>
        <w:tc>
          <w:tcPr>
            <w:tcW w:w="9062" w:type="dxa"/>
            <w:gridSpan w:val="2"/>
            <w:shd w:val="clear" w:color="auto" w:fill="FFE599"/>
            <w:noWrap/>
            <w:vAlign w:val="center"/>
            <w:hideMark/>
          </w:tcPr>
          <w:p w14:paraId="3C48EEEE" w14:textId="77777777" w:rsidR="00401E7D" w:rsidRPr="00487C10" w:rsidRDefault="00401E7D" w:rsidP="004E0D49">
            <w:pPr>
              <w:jc w:val="center"/>
              <w:rPr>
                <w:rFonts w:cs="Arial"/>
                <w:b/>
                <w:sz w:val="20"/>
                <w:szCs w:val="20"/>
              </w:rPr>
            </w:pPr>
            <w:r w:rsidRPr="00487C10">
              <w:rPr>
                <w:rFonts w:cs="Arial"/>
                <w:b/>
                <w:sz w:val="20"/>
                <w:szCs w:val="20"/>
              </w:rPr>
              <w:t>DANE OGÓLNE</w:t>
            </w:r>
          </w:p>
        </w:tc>
      </w:tr>
      <w:tr w:rsidR="00C530A7" w:rsidRPr="00487C10" w14:paraId="164265D1" w14:textId="77777777" w:rsidTr="00293687">
        <w:trPr>
          <w:trHeight w:val="300"/>
          <w:jc w:val="center"/>
        </w:trPr>
        <w:tc>
          <w:tcPr>
            <w:tcW w:w="6941" w:type="dxa"/>
            <w:noWrap/>
            <w:vAlign w:val="center"/>
            <w:hideMark/>
          </w:tcPr>
          <w:p w14:paraId="6AAB9749" w14:textId="77777777" w:rsidR="00C530A7" w:rsidRPr="00487C10" w:rsidRDefault="00C530A7" w:rsidP="00C530A7">
            <w:pPr>
              <w:jc w:val="left"/>
              <w:rPr>
                <w:rFonts w:cs="Arial"/>
                <w:bCs/>
                <w:sz w:val="20"/>
                <w:szCs w:val="20"/>
              </w:rPr>
            </w:pPr>
            <w:r w:rsidRPr="00487C10">
              <w:rPr>
                <w:rFonts w:cs="Arial"/>
                <w:bCs/>
                <w:sz w:val="20"/>
                <w:szCs w:val="20"/>
              </w:rPr>
              <w:t xml:space="preserve">Liczba zamawiających, którzy udzielili zamówień publicznych o charakterze innowacyjnym </w:t>
            </w:r>
          </w:p>
        </w:tc>
        <w:tc>
          <w:tcPr>
            <w:tcW w:w="2121" w:type="dxa"/>
            <w:noWrap/>
            <w:vAlign w:val="center"/>
          </w:tcPr>
          <w:p w14:paraId="53D7BB89" w14:textId="507A53A0" w:rsidR="00C530A7" w:rsidRPr="00487C10" w:rsidRDefault="00C530A7" w:rsidP="00C530A7">
            <w:pPr>
              <w:jc w:val="center"/>
              <w:rPr>
                <w:rFonts w:cs="Arial"/>
                <w:sz w:val="20"/>
                <w:szCs w:val="20"/>
              </w:rPr>
            </w:pPr>
            <w:r w:rsidRPr="00D6514E">
              <w:rPr>
                <w:rFonts w:cs="Arial"/>
                <w:sz w:val="20"/>
                <w:szCs w:val="20"/>
              </w:rPr>
              <w:t>10</w:t>
            </w:r>
          </w:p>
        </w:tc>
      </w:tr>
      <w:tr w:rsidR="00C530A7" w:rsidRPr="00487C10" w14:paraId="7A635807" w14:textId="77777777" w:rsidTr="00293687">
        <w:trPr>
          <w:trHeight w:val="300"/>
          <w:jc w:val="center"/>
        </w:trPr>
        <w:tc>
          <w:tcPr>
            <w:tcW w:w="6941" w:type="dxa"/>
            <w:shd w:val="clear" w:color="auto" w:fill="FFF2CC"/>
            <w:noWrap/>
            <w:vAlign w:val="center"/>
          </w:tcPr>
          <w:p w14:paraId="0C48BDBF" w14:textId="77777777" w:rsidR="00C530A7" w:rsidRPr="00487C10" w:rsidRDefault="00C530A7" w:rsidP="00C530A7">
            <w:pPr>
              <w:jc w:val="left"/>
              <w:rPr>
                <w:rFonts w:cs="Arial"/>
                <w:bCs/>
                <w:sz w:val="20"/>
                <w:szCs w:val="20"/>
              </w:rPr>
            </w:pPr>
            <w:r w:rsidRPr="00487C10">
              <w:rPr>
                <w:rFonts w:cs="Arial"/>
                <w:bCs/>
                <w:sz w:val="20"/>
                <w:szCs w:val="20"/>
              </w:rPr>
              <w:t xml:space="preserve">Liczba </w:t>
            </w:r>
            <w:r w:rsidRPr="00487C10">
              <w:rPr>
                <w:rFonts w:cs="Arial"/>
                <w:sz w:val="20"/>
                <w:szCs w:val="20"/>
              </w:rPr>
              <w:t xml:space="preserve">udzielonych zamówień uwzględniających aspekty </w:t>
            </w:r>
            <w:r w:rsidRPr="00487C10">
              <w:rPr>
                <w:rFonts w:cs="Arial"/>
                <w:bCs/>
                <w:sz w:val="20"/>
                <w:szCs w:val="20"/>
              </w:rPr>
              <w:t>innowacyjne</w:t>
            </w:r>
          </w:p>
        </w:tc>
        <w:tc>
          <w:tcPr>
            <w:tcW w:w="2121" w:type="dxa"/>
            <w:shd w:val="clear" w:color="auto" w:fill="FFF2CC"/>
            <w:noWrap/>
            <w:vAlign w:val="center"/>
          </w:tcPr>
          <w:p w14:paraId="5DA4126A" w14:textId="7FE70719" w:rsidR="00C530A7" w:rsidRPr="00487C10" w:rsidRDefault="00C530A7" w:rsidP="00C530A7">
            <w:pPr>
              <w:jc w:val="center"/>
              <w:rPr>
                <w:rFonts w:cs="Arial"/>
                <w:sz w:val="20"/>
                <w:szCs w:val="20"/>
              </w:rPr>
            </w:pPr>
            <w:r w:rsidRPr="00D6514E">
              <w:rPr>
                <w:rFonts w:cs="Arial"/>
                <w:sz w:val="20"/>
                <w:szCs w:val="20"/>
              </w:rPr>
              <w:t>28</w:t>
            </w:r>
          </w:p>
        </w:tc>
      </w:tr>
      <w:tr w:rsidR="00C530A7" w:rsidRPr="00487C10" w14:paraId="4521EB39" w14:textId="77777777" w:rsidTr="00F9610A">
        <w:trPr>
          <w:trHeight w:val="300"/>
          <w:jc w:val="center"/>
        </w:trPr>
        <w:tc>
          <w:tcPr>
            <w:tcW w:w="6941" w:type="dxa"/>
            <w:noWrap/>
            <w:vAlign w:val="center"/>
            <w:hideMark/>
          </w:tcPr>
          <w:p w14:paraId="5034F77B" w14:textId="77777777" w:rsidR="00C530A7" w:rsidRPr="00487C10" w:rsidRDefault="00C530A7" w:rsidP="00C530A7">
            <w:pPr>
              <w:jc w:val="left"/>
              <w:rPr>
                <w:rFonts w:cs="Arial"/>
                <w:bCs/>
                <w:sz w:val="20"/>
                <w:szCs w:val="20"/>
              </w:rPr>
            </w:pPr>
            <w:r w:rsidRPr="00487C10">
              <w:rPr>
                <w:rFonts w:cs="Arial"/>
                <w:bCs/>
                <w:sz w:val="20"/>
                <w:szCs w:val="20"/>
              </w:rPr>
              <w:t xml:space="preserve">Wartość </w:t>
            </w:r>
            <w:r w:rsidRPr="00487C10">
              <w:rPr>
                <w:rFonts w:cs="Arial"/>
                <w:sz w:val="20"/>
                <w:szCs w:val="20"/>
              </w:rPr>
              <w:t xml:space="preserve">udzielonych zamówień uwzględniających aspekty </w:t>
            </w:r>
            <w:r w:rsidRPr="00487C10">
              <w:rPr>
                <w:rFonts w:cs="Arial"/>
                <w:bCs/>
                <w:sz w:val="20"/>
                <w:szCs w:val="20"/>
              </w:rPr>
              <w:t>innowacyjne</w:t>
            </w:r>
          </w:p>
        </w:tc>
        <w:tc>
          <w:tcPr>
            <w:tcW w:w="2121" w:type="dxa"/>
            <w:noWrap/>
            <w:vAlign w:val="center"/>
          </w:tcPr>
          <w:p w14:paraId="5D085273" w14:textId="77777777" w:rsidR="00C530A7" w:rsidRPr="00D6514E" w:rsidRDefault="00C530A7" w:rsidP="00C530A7">
            <w:pPr>
              <w:jc w:val="center"/>
              <w:rPr>
                <w:rFonts w:cs="Arial"/>
                <w:sz w:val="20"/>
                <w:szCs w:val="20"/>
              </w:rPr>
            </w:pPr>
            <w:r w:rsidRPr="00D6514E">
              <w:rPr>
                <w:rFonts w:cs="Arial"/>
                <w:sz w:val="20"/>
                <w:szCs w:val="20"/>
              </w:rPr>
              <w:t>765 816 045,28 zł</w:t>
            </w:r>
          </w:p>
          <w:p w14:paraId="7ACDD2EE" w14:textId="234FF619" w:rsidR="00C530A7" w:rsidRPr="00487C10" w:rsidRDefault="00C530A7" w:rsidP="00C530A7">
            <w:pPr>
              <w:jc w:val="center"/>
              <w:rPr>
                <w:rFonts w:cs="Arial"/>
                <w:sz w:val="20"/>
                <w:szCs w:val="20"/>
              </w:rPr>
            </w:pPr>
            <w:r w:rsidRPr="00D6514E">
              <w:rPr>
                <w:rFonts w:cs="Arial"/>
                <w:sz w:val="20"/>
                <w:szCs w:val="20"/>
              </w:rPr>
              <w:t>(wartość bez VAT)</w:t>
            </w:r>
          </w:p>
        </w:tc>
      </w:tr>
    </w:tbl>
    <w:p w14:paraId="24E882EB" w14:textId="680D9775" w:rsidR="00774A66" w:rsidRPr="00774A66" w:rsidRDefault="00774A66" w:rsidP="00774A66">
      <w:pPr>
        <w:spacing w:before="240" w:line="360" w:lineRule="auto"/>
        <w:jc w:val="left"/>
        <w:rPr>
          <w:rFonts w:cs="Arial"/>
          <w:bCs/>
          <w:iCs/>
          <w:szCs w:val="22"/>
        </w:rPr>
      </w:pPr>
      <w:r w:rsidRPr="00774A66">
        <w:rPr>
          <w:rFonts w:cs="Arial"/>
          <w:iCs/>
          <w:szCs w:val="22"/>
        </w:rPr>
        <w:t xml:space="preserve">Instrumenty innowacyjne w największej liczbie przypadków stosowano w zamówieniach na dostawy. W tego rodzaju zamówieniach najczęściej określano </w:t>
      </w:r>
      <w:r w:rsidRPr="00774A66">
        <w:rPr>
          <w:rFonts w:cs="Arial"/>
          <w:bCs/>
          <w:iCs/>
          <w:szCs w:val="22"/>
        </w:rPr>
        <w:t>aspekty innowacyjne w</w:t>
      </w:r>
      <w:r w:rsidR="00D4343B">
        <w:rPr>
          <w:rFonts w:cs="Arial"/>
          <w:bCs/>
          <w:iCs/>
          <w:szCs w:val="22"/>
        </w:rPr>
        <w:t> </w:t>
      </w:r>
      <w:r w:rsidRPr="00774A66">
        <w:rPr>
          <w:rFonts w:cs="Arial"/>
          <w:bCs/>
          <w:iCs/>
          <w:szCs w:val="22"/>
        </w:rPr>
        <w:t xml:space="preserve">ramach kryteriów oceny ofert. </w:t>
      </w:r>
    </w:p>
    <w:p w14:paraId="06F331BD" w14:textId="3FCB56A0" w:rsidR="00774A66" w:rsidRPr="00774A66" w:rsidRDefault="00774A66" w:rsidP="00774A66">
      <w:pPr>
        <w:spacing w:before="120" w:line="360" w:lineRule="auto"/>
        <w:jc w:val="left"/>
        <w:rPr>
          <w:rFonts w:cs="Arial"/>
          <w:bCs/>
          <w:iCs/>
          <w:szCs w:val="22"/>
        </w:rPr>
      </w:pPr>
      <w:r w:rsidRPr="00774A66">
        <w:rPr>
          <w:rFonts w:cs="Arial"/>
          <w:iCs/>
          <w:szCs w:val="22"/>
        </w:rPr>
        <w:lastRenderedPageBreak/>
        <w:t>Poniższe tabele prezentują zestawienie szczegółowych danych dotyczących zarówno liczby</w:t>
      </w:r>
      <w:r w:rsidR="00D4343B">
        <w:rPr>
          <w:rFonts w:cs="Arial"/>
          <w:iCs/>
          <w:szCs w:val="22"/>
        </w:rPr>
        <w:t>,</w:t>
      </w:r>
      <w:r w:rsidRPr="00774A66">
        <w:rPr>
          <w:rFonts w:cs="Arial"/>
          <w:iCs/>
          <w:szCs w:val="22"/>
        </w:rPr>
        <w:t xml:space="preserve"> jak i wartości zamówień, w których zastosowano poszczególne instrumenty, dodatkowo w</w:t>
      </w:r>
      <w:r w:rsidR="00D4343B">
        <w:rPr>
          <w:rFonts w:cs="Arial"/>
          <w:iCs/>
          <w:szCs w:val="22"/>
        </w:rPr>
        <w:t> </w:t>
      </w:r>
      <w:r w:rsidRPr="00774A66">
        <w:rPr>
          <w:rFonts w:cs="Arial"/>
          <w:iCs/>
          <w:szCs w:val="22"/>
        </w:rPr>
        <w:t>podziale na rodzaj zamówienia.</w:t>
      </w:r>
    </w:p>
    <w:p w14:paraId="3603917C" w14:textId="20C7CBF9" w:rsidR="00A9188F" w:rsidRPr="00A9188F" w:rsidRDefault="00B346BB" w:rsidP="00852522">
      <w:pPr>
        <w:pStyle w:val="Nagwek4"/>
      </w:pPr>
      <w:r>
        <w:t xml:space="preserve">4.3.1. </w:t>
      </w:r>
      <w:r w:rsidR="00A9188F" w:rsidRPr="00A9188F">
        <w:t>Określenie w kryteriach oceny ofert aspektów innowacyjnych, o których mowa w art. 242 ust. 2 ustawy Pzp</w:t>
      </w:r>
    </w:p>
    <w:p w14:paraId="7D4A82CF" w14:textId="69419C6B" w:rsidR="00A9188F" w:rsidRPr="00A232C4" w:rsidRDefault="00A9188F" w:rsidP="006C14EB">
      <w:pPr>
        <w:pStyle w:val="Legenda"/>
      </w:pPr>
      <w:bookmarkStart w:id="222" w:name="_Toc141276566"/>
      <w:bookmarkStart w:id="223" w:name="_Toc233203416"/>
      <w:r w:rsidRPr="00A71457">
        <w:t xml:space="preserve">Tab. </w:t>
      </w:r>
      <w:fldSimple w:instr=" SEQ Tab. \* ARABIC ">
        <w:r w:rsidR="00017C65">
          <w:rPr>
            <w:noProof/>
          </w:rPr>
          <w:t>44</w:t>
        </w:r>
      </w:fldSimple>
      <w:r w:rsidRPr="00A71457">
        <w:t>. Innowacyjne zamówienia publiczne udzielane przez jednostki administracji rządowej z zastosowaniem art. 242 ust. 2 ustawy Pzp</w:t>
      </w:r>
      <w:bookmarkEnd w:id="222"/>
      <w:bookmarkEnd w:id="22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udzielane przez jednostki administracji rządowej z zastosowaniem art. 242 ust. 2 ustawy Pzp."/>
        <w:tblDescription w:val="Tabela. Innowacyjne zamówienia publiczne udzielane przez jednostki administracji rządowej z zastosowaniem art. 242 ust. 2 ustawy Pzp."/>
      </w:tblPr>
      <w:tblGrid>
        <w:gridCol w:w="7225"/>
        <w:gridCol w:w="1837"/>
      </w:tblGrid>
      <w:tr w:rsidR="001A27FE" w:rsidRPr="00487C10" w14:paraId="13503F26" w14:textId="77777777" w:rsidTr="001A27FE">
        <w:trPr>
          <w:trHeight w:val="300"/>
          <w:jc w:val="center"/>
        </w:trPr>
        <w:tc>
          <w:tcPr>
            <w:tcW w:w="7225" w:type="dxa"/>
            <w:shd w:val="clear" w:color="auto" w:fill="FFF2CC"/>
            <w:noWrap/>
            <w:vAlign w:val="center"/>
          </w:tcPr>
          <w:p w14:paraId="260963E3" w14:textId="77777777" w:rsidR="001A27FE" w:rsidRPr="00487C10" w:rsidRDefault="001A27FE" w:rsidP="001A27FE">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1837" w:type="dxa"/>
            <w:shd w:val="clear" w:color="auto" w:fill="FFF2CC"/>
            <w:vAlign w:val="center"/>
          </w:tcPr>
          <w:p w14:paraId="219A3C41" w14:textId="7325D3F1" w:rsidR="001A27FE" w:rsidRPr="00487C10" w:rsidRDefault="001A27FE" w:rsidP="001A27FE">
            <w:pPr>
              <w:jc w:val="center"/>
              <w:rPr>
                <w:rFonts w:cs="Arial"/>
                <w:sz w:val="20"/>
                <w:szCs w:val="20"/>
              </w:rPr>
            </w:pPr>
            <w:r w:rsidRPr="00254652">
              <w:rPr>
                <w:rFonts w:cs="Arial"/>
                <w:sz w:val="20"/>
                <w:szCs w:val="20"/>
              </w:rPr>
              <w:t>18</w:t>
            </w:r>
          </w:p>
        </w:tc>
      </w:tr>
      <w:tr w:rsidR="001A27FE" w:rsidRPr="00487C10" w14:paraId="1EA02EB9" w14:textId="77777777" w:rsidTr="001A27FE">
        <w:trPr>
          <w:trHeight w:val="300"/>
          <w:jc w:val="center"/>
        </w:trPr>
        <w:tc>
          <w:tcPr>
            <w:tcW w:w="7225" w:type="dxa"/>
            <w:noWrap/>
            <w:vAlign w:val="center"/>
            <w:hideMark/>
          </w:tcPr>
          <w:p w14:paraId="089345F6" w14:textId="77777777" w:rsidR="001A27FE" w:rsidRPr="00487C10" w:rsidRDefault="001A27FE" w:rsidP="001A27FE">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1837" w:type="dxa"/>
            <w:vAlign w:val="center"/>
          </w:tcPr>
          <w:p w14:paraId="0D40B326" w14:textId="77777777" w:rsidR="001A27FE" w:rsidRPr="00254652" w:rsidRDefault="001A27FE" w:rsidP="001A27FE">
            <w:pPr>
              <w:jc w:val="center"/>
              <w:rPr>
                <w:rFonts w:cs="Arial"/>
                <w:sz w:val="20"/>
                <w:szCs w:val="20"/>
              </w:rPr>
            </w:pPr>
            <w:r w:rsidRPr="00254652">
              <w:rPr>
                <w:rFonts w:cs="Arial"/>
                <w:color w:val="000000"/>
                <w:sz w:val="20"/>
                <w:szCs w:val="20"/>
              </w:rPr>
              <w:t xml:space="preserve">316 580 573,99 </w:t>
            </w:r>
            <w:r w:rsidRPr="00254652">
              <w:rPr>
                <w:rFonts w:cs="Arial"/>
                <w:sz w:val="20"/>
                <w:szCs w:val="20"/>
              </w:rPr>
              <w:t>zł</w:t>
            </w:r>
          </w:p>
          <w:p w14:paraId="4E08CE82" w14:textId="0625702E" w:rsidR="001A27FE" w:rsidRPr="00487C10" w:rsidRDefault="001A27FE" w:rsidP="001A27FE">
            <w:pPr>
              <w:jc w:val="center"/>
              <w:rPr>
                <w:rFonts w:cs="Arial"/>
                <w:sz w:val="20"/>
                <w:szCs w:val="20"/>
              </w:rPr>
            </w:pPr>
            <w:r w:rsidRPr="00254652">
              <w:rPr>
                <w:rFonts w:cs="Arial"/>
                <w:sz w:val="20"/>
                <w:szCs w:val="20"/>
              </w:rPr>
              <w:t>(wartość bez VAT)</w:t>
            </w:r>
          </w:p>
        </w:tc>
      </w:tr>
    </w:tbl>
    <w:p w14:paraId="022D350B" w14:textId="77777777" w:rsidR="00A9188F" w:rsidRPr="00487C10" w:rsidRDefault="00A9188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udzielane przez jednostki administracji rządowej z zastosowaniem art. 242 ust. 2 ustawy Pzp."/>
        <w:tblDescription w:val="Tabela. Innowacyjne zamówienia publiczne udzielane przez jednostki administracji rządowej z zastosowaniem art. 242 ust. 2 ustawy Pzp."/>
      </w:tblPr>
      <w:tblGrid>
        <w:gridCol w:w="2689"/>
        <w:gridCol w:w="1842"/>
        <w:gridCol w:w="4536"/>
      </w:tblGrid>
      <w:tr w:rsidR="00A9188F" w:rsidRPr="00487C10" w14:paraId="00E29E46" w14:textId="77777777" w:rsidTr="00293687">
        <w:trPr>
          <w:trHeight w:val="300"/>
          <w:tblHeader/>
          <w:jc w:val="center"/>
        </w:trPr>
        <w:tc>
          <w:tcPr>
            <w:tcW w:w="2689" w:type="dxa"/>
            <w:shd w:val="clear" w:color="auto" w:fill="FFE599"/>
            <w:noWrap/>
            <w:vAlign w:val="center"/>
          </w:tcPr>
          <w:p w14:paraId="1B58A590" w14:textId="77777777" w:rsidR="00A9188F" w:rsidRPr="00487C10" w:rsidRDefault="00A9188F" w:rsidP="00B346BB">
            <w:pPr>
              <w:jc w:val="center"/>
              <w:rPr>
                <w:rFonts w:cs="Arial"/>
                <w:b/>
                <w:sz w:val="20"/>
                <w:szCs w:val="20"/>
              </w:rPr>
            </w:pPr>
            <w:r w:rsidRPr="00487C10">
              <w:rPr>
                <w:rFonts w:cs="Arial"/>
                <w:b/>
                <w:bCs/>
                <w:sz w:val="20"/>
                <w:szCs w:val="20"/>
              </w:rPr>
              <w:t>Rodzaj zamówienia</w:t>
            </w:r>
          </w:p>
        </w:tc>
        <w:tc>
          <w:tcPr>
            <w:tcW w:w="1842" w:type="dxa"/>
            <w:shd w:val="clear" w:color="auto" w:fill="FFE599"/>
            <w:vAlign w:val="center"/>
          </w:tcPr>
          <w:p w14:paraId="32D4527E" w14:textId="77777777" w:rsidR="00A9188F" w:rsidRPr="00487C10" w:rsidRDefault="00A9188F" w:rsidP="00B346BB">
            <w:pPr>
              <w:jc w:val="center"/>
              <w:rPr>
                <w:rFonts w:cs="Arial"/>
                <w:b/>
                <w:sz w:val="20"/>
                <w:szCs w:val="20"/>
              </w:rPr>
            </w:pPr>
            <w:r w:rsidRPr="00487C10">
              <w:rPr>
                <w:rFonts w:cs="Arial"/>
                <w:b/>
                <w:sz w:val="20"/>
                <w:szCs w:val="20"/>
              </w:rPr>
              <w:t>Liczba</w:t>
            </w:r>
          </w:p>
        </w:tc>
        <w:tc>
          <w:tcPr>
            <w:tcW w:w="4536" w:type="dxa"/>
            <w:shd w:val="clear" w:color="auto" w:fill="FFE599"/>
            <w:vAlign w:val="center"/>
          </w:tcPr>
          <w:p w14:paraId="166D79B4" w14:textId="77777777" w:rsidR="00A9188F" w:rsidRPr="00487C10" w:rsidRDefault="00A9188F" w:rsidP="00B346BB">
            <w:pPr>
              <w:jc w:val="center"/>
              <w:rPr>
                <w:rFonts w:cs="Arial"/>
                <w:b/>
                <w:sz w:val="20"/>
                <w:szCs w:val="20"/>
              </w:rPr>
            </w:pPr>
            <w:r w:rsidRPr="00487C10">
              <w:rPr>
                <w:rFonts w:cs="Arial"/>
                <w:b/>
                <w:sz w:val="20"/>
                <w:szCs w:val="20"/>
              </w:rPr>
              <w:t>Wartość (bez VAT)</w:t>
            </w:r>
          </w:p>
        </w:tc>
      </w:tr>
      <w:tr w:rsidR="003E7071" w:rsidRPr="00487C10" w14:paraId="46CBA157" w14:textId="77777777" w:rsidTr="00293687">
        <w:trPr>
          <w:trHeight w:val="300"/>
          <w:jc w:val="center"/>
        </w:trPr>
        <w:tc>
          <w:tcPr>
            <w:tcW w:w="2689" w:type="dxa"/>
            <w:noWrap/>
            <w:vAlign w:val="center"/>
          </w:tcPr>
          <w:p w14:paraId="10DE9988" w14:textId="77777777" w:rsidR="003E7071" w:rsidRPr="00487C10" w:rsidRDefault="003E7071" w:rsidP="003E7071">
            <w:pPr>
              <w:jc w:val="center"/>
              <w:rPr>
                <w:rFonts w:cs="Arial"/>
                <w:bCs/>
                <w:sz w:val="20"/>
                <w:szCs w:val="20"/>
              </w:rPr>
            </w:pPr>
            <w:r w:rsidRPr="00487C10">
              <w:rPr>
                <w:rFonts w:cs="Arial"/>
                <w:bCs/>
                <w:sz w:val="20"/>
                <w:szCs w:val="20"/>
              </w:rPr>
              <w:t>Dostawy</w:t>
            </w:r>
          </w:p>
        </w:tc>
        <w:tc>
          <w:tcPr>
            <w:tcW w:w="1842" w:type="dxa"/>
            <w:noWrap/>
            <w:vAlign w:val="center"/>
          </w:tcPr>
          <w:p w14:paraId="46B4AF6E" w14:textId="41FEC1C9" w:rsidR="003E7071" w:rsidRPr="00487C10" w:rsidRDefault="003E7071" w:rsidP="003E7071">
            <w:pPr>
              <w:jc w:val="center"/>
              <w:rPr>
                <w:rFonts w:cs="Arial"/>
                <w:sz w:val="20"/>
                <w:szCs w:val="20"/>
              </w:rPr>
            </w:pPr>
            <w:r w:rsidRPr="00C0701E">
              <w:rPr>
                <w:rFonts w:cs="Arial"/>
                <w:sz w:val="20"/>
                <w:szCs w:val="20"/>
              </w:rPr>
              <w:t>17</w:t>
            </w:r>
          </w:p>
        </w:tc>
        <w:tc>
          <w:tcPr>
            <w:tcW w:w="4536" w:type="dxa"/>
            <w:vAlign w:val="center"/>
          </w:tcPr>
          <w:p w14:paraId="1CBAD6B5" w14:textId="655D08BF" w:rsidR="003E7071" w:rsidRPr="00487C10" w:rsidRDefault="003E7071" w:rsidP="003E7071">
            <w:pPr>
              <w:jc w:val="center"/>
              <w:rPr>
                <w:rFonts w:cs="Arial"/>
                <w:sz w:val="20"/>
                <w:szCs w:val="20"/>
              </w:rPr>
            </w:pPr>
            <w:r w:rsidRPr="00C0701E">
              <w:rPr>
                <w:rFonts w:cs="Arial"/>
                <w:color w:val="000000"/>
                <w:sz w:val="20"/>
                <w:szCs w:val="20"/>
              </w:rPr>
              <w:t xml:space="preserve">315 932 573,99 </w:t>
            </w:r>
            <w:r w:rsidRPr="00C0701E">
              <w:rPr>
                <w:rFonts w:cs="Arial"/>
                <w:sz w:val="20"/>
                <w:szCs w:val="20"/>
              </w:rPr>
              <w:t>zł</w:t>
            </w:r>
          </w:p>
        </w:tc>
      </w:tr>
      <w:tr w:rsidR="003E7071" w:rsidRPr="00487C10" w14:paraId="31E97D33" w14:textId="77777777" w:rsidTr="00293687">
        <w:trPr>
          <w:trHeight w:val="300"/>
          <w:jc w:val="center"/>
        </w:trPr>
        <w:tc>
          <w:tcPr>
            <w:tcW w:w="2689" w:type="dxa"/>
            <w:shd w:val="clear" w:color="auto" w:fill="FFF2CC"/>
            <w:noWrap/>
            <w:vAlign w:val="center"/>
            <w:hideMark/>
          </w:tcPr>
          <w:p w14:paraId="0CF95A4E" w14:textId="77777777" w:rsidR="003E7071" w:rsidRPr="00487C10" w:rsidRDefault="003E7071" w:rsidP="003E7071">
            <w:pPr>
              <w:jc w:val="center"/>
              <w:rPr>
                <w:rFonts w:cs="Arial"/>
                <w:bCs/>
                <w:sz w:val="20"/>
                <w:szCs w:val="20"/>
              </w:rPr>
            </w:pPr>
            <w:r w:rsidRPr="00487C10">
              <w:rPr>
                <w:rFonts w:cs="Arial"/>
                <w:bCs/>
                <w:sz w:val="20"/>
                <w:szCs w:val="20"/>
              </w:rPr>
              <w:t>Roboty budowlane</w:t>
            </w:r>
          </w:p>
        </w:tc>
        <w:tc>
          <w:tcPr>
            <w:tcW w:w="1842" w:type="dxa"/>
            <w:shd w:val="clear" w:color="auto" w:fill="FFF2CC"/>
            <w:noWrap/>
            <w:vAlign w:val="center"/>
          </w:tcPr>
          <w:p w14:paraId="550A11B1" w14:textId="3D25613A" w:rsidR="003E7071" w:rsidRPr="00487C10" w:rsidRDefault="003E7071" w:rsidP="003E7071">
            <w:pPr>
              <w:jc w:val="center"/>
              <w:rPr>
                <w:rFonts w:cs="Arial"/>
                <w:sz w:val="20"/>
                <w:szCs w:val="20"/>
              </w:rPr>
            </w:pPr>
            <w:r w:rsidRPr="00C0701E">
              <w:rPr>
                <w:rFonts w:cs="Arial"/>
                <w:sz w:val="20"/>
                <w:szCs w:val="20"/>
              </w:rPr>
              <w:t>0</w:t>
            </w:r>
          </w:p>
        </w:tc>
        <w:tc>
          <w:tcPr>
            <w:tcW w:w="4536" w:type="dxa"/>
            <w:shd w:val="clear" w:color="auto" w:fill="FFF2CC"/>
            <w:vAlign w:val="center"/>
          </w:tcPr>
          <w:p w14:paraId="7E558558" w14:textId="5E0FBFBE" w:rsidR="003E7071" w:rsidRPr="00487C10" w:rsidRDefault="003E7071" w:rsidP="003E7071">
            <w:pPr>
              <w:jc w:val="center"/>
              <w:rPr>
                <w:rFonts w:cs="Arial"/>
                <w:sz w:val="20"/>
                <w:szCs w:val="20"/>
              </w:rPr>
            </w:pPr>
            <w:r w:rsidRPr="00C0701E">
              <w:rPr>
                <w:rFonts w:cs="Arial"/>
                <w:sz w:val="20"/>
                <w:szCs w:val="20"/>
              </w:rPr>
              <w:t>0,00 zł</w:t>
            </w:r>
          </w:p>
        </w:tc>
      </w:tr>
      <w:tr w:rsidR="003E7071" w:rsidRPr="00487C10" w14:paraId="55BB8178" w14:textId="77777777" w:rsidTr="00293687">
        <w:trPr>
          <w:trHeight w:val="300"/>
          <w:jc w:val="center"/>
        </w:trPr>
        <w:tc>
          <w:tcPr>
            <w:tcW w:w="2689" w:type="dxa"/>
            <w:noWrap/>
            <w:vAlign w:val="center"/>
          </w:tcPr>
          <w:p w14:paraId="6574EDA9" w14:textId="77777777" w:rsidR="003E7071" w:rsidRPr="00487C10" w:rsidRDefault="003E7071" w:rsidP="003E7071">
            <w:pPr>
              <w:jc w:val="center"/>
              <w:rPr>
                <w:rFonts w:cs="Arial"/>
                <w:bCs/>
                <w:sz w:val="20"/>
                <w:szCs w:val="20"/>
              </w:rPr>
            </w:pPr>
            <w:r w:rsidRPr="00487C10">
              <w:rPr>
                <w:rFonts w:cs="Arial"/>
                <w:bCs/>
                <w:sz w:val="20"/>
                <w:szCs w:val="20"/>
              </w:rPr>
              <w:t>Usługi</w:t>
            </w:r>
          </w:p>
        </w:tc>
        <w:tc>
          <w:tcPr>
            <w:tcW w:w="1842" w:type="dxa"/>
            <w:noWrap/>
            <w:vAlign w:val="center"/>
          </w:tcPr>
          <w:p w14:paraId="51CE47F5" w14:textId="1D3BB56A" w:rsidR="003E7071" w:rsidRPr="00487C10" w:rsidRDefault="003E7071" w:rsidP="003E7071">
            <w:pPr>
              <w:jc w:val="center"/>
              <w:rPr>
                <w:rFonts w:cs="Arial"/>
                <w:sz w:val="20"/>
                <w:szCs w:val="20"/>
              </w:rPr>
            </w:pPr>
            <w:r w:rsidRPr="00C0701E">
              <w:rPr>
                <w:rFonts w:cs="Arial"/>
                <w:sz w:val="20"/>
                <w:szCs w:val="20"/>
              </w:rPr>
              <w:t>1</w:t>
            </w:r>
          </w:p>
        </w:tc>
        <w:tc>
          <w:tcPr>
            <w:tcW w:w="4536" w:type="dxa"/>
            <w:vAlign w:val="center"/>
          </w:tcPr>
          <w:p w14:paraId="71AB5A7E" w14:textId="16AB71BC" w:rsidR="003E7071" w:rsidRPr="00487C10" w:rsidRDefault="003E7071" w:rsidP="003E7071">
            <w:pPr>
              <w:jc w:val="center"/>
              <w:rPr>
                <w:rFonts w:cs="Arial"/>
                <w:sz w:val="20"/>
                <w:szCs w:val="20"/>
              </w:rPr>
            </w:pPr>
            <w:r w:rsidRPr="00C0701E">
              <w:rPr>
                <w:rFonts w:cs="Arial"/>
                <w:color w:val="000000"/>
                <w:sz w:val="20"/>
                <w:szCs w:val="20"/>
              </w:rPr>
              <w:t xml:space="preserve"> 648 000,00 </w:t>
            </w:r>
            <w:r w:rsidRPr="00C0701E">
              <w:rPr>
                <w:rFonts w:cs="Arial"/>
                <w:sz w:val="20"/>
                <w:szCs w:val="20"/>
              </w:rPr>
              <w:t>zł</w:t>
            </w:r>
          </w:p>
        </w:tc>
      </w:tr>
    </w:tbl>
    <w:p w14:paraId="05F1232C" w14:textId="47A7D414" w:rsidR="00A9188F" w:rsidRPr="00A9188F" w:rsidRDefault="00B346BB" w:rsidP="00852522">
      <w:pPr>
        <w:pStyle w:val="Nagwek4"/>
      </w:pPr>
      <w:r>
        <w:t xml:space="preserve">4.3.2. </w:t>
      </w:r>
      <w:r w:rsidR="00A9188F" w:rsidRPr="00A9188F">
        <w:t>Określenie wymagań zw. z realizacją zamówienia obejmujących aspekty zw. z innowacyjnością, o których mowa w art. 96 ust. 1 ustawy Pzp</w:t>
      </w:r>
    </w:p>
    <w:p w14:paraId="2B899B17" w14:textId="6F96CE3F" w:rsidR="00A9188F" w:rsidRPr="00F526D6" w:rsidRDefault="00A9188F" w:rsidP="006C14EB">
      <w:pPr>
        <w:pStyle w:val="Legenda"/>
      </w:pPr>
      <w:bookmarkStart w:id="224" w:name="_Toc141276567"/>
      <w:bookmarkStart w:id="225" w:name="_Toc233203417"/>
      <w:r w:rsidRPr="007922BA">
        <w:t xml:space="preserve">Tab. </w:t>
      </w:r>
      <w:fldSimple w:instr=" SEQ Tab. \* ARABIC ">
        <w:r w:rsidR="00017C65">
          <w:rPr>
            <w:noProof/>
          </w:rPr>
          <w:t>45</w:t>
        </w:r>
      </w:fldSimple>
      <w:r w:rsidRPr="007922BA">
        <w:t>. Innowacyjne zamówienia publiczne udzielane przez jednostki administracji rządowej z zastosowaniem art. 96 ust. 1 ustawy Pzp</w:t>
      </w:r>
      <w:bookmarkEnd w:id="224"/>
      <w:bookmarkEnd w:id="22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udzielane przez jednostki administracji rządowej z zastosowaniem art. 96 ust. 1 ustawy Pzp."/>
        <w:tblDescription w:val="Tabela. Innowacyjne zamówienia publiczne udzielane przez jednostki administracji rządowej z zastosowaniem art. 96 ust. 1 ustawy Pzp."/>
      </w:tblPr>
      <w:tblGrid>
        <w:gridCol w:w="6658"/>
        <w:gridCol w:w="2404"/>
      </w:tblGrid>
      <w:tr w:rsidR="00CC5BA6" w:rsidRPr="00487C10" w14:paraId="5FDD9EE8" w14:textId="77777777" w:rsidTr="00CC5BA6">
        <w:trPr>
          <w:trHeight w:val="300"/>
          <w:jc w:val="center"/>
        </w:trPr>
        <w:tc>
          <w:tcPr>
            <w:tcW w:w="6658" w:type="dxa"/>
            <w:shd w:val="clear" w:color="auto" w:fill="FFF2CC"/>
            <w:noWrap/>
            <w:vAlign w:val="center"/>
          </w:tcPr>
          <w:p w14:paraId="2FF0FD8F" w14:textId="77777777" w:rsidR="00CC5BA6" w:rsidRPr="00487C10" w:rsidRDefault="00CC5BA6" w:rsidP="00CC5BA6">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404" w:type="dxa"/>
            <w:shd w:val="clear" w:color="auto" w:fill="FFF2CC"/>
            <w:vAlign w:val="center"/>
          </w:tcPr>
          <w:p w14:paraId="4A0D83EE" w14:textId="7DA51BB4" w:rsidR="00CC5BA6" w:rsidRPr="00487C10" w:rsidRDefault="00CC5BA6" w:rsidP="00CC5BA6">
            <w:pPr>
              <w:jc w:val="center"/>
              <w:rPr>
                <w:rFonts w:cs="Arial"/>
                <w:sz w:val="20"/>
                <w:szCs w:val="20"/>
              </w:rPr>
            </w:pPr>
            <w:r w:rsidRPr="00C0701E">
              <w:rPr>
                <w:rFonts w:cs="Arial"/>
                <w:sz w:val="20"/>
                <w:szCs w:val="20"/>
              </w:rPr>
              <w:t>24</w:t>
            </w:r>
          </w:p>
        </w:tc>
      </w:tr>
      <w:tr w:rsidR="00CC5BA6" w:rsidRPr="00487C10" w14:paraId="7C5FEF1D" w14:textId="77777777" w:rsidTr="00CC5BA6">
        <w:trPr>
          <w:trHeight w:val="300"/>
          <w:jc w:val="center"/>
        </w:trPr>
        <w:tc>
          <w:tcPr>
            <w:tcW w:w="6658" w:type="dxa"/>
            <w:noWrap/>
            <w:vAlign w:val="center"/>
            <w:hideMark/>
          </w:tcPr>
          <w:p w14:paraId="54260C96" w14:textId="77777777" w:rsidR="00CC5BA6" w:rsidRPr="00487C10" w:rsidRDefault="00CC5BA6" w:rsidP="00CC5BA6">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404" w:type="dxa"/>
            <w:vAlign w:val="center"/>
          </w:tcPr>
          <w:p w14:paraId="4224CE4A" w14:textId="77777777" w:rsidR="00CC5BA6" w:rsidRPr="00C0701E" w:rsidRDefault="00CC5BA6" w:rsidP="00CC5BA6">
            <w:pPr>
              <w:jc w:val="center"/>
              <w:rPr>
                <w:rFonts w:cs="Arial"/>
                <w:sz w:val="20"/>
                <w:szCs w:val="20"/>
              </w:rPr>
            </w:pPr>
            <w:r w:rsidRPr="00C0701E">
              <w:rPr>
                <w:rFonts w:cs="Arial"/>
                <w:color w:val="000000"/>
                <w:sz w:val="20"/>
                <w:szCs w:val="20"/>
              </w:rPr>
              <w:t xml:space="preserve">449 235 471,29 </w:t>
            </w:r>
            <w:r w:rsidRPr="00C0701E">
              <w:rPr>
                <w:rFonts w:cs="Arial"/>
                <w:sz w:val="20"/>
                <w:szCs w:val="20"/>
              </w:rPr>
              <w:t>zł</w:t>
            </w:r>
          </w:p>
          <w:p w14:paraId="0C71F5D4" w14:textId="190AB724" w:rsidR="00CC5BA6" w:rsidRPr="00487C10" w:rsidRDefault="00CC5BA6" w:rsidP="00CC5BA6">
            <w:pPr>
              <w:jc w:val="center"/>
              <w:rPr>
                <w:rFonts w:cs="Arial"/>
                <w:sz w:val="20"/>
                <w:szCs w:val="20"/>
              </w:rPr>
            </w:pPr>
            <w:r w:rsidRPr="00C0701E">
              <w:rPr>
                <w:rFonts w:cs="Arial"/>
                <w:sz w:val="20"/>
                <w:szCs w:val="20"/>
              </w:rPr>
              <w:t>(wartość bez VAT)</w:t>
            </w:r>
          </w:p>
        </w:tc>
      </w:tr>
    </w:tbl>
    <w:p w14:paraId="076535B5" w14:textId="77777777" w:rsidR="00A9188F" w:rsidRPr="00487C10" w:rsidRDefault="00A9188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udzielane przez jednostki administracji rządowej z zastosowaniem art. 96 ust. 1 ustawy Pzp."/>
        <w:tblDescription w:val="Tabela. Innowacyjne zamówienia publiczne udzielane przez jednostki administracji rządowej z zastosowaniem art. 96 ust. 1 ustawy Pzp."/>
      </w:tblPr>
      <w:tblGrid>
        <w:gridCol w:w="2547"/>
        <w:gridCol w:w="1559"/>
        <w:gridCol w:w="4961"/>
      </w:tblGrid>
      <w:tr w:rsidR="00A9188F" w:rsidRPr="00487C10" w14:paraId="5E35F326" w14:textId="77777777" w:rsidTr="00293687">
        <w:trPr>
          <w:trHeight w:val="300"/>
          <w:tblHeader/>
          <w:jc w:val="center"/>
        </w:trPr>
        <w:tc>
          <w:tcPr>
            <w:tcW w:w="2547" w:type="dxa"/>
            <w:shd w:val="clear" w:color="auto" w:fill="FFE599"/>
            <w:noWrap/>
            <w:vAlign w:val="center"/>
          </w:tcPr>
          <w:p w14:paraId="50CA1222" w14:textId="77777777" w:rsidR="00A9188F" w:rsidRPr="00487C10" w:rsidRDefault="00A9188F" w:rsidP="00B346BB">
            <w:pPr>
              <w:jc w:val="center"/>
              <w:rPr>
                <w:rFonts w:cs="Arial"/>
                <w:b/>
                <w:sz w:val="20"/>
                <w:szCs w:val="20"/>
              </w:rPr>
            </w:pPr>
            <w:r w:rsidRPr="00487C10">
              <w:rPr>
                <w:rFonts w:cs="Arial"/>
                <w:b/>
                <w:bCs/>
                <w:sz w:val="20"/>
                <w:szCs w:val="20"/>
              </w:rPr>
              <w:t>Rodzaj zamówienia</w:t>
            </w:r>
          </w:p>
        </w:tc>
        <w:tc>
          <w:tcPr>
            <w:tcW w:w="1559" w:type="dxa"/>
            <w:shd w:val="clear" w:color="auto" w:fill="FFE599"/>
            <w:vAlign w:val="center"/>
          </w:tcPr>
          <w:p w14:paraId="732670B9" w14:textId="77777777" w:rsidR="00A9188F" w:rsidRPr="00487C10" w:rsidRDefault="00A9188F" w:rsidP="00B346BB">
            <w:pPr>
              <w:jc w:val="center"/>
              <w:rPr>
                <w:rFonts w:cs="Arial"/>
                <w:b/>
                <w:sz w:val="20"/>
                <w:szCs w:val="20"/>
              </w:rPr>
            </w:pPr>
            <w:r w:rsidRPr="00487C10">
              <w:rPr>
                <w:rFonts w:cs="Arial"/>
                <w:b/>
                <w:sz w:val="20"/>
                <w:szCs w:val="20"/>
              </w:rPr>
              <w:t>Liczba</w:t>
            </w:r>
          </w:p>
        </w:tc>
        <w:tc>
          <w:tcPr>
            <w:tcW w:w="4961" w:type="dxa"/>
            <w:shd w:val="clear" w:color="auto" w:fill="FFE599"/>
            <w:vAlign w:val="center"/>
          </w:tcPr>
          <w:p w14:paraId="24BF6943" w14:textId="77777777" w:rsidR="00A9188F" w:rsidRPr="00487C10" w:rsidRDefault="00A9188F" w:rsidP="00B346BB">
            <w:pPr>
              <w:jc w:val="center"/>
              <w:rPr>
                <w:rFonts w:cs="Arial"/>
                <w:b/>
                <w:sz w:val="20"/>
                <w:szCs w:val="20"/>
              </w:rPr>
            </w:pPr>
            <w:r w:rsidRPr="00487C10">
              <w:rPr>
                <w:rFonts w:cs="Arial"/>
                <w:b/>
                <w:sz w:val="20"/>
                <w:szCs w:val="20"/>
              </w:rPr>
              <w:t>Wartość (bez VAT)</w:t>
            </w:r>
          </w:p>
        </w:tc>
      </w:tr>
      <w:tr w:rsidR="00CC5BA6" w:rsidRPr="00487C10" w14:paraId="382BF8C5" w14:textId="77777777" w:rsidTr="00293687">
        <w:trPr>
          <w:trHeight w:val="300"/>
          <w:jc w:val="center"/>
        </w:trPr>
        <w:tc>
          <w:tcPr>
            <w:tcW w:w="2547" w:type="dxa"/>
            <w:noWrap/>
            <w:vAlign w:val="center"/>
          </w:tcPr>
          <w:p w14:paraId="56BDE167" w14:textId="77777777" w:rsidR="00CC5BA6" w:rsidRPr="00487C10" w:rsidRDefault="00CC5BA6" w:rsidP="00CC5BA6">
            <w:pPr>
              <w:jc w:val="center"/>
              <w:rPr>
                <w:rFonts w:cs="Arial"/>
                <w:bCs/>
                <w:sz w:val="20"/>
                <w:szCs w:val="20"/>
              </w:rPr>
            </w:pPr>
            <w:r w:rsidRPr="00487C10">
              <w:rPr>
                <w:rFonts w:cs="Arial"/>
                <w:bCs/>
                <w:sz w:val="20"/>
                <w:szCs w:val="20"/>
              </w:rPr>
              <w:t>Dostawy</w:t>
            </w:r>
          </w:p>
        </w:tc>
        <w:tc>
          <w:tcPr>
            <w:tcW w:w="1559" w:type="dxa"/>
            <w:noWrap/>
            <w:vAlign w:val="center"/>
          </w:tcPr>
          <w:p w14:paraId="4D7D1C23" w14:textId="48D3C388" w:rsidR="00CC5BA6" w:rsidRPr="00487C10" w:rsidRDefault="00CC5BA6" w:rsidP="00CC5BA6">
            <w:pPr>
              <w:jc w:val="center"/>
              <w:rPr>
                <w:rFonts w:cs="Arial"/>
                <w:sz w:val="20"/>
                <w:szCs w:val="20"/>
              </w:rPr>
            </w:pPr>
            <w:r w:rsidRPr="00C0701E">
              <w:rPr>
                <w:rFonts w:cs="Arial"/>
                <w:sz w:val="20"/>
                <w:szCs w:val="20"/>
              </w:rPr>
              <w:t>16</w:t>
            </w:r>
          </w:p>
        </w:tc>
        <w:tc>
          <w:tcPr>
            <w:tcW w:w="4961" w:type="dxa"/>
            <w:vAlign w:val="center"/>
          </w:tcPr>
          <w:p w14:paraId="53AD3DE2" w14:textId="7F0106B4" w:rsidR="00CC5BA6" w:rsidRPr="00487C10" w:rsidRDefault="00CC5BA6" w:rsidP="00CC5BA6">
            <w:pPr>
              <w:jc w:val="center"/>
              <w:rPr>
                <w:rFonts w:cs="Arial"/>
                <w:sz w:val="20"/>
                <w:szCs w:val="20"/>
              </w:rPr>
            </w:pPr>
            <w:r w:rsidRPr="00C0701E">
              <w:rPr>
                <w:rFonts w:cs="Arial"/>
                <w:color w:val="000000"/>
                <w:sz w:val="20"/>
                <w:szCs w:val="20"/>
              </w:rPr>
              <w:t xml:space="preserve">307 202 798,32 </w:t>
            </w:r>
            <w:r w:rsidRPr="00C0701E">
              <w:rPr>
                <w:rFonts w:cs="Arial"/>
                <w:sz w:val="20"/>
                <w:szCs w:val="20"/>
              </w:rPr>
              <w:t>zł</w:t>
            </w:r>
          </w:p>
        </w:tc>
      </w:tr>
      <w:tr w:rsidR="00CC5BA6" w:rsidRPr="00487C10" w14:paraId="0E1371CC" w14:textId="77777777" w:rsidTr="00293687">
        <w:trPr>
          <w:trHeight w:val="300"/>
          <w:jc w:val="center"/>
        </w:trPr>
        <w:tc>
          <w:tcPr>
            <w:tcW w:w="2547" w:type="dxa"/>
            <w:shd w:val="clear" w:color="auto" w:fill="FFF2CC"/>
            <w:noWrap/>
            <w:vAlign w:val="center"/>
            <w:hideMark/>
          </w:tcPr>
          <w:p w14:paraId="09F3661A" w14:textId="77777777" w:rsidR="00CC5BA6" w:rsidRPr="00487C10" w:rsidRDefault="00CC5BA6" w:rsidP="00CC5BA6">
            <w:pPr>
              <w:jc w:val="center"/>
              <w:rPr>
                <w:rFonts w:cs="Arial"/>
                <w:bCs/>
                <w:sz w:val="20"/>
                <w:szCs w:val="20"/>
              </w:rPr>
            </w:pPr>
            <w:r w:rsidRPr="00487C10">
              <w:rPr>
                <w:rFonts w:cs="Arial"/>
                <w:bCs/>
                <w:sz w:val="20"/>
                <w:szCs w:val="20"/>
              </w:rPr>
              <w:t>Roboty budowlane</w:t>
            </w:r>
          </w:p>
        </w:tc>
        <w:tc>
          <w:tcPr>
            <w:tcW w:w="1559" w:type="dxa"/>
            <w:shd w:val="clear" w:color="auto" w:fill="FFF2CC"/>
            <w:noWrap/>
            <w:vAlign w:val="center"/>
          </w:tcPr>
          <w:p w14:paraId="59A0A053" w14:textId="656B2079" w:rsidR="00CC5BA6" w:rsidRPr="00487C10" w:rsidRDefault="00CC5BA6" w:rsidP="00CC5BA6">
            <w:pPr>
              <w:jc w:val="center"/>
              <w:rPr>
                <w:rFonts w:cs="Arial"/>
                <w:sz w:val="20"/>
                <w:szCs w:val="20"/>
              </w:rPr>
            </w:pPr>
            <w:r w:rsidRPr="00C0701E">
              <w:rPr>
                <w:rFonts w:cs="Arial"/>
                <w:sz w:val="20"/>
                <w:szCs w:val="20"/>
              </w:rPr>
              <w:t>1</w:t>
            </w:r>
          </w:p>
        </w:tc>
        <w:tc>
          <w:tcPr>
            <w:tcW w:w="4961" w:type="dxa"/>
            <w:shd w:val="clear" w:color="auto" w:fill="FFF2CC"/>
            <w:vAlign w:val="center"/>
          </w:tcPr>
          <w:p w14:paraId="023388CA" w14:textId="59C9B02D" w:rsidR="00CC5BA6" w:rsidRPr="00487C10" w:rsidRDefault="00CC5BA6" w:rsidP="00CC5BA6">
            <w:pPr>
              <w:jc w:val="center"/>
              <w:rPr>
                <w:rFonts w:cs="Arial"/>
                <w:sz w:val="20"/>
                <w:szCs w:val="20"/>
              </w:rPr>
            </w:pPr>
            <w:r w:rsidRPr="00C0701E">
              <w:rPr>
                <w:rFonts w:cs="Arial"/>
                <w:color w:val="000000"/>
                <w:sz w:val="20"/>
                <w:szCs w:val="20"/>
              </w:rPr>
              <w:t xml:space="preserve">141 525 616,35 </w:t>
            </w:r>
            <w:r w:rsidRPr="00C0701E">
              <w:rPr>
                <w:rFonts w:cs="Arial"/>
                <w:sz w:val="20"/>
                <w:szCs w:val="20"/>
              </w:rPr>
              <w:t>zł</w:t>
            </w:r>
          </w:p>
        </w:tc>
      </w:tr>
      <w:tr w:rsidR="00CC5BA6" w:rsidRPr="00487C10" w14:paraId="2C0E0423" w14:textId="77777777" w:rsidTr="00293687">
        <w:trPr>
          <w:trHeight w:val="300"/>
          <w:jc w:val="center"/>
        </w:trPr>
        <w:tc>
          <w:tcPr>
            <w:tcW w:w="2547" w:type="dxa"/>
            <w:noWrap/>
            <w:vAlign w:val="center"/>
          </w:tcPr>
          <w:p w14:paraId="1B014C5F" w14:textId="77777777" w:rsidR="00CC5BA6" w:rsidRPr="00487C10" w:rsidRDefault="00CC5BA6" w:rsidP="00CC5BA6">
            <w:pPr>
              <w:jc w:val="center"/>
              <w:rPr>
                <w:rFonts w:cs="Arial"/>
                <w:bCs/>
                <w:sz w:val="20"/>
                <w:szCs w:val="20"/>
              </w:rPr>
            </w:pPr>
            <w:r w:rsidRPr="00487C10">
              <w:rPr>
                <w:rFonts w:cs="Arial"/>
                <w:bCs/>
                <w:sz w:val="20"/>
                <w:szCs w:val="20"/>
              </w:rPr>
              <w:t>Usługi</w:t>
            </w:r>
          </w:p>
        </w:tc>
        <w:tc>
          <w:tcPr>
            <w:tcW w:w="1559" w:type="dxa"/>
            <w:noWrap/>
            <w:vAlign w:val="center"/>
          </w:tcPr>
          <w:p w14:paraId="1BDB97E7" w14:textId="29788F9B" w:rsidR="00CC5BA6" w:rsidRPr="00487C10" w:rsidRDefault="00CC5BA6" w:rsidP="00CC5BA6">
            <w:pPr>
              <w:jc w:val="center"/>
              <w:rPr>
                <w:rFonts w:cs="Arial"/>
                <w:sz w:val="20"/>
                <w:szCs w:val="20"/>
              </w:rPr>
            </w:pPr>
            <w:r w:rsidRPr="00C0701E">
              <w:rPr>
                <w:rFonts w:cs="Arial"/>
                <w:sz w:val="20"/>
                <w:szCs w:val="20"/>
              </w:rPr>
              <w:t>7</w:t>
            </w:r>
          </w:p>
        </w:tc>
        <w:tc>
          <w:tcPr>
            <w:tcW w:w="4961" w:type="dxa"/>
            <w:vAlign w:val="center"/>
          </w:tcPr>
          <w:p w14:paraId="525F4605" w14:textId="1129FE4F" w:rsidR="00CC5BA6" w:rsidRPr="00487C10" w:rsidRDefault="00CC5BA6" w:rsidP="00CC5BA6">
            <w:pPr>
              <w:jc w:val="center"/>
              <w:rPr>
                <w:rFonts w:cs="Arial"/>
                <w:sz w:val="20"/>
                <w:szCs w:val="20"/>
              </w:rPr>
            </w:pPr>
            <w:r w:rsidRPr="00C0701E">
              <w:rPr>
                <w:rFonts w:cs="Arial"/>
                <w:color w:val="000000"/>
                <w:sz w:val="20"/>
                <w:szCs w:val="20"/>
              </w:rPr>
              <w:t xml:space="preserve">507 056,62 </w:t>
            </w:r>
            <w:r w:rsidRPr="00C0701E">
              <w:rPr>
                <w:rFonts w:cs="Arial"/>
                <w:sz w:val="20"/>
                <w:szCs w:val="20"/>
              </w:rPr>
              <w:t>zł</w:t>
            </w:r>
          </w:p>
        </w:tc>
      </w:tr>
    </w:tbl>
    <w:p w14:paraId="44D620D9" w14:textId="5F5FD275" w:rsidR="001A59A5" w:rsidRPr="00521D7D" w:rsidRDefault="001A59A5" w:rsidP="00FA3F53">
      <w:pPr>
        <w:pStyle w:val="Legenda"/>
        <w:spacing w:before="240"/>
      </w:pPr>
      <w:bookmarkStart w:id="226" w:name="_Toc141276502"/>
      <w:bookmarkStart w:id="227" w:name="_Toc203993366"/>
      <w:bookmarkStart w:id="228" w:name="_Toc233203360"/>
      <w:r w:rsidRPr="003B221B">
        <w:lastRenderedPageBreak/>
        <w:t xml:space="preserve">Rys. </w:t>
      </w:r>
      <w:fldSimple w:instr=" SEQ Rys. \* ARABIC ">
        <w:r w:rsidR="00017C65">
          <w:rPr>
            <w:noProof/>
          </w:rPr>
          <w:t>39</w:t>
        </w:r>
      </w:fldSimple>
      <w:r w:rsidRPr="003B221B">
        <w:t>. Liczba zamówień udzielonych przez jednostki administracji rządowej, w których zastosowano odpowiednie</w:t>
      </w:r>
      <w:r w:rsidRPr="00DA1EE9">
        <w:t xml:space="preserve"> aspekty </w:t>
      </w:r>
      <w:r>
        <w:t>innowacyjne</w:t>
      </w:r>
      <w:bookmarkEnd w:id="226"/>
      <w:bookmarkEnd w:id="227"/>
      <w:bookmarkEnd w:id="228"/>
    </w:p>
    <w:p w14:paraId="3F93949B" w14:textId="2D07C3C5" w:rsidR="00F9610A" w:rsidRDefault="00FD6C5A" w:rsidP="00BE0F65">
      <w:pPr>
        <w:spacing w:before="240" w:line="360" w:lineRule="auto"/>
        <w:jc w:val="left"/>
        <w:rPr>
          <w:rFonts w:cs="Arial"/>
          <w:iCs/>
          <w:szCs w:val="22"/>
        </w:rPr>
      </w:pPr>
      <w:r w:rsidRPr="00D6514E">
        <w:rPr>
          <w:rFonts w:cs="Arial"/>
          <w:noProof/>
          <w:color w:val="FFE599" w:themeColor="accent4" w:themeTint="66"/>
        </w:rPr>
        <w:drawing>
          <wp:inline distT="0" distB="0" distL="0" distR="0" wp14:anchorId="1DEE3668" wp14:editId="2B440844">
            <wp:extent cx="4572000" cy="2750816"/>
            <wp:effectExtent l="0" t="0" r="0" b="12065"/>
            <wp:docPr id="219221528" name="Wykres 1" descr="Liczba zamówień udzielonych przez jednostki administracji rządowej, w których zastosowano odpowiednie aspekty innowacyjne" title="Liczba zamówień udzielonych przez jednostki administracji rządowej, w których zastosowano odpowiednie aspekty innowacyjne">
              <a:extLst xmlns:a="http://schemas.openxmlformats.org/drawingml/2006/main">
                <a:ext uri="{FF2B5EF4-FFF2-40B4-BE49-F238E27FC236}">
                  <a16:creationId xmlns:a16="http://schemas.microsoft.com/office/drawing/2014/main" id="{A6A6B672-7BA4-AA2B-3DEF-E04B151621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4072DE0" w14:textId="18FD1D89" w:rsidR="00675A62" w:rsidRDefault="00675A62" w:rsidP="00FA3F53">
      <w:pPr>
        <w:pStyle w:val="Legenda"/>
        <w:spacing w:before="240"/>
      </w:pPr>
      <w:bookmarkStart w:id="229" w:name="_Toc141276503"/>
      <w:bookmarkStart w:id="230" w:name="_Toc203993367"/>
      <w:bookmarkStart w:id="231" w:name="_Toc233203361"/>
      <w:r w:rsidRPr="003B221B">
        <w:t xml:space="preserve">Rys. </w:t>
      </w:r>
      <w:fldSimple w:instr=" SEQ Rys. \* ARABIC ">
        <w:r w:rsidR="00017C65">
          <w:rPr>
            <w:noProof/>
          </w:rPr>
          <w:t>40</w:t>
        </w:r>
      </w:fldSimple>
      <w:r w:rsidRPr="003B221B">
        <w:t>. Wartość zamówień udzielonych przez jednostki administracji rządowej, w których zastosowano</w:t>
      </w:r>
      <w:r w:rsidRPr="00DA1EE9">
        <w:t xml:space="preserve"> odpowiednie aspekty </w:t>
      </w:r>
      <w:r>
        <w:t>innowacyjne</w:t>
      </w:r>
      <w:bookmarkEnd w:id="229"/>
      <w:bookmarkEnd w:id="230"/>
      <w:bookmarkEnd w:id="231"/>
    </w:p>
    <w:p w14:paraId="5BAA4F0D" w14:textId="4D47D352" w:rsidR="001A59A5" w:rsidRDefault="00FD6C5A" w:rsidP="00BE0F65">
      <w:pPr>
        <w:spacing w:before="240" w:line="360" w:lineRule="auto"/>
        <w:jc w:val="left"/>
        <w:rPr>
          <w:rFonts w:cs="Arial"/>
          <w:iCs/>
          <w:szCs w:val="22"/>
        </w:rPr>
      </w:pPr>
      <w:r w:rsidRPr="00D6514E">
        <w:rPr>
          <w:rFonts w:cs="Arial"/>
          <w:noProof/>
        </w:rPr>
        <w:drawing>
          <wp:inline distT="0" distB="0" distL="0" distR="0" wp14:anchorId="5782C156" wp14:editId="53605206">
            <wp:extent cx="4572000" cy="2743200"/>
            <wp:effectExtent l="0" t="0" r="0" b="0"/>
            <wp:docPr id="2107764938" name="Wykres 1" descr="Wartość zamówień udzielonych przez jednostki administracji rządowej, w których zastosowano odpowiednie aspekty innowacyjne" title="Wartość zamówień udzielonych przez jednostki administracji rządowej, w których zastosowano odpowiednie aspekty innowacyjne">
              <a:extLst xmlns:a="http://schemas.openxmlformats.org/drawingml/2006/main">
                <a:ext uri="{FF2B5EF4-FFF2-40B4-BE49-F238E27FC236}">
                  <a16:creationId xmlns:a16="http://schemas.microsoft.com/office/drawing/2014/main" id="{603F17C7-F6B7-76B5-765F-3D77A7EDD3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09C34E7" w14:textId="1400B61D" w:rsidR="0069047F" w:rsidRPr="0069047F" w:rsidRDefault="0069047F" w:rsidP="0069047F">
      <w:pPr>
        <w:spacing w:before="240" w:line="360" w:lineRule="auto"/>
        <w:jc w:val="left"/>
        <w:rPr>
          <w:rFonts w:cs="Arial"/>
          <w:iCs/>
          <w:szCs w:val="22"/>
        </w:rPr>
      </w:pPr>
      <w:r w:rsidRPr="0069047F">
        <w:rPr>
          <w:rFonts w:cs="Arial"/>
          <w:iCs/>
          <w:szCs w:val="22"/>
        </w:rPr>
        <w:t xml:space="preserve">Zamawiający należący do jednostek administracji rządowej stosowali aspekty innowacyjne niezwykle rzadko. Najwięcej przypadków dotyczyło określenia </w:t>
      </w:r>
      <w:r w:rsidRPr="0069047F">
        <w:rPr>
          <w:rFonts w:cs="Arial"/>
          <w:bCs/>
          <w:iCs/>
          <w:szCs w:val="22"/>
        </w:rPr>
        <w:t>wymagań zw. z realizacją zamówienia</w:t>
      </w:r>
      <w:r w:rsidR="00D4343B">
        <w:rPr>
          <w:rFonts w:cs="Arial"/>
          <w:bCs/>
          <w:iCs/>
          <w:szCs w:val="22"/>
        </w:rPr>
        <w:t>,</w:t>
      </w:r>
      <w:r w:rsidRPr="0069047F">
        <w:rPr>
          <w:rFonts w:cs="Arial"/>
          <w:bCs/>
          <w:iCs/>
          <w:szCs w:val="22"/>
        </w:rPr>
        <w:t xml:space="preserve"> obejmujących aspekty zw. z innowacyjnością, co</w:t>
      </w:r>
      <w:r w:rsidRPr="0069047F">
        <w:rPr>
          <w:rFonts w:cs="Arial"/>
          <w:iCs/>
          <w:szCs w:val="22"/>
        </w:rPr>
        <w:t xml:space="preserve"> również przełożyło się na największą wartość zamówień z takim instrumentem.</w:t>
      </w:r>
      <w:r w:rsidR="00326395">
        <w:rPr>
          <w:rFonts w:cs="Arial"/>
          <w:iCs/>
          <w:szCs w:val="22"/>
        </w:rPr>
        <w:t xml:space="preserve"> </w:t>
      </w:r>
    </w:p>
    <w:p w14:paraId="0B812090" w14:textId="550C0927" w:rsidR="0005009F" w:rsidRDefault="0005009F" w:rsidP="0005009F">
      <w:pPr>
        <w:spacing w:before="120" w:line="360" w:lineRule="auto"/>
        <w:jc w:val="left"/>
        <w:rPr>
          <w:rFonts w:cs="Arial"/>
          <w:i/>
          <w:iCs/>
          <w:szCs w:val="22"/>
        </w:rPr>
      </w:pPr>
      <w:r w:rsidRPr="00EA1827">
        <w:rPr>
          <w:rFonts w:cs="Arial"/>
          <w:i/>
          <w:iCs/>
          <w:szCs w:val="22"/>
        </w:rPr>
        <w:t>Dane dotyczące zamówień udzielonych przez jednostki administracji rządowej, w których odwołano się do odpowiednich instrumentów innowacyjnych</w:t>
      </w:r>
      <w:r w:rsidR="00D4343B" w:rsidRPr="00EA1827">
        <w:rPr>
          <w:rFonts w:cs="Arial"/>
          <w:i/>
          <w:iCs/>
          <w:szCs w:val="22"/>
        </w:rPr>
        <w:t>,</w:t>
      </w:r>
      <w:r w:rsidRPr="00EA1827">
        <w:rPr>
          <w:rFonts w:cs="Arial"/>
          <w:i/>
          <w:iCs/>
          <w:szCs w:val="22"/>
        </w:rPr>
        <w:t xml:space="preserve"> przedstawiono w </w:t>
      </w:r>
      <w:hyperlink w:anchor="_Załącznik_nr_7." w:history="1">
        <w:r w:rsidRPr="00EA1827">
          <w:rPr>
            <w:rStyle w:val="Hipercze"/>
            <w:rFonts w:cs="Arial"/>
            <w:i/>
            <w:iCs/>
            <w:szCs w:val="22"/>
          </w:rPr>
          <w:t>załączniku nr</w:t>
        </w:r>
        <w:r w:rsidR="00D4343B" w:rsidRPr="00EA1827">
          <w:rPr>
            <w:rStyle w:val="Hipercze"/>
            <w:rFonts w:cs="Arial"/>
            <w:i/>
            <w:iCs/>
            <w:szCs w:val="22"/>
          </w:rPr>
          <w:t> </w:t>
        </w:r>
        <w:r w:rsidR="00B33EB0">
          <w:rPr>
            <w:rStyle w:val="Hipercze"/>
            <w:rFonts w:cs="Arial"/>
            <w:i/>
            <w:iCs/>
            <w:szCs w:val="22"/>
          </w:rPr>
          <w:t>6</w:t>
        </w:r>
      </w:hyperlink>
      <w:r w:rsidRPr="00EA1827">
        <w:rPr>
          <w:rFonts w:cs="Arial"/>
          <w:i/>
          <w:iCs/>
          <w:szCs w:val="22"/>
        </w:rPr>
        <w:t xml:space="preserve"> do niniejszego Sprawozdania.</w:t>
      </w:r>
      <w:r w:rsidRPr="0005009F">
        <w:rPr>
          <w:rFonts w:cs="Arial"/>
          <w:i/>
          <w:iCs/>
          <w:szCs w:val="22"/>
        </w:rPr>
        <w:t xml:space="preserve"> </w:t>
      </w:r>
    </w:p>
    <w:p w14:paraId="1AA7A136" w14:textId="05FAEE03" w:rsidR="00B84DA4" w:rsidRPr="00F25BBC" w:rsidRDefault="00B84DA4" w:rsidP="00B84DA4">
      <w:pPr>
        <w:pStyle w:val="Nagwek4"/>
      </w:pPr>
      <w:r>
        <w:lastRenderedPageBreak/>
        <w:t>5. Wnioski i rekomendacje w zakresie z</w:t>
      </w:r>
      <w:r w:rsidRPr="00B84DA4">
        <w:t>amówie</w:t>
      </w:r>
      <w:r>
        <w:t>ń zrównoważonych</w:t>
      </w:r>
    </w:p>
    <w:p w14:paraId="01103014" w14:textId="77777777" w:rsidR="00961964" w:rsidRPr="000835B8" w:rsidRDefault="00961964" w:rsidP="00961964">
      <w:pPr>
        <w:shd w:val="clear" w:color="auto" w:fill="FFFFFF"/>
        <w:spacing w:before="120" w:line="360" w:lineRule="auto"/>
        <w:jc w:val="left"/>
        <w:rPr>
          <w:rFonts w:cs="Arial"/>
          <w:szCs w:val="22"/>
        </w:rPr>
      </w:pPr>
      <w:r w:rsidRPr="000835B8">
        <w:rPr>
          <w:rFonts w:cs="Arial"/>
          <w:szCs w:val="22"/>
        </w:rPr>
        <w:t xml:space="preserve">W 2025 r. o 4 765 wzrosła liczba </w:t>
      </w:r>
      <w:r w:rsidRPr="000835B8">
        <w:rPr>
          <w:rFonts w:cs="Arial"/>
          <w:b/>
          <w:szCs w:val="22"/>
        </w:rPr>
        <w:t>zamówień społecznych</w:t>
      </w:r>
      <w:r w:rsidRPr="000835B8">
        <w:rPr>
          <w:rFonts w:cs="Arial"/>
          <w:szCs w:val="22"/>
        </w:rPr>
        <w:t xml:space="preserve">. Wzrosła również liczba zamawiających, którzy zastosowali aspekty społeczne – o 528 podmiotów. Spadła jednak wartość zamówień społecznych udzielonych w 2025 roku, która w porównaniu do roku 2024 była niższa o 19 626 175 900,8 zł (bez podatku od towarów i usług). </w:t>
      </w:r>
    </w:p>
    <w:p w14:paraId="651125A9" w14:textId="77777777" w:rsidR="00961964" w:rsidRPr="000835B8" w:rsidRDefault="00961964" w:rsidP="00961964">
      <w:pPr>
        <w:shd w:val="clear" w:color="auto" w:fill="FFFFFF"/>
        <w:spacing w:before="120" w:line="360" w:lineRule="auto"/>
        <w:jc w:val="left"/>
        <w:rPr>
          <w:rFonts w:cs="Arial"/>
          <w:szCs w:val="22"/>
        </w:rPr>
      </w:pPr>
      <w:r w:rsidRPr="000835B8">
        <w:rPr>
          <w:rFonts w:cs="Arial"/>
          <w:szCs w:val="22"/>
        </w:rPr>
        <w:t>Najczęściej stosowanymi przez zamawiających instrumentami prospołecznymi były aspekty o charakterze obligatoryjnym - określenie wymagań związanych z realizacją zamówienia w zakresie zatrudnienia na podstawie stosunku pracy oraz określenie w opisie przedmiotu zamówienia wymagań w zakresie dostępności i projektowania z przeznaczeniem dla wszystkich użytkowników. Najrzadziej stosowane były aspekty o charakterze nieobligatoryjnym takie jak zamówienia zastrzeżone czy odwołanie do oznakowania o charakterze społecznym. Należy jednak podkreślić, że w przypadku wszystkich fakultatywnych instrumentów prospołecznych wzrosła zarówno liczba, jak i wartość udzielonych w 2025 r. zamówień, w których je zastosowano.</w:t>
      </w:r>
    </w:p>
    <w:p w14:paraId="5DDEBFA7" w14:textId="77777777" w:rsidR="00961964" w:rsidRPr="000835B8" w:rsidRDefault="00961964" w:rsidP="00961964">
      <w:pPr>
        <w:shd w:val="clear" w:color="auto" w:fill="FFFFFF"/>
        <w:spacing w:before="120" w:line="360" w:lineRule="auto"/>
        <w:jc w:val="left"/>
        <w:rPr>
          <w:rFonts w:cs="Arial"/>
          <w:szCs w:val="22"/>
        </w:rPr>
      </w:pPr>
      <w:r w:rsidRPr="000835B8">
        <w:rPr>
          <w:rFonts w:cs="Arial"/>
          <w:szCs w:val="22"/>
        </w:rPr>
        <w:t>W przypadku jednostek administracji rządowej odnotowano wzrost liczby zamówień, w których uwzględniono aspekty społeczne – o 505 zamówień. Liczba podmiotów, które udzieliły zamówień społecznych wzrosła o 6 podmiotów. O blisko 21 mld zł (bez podatku od towaru i usług) spadła jednak wartość zamówień społecznych udzielonych przez administrację rządową w 2025 roku. Najczęściej stosowanymi instrumentami prospołecznymi były wymóg zatrudnienia przy realizacji zamówienia na podstawie stosunku pracy oraz odwołanie się w opisie przedmiotu zamówienia do kwestii dostępności dla osób z niepełnosprawnościami i projektowania dla wszystkich użytkowników.</w:t>
      </w:r>
    </w:p>
    <w:p w14:paraId="456B4741" w14:textId="25F913BE" w:rsidR="00961964" w:rsidRPr="00C12FD5" w:rsidRDefault="00961964" w:rsidP="00961964">
      <w:pPr>
        <w:shd w:val="clear" w:color="auto" w:fill="FFFFFF"/>
        <w:spacing w:before="120" w:line="360" w:lineRule="auto"/>
        <w:jc w:val="left"/>
        <w:rPr>
          <w:rFonts w:cs="Arial"/>
          <w:szCs w:val="22"/>
        </w:rPr>
      </w:pPr>
      <w:r w:rsidRPr="00C12FD5">
        <w:rPr>
          <w:rFonts w:cs="Arial"/>
          <w:szCs w:val="22"/>
        </w:rPr>
        <w:t xml:space="preserve">W 2025 r. o 238 spadła liczba </w:t>
      </w:r>
      <w:r w:rsidRPr="00C12FD5">
        <w:rPr>
          <w:rFonts w:cs="Arial"/>
          <w:b/>
          <w:szCs w:val="22"/>
        </w:rPr>
        <w:t>zielonych zamówień</w:t>
      </w:r>
      <w:r w:rsidRPr="00C12FD5">
        <w:rPr>
          <w:rFonts w:cs="Arial"/>
          <w:szCs w:val="22"/>
        </w:rPr>
        <w:t xml:space="preserve"> przy jednoczesnym spadku ich wartości o 5 843 906 176,94 zł (bez podatku od towarów i usług). Wzrostowi uległa natomiast liczba zamawiających, którzy udzielili zielonych zamówień w 2025 r. W porównaniu z rokiem 2024 ich liczba zwiększyła się o 114 podmiotów.</w:t>
      </w:r>
      <w:r w:rsidR="00326395">
        <w:rPr>
          <w:rFonts w:cs="Arial"/>
          <w:szCs w:val="22"/>
        </w:rPr>
        <w:t xml:space="preserve"> </w:t>
      </w:r>
    </w:p>
    <w:p w14:paraId="3F995D6F" w14:textId="77777777" w:rsidR="00961964" w:rsidRPr="00C12FD5" w:rsidRDefault="00961964" w:rsidP="00961964">
      <w:pPr>
        <w:shd w:val="clear" w:color="auto" w:fill="FFFFFF"/>
        <w:spacing w:before="120" w:line="360" w:lineRule="auto"/>
        <w:jc w:val="left"/>
        <w:rPr>
          <w:rFonts w:cs="Arial"/>
          <w:szCs w:val="22"/>
        </w:rPr>
      </w:pPr>
      <w:r w:rsidRPr="00C12FD5">
        <w:rPr>
          <w:rFonts w:cs="Arial"/>
          <w:szCs w:val="22"/>
        </w:rPr>
        <w:t>Najbardziej popularne wśród zamawiających rozwiązania prawne o charakterze środowiskowym to określenie w opisie przedmiotu zamówienia wymagań środowiskowych wymagania związane z realizacją zamówienia obejmujące aspekty środowiskowe oraz środowiskowe kryteria oceny ofert. Z kolei zastosowanie kryterium kosztu pozwalające na wykorzystanie rachunku kosztów cyklu życia pozostaje najrzadziej stosowanym instrumentem środowiskowym.</w:t>
      </w:r>
    </w:p>
    <w:p w14:paraId="79A23679" w14:textId="43CECB0A" w:rsidR="00961964" w:rsidRPr="00C12FD5" w:rsidRDefault="00961964" w:rsidP="00961964">
      <w:pPr>
        <w:shd w:val="clear" w:color="auto" w:fill="FFFFFF"/>
        <w:spacing w:before="120" w:line="360" w:lineRule="auto"/>
        <w:jc w:val="left"/>
        <w:rPr>
          <w:rFonts w:cs="Arial"/>
          <w:szCs w:val="22"/>
        </w:rPr>
      </w:pPr>
      <w:r w:rsidRPr="00C12FD5">
        <w:rPr>
          <w:rFonts w:cs="Arial"/>
          <w:szCs w:val="22"/>
        </w:rPr>
        <w:t>W przypadku zamawiających z jednostek administracji rządowej, w 2025 r. odnotowano znaczny wzrost</w:t>
      </w:r>
      <w:r w:rsidR="00326395">
        <w:rPr>
          <w:rFonts w:cs="Arial"/>
          <w:szCs w:val="22"/>
        </w:rPr>
        <w:t xml:space="preserve"> </w:t>
      </w:r>
      <w:r w:rsidRPr="00C12FD5">
        <w:rPr>
          <w:rFonts w:cs="Arial"/>
          <w:szCs w:val="22"/>
        </w:rPr>
        <w:t xml:space="preserve">liczby i wartości udzielonych zielonych zamówień publicznych. W porównaniu z rokiem 2024, ich liczba wzrosła o 209 zamówień, podczas gdy wartość </w:t>
      </w:r>
      <w:r w:rsidRPr="00C12FD5">
        <w:rPr>
          <w:rFonts w:cs="Arial"/>
          <w:szCs w:val="22"/>
        </w:rPr>
        <w:lastRenderedPageBreak/>
        <w:t xml:space="preserve">zwiększyła się o 2 859 006 310,81 zł (bez podatku od towarów i usług). Również wśród tej grupy zamawiających, opis przedmiotu zamówienia z wymaganiami środowiskowymi, środowiskowe wymagania związane z realizacją zamówienia oraz zielone kryteria oceny ofert były najczęściej stosowanymi instrumentami. </w:t>
      </w:r>
    </w:p>
    <w:p w14:paraId="5F10C747" w14:textId="17CC9B0C" w:rsidR="00961964" w:rsidRPr="00C12FD5" w:rsidRDefault="00961964" w:rsidP="00961964">
      <w:pPr>
        <w:shd w:val="clear" w:color="auto" w:fill="FFFFFF"/>
        <w:spacing w:before="120" w:line="360" w:lineRule="auto"/>
        <w:jc w:val="left"/>
        <w:rPr>
          <w:rFonts w:cs="Arial"/>
          <w:szCs w:val="22"/>
        </w:rPr>
      </w:pPr>
      <w:r w:rsidRPr="00C12FD5">
        <w:rPr>
          <w:rFonts w:cs="Arial"/>
          <w:szCs w:val="22"/>
        </w:rPr>
        <w:t xml:space="preserve">W przypadku </w:t>
      </w:r>
      <w:r w:rsidRPr="00162CF1">
        <w:rPr>
          <w:rFonts w:cs="Arial"/>
          <w:b/>
          <w:szCs w:val="22"/>
        </w:rPr>
        <w:t>zamówień na innowacje</w:t>
      </w:r>
      <w:r w:rsidRPr="00C12FD5">
        <w:rPr>
          <w:rFonts w:cs="Arial"/>
          <w:szCs w:val="22"/>
        </w:rPr>
        <w:t>, ich liczba i wartość uległa wzrostowi w porównaniu z rokiem 2024. Odnotowano o 44 zamówienia na innowacje więcej, a ich wartość wzrosła o 223 385 943,52 zł (bez podatku od towarów i usług) i wyniosła w 2025 r. 2 012 283 967,97 zł (bez podatku od towarów i usług). Z kolei liczba zamówień na innowacje udzielonych przez jednostki administracji rządowej w porównaniu z 2024 r.</w:t>
      </w:r>
      <w:r w:rsidR="00326395">
        <w:rPr>
          <w:rFonts w:cs="Arial"/>
          <w:szCs w:val="22"/>
        </w:rPr>
        <w:t xml:space="preserve"> </w:t>
      </w:r>
      <w:r w:rsidRPr="00C12FD5">
        <w:rPr>
          <w:rFonts w:cs="Arial"/>
          <w:szCs w:val="22"/>
        </w:rPr>
        <w:t>spadła o 6 zamówień i wyniosła w 2025 r. 28 zamówień. Mimo mniejszej liczby zamówień na innowacje, ich wartość na przestrzeni ostatnich dwóch lat wzrosła o 581 574 446,5 zł (bez podatku od towarów i usług), wynosząc w 2025 r. 765 816 045,28 zł (bez podatku od towarów i usług).</w:t>
      </w:r>
    </w:p>
    <w:p w14:paraId="31FA0994" w14:textId="77777777" w:rsidR="00E44BF4" w:rsidRPr="000835B8" w:rsidRDefault="00E44BF4" w:rsidP="00E44BF4">
      <w:pPr>
        <w:spacing w:before="120" w:line="360" w:lineRule="auto"/>
        <w:jc w:val="left"/>
        <w:rPr>
          <w:iCs/>
          <w:szCs w:val="22"/>
        </w:rPr>
      </w:pPr>
      <w:r w:rsidRPr="000835B8">
        <w:rPr>
          <w:iCs/>
          <w:szCs w:val="22"/>
        </w:rPr>
        <w:t xml:space="preserve">W obszarze </w:t>
      </w:r>
      <w:r w:rsidRPr="000835B8">
        <w:rPr>
          <w:b/>
          <w:iCs/>
          <w:szCs w:val="22"/>
        </w:rPr>
        <w:t>społecznych zamówień publicznych</w:t>
      </w:r>
      <w:r w:rsidRPr="000835B8">
        <w:rPr>
          <w:iCs/>
          <w:szCs w:val="22"/>
        </w:rPr>
        <w:t xml:space="preserve"> rekomenduje się kontynuowanie popularyzowania aspektów społecznych przewidzianych ustawą Pzp w ramach działalności edukacyjnej Urzędu. Główny nacisk w tym zakresie powinien być położony na instrumenty o charakterze nieobowiązkowym, których zastosowanie - mimo ogólnej tendencji wzrostowej – pozostaje na stosunkowo niskim poziomie. Istotne jest również podnoszenie świadomości zamawiających na temat nowych przepisów i obowiązków w zakresie społecznych zamówień związanych z wdrożeniem prawa unijnego. </w:t>
      </w:r>
    </w:p>
    <w:p w14:paraId="604E3214" w14:textId="77777777" w:rsidR="00E44BF4" w:rsidRPr="000835B8" w:rsidRDefault="00E44BF4" w:rsidP="00E44BF4">
      <w:pPr>
        <w:spacing w:before="120" w:line="360" w:lineRule="auto"/>
        <w:jc w:val="left"/>
        <w:rPr>
          <w:iCs/>
          <w:szCs w:val="22"/>
        </w:rPr>
      </w:pPr>
      <w:r w:rsidRPr="000835B8">
        <w:rPr>
          <w:iCs/>
          <w:szCs w:val="22"/>
        </w:rPr>
        <w:t xml:space="preserve">Działalność edukacyjna mająca na celu podnoszenie świadomości zamawiających na temat istniejących w ustawie Pzp instrumentów prospołecznych oraz upowszechniania informacji w zakresie prawidłowego i skutecznego ich stosowania, nie wyklucza możliwości podjęcia dyskusji na temat kształtu przepisów ustawy Pzp dotyczących aspektów społecznych. Mogłaby ona obejmować możliwość szerszego wsparcia celów polityki społecznej np. w zakresie rozwoju ekonomii społecznej z wykorzystaniem instrumentów zamówieniowych. </w:t>
      </w:r>
    </w:p>
    <w:p w14:paraId="32E415C3" w14:textId="77777777" w:rsidR="00E44BF4" w:rsidRPr="00893ADA" w:rsidRDefault="00E44BF4" w:rsidP="00E44BF4">
      <w:pPr>
        <w:spacing w:before="120" w:line="360" w:lineRule="auto"/>
        <w:jc w:val="left"/>
        <w:rPr>
          <w:iCs/>
          <w:szCs w:val="22"/>
        </w:rPr>
      </w:pPr>
      <w:r w:rsidRPr="00893ADA">
        <w:rPr>
          <w:b/>
          <w:iCs/>
          <w:szCs w:val="22"/>
        </w:rPr>
        <w:t>Aspekty środowiskowe</w:t>
      </w:r>
      <w:r w:rsidRPr="00893ADA">
        <w:rPr>
          <w:iCs/>
          <w:szCs w:val="22"/>
        </w:rPr>
        <w:t xml:space="preserve"> są, co do zasady, stosowane fakultatywnie w ramach postępowań o udzielenie zamówienia. Wyjątki dotyczą określonych sektorów i zostały wprowadzone w ramach kierunkowej legislacji, a nie ogólnych proceduralnych przepisów ustawy Pzp. W związku ze stale rosnącą liczbą unijnych aktów sektorowych wprowadzających określone obowiązki po stronie zamawiających o charakterze środowiskowym, można oczekiwać zwiększenia liczby zielonych zamówień w tych obszarach. </w:t>
      </w:r>
    </w:p>
    <w:p w14:paraId="24292A60" w14:textId="7F3CD376" w:rsidR="00B84DA4" w:rsidRPr="00E44BF4" w:rsidRDefault="00E44BF4" w:rsidP="0005009F">
      <w:pPr>
        <w:spacing w:before="120" w:line="360" w:lineRule="auto"/>
        <w:jc w:val="left"/>
        <w:rPr>
          <w:iCs/>
          <w:szCs w:val="22"/>
        </w:rPr>
      </w:pPr>
      <w:r w:rsidRPr="00893ADA">
        <w:rPr>
          <w:iCs/>
          <w:szCs w:val="22"/>
        </w:rPr>
        <w:t xml:space="preserve">Przy proceduralnym charakterze przepisów ustawy Pzp warto zapoznać się z możliwościami uwzględnienia aspektów środowiskowych. W tym celu rekomendowane jest skorzystanie z bogatej oferty szkoleń organizowanych przez Urząd Zamówień Publicznych, które </w:t>
      </w:r>
      <w:r w:rsidRPr="00893ADA">
        <w:rPr>
          <w:iCs/>
          <w:szCs w:val="22"/>
        </w:rPr>
        <w:lastRenderedPageBreak/>
        <w:t>uwzględniają to zagadnienie, a także opracowań tematycznych udostępnianych na stronie internetow</w:t>
      </w:r>
      <w:r>
        <w:rPr>
          <w:iCs/>
          <w:szCs w:val="22"/>
        </w:rPr>
        <w:t>ej UZP w kierunkowej zakładce.</w:t>
      </w:r>
    </w:p>
    <w:p w14:paraId="20CEFC71" w14:textId="7169A6D0" w:rsidR="00846CAF" w:rsidRPr="00D62564" w:rsidRDefault="00846CAF" w:rsidP="00D06180">
      <w:pPr>
        <w:pStyle w:val="Nagwek2"/>
        <w:rPr>
          <w:noProof/>
        </w:rPr>
      </w:pPr>
      <w:bookmarkStart w:id="232" w:name="_Toc64451867"/>
      <w:bookmarkStart w:id="233" w:name="_Toc233203282"/>
      <w:r w:rsidRPr="00D62564">
        <w:rPr>
          <w:noProof/>
        </w:rPr>
        <w:t>I.3. Inne dane dotyczące rynku zamówień publicznych</w:t>
      </w:r>
      <w:bookmarkEnd w:id="232"/>
      <w:bookmarkEnd w:id="233"/>
    </w:p>
    <w:p w14:paraId="3ED0857D" w14:textId="77777777" w:rsidR="0054635B" w:rsidRPr="0054635B" w:rsidRDefault="0054635B" w:rsidP="00096C0E">
      <w:pPr>
        <w:spacing w:before="120" w:line="360" w:lineRule="auto"/>
        <w:jc w:val="left"/>
        <w:rPr>
          <w:rFonts w:cs="Arial"/>
          <w:iCs/>
          <w:szCs w:val="22"/>
        </w:rPr>
      </w:pPr>
      <w:bookmarkStart w:id="234" w:name="_Toc64451868"/>
      <w:r w:rsidRPr="0054635B">
        <w:rPr>
          <w:rFonts w:cs="Arial"/>
          <w:iCs/>
          <w:szCs w:val="22"/>
        </w:rPr>
        <w:t>Dane uzupełniające za 2025 r. wskazują na ograniczone, lecz istotne funkcjonalnie wykorzystanie wybranych instrumentów proceduralnych, które pełnią rolę wspierającą wobec zasadniczego nurtu postępowań o udzielenie zamówień publicznych. Widoczny jest przy tym brak jednolitego trendu – część rozwiązań zyskuje na znaczeniu, inne są stosowane coraz rzadziej.</w:t>
      </w:r>
    </w:p>
    <w:p w14:paraId="21669BA7" w14:textId="77777777" w:rsidR="0054635B" w:rsidRPr="0054635B" w:rsidRDefault="0054635B" w:rsidP="00096C0E">
      <w:pPr>
        <w:spacing w:before="120" w:line="360" w:lineRule="auto"/>
        <w:jc w:val="left"/>
        <w:rPr>
          <w:rFonts w:cs="Arial"/>
          <w:iCs/>
          <w:szCs w:val="22"/>
        </w:rPr>
      </w:pPr>
      <w:r w:rsidRPr="0054635B">
        <w:rPr>
          <w:rFonts w:cs="Arial"/>
          <w:iCs/>
          <w:szCs w:val="22"/>
        </w:rPr>
        <w:t xml:space="preserve">Wzrosła liczba ogłoszeń o zamiarze zawarcia umowy lub o dobrowolnej przejrzystości ex </w:t>
      </w:r>
      <w:proofErr w:type="spellStart"/>
      <w:r w:rsidRPr="0054635B">
        <w:rPr>
          <w:rFonts w:cs="Arial"/>
          <w:iCs/>
          <w:szCs w:val="22"/>
        </w:rPr>
        <w:t>ante</w:t>
      </w:r>
      <w:proofErr w:type="spellEnd"/>
      <w:r w:rsidRPr="0054635B">
        <w:rPr>
          <w:rFonts w:cs="Arial"/>
          <w:iCs/>
          <w:szCs w:val="22"/>
        </w:rPr>
        <w:t>, co może świadczyć o ostrożniejszym podejściu zamawiających do stosowania trybów niekonkurencyjnych i większej dbałości o zabezpieczenie się przed ryzykiem sporów prawnych. Jednocześnie instrument ten pozostaje wykorzystywany selektywnie i nie ma charakteru masowego.</w:t>
      </w:r>
    </w:p>
    <w:p w14:paraId="333BC144" w14:textId="77777777" w:rsidR="0054635B" w:rsidRPr="0054635B" w:rsidRDefault="0054635B" w:rsidP="00096C0E">
      <w:pPr>
        <w:spacing w:before="120" w:line="360" w:lineRule="auto"/>
        <w:jc w:val="left"/>
        <w:rPr>
          <w:rFonts w:cs="Arial"/>
          <w:iCs/>
          <w:szCs w:val="22"/>
        </w:rPr>
      </w:pPr>
      <w:r w:rsidRPr="0054635B">
        <w:rPr>
          <w:rFonts w:cs="Arial"/>
          <w:iCs/>
          <w:szCs w:val="22"/>
        </w:rPr>
        <w:t>Wyraźnie zmniejszyła się skala stosowania zaliczkowania w postępowaniach o udzielenie zamówienia publicznego. Spadek ten dotyczył wszystkich kategorii zamówień i wskazuje, że mechanizm ten – poza obszarem robót budowlanych – ma charakter marginalny. Nawet w robotach budowlanych zaliczkowanie w przeważającej części nie wynikało z obowiązku ustawowego, lecz z decyzji zamawiających, co potwierdza jego pomocniczą, a nie systemową rolę.</w:t>
      </w:r>
    </w:p>
    <w:p w14:paraId="32AEE4D4" w14:textId="77777777" w:rsidR="0054635B" w:rsidRPr="0054635B" w:rsidRDefault="0054635B" w:rsidP="00096C0E">
      <w:pPr>
        <w:spacing w:before="120" w:line="360" w:lineRule="auto"/>
        <w:jc w:val="left"/>
        <w:rPr>
          <w:rFonts w:cs="Arial"/>
          <w:iCs/>
          <w:szCs w:val="22"/>
        </w:rPr>
      </w:pPr>
      <w:r w:rsidRPr="0054635B">
        <w:rPr>
          <w:rFonts w:cs="Arial"/>
          <w:iCs/>
          <w:szCs w:val="22"/>
        </w:rPr>
        <w:t xml:space="preserve">Instrumenty wspierające realizację celów społecznych, w szczególności zastrzeganie zamówień dla podmiotów realizujących społeczną i zawodową integrację osób </w:t>
      </w:r>
      <w:proofErr w:type="spellStart"/>
      <w:r w:rsidRPr="0054635B">
        <w:rPr>
          <w:rFonts w:cs="Arial"/>
          <w:iCs/>
          <w:szCs w:val="22"/>
        </w:rPr>
        <w:t>defaworyzowanych</w:t>
      </w:r>
      <w:proofErr w:type="spellEnd"/>
      <w:r w:rsidRPr="0054635B">
        <w:rPr>
          <w:rFonts w:cs="Arial"/>
          <w:iCs/>
          <w:szCs w:val="22"/>
        </w:rPr>
        <w:t>, były stosowane nieco częściej niż w roku poprzednim, jednak nadal obejmowały niewielki odsetek rynku. Ich wykorzystanie koncentrowało się niemal wyłącznie w zamówieniach na usługi, co potwierdza ograniczoną możliwość stosowania tego rozwiązania w innych segmentach rynku.</w:t>
      </w:r>
    </w:p>
    <w:p w14:paraId="1B8DFA7F" w14:textId="77777777" w:rsidR="0054635B" w:rsidRPr="0054635B" w:rsidRDefault="0054635B" w:rsidP="00096C0E">
      <w:pPr>
        <w:spacing w:before="120" w:line="360" w:lineRule="auto"/>
        <w:jc w:val="left"/>
        <w:rPr>
          <w:rFonts w:cs="Arial"/>
          <w:iCs/>
          <w:szCs w:val="22"/>
        </w:rPr>
      </w:pPr>
      <w:r w:rsidRPr="0054635B">
        <w:rPr>
          <w:rFonts w:cs="Arial"/>
          <w:iCs/>
          <w:szCs w:val="22"/>
        </w:rPr>
        <w:t xml:space="preserve">Stopniowo rośnie znaczenie wstępnych konsultacji rynkowych, zwłaszcza w zamówieniach na dostawy. Skala ich stosowania pozostaje jednak niska w relacji do całego rynku. Analiza danych nie potwierdza jednoznacznie, aby konsultacje rynkowe przekładały się na wzrost konkurencyjności postępowań mierzonej liczbą ofert, ani na szersze stosowanie kryteriów </w:t>
      </w:r>
      <w:proofErr w:type="spellStart"/>
      <w:r w:rsidRPr="0054635B">
        <w:rPr>
          <w:rFonts w:cs="Arial"/>
          <w:iCs/>
          <w:szCs w:val="22"/>
        </w:rPr>
        <w:t>pozacenowych</w:t>
      </w:r>
      <w:proofErr w:type="spellEnd"/>
      <w:r w:rsidRPr="0054635B">
        <w:rPr>
          <w:rFonts w:cs="Arial"/>
          <w:iCs/>
          <w:szCs w:val="22"/>
        </w:rPr>
        <w:t>. Wskazuje to, że instrument ten pełni obecnie przede wszystkim funkcję informacyjną i przygotowawczą, a nie narzędzie systemowego zwiększania konkurencji.</w:t>
      </w:r>
    </w:p>
    <w:p w14:paraId="28D6EAE9" w14:textId="77777777" w:rsidR="0054635B" w:rsidRPr="0054635B" w:rsidRDefault="0054635B" w:rsidP="00096C0E">
      <w:pPr>
        <w:spacing w:before="120" w:line="360" w:lineRule="auto"/>
        <w:jc w:val="left"/>
        <w:rPr>
          <w:rFonts w:cs="Arial"/>
          <w:iCs/>
          <w:szCs w:val="22"/>
        </w:rPr>
      </w:pPr>
      <w:r w:rsidRPr="0054635B">
        <w:rPr>
          <w:rFonts w:cs="Arial"/>
          <w:iCs/>
          <w:szCs w:val="22"/>
        </w:rPr>
        <w:t xml:space="preserve">Łącznie dane z tej części raportu potwierdzają, że omawiane instrumenty mają charakter punktowy i uzupełniający. Ich znaczenie polega raczej na adresowaniu specyficznych </w:t>
      </w:r>
      <w:r w:rsidRPr="0054635B">
        <w:rPr>
          <w:rFonts w:cs="Arial"/>
          <w:iCs/>
          <w:szCs w:val="22"/>
        </w:rPr>
        <w:lastRenderedPageBreak/>
        <w:t>potrzeb zamawiających niż na kształtowaniu podstawowych mechanizmów funkcjonowania rynku zamówień publicznych.</w:t>
      </w:r>
    </w:p>
    <w:p w14:paraId="1FB4F6D2" w14:textId="65B107CC" w:rsidR="00846CAF" w:rsidRPr="00495443" w:rsidRDefault="00846CAF" w:rsidP="00270CF3">
      <w:pPr>
        <w:pStyle w:val="Nagwek3"/>
      </w:pPr>
      <w:bookmarkStart w:id="235" w:name="_Toc233203283"/>
      <w:r w:rsidRPr="00DC374A">
        <w:t>I.3.1. Ogłoszenia o zamiarze zawarcia umowy</w:t>
      </w:r>
      <w:bookmarkEnd w:id="234"/>
      <w:bookmarkEnd w:id="235"/>
    </w:p>
    <w:p w14:paraId="0DCC1941" w14:textId="3DB2ED03" w:rsidR="0008302E" w:rsidRPr="0008302E" w:rsidRDefault="0054635B" w:rsidP="0008302E">
      <w:pPr>
        <w:spacing w:before="240" w:line="360" w:lineRule="auto"/>
        <w:jc w:val="left"/>
        <w:rPr>
          <w:rFonts w:cs="Arial"/>
          <w:iCs/>
          <w:szCs w:val="22"/>
        </w:rPr>
      </w:pPr>
      <w:r w:rsidRPr="0054635B">
        <w:rPr>
          <w:rFonts w:cs="Arial"/>
          <w:iCs/>
          <w:szCs w:val="22"/>
        </w:rPr>
        <w:t xml:space="preserve">W 2024 r. w obydwu publikatorach zamieszczono łącznie 6 423 (w 2023 r. – 5 576) ogłoszeń o zamiarze zawarcia umowy albo o dobrowolnej przejrzystości </w:t>
      </w:r>
      <w:r w:rsidRPr="0054635B">
        <w:rPr>
          <w:rFonts w:cs="Arial"/>
          <w:i/>
          <w:iCs/>
          <w:szCs w:val="22"/>
        </w:rPr>
        <w:t xml:space="preserve">ex </w:t>
      </w:r>
      <w:proofErr w:type="spellStart"/>
      <w:r w:rsidRPr="0054635B">
        <w:rPr>
          <w:rFonts w:cs="Arial"/>
          <w:i/>
          <w:iCs/>
          <w:szCs w:val="22"/>
        </w:rPr>
        <w:t>ante</w:t>
      </w:r>
      <w:proofErr w:type="spellEnd"/>
      <w:r w:rsidRPr="0054635B">
        <w:rPr>
          <w:rFonts w:cs="Arial"/>
          <w:iCs/>
          <w:szCs w:val="22"/>
        </w:rPr>
        <w:t xml:space="preserve">. </w:t>
      </w:r>
    </w:p>
    <w:p w14:paraId="1AA4A1FB" w14:textId="40C5E5BC" w:rsidR="00846CAF" w:rsidRPr="00846CAF" w:rsidRDefault="00846CAF" w:rsidP="00270CF3">
      <w:pPr>
        <w:pStyle w:val="Nagwek3"/>
      </w:pPr>
      <w:bookmarkStart w:id="236" w:name="_Toc164839434"/>
      <w:bookmarkStart w:id="237" w:name="_Toc233203284"/>
      <w:r w:rsidRPr="005C1DE1">
        <w:t>I.3.2. Postępowania o udzielenie zamówienia publicznego, w których przewidziano zaliczkowanie</w:t>
      </w:r>
      <w:bookmarkEnd w:id="236"/>
      <w:bookmarkEnd w:id="237"/>
    </w:p>
    <w:p w14:paraId="7991A429" w14:textId="77777777" w:rsidR="0054635B" w:rsidRPr="0055663B" w:rsidRDefault="0054635B" w:rsidP="0054635B">
      <w:pPr>
        <w:shd w:val="clear" w:color="auto" w:fill="FFFFFF"/>
        <w:spacing w:line="360" w:lineRule="auto"/>
        <w:jc w:val="left"/>
        <w:rPr>
          <w:rFonts w:cs="Arial"/>
          <w:szCs w:val="22"/>
        </w:rPr>
      </w:pPr>
      <w:r w:rsidRPr="0055663B">
        <w:rPr>
          <w:rFonts w:cs="Arial"/>
          <w:szCs w:val="22"/>
        </w:rPr>
        <w:t>W 2025 roku w BZP</w:t>
      </w:r>
      <w:r w:rsidRPr="0055663B">
        <w:rPr>
          <w:rFonts w:cs="Arial"/>
          <w:szCs w:val="22"/>
          <w:vertAlign w:val="superscript"/>
        </w:rPr>
        <w:footnoteReference w:id="14"/>
      </w:r>
      <w:r w:rsidRPr="0055663B">
        <w:rPr>
          <w:rFonts w:cs="Arial"/>
          <w:szCs w:val="22"/>
        </w:rPr>
        <w:t xml:space="preserve"> zamawiający poinformowali o zamiarze udzielenia zaliczki w 1 293 postępowaniach, co stanowiło 0,91% wszystkich ogłoszonych postępowań. Dla porównania, w 2024 roku opublikowano 4 379 takich ogłoszeń, co odpowiadało 3,35% ogółu.</w:t>
      </w:r>
    </w:p>
    <w:p w14:paraId="6353AD42" w14:textId="77777777" w:rsidR="0054635B" w:rsidRDefault="0054635B" w:rsidP="0054635B">
      <w:pPr>
        <w:shd w:val="clear" w:color="auto" w:fill="FFFFFF"/>
        <w:spacing w:before="120" w:line="360" w:lineRule="auto"/>
        <w:jc w:val="left"/>
        <w:rPr>
          <w:rFonts w:cs="Arial"/>
          <w:szCs w:val="22"/>
        </w:rPr>
      </w:pPr>
      <w:r w:rsidRPr="00DD5C39">
        <w:rPr>
          <w:rFonts w:cs="Arial"/>
          <w:szCs w:val="22"/>
        </w:rPr>
        <w:t>Najwięcej postępowań dotyczących zamówień publicznych o wartości poniżej progów unijnych, w których przewidziano możliwość udzielenia zaliczki w 2025 roku, dotyczyło robót budowlanych – 729 ogłoszeń, co stanowiło 1,71% wszystkich ogłoszeń w tej kategorii. W przypadku dostaw informację o zaliczce zawarto w 294 postępowaniach (0,53%), natomiast w przypadku usług – w 270 postępowaniach (0,61%).</w:t>
      </w:r>
    </w:p>
    <w:p w14:paraId="1C2A9A44" w14:textId="2654B300" w:rsidR="0054635B" w:rsidRPr="00896386" w:rsidRDefault="00F223AB" w:rsidP="0054635B">
      <w:pPr>
        <w:pStyle w:val="Legenda"/>
      </w:pPr>
      <w:bookmarkStart w:id="238" w:name="_Toc233203362"/>
      <w:r w:rsidRPr="00BA1095">
        <w:t xml:space="preserve">Rys. </w:t>
      </w:r>
      <w:r>
        <w:fldChar w:fldCharType="begin"/>
      </w:r>
      <w:r>
        <w:instrText>SEQ Rys. \* ARABIC</w:instrText>
      </w:r>
      <w:r>
        <w:fldChar w:fldCharType="separate"/>
      </w:r>
      <w:r w:rsidR="00017C65">
        <w:rPr>
          <w:noProof/>
        </w:rPr>
        <w:t>41</w:t>
      </w:r>
      <w:r>
        <w:fldChar w:fldCharType="end"/>
      </w:r>
      <w:r w:rsidRPr="00BA1095">
        <w:t xml:space="preserve">. </w:t>
      </w:r>
      <w:r w:rsidR="0054635B">
        <w:t>Odsetek postępowań na roboty budowlane, w których przewidziano zaliczkowanie wynikające z obowiązku określonego w ustawie Pzp</w:t>
      </w:r>
      <w:bookmarkEnd w:id="238"/>
    </w:p>
    <w:p w14:paraId="296CDBA6" w14:textId="77777777" w:rsidR="0054635B" w:rsidRDefault="0054635B" w:rsidP="0054635B">
      <w:pPr>
        <w:shd w:val="clear" w:color="auto" w:fill="FFFFFF"/>
        <w:spacing w:before="120" w:line="360" w:lineRule="auto"/>
        <w:jc w:val="left"/>
        <w:rPr>
          <w:rFonts w:cs="Arial"/>
          <w:szCs w:val="22"/>
        </w:rPr>
      </w:pPr>
      <w:r>
        <w:rPr>
          <w:rFonts w:cs="Arial"/>
          <w:noProof/>
          <w:szCs w:val="22"/>
        </w:rPr>
        <w:drawing>
          <wp:inline distT="0" distB="0" distL="0" distR="0" wp14:anchorId="5ACEDF02" wp14:editId="6C9F5B1C">
            <wp:extent cx="4969823" cy="2915285"/>
            <wp:effectExtent l="0" t="0" r="2540" b="0"/>
            <wp:docPr id="48476816" name="Chart 3" descr="Odsetek postępowań na roboty budowlane, w których przewidziano zaliczkowanie wynikające z obowiązku określonego w ustawie Pzp" title="Odsetek postępowań na roboty budowlane, w których przewidziano zaliczkowanie wynikające z obowiązku określonego w ustawie Pzp"/>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9276F99" w14:textId="4D18BDC5" w:rsidR="0008302E" w:rsidRPr="0054635B" w:rsidRDefault="0054635B" w:rsidP="0054635B">
      <w:pPr>
        <w:shd w:val="clear" w:color="auto" w:fill="FFFFFF"/>
        <w:spacing w:before="120" w:line="360" w:lineRule="auto"/>
        <w:jc w:val="left"/>
        <w:rPr>
          <w:rFonts w:cs="Arial"/>
          <w:szCs w:val="22"/>
        </w:rPr>
      </w:pPr>
      <w:r w:rsidRPr="00896386">
        <w:rPr>
          <w:rFonts w:cs="Arial"/>
          <w:szCs w:val="22"/>
        </w:rPr>
        <w:lastRenderedPageBreak/>
        <w:t>Jak wynika z danych zawartych w ogłoszeniach opublikowanych w BZP w ok. 14% postępowań na roboty budowlane w których przewidziano zaliczkowanie, zaliczkowanie to wynikało z obowiązku określonego w ustawie Pzp.</w:t>
      </w:r>
    </w:p>
    <w:p w14:paraId="20BEDAC5" w14:textId="6367E484" w:rsidR="00846CAF" w:rsidRPr="00495443" w:rsidRDefault="00846CAF" w:rsidP="00270CF3">
      <w:pPr>
        <w:pStyle w:val="Nagwek3"/>
      </w:pPr>
      <w:bookmarkStart w:id="239" w:name="_Toc164839435"/>
      <w:bookmarkStart w:id="240" w:name="_Toc233203285"/>
      <w:r w:rsidRPr="007227BB">
        <w:t>I.3.3. Postępowania o udzielenie zamówienia publicznego, w których zamawiający zastrzegł, że o udzielenie zamówienia mogą ubiegać się wyłącznie wykonawcy mający status zakładu pracy chronionej, spółdzielnie socjalne oraz inni wykonawcy, których głównym celem lub głównym celem działalności ich wyodrębnionych organizacyjnie jednostek, które będą realizowały zamówienie, jest społeczna i zawodowa integracja osób społecznie marginalizowanych</w:t>
      </w:r>
      <w:bookmarkEnd w:id="239"/>
      <w:bookmarkEnd w:id="240"/>
    </w:p>
    <w:p w14:paraId="5D4E9AFA" w14:textId="77777777" w:rsidR="00644325" w:rsidRPr="00821AE0" w:rsidRDefault="00644325" w:rsidP="00644325">
      <w:pPr>
        <w:shd w:val="clear" w:color="auto" w:fill="FFFFFF"/>
        <w:spacing w:line="360" w:lineRule="auto"/>
        <w:jc w:val="left"/>
        <w:rPr>
          <w:rFonts w:cs="Arial"/>
          <w:szCs w:val="22"/>
        </w:rPr>
      </w:pPr>
      <w:r w:rsidRPr="00821AE0">
        <w:rPr>
          <w:rFonts w:cs="Arial"/>
          <w:szCs w:val="22"/>
        </w:rPr>
        <w:t xml:space="preserve">W przepisach ustawy Pzp przewidziano możliwość zastrzeżenia w ogłoszeniu o zamówieniu uprawnienia do złożenia oferty wyłącznie zakładom pracy chronionej, spółdzielniom socjalnym oraz innym wykonawcom, których głównym celem lub głównym celem działalności ich wyodrębnionych organizacyjnie jednostek, które będą realizowały zamówienie jest społeczna i zawodowa integracja osób społecznie marginalizowanych. </w:t>
      </w:r>
    </w:p>
    <w:p w14:paraId="2B9C3EFE" w14:textId="77777777" w:rsidR="00644325" w:rsidRPr="001A57B6" w:rsidRDefault="00644325" w:rsidP="00644325">
      <w:pPr>
        <w:shd w:val="clear" w:color="auto" w:fill="FFFFFF"/>
        <w:spacing w:before="120" w:line="360" w:lineRule="auto"/>
        <w:jc w:val="left"/>
        <w:rPr>
          <w:rFonts w:cs="Arial"/>
          <w:szCs w:val="22"/>
        </w:rPr>
      </w:pPr>
      <w:r w:rsidRPr="001A57B6">
        <w:rPr>
          <w:rFonts w:cs="Arial"/>
          <w:szCs w:val="22"/>
        </w:rPr>
        <w:t>W 202</w:t>
      </w:r>
      <w:r>
        <w:rPr>
          <w:rFonts w:cs="Arial"/>
          <w:szCs w:val="22"/>
        </w:rPr>
        <w:t>5</w:t>
      </w:r>
      <w:r w:rsidRPr="001A57B6">
        <w:rPr>
          <w:rFonts w:cs="Arial"/>
          <w:szCs w:val="22"/>
        </w:rPr>
        <w:t xml:space="preserve"> r. wskazane zastrzeżenie z intencją aktywizacji zawodowej osób </w:t>
      </w:r>
      <w:proofErr w:type="spellStart"/>
      <w:r w:rsidRPr="001A57B6">
        <w:rPr>
          <w:rFonts w:cs="Arial"/>
          <w:szCs w:val="22"/>
        </w:rPr>
        <w:t>defaworyzowanych</w:t>
      </w:r>
      <w:proofErr w:type="spellEnd"/>
      <w:r w:rsidRPr="001A57B6">
        <w:rPr>
          <w:rFonts w:cs="Arial"/>
          <w:szCs w:val="22"/>
        </w:rPr>
        <w:t xml:space="preserve"> zastosowano w 476 ogłoszeniach o zamówieniu opublikowanych w BZP</w:t>
      </w:r>
      <w:r w:rsidRPr="001A57B6">
        <w:rPr>
          <w:rFonts w:cs="Arial"/>
          <w:szCs w:val="22"/>
          <w:vertAlign w:val="superscript"/>
        </w:rPr>
        <w:footnoteReference w:id="15"/>
      </w:r>
      <w:r w:rsidRPr="001A57B6">
        <w:rPr>
          <w:rFonts w:cs="Arial"/>
          <w:szCs w:val="22"/>
        </w:rPr>
        <w:t>. Stanowiło to 0,32% ogólnej liczby tych ogłoszeń (w 2024 r. - 0,30%).</w:t>
      </w:r>
    </w:p>
    <w:p w14:paraId="6513067E" w14:textId="6D68D438" w:rsidR="0008302E" w:rsidRPr="00AD636D" w:rsidRDefault="00644325" w:rsidP="00AD636D">
      <w:pPr>
        <w:shd w:val="clear" w:color="auto" w:fill="FFFFFF"/>
        <w:spacing w:before="120" w:line="360" w:lineRule="auto"/>
        <w:jc w:val="left"/>
        <w:rPr>
          <w:rFonts w:cs="Arial"/>
          <w:szCs w:val="22"/>
        </w:rPr>
      </w:pPr>
      <w:r w:rsidRPr="000C0B7F">
        <w:rPr>
          <w:rFonts w:cs="Arial"/>
          <w:szCs w:val="22"/>
        </w:rPr>
        <w:t>Najczęściej dotyczyło ono zamówień na usługi – 428 ogłoszeń (0,90% ogłoszeń dotyczących zamówień na usługi), rzadziej zamówień na dostawy – 27 ogłoszeń (0,05%) i roboty budowlane - 21 ogłoszeń (0,05%).</w:t>
      </w:r>
    </w:p>
    <w:p w14:paraId="117FCB89" w14:textId="286DC61B" w:rsidR="00846CAF" w:rsidRPr="00495443" w:rsidRDefault="00846CAF" w:rsidP="00270CF3">
      <w:pPr>
        <w:pStyle w:val="Nagwek3"/>
      </w:pPr>
      <w:bookmarkStart w:id="241" w:name="_Toc64451872"/>
      <w:bookmarkStart w:id="242" w:name="_Toc164839437"/>
      <w:bookmarkStart w:id="243" w:name="_Toc233203286"/>
      <w:r w:rsidRPr="001927B7">
        <w:lastRenderedPageBreak/>
        <w:t>I.3.</w:t>
      </w:r>
      <w:r w:rsidR="00AD636D">
        <w:t>4</w:t>
      </w:r>
      <w:r w:rsidRPr="001927B7">
        <w:t>. Postępowania o udzielenie zamówienia publicznego, w których przed wszczęciem postępowania przeprowadzono wstępne konsultacje rynkowe</w:t>
      </w:r>
      <w:bookmarkEnd w:id="241"/>
      <w:bookmarkEnd w:id="242"/>
      <w:bookmarkEnd w:id="243"/>
    </w:p>
    <w:p w14:paraId="72BFA3C7" w14:textId="5A4AB088" w:rsidR="00644325" w:rsidRPr="00F223AB" w:rsidRDefault="00F223AB" w:rsidP="00F223AB">
      <w:pPr>
        <w:pStyle w:val="Legenda"/>
      </w:pPr>
      <w:bookmarkStart w:id="244" w:name="_Toc233203363"/>
      <w:r w:rsidRPr="00BA1095">
        <w:t xml:space="preserve">Rys. </w:t>
      </w:r>
      <w:r>
        <w:fldChar w:fldCharType="begin"/>
      </w:r>
      <w:r>
        <w:instrText>SEQ Rys. \* ARABIC</w:instrText>
      </w:r>
      <w:r>
        <w:fldChar w:fldCharType="separate"/>
      </w:r>
      <w:r w:rsidR="00017C65">
        <w:rPr>
          <w:noProof/>
        </w:rPr>
        <w:t>42</w:t>
      </w:r>
      <w:r>
        <w:fldChar w:fldCharType="end"/>
      </w:r>
      <w:r w:rsidRPr="00BA1095">
        <w:t xml:space="preserve">. </w:t>
      </w:r>
      <w:r w:rsidR="00644325">
        <w:t xml:space="preserve">Odsetek postępowań, w których </w:t>
      </w:r>
      <w:r w:rsidR="00644325" w:rsidRPr="003A036F">
        <w:t>przed wszczęciem postępowania o udzielenie zamówienia przeprowadzono wstępne konsultacje rynkowe</w:t>
      </w:r>
      <w:bookmarkEnd w:id="244"/>
    </w:p>
    <w:p w14:paraId="3CFB0ED1" w14:textId="77777777" w:rsidR="00644325" w:rsidRDefault="00644325" w:rsidP="00644325">
      <w:pPr>
        <w:spacing w:line="360" w:lineRule="auto"/>
        <w:jc w:val="left"/>
        <w:rPr>
          <w:rFonts w:cs="Arial"/>
          <w:szCs w:val="22"/>
        </w:rPr>
      </w:pPr>
      <w:r>
        <w:rPr>
          <w:rFonts w:cs="Arial"/>
          <w:noProof/>
          <w:szCs w:val="22"/>
        </w:rPr>
        <w:drawing>
          <wp:inline distT="0" distB="0" distL="0" distR="0" wp14:anchorId="772C5955" wp14:editId="234B7E38">
            <wp:extent cx="4868883" cy="2784763"/>
            <wp:effectExtent l="0" t="0" r="8255" b="15875"/>
            <wp:docPr id="50810133" name="Chart 3" descr="Odsetek postępowań, w których przed wszczęciem postępowania o udzielenie zamówienia przeprowadzono wstępne konsultacje rynkowe" title="Odsetek postępowań, w których przed wszczęciem postępowania o udzielenie zamówienia przeprowadzono wstępne konsultacje rynkowe"/>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67435C8" w14:textId="77777777" w:rsidR="00644325" w:rsidRPr="001632F3" w:rsidRDefault="00644325" w:rsidP="00644325">
      <w:pPr>
        <w:spacing w:before="240" w:line="360" w:lineRule="auto"/>
        <w:jc w:val="left"/>
        <w:rPr>
          <w:rFonts w:cs="Arial"/>
          <w:szCs w:val="22"/>
        </w:rPr>
      </w:pPr>
      <w:r w:rsidRPr="001632F3">
        <w:rPr>
          <w:rFonts w:cs="Arial"/>
          <w:szCs w:val="22"/>
        </w:rPr>
        <w:t xml:space="preserve">W 2025 r. informacja o zastosowaniu wstępnych konsultacji rynkowych została zamieszczona w </w:t>
      </w:r>
      <w:r w:rsidRPr="00E741E9">
        <w:rPr>
          <w:rFonts w:cs="Arial"/>
          <w:szCs w:val="22"/>
        </w:rPr>
        <w:t>960 ogłoszeniach o zamówieniu</w:t>
      </w:r>
      <w:r w:rsidRPr="001632F3">
        <w:rPr>
          <w:rFonts w:cs="Arial"/>
          <w:szCs w:val="22"/>
        </w:rPr>
        <w:t xml:space="preserve"> opublikowanych w BZP</w:t>
      </w:r>
      <w:r w:rsidRPr="001632F3">
        <w:rPr>
          <w:rFonts w:cs="Arial"/>
          <w:szCs w:val="22"/>
          <w:vertAlign w:val="superscript"/>
        </w:rPr>
        <w:footnoteReference w:id="16"/>
      </w:r>
      <w:r w:rsidRPr="001632F3">
        <w:rPr>
          <w:rFonts w:cs="Arial"/>
          <w:szCs w:val="22"/>
        </w:rPr>
        <w:t xml:space="preserve"> - 0,65% ogółu ogłoszeń o zamówieniu (w 2024 r. - 727, 0,56%).</w:t>
      </w:r>
    </w:p>
    <w:p w14:paraId="333FE291" w14:textId="77777777" w:rsidR="00644325" w:rsidRDefault="00644325" w:rsidP="00644325">
      <w:pPr>
        <w:spacing w:before="120" w:line="360" w:lineRule="auto"/>
        <w:jc w:val="left"/>
        <w:rPr>
          <w:rFonts w:cs="Arial"/>
          <w:szCs w:val="22"/>
        </w:rPr>
      </w:pPr>
      <w:r w:rsidRPr="001632F3">
        <w:rPr>
          <w:rFonts w:cs="Arial"/>
          <w:szCs w:val="22"/>
        </w:rPr>
        <w:t xml:space="preserve">Najczęściej dotyczyły </w:t>
      </w:r>
      <w:r>
        <w:rPr>
          <w:rFonts w:cs="Arial"/>
          <w:szCs w:val="22"/>
        </w:rPr>
        <w:t>dostaw</w:t>
      </w:r>
      <w:r w:rsidRPr="001632F3">
        <w:rPr>
          <w:rFonts w:cs="Arial"/>
          <w:szCs w:val="22"/>
        </w:rPr>
        <w:t xml:space="preserve"> – </w:t>
      </w:r>
      <w:r>
        <w:rPr>
          <w:rFonts w:cs="Arial"/>
          <w:szCs w:val="22"/>
        </w:rPr>
        <w:t>579</w:t>
      </w:r>
      <w:r w:rsidRPr="001632F3">
        <w:rPr>
          <w:rFonts w:cs="Arial"/>
          <w:szCs w:val="22"/>
        </w:rPr>
        <w:t xml:space="preserve"> ogłoszeń (</w:t>
      </w:r>
      <w:r>
        <w:rPr>
          <w:rFonts w:cs="Arial"/>
          <w:szCs w:val="22"/>
        </w:rPr>
        <w:t>1</w:t>
      </w:r>
      <w:r w:rsidRPr="001632F3">
        <w:rPr>
          <w:rFonts w:cs="Arial"/>
          <w:szCs w:val="22"/>
        </w:rPr>
        <w:t>,</w:t>
      </w:r>
      <w:r>
        <w:rPr>
          <w:rFonts w:cs="Arial"/>
          <w:szCs w:val="22"/>
        </w:rPr>
        <w:t>03</w:t>
      </w:r>
      <w:r w:rsidRPr="001632F3">
        <w:rPr>
          <w:rFonts w:cs="Arial"/>
          <w:szCs w:val="22"/>
        </w:rPr>
        <w:t xml:space="preserve">% ogłoszeń o zamówieniu </w:t>
      </w:r>
      <w:r>
        <w:rPr>
          <w:rFonts w:cs="Arial"/>
          <w:szCs w:val="22"/>
        </w:rPr>
        <w:br/>
      </w:r>
      <w:r w:rsidRPr="001632F3">
        <w:rPr>
          <w:rFonts w:cs="Arial"/>
          <w:szCs w:val="22"/>
        </w:rPr>
        <w:t xml:space="preserve">na </w:t>
      </w:r>
      <w:r>
        <w:rPr>
          <w:rFonts w:cs="Arial"/>
          <w:szCs w:val="22"/>
        </w:rPr>
        <w:t>dostawy</w:t>
      </w:r>
      <w:r w:rsidRPr="001632F3">
        <w:rPr>
          <w:rFonts w:cs="Arial"/>
          <w:szCs w:val="22"/>
        </w:rPr>
        <w:t xml:space="preserve">). W przypadku zamówień na usługi liczba ta wyniosła </w:t>
      </w:r>
      <w:r>
        <w:rPr>
          <w:rFonts w:cs="Arial"/>
          <w:szCs w:val="22"/>
        </w:rPr>
        <w:t>254</w:t>
      </w:r>
      <w:r w:rsidRPr="001632F3">
        <w:rPr>
          <w:rFonts w:cs="Arial"/>
          <w:szCs w:val="22"/>
        </w:rPr>
        <w:t xml:space="preserve"> (0,5</w:t>
      </w:r>
      <w:r>
        <w:rPr>
          <w:rFonts w:cs="Arial"/>
          <w:szCs w:val="22"/>
        </w:rPr>
        <w:t>3</w:t>
      </w:r>
      <w:r w:rsidRPr="001632F3">
        <w:rPr>
          <w:rFonts w:cs="Arial"/>
          <w:szCs w:val="22"/>
        </w:rPr>
        <w:t xml:space="preserve">%), </w:t>
      </w:r>
      <w:r>
        <w:rPr>
          <w:rFonts w:cs="Arial"/>
          <w:szCs w:val="22"/>
        </w:rPr>
        <w:br/>
      </w:r>
      <w:r w:rsidRPr="001632F3">
        <w:rPr>
          <w:rFonts w:cs="Arial"/>
          <w:szCs w:val="22"/>
        </w:rPr>
        <w:t xml:space="preserve">a w </w:t>
      </w:r>
      <w:r>
        <w:rPr>
          <w:rFonts w:cs="Arial"/>
          <w:szCs w:val="22"/>
        </w:rPr>
        <w:t>robotach budowlanych</w:t>
      </w:r>
      <w:r w:rsidRPr="001632F3">
        <w:rPr>
          <w:rFonts w:cs="Arial"/>
          <w:szCs w:val="22"/>
        </w:rPr>
        <w:t xml:space="preserve"> - </w:t>
      </w:r>
      <w:r w:rsidRPr="00D5008E">
        <w:rPr>
          <w:rFonts w:cs="Arial"/>
          <w:szCs w:val="22"/>
        </w:rPr>
        <w:t>127</w:t>
      </w:r>
      <w:r w:rsidRPr="001632F3">
        <w:rPr>
          <w:rFonts w:cs="Arial"/>
          <w:szCs w:val="22"/>
        </w:rPr>
        <w:t xml:space="preserve"> (0,</w:t>
      </w:r>
      <w:r>
        <w:rPr>
          <w:rFonts w:cs="Arial"/>
          <w:szCs w:val="22"/>
        </w:rPr>
        <w:t>29</w:t>
      </w:r>
      <w:r w:rsidRPr="001632F3">
        <w:rPr>
          <w:rFonts w:cs="Arial"/>
          <w:szCs w:val="22"/>
        </w:rPr>
        <w:t>%).</w:t>
      </w:r>
    </w:p>
    <w:p w14:paraId="34E3B542" w14:textId="748D7372" w:rsidR="00644325" w:rsidRPr="00E21560" w:rsidRDefault="007431CF" w:rsidP="00644325">
      <w:pPr>
        <w:pStyle w:val="Legenda"/>
      </w:pPr>
      <w:bookmarkStart w:id="245" w:name="_Toc233203364"/>
      <w:r w:rsidRPr="00BA1095">
        <w:lastRenderedPageBreak/>
        <w:t xml:space="preserve">Rys. </w:t>
      </w:r>
      <w:r>
        <w:fldChar w:fldCharType="begin"/>
      </w:r>
      <w:r>
        <w:instrText>SEQ Rys. \* ARABIC</w:instrText>
      </w:r>
      <w:r>
        <w:fldChar w:fldCharType="separate"/>
      </w:r>
      <w:r w:rsidR="00017C65">
        <w:rPr>
          <w:noProof/>
        </w:rPr>
        <w:t>43</w:t>
      </w:r>
      <w:r>
        <w:fldChar w:fldCharType="end"/>
      </w:r>
      <w:r w:rsidRPr="00BA1095">
        <w:t xml:space="preserve">. </w:t>
      </w:r>
      <w:r w:rsidR="00644325" w:rsidRPr="00E75B02">
        <w:t xml:space="preserve">Średnia liczba składanych ofert </w:t>
      </w:r>
      <w:r w:rsidR="00644325">
        <w:t xml:space="preserve">w postępowaniach, w których </w:t>
      </w:r>
      <w:r w:rsidR="00644325" w:rsidRPr="00E75B02">
        <w:t>przeprowadzono wstępne konsultacje rynkowe</w:t>
      </w:r>
      <w:r w:rsidR="00644325">
        <w:t xml:space="preserve"> na tle danych ogólnych</w:t>
      </w:r>
      <w:bookmarkEnd w:id="245"/>
    </w:p>
    <w:p w14:paraId="1EAD83FD" w14:textId="77777777" w:rsidR="00644325" w:rsidRDefault="00644325" w:rsidP="00644325">
      <w:pPr>
        <w:spacing w:before="120" w:line="360" w:lineRule="auto"/>
        <w:jc w:val="left"/>
        <w:rPr>
          <w:rFonts w:cs="Arial"/>
          <w:szCs w:val="22"/>
        </w:rPr>
      </w:pPr>
      <w:r>
        <w:rPr>
          <w:rFonts w:cs="Arial"/>
          <w:noProof/>
          <w:szCs w:val="22"/>
        </w:rPr>
        <w:drawing>
          <wp:inline distT="0" distB="0" distL="0" distR="0" wp14:anchorId="798BDD91" wp14:editId="70576674">
            <wp:extent cx="5486400" cy="3200400"/>
            <wp:effectExtent l="0" t="0" r="0" b="0"/>
            <wp:docPr id="1866455356" name="Chart 7" descr="Średnia liczba składanych ofert w postępowaniach, w których przeprowadzono wstępne konsultacje rynkowe na tle danych ogólnych" title="Średnia liczba składanych ofert w postępowaniach, w których przeprowadzono wstępne konsultacje rynkowe na tle danych ogóln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1AD40AE" w14:textId="77777777" w:rsidR="00644325" w:rsidRDefault="00644325" w:rsidP="00644325">
      <w:pPr>
        <w:spacing w:before="120" w:line="360" w:lineRule="auto"/>
        <w:jc w:val="left"/>
        <w:rPr>
          <w:rFonts w:cs="Arial"/>
          <w:szCs w:val="22"/>
        </w:rPr>
      </w:pPr>
      <w:r w:rsidRPr="00C43EF1">
        <w:rPr>
          <w:rFonts w:cs="Arial"/>
          <w:szCs w:val="22"/>
        </w:rPr>
        <w:t>Jak wynika z danych zawartych w ogłoszeniach opublikowanych w BZP średnia liczba ofert w postępowaniach, w których przeprowadzono wstępne konsultacje rynkowe była niższa od średniej we wszystkich postępowaniach. Jednocześnie w zależności od rodzaju zamówienia w przypadku robót budowlanych była niższa natomiast w przypadku dostaw i usług – na podobnym poziomie.</w:t>
      </w:r>
      <w:r>
        <w:rPr>
          <w:rFonts w:cs="Arial"/>
          <w:szCs w:val="22"/>
        </w:rPr>
        <w:t xml:space="preserve"> </w:t>
      </w:r>
    </w:p>
    <w:p w14:paraId="6E96F66D" w14:textId="309CEF4C" w:rsidR="00644325" w:rsidRPr="00466677" w:rsidRDefault="00BE514E" w:rsidP="00644325">
      <w:pPr>
        <w:pStyle w:val="Legenda"/>
      </w:pPr>
      <w:bookmarkStart w:id="246" w:name="_Toc233203365"/>
      <w:r w:rsidRPr="00BA1095">
        <w:t xml:space="preserve">Rys. </w:t>
      </w:r>
      <w:r>
        <w:fldChar w:fldCharType="begin"/>
      </w:r>
      <w:r>
        <w:instrText>SEQ Rys. \* ARABIC</w:instrText>
      </w:r>
      <w:r>
        <w:fldChar w:fldCharType="separate"/>
      </w:r>
      <w:r w:rsidR="00017C65">
        <w:rPr>
          <w:noProof/>
        </w:rPr>
        <w:t>44</w:t>
      </w:r>
      <w:r>
        <w:fldChar w:fldCharType="end"/>
      </w:r>
      <w:r w:rsidRPr="00BA1095">
        <w:t xml:space="preserve">. </w:t>
      </w:r>
      <w:r w:rsidR="00644325" w:rsidRPr="0017316A">
        <w:t xml:space="preserve">Odsetek zamówień udzielanych w oparciu o cenę i inne kryteria oceny ofert </w:t>
      </w:r>
      <w:r w:rsidR="00644325">
        <w:t xml:space="preserve">w postępowaniach, w których </w:t>
      </w:r>
      <w:r w:rsidR="00644325" w:rsidRPr="00E75B02">
        <w:t>przeprowadzono wstępne konsultacje rynkowe</w:t>
      </w:r>
      <w:r w:rsidR="00644325">
        <w:t xml:space="preserve"> na tle danych ogólnych</w:t>
      </w:r>
      <w:bookmarkEnd w:id="246"/>
    </w:p>
    <w:p w14:paraId="30789BAD" w14:textId="77777777" w:rsidR="00644325" w:rsidRDefault="00644325" w:rsidP="00644325">
      <w:pPr>
        <w:spacing w:before="120" w:line="360" w:lineRule="auto"/>
        <w:jc w:val="left"/>
        <w:rPr>
          <w:rFonts w:cs="Arial"/>
          <w:szCs w:val="22"/>
        </w:rPr>
      </w:pPr>
      <w:r>
        <w:rPr>
          <w:rFonts w:cs="Arial"/>
          <w:noProof/>
          <w:szCs w:val="22"/>
        </w:rPr>
        <w:drawing>
          <wp:inline distT="0" distB="0" distL="0" distR="0" wp14:anchorId="3005FBA5" wp14:editId="08B1A700">
            <wp:extent cx="4868883" cy="2956955"/>
            <wp:effectExtent l="0" t="0" r="8255" b="0"/>
            <wp:docPr id="376029521" name="Chart 4" descr="Odsetek zamówień udzielanych w oparciu o cenę i inne kryteria oceny ofert w postępowaniach, w których przeprowadzono wstępne konsultacje rynkowe na tle danych ogólnych" title="Odsetek zamówień udzielanych w oparciu o cenę i inne kryteria oceny ofert w postępowaniach, w których przeprowadzono wstępne konsultacje rynkowe na tle danych ogóln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84D45E1" w14:textId="06732A1D" w:rsidR="0008302E" w:rsidRPr="00644325" w:rsidRDefault="00644325" w:rsidP="00644325">
      <w:pPr>
        <w:spacing w:before="120" w:line="360" w:lineRule="auto"/>
        <w:jc w:val="left"/>
        <w:rPr>
          <w:rFonts w:cs="Arial"/>
          <w:szCs w:val="22"/>
        </w:rPr>
      </w:pPr>
      <w:r w:rsidRPr="00413209">
        <w:rPr>
          <w:rFonts w:cs="Arial"/>
          <w:szCs w:val="22"/>
        </w:rPr>
        <w:lastRenderedPageBreak/>
        <w:t>W przypadku postępowań, w których przeprowadzono wstępne konsultacje rynkowe nieznacznie rzadziej niż ogółem zamawiający przy wyborze najkorzystniejszej oferty kierowali się zarówno ceną, jak i dodatkowymi kryteriami.</w:t>
      </w:r>
    </w:p>
    <w:p w14:paraId="2100066B" w14:textId="42E555E5" w:rsidR="002C49CB" w:rsidRDefault="002C49CB" w:rsidP="0008302E">
      <w:pPr>
        <w:spacing w:before="240" w:line="360" w:lineRule="auto"/>
        <w:jc w:val="left"/>
        <w:rPr>
          <w:rFonts w:cs="Arial"/>
          <w:iCs/>
          <w:szCs w:val="22"/>
        </w:rPr>
      </w:pPr>
    </w:p>
    <w:p w14:paraId="2C7168A2" w14:textId="77777777" w:rsidR="002C49CB" w:rsidRDefault="002C49CB" w:rsidP="0008302E">
      <w:pPr>
        <w:spacing w:before="240" w:line="360" w:lineRule="auto"/>
        <w:jc w:val="left"/>
        <w:rPr>
          <w:rFonts w:cs="Arial"/>
          <w:iCs/>
          <w:szCs w:val="22"/>
        </w:rPr>
        <w:sectPr w:rsidR="002C49CB" w:rsidSect="0057598F">
          <w:pgSz w:w="11906" w:h="16838"/>
          <w:pgMar w:top="1418" w:right="1418" w:bottom="1418" w:left="1418" w:header="709" w:footer="709" w:gutter="0"/>
          <w:cols w:space="708"/>
          <w:docGrid w:linePitch="299"/>
        </w:sectPr>
      </w:pPr>
    </w:p>
    <w:p w14:paraId="6E97FF8C" w14:textId="77777777" w:rsidR="00101625" w:rsidRPr="00ED6DD4" w:rsidRDefault="00101625" w:rsidP="005B3FFE">
      <w:pPr>
        <w:pStyle w:val="Nagwek1"/>
      </w:pPr>
      <w:bookmarkStart w:id="247" w:name="_Ref99029948"/>
      <w:bookmarkStart w:id="248" w:name="_Ref99030077"/>
      <w:bookmarkStart w:id="249" w:name="_Ref99030210"/>
      <w:bookmarkStart w:id="250" w:name="_Toc233203287"/>
      <w:r>
        <w:lastRenderedPageBreak/>
        <w:t>I</w:t>
      </w:r>
      <w:r w:rsidRPr="00E57507">
        <w:t xml:space="preserve">I. </w:t>
      </w:r>
      <w:bookmarkEnd w:id="247"/>
      <w:bookmarkEnd w:id="248"/>
      <w:bookmarkEnd w:id="249"/>
      <w:r w:rsidRPr="00840554">
        <w:t>ZMIANY AKTÓW PRAWNYCH MAJĄCYCH WPŁYW NA SYSTEM ZAMÓWIEŃ PUBLICZNYCH W POLSCE</w:t>
      </w:r>
      <w:bookmarkEnd w:id="250"/>
    </w:p>
    <w:p w14:paraId="58338064" w14:textId="64D6EB89" w:rsidR="00101625" w:rsidRPr="00D06180" w:rsidRDefault="00101625" w:rsidP="00D06180">
      <w:pPr>
        <w:pStyle w:val="Nagwek2"/>
      </w:pPr>
      <w:bookmarkStart w:id="251" w:name="_Toc64451841"/>
      <w:bookmarkStart w:id="252" w:name="_Toc233203288"/>
      <w:r w:rsidRPr="00D06180">
        <w:t>II.1. Ustawa – Prawo zamówień publicznych</w:t>
      </w:r>
      <w:bookmarkEnd w:id="251"/>
      <w:r w:rsidRPr="00D06180">
        <w:t xml:space="preserve"> </w:t>
      </w:r>
      <w:r w:rsidR="001C00E5">
        <w:t>i ustawa o </w:t>
      </w:r>
      <w:r w:rsidRPr="00D06180">
        <w:t>umowie koncesji na roboty budowlane lub usługi</w:t>
      </w:r>
      <w:bookmarkEnd w:id="252"/>
    </w:p>
    <w:p w14:paraId="09287520" w14:textId="463D7553" w:rsidR="00E46662" w:rsidRPr="00270CF3" w:rsidRDefault="00E46662" w:rsidP="00270CF3">
      <w:pPr>
        <w:pStyle w:val="Nagwek3"/>
      </w:pPr>
      <w:bookmarkStart w:id="253" w:name="_Toc233203289"/>
      <w:r w:rsidRPr="00270CF3">
        <w:t>II.1.1. Ustawa Prawo zamówień publicznych</w:t>
      </w:r>
      <w:bookmarkEnd w:id="253"/>
    </w:p>
    <w:p w14:paraId="15C0993D" w14:textId="537BC084" w:rsidR="000C77E4" w:rsidRPr="000C77E4" w:rsidRDefault="000C77E4" w:rsidP="000C77E4">
      <w:pPr>
        <w:shd w:val="clear" w:color="auto" w:fill="FFFFFF"/>
        <w:spacing w:before="120" w:line="360" w:lineRule="auto"/>
        <w:jc w:val="left"/>
      </w:pPr>
      <w:r w:rsidRPr="000C77E4">
        <w:t>Normatywną podstawę funkcjonowania systemu zamówień publicznych w Polsce w 2025 r. stanowiła ustawa Prawo zamówień publicznych, wraz z aktami wykonawczymi do niej.</w:t>
      </w:r>
    </w:p>
    <w:p w14:paraId="1B0927F4" w14:textId="6F605FAF" w:rsidR="000C77E4" w:rsidRPr="000C77E4" w:rsidRDefault="000C77E4" w:rsidP="000C77E4">
      <w:pPr>
        <w:shd w:val="clear" w:color="auto" w:fill="FFFFFF"/>
        <w:spacing w:before="120" w:line="360" w:lineRule="auto"/>
        <w:jc w:val="left"/>
      </w:pPr>
      <w:r w:rsidRPr="000C77E4">
        <w:t>W 2025 roku zostały ogłoszone w Dzienniku Ustaw RP następujące ustawy nowelizujące ustawę Pzp:</w:t>
      </w:r>
    </w:p>
    <w:p w14:paraId="601B0E4D" w14:textId="4D9558CD" w:rsidR="000C77E4" w:rsidRPr="00852522" w:rsidRDefault="000C77E4" w:rsidP="00852522">
      <w:pPr>
        <w:pStyle w:val="Nagwek4"/>
      </w:pPr>
      <w:r w:rsidRPr="00852522">
        <w:t>1. Ustawa z dnia 9 maja 2025 r. o zmianie niektórych ustaw w celu zapewnienia stosowania przepisów prawa Unii Europejskiej poprawiających funkcjonowanie rynku wewnętrznego</w:t>
      </w:r>
    </w:p>
    <w:p w14:paraId="7780D65A" w14:textId="45C49162" w:rsidR="000C77E4" w:rsidRPr="000C77E4" w:rsidRDefault="000C77E4" w:rsidP="000C77E4">
      <w:pPr>
        <w:shd w:val="clear" w:color="auto" w:fill="FFFFFF"/>
        <w:spacing w:before="120" w:line="360" w:lineRule="auto"/>
        <w:jc w:val="left"/>
      </w:pPr>
      <w:r w:rsidRPr="000C77E4">
        <w:t xml:space="preserve">Celem ustawy z dnia 9 maja 2025 r. </w:t>
      </w:r>
      <w:r w:rsidR="00F510E5" w:rsidRPr="00F510E5">
        <w:t>o zmianie niektórych ustaw w celu zapewnienia stosowania przepisów prawa Unii Europejskiej poprawiających funkcjonowanie rynku wewnętrznego</w:t>
      </w:r>
      <w:r w:rsidR="00F510E5">
        <w:t xml:space="preserve"> (Dz. U. </w:t>
      </w:r>
      <w:r w:rsidR="002E3DF6">
        <w:t xml:space="preserve">poz. 794) </w:t>
      </w:r>
      <w:r w:rsidRPr="000C77E4">
        <w:t>było zapewnienie wykonalności w polskim systemie prawnym kilku aktów prawnych UE, w tym w m.in. rozporządzenia Parlamentu Europejskiego i Rady (UE) 2022/2560 z dnia 14 grudnia 2022 r. w sprawie subsydiów zagranicznych zakłócających rynek wewnętrzny (Dz. Urz. UE L 330 z 23.12.2022, str. 1 oraz Dz. Urz. UE L 2024/90559 z 17.09.2024). Dostosowanie polskich przepisów do ww. rozporządzenia</w:t>
      </w:r>
      <w:r w:rsidR="00816ACD">
        <w:t xml:space="preserve"> </w:t>
      </w:r>
      <w:r w:rsidRPr="000C77E4">
        <w:t>unijnego objęło zmiany m.in. przepisów ustawy Pzp. Ponadto powyższą nowelizacją została zapewniona wykonalność rozporządzenia wykonawczego Komisji (UE) 2019/1780 z dnia 23</w:t>
      </w:r>
      <w:r w:rsidR="006F4194">
        <w:t> </w:t>
      </w:r>
      <w:r w:rsidRPr="000C77E4">
        <w:t>września 2019 r. ustanawiającego standardowe formularze do publikacji ogłoszeń w</w:t>
      </w:r>
      <w:r w:rsidR="006F4194">
        <w:t> </w:t>
      </w:r>
      <w:r w:rsidRPr="000C77E4">
        <w:t>dziedzinie zamówień publicznych i uchylającego rozporządzenie wykonawcze (UE) 2015/1986 („e-formularze”) (Dz. Urz. UE L 272 z 25.10.2019, str. 7, Dz. Urz. UE L 305 z</w:t>
      </w:r>
      <w:r w:rsidR="006F4194">
        <w:t> </w:t>
      </w:r>
      <w:r w:rsidRPr="000C77E4">
        <w:t xml:space="preserve">25.11.2022, str. 12 oraz Dz. Urz. UE L 2023/2884 z 21.12.2023). W odniesieniu do subsydiów zagranicznych nowelizacja rozszerzyła zadania Prezesa Urzędu Zamówień Publicznych w zakresie współpracy z Komisją Europejską oraz podejmowania czynności i wymiany informacji w zakresie subsydiów zagranicznych zakłócających rynek wewnętrzny </w:t>
      </w:r>
      <w:r w:rsidRPr="000C77E4">
        <w:lastRenderedPageBreak/>
        <w:t>w</w:t>
      </w:r>
      <w:r w:rsidR="006F4194">
        <w:t> </w:t>
      </w:r>
      <w:r w:rsidRPr="000C77E4">
        <w:t>kontekście postępowań o udzielenie zamówienia. W ramach wykonywanych w tym obszarze zadań Prezes Urzędu może m.in. wezwać zamawiającego lub wykonawcę do udzielenia informacji lub przekazania dokumentów w celu ustalenia możliwości występowania subsydium zagranicznego zakłócającego rynek wewnętrzny w</w:t>
      </w:r>
      <w:r w:rsidR="006F4194">
        <w:t> </w:t>
      </w:r>
      <w:r w:rsidRPr="000C77E4">
        <w:t>kontekście postępowań o udzielenie zamówienia. Natomiast w odniesieniu do ogłoszeń ustawą zmieniającą zostały uaktualnione przepisy ustawy Pzp dotyczące formularzy ogłoszeń zgodnie ze zmienionym rozporządzeniem wykonawczym Komisji (UE) 2019/1780 z</w:t>
      </w:r>
      <w:r w:rsidR="006F4194">
        <w:t> </w:t>
      </w:r>
      <w:r w:rsidRPr="000C77E4">
        <w:t xml:space="preserve">dnia 23 września 2019 r. Nowe rozporządzenie 2019/1780 nie ustanowiło, jak to miało miejsce dotychczas, wzorów formularzy, ale standardowe formularze cyfrowe umożliwiające w pewnym zakresie automatyczne generowanie danych, pozostawiając państwom członkowskim elastyczność w zakresie wprowadzenia obowiązku wypełniania niektórych pól opcjonalnych e-formularzy dla ogłoszeń przekazywanych do publikacji w </w:t>
      </w:r>
      <w:r w:rsidR="006E5BCE">
        <w:t>Dz. Urz. UE</w:t>
      </w:r>
      <w:r w:rsidRPr="000C77E4">
        <w:t>. W celu umożliwienia wdrożenia elastycznych rozwiązań dostosowanych do specyfiki krajowej w zakresie obowiązku wypełniania niektórych pól formularzy elektronicznych ogłoszeń została wprowadzona fakultatywna delegacja uprawniająca ministra właściwego ds. gospodarki do wydania rozporządzenia w sprawie dostosowania na szczeblu krajowym pól opcjonalnych e-formularzy w świetle rozporządzenia 2019/1780.</w:t>
      </w:r>
    </w:p>
    <w:p w14:paraId="7FCF2A8A" w14:textId="77777777" w:rsidR="000C77E4" w:rsidRPr="000C77E4" w:rsidRDefault="000C77E4" w:rsidP="000C77E4">
      <w:pPr>
        <w:shd w:val="clear" w:color="auto" w:fill="FFFFFF"/>
        <w:spacing w:before="120" w:line="360" w:lineRule="auto"/>
        <w:jc w:val="left"/>
      </w:pPr>
      <w:r w:rsidRPr="000C77E4">
        <w:t>Przepisy zmieniające weszły życie z dniem 19 czerwca 2025 r.</w:t>
      </w:r>
    </w:p>
    <w:p w14:paraId="18947C67" w14:textId="210A244F" w:rsidR="000C77E4" w:rsidRPr="000C77E4" w:rsidRDefault="000C77E4" w:rsidP="00852522">
      <w:pPr>
        <w:pStyle w:val="Nagwek4"/>
      </w:pPr>
      <w:r>
        <w:t xml:space="preserve">2. </w:t>
      </w:r>
      <w:r w:rsidRPr="000C77E4">
        <w:t>Ustawa z dnia 21 maja 2025 r. o zmianie niektórych ustaw w celu deregulacji prawa gospodarczego i administracyjnego oraz doskonalenia zasad opracowywania prawa gospodarczego</w:t>
      </w:r>
    </w:p>
    <w:p w14:paraId="1277EEA6" w14:textId="02E7C2BE" w:rsidR="000C77E4" w:rsidRPr="000C77E4" w:rsidRDefault="000C77E4" w:rsidP="000C77E4">
      <w:pPr>
        <w:shd w:val="clear" w:color="auto" w:fill="FFFFFF"/>
        <w:spacing w:before="120" w:line="360" w:lineRule="auto"/>
        <w:jc w:val="left"/>
      </w:pPr>
      <w:r w:rsidRPr="000C77E4">
        <w:t xml:space="preserve">Ustawa z dnia 21 maja 2025 r. o zmianie niektórych ustaw w celu deregulacji prawa gospodarczego i administracyjnego oraz doskonalenia zasad opracowywania prawa gospodarczego </w:t>
      </w:r>
      <w:r w:rsidR="00907D6F">
        <w:t xml:space="preserve">(Dz. U. poz. 769) </w:t>
      </w:r>
      <w:r w:rsidRPr="000C77E4">
        <w:t xml:space="preserve">wprowadziła zmiany w przepisach działu IX ustawy Pzp, regulujących środki ochrony prawnej. Nowelizacja dotyczyła postępowania odwoławczego przed </w:t>
      </w:r>
      <w:r w:rsidR="00C123C2">
        <w:t>KIO</w:t>
      </w:r>
      <w:r w:rsidRPr="000C77E4">
        <w:t>, przede wszystkim skupiając się na regulacjach umożliwiających organizację i</w:t>
      </w:r>
      <w:r w:rsidR="005D7B30">
        <w:t> </w:t>
      </w:r>
      <w:r w:rsidRPr="000C77E4">
        <w:t xml:space="preserve">efektywne prowadzenie rozpraw i posiedzeń przed Izbą przy użyciu środków komunikacji elektronicznej. Nowe rozwiązania zostały wprowadzone w ustawie Pzp z myślą o dalszej elektronizacji postępowań odwoławczych prowadzonych przed </w:t>
      </w:r>
      <w:r w:rsidR="00DC3AEE">
        <w:t>KIO</w:t>
      </w:r>
      <w:r w:rsidRPr="000C77E4">
        <w:t xml:space="preserve">, jak również efektywności i szybkości postępowania odwoławczego. Została stworzona przede wszystkim możliwość prowadzenia posiedzeń i rozpraw w </w:t>
      </w:r>
      <w:r w:rsidR="00DC3AEE">
        <w:t>KIO</w:t>
      </w:r>
      <w:r w:rsidRPr="000C77E4">
        <w:t xml:space="preserve"> w formule online, tzn. przy użyciu urządzeń technicznych umożliwiających przeprowadzenie posiedzeń na odległość z jednoczesnym bezpośrednim przekazem obrazu i dźwięku. Zmieniono regulacje określające sposób udziału stron i uczestników w</w:t>
      </w:r>
      <w:r w:rsidR="005D7B30">
        <w:t> </w:t>
      </w:r>
      <w:r w:rsidRPr="000C77E4">
        <w:t>postępowaniu odwoławczym, umożliwiając ich zdalne uczestnictwo oraz wymianę i</w:t>
      </w:r>
      <w:r w:rsidR="005D7B30">
        <w:t> </w:t>
      </w:r>
      <w:r w:rsidRPr="000C77E4">
        <w:t xml:space="preserve">składanie pism. Dostosowano także przepisy dotyczące </w:t>
      </w:r>
      <w:r w:rsidRPr="000C77E4">
        <w:lastRenderedPageBreak/>
        <w:t>doręczeń i przebiegu czynności w</w:t>
      </w:r>
      <w:r w:rsidR="005D7B30">
        <w:t> </w:t>
      </w:r>
      <w:r w:rsidRPr="000C77E4">
        <w:t>postępowaniu tak, aby mogły być one skutecznie realizowane w trybie zdalnym. Zmiany przepisów ustawy Pzp objęły również kwestie zmierzające do właściwej koncentracji materiału dowodowego w zakresie twierdzeń i dowodów składanych przez strony i</w:t>
      </w:r>
      <w:r w:rsidR="005D7B30">
        <w:t> </w:t>
      </w:r>
      <w:r w:rsidRPr="000C77E4">
        <w:t xml:space="preserve">uczestników postępowania odwoławczego. </w:t>
      </w:r>
    </w:p>
    <w:p w14:paraId="2B65CE18" w14:textId="04669F6D" w:rsidR="000C77E4" w:rsidRPr="000C77E4" w:rsidRDefault="000C77E4" w:rsidP="000C77E4">
      <w:pPr>
        <w:shd w:val="clear" w:color="auto" w:fill="FFFFFF"/>
        <w:spacing w:before="120" w:line="360" w:lineRule="auto"/>
        <w:jc w:val="left"/>
      </w:pPr>
      <w:r w:rsidRPr="000C77E4">
        <w:t>Nowelizacja w zakresie zmian wprowadzanych w ustawie Pzp weszła w życie z dniem 13</w:t>
      </w:r>
      <w:r w:rsidR="005D7B30">
        <w:t> </w:t>
      </w:r>
      <w:r w:rsidRPr="000C77E4">
        <w:t>marca 2026 r.</w:t>
      </w:r>
    </w:p>
    <w:p w14:paraId="4B7D309E" w14:textId="1026A0A8" w:rsidR="000C77E4" w:rsidRPr="000C77E4" w:rsidRDefault="000C77E4" w:rsidP="00852522">
      <w:pPr>
        <w:pStyle w:val="Nagwek4"/>
      </w:pPr>
      <w:r>
        <w:t xml:space="preserve">3. </w:t>
      </w:r>
      <w:r w:rsidRPr="000C77E4">
        <w:t>Ustawa z dnia 9 lipca 2025 r. o zmianie ustawy – Prawo zamówień publicznych oraz ustawy o umowie koncesji na roboty budowlane lub usługi</w:t>
      </w:r>
    </w:p>
    <w:p w14:paraId="655EEDFC" w14:textId="44B15717" w:rsidR="000C77E4" w:rsidRPr="000C77E4" w:rsidRDefault="000C77E4" w:rsidP="000C77E4">
      <w:pPr>
        <w:shd w:val="clear" w:color="auto" w:fill="FFFFFF"/>
        <w:spacing w:before="120" w:line="360" w:lineRule="auto"/>
        <w:jc w:val="left"/>
      </w:pPr>
      <w:r w:rsidRPr="000C77E4">
        <w:t xml:space="preserve">Nowelizacja </w:t>
      </w:r>
      <w:r w:rsidR="007C1E80">
        <w:t>ustaw</w:t>
      </w:r>
      <w:r w:rsidR="003F2D57">
        <w:t>y</w:t>
      </w:r>
      <w:r w:rsidR="007C1E80">
        <w:t xml:space="preserve"> Pzp</w:t>
      </w:r>
      <w:r w:rsidR="003F2D57">
        <w:rPr>
          <w:rStyle w:val="Odwoanieprzypisudolnego"/>
        </w:rPr>
        <w:footnoteReference w:id="17"/>
      </w:r>
      <w:r w:rsidR="007C1E80">
        <w:t xml:space="preserve"> </w:t>
      </w:r>
      <w:r w:rsidRPr="000C77E4">
        <w:t xml:space="preserve">miała na celu wprowadzenie do polskiego porządku prawnego regulacji uwzględniających tezy wyroku Trybunału Sprawiedliwości Unii Europejskiej z 22 października 2024 r. w sprawie C-652/22 Kolin </w:t>
      </w:r>
      <w:proofErr w:type="spellStart"/>
      <w:r w:rsidRPr="000C77E4">
        <w:t>Inşaat</w:t>
      </w:r>
      <w:proofErr w:type="spellEnd"/>
      <w:r w:rsidRPr="000C77E4">
        <w:t xml:space="preserve"> </w:t>
      </w:r>
      <w:proofErr w:type="spellStart"/>
      <w:r w:rsidRPr="000C77E4">
        <w:t>Turizm</w:t>
      </w:r>
      <w:proofErr w:type="spellEnd"/>
      <w:r w:rsidRPr="000C77E4">
        <w:t xml:space="preserve"> </w:t>
      </w:r>
      <w:proofErr w:type="spellStart"/>
      <w:r w:rsidRPr="000C77E4">
        <w:t>Sanayi</w:t>
      </w:r>
      <w:proofErr w:type="spellEnd"/>
      <w:r w:rsidRPr="000C77E4">
        <w:t xml:space="preserve"> </w:t>
      </w:r>
      <w:proofErr w:type="spellStart"/>
      <w:r w:rsidRPr="000C77E4">
        <w:t>ve</w:t>
      </w:r>
      <w:proofErr w:type="spellEnd"/>
      <w:r w:rsidRPr="000C77E4">
        <w:t xml:space="preserve"> </w:t>
      </w:r>
      <w:proofErr w:type="spellStart"/>
      <w:r w:rsidRPr="000C77E4">
        <w:t>Ticaret</w:t>
      </w:r>
      <w:proofErr w:type="spellEnd"/>
      <w:r w:rsidRPr="000C77E4">
        <w:t xml:space="preserve"> AȘ przeciwko </w:t>
      </w:r>
      <w:proofErr w:type="spellStart"/>
      <w:r w:rsidRPr="000C77E4">
        <w:t>Državna</w:t>
      </w:r>
      <w:proofErr w:type="spellEnd"/>
      <w:r w:rsidRPr="000C77E4">
        <w:t xml:space="preserve"> </w:t>
      </w:r>
      <w:proofErr w:type="spellStart"/>
      <w:r w:rsidRPr="000C77E4">
        <w:t>komisija</w:t>
      </w:r>
      <w:proofErr w:type="spellEnd"/>
      <w:r w:rsidRPr="000C77E4">
        <w:t xml:space="preserve"> za </w:t>
      </w:r>
      <w:proofErr w:type="spellStart"/>
      <w:r w:rsidRPr="000C77E4">
        <w:t>kontrolu</w:t>
      </w:r>
      <w:proofErr w:type="spellEnd"/>
      <w:r w:rsidRPr="000C77E4">
        <w:t xml:space="preserve"> </w:t>
      </w:r>
      <w:proofErr w:type="spellStart"/>
      <w:r w:rsidRPr="000C77E4">
        <w:t>postupaka</w:t>
      </w:r>
      <w:proofErr w:type="spellEnd"/>
      <w:r w:rsidRPr="000C77E4">
        <w:t xml:space="preserve"> </w:t>
      </w:r>
      <w:proofErr w:type="spellStart"/>
      <w:r w:rsidRPr="000C77E4">
        <w:t>javne</w:t>
      </w:r>
      <w:proofErr w:type="spellEnd"/>
      <w:r w:rsidRPr="000C77E4">
        <w:t xml:space="preserve"> </w:t>
      </w:r>
      <w:proofErr w:type="spellStart"/>
      <w:r w:rsidRPr="000C77E4">
        <w:t>nabave</w:t>
      </w:r>
      <w:proofErr w:type="spellEnd"/>
      <w:r w:rsidRPr="000C77E4">
        <w:t xml:space="preserve">, potwierdzone wyrokiem Trybunału Sprawiedliwości Unii </w:t>
      </w:r>
      <w:proofErr w:type="spellStart"/>
      <w:r w:rsidRPr="000C77E4">
        <w:t>Europejskiejz</w:t>
      </w:r>
      <w:proofErr w:type="spellEnd"/>
      <w:r w:rsidRPr="000C77E4">
        <w:t xml:space="preserve"> 13 marca 2025 r. w sprawie C-266/22 CRRC Qingdao </w:t>
      </w:r>
      <w:proofErr w:type="spellStart"/>
      <w:r w:rsidRPr="000C77E4">
        <w:t>Sifang</w:t>
      </w:r>
      <w:proofErr w:type="spellEnd"/>
      <w:r w:rsidRPr="000C77E4">
        <w:t xml:space="preserve"> CO LTD et Astra </w:t>
      </w:r>
      <w:proofErr w:type="spellStart"/>
      <w:r w:rsidRPr="000C77E4">
        <w:t>Vagoane</w:t>
      </w:r>
      <w:proofErr w:type="spellEnd"/>
      <w:r w:rsidRPr="000C77E4">
        <w:t xml:space="preserve"> </w:t>
      </w:r>
      <w:proofErr w:type="spellStart"/>
      <w:r w:rsidRPr="000C77E4">
        <w:t>Călători</w:t>
      </w:r>
      <w:proofErr w:type="spellEnd"/>
      <w:r w:rsidRPr="000C77E4">
        <w:t xml:space="preserve"> S.A. przeciwko </w:t>
      </w:r>
      <w:proofErr w:type="spellStart"/>
      <w:r w:rsidRPr="000C77E4">
        <w:t>Autoritatea</w:t>
      </w:r>
      <w:proofErr w:type="spellEnd"/>
      <w:r w:rsidRPr="000C77E4">
        <w:t xml:space="preserve"> </w:t>
      </w:r>
      <w:proofErr w:type="spellStart"/>
      <w:r w:rsidRPr="000C77E4">
        <w:t>pentru</w:t>
      </w:r>
      <w:proofErr w:type="spellEnd"/>
      <w:r w:rsidRPr="000C77E4">
        <w:t xml:space="preserve"> </w:t>
      </w:r>
      <w:proofErr w:type="spellStart"/>
      <w:r w:rsidRPr="000C77E4">
        <w:t>Reformă</w:t>
      </w:r>
      <w:proofErr w:type="spellEnd"/>
      <w:r w:rsidRPr="000C77E4">
        <w:t xml:space="preserve"> </w:t>
      </w:r>
      <w:proofErr w:type="spellStart"/>
      <w:r w:rsidRPr="000C77E4">
        <w:t>Feroviară</w:t>
      </w:r>
      <w:proofErr w:type="spellEnd"/>
      <w:r w:rsidRPr="000C77E4">
        <w:t xml:space="preserve"> i Alstom </w:t>
      </w:r>
      <w:proofErr w:type="spellStart"/>
      <w:r w:rsidRPr="000C77E4">
        <w:t>Ferroviaria</w:t>
      </w:r>
      <w:proofErr w:type="spellEnd"/>
      <w:r w:rsidRPr="000C77E4">
        <w:t xml:space="preserve"> S.P.A. W myśl tych wyroków wykonawcy z państw trzecich niezwiązanych z Unią Europejską żadną umową międzynarodową gwarantującą na zasadzie wzajemności i równości dostęp do rynku zamówień publicznych, nie mają zapewnionego dostępu do unijnego rynku zamówień publicznych, a decyzja w zakresie dopuszczenia i zasad udziału takich wykonawców w postępowaniu o udzielenie zamówienia publicznego należy do zamawiającego. Ponadto nawet w przypadku dopuszczenia takich wykonawców do udziału w postępowaniu nie mogą oni się powoływać na przepisy dyrektyw UE i domagać się traktowania ich ofert na równi z ofertami złożonymi przez wykonawców z</w:t>
      </w:r>
      <w:r w:rsidR="001A4DE2">
        <w:t> </w:t>
      </w:r>
      <w:r w:rsidRPr="000C77E4">
        <w:t xml:space="preserve">państw członkowskich Unii Europejskiej i wykonawców z państw trzecich będących stronami umów międzynarodowych. Takie podejście zostało odzwierciedlone w przepisach ustawy nowelizującej. </w:t>
      </w:r>
    </w:p>
    <w:p w14:paraId="05DCCE5E" w14:textId="29C76037" w:rsidR="000C77E4" w:rsidRPr="000C77E4" w:rsidRDefault="000C77E4" w:rsidP="000C77E4">
      <w:pPr>
        <w:shd w:val="clear" w:color="auto" w:fill="FFFFFF"/>
        <w:spacing w:before="120" w:line="360" w:lineRule="auto"/>
        <w:jc w:val="left"/>
      </w:pPr>
      <w:r w:rsidRPr="000C77E4">
        <w:t>Dzięki znowelizowanym przepisom ustawy Pzp zamawiający uzyskali pewność, że w</w:t>
      </w:r>
      <w:r w:rsidR="001A4DE2">
        <w:t> </w:t>
      </w:r>
      <w:r w:rsidRPr="000C77E4">
        <w:t>postępowaniach o udzielenie zamówienia publicznego mają obowiązek zapewnienia takiego samego traktowania jak traktowanie wykonawców pochodzących z państw członkowskich Unii Europejskiej oraz robót budowlanych, dostaw i usług pochodzących z</w:t>
      </w:r>
      <w:r w:rsidR="001A4DE2">
        <w:t> </w:t>
      </w:r>
      <w:r w:rsidRPr="000C77E4">
        <w:t xml:space="preserve">państw członkowskich Unii Europejskiej jedynie wykonawcom pochodzącym z państw trzecich będących stronami Porozumienia Światowej Organizacji Handlu w sprawie zamówień rządowych lub innych umów międzynarodowych gwarantujących na zasadzie </w:t>
      </w:r>
      <w:r w:rsidRPr="000C77E4">
        <w:lastRenderedPageBreak/>
        <w:t>wzajemności i równości dostęp do rynku zamówień publicznych, których stroną jest Unia Europejska, oraz robotom budowlanym, dostawom i usługom pochodzącym z tych państw, w</w:t>
      </w:r>
      <w:r w:rsidR="001A4DE2">
        <w:t> </w:t>
      </w:r>
      <w:r w:rsidRPr="000C77E4">
        <w:t>zakresie objętym tym porozumieniem lub tymi umowami międzynarodowymi. Jednocześnie zamawiający uzyskali uprawnienie do dopuszczenia do udziału w</w:t>
      </w:r>
      <w:r w:rsidR="001A4DE2">
        <w:t> </w:t>
      </w:r>
      <w:r w:rsidRPr="000C77E4">
        <w:t>postępowaniu o udzielenie zamówienia publicznego wykonawców z państw trzecich niebędących sygnatariuszami umów i porozumień w obszarze zamówień publicznych. W</w:t>
      </w:r>
      <w:r w:rsidR="001A4DE2">
        <w:t> </w:t>
      </w:r>
      <w:r w:rsidRPr="000C77E4">
        <w:t>przypadku dopuszczenia takich wykonawców do udziału w postępowaniu – zamawiający uzyskali uprawnienie do zróżnicowania ich traktowania w postępowaniu w stosunku do pozostałych wykonawców. Decyzja o dopuszczeniu do udziału w postępowaniu wykonawców z państw trzecich, z którymi Unia Europejska nie jest związana żadną umową międzynarodową gwarantującą na zasadzie wzajemności i równości dostęp do rynku zamówień publicznych, jak również określenie, na jakich zasadach będą oni dopuszczeni, została pozostawiona zamawiającym, o ile Unia Europejska nie skorzystała z wyłącznej swojej kompetencji w tym zakresie. W konsekwencj</w:t>
      </w:r>
      <w:r w:rsidR="001A4DE2">
        <w:t>i</w:t>
      </w:r>
      <w:r w:rsidRPr="000C77E4">
        <w:t xml:space="preserve"> wprowadzonego mechanizmu został wprowadzony do ustawy Pzp obowiązek odrzucenia przez zamawiającego oferty złożonej przez wykonawcę z państwa trzeciego niebędącego sygnatariuszem ww. umów w sytuacji, gdy nie został on dopuszczony do udziału w postępowaniu. Powyższe rozwiązania dotyczą nie tylko wykonawców składających ofertę samodzielnie, lecz także wykonawców biorących udział w postępowaniu w ramach konsorcjum z wykonawcami pochodzącymi z takich państw trzecich oraz wykonawców polegających na zdolnościach lub sytuacji podmiotów udostępniających zasoby lub powierzających wykonanie części zamówienia podwykonawcom pochodzącym z takich państw trzecich.</w:t>
      </w:r>
    </w:p>
    <w:p w14:paraId="02E59C42" w14:textId="34EE1843" w:rsidR="000C77E4" w:rsidRPr="000C77E4" w:rsidRDefault="000C77E4" w:rsidP="000C77E4">
      <w:pPr>
        <w:shd w:val="clear" w:color="auto" w:fill="FFFFFF"/>
        <w:spacing w:before="120" w:line="360" w:lineRule="auto"/>
        <w:jc w:val="left"/>
      </w:pPr>
      <w:r w:rsidRPr="000C77E4">
        <w:t>Kolejnym istotnym elementem zmian było ograniczenie dostępu wykonawców z państw trzecich niebędących sygnatariuszami umów z UE do środków ochrony prawnej przewidzianych w ustawie Pzp. W praktyce oznacza to, że podmioty te nie mogą korzystać z</w:t>
      </w:r>
      <w:r w:rsidR="001A4DE2">
        <w:t> </w:t>
      </w:r>
      <w:proofErr w:type="spellStart"/>
      <w:r w:rsidRPr="000C77E4">
        <w:t>odwołań</w:t>
      </w:r>
      <w:proofErr w:type="spellEnd"/>
      <w:r w:rsidRPr="000C77E4">
        <w:t xml:space="preserve"> do </w:t>
      </w:r>
      <w:r w:rsidR="00DC3AEE">
        <w:t>KIO</w:t>
      </w:r>
      <w:r w:rsidRPr="000C77E4">
        <w:t xml:space="preserve"> ani innych instrumentów ochrony prawnej, które przysługują wykonawcom z UE lub państw objętych umowami międzynarodowymi. </w:t>
      </w:r>
    </w:p>
    <w:p w14:paraId="78F7646B" w14:textId="77777777" w:rsidR="000C77E4" w:rsidRPr="000C77E4" w:rsidRDefault="000C77E4" w:rsidP="000C77E4">
      <w:pPr>
        <w:shd w:val="clear" w:color="auto" w:fill="FFFFFF"/>
        <w:spacing w:before="120" w:line="360" w:lineRule="auto"/>
        <w:jc w:val="left"/>
      </w:pPr>
      <w:r w:rsidRPr="000C77E4">
        <w:t>Ustawa weszła w życie z dniem 9 września 2025 r.</w:t>
      </w:r>
    </w:p>
    <w:p w14:paraId="7E319D29" w14:textId="2D259AE8" w:rsidR="000C77E4" w:rsidRPr="000C77E4" w:rsidRDefault="000C77E4" w:rsidP="00852522">
      <w:pPr>
        <w:pStyle w:val="Nagwek4"/>
      </w:pPr>
      <w:r>
        <w:t xml:space="preserve">4. </w:t>
      </w:r>
      <w:r w:rsidRPr="000C77E4">
        <w:t>Ustawa z dnia 25 lipca 2025 r. o zmianie ustawy – Prawo zamówień publicznych oraz niektórych innych ustaw</w:t>
      </w:r>
    </w:p>
    <w:p w14:paraId="227CDA1A" w14:textId="4C8EBA40" w:rsidR="000C77E4" w:rsidRPr="000C77E4" w:rsidRDefault="000C77E4" w:rsidP="00764B4E">
      <w:pPr>
        <w:shd w:val="clear" w:color="auto" w:fill="FFFFFF"/>
        <w:spacing w:before="120" w:line="360" w:lineRule="auto"/>
        <w:jc w:val="left"/>
      </w:pPr>
      <w:r w:rsidRPr="000C77E4">
        <w:t xml:space="preserve">Ustawa z dnia 25 lipca 2025 r. o zmianie ustawy – Prawo zamówień publicznych oraz niektórych innych ustaw </w:t>
      </w:r>
      <w:r w:rsidR="003F2D57">
        <w:t xml:space="preserve">(Dz. </w:t>
      </w:r>
      <w:r w:rsidR="00F15530">
        <w:t xml:space="preserve">U. poz. 1173) </w:t>
      </w:r>
      <w:r w:rsidRPr="000C77E4">
        <w:t>podwyższyła próg kwotowy stosowania ustawy Pzp z 130 000 zł do 170 000 zł w związku z czynnikiem inflacyjnym, co ograniczyło obowiązek stosowania tej ustawy, zmniejszając obciążenia administracyjne przy zamówieniach o mniejszych wartościach.</w:t>
      </w:r>
    </w:p>
    <w:p w14:paraId="2AC7E66C" w14:textId="003F3189" w:rsidR="000C77E4" w:rsidRPr="000C77E4" w:rsidRDefault="000C77E4" w:rsidP="00764B4E">
      <w:pPr>
        <w:shd w:val="clear" w:color="auto" w:fill="FFFFFF"/>
        <w:spacing w:before="120" w:line="360" w:lineRule="auto"/>
        <w:jc w:val="left"/>
      </w:pPr>
      <w:r w:rsidRPr="000C77E4">
        <w:lastRenderedPageBreak/>
        <w:t>Ponadto znowelizowano przepisy ustawy Pzp dotyczące przeprowadzania analizy potrzeb i</w:t>
      </w:r>
      <w:r w:rsidR="000A234F">
        <w:t> </w:t>
      </w:r>
      <w:r w:rsidRPr="000C77E4">
        <w:t xml:space="preserve">wymagań uwzględniając konieczność dokonania przez zamawiającego analizy różnych wariantów realizacji zamówienia oraz sposobów podniesienia konkurencyjności postępowania o udzielenie zamówienia. W tym kontekście również został dodany przepis, który zobowiązuje zamawiających do wskazania w analizie potrzeb i wymagań takich elementów planowanego zamówienia, które mogą zwiększyć konkurencyjność postępowania. </w:t>
      </w:r>
    </w:p>
    <w:p w14:paraId="0688EA0C" w14:textId="77777777" w:rsidR="000C77E4" w:rsidRPr="000C77E4" w:rsidRDefault="000C77E4" w:rsidP="00764B4E">
      <w:pPr>
        <w:shd w:val="clear" w:color="auto" w:fill="FFFFFF"/>
        <w:spacing w:before="120" w:line="360" w:lineRule="auto"/>
        <w:jc w:val="left"/>
      </w:pPr>
      <w:r w:rsidRPr="000C77E4">
        <w:t>Powyższa nowelizacja weszła w życie z dniem 1 stycznia 2026 r.</w:t>
      </w:r>
    </w:p>
    <w:p w14:paraId="642AADCA" w14:textId="16B48496" w:rsidR="000C77E4" w:rsidRPr="00764B4E" w:rsidRDefault="00764B4E" w:rsidP="00852522">
      <w:pPr>
        <w:pStyle w:val="Nagwek4"/>
      </w:pPr>
      <w:r>
        <w:t xml:space="preserve">5. </w:t>
      </w:r>
      <w:r w:rsidR="000C77E4" w:rsidRPr="00764B4E">
        <w:t>Ustawa z dnia 5 sierpnia 2025 r. o certyfikacji wykonawców zamówień publicznych</w:t>
      </w:r>
    </w:p>
    <w:p w14:paraId="1D9111FB" w14:textId="3F27F8F7" w:rsidR="000C77E4" w:rsidRPr="000C77E4" w:rsidRDefault="000C77E4" w:rsidP="004C2D7B">
      <w:pPr>
        <w:shd w:val="clear" w:color="auto" w:fill="FFFFFF"/>
        <w:spacing w:before="120" w:line="360" w:lineRule="auto"/>
        <w:jc w:val="left"/>
      </w:pPr>
      <w:r w:rsidRPr="000C77E4">
        <w:t xml:space="preserve">Ustawa z dnia 5 sierpnia 2025 r. o certyfikacji wykonawców zamówień publicznych </w:t>
      </w:r>
      <w:r w:rsidR="00F15530">
        <w:t>(Dz. U. poz. 1235</w:t>
      </w:r>
      <w:r w:rsidR="007A3FE6">
        <w:t>, z późn. zm.</w:t>
      </w:r>
      <w:r w:rsidR="00F15530">
        <w:t xml:space="preserve">) </w:t>
      </w:r>
      <w:r w:rsidRPr="000C77E4">
        <w:t>wprowadziła mechanizm certyfikacji wykonawców jako instrument służący weryfikacji ich sytuacji podmiotowej, jednocześnie przewidując odpowiednie zmiany w ustawie Pzp, które mają na celu zapewnienie właściwego funkcjonowani</w:t>
      </w:r>
      <w:r w:rsidR="00A86513">
        <w:t>a</w:t>
      </w:r>
      <w:r w:rsidRPr="000C77E4">
        <w:t xml:space="preserve"> certyfikacji w ramach obowiązującego systemu zamówień publicznych.</w:t>
      </w:r>
    </w:p>
    <w:p w14:paraId="616B8D8B" w14:textId="3D67AE87" w:rsidR="000C77E4" w:rsidRPr="000C77E4" w:rsidRDefault="000C77E4" w:rsidP="004C2D7B">
      <w:pPr>
        <w:shd w:val="clear" w:color="auto" w:fill="FFFFFF"/>
        <w:spacing w:before="120" w:line="360" w:lineRule="auto"/>
        <w:jc w:val="left"/>
      </w:pPr>
      <w:r w:rsidRPr="000C77E4">
        <w:t>Zasadnicze zmiany w ustawie Pzp dotyczą przepisów regulujących warunki udziału w</w:t>
      </w:r>
      <w:r w:rsidR="00A86513">
        <w:t> </w:t>
      </w:r>
      <w:r w:rsidRPr="000C77E4">
        <w:t xml:space="preserve">postępowaniu oraz podmiotowych środków dowodowych. W nowelizacji doprecyzowano sposób określania przez zamawiających warunków udziału w postępowaniu poprzez odwołanie się do poziomów zdolności wykonawcy określonych w przepisach wykonawczych, które mają być wydane. Zmiany dotyczące podmiotowych środków dowodowych umożliwiają złożenie przez wykonawcę certyfikatu potwierdzającego brak podstaw wykluczenia lub spełnianie warunków udziału w postępowaniu zamiast dotychczasowych – tradycyjnych – podmiotowych środków dowodowych. Regulację tę uzupełnia dodany przepis ustawy Pzp, który określa procedurę postępowania w przypadku powzięcia przez zamawiającego wątpliwości co do prawidłowości certyfikatu. </w:t>
      </w:r>
    </w:p>
    <w:p w14:paraId="7621F2A5" w14:textId="4D9F330E" w:rsidR="000C77E4" w:rsidRPr="000C77E4" w:rsidRDefault="000C77E4" w:rsidP="004C2D7B">
      <w:pPr>
        <w:shd w:val="clear" w:color="auto" w:fill="FFFFFF"/>
        <w:spacing w:before="120" w:line="360" w:lineRule="auto"/>
        <w:jc w:val="left"/>
      </w:pPr>
      <w:r w:rsidRPr="000C77E4">
        <w:t>Wprowadzone zmiany dotyczą zarówno zamówień o wartości równej lub przekraczającej progi unijne</w:t>
      </w:r>
      <w:r w:rsidR="00A86513">
        <w:t>,</w:t>
      </w:r>
      <w:r w:rsidRPr="000C77E4">
        <w:t xml:space="preserve"> jak zamówień o wartości mniejszej. W konsekwencji zmiany ustawy Pzp wykonawca będzie miał obowiązek wskazania w oświadczeniu o niepodleganiu wykluczeniu, spełnianiu warunków udziału w postępowaniu lub kryteriów selekcji, czy będzie posługiwał się certyfikatem, a jeżeli tak – podania jego szczegółowych danych, takich jak numer, zakres, podmiot certyfikujący oraz okres ważności.</w:t>
      </w:r>
    </w:p>
    <w:p w14:paraId="0F66AC64" w14:textId="336FEEFB" w:rsidR="000C77E4" w:rsidRPr="000C77E4" w:rsidRDefault="000C77E4" w:rsidP="004C2D7B">
      <w:pPr>
        <w:shd w:val="clear" w:color="auto" w:fill="FFFFFF"/>
        <w:spacing w:before="120" w:line="360" w:lineRule="auto"/>
        <w:jc w:val="left"/>
      </w:pPr>
      <w:r w:rsidRPr="000C77E4">
        <w:t xml:space="preserve">Ustawa z dnia 5 sierpnia 2025 r. o certyfikacji wykonawców zamówień publicznych wprowadziła również zmianę w art. 11 ust. 4 ustawy Pzp, będącą konsekwencją wyroku TSUE w sprawie C-601/21 ze skargi KE przeciwko Polsce. Zmiana zawęża zakres </w:t>
      </w:r>
      <w:r w:rsidRPr="000C77E4">
        <w:lastRenderedPageBreak/>
        <w:t>wyłączenia stosowania ustawy Pzp w odniesieniu do zamówień dotyczących dokumentów publicznych, ograniczając to wyłączenie do ściśle określonych przypadków związanych z</w:t>
      </w:r>
      <w:r w:rsidR="00276688">
        <w:t> </w:t>
      </w:r>
      <w:r w:rsidRPr="000C77E4">
        <w:t>wytwarzaniem i personalizacją lub indywidualizacją tych dokumentów. W systemie nadal pozostają wyłączenia stosowania ustawy Pzp dotyczące takich dokumentów jak: książeczki wojskowe, legitymacje służbowe i inne dokumenty wojskowe (dla żołnierzy zawodowych, pracowników MON, itp.) oraz legitymacje służbowe: policjantów, funkcjonariuszy Straży Granicznej, Służby Ochrony Państwa; ABW, AW, SKW i SWW.</w:t>
      </w:r>
    </w:p>
    <w:p w14:paraId="477A1EC5" w14:textId="682FE454" w:rsidR="000C77E4" w:rsidRPr="000C77E4" w:rsidRDefault="000C77E4" w:rsidP="004C2D7B">
      <w:pPr>
        <w:shd w:val="clear" w:color="auto" w:fill="FFFFFF"/>
        <w:spacing w:before="120" w:line="360" w:lineRule="auto"/>
        <w:jc w:val="left"/>
      </w:pPr>
      <w:r w:rsidRPr="000C77E4">
        <w:t>Ustawa wejdzie w życie z dniem 12 lipca 2026 r., z tym że zmiana art. 11 ust. 4 ustawy Pzp weszła w życie z dniem 1 stycznia 2026 r.</w:t>
      </w:r>
    </w:p>
    <w:p w14:paraId="18A4AE57" w14:textId="77777777" w:rsidR="000C77E4" w:rsidRPr="009570AE" w:rsidRDefault="000C77E4" w:rsidP="00852522">
      <w:pPr>
        <w:pStyle w:val="Nagwek4"/>
      </w:pPr>
      <w:r w:rsidRPr="009570AE">
        <w:t xml:space="preserve">W 2025 roku do ustawy Pzp został wydany akty wykonawczy: </w:t>
      </w:r>
    </w:p>
    <w:p w14:paraId="05541D24" w14:textId="77777777" w:rsidR="000C77E4" w:rsidRPr="000C77E4" w:rsidRDefault="000C77E4" w:rsidP="000C77E4">
      <w:pPr>
        <w:shd w:val="clear" w:color="auto" w:fill="FFFFFF"/>
        <w:spacing w:line="360" w:lineRule="auto"/>
        <w:jc w:val="left"/>
      </w:pPr>
      <w:r w:rsidRPr="000C77E4">
        <w:t>Obwieszczenie Prezesa Urzędu Zamówień Publicznych z dnia 8 grudnia 2025 r. w sprawie aktualnych progów unijnych określonych w dyrektywach Parlamentu Europejskiego i Rady 2014/24/UE, 2014/25/UE i 2009/81/WE na lata 2026-2027, ich równowartości w złotych, równowartości w złotych kwot wyrażonych w euro oraz średniego kursu złotego w stosunku do euro stanowiącego podstawę przeliczania wartości zamówień publicznych lub konkursów</w:t>
      </w:r>
    </w:p>
    <w:p w14:paraId="06EEA262" w14:textId="264F1ADA" w:rsidR="000C77E4" w:rsidRPr="000C77E4" w:rsidRDefault="000C77E4" w:rsidP="000C77E4">
      <w:pPr>
        <w:shd w:val="clear" w:color="auto" w:fill="FFFFFF"/>
        <w:spacing w:line="360" w:lineRule="auto"/>
        <w:jc w:val="left"/>
      </w:pPr>
      <w:r w:rsidRPr="000C77E4">
        <w:t>(M.P. poz. 1247).</w:t>
      </w:r>
    </w:p>
    <w:p w14:paraId="4E85BAC2" w14:textId="1CE1055E" w:rsidR="00AB3D3D" w:rsidRPr="0099403E" w:rsidRDefault="00AB3D3D" w:rsidP="00270CF3">
      <w:pPr>
        <w:pStyle w:val="Nagwek3"/>
      </w:pPr>
      <w:bookmarkStart w:id="254" w:name="_Toc233203290"/>
      <w:r w:rsidRPr="007C0EE9">
        <w:t>II.</w:t>
      </w:r>
      <w:r>
        <w:t>1</w:t>
      </w:r>
      <w:r w:rsidR="00196335">
        <w:t>.2</w:t>
      </w:r>
      <w:r w:rsidRPr="007C0EE9">
        <w:t xml:space="preserve">. </w:t>
      </w:r>
      <w:r w:rsidRPr="00AB3D3D">
        <w:t>Ustawa z dnia 21 października 2016 r. o umowie koncesji na roboty budowlane lub usługi (</w:t>
      </w:r>
      <w:r w:rsidR="001727BC">
        <w:t>Dz.U.</w:t>
      </w:r>
      <w:r w:rsidRPr="00AB3D3D">
        <w:t xml:space="preserve"> z 2025 r. poz. 1688)</w:t>
      </w:r>
      <w:bookmarkEnd w:id="254"/>
    </w:p>
    <w:p w14:paraId="016E8B8E" w14:textId="75A73532" w:rsidR="009F732E" w:rsidRPr="009F732E" w:rsidRDefault="009F732E" w:rsidP="009F732E">
      <w:pPr>
        <w:shd w:val="clear" w:color="auto" w:fill="FFFFFF"/>
        <w:spacing w:before="120" w:line="360" w:lineRule="auto"/>
        <w:jc w:val="left"/>
      </w:pPr>
      <w:r w:rsidRPr="009F732E">
        <w:t>Ustawa z dnia 21 października 2016 r. o umowie koncesji na roboty budowlane lub usługi</w:t>
      </w:r>
      <w:r w:rsidR="00276688">
        <w:t>,</w:t>
      </w:r>
      <w:r w:rsidRPr="009F732E">
        <w:t xml:space="preserve"> zwana dalej „ustawą o umowie koncesji na roboty budowlane lub usługi” lub „ustawą o</w:t>
      </w:r>
      <w:r w:rsidR="00276688">
        <w:t> </w:t>
      </w:r>
      <w:r w:rsidRPr="009F732E">
        <w:t>umowie koncesji”, wraz z aktami wykonawczymi do tej ustawy stanowiła obok ustawy Pzp podstawę formalnoprawną funkcjonowania systemu zamówień publicznych w Polsce w 2025 roku.</w:t>
      </w:r>
    </w:p>
    <w:p w14:paraId="71D477D7" w14:textId="77777777" w:rsidR="009F732E" w:rsidRPr="009F732E" w:rsidRDefault="009F732E" w:rsidP="009F732E">
      <w:pPr>
        <w:shd w:val="clear" w:color="auto" w:fill="FFFFFF"/>
        <w:spacing w:before="120" w:line="360" w:lineRule="auto"/>
        <w:jc w:val="left"/>
      </w:pPr>
      <w:r w:rsidRPr="009F732E">
        <w:t>W 2025 roku zostały ogłoszone w Dzienniku Ustaw RP następujące ustawy nowelizujące ustawę o umowie koncesji na roboty budowlane lub usługi:</w:t>
      </w:r>
    </w:p>
    <w:p w14:paraId="30FA9398" w14:textId="43C5E50D" w:rsidR="009F732E" w:rsidRPr="009F732E" w:rsidRDefault="009F732E" w:rsidP="00852522">
      <w:pPr>
        <w:pStyle w:val="Nagwek4"/>
      </w:pPr>
      <w:r>
        <w:t xml:space="preserve">1. </w:t>
      </w:r>
      <w:r w:rsidRPr="009F732E">
        <w:t>Ustawa z dnia 9 maja 2025 r. o zmianie niektórych ustaw w celu zapewnienia stosowania przepisów prawa Unii Europejskiej poprawiających funkcjonowanie rynku wewnętrznego</w:t>
      </w:r>
    </w:p>
    <w:p w14:paraId="5DDDDF24" w14:textId="42E9E61D" w:rsidR="009F732E" w:rsidRPr="009F732E" w:rsidRDefault="009F732E" w:rsidP="009F732E">
      <w:pPr>
        <w:shd w:val="clear" w:color="auto" w:fill="FFFFFF"/>
        <w:spacing w:before="120" w:line="360" w:lineRule="auto"/>
        <w:jc w:val="left"/>
      </w:pPr>
      <w:r w:rsidRPr="009F732E">
        <w:t>Celem ustawy z dnia 9 maja 2025 r.</w:t>
      </w:r>
      <w:r w:rsidR="00A43288">
        <w:t xml:space="preserve"> </w:t>
      </w:r>
      <w:r w:rsidR="00A43288" w:rsidRPr="00F510E5">
        <w:t>o zmianie niektórych ustaw w celu zapewnienia stosowania przepisów prawa Unii Europejskiej poprawiających funkcjonowanie rynku wewnętrznego</w:t>
      </w:r>
      <w:r w:rsidR="00A43288">
        <w:t xml:space="preserve"> </w:t>
      </w:r>
      <w:r w:rsidRPr="009F732E">
        <w:t xml:space="preserve">było zapewnienie wykonalności w polskim systemie prawnym kilku aktów prawnych UE, w tym w m.in. rozporządzenia Parlamentu Europejskiego i Rady (UE) </w:t>
      </w:r>
      <w:r w:rsidRPr="009F732E">
        <w:lastRenderedPageBreak/>
        <w:t>2022/2560 z dnia 14 grudnia 2022 r. w sprawie subsydiów zagranicznych zakłócających rynek wewnętrzny (Dz. Urz. UE L 330 z 23.12.2022, str. 1 oraz Dz. Urz. UE L 2024/90559 z 17.09.2024). Dostosowanie polskich przepisów do ww. rozporządzenia</w:t>
      </w:r>
      <w:r w:rsidR="00816ACD">
        <w:t xml:space="preserve"> </w:t>
      </w:r>
      <w:r w:rsidRPr="009F732E">
        <w:t>unijnego objęło zmiany m.in. przepisów ustawy z dnia 21 października 2016 r. o umowie koncesji na roboty budowlane lub usługi. Ponadto powyższą nowelizacją została zapewniona wykonalność rozporządzenia wykonawczego Komisji (UE) 2019/1780 z dnia 23 września 2019 r. ustanawiającego standardowe formularze do publikacji ogłoszeń w dziedzinie zamówień publicznych i uchylającego rozporządzenie wykonawcze (UE) 2015/1986 („e-formularze”) (Dz. Urz. UE L 272 z 25.10.2019, str. 7, Dz. Urz. UE L 305 z 25.11.2022, str. 12 oraz Dz. Urz. UE L 2023/2884 z 21.12.2023). W odniesieniu do subsydiów zagranicznych nowelizacja rozszerzyła zadania Prezesa Urzędu Zamówień Publicznych w zakresie współpracy z Komisją Europejską oraz podejmowania czynności i wymiany informacji w</w:t>
      </w:r>
      <w:r w:rsidR="00276688">
        <w:t> </w:t>
      </w:r>
      <w:r w:rsidRPr="009F732E">
        <w:t>zakresie subsydiów zagranicznych zakłócających rynek wewnętrzny w kontekście postępowań o zawarcie umowy koncesji. W ramach wykonywanych w tym obszarze zadań Prezes Urzędu może m.in. wezwać zamawiającego lub wykonawcę do udzielenia informacji lub przekazania dokumentów w celu ustalenia możliwości występowania subsydium zagranicznego zakłócającego rynek wewnętrzny w kontekście postępowań o zawarcie umowy koncesji. Natomiast w odniesieniu do ogłoszeń ustawą zmieniającą zostały uaktualnione przepisy ustawy Pzp dotyczące formularzy ogłoszeń zgodnie ze zmienionym rozporządzeniem wykonawczym Komisji (UE) 2019/1780 z dnia 23</w:t>
      </w:r>
      <w:r w:rsidR="00276688">
        <w:t> </w:t>
      </w:r>
      <w:r w:rsidRPr="009F732E">
        <w:t xml:space="preserve">września 2019 r. Nowe rozporządzenie 2019/1780 nie ustanowiło, jak to miało miejsce dotychczas, wzorów formularzy, ale standardowe formularze cyfrowe umożliwiające w pewnym zakresie automatyczne generowanie danych, pozostawiając państwom członkowskim elastyczność w zakresie wprowadzenia obowiązku wypełniania niektórych pól opcjonalnych e-formularzy dla ogłoszeń przekazywanych do publikacji w </w:t>
      </w:r>
      <w:r w:rsidR="007860FB">
        <w:t>Dz. Urz. UE</w:t>
      </w:r>
      <w:r w:rsidRPr="009F732E">
        <w:t>. W celu umożliwienia wdrożenia elastycznych rozwiązań dostosowanych do specyfiki krajowej w zakresie obowiązku wypełniania niektórych pól formularzy elektronicznych ogłoszeń została wprowadzona fakultatywna delegacja uprawniająca ministra właściwego ds. gospodarki do wydania rozporządzenia w sprawie dostosowania na szczeblu krajowym pól opcjonalnych e-formularzy w świetle rozporządzenia 2019/1780.</w:t>
      </w:r>
    </w:p>
    <w:p w14:paraId="0B230049" w14:textId="77777777" w:rsidR="009F732E" w:rsidRPr="009F732E" w:rsidRDefault="009F732E" w:rsidP="009F732E">
      <w:pPr>
        <w:shd w:val="clear" w:color="auto" w:fill="FFFFFF"/>
        <w:spacing w:before="120" w:line="360" w:lineRule="auto"/>
        <w:jc w:val="left"/>
      </w:pPr>
      <w:r w:rsidRPr="009F732E">
        <w:t>Przepisy zmieniające weszły życie z dniem 19 czerwca 2025 r.</w:t>
      </w:r>
    </w:p>
    <w:p w14:paraId="640B544C" w14:textId="222DB37D" w:rsidR="009F732E" w:rsidRPr="009F732E" w:rsidRDefault="009F732E" w:rsidP="00852522">
      <w:pPr>
        <w:pStyle w:val="Nagwek4"/>
      </w:pPr>
      <w:r w:rsidRPr="009F732E">
        <w:t>2</w:t>
      </w:r>
      <w:r>
        <w:t xml:space="preserve">. </w:t>
      </w:r>
      <w:r w:rsidRPr="009F732E">
        <w:t xml:space="preserve">Ustawa z dnia 9 lipca 2025 r. o zmianie ustawy – Prawo zamówień publicznych oraz ustawy o umowie koncesji na roboty budowlane lub usługi </w:t>
      </w:r>
    </w:p>
    <w:p w14:paraId="2680954C" w14:textId="4E4B8ACA" w:rsidR="009F732E" w:rsidRPr="009F732E" w:rsidRDefault="00A43288" w:rsidP="008D4D49">
      <w:pPr>
        <w:shd w:val="clear" w:color="auto" w:fill="FFFFFF"/>
        <w:spacing w:before="120" w:line="360" w:lineRule="auto"/>
        <w:jc w:val="left"/>
      </w:pPr>
      <w:r>
        <w:t>Ustawa</w:t>
      </w:r>
      <w:r w:rsidRPr="009F732E">
        <w:t xml:space="preserve"> z dnia 9 lipca 2025 r. o zmianie ustawy – Prawo zamówień publicznych oraz ustawy o umowie koncesji na roboty budowlane lub usługi</w:t>
      </w:r>
      <w:r>
        <w:t xml:space="preserve"> </w:t>
      </w:r>
      <w:r w:rsidR="009F732E" w:rsidRPr="009F732E">
        <w:t xml:space="preserve">miała na celu wprowadzenie do polskiego </w:t>
      </w:r>
      <w:r w:rsidR="009F732E" w:rsidRPr="009F732E">
        <w:lastRenderedPageBreak/>
        <w:t xml:space="preserve">porządku prawnego regulacji uwzględniających tezy wyroku Trybunału Sprawiedliwości Unii Europejskiej z 22 października 2024 r. w sprawie C-652/22 Kolin </w:t>
      </w:r>
      <w:proofErr w:type="spellStart"/>
      <w:r w:rsidR="009F732E" w:rsidRPr="009F732E">
        <w:t>Inşaat</w:t>
      </w:r>
      <w:proofErr w:type="spellEnd"/>
      <w:r w:rsidR="009F732E" w:rsidRPr="009F732E">
        <w:t xml:space="preserve"> </w:t>
      </w:r>
      <w:proofErr w:type="spellStart"/>
      <w:r w:rsidR="009F732E" w:rsidRPr="009F732E">
        <w:t>Turizm</w:t>
      </w:r>
      <w:proofErr w:type="spellEnd"/>
      <w:r w:rsidR="009F732E" w:rsidRPr="009F732E">
        <w:t xml:space="preserve"> </w:t>
      </w:r>
      <w:proofErr w:type="spellStart"/>
      <w:r w:rsidR="009F732E" w:rsidRPr="009F732E">
        <w:t>Sanayi</w:t>
      </w:r>
      <w:proofErr w:type="spellEnd"/>
      <w:r w:rsidR="009F732E" w:rsidRPr="009F732E">
        <w:t xml:space="preserve"> </w:t>
      </w:r>
      <w:proofErr w:type="spellStart"/>
      <w:r w:rsidR="009F732E" w:rsidRPr="009F732E">
        <w:t>ve</w:t>
      </w:r>
      <w:proofErr w:type="spellEnd"/>
      <w:r w:rsidR="009F732E" w:rsidRPr="009F732E">
        <w:t xml:space="preserve"> </w:t>
      </w:r>
      <w:proofErr w:type="spellStart"/>
      <w:r w:rsidR="009F732E" w:rsidRPr="009F732E">
        <w:t>Ticaret</w:t>
      </w:r>
      <w:proofErr w:type="spellEnd"/>
      <w:r w:rsidR="009F732E" w:rsidRPr="009F732E">
        <w:t xml:space="preserve"> AȘ przeciwko </w:t>
      </w:r>
      <w:proofErr w:type="spellStart"/>
      <w:r w:rsidR="009F732E" w:rsidRPr="009F732E">
        <w:t>Državna</w:t>
      </w:r>
      <w:proofErr w:type="spellEnd"/>
      <w:r w:rsidR="009F732E" w:rsidRPr="009F732E">
        <w:t xml:space="preserve"> </w:t>
      </w:r>
      <w:proofErr w:type="spellStart"/>
      <w:r w:rsidR="009F732E" w:rsidRPr="009F732E">
        <w:t>komisija</w:t>
      </w:r>
      <w:proofErr w:type="spellEnd"/>
      <w:r w:rsidR="009F732E" w:rsidRPr="009F732E">
        <w:t xml:space="preserve"> za </w:t>
      </w:r>
      <w:proofErr w:type="spellStart"/>
      <w:r w:rsidR="009F732E" w:rsidRPr="009F732E">
        <w:t>kontrolu</w:t>
      </w:r>
      <w:proofErr w:type="spellEnd"/>
      <w:r w:rsidR="009F732E" w:rsidRPr="009F732E">
        <w:t xml:space="preserve"> </w:t>
      </w:r>
      <w:proofErr w:type="spellStart"/>
      <w:r w:rsidR="009F732E" w:rsidRPr="009F732E">
        <w:t>postupaka</w:t>
      </w:r>
      <w:proofErr w:type="spellEnd"/>
      <w:r w:rsidR="009F732E" w:rsidRPr="009F732E">
        <w:t xml:space="preserve"> </w:t>
      </w:r>
      <w:proofErr w:type="spellStart"/>
      <w:r w:rsidR="009F732E" w:rsidRPr="009F732E">
        <w:t>javne</w:t>
      </w:r>
      <w:proofErr w:type="spellEnd"/>
      <w:r w:rsidR="009F732E" w:rsidRPr="009F732E">
        <w:t xml:space="preserve"> </w:t>
      </w:r>
      <w:proofErr w:type="spellStart"/>
      <w:r w:rsidR="009F732E" w:rsidRPr="009F732E">
        <w:t>nabave</w:t>
      </w:r>
      <w:proofErr w:type="spellEnd"/>
      <w:r w:rsidR="009F732E" w:rsidRPr="009F732E">
        <w:t xml:space="preserve">, potwierdzone wyrokiem Trybunału Sprawiedliwości Unii </w:t>
      </w:r>
      <w:proofErr w:type="spellStart"/>
      <w:r w:rsidR="009F732E" w:rsidRPr="009F732E">
        <w:t>Europejskiejz</w:t>
      </w:r>
      <w:proofErr w:type="spellEnd"/>
      <w:r w:rsidR="009F732E" w:rsidRPr="009F732E">
        <w:t xml:space="preserve"> 13 marca 2025 r. w sprawie C-266/22 CRRC Qingdao </w:t>
      </w:r>
      <w:proofErr w:type="spellStart"/>
      <w:r w:rsidR="009F732E" w:rsidRPr="009F732E">
        <w:t>Sifang</w:t>
      </w:r>
      <w:proofErr w:type="spellEnd"/>
      <w:r w:rsidR="009F732E" w:rsidRPr="009F732E">
        <w:t xml:space="preserve"> CO LTD et Astra </w:t>
      </w:r>
      <w:proofErr w:type="spellStart"/>
      <w:r w:rsidR="009F732E" w:rsidRPr="009F732E">
        <w:t>Vagoane</w:t>
      </w:r>
      <w:proofErr w:type="spellEnd"/>
      <w:r w:rsidR="009F732E" w:rsidRPr="009F732E">
        <w:t xml:space="preserve"> </w:t>
      </w:r>
      <w:proofErr w:type="spellStart"/>
      <w:r w:rsidR="009F732E" w:rsidRPr="009F732E">
        <w:t>Călători</w:t>
      </w:r>
      <w:proofErr w:type="spellEnd"/>
      <w:r w:rsidR="009F732E" w:rsidRPr="009F732E">
        <w:t xml:space="preserve"> S.A. przeciwko </w:t>
      </w:r>
      <w:proofErr w:type="spellStart"/>
      <w:r w:rsidR="009F732E" w:rsidRPr="009F732E">
        <w:t>Autoritatea</w:t>
      </w:r>
      <w:proofErr w:type="spellEnd"/>
      <w:r w:rsidR="009F732E" w:rsidRPr="009F732E">
        <w:t xml:space="preserve"> </w:t>
      </w:r>
      <w:proofErr w:type="spellStart"/>
      <w:r w:rsidR="009F732E" w:rsidRPr="009F732E">
        <w:t>pentru</w:t>
      </w:r>
      <w:proofErr w:type="spellEnd"/>
      <w:r w:rsidR="009F732E" w:rsidRPr="009F732E">
        <w:t xml:space="preserve"> </w:t>
      </w:r>
      <w:proofErr w:type="spellStart"/>
      <w:r w:rsidR="009F732E" w:rsidRPr="009F732E">
        <w:t>Reformă</w:t>
      </w:r>
      <w:proofErr w:type="spellEnd"/>
      <w:r w:rsidR="009F732E" w:rsidRPr="009F732E">
        <w:t xml:space="preserve"> </w:t>
      </w:r>
      <w:proofErr w:type="spellStart"/>
      <w:r w:rsidR="009F732E" w:rsidRPr="009F732E">
        <w:t>Feroviară</w:t>
      </w:r>
      <w:proofErr w:type="spellEnd"/>
      <w:r w:rsidR="009F732E" w:rsidRPr="009F732E">
        <w:t xml:space="preserve"> i Alstom </w:t>
      </w:r>
      <w:proofErr w:type="spellStart"/>
      <w:r w:rsidR="009F732E" w:rsidRPr="009F732E">
        <w:t>Ferroviaria</w:t>
      </w:r>
      <w:proofErr w:type="spellEnd"/>
      <w:r w:rsidR="009F732E" w:rsidRPr="009F732E">
        <w:t xml:space="preserve"> S.P.A. W myśl tych wyroków wykonawcy z państw trzecich niezwiązanych z Unią Europejską żadną umową międzynarodową gwarantującą na zasadzie wzajemności i równości dostęp do rynku zamówień publicznych, nie mają zapewnionego dostępu do unijnego rynku zamówień publicznych, a decyzja w zakresie dopuszczenia i zasad udziału takich wykonawców w postępowaniu o udzielenie zamówienia publicznego należy do zamawiającego. Ponadto nawet w przypadku dopuszczenia takich wykonawców do udziału w postępowaniu nie mogą oni się powoływać na przepisy dyrektyw UE i domagać się traktowania ich ofert na równi z ofertami złożonymi przez wykonawców z</w:t>
      </w:r>
      <w:r w:rsidR="00981D5B">
        <w:t> </w:t>
      </w:r>
      <w:r w:rsidR="009F732E" w:rsidRPr="009F732E">
        <w:t xml:space="preserve">państw członkowskich Unii Europejskiej i wykonawców z państw trzecich będących stronami umów międzynarodowych. Takie podejście zostało odzwierciedlone w przepisach ustawy nowelizującej. Zamawiający uzyskali dzięki nowelizacji pewność, że w postępowaniach o zawarcie umowy koncesji obowiązek zapewnienia takiego samego traktowania jak traktowanie wykonawców pochodzących z państw członkowskich Unii Europejskiej oraz robót budowlanych, dostaw i usług pochodzących z państw członkowskich Unii Europejskiej dotyczy jedynie wykonawców pochodzących z państw trzecich będących stronami Porozumienia Światowej Organizacji Handlu w sprawie zamówień rządowych lub innych umów międzynarodowych gwarantujących na zasadzie wzajemności i równości dostęp do rynku zamówień publicznych, których stroną jest Unia Europejska, </w:t>
      </w:r>
      <w:r w:rsidR="009F732E" w:rsidRPr="00981D5B">
        <w:t>oraz robotom budowlanym, dostawom i usługom pochodzącym z tych państw,</w:t>
      </w:r>
      <w:r w:rsidR="009F732E" w:rsidRPr="009F732E">
        <w:t xml:space="preserve"> w zakresie objętym tym porozumieniem lub tymi umowami międzynarodowymi. Jednocześnie zamawiający uzyskali uprawnienie do dopuszczenia do udziału w postępowaniu o zawarcie umowy koncesji wykonawców z państw trzecich niebędących sygnatariuszami umów i porozumień w obszarze zamówień publicznych. W przypadku dopuszczenia takich wykonawców do udziału w postępowaniu zamawiający uzyskali uprawnienie do zróżnicowania ich traktowania w postępowaniu w stosunku do pozostałych wykonawców. Decyzja o dopuszczeniu do udziału w postępowaniu wykonawców z państw trzecich, z którymi Unia Europejska nie jest związana żadną umową międzynarodową gwarantującą na zasadzie wzajemności i równości dostęp do rynku zamówień publicznych, jak również określenie, na jakich zasadach będą oni dopuszczeni, została pozostawiona zamawiającym, o ile Unia Europejska nie skorzystała z wyłącznej swojej kompetencji w tym zakresie. W konsekwencj</w:t>
      </w:r>
      <w:r w:rsidR="00981D5B">
        <w:t>i</w:t>
      </w:r>
      <w:r w:rsidR="009F732E" w:rsidRPr="009F732E">
        <w:t xml:space="preserve"> wprowadzonego mechanizmu został wprowadzony do ustawy o umowie koncesji na roboty budowlane lub usługi obowiązek odrzucenia przez zamawiającego oferty </w:t>
      </w:r>
      <w:r w:rsidR="009F732E" w:rsidRPr="009F732E">
        <w:lastRenderedPageBreak/>
        <w:t>złożonej przez wykonawcę z państwa trzeciego niebędącego sygnatariuszem ww. umów w sytuacji, gdy nie został on dopuszczony do udziału w postępowaniu. Powyższe rozwiązania dotyczą nie tylko wykonawców składających ofertę samodzielnie, lecz także wykonawców biorących udział w postępowaniu w ramach konsorcjum z wykonawcami pochodzącymi z takich państw trzecich oraz wykonawców polegających na zdolnościach lub sytuacji podmiotów udostępniających zasoby lub powierzających wykonanie części zamówienia podwykonawcom pochodzącym z</w:t>
      </w:r>
      <w:r w:rsidR="00981D5B">
        <w:t> </w:t>
      </w:r>
      <w:r w:rsidR="009F732E" w:rsidRPr="009F732E">
        <w:t>takich państw trzecich.</w:t>
      </w:r>
    </w:p>
    <w:p w14:paraId="2DEC583B" w14:textId="4318530E" w:rsidR="009F732E" w:rsidRPr="009F732E" w:rsidRDefault="009F732E" w:rsidP="008D4D49">
      <w:pPr>
        <w:shd w:val="clear" w:color="auto" w:fill="FFFFFF"/>
        <w:spacing w:before="120" w:line="360" w:lineRule="auto"/>
        <w:jc w:val="left"/>
      </w:pPr>
      <w:r w:rsidRPr="009F732E">
        <w:t>Kolejnym istotnym elementem zmian było ograniczenie dostępu wykonawców z państw trzecich niebędących sygnatariuszami umów z UE do środków ochrony prawnej przewidzianych w ustawie Pzp. W praktyce oznacza to, że podmioty te nie mogą korzystać z</w:t>
      </w:r>
      <w:r w:rsidR="00981D5B">
        <w:t> </w:t>
      </w:r>
      <w:proofErr w:type="spellStart"/>
      <w:r w:rsidRPr="009F732E">
        <w:t>odwołań</w:t>
      </w:r>
      <w:proofErr w:type="spellEnd"/>
      <w:r w:rsidRPr="009F732E">
        <w:t xml:space="preserve"> do </w:t>
      </w:r>
      <w:r w:rsidR="00B25533">
        <w:t>KIO</w:t>
      </w:r>
      <w:r w:rsidRPr="009F732E">
        <w:t xml:space="preserve"> ani innych instrumentów ochrony prawnej, które przysługują wykonawcom z UE lub państw objętych umowami międzynarodowymi. </w:t>
      </w:r>
    </w:p>
    <w:p w14:paraId="5C1E473E" w14:textId="3F58A85E" w:rsidR="009F732E" w:rsidRPr="009F732E" w:rsidRDefault="009F732E" w:rsidP="008D4D49">
      <w:pPr>
        <w:shd w:val="clear" w:color="auto" w:fill="FFFFFF"/>
        <w:spacing w:before="120" w:line="360" w:lineRule="auto"/>
        <w:jc w:val="left"/>
      </w:pPr>
      <w:r w:rsidRPr="009F732E">
        <w:t>Ustawa weszła w życie z dniem 9 września 2025 r.</w:t>
      </w:r>
    </w:p>
    <w:p w14:paraId="6207DBF5" w14:textId="17371A9A" w:rsidR="009F732E" w:rsidRPr="00E41F15" w:rsidRDefault="009F732E" w:rsidP="00852522">
      <w:pPr>
        <w:pStyle w:val="Nagwek4"/>
      </w:pPr>
      <w:r w:rsidRPr="00E41F15">
        <w:t>3</w:t>
      </w:r>
      <w:r w:rsidR="00E41F15">
        <w:t xml:space="preserve">. </w:t>
      </w:r>
      <w:r w:rsidRPr="00E41F15">
        <w:t>Ustawa z dnia 25 lipca 2025 r. o zmianie ustawy – Prawo zamówień publicznych oraz niektórych innych ustaw</w:t>
      </w:r>
    </w:p>
    <w:p w14:paraId="02AA64A9" w14:textId="77777777" w:rsidR="009F732E" w:rsidRPr="009F732E" w:rsidRDefault="009F732E" w:rsidP="00E41F15">
      <w:pPr>
        <w:shd w:val="clear" w:color="auto" w:fill="FFFFFF"/>
        <w:spacing w:before="120" w:line="360" w:lineRule="auto"/>
        <w:jc w:val="left"/>
      </w:pPr>
      <w:r w:rsidRPr="009F732E">
        <w:t>Ustawa z dnia 25 lipca 2025 r. o zmianie ustawy – Prawo zamówień publicznych oraz niektórych innych ustaw podwyższyła próg kwotowy stosowania ustawy o umowie koncesji na roboty budowlane lub usługi z 130 000 zł do 170 000 zł, co ograniczyło zakres obowiązkowego stosowania przepisów tej ustawy do umów koncesji o wyższej wartości, zmniejszając obciążenia administracyjne w tym zakresie.</w:t>
      </w:r>
    </w:p>
    <w:p w14:paraId="1C3FB189" w14:textId="77777777" w:rsidR="009F732E" w:rsidRPr="009F732E" w:rsidRDefault="009F732E" w:rsidP="00E41F15">
      <w:pPr>
        <w:shd w:val="clear" w:color="auto" w:fill="FFFFFF"/>
        <w:spacing w:before="120" w:line="360" w:lineRule="auto"/>
        <w:jc w:val="left"/>
      </w:pPr>
      <w:r w:rsidRPr="009F732E">
        <w:t>Powyższa nowelizacja weszła w życie z dniem 1 stycznia 2026 r.</w:t>
      </w:r>
    </w:p>
    <w:p w14:paraId="0850B213" w14:textId="77777777" w:rsidR="009F732E" w:rsidRPr="00E41F15" w:rsidRDefault="009F732E" w:rsidP="00852522">
      <w:pPr>
        <w:pStyle w:val="Nagwek4"/>
      </w:pPr>
      <w:r w:rsidRPr="00E41F15">
        <w:t xml:space="preserve">W 2025 roku do ustawy o umowie koncesji został wydany akt wykonawczy: </w:t>
      </w:r>
    </w:p>
    <w:p w14:paraId="29E9DAE8" w14:textId="6E87B70D" w:rsidR="009F732E" w:rsidRPr="009F732E" w:rsidRDefault="009F732E" w:rsidP="00E41F15">
      <w:pPr>
        <w:shd w:val="clear" w:color="auto" w:fill="FFFFFF"/>
        <w:spacing w:before="120" w:line="360" w:lineRule="auto"/>
        <w:jc w:val="left"/>
      </w:pPr>
      <w:r w:rsidRPr="009F732E">
        <w:t>Obwieszczenie Ministra Finansów i Gospodarki z dnia 22 grudnia 2025 r. w sprawie aktualnego progu unijnego, jego równowartości w złotych oraz średniego kursu złotego w</w:t>
      </w:r>
      <w:r w:rsidR="00F464AA">
        <w:t> </w:t>
      </w:r>
      <w:r w:rsidRPr="009F732E">
        <w:t>stosunku do euro stanowiącego podstawę przeliczania wartości umów koncesji (M.P. poz. 1288).</w:t>
      </w:r>
    </w:p>
    <w:p w14:paraId="5B148A9A" w14:textId="77777777" w:rsidR="00101625" w:rsidRPr="0099403E" w:rsidRDefault="00101625" w:rsidP="00D06180">
      <w:pPr>
        <w:pStyle w:val="Nagwek2"/>
      </w:pPr>
      <w:bookmarkStart w:id="255" w:name="_Toc64451843"/>
      <w:bookmarkStart w:id="256" w:name="_Toc233203291"/>
      <w:r w:rsidRPr="0099403E">
        <w:t>I</w:t>
      </w:r>
      <w:r>
        <w:t>I</w:t>
      </w:r>
      <w:r w:rsidRPr="0099403E">
        <w:t>.</w:t>
      </w:r>
      <w:r>
        <w:t>2</w:t>
      </w:r>
      <w:r w:rsidRPr="0099403E">
        <w:t>. Inne regulacje</w:t>
      </w:r>
      <w:bookmarkEnd w:id="255"/>
      <w:bookmarkEnd w:id="256"/>
    </w:p>
    <w:p w14:paraId="3E162B82" w14:textId="67866681" w:rsidR="00101625" w:rsidRPr="003A29B9" w:rsidRDefault="00FE4501" w:rsidP="00852522">
      <w:pPr>
        <w:pStyle w:val="Nagwek4"/>
      </w:pPr>
      <w:r w:rsidRPr="00FE4501">
        <w:t>Ustawa z dnia 5 sierpnia 2025 r. o certyfikacji wykonawców zamówień publicznych</w:t>
      </w:r>
    </w:p>
    <w:p w14:paraId="67EE3A0B" w14:textId="112F4EA9" w:rsidR="00520BC8" w:rsidRPr="00520BC8" w:rsidRDefault="00520BC8" w:rsidP="00520BC8">
      <w:pPr>
        <w:spacing w:before="120" w:line="360" w:lineRule="auto"/>
        <w:jc w:val="left"/>
        <w:rPr>
          <w:rFonts w:cs="Arial"/>
          <w:bCs/>
        </w:rPr>
      </w:pPr>
      <w:r w:rsidRPr="00520BC8">
        <w:rPr>
          <w:rFonts w:cs="Arial"/>
          <w:bCs/>
        </w:rPr>
        <w:t xml:space="preserve">W 2025 r. została opublikowana ustawa z dnia 5 sierpnia 2025 r. o certyfikacji wykonawców zamówień publicznych. Założeniem tej ustawy jest przyśpieszenie procesu weryfikacji </w:t>
      </w:r>
      <w:r w:rsidRPr="00520BC8">
        <w:rPr>
          <w:rFonts w:cs="Arial"/>
          <w:bCs/>
        </w:rPr>
        <w:lastRenderedPageBreak/>
        <w:t>wykonawców ubiegających się o udzielenie zamówienia publicznego. Ustawa wprowadza możliwość uzyskania w Polsce na zasadach dobrowolności przez wykonawcę certyfikatu potwierdzającego, że nie zachodzą wobec niego podstawy wykluczenia z postępowania o</w:t>
      </w:r>
      <w:r w:rsidR="00F464AA">
        <w:rPr>
          <w:rFonts w:cs="Arial"/>
          <w:bCs/>
        </w:rPr>
        <w:t> </w:t>
      </w:r>
      <w:r w:rsidRPr="00520BC8">
        <w:rPr>
          <w:rFonts w:cs="Arial"/>
          <w:bCs/>
        </w:rPr>
        <w:t>udzielenie zamówienia publicznego lub że posiada on określone certyfikacją zdolności i</w:t>
      </w:r>
      <w:r w:rsidR="00F464AA">
        <w:rPr>
          <w:rFonts w:cs="Arial"/>
          <w:bCs/>
        </w:rPr>
        <w:t> </w:t>
      </w:r>
      <w:r w:rsidRPr="00520BC8">
        <w:rPr>
          <w:rFonts w:cs="Arial"/>
          <w:bCs/>
        </w:rPr>
        <w:t>zasoby do wykonania zamówienia. Certyfikacja, według wyboru wykonawcy, ma być udzielana na okres od 1 roku do 3 lat. Wykonawca będzie uprawniony do posługiwania się certyfikatem na potrzeby różnych postępowań o udzielenie zamówienia. Weryfikacja wykonawców na potrzeby certyfikacji ma być realizowana przez wyspecjalizowane i</w:t>
      </w:r>
      <w:r w:rsidR="00F464AA">
        <w:rPr>
          <w:rFonts w:cs="Arial"/>
          <w:bCs/>
        </w:rPr>
        <w:t> </w:t>
      </w:r>
      <w:r w:rsidRPr="00520BC8">
        <w:rPr>
          <w:rFonts w:cs="Arial"/>
          <w:bCs/>
        </w:rPr>
        <w:t>niezależne podmioty certyfikujące. Nad profesjonalizmem i rzetelnością działania podmiotów certyfikujących ma czuwać Polskie Centrum Akredytacji udzielające akredytacji na prowadzenie certyfikacji wykonawców. Podmioty certyfikujące mają dbać o aktualność udzielonej certyfikacji. Informacje wynikające z udzielonej certyfikacji objęte będą domniemaniem prawnym i będą mogły być kwestionowane jedynie wyjątkowo w</w:t>
      </w:r>
      <w:r w:rsidR="00F464AA">
        <w:rPr>
          <w:rFonts w:cs="Arial"/>
          <w:bCs/>
        </w:rPr>
        <w:t> </w:t>
      </w:r>
      <w:r w:rsidRPr="00520BC8">
        <w:rPr>
          <w:rFonts w:cs="Arial"/>
          <w:bCs/>
        </w:rPr>
        <w:t>uzasadnionych przypadkach, gdy wykonawca przestał spełniać warunki udzielenia certyfikacji.</w:t>
      </w:r>
    </w:p>
    <w:p w14:paraId="58BAFE4F" w14:textId="77777777" w:rsidR="00520BC8" w:rsidRPr="00520BC8" w:rsidRDefault="00520BC8" w:rsidP="00520BC8">
      <w:pPr>
        <w:spacing w:before="120" w:line="360" w:lineRule="auto"/>
        <w:jc w:val="left"/>
        <w:rPr>
          <w:rFonts w:cs="Arial"/>
          <w:bCs/>
        </w:rPr>
      </w:pPr>
      <w:r w:rsidRPr="00520BC8">
        <w:rPr>
          <w:rFonts w:cs="Arial"/>
          <w:bCs/>
        </w:rPr>
        <w:t>Ustawa wejdzie w życie z dniem 12 lipca 2026 r., z wyjątkiem:</w:t>
      </w:r>
    </w:p>
    <w:p w14:paraId="18BAF498" w14:textId="177D7DDC" w:rsidR="00520BC8" w:rsidRPr="00520BC8" w:rsidRDefault="00520BC8" w:rsidP="00565A93">
      <w:pPr>
        <w:pStyle w:val="Akapitzlist"/>
        <w:numPr>
          <w:ilvl w:val="0"/>
          <w:numId w:val="10"/>
        </w:numPr>
        <w:spacing w:line="360" w:lineRule="auto"/>
        <w:jc w:val="left"/>
        <w:rPr>
          <w:rFonts w:cs="Arial"/>
          <w:bCs/>
          <w:sz w:val="22"/>
          <w:szCs w:val="22"/>
        </w:rPr>
      </w:pPr>
      <w:r w:rsidRPr="00520BC8">
        <w:rPr>
          <w:rFonts w:cs="Arial"/>
          <w:bCs/>
          <w:sz w:val="22"/>
          <w:szCs w:val="22"/>
        </w:rPr>
        <w:t>zmiany art. 11 ust. 4 ustawy Pzp – która weszła w życie z dniem 1 stycznia 2026 r.;</w:t>
      </w:r>
    </w:p>
    <w:p w14:paraId="5746212B" w14:textId="5F2C4E47" w:rsidR="00520BC8" w:rsidRPr="00520BC8" w:rsidRDefault="00520BC8" w:rsidP="00565A93">
      <w:pPr>
        <w:pStyle w:val="Akapitzlist"/>
        <w:numPr>
          <w:ilvl w:val="0"/>
          <w:numId w:val="10"/>
        </w:numPr>
        <w:spacing w:line="360" w:lineRule="auto"/>
        <w:jc w:val="left"/>
        <w:rPr>
          <w:rFonts w:cs="Arial"/>
          <w:bCs/>
          <w:sz w:val="22"/>
          <w:szCs w:val="22"/>
        </w:rPr>
      </w:pPr>
      <w:r w:rsidRPr="00520BC8">
        <w:rPr>
          <w:rFonts w:cs="Arial"/>
          <w:bCs/>
          <w:sz w:val="22"/>
          <w:szCs w:val="22"/>
        </w:rPr>
        <w:t>przepisów niezbędnych do akredytowania przez Polskie Centrum Akredytacji podmiotów, które będą udzielały certyfikacji (podmiotów certyfikujących) – które weszły w życie z dniem 12 stycznia 2026 r.;</w:t>
      </w:r>
    </w:p>
    <w:p w14:paraId="38734012" w14:textId="06CDD44A" w:rsidR="00520BC8" w:rsidRPr="00520BC8" w:rsidRDefault="00520BC8" w:rsidP="00565A93">
      <w:pPr>
        <w:pStyle w:val="Akapitzlist"/>
        <w:numPr>
          <w:ilvl w:val="0"/>
          <w:numId w:val="10"/>
        </w:numPr>
        <w:spacing w:line="360" w:lineRule="auto"/>
        <w:jc w:val="left"/>
        <w:rPr>
          <w:rFonts w:cs="Arial"/>
          <w:bCs/>
          <w:sz w:val="22"/>
          <w:szCs w:val="22"/>
        </w:rPr>
      </w:pPr>
      <w:r w:rsidRPr="00520BC8">
        <w:rPr>
          <w:rFonts w:cs="Arial"/>
          <w:bCs/>
          <w:sz w:val="22"/>
          <w:szCs w:val="22"/>
        </w:rPr>
        <w:t>upoważnienia do wydania rozporządzenia ministra właściwego do spraw gospodarki w sprawie określenia poziomów zdolności w przypadkach związanych z udzielaniem zamówienia na dostawy lub usługi – która wejdzie w życie z dniem 12 września 2029 r.</w:t>
      </w:r>
    </w:p>
    <w:p w14:paraId="48BE9814" w14:textId="3BA5A738" w:rsidR="00101625" w:rsidRPr="007C0EE9" w:rsidRDefault="00101625" w:rsidP="00D06180">
      <w:pPr>
        <w:pStyle w:val="Nagwek2"/>
      </w:pPr>
      <w:bookmarkStart w:id="257" w:name="_Toc64451845"/>
      <w:bookmarkStart w:id="258" w:name="_Toc233203292"/>
      <w:r w:rsidRPr="007C0EE9">
        <w:t>II.</w:t>
      </w:r>
      <w:r>
        <w:t>3</w:t>
      </w:r>
      <w:r w:rsidRPr="007C0EE9">
        <w:t>. Regulacje i dokumenty d</w:t>
      </w:r>
      <w:r>
        <w:t>otyczące zamówień publicznych i </w:t>
      </w:r>
      <w:r w:rsidRPr="007C0EE9">
        <w:t>koncesji n</w:t>
      </w:r>
      <w:r w:rsidR="00813D3A">
        <w:t>a roboty budowlane lub usługi w </w:t>
      </w:r>
      <w:r w:rsidRPr="007C0EE9">
        <w:t>Unii Europejskiej</w:t>
      </w:r>
      <w:bookmarkEnd w:id="257"/>
      <w:bookmarkEnd w:id="258"/>
    </w:p>
    <w:p w14:paraId="52DD09C3" w14:textId="77777777" w:rsidR="00101625" w:rsidRPr="0099403E" w:rsidRDefault="00101625" w:rsidP="00270CF3">
      <w:pPr>
        <w:pStyle w:val="Nagwek3"/>
      </w:pPr>
      <w:bookmarkStart w:id="259" w:name="_Toc233203293"/>
      <w:r w:rsidRPr="007C0EE9">
        <w:t>II.</w:t>
      </w:r>
      <w:r>
        <w:t>3</w:t>
      </w:r>
      <w:r w:rsidRPr="007C0EE9">
        <w:t>.1. Akty prawne</w:t>
      </w:r>
      <w:bookmarkEnd w:id="259"/>
    </w:p>
    <w:p w14:paraId="6235635E" w14:textId="77777777" w:rsidR="008111A3" w:rsidRPr="008111A3" w:rsidRDefault="008111A3" w:rsidP="008111A3">
      <w:pPr>
        <w:spacing w:before="120" w:line="360" w:lineRule="auto"/>
        <w:jc w:val="left"/>
        <w:rPr>
          <w:rFonts w:cs="Arial"/>
          <w:szCs w:val="22"/>
        </w:rPr>
      </w:pPr>
      <w:r w:rsidRPr="008111A3">
        <w:rPr>
          <w:rFonts w:cs="Arial"/>
          <w:szCs w:val="22"/>
        </w:rPr>
        <w:t xml:space="preserve">Podstawowymi aktami prawnymi regulującymi zagadnienia z dziedziny zamówień publicznych na poziomie unijnym są dyrektywy, rozporządzenia oraz decyzje. </w:t>
      </w:r>
    </w:p>
    <w:p w14:paraId="3531E75D" w14:textId="54F1C416" w:rsidR="008111A3" w:rsidRPr="008111A3" w:rsidRDefault="008111A3" w:rsidP="008111A3">
      <w:pPr>
        <w:spacing w:before="120" w:line="360" w:lineRule="auto"/>
        <w:jc w:val="left"/>
        <w:rPr>
          <w:rFonts w:cs="Arial"/>
          <w:szCs w:val="22"/>
        </w:rPr>
      </w:pPr>
      <w:r w:rsidRPr="008111A3">
        <w:rPr>
          <w:rFonts w:cs="Arial"/>
          <w:szCs w:val="22"/>
        </w:rPr>
        <w:t xml:space="preserve">Dyrektywy w sprawie zamówień publicznych wyznaczają minimalne wymagania proceduralne, których przestrzeganie państwa członkowskie powinny zapewnić </w:t>
      </w:r>
      <w:r w:rsidRPr="008111A3">
        <w:rPr>
          <w:rFonts w:cs="Arial"/>
          <w:szCs w:val="22"/>
        </w:rPr>
        <w:lastRenderedPageBreak/>
        <w:t>w</w:t>
      </w:r>
      <w:r w:rsidR="005D2B8D">
        <w:rPr>
          <w:rFonts w:cs="Arial"/>
          <w:szCs w:val="22"/>
        </w:rPr>
        <w:t> </w:t>
      </w:r>
      <w:r w:rsidRPr="008111A3">
        <w:rPr>
          <w:rFonts w:cs="Arial"/>
          <w:szCs w:val="22"/>
        </w:rPr>
        <w:t>ustawodawstwie krajowym. Należą do nich m.in. zasady szacowania wartości zamówienia, opisu przedmiotu zamówienia, kwalifikacji podmiotowej wykonawców, procedury udzielania zamówień, kryteria oceny ofert itp. Z kolei rozporządzenia mają bezpośrednie zastosowanie w państwach członkowskich i regulują takie kwestie</w:t>
      </w:r>
      <w:r w:rsidR="005D2B8D">
        <w:rPr>
          <w:rFonts w:cs="Arial"/>
          <w:szCs w:val="22"/>
        </w:rPr>
        <w:t>,</w:t>
      </w:r>
      <w:r w:rsidRPr="008111A3">
        <w:rPr>
          <w:rFonts w:cs="Arial"/>
          <w:szCs w:val="22"/>
        </w:rPr>
        <w:t xml:space="preserve"> jak m.in: Wspólny Słownik Zamówień (CPV), standardowe formularze do publikacji ogłoszeń czy formularz Jednolitego Europejskiego Dokumentu Zamówienia.</w:t>
      </w:r>
    </w:p>
    <w:p w14:paraId="5685A8EF" w14:textId="42EF1C74" w:rsidR="008111A3" w:rsidRPr="008111A3" w:rsidRDefault="008111A3" w:rsidP="008111A3">
      <w:pPr>
        <w:spacing w:before="120" w:line="360" w:lineRule="auto"/>
        <w:jc w:val="left"/>
        <w:rPr>
          <w:rFonts w:cs="Arial"/>
          <w:szCs w:val="22"/>
        </w:rPr>
      </w:pPr>
      <w:r w:rsidRPr="008111A3">
        <w:rPr>
          <w:rFonts w:cs="Arial"/>
          <w:szCs w:val="22"/>
        </w:rPr>
        <w:t>W 2025 r. nie zaszły istotne zmiany w prawodawstwie unijnym z zakresu zamówień publicznych z wyjątkiem zmian w regulacjach odnoszących się do progów, od których zastosowanie znajdują procedury zamówień publicznych określone w unijnych dyrektywach. Komisja Europejska co dwa lata dokonuje przeglądu i aktualizacji wartości progowych. W</w:t>
      </w:r>
      <w:r w:rsidR="005D2B8D">
        <w:rPr>
          <w:rFonts w:cs="Arial"/>
          <w:szCs w:val="22"/>
        </w:rPr>
        <w:t> </w:t>
      </w:r>
      <w:r w:rsidRPr="008111A3">
        <w:rPr>
          <w:rFonts w:cs="Arial"/>
          <w:szCs w:val="22"/>
        </w:rPr>
        <w:t xml:space="preserve">listopadzie 2025 r. przyjęto trzy rozporządzenia oraz jedno w grudniu 2025 r. zmieniające wspomniane kwoty progowe: </w:t>
      </w:r>
    </w:p>
    <w:p w14:paraId="60AEC3F8" w14:textId="4B0E62D6" w:rsidR="008111A3" w:rsidRPr="008111A3" w:rsidRDefault="008111A3" w:rsidP="00565A93">
      <w:pPr>
        <w:pStyle w:val="Akapitzlist"/>
        <w:numPr>
          <w:ilvl w:val="0"/>
          <w:numId w:val="27"/>
        </w:numPr>
        <w:spacing w:line="360" w:lineRule="auto"/>
        <w:jc w:val="left"/>
        <w:rPr>
          <w:rFonts w:cs="Arial"/>
          <w:sz w:val="22"/>
          <w:szCs w:val="22"/>
        </w:rPr>
      </w:pPr>
      <w:r w:rsidRPr="008111A3">
        <w:rPr>
          <w:rFonts w:cs="Arial"/>
          <w:sz w:val="22"/>
          <w:szCs w:val="22"/>
        </w:rPr>
        <w:t xml:space="preserve">rozporządzenie delegowane Komisji (UE) 2025/2150 z dnia 22 października 2025 r. zmieniające dyrektywę Parlamentu Europejskiego i Rady 2014/25/UE w odniesieniu do progów mających zastosowanie do zamówień na dostawy, usługi i roboty budowlane oraz konkursów na lata 2026–2027 </w:t>
      </w:r>
    </w:p>
    <w:p w14:paraId="2BA0F78F" w14:textId="2F237E7A" w:rsidR="008111A3" w:rsidRPr="008111A3" w:rsidRDefault="008111A3" w:rsidP="00565A93">
      <w:pPr>
        <w:pStyle w:val="Akapitzlist"/>
        <w:numPr>
          <w:ilvl w:val="0"/>
          <w:numId w:val="27"/>
        </w:numPr>
        <w:spacing w:line="360" w:lineRule="auto"/>
        <w:jc w:val="left"/>
        <w:rPr>
          <w:rFonts w:cs="Arial"/>
          <w:sz w:val="22"/>
          <w:szCs w:val="22"/>
        </w:rPr>
      </w:pPr>
      <w:r w:rsidRPr="008111A3">
        <w:rPr>
          <w:rFonts w:cs="Arial"/>
          <w:sz w:val="22"/>
          <w:szCs w:val="22"/>
        </w:rPr>
        <w:t xml:space="preserve">rozporządzenie delegowane Komisji (UE) 2025/2151 z dnia 22 października 2025 r. zmieniające dyrektywę Parlamentu Europejskiego i Rady 2014/23/UE w odniesieniu do dotyczących koncesji progów na lata 2026–2027 </w:t>
      </w:r>
    </w:p>
    <w:p w14:paraId="5945E318" w14:textId="65922D21" w:rsidR="008111A3" w:rsidRPr="008111A3" w:rsidRDefault="008111A3" w:rsidP="00565A93">
      <w:pPr>
        <w:pStyle w:val="Akapitzlist"/>
        <w:numPr>
          <w:ilvl w:val="0"/>
          <w:numId w:val="27"/>
        </w:numPr>
        <w:spacing w:line="360" w:lineRule="auto"/>
        <w:jc w:val="left"/>
        <w:rPr>
          <w:rFonts w:cs="Arial"/>
          <w:sz w:val="22"/>
          <w:szCs w:val="22"/>
        </w:rPr>
      </w:pPr>
      <w:r w:rsidRPr="008111A3">
        <w:rPr>
          <w:rFonts w:cs="Arial"/>
          <w:sz w:val="22"/>
          <w:szCs w:val="22"/>
        </w:rPr>
        <w:t>rozporządzenie delegowane Komisji (UE) 2025/2152 z dnia 22 października 2025 r. zmieniające dyrektywę Parlamentu Europejskiego i Rady 2014/24/UE w odniesieniu do progów mających zastosowanie do zamówień publicznych na dostawy, usługi i</w:t>
      </w:r>
      <w:r w:rsidR="00197815">
        <w:rPr>
          <w:rFonts w:cs="Arial"/>
          <w:sz w:val="22"/>
          <w:szCs w:val="22"/>
        </w:rPr>
        <w:t> </w:t>
      </w:r>
      <w:r w:rsidRPr="008111A3">
        <w:rPr>
          <w:rFonts w:cs="Arial"/>
          <w:sz w:val="22"/>
          <w:szCs w:val="22"/>
        </w:rPr>
        <w:t xml:space="preserve">roboty budowlane oraz konkursów na lata 2026–2027 </w:t>
      </w:r>
    </w:p>
    <w:p w14:paraId="6925E7C2" w14:textId="5BCB53EB" w:rsidR="008111A3" w:rsidRPr="008111A3" w:rsidRDefault="008111A3" w:rsidP="00565A93">
      <w:pPr>
        <w:pStyle w:val="Akapitzlist"/>
        <w:numPr>
          <w:ilvl w:val="0"/>
          <w:numId w:val="27"/>
        </w:numPr>
        <w:spacing w:line="360" w:lineRule="auto"/>
        <w:jc w:val="left"/>
        <w:rPr>
          <w:rFonts w:cs="Arial"/>
          <w:sz w:val="22"/>
          <w:szCs w:val="22"/>
        </w:rPr>
      </w:pPr>
      <w:r w:rsidRPr="008111A3">
        <w:rPr>
          <w:rFonts w:cs="Arial"/>
          <w:sz w:val="22"/>
          <w:szCs w:val="22"/>
        </w:rPr>
        <w:t>rozporządzenie delegowane Komisji (UE) 2025/2487 z dnia 2 grudnia 2025 r. zmieniające dyrektywę Parlamentu Europejskiego i Rady 2009/81/WE w odniesieniu do progów dotyczących zamówień na dostawy, usługi i roboty budowlane.</w:t>
      </w:r>
    </w:p>
    <w:p w14:paraId="6E38E7B9" w14:textId="77777777" w:rsidR="008111A3" w:rsidRPr="008111A3" w:rsidRDefault="008111A3" w:rsidP="008111A3">
      <w:pPr>
        <w:spacing w:before="120" w:line="360" w:lineRule="auto"/>
        <w:jc w:val="left"/>
        <w:rPr>
          <w:rFonts w:cs="Arial"/>
          <w:b/>
          <w:bCs/>
          <w:szCs w:val="22"/>
        </w:rPr>
      </w:pPr>
      <w:r w:rsidRPr="008111A3">
        <w:rPr>
          <w:rFonts w:cs="Arial"/>
          <w:szCs w:val="22"/>
        </w:rPr>
        <w:t xml:space="preserve">Powyższe akty prawne </w:t>
      </w:r>
      <w:r w:rsidRPr="008111A3">
        <w:rPr>
          <w:rFonts w:cs="Arial"/>
          <w:b/>
          <w:bCs/>
          <w:szCs w:val="22"/>
        </w:rPr>
        <w:t>weszły w życie z dniem 1 stycznia 2026 r.</w:t>
      </w:r>
    </w:p>
    <w:p w14:paraId="181E93C7" w14:textId="77777777" w:rsidR="008111A3" w:rsidRPr="008111A3" w:rsidRDefault="008111A3" w:rsidP="008111A3">
      <w:pPr>
        <w:spacing w:before="120" w:line="360" w:lineRule="auto"/>
        <w:jc w:val="left"/>
        <w:rPr>
          <w:rFonts w:cs="Arial"/>
          <w:szCs w:val="22"/>
        </w:rPr>
      </w:pPr>
      <w:r w:rsidRPr="008111A3">
        <w:rPr>
          <w:rFonts w:cs="Arial"/>
          <w:szCs w:val="22"/>
        </w:rPr>
        <w:t>W 2025 r. opublikowany został także Komunikat Komisji C/2025/5732 określający równowartość progów określonych w dyrektywach Parlamentu Europejskiego i Rady 2014/23/UE, 2014/24/UE, 2014/25/UE i 2009/81/WE w walutach krajowych (Dz. Urz. UE C, C/2025/5732 z 23.10.2025). Zgodnie z komunikatem progi określone w dyrektywach mają następujące wartości w PLN:</w:t>
      </w:r>
    </w:p>
    <w:p w14:paraId="6817FE99" w14:textId="77777777" w:rsidR="008111A3" w:rsidRPr="008111A3" w:rsidRDefault="008111A3" w:rsidP="00565A93">
      <w:pPr>
        <w:pStyle w:val="Akapitzlist"/>
        <w:numPr>
          <w:ilvl w:val="0"/>
          <w:numId w:val="28"/>
        </w:numPr>
        <w:spacing w:line="360" w:lineRule="auto"/>
        <w:jc w:val="left"/>
        <w:rPr>
          <w:rFonts w:cs="Arial"/>
          <w:sz w:val="22"/>
          <w:szCs w:val="22"/>
          <w:lang w:val="en-US"/>
        </w:rPr>
      </w:pPr>
      <w:r w:rsidRPr="008111A3">
        <w:rPr>
          <w:rFonts w:cs="Arial"/>
          <w:sz w:val="22"/>
          <w:szCs w:val="22"/>
          <w:lang w:val="en-US"/>
        </w:rPr>
        <w:t xml:space="preserve">80 000 EUR – 344 800 PLN </w:t>
      </w:r>
    </w:p>
    <w:p w14:paraId="7B8F3475" w14:textId="77777777" w:rsidR="008111A3" w:rsidRPr="008111A3" w:rsidRDefault="008111A3" w:rsidP="00565A93">
      <w:pPr>
        <w:pStyle w:val="Akapitzlist"/>
        <w:numPr>
          <w:ilvl w:val="0"/>
          <w:numId w:val="28"/>
        </w:numPr>
        <w:spacing w:line="360" w:lineRule="auto"/>
        <w:jc w:val="left"/>
        <w:rPr>
          <w:rFonts w:cs="Arial"/>
          <w:sz w:val="22"/>
          <w:szCs w:val="22"/>
          <w:lang w:val="en-US"/>
        </w:rPr>
      </w:pPr>
      <w:r w:rsidRPr="008111A3">
        <w:rPr>
          <w:rFonts w:cs="Arial"/>
          <w:sz w:val="22"/>
          <w:szCs w:val="22"/>
          <w:lang w:val="en-US"/>
        </w:rPr>
        <w:t xml:space="preserve">140 000 EUR – 603 400 PLN </w:t>
      </w:r>
    </w:p>
    <w:p w14:paraId="3FDC5687" w14:textId="77777777" w:rsidR="008111A3" w:rsidRPr="008111A3" w:rsidRDefault="008111A3" w:rsidP="00565A93">
      <w:pPr>
        <w:pStyle w:val="Akapitzlist"/>
        <w:numPr>
          <w:ilvl w:val="0"/>
          <w:numId w:val="28"/>
        </w:numPr>
        <w:spacing w:line="360" w:lineRule="auto"/>
        <w:jc w:val="left"/>
        <w:rPr>
          <w:rFonts w:cs="Arial"/>
          <w:sz w:val="22"/>
          <w:szCs w:val="22"/>
          <w:lang w:val="en-US"/>
        </w:rPr>
      </w:pPr>
      <w:r w:rsidRPr="008111A3">
        <w:rPr>
          <w:rFonts w:cs="Arial"/>
          <w:sz w:val="22"/>
          <w:szCs w:val="22"/>
          <w:lang w:val="en-US"/>
        </w:rPr>
        <w:t xml:space="preserve">216 000 EUR – 930 960 PLN </w:t>
      </w:r>
    </w:p>
    <w:p w14:paraId="02F053C9" w14:textId="77777777" w:rsidR="008111A3" w:rsidRPr="008111A3" w:rsidRDefault="008111A3" w:rsidP="00565A93">
      <w:pPr>
        <w:pStyle w:val="Akapitzlist"/>
        <w:numPr>
          <w:ilvl w:val="0"/>
          <w:numId w:val="28"/>
        </w:numPr>
        <w:spacing w:line="360" w:lineRule="auto"/>
        <w:jc w:val="left"/>
        <w:rPr>
          <w:rFonts w:cs="Arial"/>
          <w:sz w:val="22"/>
          <w:szCs w:val="22"/>
          <w:lang w:val="en-US"/>
        </w:rPr>
      </w:pPr>
      <w:r w:rsidRPr="008111A3">
        <w:rPr>
          <w:rFonts w:cs="Arial"/>
          <w:sz w:val="22"/>
          <w:szCs w:val="22"/>
          <w:lang w:val="en-US"/>
        </w:rPr>
        <w:t xml:space="preserve">432 000 EUR – 1 861 920 PLN </w:t>
      </w:r>
    </w:p>
    <w:p w14:paraId="58CAF838" w14:textId="77777777" w:rsidR="008111A3" w:rsidRPr="008111A3" w:rsidRDefault="008111A3" w:rsidP="00565A93">
      <w:pPr>
        <w:pStyle w:val="Akapitzlist"/>
        <w:numPr>
          <w:ilvl w:val="0"/>
          <w:numId w:val="28"/>
        </w:numPr>
        <w:spacing w:line="360" w:lineRule="auto"/>
        <w:jc w:val="left"/>
        <w:rPr>
          <w:rFonts w:cs="Arial"/>
          <w:sz w:val="22"/>
          <w:szCs w:val="22"/>
          <w:lang w:val="en-US"/>
        </w:rPr>
      </w:pPr>
      <w:r w:rsidRPr="008111A3">
        <w:rPr>
          <w:rFonts w:cs="Arial"/>
          <w:sz w:val="22"/>
          <w:szCs w:val="22"/>
          <w:lang w:val="en-US"/>
        </w:rPr>
        <w:lastRenderedPageBreak/>
        <w:t xml:space="preserve">750 000 EUR – 3 232 500 PLN </w:t>
      </w:r>
    </w:p>
    <w:p w14:paraId="7DA17102" w14:textId="77777777" w:rsidR="008111A3" w:rsidRPr="008111A3" w:rsidRDefault="008111A3" w:rsidP="00565A93">
      <w:pPr>
        <w:pStyle w:val="Akapitzlist"/>
        <w:numPr>
          <w:ilvl w:val="0"/>
          <w:numId w:val="28"/>
        </w:numPr>
        <w:spacing w:line="360" w:lineRule="auto"/>
        <w:jc w:val="left"/>
        <w:rPr>
          <w:rFonts w:cs="Arial"/>
          <w:sz w:val="22"/>
          <w:szCs w:val="22"/>
          <w:lang w:val="en-US"/>
        </w:rPr>
      </w:pPr>
      <w:r w:rsidRPr="008111A3">
        <w:rPr>
          <w:rFonts w:cs="Arial"/>
          <w:sz w:val="22"/>
          <w:szCs w:val="22"/>
          <w:lang w:val="en-US"/>
        </w:rPr>
        <w:t xml:space="preserve">1 000 000 EUR – 4 310 000 PLN </w:t>
      </w:r>
    </w:p>
    <w:p w14:paraId="35794374" w14:textId="77777777" w:rsidR="008111A3" w:rsidRPr="008111A3" w:rsidRDefault="008111A3" w:rsidP="00565A93">
      <w:pPr>
        <w:pStyle w:val="Akapitzlist"/>
        <w:numPr>
          <w:ilvl w:val="0"/>
          <w:numId w:val="28"/>
        </w:numPr>
        <w:spacing w:line="360" w:lineRule="auto"/>
        <w:jc w:val="left"/>
        <w:rPr>
          <w:rFonts w:cs="Arial"/>
          <w:sz w:val="22"/>
          <w:szCs w:val="22"/>
        </w:rPr>
      </w:pPr>
      <w:r w:rsidRPr="008111A3">
        <w:rPr>
          <w:rFonts w:cs="Arial"/>
          <w:sz w:val="22"/>
          <w:szCs w:val="22"/>
        </w:rPr>
        <w:t>5 404 000 EUR – 23 291 240 PLN</w:t>
      </w:r>
    </w:p>
    <w:p w14:paraId="081D7802" w14:textId="77777777" w:rsidR="008111A3" w:rsidRPr="008111A3" w:rsidRDefault="008111A3" w:rsidP="008111A3">
      <w:pPr>
        <w:spacing w:before="120" w:line="360" w:lineRule="auto"/>
        <w:jc w:val="left"/>
        <w:rPr>
          <w:rFonts w:cs="Arial"/>
          <w:b/>
          <w:bCs/>
          <w:szCs w:val="22"/>
        </w:rPr>
      </w:pPr>
      <w:r w:rsidRPr="008111A3">
        <w:rPr>
          <w:rFonts w:cs="Arial"/>
          <w:szCs w:val="22"/>
        </w:rPr>
        <w:t xml:space="preserve">Średni kurs złotego w stosunku do euro, stanowiący podstawę przeliczania wartości zamówień publicznych, uległ zmianie z 4,6371 na </w:t>
      </w:r>
      <w:r w:rsidRPr="008111A3">
        <w:rPr>
          <w:rFonts w:cs="Arial"/>
          <w:b/>
          <w:bCs/>
          <w:szCs w:val="22"/>
        </w:rPr>
        <w:t>4,31.</w:t>
      </w:r>
    </w:p>
    <w:p w14:paraId="6D91A769" w14:textId="77777777" w:rsidR="008111A3" w:rsidRPr="008111A3" w:rsidRDefault="008111A3" w:rsidP="008111A3">
      <w:pPr>
        <w:spacing w:before="120" w:line="360" w:lineRule="auto"/>
        <w:jc w:val="left"/>
        <w:rPr>
          <w:rFonts w:cs="Arial"/>
          <w:szCs w:val="22"/>
        </w:rPr>
      </w:pPr>
      <w:r w:rsidRPr="008111A3">
        <w:rPr>
          <w:rFonts w:cs="Arial"/>
          <w:szCs w:val="22"/>
        </w:rPr>
        <w:t>W 2025 r. zostały przyjęte następujące rozporządzenia Parlamentu Europejskiego i Rady (UE), zawierające przepisy dotyczące zamówień publicznych:</w:t>
      </w:r>
    </w:p>
    <w:p w14:paraId="07D05A50" w14:textId="77777777" w:rsidR="008111A3" w:rsidRPr="008111A3" w:rsidRDefault="008111A3" w:rsidP="00565A93">
      <w:pPr>
        <w:numPr>
          <w:ilvl w:val="0"/>
          <w:numId w:val="24"/>
        </w:numPr>
        <w:spacing w:line="360" w:lineRule="auto"/>
        <w:jc w:val="left"/>
        <w:rPr>
          <w:rFonts w:cs="Arial"/>
          <w:bCs/>
          <w:szCs w:val="22"/>
        </w:rPr>
      </w:pPr>
      <w:r w:rsidRPr="008111A3">
        <w:rPr>
          <w:rFonts w:cs="Arial"/>
          <w:bCs/>
          <w:szCs w:val="22"/>
        </w:rPr>
        <w:t>rozporządzenie (UE) 2025/327 z dnia 11 lutego 2025 r. w sprawie europejskiej przestrzeni danych dotyczących zdrowia oraz zmieniające dyrektywę 2011/24/UE i rozporządzenie (UE) 2024/2847;</w:t>
      </w:r>
    </w:p>
    <w:p w14:paraId="5F256994" w14:textId="77777777" w:rsidR="008111A3" w:rsidRPr="008111A3" w:rsidRDefault="008111A3" w:rsidP="00565A93">
      <w:pPr>
        <w:numPr>
          <w:ilvl w:val="0"/>
          <w:numId w:val="24"/>
        </w:numPr>
        <w:spacing w:line="360" w:lineRule="auto"/>
        <w:jc w:val="left"/>
        <w:rPr>
          <w:rFonts w:cs="Arial"/>
          <w:bCs/>
          <w:szCs w:val="22"/>
        </w:rPr>
      </w:pPr>
      <w:r w:rsidRPr="008111A3">
        <w:rPr>
          <w:rFonts w:cs="Arial"/>
          <w:szCs w:val="22"/>
        </w:rPr>
        <w:t>rozporządzenie Rady (UE) 2025/1106 z dnia 27 maja 2025 r. ustanawiające Instrument na rzecz Zwiększenia Bezpieczeństwa Europy („instrument SAFE”) poprzez Wzmocnienie Europejskiego Przemysłu Obronnego;</w:t>
      </w:r>
    </w:p>
    <w:p w14:paraId="39504DA6" w14:textId="77777777" w:rsidR="008111A3" w:rsidRPr="008111A3" w:rsidRDefault="008111A3" w:rsidP="00565A93">
      <w:pPr>
        <w:numPr>
          <w:ilvl w:val="0"/>
          <w:numId w:val="24"/>
        </w:numPr>
        <w:spacing w:line="360" w:lineRule="auto"/>
        <w:jc w:val="left"/>
        <w:rPr>
          <w:rFonts w:cs="Arial"/>
          <w:bCs/>
          <w:szCs w:val="22"/>
        </w:rPr>
      </w:pPr>
      <w:r w:rsidRPr="008111A3">
        <w:rPr>
          <w:rFonts w:cs="Arial"/>
          <w:bCs/>
          <w:szCs w:val="22"/>
        </w:rPr>
        <w:t>rozporządzenie Parlamentu Europejskiego i Rady (UE) 2025/2643 z dnia 16 grudnia 2025 r. w sprawie ustanowienia Programu na rzecz europejskiego przemysłu obronnego oraz ram środków w celu zapewnienia terminowej dostępności i terminowych dostaw produktów związanych z obronnością ("rozporządzenie w sprawie EDIP").</w:t>
      </w:r>
    </w:p>
    <w:p w14:paraId="58BFAEF2" w14:textId="732C98DB" w:rsidR="008111A3" w:rsidRPr="008111A3" w:rsidRDefault="008111A3" w:rsidP="004B372A">
      <w:pPr>
        <w:spacing w:before="120" w:line="360" w:lineRule="auto"/>
        <w:jc w:val="left"/>
        <w:rPr>
          <w:rFonts w:cs="Arial"/>
          <w:bCs/>
          <w:szCs w:val="22"/>
        </w:rPr>
      </w:pPr>
      <w:r w:rsidRPr="008111A3">
        <w:rPr>
          <w:rFonts w:cs="Arial"/>
          <w:bCs/>
          <w:szCs w:val="22"/>
        </w:rPr>
        <w:t>Ponadto w 2025 r. upłynął termin transpozycji przepisów następujących unijnych sektorowych dyrektyw Parlamentu Europejskiego i Rady, zawierających przepisy dotyczące udzielania zamówień:</w:t>
      </w:r>
    </w:p>
    <w:p w14:paraId="4CA76B5B" w14:textId="77777777" w:rsidR="008111A3" w:rsidRPr="008111A3" w:rsidRDefault="008111A3" w:rsidP="00565A93">
      <w:pPr>
        <w:numPr>
          <w:ilvl w:val="0"/>
          <w:numId w:val="25"/>
        </w:numPr>
        <w:spacing w:line="360" w:lineRule="auto"/>
        <w:jc w:val="left"/>
        <w:rPr>
          <w:rFonts w:cs="Arial"/>
          <w:bCs/>
          <w:szCs w:val="22"/>
        </w:rPr>
      </w:pPr>
      <w:r w:rsidRPr="008111A3">
        <w:rPr>
          <w:rFonts w:cs="Arial"/>
          <w:bCs/>
          <w:szCs w:val="22"/>
        </w:rPr>
        <w:t>dyrektywa Parlamentu Europejskiego i Rady zmieniająca dyrektywy (UE) 2022/2464 i (UE) 2024/1760 w odniesieniu do terminów stosowania przez państwa członkowskie niektórych wymogów dotyczących sprawozdawczości przedsiębiorstw w zakresie zrównoważonego rozwoju oraz należytej staranności – termin transpozycji upłynął 16 kwietnia 2025 r.;</w:t>
      </w:r>
    </w:p>
    <w:p w14:paraId="4DCE5C0C" w14:textId="77777777" w:rsidR="008111A3" w:rsidRPr="008111A3" w:rsidRDefault="008111A3" w:rsidP="00565A93">
      <w:pPr>
        <w:numPr>
          <w:ilvl w:val="0"/>
          <w:numId w:val="25"/>
        </w:numPr>
        <w:spacing w:line="360" w:lineRule="auto"/>
        <w:jc w:val="left"/>
        <w:rPr>
          <w:rFonts w:cs="Arial"/>
          <w:bCs/>
          <w:szCs w:val="22"/>
        </w:rPr>
      </w:pPr>
      <w:r w:rsidRPr="008111A3">
        <w:rPr>
          <w:rFonts w:cs="Arial"/>
          <w:bCs/>
          <w:szCs w:val="22"/>
        </w:rPr>
        <w:t>dyrektywy (UE) 2024/1226 Parlamentu Europejskiego i Rady z dnia 24 kwietnia 2024 r. w sprawie określenia przestępstw i kar za naruszenie środków ograniczających Unii – termin transpozycji upłynął 20 maja 2025 r.;</w:t>
      </w:r>
    </w:p>
    <w:p w14:paraId="00AE17F9" w14:textId="77777777" w:rsidR="008111A3" w:rsidRPr="008111A3" w:rsidRDefault="008111A3" w:rsidP="00565A93">
      <w:pPr>
        <w:numPr>
          <w:ilvl w:val="0"/>
          <w:numId w:val="25"/>
        </w:numPr>
        <w:spacing w:line="360" w:lineRule="auto"/>
        <w:jc w:val="left"/>
        <w:rPr>
          <w:rFonts w:cs="Arial"/>
          <w:bCs/>
          <w:szCs w:val="22"/>
        </w:rPr>
      </w:pPr>
      <w:r w:rsidRPr="008111A3">
        <w:rPr>
          <w:rFonts w:cs="Arial"/>
          <w:bCs/>
          <w:szCs w:val="22"/>
        </w:rPr>
        <w:t>dyrektywy (UE) 2018/2001 Parlamentu Europejskiego i Rady z dnia 11 grudnia 2018 r. w sprawie promowania stosowania energii ze źródeł odnawialnych (wersja przekształcona), zmieniona dyrektywą (UE) 2023/2413 Parlamentu Europejskiego i Rady zmieniającą dyrektywę (UE) 2018/2001, rozporządzenie (UE) 2018/1999 oraz dyrektywę 98/70/WE w odniesieniu do promowania energii ze źródeł odnawialnych oraz uchylającą dyrektywę Rady (UE) 2015/652 – termin transpozycji upłynął 21 maja 2025 r.;</w:t>
      </w:r>
    </w:p>
    <w:p w14:paraId="31DA563E" w14:textId="06EE5399" w:rsidR="008111A3" w:rsidRPr="008111A3" w:rsidRDefault="008111A3" w:rsidP="00565A93">
      <w:pPr>
        <w:numPr>
          <w:ilvl w:val="0"/>
          <w:numId w:val="25"/>
        </w:numPr>
        <w:spacing w:line="360" w:lineRule="auto"/>
        <w:jc w:val="left"/>
        <w:rPr>
          <w:rFonts w:cs="Arial"/>
          <w:bCs/>
          <w:szCs w:val="22"/>
        </w:rPr>
      </w:pPr>
      <w:r w:rsidRPr="008111A3">
        <w:rPr>
          <w:rFonts w:cs="Arial"/>
          <w:bCs/>
          <w:szCs w:val="22"/>
        </w:rPr>
        <w:lastRenderedPageBreak/>
        <w:t>dyrektywy (UE) 2023/1791 Parlamentu Europejskiego i Rady z dnia 13 września 2023 r. w sprawie efektywności energetycznej oraz zmieniającej rozporządzenie (UE) 2023/955 (wersja przekształcona) – termin transpozycji upłynął 11 października 2025</w:t>
      </w:r>
      <w:r w:rsidR="006D038B">
        <w:rPr>
          <w:rFonts w:cs="Arial"/>
          <w:bCs/>
          <w:szCs w:val="22"/>
        </w:rPr>
        <w:t> </w:t>
      </w:r>
      <w:r w:rsidRPr="008111A3">
        <w:rPr>
          <w:rFonts w:cs="Arial"/>
          <w:bCs/>
          <w:szCs w:val="22"/>
        </w:rPr>
        <w:t>r.</w:t>
      </w:r>
    </w:p>
    <w:p w14:paraId="202B5780" w14:textId="77777777" w:rsidR="008111A3" w:rsidRPr="008111A3" w:rsidRDefault="008111A3" w:rsidP="003B5BF6">
      <w:pPr>
        <w:spacing w:before="120" w:line="360" w:lineRule="auto"/>
        <w:jc w:val="left"/>
        <w:rPr>
          <w:rFonts w:cs="Arial"/>
          <w:bCs/>
          <w:szCs w:val="22"/>
        </w:rPr>
      </w:pPr>
      <w:r w:rsidRPr="008111A3">
        <w:rPr>
          <w:rFonts w:cs="Arial"/>
          <w:bCs/>
          <w:szCs w:val="22"/>
        </w:rPr>
        <w:t>Jednocześnie w 2025 r. przyjęto następujące akty delegowane i wykonawcze Komisji Europejskiej, zawierające przepisy związane pośrednio z zamówieniami publicznymi:</w:t>
      </w:r>
    </w:p>
    <w:p w14:paraId="39C899B6" w14:textId="77777777" w:rsidR="008111A3" w:rsidRPr="008111A3" w:rsidRDefault="008111A3" w:rsidP="00565A93">
      <w:pPr>
        <w:numPr>
          <w:ilvl w:val="0"/>
          <w:numId w:val="26"/>
        </w:numPr>
        <w:spacing w:line="360" w:lineRule="auto"/>
        <w:jc w:val="left"/>
        <w:rPr>
          <w:rFonts w:cs="Arial"/>
          <w:bCs/>
          <w:szCs w:val="22"/>
        </w:rPr>
      </w:pPr>
      <w:r w:rsidRPr="008111A3">
        <w:rPr>
          <w:rFonts w:cs="Arial"/>
          <w:bCs/>
          <w:szCs w:val="22"/>
        </w:rPr>
        <w:t>rozporządzenie delegowane Komisji (UE) 2025/1477 z dnia 21 maja 2025 r. uzupełniające rozporządzenie Parlamentu Europejskiego i Rady (UE) 2024/1735 przez określenie zasad dotyczących identyfikacji upoważnionych producentów ropy naftowej i gazu, którzy muszą wnieść wkład w osiągnięcie celu Unii dotyczącego dostępnej mocy zatłaczania CO</w:t>
      </w:r>
      <w:r w:rsidRPr="008111A3">
        <w:rPr>
          <w:rFonts w:cs="Arial"/>
          <w:bCs/>
          <w:szCs w:val="22"/>
          <w:vertAlign w:val="subscript"/>
        </w:rPr>
        <w:t>2</w:t>
      </w:r>
      <w:r w:rsidRPr="008111A3">
        <w:rPr>
          <w:rFonts w:cs="Arial"/>
          <w:bCs/>
          <w:szCs w:val="22"/>
        </w:rPr>
        <w:t> do 2030 r., zasad obliczania ich odpowiednich wkładów oraz obowiązków sprawozdawczych;</w:t>
      </w:r>
    </w:p>
    <w:p w14:paraId="5FBDB2E5" w14:textId="0008E1A1" w:rsidR="008111A3" w:rsidRPr="008111A3" w:rsidRDefault="008111A3" w:rsidP="00565A93">
      <w:pPr>
        <w:numPr>
          <w:ilvl w:val="0"/>
          <w:numId w:val="26"/>
        </w:numPr>
        <w:spacing w:line="360" w:lineRule="auto"/>
        <w:jc w:val="left"/>
        <w:rPr>
          <w:rFonts w:cs="Arial"/>
          <w:bCs/>
          <w:szCs w:val="22"/>
        </w:rPr>
      </w:pPr>
      <w:r w:rsidRPr="008111A3">
        <w:rPr>
          <w:rFonts w:cs="Arial"/>
          <w:bCs/>
          <w:szCs w:val="22"/>
        </w:rPr>
        <w:t xml:space="preserve">rozporządzenie delegowane Komisji (UE) </w:t>
      </w:r>
      <w:r w:rsidRPr="008111A3">
        <w:rPr>
          <w:rFonts w:cs="Arial"/>
          <w:szCs w:val="22"/>
        </w:rPr>
        <w:t>2025/1463</w:t>
      </w:r>
      <w:r w:rsidRPr="008111A3">
        <w:rPr>
          <w:rFonts w:cs="Arial"/>
          <w:bCs/>
          <w:szCs w:val="22"/>
        </w:rPr>
        <w:t xml:space="preserve"> z dnia 23 maja 2025 r. zmieniające rozporządzenie Parlamentu Europejskiego i Rady (UE) 2024/1735 w</w:t>
      </w:r>
      <w:r w:rsidR="006D038B">
        <w:rPr>
          <w:rFonts w:cs="Arial"/>
          <w:bCs/>
          <w:szCs w:val="22"/>
        </w:rPr>
        <w:t> </w:t>
      </w:r>
      <w:r w:rsidRPr="008111A3">
        <w:rPr>
          <w:rFonts w:cs="Arial"/>
          <w:bCs/>
          <w:szCs w:val="22"/>
        </w:rPr>
        <w:t>odniesieniu do określenia podkategorii technologii neutralnych emisyjnie oraz wykazu konkretnych komponentów używanych na potrzeby tych technologii;</w:t>
      </w:r>
    </w:p>
    <w:p w14:paraId="0B84E033" w14:textId="28D55DEC" w:rsidR="008111A3" w:rsidRPr="008111A3" w:rsidRDefault="008111A3" w:rsidP="00565A93">
      <w:pPr>
        <w:numPr>
          <w:ilvl w:val="0"/>
          <w:numId w:val="26"/>
        </w:numPr>
        <w:spacing w:line="360" w:lineRule="auto"/>
        <w:jc w:val="left"/>
        <w:rPr>
          <w:rFonts w:cs="Arial"/>
          <w:bCs/>
          <w:szCs w:val="22"/>
        </w:rPr>
      </w:pPr>
      <w:r w:rsidRPr="008111A3">
        <w:rPr>
          <w:rFonts w:cs="Arial"/>
          <w:bCs/>
          <w:szCs w:val="22"/>
        </w:rPr>
        <w:t>rozporządzenie wykonawcze Komisji (UE) 2025/1178 z dni 23 maja 2025 r. w</w:t>
      </w:r>
      <w:r w:rsidR="00326395">
        <w:rPr>
          <w:rFonts w:cs="Arial"/>
          <w:bCs/>
          <w:szCs w:val="22"/>
        </w:rPr>
        <w:t xml:space="preserve"> </w:t>
      </w:r>
      <w:r w:rsidRPr="008111A3">
        <w:rPr>
          <w:rFonts w:cs="Arial"/>
          <w:bCs/>
          <w:szCs w:val="22"/>
        </w:rPr>
        <w:t>sprawie ustanowienia zasad stosowania rozporządzenia (UE) 2024/1735 Parlamentu Europejskiego i Rady w odniesieniu do wykazu końcowych produktów technologii neutralnych emisyjnie oraz ich głównych szczególnych komponentów na potrzeby oceny wkładu w odporność;</w:t>
      </w:r>
    </w:p>
    <w:p w14:paraId="0399B250" w14:textId="637E5F74" w:rsidR="008111A3" w:rsidRPr="008111A3" w:rsidRDefault="008111A3" w:rsidP="00565A93">
      <w:pPr>
        <w:numPr>
          <w:ilvl w:val="0"/>
          <w:numId w:val="26"/>
        </w:numPr>
        <w:spacing w:line="360" w:lineRule="auto"/>
        <w:jc w:val="left"/>
        <w:rPr>
          <w:rFonts w:cs="Arial"/>
          <w:bCs/>
          <w:szCs w:val="22"/>
        </w:rPr>
      </w:pPr>
      <w:r w:rsidRPr="008111A3">
        <w:rPr>
          <w:rFonts w:cs="Arial"/>
          <w:bCs/>
          <w:szCs w:val="22"/>
        </w:rPr>
        <w:t xml:space="preserve">rozporządzenie wykonawcze Komisji (UE) </w:t>
      </w:r>
      <w:r w:rsidRPr="008111A3">
        <w:rPr>
          <w:rFonts w:cs="Arial"/>
          <w:szCs w:val="22"/>
        </w:rPr>
        <w:t>2025/1197</w:t>
      </w:r>
      <w:r w:rsidRPr="008111A3">
        <w:rPr>
          <w:rFonts w:cs="Arial"/>
          <w:bCs/>
          <w:szCs w:val="22"/>
        </w:rPr>
        <w:t xml:space="preserve"> z dnia 19 czerwca 2025</w:t>
      </w:r>
      <w:r w:rsidR="006D038B">
        <w:rPr>
          <w:rFonts w:cs="Arial"/>
          <w:bCs/>
          <w:szCs w:val="22"/>
        </w:rPr>
        <w:t> </w:t>
      </w:r>
      <w:r w:rsidRPr="008111A3">
        <w:rPr>
          <w:rFonts w:cs="Arial"/>
          <w:bCs/>
          <w:szCs w:val="22"/>
        </w:rPr>
        <w:t>r. nakładające środek nakładające środek Instrumentu Zamówień Międzynarodowych ograniczający dostęp wykonawców i wyrobów medycznych pochodzących z Chińskiej Republiki Ludowej do unijnego rynku zamówień publicznych dla wyrobów medycznych zgodnie z rozporządzeniem Parlamentu Europejskiego i Rady (UE) 2022/1031.</w:t>
      </w:r>
    </w:p>
    <w:p w14:paraId="3A5A59DD" w14:textId="4B619A42" w:rsidR="008111A3" w:rsidRPr="00445D2E" w:rsidRDefault="008111A3" w:rsidP="00D63292">
      <w:pPr>
        <w:spacing w:before="120" w:line="360" w:lineRule="auto"/>
        <w:jc w:val="left"/>
        <w:rPr>
          <w:rFonts w:cs="Arial"/>
          <w:i/>
          <w:iCs/>
          <w:szCs w:val="22"/>
        </w:rPr>
      </w:pPr>
      <w:r w:rsidRPr="00B52DB2">
        <w:rPr>
          <w:rFonts w:cs="Arial"/>
          <w:i/>
          <w:iCs/>
          <w:szCs w:val="22"/>
        </w:rPr>
        <w:t xml:space="preserve">Pełen wykaz wszystkich unijnych aktów prawnych obowiązujących w tym obszarze w </w:t>
      </w:r>
      <w:r w:rsidRPr="00B52DB2">
        <w:t>2025</w:t>
      </w:r>
      <w:r w:rsidR="006D038B" w:rsidRPr="00B52DB2">
        <w:t> </w:t>
      </w:r>
      <w:r w:rsidRPr="00B52DB2">
        <w:t>r</w:t>
      </w:r>
      <w:r w:rsidRPr="00B52DB2">
        <w:rPr>
          <w:rFonts w:cs="Arial"/>
          <w:i/>
          <w:iCs/>
          <w:szCs w:val="22"/>
        </w:rPr>
        <w:t xml:space="preserve">. zawiera </w:t>
      </w:r>
      <w:hyperlink w:anchor="_Załącznik_nr_9." w:history="1">
        <w:r w:rsidRPr="00B52DB2">
          <w:rPr>
            <w:rStyle w:val="Hipercze"/>
            <w:rFonts w:cs="Arial"/>
            <w:i/>
            <w:iCs/>
            <w:szCs w:val="22"/>
          </w:rPr>
          <w:t>załącznik nr</w:t>
        </w:r>
        <w:r w:rsidR="000C4ECB" w:rsidRPr="00B52DB2">
          <w:rPr>
            <w:rStyle w:val="Hipercze"/>
            <w:rFonts w:cs="Arial"/>
            <w:i/>
            <w:iCs/>
            <w:szCs w:val="22"/>
          </w:rPr>
          <w:t xml:space="preserve"> </w:t>
        </w:r>
        <w:r w:rsidR="004B7646">
          <w:rPr>
            <w:rStyle w:val="Hipercze"/>
            <w:rFonts w:cs="Arial"/>
            <w:i/>
            <w:iCs/>
            <w:szCs w:val="22"/>
          </w:rPr>
          <w:t>7</w:t>
        </w:r>
      </w:hyperlink>
      <w:r w:rsidRPr="00B52DB2">
        <w:rPr>
          <w:rFonts w:cs="Arial"/>
          <w:i/>
          <w:iCs/>
          <w:szCs w:val="22"/>
        </w:rPr>
        <w:t xml:space="preserve"> do niniejszego Sprawozdania.</w:t>
      </w:r>
    </w:p>
    <w:p w14:paraId="2E3860CA" w14:textId="77777777" w:rsidR="00101625" w:rsidRPr="00ED7BD6" w:rsidRDefault="00101625" w:rsidP="00270CF3">
      <w:pPr>
        <w:pStyle w:val="Nagwek3"/>
      </w:pPr>
      <w:bookmarkStart w:id="260" w:name="_Toc233203294"/>
      <w:r w:rsidRPr="00DA73F1">
        <w:t>II.</w:t>
      </w:r>
      <w:r>
        <w:t>3</w:t>
      </w:r>
      <w:r w:rsidRPr="00DA73F1">
        <w:t>.2. Orzecznictwo Trybunału Sprawiedliwości UE</w:t>
      </w:r>
      <w:bookmarkEnd w:id="260"/>
    </w:p>
    <w:p w14:paraId="2958EE5F" w14:textId="77777777" w:rsidR="00A80432" w:rsidRPr="00A80432" w:rsidRDefault="00A80432" w:rsidP="00A80432">
      <w:pPr>
        <w:spacing w:before="120" w:line="360" w:lineRule="auto"/>
        <w:jc w:val="left"/>
        <w:rPr>
          <w:rFonts w:cs="Arial"/>
          <w:bCs/>
          <w:szCs w:val="22"/>
        </w:rPr>
      </w:pPr>
      <w:r w:rsidRPr="00A80432">
        <w:rPr>
          <w:rFonts w:cs="Arial"/>
          <w:bCs/>
          <w:szCs w:val="22"/>
        </w:rPr>
        <w:t>Trybunał Sprawiedliwości Unii Europejskiej, zwany dalej „Trybunałem Sprawiedliwości UE”, „Trybunałem Sprawiedliwości” lub „Trybunałem”, w 2025 r. wydał w trybie prejudycjalnym przewidzianym w art. 267 Traktatu o funkcjonowaniu Unii Europejskiej jedenaście orzeczeń w sprawach z zakresu zamówień publicznych:</w:t>
      </w:r>
    </w:p>
    <w:p w14:paraId="53BD6E3B" w14:textId="77777777" w:rsidR="00A80432" w:rsidRPr="00A80432" w:rsidRDefault="00A80432" w:rsidP="00565A93">
      <w:pPr>
        <w:numPr>
          <w:ilvl w:val="0"/>
          <w:numId w:val="29"/>
        </w:numPr>
        <w:spacing w:line="360" w:lineRule="auto"/>
        <w:jc w:val="left"/>
        <w:rPr>
          <w:rFonts w:cs="Arial"/>
          <w:bCs/>
          <w:szCs w:val="22"/>
        </w:rPr>
      </w:pPr>
      <w:r w:rsidRPr="00A80432">
        <w:rPr>
          <w:rFonts w:cs="Arial"/>
          <w:bCs/>
          <w:szCs w:val="22"/>
        </w:rPr>
        <w:lastRenderedPageBreak/>
        <w:t xml:space="preserve">Wyrok z dnia 9 stycznia 2025 r. w sprawie C-578/23 </w:t>
      </w:r>
      <w:proofErr w:type="spellStart"/>
      <w:r w:rsidRPr="00A80432">
        <w:rPr>
          <w:rFonts w:cs="Arial"/>
          <w:bCs/>
          <w:szCs w:val="22"/>
        </w:rPr>
        <w:t>Česká</w:t>
      </w:r>
      <w:proofErr w:type="spellEnd"/>
      <w:r w:rsidRPr="00A80432">
        <w:rPr>
          <w:rFonts w:cs="Arial"/>
          <w:bCs/>
          <w:szCs w:val="22"/>
        </w:rPr>
        <w:t xml:space="preserve"> republika – </w:t>
      </w:r>
      <w:proofErr w:type="spellStart"/>
      <w:r w:rsidRPr="00A80432">
        <w:rPr>
          <w:rFonts w:cs="Arial"/>
          <w:bCs/>
          <w:szCs w:val="22"/>
        </w:rPr>
        <w:t>Generální</w:t>
      </w:r>
      <w:proofErr w:type="spellEnd"/>
      <w:r w:rsidRPr="00A80432">
        <w:rPr>
          <w:rFonts w:cs="Arial"/>
          <w:bCs/>
          <w:szCs w:val="22"/>
        </w:rPr>
        <w:t xml:space="preserve"> </w:t>
      </w:r>
      <w:proofErr w:type="spellStart"/>
      <w:r w:rsidRPr="00A80432">
        <w:rPr>
          <w:rFonts w:cs="Arial"/>
          <w:bCs/>
          <w:szCs w:val="22"/>
        </w:rPr>
        <w:t>finanční</w:t>
      </w:r>
      <w:proofErr w:type="spellEnd"/>
      <w:r w:rsidRPr="00A80432">
        <w:rPr>
          <w:rFonts w:cs="Arial"/>
          <w:bCs/>
          <w:szCs w:val="22"/>
        </w:rPr>
        <w:t xml:space="preserve"> </w:t>
      </w:r>
      <w:proofErr w:type="spellStart"/>
      <w:r w:rsidRPr="00A80432">
        <w:rPr>
          <w:rFonts w:cs="Arial"/>
          <w:bCs/>
          <w:szCs w:val="22"/>
        </w:rPr>
        <w:t>ředitelství</w:t>
      </w:r>
      <w:proofErr w:type="spellEnd"/>
      <w:r w:rsidRPr="00A80432">
        <w:rPr>
          <w:rFonts w:cs="Arial"/>
          <w:bCs/>
          <w:szCs w:val="22"/>
        </w:rPr>
        <w:t xml:space="preserve"> przeciwko </w:t>
      </w:r>
      <w:proofErr w:type="spellStart"/>
      <w:r w:rsidRPr="00A80432">
        <w:rPr>
          <w:rFonts w:cs="Arial"/>
          <w:bCs/>
          <w:szCs w:val="22"/>
        </w:rPr>
        <w:t>Úřad</w:t>
      </w:r>
      <w:proofErr w:type="spellEnd"/>
      <w:r w:rsidRPr="00A80432">
        <w:rPr>
          <w:rFonts w:cs="Arial"/>
          <w:bCs/>
          <w:szCs w:val="22"/>
        </w:rPr>
        <w:t xml:space="preserve"> pro </w:t>
      </w:r>
      <w:proofErr w:type="spellStart"/>
      <w:r w:rsidRPr="00A80432">
        <w:rPr>
          <w:rFonts w:cs="Arial"/>
          <w:bCs/>
          <w:szCs w:val="22"/>
        </w:rPr>
        <w:t>ochranu</w:t>
      </w:r>
      <w:proofErr w:type="spellEnd"/>
      <w:r w:rsidRPr="00A80432">
        <w:rPr>
          <w:rFonts w:cs="Arial"/>
          <w:bCs/>
          <w:szCs w:val="22"/>
        </w:rPr>
        <w:t xml:space="preserve"> </w:t>
      </w:r>
      <w:proofErr w:type="spellStart"/>
      <w:r w:rsidRPr="00A80432">
        <w:rPr>
          <w:rFonts w:cs="Arial"/>
          <w:bCs/>
          <w:szCs w:val="22"/>
        </w:rPr>
        <w:t>hospodářské</w:t>
      </w:r>
      <w:proofErr w:type="spellEnd"/>
      <w:r w:rsidRPr="00A80432">
        <w:rPr>
          <w:rFonts w:cs="Arial"/>
          <w:bCs/>
          <w:szCs w:val="22"/>
        </w:rPr>
        <w:t xml:space="preserve"> </w:t>
      </w:r>
      <w:proofErr w:type="spellStart"/>
      <w:r w:rsidRPr="00A80432">
        <w:rPr>
          <w:rFonts w:cs="Arial"/>
          <w:bCs/>
          <w:szCs w:val="22"/>
        </w:rPr>
        <w:t>soutěže</w:t>
      </w:r>
      <w:proofErr w:type="spellEnd"/>
      <w:r w:rsidRPr="00A80432">
        <w:rPr>
          <w:rFonts w:cs="Arial"/>
          <w:bCs/>
          <w:szCs w:val="22"/>
        </w:rPr>
        <w:t>, ECLI:EU:C:2025:4.</w:t>
      </w:r>
    </w:p>
    <w:p w14:paraId="253A9E5C" w14:textId="77777777" w:rsidR="00A80432" w:rsidRPr="00A80432" w:rsidRDefault="00A80432" w:rsidP="00565A93">
      <w:pPr>
        <w:numPr>
          <w:ilvl w:val="0"/>
          <w:numId w:val="29"/>
        </w:numPr>
        <w:spacing w:line="360" w:lineRule="auto"/>
        <w:jc w:val="left"/>
        <w:rPr>
          <w:rFonts w:cs="Arial"/>
          <w:bCs/>
          <w:szCs w:val="22"/>
        </w:rPr>
      </w:pPr>
      <w:r w:rsidRPr="00A80432">
        <w:rPr>
          <w:rFonts w:cs="Arial"/>
          <w:bCs/>
          <w:szCs w:val="22"/>
        </w:rPr>
        <w:t xml:space="preserve">Wyrok z dnia 16 stycznia 2025 r. w sprawie C-424/23 DYKA Plastics NV przeciwko </w:t>
      </w:r>
      <w:proofErr w:type="spellStart"/>
      <w:r w:rsidRPr="00A80432">
        <w:rPr>
          <w:rFonts w:cs="Arial"/>
          <w:bCs/>
          <w:szCs w:val="22"/>
        </w:rPr>
        <w:t>Fluvius</w:t>
      </w:r>
      <w:proofErr w:type="spellEnd"/>
      <w:r w:rsidRPr="00A80432">
        <w:rPr>
          <w:rFonts w:cs="Arial"/>
          <w:bCs/>
          <w:szCs w:val="22"/>
        </w:rPr>
        <w:t xml:space="preserve"> System Operator CV, ECLI:EU:C:2025:15.</w:t>
      </w:r>
    </w:p>
    <w:p w14:paraId="54D9E97E" w14:textId="77777777" w:rsidR="00A80432" w:rsidRPr="00A80432" w:rsidRDefault="00A80432" w:rsidP="00565A93">
      <w:pPr>
        <w:numPr>
          <w:ilvl w:val="0"/>
          <w:numId w:val="29"/>
        </w:numPr>
        <w:spacing w:line="360" w:lineRule="auto"/>
        <w:jc w:val="left"/>
        <w:rPr>
          <w:rFonts w:cs="Arial"/>
          <w:bCs/>
          <w:szCs w:val="22"/>
        </w:rPr>
      </w:pPr>
      <w:r w:rsidRPr="00A80432">
        <w:rPr>
          <w:rFonts w:cs="Arial"/>
          <w:bCs/>
          <w:szCs w:val="22"/>
        </w:rPr>
        <w:t>Wyrok z dnia 13 lutego 2025 r. w sprawie C-684/23 „</w:t>
      </w:r>
      <w:proofErr w:type="spellStart"/>
      <w:r w:rsidRPr="00A80432">
        <w:rPr>
          <w:rFonts w:cs="Arial"/>
          <w:bCs/>
          <w:szCs w:val="22"/>
        </w:rPr>
        <w:t>Latvijas</w:t>
      </w:r>
      <w:proofErr w:type="spellEnd"/>
      <w:r w:rsidRPr="00A80432">
        <w:rPr>
          <w:rFonts w:cs="Arial"/>
          <w:bCs/>
          <w:szCs w:val="22"/>
        </w:rPr>
        <w:t xml:space="preserve"> </w:t>
      </w:r>
      <w:proofErr w:type="spellStart"/>
      <w:r w:rsidRPr="00A80432">
        <w:rPr>
          <w:rFonts w:cs="Arial"/>
          <w:bCs/>
          <w:szCs w:val="22"/>
        </w:rPr>
        <w:t>Sabiedriskais</w:t>
      </w:r>
      <w:proofErr w:type="spellEnd"/>
      <w:r w:rsidRPr="00A80432">
        <w:rPr>
          <w:rFonts w:cs="Arial"/>
          <w:bCs/>
          <w:szCs w:val="22"/>
        </w:rPr>
        <w:t xml:space="preserve"> </w:t>
      </w:r>
      <w:proofErr w:type="spellStart"/>
      <w:r w:rsidRPr="00A80432">
        <w:rPr>
          <w:rFonts w:cs="Arial"/>
          <w:bCs/>
          <w:szCs w:val="22"/>
        </w:rPr>
        <w:t>Autobuss</w:t>
      </w:r>
      <w:proofErr w:type="spellEnd"/>
      <w:r w:rsidRPr="00A80432">
        <w:rPr>
          <w:rFonts w:cs="Arial"/>
          <w:bCs/>
          <w:szCs w:val="22"/>
        </w:rPr>
        <w:t xml:space="preserve">” SIA przeciwko </w:t>
      </w:r>
      <w:proofErr w:type="spellStart"/>
      <w:r w:rsidRPr="00A80432">
        <w:rPr>
          <w:rFonts w:cs="Arial"/>
          <w:bCs/>
          <w:szCs w:val="22"/>
        </w:rPr>
        <w:t>Iepirkumu</w:t>
      </w:r>
      <w:proofErr w:type="spellEnd"/>
      <w:r w:rsidRPr="00A80432">
        <w:rPr>
          <w:rFonts w:cs="Arial"/>
          <w:bCs/>
          <w:szCs w:val="22"/>
        </w:rPr>
        <w:t xml:space="preserve"> </w:t>
      </w:r>
      <w:proofErr w:type="spellStart"/>
      <w:r w:rsidRPr="00A80432">
        <w:rPr>
          <w:rFonts w:cs="Arial"/>
          <w:bCs/>
          <w:szCs w:val="22"/>
        </w:rPr>
        <w:t>uzraudzības</w:t>
      </w:r>
      <w:proofErr w:type="spellEnd"/>
      <w:r w:rsidRPr="00A80432">
        <w:rPr>
          <w:rFonts w:cs="Arial"/>
          <w:bCs/>
          <w:szCs w:val="22"/>
        </w:rPr>
        <w:t xml:space="preserve"> </w:t>
      </w:r>
      <w:proofErr w:type="spellStart"/>
      <w:r w:rsidRPr="00A80432">
        <w:rPr>
          <w:rFonts w:cs="Arial"/>
          <w:bCs/>
          <w:szCs w:val="22"/>
        </w:rPr>
        <w:t>birojs</w:t>
      </w:r>
      <w:proofErr w:type="spellEnd"/>
      <w:r w:rsidRPr="00A80432">
        <w:rPr>
          <w:rFonts w:cs="Arial"/>
          <w:bCs/>
          <w:szCs w:val="22"/>
        </w:rPr>
        <w:t>, „</w:t>
      </w:r>
      <w:proofErr w:type="spellStart"/>
      <w:r w:rsidRPr="00A80432">
        <w:rPr>
          <w:rFonts w:cs="Arial"/>
          <w:bCs/>
          <w:szCs w:val="22"/>
        </w:rPr>
        <w:t>Autotransporta</w:t>
      </w:r>
      <w:proofErr w:type="spellEnd"/>
      <w:r w:rsidRPr="00A80432">
        <w:rPr>
          <w:rFonts w:cs="Arial"/>
          <w:bCs/>
          <w:szCs w:val="22"/>
        </w:rPr>
        <w:t xml:space="preserve"> </w:t>
      </w:r>
      <w:proofErr w:type="spellStart"/>
      <w:r w:rsidRPr="00A80432">
        <w:rPr>
          <w:rFonts w:cs="Arial"/>
          <w:bCs/>
          <w:szCs w:val="22"/>
        </w:rPr>
        <w:t>direkcija</w:t>
      </w:r>
      <w:proofErr w:type="spellEnd"/>
      <w:r w:rsidRPr="00A80432">
        <w:rPr>
          <w:rFonts w:cs="Arial"/>
          <w:bCs/>
          <w:szCs w:val="22"/>
        </w:rPr>
        <w:t>” VSIA, ECLI:EU:C:2025:90.</w:t>
      </w:r>
    </w:p>
    <w:p w14:paraId="46DF57D9" w14:textId="77777777" w:rsidR="00A80432" w:rsidRPr="00A80432" w:rsidRDefault="00A80432" w:rsidP="00565A93">
      <w:pPr>
        <w:numPr>
          <w:ilvl w:val="0"/>
          <w:numId w:val="29"/>
        </w:numPr>
        <w:spacing w:line="360" w:lineRule="auto"/>
        <w:jc w:val="left"/>
        <w:rPr>
          <w:rFonts w:cs="Arial"/>
          <w:bCs/>
          <w:szCs w:val="22"/>
        </w:rPr>
      </w:pPr>
      <w:r w:rsidRPr="00A80432">
        <w:rPr>
          <w:rFonts w:cs="Arial"/>
          <w:bCs/>
          <w:szCs w:val="22"/>
        </w:rPr>
        <w:t xml:space="preserve">Wyrok z dnia 13 marca 2025 r. w sprawie C-266/22 CRRC Qingdao </w:t>
      </w:r>
      <w:proofErr w:type="spellStart"/>
      <w:r w:rsidRPr="00A80432">
        <w:rPr>
          <w:rFonts w:cs="Arial"/>
          <w:bCs/>
          <w:szCs w:val="22"/>
        </w:rPr>
        <w:t>Sifang</w:t>
      </w:r>
      <w:proofErr w:type="spellEnd"/>
      <w:r w:rsidRPr="00A80432">
        <w:rPr>
          <w:rFonts w:cs="Arial"/>
          <w:bCs/>
          <w:szCs w:val="22"/>
        </w:rPr>
        <w:t xml:space="preserve"> Co. </w:t>
      </w:r>
      <w:proofErr w:type="spellStart"/>
      <w:r w:rsidRPr="00A80432">
        <w:rPr>
          <w:rFonts w:cs="Arial"/>
          <w:bCs/>
          <w:szCs w:val="22"/>
        </w:rPr>
        <w:t>Ltd</w:t>
      </w:r>
      <w:proofErr w:type="spellEnd"/>
      <w:r w:rsidRPr="00A80432">
        <w:rPr>
          <w:rFonts w:cs="Arial"/>
          <w:bCs/>
          <w:szCs w:val="22"/>
        </w:rPr>
        <w:t xml:space="preserve">, Astra </w:t>
      </w:r>
      <w:proofErr w:type="spellStart"/>
      <w:r w:rsidRPr="00A80432">
        <w:rPr>
          <w:rFonts w:cs="Arial"/>
          <w:bCs/>
          <w:szCs w:val="22"/>
        </w:rPr>
        <w:t>Vagoane</w:t>
      </w:r>
      <w:proofErr w:type="spellEnd"/>
      <w:r w:rsidRPr="00A80432">
        <w:rPr>
          <w:rFonts w:cs="Arial"/>
          <w:bCs/>
          <w:szCs w:val="22"/>
        </w:rPr>
        <w:t xml:space="preserve"> </w:t>
      </w:r>
      <w:proofErr w:type="spellStart"/>
      <w:r w:rsidRPr="00A80432">
        <w:rPr>
          <w:rFonts w:cs="Arial"/>
          <w:bCs/>
          <w:szCs w:val="22"/>
        </w:rPr>
        <w:t>Călători</w:t>
      </w:r>
      <w:proofErr w:type="spellEnd"/>
      <w:r w:rsidRPr="00A80432">
        <w:rPr>
          <w:rFonts w:cs="Arial"/>
          <w:bCs/>
          <w:szCs w:val="22"/>
        </w:rPr>
        <w:t xml:space="preserve"> SA przeciwko </w:t>
      </w:r>
      <w:proofErr w:type="spellStart"/>
      <w:r w:rsidRPr="00A80432">
        <w:rPr>
          <w:rFonts w:cs="Arial"/>
          <w:bCs/>
          <w:szCs w:val="22"/>
        </w:rPr>
        <w:t>Autoritatea</w:t>
      </w:r>
      <w:proofErr w:type="spellEnd"/>
      <w:r w:rsidRPr="00A80432">
        <w:rPr>
          <w:rFonts w:cs="Arial"/>
          <w:bCs/>
          <w:szCs w:val="22"/>
        </w:rPr>
        <w:t xml:space="preserve"> </w:t>
      </w:r>
      <w:proofErr w:type="spellStart"/>
      <w:r w:rsidRPr="00A80432">
        <w:rPr>
          <w:rFonts w:cs="Arial"/>
          <w:bCs/>
          <w:szCs w:val="22"/>
        </w:rPr>
        <w:t>pentru</w:t>
      </w:r>
      <w:proofErr w:type="spellEnd"/>
      <w:r w:rsidRPr="00A80432">
        <w:rPr>
          <w:rFonts w:cs="Arial"/>
          <w:bCs/>
          <w:szCs w:val="22"/>
        </w:rPr>
        <w:t xml:space="preserve"> </w:t>
      </w:r>
      <w:proofErr w:type="spellStart"/>
      <w:r w:rsidRPr="00A80432">
        <w:rPr>
          <w:rFonts w:cs="Arial"/>
          <w:bCs/>
          <w:szCs w:val="22"/>
        </w:rPr>
        <w:t>Reformă</w:t>
      </w:r>
      <w:proofErr w:type="spellEnd"/>
      <w:r w:rsidRPr="00A80432">
        <w:rPr>
          <w:rFonts w:cs="Arial"/>
          <w:bCs/>
          <w:szCs w:val="22"/>
        </w:rPr>
        <w:t xml:space="preserve"> </w:t>
      </w:r>
      <w:proofErr w:type="spellStart"/>
      <w:r w:rsidRPr="00A80432">
        <w:rPr>
          <w:rFonts w:cs="Arial"/>
          <w:bCs/>
          <w:szCs w:val="22"/>
        </w:rPr>
        <w:t>Feroviară</w:t>
      </w:r>
      <w:proofErr w:type="spellEnd"/>
      <w:r w:rsidRPr="00A80432">
        <w:rPr>
          <w:rFonts w:cs="Arial"/>
          <w:bCs/>
          <w:szCs w:val="22"/>
        </w:rPr>
        <w:t xml:space="preserve">, Alstom </w:t>
      </w:r>
      <w:proofErr w:type="spellStart"/>
      <w:r w:rsidRPr="00A80432">
        <w:rPr>
          <w:rFonts w:cs="Arial"/>
          <w:bCs/>
          <w:szCs w:val="22"/>
        </w:rPr>
        <w:t>Ferroviaria</w:t>
      </w:r>
      <w:proofErr w:type="spellEnd"/>
      <w:r w:rsidRPr="00A80432">
        <w:rPr>
          <w:rFonts w:cs="Arial"/>
          <w:bCs/>
          <w:szCs w:val="22"/>
        </w:rPr>
        <w:t xml:space="preserve"> </w:t>
      </w:r>
      <w:proofErr w:type="spellStart"/>
      <w:r w:rsidRPr="00A80432">
        <w:rPr>
          <w:rFonts w:cs="Arial"/>
          <w:bCs/>
          <w:szCs w:val="22"/>
        </w:rPr>
        <w:t>SpA</w:t>
      </w:r>
      <w:proofErr w:type="spellEnd"/>
      <w:r w:rsidRPr="00A80432">
        <w:rPr>
          <w:rFonts w:cs="Arial"/>
          <w:bCs/>
          <w:szCs w:val="22"/>
        </w:rPr>
        <w:t>, ECLI:EU:C:2025:178.</w:t>
      </w:r>
    </w:p>
    <w:p w14:paraId="0139E7D8" w14:textId="77777777" w:rsidR="00A80432" w:rsidRPr="00A80432" w:rsidRDefault="00A80432" w:rsidP="00565A93">
      <w:pPr>
        <w:numPr>
          <w:ilvl w:val="0"/>
          <w:numId w:val="29"/>
        </w:numPr>
        <w:spacing w:line="360" w:lineRule="auto"/>
        <w:jc w:val="left"/>
        <w:rPr>
          <w:rFonts w:cs="Arial"/>
          <w:bCs/>
          <w:szCs w:val="22"/>
        </w:rPr>
      </w:pPr>
      <w:r w:rsidRPr="00A80432">
        <w:rPr>
          <w:rFonts w:cs="Arial"/>
          <w:bCs/>
          <w:szCs w:val="22"/>
        </w:rPr>
        <w:t xml:space="preserve">Wyrok z dnia 20 marca 2025 r. w sprawach C-728/22 do C-730/22 </w:t>
      </w:r>
      <w:proofErr w:type="spellStart"/>
      <w:r w:rsidRPr="00A80432">
        <w:rPr>
          <w:rFonts w:cs="Arial"/>
          <w:bCs/>
          <w:szCs w:val="22"/>
        </w:rPr>
        <w:t>Associazione</w:t>
      </w:r>
      <w:proofErr w:type="spellEnd"/>
      <w:r w:rsidRPr="00A80432">
        <w:rPr>
          <w:rFonts w:cs="Arial"/>
          <w:bCs/>
          <w:szCs w:val="22"/>
        </w:rPr>
        <w:t xml:space="preserve"> </w:t>
      </w:r>
      <w:proofErr w:type="spellStart"/>
      <w:r w:rsidRPr="00A80432">
        <w:rPr>
          <w:rFonts w:cs="Arial"/>
          <w:bCs/>
          <w:szCs w:val="22"/>
        </w:rPr>
        <w:t>Nazionale</w:t>
      </w:r>
      <w:proofErr w:type="spellEnd"/>
      <w:r w:rsidRPr="00A80432">
        <w:rPr>
          <w:rFonts w:cs="Arial"/>
          <w:bCs/>
          <w:szCs w:val="22"/>
        </w:rPr>
        <w:t xml:space="preserve"> </w:t>
      </w:r>
      <w:proofErr w:type="spellStart"/>
      <w:r w:rsidRPr="00A80432">
        <w:rPr>
          <w:rFonts w:cs="Arial"/>
          <w:bCs/>
          <w:szCs w:val="22"/>
        </w:rPr>
        <w:t>Italiana</w:t>
      </w:r>
      <w:proofErr w:type="spellEnd"/>
      <w:r w:rsidRPr="00A80432">
        <w:rPr>
          <w:rFonts w:cs="Arial"/>
          <w:bCs/>
          <w:szCs w:val="22"/>
        </w:rPr>
        <w:t xml:space="preserve"> Bingo – </w:t>
      </w:r>
      <w:proofErr w:type="spellStart"/>
      <w:r w:rsidRPr="00A80432">
        <w:rPr>
          <w:rFonts w:cs="Arial"/>
          <w:bCs/>
          <w:szCs w:val="22"/>
        </w:rPr>
        <w:t>Anib</w:t>
      </w:r>
      <w:proofErr w:type="spellEnd"/>
      <w:r w:rsidRPr="00A80432">
        <w:rPr>
          <w:rFonts w:cs="Arial"/>
          <w:bCs/>
          <w:szCs w:val="22"/>
        </w:rPr>
        <w:t xml:space="preserve">, Play Game </w:t>
      </w:r>
      <w:proofErr w:type="spellStart"/>
      <w:r w:rsidRPr="00A80432">
        <w:rPr>
          <w:rFonts w:cs="Arial"/>
          <w:bCs/>
          <w:szCs w:val="22"/>
        </w:rPr>
        <w:t>Srl</w:t>
      </w:r>
      <w:proofErr w:type="spellEnd"/>
      <w:r w:rsidRPr="00A80432">
        <w:rPr>
          <w:rFonts w:cs="Arial"/>
          <w:bCs/>
          <w:szCs w:val="22"/>
        </w:rPr>
        <w:t xml:space="preserve"> i in. przeciwko </w:t>
      </w:r>
      <w:proofErr w:type="spellStart"/>
      <w:r w:rsidRPr="00A80432">
        <w:rPr>
          <w:rFonts w:cs="Arial"/>
          <w:bCs/>
          <w:szCs w:val="22"/>
        </w:rPr>
        <w:t>Ministero</w:t>
      </w:r>
      <w:proofErr w:type="spellEnd"/>
      <w:r w:rsidRPr="00A80432">
        <w:rPr>
          <w:rFonts w:cs="Arial"/>
          <w:bCs/>
          <w:szCs w:val="22"/>
        </w:rPr>
        <w:t xml:space="preserve"> </w:t>
      </w:r>
      <w:proofErr w:type="spellStart"/>
      <w:r w:rsidRPr="00A80432">
        <w:rPr>
          <w:rFonts w:cs="Arial"/>
          <w:bCs/>
          <w:szCs w:val="22"/>
        </w:rPr>
        <w:t>dell’Economia</w:t>
      </w:r>
      <w:proofErr w:type="spellEnd"/>
      <w:r w:rsidRPr="00A80432">
        <w:rPr>
          <w:rFonts w:cs="Arial"/>
          <w:bCs/>
          <w:szCs w:val="22"/>
        </w:rPr>
        <w:t xml:space="preserve"> e </w:t>
      </w:r>
      <w:proofErr w:type="spellStart"/>
      <w:r w:rsidRPr="00A80432">
        <w:rPr>
          <w:rFonts w:cs="Arial"/>
          <w:bCs/>
          <w:szCs w:val="22"/>
        </w:rPr>
        <w:t>delle</w:t>
      </w:r>
      <w:proofErr w:type="spellEnd"/>
      <w:r w:rsidRPr="00A80432">
        <w:rPr>
          <w:rFonts w:cs="Arial"/>
          <w:bCs/>
          <w:szCs w:val="22"/>
        </w:rPr>
        <w:t xml:space="preserve"> </w:t>
      </w:r>
      <w:proofErr w:type="spellStart"/>
      <w:r w:rsidRPr="00A80432">
        <w:rPr>
          <w:rFonts w:cs="Arial"/>
          <w:bCs/>
          <w:szCs w:val="22"/>
        </w:rPr>
        <w:t>Finanze</w:t>
      </w:r>
      <w:proofErr w:type="spellEnd"/>
      <w:r w:rsidRPr="00A80432">
        <w:rPr>
          <w:rFonts w:cs="Arial"/>
          <w:bCs/>
          <w:szCs w:val="22"/>
        </w:rPr>
        <w:t xml:space="preserve">, </w:t>
      </w:r>
      <w:proofErr w:type="spellStart"/>
      <w:r w:rsidRPr="00A80432">
        <w:rPr>
          <w:rFonts w:cs="Arial"/>
          <w:bCs/>
          <w:szCs w:val="22"/>
        </w:rPr>
        <w:t>Agenzia</w:t>
      </w:r>
      <w:proofErr w:type="spellEnd"/>
      <w:r w:rsidRPr="00A80432">
        <w:rPr>
          <w:rFonts w:cs="Arial"/>
          <w:bCs/>
          <w:szCs w:val="22"/>
        </w:rPr>
        <w:t xml:space="preserve"> </w:t>
      </w:r>
      <w:proofErr w:type="spellStart"/>
      <w:r w:rsidRPr="00A80432">
        <w:rPr>
          <w:rFonts w:cs="Arial"/>
          <w:bCs/>
          <w:szCs w:val="22"/>
        </w:rPr>
        <w:t>delle</w:t>
      </w:r>
      <w:proofErr w:type="spellEnd"/>
      <w:r w:rsidRPr="00A80432">
        <w:rPr>
          <w:rFonts w:cs="Arial"/>
          <w:bCs/>
          <w:szCs w:val="22"/>
        </w:rPr>
        <w:t xml:space="preserve"> </w:t>
      </w:r>
      <w:proofErr w:type="spellStart"/>
      <w:r w:rsidRPr="00A80432">
        <w:rPr>
          <w:rFonts w:cs="Arial"/>
          <w:bCs/>
          <w:szCs w:val="22"/>
        </w:rPr>
        <w:t>Dogane</w:t>
      </w:r>
      <w:proofErr w:type="spellEnd"/>
      <w:r w:rsidRPr="00A80432">
        <w:rPr>
          <w:rFonts w:cs="Arial"/>
          <w:bCs/>
          <w:szCs w:val="22"/>
        </w:rPr>
        <w:t xml:space="preserve"> e dei Monopoli, ECLI:EU:C:2025:200.</w:t>
      </w:r>
    </w:p>
    <w:p w14:paraId="257FEBF0" w14:textId="77777777" w:rsidR="00A80432" w:rsidRPr="00A80432" w:rsidRDefault="00A80432" w:rsidP="00565A93">
      <w:pPr>
        <w:numPr>
          <w:ilvl w:val="0"/>
          <w:numId w:val="29"/>
        </w:numPr>
        <w:spacing w:line="360" w:lineRule="auto"/>
        <w:jc w:val="left"/>
        <w:rPr>
          <w:rFonts w:cs="Arial"/>
          <w:bCs/>
          <w:szCs w:val="22"/>
        </w:rPr>
      </w:pPr>
      <w:r w:rsidRPr="00A80432">
        <w:rPr>
          <w:rFonts w:cs="Arial"/>
          <w:bCs/>
          <w:szCs w:val="22"/>
        </w:rPr>
        <w:t xml:space="preserve">Wyrok z dnia 29 kwietnia 2025 r. w sprawie C-452/23 </w:t>
      </w:r>
      <w:proofErr w:type="spellStart"/>
      <w:r w:rsidRPr="00A80432">
        <w:rPr>
          <w:rFonts w:cs="Arial"/>
          <w:bCs/>
          <w:szCs w:val="22"/>
        </w:rPr>
        <w:t>Fastned</w:t>
      </w:r>
      <w:proofErr w:type="spellEnd"/>
      <w:r w:rsidRPr="00A80432">
        <w:rPr>
          <w:rFonts w:cs="Arial"/>
          <w:bCs/>
          <w:szCs w:val="22"/>
        </w:rPr>
        <w:t xml:space="preserve"> </w:t>
      </w:r>
      <w:proofErr w:type="spellStart"/>
      <w:r w:rsidRPr="00A80432">
        <w:rPr>
          <w:rFonts w:cs="Arial"/>
          <w:bCs/>
          <w:szCs w:val="22"/>
        </w:rPr>
        <w:t>Deutschland</w:t>
      </w:r>
      <w:proofErr w:type="spellEnd"/>
      <w:r w:rsidRPr="00A80432">
        <w:rPr>
          <w:rFonts w:cs="Arial"/>
          <w:bCs/>
          <w:szCs w:val="22"/>
        </w:rPr>
        <w:t xml:space="preserve"> GmbH &amp; Co. KG przeciwko </w:t>
      </w:r>
      <w:proofErr w:type="spellStart"/>
      <w:r w:rsidRPr="00A80432">
        <w:rPr>
          <w:rFonts w:cs="Arial"/>
          <w:bCs/>
          <w:szCs w:val="22"/>
        </w:rPr>
        <w:t>Die</w:t>
      </w:r>
      <w:proofErr w:type="spellEnd"/>
      <w:r w:rsidRPr="00A80432">
        <w:rPr>
          <w:rFonts w:cs="Arial"/>
          <w:bCs/>
          <w:szCs w:val="22"/>
        </w:rPr>
        <w:t xml:space="preserve"> </w:t>
      </w:r>
      <w:proofErr w:type="spellStart"/>
      <w:r w:rsidRPr="00A80432">
        <w:rPr>
          <w:rFonts w:cs="Arial"/>
          <w:bCs/>
          <w:szCs w:val="22"/>
        </w:rPr>
        <w:t>Autobahn</w:t>
      </w:r>
      <w:proofErr w:type="spellEnd"/>
      <w:r w:rsidRPr="00A80432">
        <w:rPr>
          <w:rFonts w:cs="Arial"/>
          <w:bCs/>
          <w:szCs w:val="22"/>
        </w:rPr>
        <w:t xml:space="preserve"> GmbH des </w:t>
      </w:r>
      <w:proofErr w:type="spellStart"/>
      <w:r w:rsidRPr="00A80432">
        <w:rPr>
          <w:rFonts w:cs="Arial"/>
          <w:bCs/>
          <w:szCs w:val="22"/>
        </w:rPr>
        <w:t>Bundes</w:t>
      </w:r>
      <w:proofErr w:type="spellEnd"/>
      <w:r w:rsidRPr="00A80432">
        <w:rPr>
          <w:rFonts w:cs="Arial"/>
          <w:bCs/>
          <w:szCs w:val="22"/>
        </w:rPr>
        <w:t>, ECLI:EU:C:2025:284.</w:t>
      </w:r>
    </w:p>
    <w:p w14:paraId="378B1EF2" w14:textId="77777777" w:rsidR="00A80432" w:rsidRPr="00A80432" w:rsidRDefault="00A80432" w:rsidP="00565A93">
      <w:pPr>
        <w:numPr>
          <w:ilvl w:val="0"/>
          <w:numId w:val="29"/>
        </w:numPr>
        <w:spacing w:line="360" w:lineRule="auto"/>
        <w:jc w:val="left"/>
        <w:rPr>
          <w:rFonts w:cs="Arial"/>
          <w:bCs/>
          <w:szCs w:val="22"/>
        </w:rPr>
      </w:pPr>
      <w:r w:rsidRPr="00A80432">
        <w:rPr>
          <w:rFonts w:cs="Arial"/>
          <w:bCs/>
          <w:szCs w:val="22"/>
        </w:rPr>
        <w:t xml:space="preserve">Wyrok z dnia 5 czerwca 2025 r. w sprawie C-82/24 Miejskie Przedsiębiorstwo Wodociągów i Kanalizacji w m.st. Warszawie S.A. przeciwko </w:t>
      </w:r>
      <w:proofErr w:type="spellStart"/>
      <w:r w:rsidRPr="00A80432">
        <w:rPr>
          <w:rFonts w:cs="Arial"/>
          <w:bCs/>
          <w:szCs w:val="22"/>
        </w:rPr>
        <w:t>Veolia</w:t>
      </w:r>
      <w:proofErr w:type="spellEnd"/>
      <w:r w:rsidRPr="00A80432">
        <w:rPr>
          <w:rFonts w:cs="Arial"/>
          <w:bCs/>
          <w:szCs w:val="22"/>
        </w:rPr>
        <w:t xml:space="preserve"> </w:t>
      </w:r>
      <w:proofErr w:type="spellStart"/>
      <w:r w:rsidRPr="00A80432">
        <w:rPr>
          <w:rFonts w:cs="Arial"/>
          <w:bCs/>
          <w:szCs w:val="22"/>
        </w:rPr>
        <w:t>Water</w:t>
      </w:r>
      <w:proofErr w:type="spellEnd"/>
      <w:r w:rsidRPr="00A80432">
        <w:rPr>
          <w:rFonts w:cs="Arial"/>
          <w:bCs/>
          <w:szCs w:val="22"/>
        </w:rPr>
        <w:t xml:space="preserve"> Technologies sp. z o.o., </w:t>
      </w:r>
      <w:proofErr w:type="spellStart"/>
      <w:r w:rsidRPr="00A80432">
        <w:rPr>
          <w:rFonts w:cs="Arial"/>
          <w:bCs/>
          <w:szCs w:val="22"/>
        </w:rPr>
        <w:t>Krüger</w:t>
      </w:r>
      <w:proofErr w:type="spellEnd"/>
      <w:r w:rsidRPr="00A80432">
        <w:rPr>
          <w:rFonts w:cs="Arial"/>
          <w:bCs/>
          <w:szCs w:val="22"/>
        </w:rPr>
        <w:t xml:space="preserve"> A/S, OTV France, </w:t>
      </w:r>
      <w:proofErr w:type="spellStart"/>
      <w:r w:rsidRPr="00A80432">
        <w:rPr>
          <w:rFonts w:cs="Arial"/>
          <w:bCs/>
          <w:szCs w:val="22"/>
        </w:rPr>
        <w:t>Haarslev</w:t>
      </w:r>
      <w:proofErr w:type="spellEnd"/>
      <w:r w:rsidRPr="00A80432">
        <w:rPr>
          <w:rFonts w:cs="Arial"/>
          <w:bCs/>
          <w:szCs w:val="22"/>
        </w:rPr>
        <w:t xml:space="preserve"> </w:t>
      </w:r>
      <w:proofErr w:type="spellStart"/>
      <w:r w:rsidRPr="00A80432">
        <w:rPr>
          <w:rFonts w:cs="Arial"/>
          <w:bCs/>
          <w:szCs w:val="22"/>
        </w:rPr>
        <w:t>Industries</w:t>
      </w:r>
      <w:proofErr w:type="spellEnd"/>
      <w:r w:rsidRPr="00A80432">
        <w:rPr>
          <w:rFonts w:cs="Arial"/>
          <w:bCs/>
          <w:szCs w:val="22"/>
        </w:rPr>
        <w:t xml:space="preserve"> GmbH, Warbud S.A., ECLI:EU:C:2025:396.</w:t>
      </w:r>
    </w:p>
    <w:p w14:paraId="6F2EF733" w14:textId="77777777" w:rsidR="00A80432" w:rsidRPr="00A80432" w:rsidRDefault="00A80432" w:rsidP="00565A93">
      <w:pPr>
        <w:numPr>
          <w:ilvl w:val="0"/>
          <w:numId w:val="29"/>
        </w:numPr>
        <w:spacing w:line="360" w:lineRule="auto"/>
        <w:jc w:val="left"/>
        <w:rPr>
          <w:rFonts w:cs="Arial"/>
          <w:bCs/>
          <w:szCs w:val="22"/>
        </w:rPr>
      </w:pPr>
      <w:r w:rsidRPr="00A80432">
        <w:rPr>
          <w:rFonts w:cs="Arial"/>
          <w:bCs/>
          <w:szCs w:val="22"/>
        </w:rPr>
        <w:t xml:space="preserve">Postanowienie z dnia 10 czerwca 2025 r. w sprawie C-686/24 </w:t>
      </w:r>
      <w:proofErr w:type="spellStart"/>
      <w:r w:rsidRPr="00A80432">
        <w:rPr>
          <w:rFonts w:cs="Arial"/>
          <w:bCs/>
          <w:szCs w:val="22"/>
        </w:rPr>
        <w:t>Nidec</w:t>
      </w:r>
      <w:proofErr w:type="spellEnd"/>
      <w:r w:rsidRPr="00A80432">
        <w:rPr>
          <w:rFonts w:cs="Arial"/>
          <w:bCs/>
          <w:szCs w:val="22"/>
        </w:rPr>
        <w:t xml:space="preserve"> ASI </w:t>
      </w:r>
      <w:proofErr w:type="spellStart"/>
      <w:r w:rsidRPr="00A80432">
        <w:rPr>
          <w:rFonts w:cs="Arial"/>
          <w:bCs/>
          <w:szCs w:val="22"/>
        </w:rPr>
        <w:t>SpA</w:t>
      </w:r>
      <w:proofErr w:type="spellEnd"/>
      <w:r w:rsidRPr="00A80432">
        <w:rPr>
          <w:rFonts w:cs="Arial"/>
          <w:bCs/>
          <w:szCs w:val="22"/>
        </w:rPr>
        <w:t xml:space="preserve">, </w:t>
      </w:r>
      <w:proofErr w:type="spellStart"/>
      <w:r w:rsidRPr="00A80432">
        <w:rPr>
          <w:rFonts w:cs="Arial"/>
          <w:bCs/>
          <w:szCs w:val="22"/>
        </w:rPr>
        <w:t>Ceisis</w:t>
      </w:r>
      <w:proofErr w:type="spellEnd"/>
      <w:r w:rsidRPr="00A80432">
        <w:rPr>
          <w:rFonts w:cs="Arial"/>
          <w:bCs/>
          <w:szCs w:val="22"/>
        </w:rPr>
        <w:t xml:space="preserve"> </w:t>
      </w:r>
      <w:proofErr w:type="spellStart"/>
      <w:r w:rsidRPr="00A80432">
        <w:rPr>
          <w:rFonts w:cs="Arial"/>
          <w:bCs/>
          <w:szCs w:val="22"/>
        </w:rPr>
        <w:t>SpA</w:t>
      </w:r>
      <w:proofErr w:type="spellEnd"/>
      <w:r w:rsidRPr="00A80432">
        <w:rPr>
          <w:rFonts w:cs="Arial"/>
          <w:bCs/>
          <w:szCs w:val="22"/>
        </w:rPr>
        <w:t xml:space="preserve"> </w:t>
      </w:r>
      <w:proofErr w:type="spellStart"/>
      <w:r w:rsidRPr="00A80432">
        <w:rPr>
          <w:rFonts w:cs="Arial"/>
          <w:bCs/>
          <w:szCs w:val="22"/>
        </w:rPr>
        <w:t>Sistemi</w:t>
      </w:r>
      <w:proofErr w:type="spellEnd"/>
      <w:r w:rsidRPr="00A80432">
        <w:rPr>
          <w:rFonts w:cs="Arial"/>
          <w:bCs/>
          <w:szCs w:val="22"/>
        </w:rPr>
        <w:t xml:space="preserve"> </w:t>
      </w:r>
      <w:proofErr w:type="spellStart"/>
      <w:r w:rsidRPr="00A80432">
        <w:rPr>
          <w:rFonts w:cs="Arial"/>
          <w:bCs/>
          <w:szCs w:val="22"/>
        </w:rPr>
        <w:t>Impiantistici</w:t>
      </w:r>
      <w:proofErr w:type="spellEnd"/>
      <w:r w:rsidRPr="00A80432">
        <w:rPr>
          <w:rFonts w:cs="Arial"/>
          <w:bCs/>
          <w:szCs w:val="22"/>
        </w:rPr>
        <w:t xml:space="preserve"> </w:t>
      </w:r>
      <w:proofErr w:type="spellStart"/>
      <w:r w:rsidRPr="00A80432">
        <w:rPr>
          <w:rFonts w:cs="Arial"/>
          <w:bCs/>
          <w:szCs w:val="22"/>
        </w:rPr>
        <w:t>Integrati</w:t>
      </w:r>
      <w:proofErr w:type="spellEnd"/>
      <w:r w:rsidRPr="00A80432">
        <w:rPr>
          <w:rFonts w:cs="Arial"/>
          <w:bCs/>
          <w:szCs w:val="22"/>
        </w:rPr>
        <w:t xml:space="preserve"> przeciwko </w:t>
      </w:r>
      <w:proofErr w:type="spellStart"/>
      <w:r w:rsidRPr="00A80432">
        <w:rPr>
          <w:rFonts w:cs="Arial"/>
          <w:bCs/>
          <w:szCs w:val="22"/>
        </w:rPr>
        <w:t>Ministero</w:t>
      </w:r>
      <w:proofErr w:type="spellEnd"/>
      <w:r w:rsidRPr="00A80432">
        <w:rPr>
          <w:rFonts w:cs="Arial"/>
          <w:bCs/>
          <w:szCs w:val="22"/>
        </w:rPr>
        <w:t xml:space="preserve"> per </w:t>
      </w:r>
      <w:proofErr w:type="spellStart"/>
      <w:r w:rsidRPr="00A80432">
        <w:rPr>
          <w:rFonts w:cs="Arial"/>
          <w:bCs/>
          <w:szCs w:val="22"/>
        </w:rPr>
        <w:t>gli</w:t>
      </w:r>
      <w:proofErr w:type="spellEnd"/>
      <w:r w:rsidRPr="00A80432">
        <w:rPr>
          <w:rFonts w:cs="Arial"/>
          <w:bCs/>
          <w:szCs w:val="22"/>
        </w:rPr>
        <w:t xml:space="preserve"> </w:t>
      </w:r>
      <w:proofErr w:type="spellStart"/>
      <w:r w:rsidRPr="00A80432">
        <w:rPr>
          <w:rFonts w:cs="Arial"/>
          <w:bCs/>
          <w:szCs w:val="22"/>
        </w:rPr>
        <w:t>Affari</w:t>
      </w:r>
      <w:proofErr w:type="spellEnd"/>
      <w:r w:rsidRPr="00A80432">
        <w:rPr>
          <w:rFonts w:cs="Arial"/>
          <w:bCs/>
          <w:szCs w:val="22"/>
        </w:rPr>
        <w:t xml:space="preserve"> </w:t>
      </w:r>
      <w:proofErr w:type="spellStart"/>
      <w:r w:rsidRPr="00A80432">
        <w:rPr>
          <w:rFonts w:cs="Arial"/>
          <w:bCs/>
          <w:szCs w:val="22"/>
        </w:rPr>
        <w:t>europei</w:t>
      </w:r>
      <w:proofErr w:type="spellEnd"/>
      <w:r w:rsidRPr="00A80432">
        <w:rPr>
          <w:rFonts w:cs="Arial"/>
          <w:bCs/>
          <w:szCs w:val="22"/>
        </w:rPr>
        <w:t xml:space="preserve">, </w:t>
      </w:r>
      <w:proofErr w:type="spellStart"/>
      <w:r w:rsidRPr="00A80432">
        <w:rPr>
          <w:rFonts w:cs="Arial"/>
          <w:bCs/>
          <w:szCs w:val="22"/>
        </w:rPr>
        <w:t>Politiche</w:t>
      </w:r>
      <w:proofErr w:type="spellEnd"/>
      <w:r w:rsidRPr="00A80432">
        <w:rPr>
          <w:rFonts w:cs="Arial"/>
          <w:bCs/>
          <w:szCs w:val="22"/>
        </w:rPr>
        <w:t xml:space="preserve"> di </w:t>
      </w:r>
      <w:proofErr w:type="spellStart"/>
      <w:r w:rsidRPr="00A80432">
        <w:rPr>
          <w:rFonts w:cs="Arial"/>
          <w:bCs/>
          <w:szCs w:val="22"/>
        </w:rPr>
        <w:t>coesione</w:t>
      </w:r>
      <w:proofErr w:type="spellEnd"/>
      <w:r w:rsidRPr="00A80432">
        <w:rPr>
          <w:rFonts w:cs="Arial"/>
          <w:bCs/>
          <w:szCs w:val="22"/>
        </w:rPr>
        <w:t xml:space="preserve"> e Piano </w:t>
      </w:r>
      <w:proofErr w:type="spellStart"/>
      <w:r w:rsidRPr="00A80432">
        <w:rPr>
          <w:rFonts w:cs="Arial"/>
          <w:bCs/>
          <w:szCs w:val="22"/>
        </w:rPr>
        <w:t>nazionale</w:t>
      </w:r>
      <w:proofErr w:type="spellEnd"/>
      <w:r w:rsidRPr="00A80432">
        <w:rPr>
          <w:rFonts w:cs="Arial"/>
          <w:bCs/>
          <w:szCs w:val="22"/>
        </w:rPr>
        <w:t xml:space="preserve"> di </w:t>
      </w:r>
      <w:proofErr w:type="spellStart"/>
      <w:r w:rsidRPr="00A80432">
        <w:rPr>
          <w:rFonts w:cs="Arial"/>
          <w:bCs/>
          <w:szCs w:val="22"/>
        </w:rPr>
        <w:t>ripresa</w:t>
      </w:r>
      <w:proofErr w:type="spellEnd"/>
      <w:r w:rsidRPr="00A80432">
        <w:rPr>
          <w:rFonts w:cs="Arial"/>
          <w:bCs/>
          <w:szCs w:val="22"/>
        </w:rPr>
        <w:t xml:space="preserve"> e </w:t>
      </w:r>
      <w:proofErr w:type="spellStart"/>
      <w:r w:rsidRPr="00A80432">
        <w:rPr>
          <w:rFonts w:cs="Arial"/>
          <w:bCs/>
          <w:szCs w:val="22"/>
        </w:rPr>
        <w:t>resilienza</w:t>
      </w:r>
      <w:proofErr w:type="spellEnd"/>
      <w:r w:rsidRPr="00A80432">
        <w:rPr>
          <w:rFonts w:cs="Arial"/>
          <w:bCs/>
          <w:szCs w:val="22"/>
        </w:rPr>
        <w:t xml:space="preserve">, </w:t>
      </w:r>
      <w:proofErr w:type="spellStart"/>
      <w:r w:rsidRPr="00A80432">
        <w:rPr>
          <w:rFonts w:cs="Arial"/>
          <w:bCs/>
          <w:szCs w:val="22"/>
        </w:rPr>
        <w:t>Autorità</w:t>
      </w:r>
      <w:proofErr w:type="spellEnd"/>
      <w:r w:rsidRPr="00A80432">
        <w:rPr>
          <w:rFonts w:cs="Arial"/>
          <w:bCs/>
          <w:szCs w:val="22"/>
        </w:rPr>
        <w:t xml:space="preserve"> di </w:t>
      </w:r>
      <w:proofErr w:type="spellStart"/>
      <w:r w:rsidRPr="00A80432">
        <w:rPr>
          <w:rFonts w:cs="Arial"/>
          <w:bCs/>
          <w:szCs w:val="22"/>
        </w:rPr>
        <w:t>Sistema</w:t>
      </w:r>
      <w:proofErr w:type="spellEnd"/>
      <w:r w:rsidRPr="00A80432">
        <w:rPr>
          <w:rFonts w:cs="Arial"/>
          <w:bCs/>
          <w:szCs w:val="22"/>
        </w:rPr>
        <w:t xml:space="preserve"> </w:t>
      </w:r>
      <w:proofErr w:type="spellStart"/>
      <w:r w:rsidRPr="00A80432">
        <w:rPr>
          <w:rFonts w:cs="Arial"/>
          <w:bCs/>
          <w:szCs w:val="22"/>
        </w:rPr>
        <w:t>portuale</w:t>
      </w:r>
      <w:proofErr w:type="spellEnd"/>
      <w:r w:rsidRPr="00A80432">
        <w:rPr>
          <w:rFonts w:cs="Arial"/>
          <w:bCs/>
          <w:szCs w:val="22"/>
        </w:rPr>
        <w:t xml:space="preserve"> del Mare di </w:t>
      </w:r>
      <w:proofErr w:type="spellStart"/>
      <w:r w:rsidRPr="00A80432">
        <w:rPr>
          <w:rFonts w:cs="Arial"/>
          <w:bCs/>
          <w:szCs w:val="22"/>
        </w:rPr>
        <w:t>Sardegna</w:t>
      </w:r>
      <w:proofErr w:type="spellEnd"/>
      <w:r w:rsidRPr="00A80432">
        <w:rPr>
          <w:rFonts w:cs="Arial"/>
          <w:bCs/>
          <w:szCs w:val="22"/>
        </w:rPr>
        <w:t xml:space="preserve">, </w:t>
      </w:r>
      <w:proofErr w:type="spellStart"/>
      <w:r w:rsidRPr="00A80432">
        <w:rPr>
          <w:rFonts w:cs="Arial"/>
          <w:bCs/>
          <w:szCs w:val="22"/>
        </w:rPr>
        <w:t>Ministero</w:t>
      </w:r>
      <w:proofErr w:type="spellEnd"/>
      <w:r w:rsidRPr="00A80432">
        <w:rPr>
          <w:rFonts w:cs="Arial"/>
          <w:bCs/>
          <w:szCs w:val="22"/>
        </w:rPr>
        <w:t xml:space="preserve"> </w:t>
      </w:r>
      <w:proofErr w:type="spellStart"/>
      <w:r w:rsidRPr="00A80432">
        <w:rPr>
          <w:rFonts w:cs="Arial"/>
          <w:bCs/>
          <w:szCs w:val="22"/>
        </w:rPr>
        <w:t>delle</w:t>
      </w:r>
      <w:proofErr w:type="spellEnd"/>
      <w:r w:rsidRPr="00A80432">
        <w:rPr>
          <w:rFonts w:cs="Arial"/>
          <w:bCs/>
          <w:szCs w:val="22"/>
        </w:rPr>
        <w:t xml:space="preserve"> </w:t>
      </w:r>
      <w:proofErr w:type="spellStart"/>
      <w:r w:rsidRPr="00A80432">
        <w:rPr>
          <w:rFonts w:cs="Arial"/>
          <w:bCs/>
          <w:szCs w:val="22"/>
        </w:rPr>
        <w:t>Infrastrutture</w:t>
      </w:r>
      <w:proofErr w:type="spellEnd"/>
      <w:r w:rsidRPr="00A80432">
        <w:rPr>
          <w:rFonts w:cs="Arial"/>
          <w:bCs/>
          <w:szCs w:val="22"/>
        </w:rPr>
        <w:t xml:space="preserve"> e dei </w:t>
      </w:r>
      <w:proofErr w:type="spellStart"/>
      <w:r w:rsidRPr="00A80432">
        <w:rPr>
          <w:rFonts w:cs="Arial"/>
          <w:bCs/>
          <w:szCs w:val="22"/>
        </w:rPr>
        <w:t>Trasporti</w:t>
      </w:r>
      <w:proofErr w:type="spellEnd"/>
      <w:r w:rsidRPr="00A80432">
        <w:rPr>
          <w:rFonts w:cs="Arial"/>
          <w:bCs/>
          <w:szCs w:val="22"/>
        </w:rPr>
        <w:t>, ECLI:EU:C:2025:448.</w:t>
      </w:r>
    </w:p>
    <w:p w14:paraId="77CE5A68" w14:textId="77777777" w:rsidR="00A80432" w:rsidRPr="00A80432" w:rsidRDefault="00A80432" w:rsidP="00565A93">
      <w:pPr>
        <w:numPr>
          <w:ilvl w:val="0"/>
          <w:numId w:val="29"/>
        </w:numPr>
        <w:spacing w:line="360" w:lineRule="auto"/>
        <w:jc w:val="left"/>
        <w:rPr>
          <w:rFonts w:cs="Arial"/>
          <w:bCs/>
          <w:szCs w:val="22"/>
        </w:rPr>
      </w:pPr>
      <w:r w:rsidRPr="00A80432">
        <w:rPr>
          <w:rFonts w:cs="Arial"/>
          <w:bCs/>
          <w:szCs w:val="22"/>
        </w:rPr>
        <w:t xml:space="preserve">Wyrok z dnia 10 lipca 2025 r. w sprawie C-715/23 </w:t>
      </w:r>
      <w:proofErr w:type="spellStart"/>
      <w:r w:rsidRPr="00A80432">
        <w:rPr>
          <w:rFonts w:cs="Arial"/>
          <w:bCs/>
          <w:szCs w:val="22"/>
        </w:rPr>
        <w:t>Farmacija</w:t>
      </w:r>
      <w:proofErr w:type="spellEnd"/>
      <w:r w:rsidRPr="00A80432">
        <w:rPr>
          <w:rFonts w:cs="Arial"/>
          <w:bCs/>
          <w:szCs w:val="22"/>
        </w:rPr>
        <w:t xml:space="preserve"> </w:t>
      </w:r>
      <w:proofErr w:type="spellStart"/>
      <w:r w:rsidRPr="00A80432">
        <w:rPr>
          <w:rFonts w:cs="Arial"/>
          <w:bCs/>
          <w:szCs w:val="22"/>
        </w:rPr>
        <w:t>d.o.o</w:t>
      </w:r>
      <w:proofErr w:type="spellEnd"/>
      <w:r w:rsidRPr="00A80432">
        <w:rPr>
          <w:rFonts w:cs="Arial"/>
          <w:bCs/>
          <w:szCs w:val="22"/>
        </w:rPr>
        <w:t xml:space="preserve">. przeciwko </w:t>
      </w:r>
      <w:proofErr w:type="spellStart"/>
      <w:r w:rsidRPr="00A80432">
        <w:rPr>
          <w:rFonts w:cs="Arial"/>
          <w:bCs/>
          <w:szCs w:val="22"/>
        </w:rPr>
        <w:t>Občina</w:t>
      </w:r>
      <w:proofErr w:type="spellEnd"/>
      <w:r w:rsidRPr="00A80432">
        <w:rPr>
          <w:rFonts w:cs="Arial"/>
          <w:bCs/>
          <w:szCs w:val="22"/>
        </w:rPr>
        <w:t xml:space="preserve"> </w:t>
      </w:r>
      <w:proofErr w:type="spellStart"/>
      <w:r w:rsidRPr="00A80432">
        <w:rPr>
          <w:rFonts w:cs="Arial"/>
          <w:bCs/>
          <w:szCs w:val="22"/>
        </w:rPr>
        <w:t>Benedikt</w:t>
      </w:r>
      <w:proofErr w:type="spellEnd"/>
      <w:r w:rsidRPr="00A80432">
        <w:rPr>
          <w:rFonts w:cs="Arial"/>
          <w:bCs/>
          <w:szCs w:val="22"/>
        </w:rPr>
        <w:t>, ECLI:EU:C:2025:548.</w:t>
      </w:r>
    </w:p>
    <w:p w14:paraId="426F43CA" w14:textId="77777777" w:rsidR="00A80432" w:rsidRPr="00A80432" w:rsidRDefault="00A80432" w:rsidP="00565A93">
      <w:pPr>
        <w:numPr>
          <w:ilvl w:val="0"/>
          <w:numId w:val="29"/>
        </w:numPr>
        <w:spacing w:line="360" w:lineRule="auto"/>
        <w:jc w:val="left"/>
        <w:rPr>
          <w:rFonts w:cs="Arial"/>
          <w:bCs/>
          <w:szCs w:val="22"/>
        </w:rPr>
      </w:pPr>
      <w:r w:rsidRPr="00A80432">
        <w:rPr>
          <w:rFonts w:cs="Arial"/>
          <w:bCs/>
          <w:szCs w:val="22"/>
        </w:rPr>
        <w:t xml:space="preserve">Wyrok z dnia 16 października 2025 r. w sprawie C-282/24 </w:t>
      </w:r>
      <w:proofErr w:type="spellStart"/>
      <w:r w:rsidRPr="00A80432">
        <w:rPr>
          <w:rFonts w:cs="Arial"/>
          <w:bCs/>
          <w:szCs w:val="22"/>
        </w:rPr>
        <w:t>Polismyndigheten</w:t>
      </w:r>
      <w:proofErr w:type="spellEnd"/>
      <w:r w:rsidRPr="00A80432">
        <w:rPr>
          <w:rFonts w:cs="Arial"/>
          <w:bCs/>
          <w:szCs w:val="22"/>
        </w:rPr>
        <w:t xml:space="preserve"> przeciwko </w:t>
      </w:r>
      <w:proofErr w:type="spellStart"/>
      <w:r w:rsidRPr="00A80432">
        <w:rPr>
          <w:rFonts w:cs="Arial"/>
          <w:bCs/>
          <w:szCs w:val="22"/>
        </w:rPr>
        <w:t>Konkurrensverket</w:t>
      </w:r>
      <w:proofErr w:type="spellEnd"/>
      <w:r w:rsidRPr="00A80432">
        <w:rPr>
          <w:rFonts w:cs="Arial"/>
          <w:bCs/>
          <w:szCs w:val="22"/>
        </w:rPr>
        <w:t>, ECLI:EU:C:2025:790.</w:t>
      </w:r>
    </w:p>
    <w:p w14:paraId="41886789" w14:textId="77777777" w:rsidR="00A80432" w:rsidRPr="00A80432" w:rsidRDefault="00A80432" w:rsidP="00565A93">
      <w:pPr>
        <w:numPr>
          <w:ilvl w:val="0"/>
          <w:numId w:val="29"/>
        </w:numPr>
        <w:spacing w:line="360" w:lineRule="auto"/>
        <w:jc w:val="left"/>
        <w:rPr>
          <w:rFonts w:cs="Arial"/>
          <w:bCs/>
          <w:szCs w:val="22"/>
        </w:rPr>
      </w:pPr>
      <w:r w:rsidRPr="00A80432">
        <w:rPr>
          <w:rFonts w:cs="Arial"/>
          <w:bCs/>
          <w:szCs w:val="22"/>
        </w:rPr>
        <w:t xml:space="preserve">Wyrok z dnia 18 grudnia 2025 r. w sprawie C-769/23 Mara </w:t>
      </w:r>
      <w:proofErr w:type="spellStart"/>
      <w:r w:rsidRPr="00A80432">
        <w:rPr>
          <w:rFonts w:cs="Arial"/>
          <w:bCs/>
          <w:szCs w:val="22"/>
        </w:rPr>
        <w:t>Soc</w:t>
      </w:r>
      <w:proofErr w:type="spellEnd"/>
      <w:r w:rsidRPr="00A80432">
        <w:rPr>
          <w:rFonts w:cs="Arial"/>
          <w:bCs/>
          <w:szCs w:val="22"/>
        </w:rPr>
        <w:t xml:space="preserve">. </w:t>
      </w:r>
      <w:proofErr w:type="spellStart"/>
      <w:r w:rsidRPr="00A80432">
        <w:rPr>
          <w:rFonts w:cs="Arial"/>
          <w:bCs/>
          <w:szCs w:val="22"/>
        </w:rPr>
        <w:t>coop</w:t>
      </w:r>
      <w:proofErr w:type="spellEnd"/>
      <w:r w:rsidRPr="00A80432">
        <w:rPr>
          <w:rFonts w:cs="Arial"/>
          <w:bCs/>
          <w:szCs w:val="22"/>
        </w:rPr>
        <w:t xml:space="preserve">. </w:t>
      </w:r>
      <w:proofErr w:type="spellStart"/>
      <w:r w:rsidRPr="00A80432">
        <w:rPr>
          <w:rFonts w:cs="Arial"/>
          <w:bCs/>
          <w:szCs w:val="22"/>
        </w:rPr>
        <w:t>arl</w:t>
      </w:r>
      <w:proofErr w:type="spellEnd"/>
      <w:r w:rsidRPr="00A80432">
        <w:rPr>
          <w:rFonts w:cs="Arial"/>
          <w:bCs/>
          <w:szCs w:val="22"/>
        </w:rPr>
        <w:t xml:space="preserve"> przeciwko </w:t>
      </w:r>
      <w:proofErr w:type="spellStart"/>
      <w:r w:rsidRPr="00A80432">
        <w:rPr>
          <w:rFonts w:cs="Arial"/>
          <w:bCs/>
          <w:szCs w:val="22"/>
        </w:rPr>
        <w:t>Ministero</w:t>
      </w:r>
      <w:proofErr w:type="spellEnd"/>
      <w:r w:rsidRPr="00A80432">
        <w:rPr>
          <w:rFonts w:cs="Arial"/>
          <w:bCs/>
          <w:szCs w:val="22"/>
        </w:rPr>
        <w:t xml:space="preserve"> </w:t>
      </w:r>
      <w:proofErr w:type="spellStart"/>
      <w:r w:rsidRPr="00A80432">
        <w:rPr>
          <w:rFonts w:cs="Arial"/>
          <w:bCs/>
          <w:szCs w:val="22"/>
        </w:rPr>
        <w:t>della</w:t>
      </w:r>
      <w:proofErr w:type="spellEnd"/>
      <w:r w:rsidRPr="00A80432">
        <w:rPr>
          <w:rFonts w:cs="Arial"/>
          <w:bCs/>
          <w:szCs w:val="22"/>
        </w:rPr>
        <w:t xml:space="preserve"> </w:t>
      </w:r>
      <w:proofErr w:type="spellStart"/>
      <w:r w:rsidRPr="00A80432">
        <w:rPr>
          <w:rFonts w:cs="Arial"/>
          <w:bCs/>
          <w:szCs w:val="22"/>
        </w:rPr>
        <w:t>Difesa</w:t>
      </w:r>
      <w:proofErr w:type="spellEnd"/>
      <w:r w:rsidRPr="00A80432">
        <w:rPr>
          <w:rFonts w:cs="Arial"/>
          <w:bCs/>
          <w:szCs w:val="22"/>
        </w:rPr>
        <w:t xml:space="preserve">, </w:t>
      </w:r>
      <w:proofErr w:type="spellStart"/>
      <w:r w:rsidRPr="00A80432">
        <w:rPr>
          <w:rFonts w:cs="Arial"/>
          <w:bCs/>
          <w:szCs w:val="22"/>
        </w:rPr>
        <w:t>Gruppo</w:t>
      </w:r>
      <w:proofErr w:type="spellEnd"/>
      <w:r w:rsidRPr="00A80432">
        <w:rPr>
          <w:rFonts w:cs="Arial"/>
          <w:bCs/>
          <w:szCs w:val="22"/>
        </w:rPr>
        <w:t xml:space="preserve"> </w:t>
      </w:r>
      <w:proofErr w:type="spellStart"/>
      <w:r w:rsidRPr="00A80432">
        <w:rPr>
          <w:rFonts w:cs="Arial"/>
          <w:bCs/>
          <w:szCs w:val="22"/>
        </w:rPr>
        <w:t>Samir</w:t>
      </w:r>
      <w:proofErr w:type="spellEnd"/>
      <w:r w:rsidRPr="00A80432">
        <w:rPr>
          <w:rFonts w:cs="Arial"/>
          <w:bCs/>
          <w:szCs w:val="22"/>
        </w:rPr>
        <w:t xml:space="preserve"> Global Service </w:t>
      </w:r>
      <w:proofErr w:type="spellStart"/>
      <w:r w:rsidRPr="00A80432">
        <w:rPr>
          <w:rFonts w:cs="Arial"/>
          <w:bCs/>
          <w:szCs w:val="22"/>
        </w:rPr>
        <w:t>Srl</w:t>
      </w:r>
      <w:proofErr w:type="spellEnd"/>
      <w:r w:rsidRPr="00A80432">
        <w:rPr>
          <w:rFonts w:cs="Arial"/>
          <w:bCs/>
          <w:szCs w:val="22"/>
        </w:rPr>
        <w:t>, ECLI:EU:C:2025:984.</w:t>
      </w:r>
    </w:p>
    <w:p w14:paraId="28F8D3BA" w14:textId="14276244" w:rsidR="00A80432" w:rsidRDefault="00A80432" w:rsidP="00A80432">
      <w:pPr>
        <w:spacing w:before="120" w:line="360" w:lineRule="auto"/>
        <w:jc w:val="left"/>
        <w:rPr>
          <w:rFonts w:cs="Arial"/>
          <w:bCs/>
          <w:i/>
          <w:iCs/>
          <w:szCs w:val="22"/>
        </w:rPr>
      </w:pPr>
      <w:r w:rsidRPr="00A815A3">
        <w:rPr>
          <w:rFonts w:cs="Arial"/>
          <w:bCs/>
          <w:i/>
          <w:iCs/>
          <w:szCs w:val="22"/>
        </w:rPr>
        <w:t xml:space="preserve">Krótkie omówienie orzeczeń Trybunału Sprawiedliwości Unii Europejskiej wydanych w 2025 r. zawiera </w:t>
      </w:r>
      <w:hyperlink w:anchor="_Załącznik_nr_11." w:history="1">
        <w:r w:rsidRPr="00A815A3">
          <w:rPr>
            <w:rStyle w:val="Hipercze"/>
            <w:rFonts w:cs="Arial"/>
            <w:bCs/>
            <w:i/>
            <w:iCs/>
            <w:szCs w:val="22"/>
          </w:rPr>
          <w:t>załącznik nr</w:t>
        </w:r>
        <w:r w:rsidR="00A95C50" w:rsidRPr="00A815A3">
          <w:rPr>
            <w:rStyle w:val="Hipercze"/>
            <w:rFonts w:cs="Arial"/>
            <w:bCs/>
            <w:i/>
            <w:iCs/>
            <w:szCs w:val="22"/>
          </w:rPr>
          <w:t xml:space="preserve"> </w:t>
        </w:r>
        <w:r w:rsidR="00FC0C2F">
          <w:rPr>
            <w:rStyle w:val="Hipercze"/>
            <w:rFonts w:cs="Arial"/>
            <w:bCs/>
            <w:i/>
            <w:iCs/>
            <w:szCs w:val="22"/>
          </w:rPr>
          <w:t>8</w:t>
        </w:r>
      </w:hyperlink>
      <w:r w:rsidRPr="00A815A3">
        <w:rPr>
          <w:rFonts w:cs="Arial"/>
          <w:bCs/>
          <w:i/>
          <w:iCs/>
          <w:szCs w:val="22"/>
        </w:rPr>
        <w:t xml:space="preserve"> do niniejszego Sprawozdania.</w:t>
      </w:r>
    </w:p>
    <w:p w14:paraId="7F3629D1" w14:textId="75160339" w:rsidR="006743B6" w:rsidRPr="00ED7BD6" w:rsidRDefault="006743B6" w:rsidP="006743B6">
      <w:pPr>
        <w:pStyle w:val="Nagwek3"/>
      </w:pPr>
      <w:bookmarkStart w:id="261" w:name="_Toc233203295"/>
      <w:r w:rsidRPr="00DA73F1">
        <w:lastRenderedPageBreak/>
        <w:t>II.</w:t>
      </w:r>
      <w:r>
        <w:t>3</w:t>
      </w:r>
      <w:r w:rsidRPr="00DA73F1">
        <w:t>.</w:t>
      </w:r>
      <w:r>
        <w:t>3</w:t>
      </w:r>
      <w:r w:rsidRPr="00DA73F1">
        <w:t xml:space="preserve">. </w:t>
      </w:r>
      <w:r>
        <w:t>Wnioski i rekomendacje w zakresie prawa</w:t>
      </w:r>
      <w:r w:rsidRPr="00DA73F1">
        <w:t xml:space="preserve"> UE</w:t>
      </w:r>
      <w:bookmarkEnd w:id="261"/>
    </w:p>
    <w:p w14:paraId="6A601C59" w14:textId="77777777" w:rsidR="0052398E" w:rsidRPr="00D45E1B" w:rsidRDefault="0052398E" w:rsidP="0052398E">
      <w:pPr>
        <w:shd w:val="clear" w:color="auto" w:fill="FFFFFF"/>
        <w:spacing w:before="120" w:line="360" w:lineRule="auto"/>
        <w:jc w:val="left"/>
        <w:rPr>
          <w:rFonts w:cs="Arial"/>
          <w:szCs w:val="22"/>
        </w:rPr>
      </w:pPr>
      <w:r w:rsidRPr="00D45E1B">
        <w:rPr>
          <w:rFonts w:cs="Arial"/>
          <w:szCs w:val="22"/>
        </w:rPr>
        <w:t>W związku z uznaniem zamówień publicznych za konieczne i skuteczne narzędzia realizacji zróżnicowanych polityk Unii Europejskiej, od polityki społecznej i środowiskowej, po politykę gospodarczą, przemysłową, handlową UE, jak i w różnych obszarach bezpieczeństwa, w ostatnich latach nasila się zjawisko proliferacji przepisów i propozycji legislacyjnych przepisów dotyczących zamówień publicznych w coraz większej liczbie aktów sektorowych UE prowadzące do fragmentacji przepisów unijnych w tym obszarze. Rosnąca złożoność ram prawnych może utrudnić prawidłowe stosowanie wymagań i procedur udzielania zamówień publicznych uczestnikom rynku zamówień publicznych w UE.</w:t>
      </w:r>
    </w:p>
    <w:p w14:paraId="042C6FF5" w14:textId="77777777" w:rsidR="0052398E" w:rsidRPr="00D45E1B" w:rsidRDefault="0052398E" w:rsidP="0052398E">
      <w:pPr>
        <w:shd w:val="clear" w:color="auto" w:fill="FFFFFF"/>
        <w:spacing w:before="120" w:line="360" w:lineRule="auto"/>
        <w:jc w:val="left"/>
        <w:rPr>
          <w:rFonts w:cs="Arial"/>
          <w:szCs w:val="22"/>
        </w:rPr>
      </w:pPr>
      <w:r w:rsidRPr="00D45E1B">
        <w:rPr>
          <w:rFonts w:cs="Arial"/>
          <w:szCs w:val="22"/>
        </w:rPr>
        <w:t xml:space="preserve">Tylko od 2021 r. do końca 2025 r. weszło w życie 31 rozporządzeń UE, a od 2020 upłynął czas na wdrożenie 22 nowych dyrektyw UE, zawierających przepisy dotyczące procedur udzielania zamówień publicznych. W trakcie procesu legislacyjnego w UE na koniec 2025 r. było dodatkowych co najmniej 17 kolejnych sektorowych projektów legislacyjnych UE, podczas gdy w różnych ogłoszonych w 2025 r. planach Komisji zapowiedzianych zostało dalszych co najmniej 6 projektów aktów legislacyjnych UE, które będą zawierać przepisy dotyczące zamówień publicznych. Należy mieć przy tym na uwadze, że powyższe liczby nie obejmują aktów wykonawczych i delegowanych, które są obecnie i będą w przyszłości przyjmowane na podstawie przyjętych podstawowych aktów sektorowych, np. określających obowiązkowe kryteria </w:t>
      </w:r>
      <w:proofErr w:type="spellStart"/>
      <w:r w:rsidRPr="00D45E1B">
        <w:rPr>
          <w:rFonts w:cs="Arial"/>
          <w:szCs w:val="22"/>
        </w:rPr>
        <w:t>zrównoważoności</w:t>
      </w:r>
      <w:proofErr w:type="spellEnd"/>
      <w:r w:rsidRPr="00D45E1B">
        <w:rPr>
          <w:rFonts w:cs="Arial"/>
          <w:szCs w:val="22"/>
        </w:rPr>
        <w:t xml:space="preserve"> i odporności, np. przyjmowane na podstawie różnych rozporządzeń UE, jak np. rozporządzenia </w:t>
      </w:r>
      <w:proofErr w:type="spellStart"/>
      <w:r w:rsidRPr="00D45E1B">
        <w:rPr>
          <w:rFonts w:cs="Arial"/>
          <w:szCs w:val="22"/>
        </w:rPr>
        <w:t>ws</w:t>
      </w:r>
      <w:proofErr w:type="spellEnd"/>
      <w:r w:rsidRPr="00D45E1B">
        <w:rPr>
          <w:rFonts w:cs="Arial"/>
          <w:szCs w:val="22"/>
        </w:rPr>
        <w:t xml:space="preserve">. </w:t>
      </w:r>
      <w:proofErr w:type="spellStart"/>
      <w:r w:rsidRPr="00D45E1B">
        <w:rPr>
          <w:rFonts w:cs="Arial"/>
          <w:szCs w:val="22"/>
        </w:rPr>
        <w:t>ekoprojektu</w:t>
      </w:r>
      <w:proofErr w:type="spellEnd"/>
      <w:r w:rsidRPr="00D45E1B">
        <w:rPr>
          <w:rFonts w:cs="Arial"/>
          <w:szCs w:val="22"/>
        </w:rPr>
        <w:t xml:space="preserve"> (ESPR), NZIA, </w:t>
      </w:r>
      <w:proofErr w:type="spellStart"/>
      <w:r w:rsidRPr="00D45E1B">
        <w:rPr>
          <w:rFonts w:cs="Arial"/>
          <w:szCs w:val="22"/>
        </w:rPr>
        <w:t>ws</w:t>
      </w:r>
      <w:proofErr w:type="spellEnd"/>
      <w:r w:rsidRPr="00D45E1B">
        <w:rPr>
          <w:rFonts w:cs="Arial"/>
          <w:szCs w:val="22"/>
        </w:rPr>
        <w:t xml:space="preserve">. wyrobów budowlanych, </w:t>
      </w:r>
      <w:proofErr w:type="spellStart"/>
      <w:r w:rsidRPr="00D45E1B">
        <w:rPr>
          <w:rFonts w:cs="Arial"/>
          <w:szCs w:val="22"/>
        </w:rPr>
        <w:t>ws</w:t>
      </w:r>
      <w:proofErr w:type="spellEnd"/>
      <w:r w:rsidRPr="00D45E1B">
        <w:rPr>
          <w:rFonts w:cs="Arial"/>
          <w:szCs w:val="22"/>
        </w:rPr>
        <w:t xml:space="preserve">. baterii, itd. Można spodziewać się od kilkunastu do kilkudziesięciu takich dodatkowych źródeł unijnego prawa zamówień publicznych w najbliższych latach. Ramy prawne UE w obszarze zamówień publicznych są coraz bardziej złożone oraz jest ryzyko potencjalnego zachodzenia na siebie różnych wymagań sektorowych w zamówieniach, ograniczenia konkurencji na rynku zamówień publicznych. </w:t>
      </w:r>
    </w:p>
    <w:p w14:paraId="3E2C66BF" w14:textId="32AB7C3E" w:rsidR="00351EE9" w:rsidRPr="00D45E1B" w:rsidRDefault="00351EE9" w:rsidP="00351EE9">
      <w:pPr>
        <w:shd w:val="clear" w:color="auto" w:fill="FFFFFF"/>
        <w:spacing w:before="120" w:line="360" w:lineRule="auto"/>
        <w:jc w:val="left"/>
        <w:rPr>
          <w:rFonts w:cs="Arial"/>
          <w:szCs w:val="22"/>
        </w:rPr>
      </w:pPr>
      <w:r w:rsidRPr="00D45E1B">
        <w:rPr>
          <w:rFonts w:cs="Arial"/>
          <w:szCs w:val="22"/>
        </w:rPr>
        <w:t>Działania prowadzone przez Urz</w:t>
      </w:r>
      <w:r w:rsidR="007F41A3">
        <w:rPr>
          <w:rFonts w:cs="Arial"/>
          <w:szCs w:val="22"/>
        </w:rPr>
        <w:t>ąd</w:t>
      </w:r>
      <w:r w:rsidRPr="00D45E1B">
        <w:rPr>
          <w:rFonts w:cs="Arial"/>
          <w:szCs w:val="22"/>
        </w:rPr>
        <w:t xml:space="preserve"> Zamówień Publicznych na forum różnych instytucji UE w 2025 r. uzasadniają prognozę o dalszym nasileniu prac dotyczących zamówień publicznych na poziomie UE, zarówno w grupach roboczych Rady, jak i grup eksperckich Komisji, a także komitetów działających w ramach </w:t>
      </w:r>
      <w:proofErr w:type="spellStart"/>
      <w:r w:rsidRPr="00D45E1B">
        <w:rPr>
          <w:rFonts w:cs="Arial"/>
          <w:szCs w:val="22"/>
        </w:rPr>
        <w:t>komitologii</w:t>
      </w:r>
      <w:proofErr w:type="spellEnd"/>
      <w:r w:rsidRPr="00D45E1B">
        <w:rPr>
          <w:rFonts w:cs="Arial"/>
          <w:szCs w:val="22"/>
        </w:rPr>
        <w:t xml:space="preserve">, również w 2026 r. </w:t>
      </w:r>
    </w:p>
    <w:p w14:paraId="486E8BB9" w14:textId="77777777" w:rsidR="00351EE9" w:rsidRPr="00D45E1B" w:rsidRDefault="00351EE9" w:rsidP="00351EE9">
      <w:pPr>
        <w:shd w:val="clear" w:color="auto" w:fill="FFFFFF"/>
        <w:spacing w:before="120" w:line="360" w:lineRule="auto"/>
        <w:jc w:val="left"/>
        <w:rPr>
          <w:rFonts w:cs="Arial"/>
          <w:szCs w:val="22"/>
        </w:rPr>
      </w:pPr>
      <w:r w:rsidRPr="00D45E1B">
        <w:rPr>
          <w:rFonts w:cs="Arial"/>
          <w:szCs w:val="22"/>
        </w:rPr>
        <w:t xml:space="preserve">Na poziomie UE prace legislacyjne nad propozycjami przepisów dotyczących zamówień publicznych zawartymi w projektach aktów sektorowych są prowadzone w wielu różnych grupach roboczych Rady UE, będących we właściwości różnych resortów, a także w ramach różnych komitetów procedur </w:t>
      </w:r>
      <w:proofErr w:type="spellStart"/>
      <w:r w:rsidRPr="00D45E1B">
        <w:rPr>
          <w:rFonts w:cs="Arial"/>
          <w:szCs w:val="22"/>
        </w:rPr>
        <w:t>komitologii</w:t>
      </w:r>
      <w:proofErr w:type="spellEnd"/>
      <w:r w:rsidRPr="00D45E1B">
        <w:rPr>
          <w:rFonts w:cs="Arial"/>
          <w:szCs w:val="22"/>
        </w:rPr>
        <w:t xml:space="preserve"> (akty wykonawcze i delegowane Komisji). Coraz bardziej realnym staje się problem braku należytej koordynacji prac nad tymi przepisami, </w:t>
      </w:r>
      <w:r w:rsidRPr="00D45E1B">
        <w:rPr>
          <w:rFonts w:cs="Arial"/>
          <w:szCs w:val="22"/>
        </w:rPr>
        <w:lastRenderedPageBreak/>
        <w:t>zarówno na poziomie krajowym, między właściwymi resortami, jak i unijnym (np. między właściwymi grupami roboczymi Rady, między właściwymi Dyrekcjami Komisji).</w:t>
      </w:r>
    </w:p>
    <w:p w14:paraId="53F305FB" w14:textId="77777777" w:rsidR="00351EE9" w:rsidRPr="00D45E1B" w:rsidRDefault="00351EE9" w:rsidP="00351EE9">
      <w:pPr>
        <w:shd w:val="clear" w:color="auto" w:fill="FFFFFF"/>
        <w:spacing w:before="120" w:line="360" w:lineRule="auto"/>
        <w:jc w:val="left"/>
        <w:rPr>
          <w:rFonts w:cs="Arial"/>
          <w:szCs w:val="22"/>
        </w:rPr>
      </w:pPr>
      <w:r w:rsidRPr="00D45E1B">
        <w:rPr>
          <w:rFonts w:cs="Arial"/>
          <w:szCs w:val="22"/>
        </w:rPr>
        <w:t xml:space="preserve">Niektóre z postulatów wnoszących o uproszczenie unijnych ram prawnych dotyczących zamówień publicznych w szerokim znaczeniu, obejmującym przepisy sektorowe, może zostać zaadresowanych przez Komisję w ramach wszczętego procesu rewizji unijnych dyrektyw </w:t>
      </w:r>
      <w:proofErr w:type="spellStart"/>
      <w:r w:rsidRPr="00D45E1B">
        <w:rPr>
          <w:rFonts w:cs="Arial"/>
          <w:szCs w:val="22"/>
        </w:rPr>
        <w:t>ws</w:t>
      </w:r>
      <w:proofErr w:type="spellEnd"/>
      <w:r w:rsidRPr="00D45E1B">
        <w:rPr>
          <w:rFonts w:cs="Arial"/>
          <w:szCs w:val="22"/>
        </w:rPr>
        <w:t xml:space="preserve">. zamówień publicznych z 2014 r. W 2026 r. Komisja ma przedstawić propozycje legislacyjne mające zastąpić, zarówno obecne dyrektywy z 2014 r. (dyrektywy 2014/24/UE, 2014/25/UE i 2014/23/UE), jak i dyrektywę 2009/81WE dotyczącą udzielania zamówień w obszarach obronności i bezpieczeństwa. </w:t>
      </w:r>
    </w:p>
    <w:p w14:paraId="2D395CDB" w14:textId="77777777" w:rsidR="00351EE9" w:rsidRPr="00D45E1B" w:rsidRDefault="00351EE9" w:rsidP="00351EE9">
      <w:pPr>
        <w:shd w:val="clear" w:color="auto" w:fill="FFFFFF"/>
        <w:spacing w:before="120" w:line="360" w:lineRule="auto"/>
        <w:jc w:val="left"/>
        <w:rPr>
          <w:rFonts w:cs="Arial"/>
          <w:szCs w:val="22"/>
        </w:rPr>
      </w:pPr>
      <w:r w:rsidRPr="00D45E1B">
        <w:rPr>
          <w:rFonts w:cs="Arial"/>
          <w:szCs w:val="22"/>
        </w:rPr>
        <w:t xml:space="preserve">W związku z powyższym należy spodziewać się w 2026 r. intensywnych prac legislacyjnych na poziomie UE, zarówno nad propozycjami przepisów dotyczącymi zamówień publicznych Aktu </w:t>
      </w:r>
      <w:proofErr w:type="spellStart"/>
      <w:r w:rsidRPr="00D45E1B">
        <w:rPr>
          <w:rFonts w:cs="Arial"/>
          <w:szCs w:val="22"/>
        </w:rPr>
        <w:t>ws</w:t>
      </w:r>
      <w:proofErr w:type="spellEnd"/>
      <w:r w:rsidRPr="00D45E1B">
        <w:rPr>
          <w:rFonts w:cs="Arial"/>
          <w:szCs w:val="22"/>
        </w:rPr>
        <w:t>. zamówień publicznych (który ma zastąpić dyrektywy z 2014 r.), dyrektywy mającej zastąpić dyrektywę 2009/81/WE, jak i nad propozycjami przepisów w tym obszarze, które będą proponowane w kolejnych unijnych aktach sektorowych UE.</w:t>
      </w:r>
    </w:p>
    <w:p w14:paraId="263A4719" w14:textId="77777777" w:rsidR="00351EE9" w:rsidRPr="00D45E1B" w:rsidRDefault="00351EE9" w:rsidP="00351EE9">
      <w:pPr>
        <w:spacing w:before="120" w:line="360" w:lineRule="auto"/>
        <w:jc w:val="left"/>
        <w:rPr>
          <w:iCs/>
          <w:szCs w:val="22"/>
        </w:rPr>
      </w:pPr>
      <w:r w:rsidRPr="00D45E1B">
        <w:rPr>
          <w:iCs/>
          <w:szCs w:val="22"/>
        </w:rPr>
        <w:t>W związku z stale rosnącą proliferacją przepisów unijnych zawartych w aktach sektorowych UE dotyczących zamówień publicznych zasadne jest kontynuowanie monitoringu tych przepisów w celu informowania krajowego rynku zamówień publicznych o przyjmowanych nowych obowiązujących przepisach dotyczących zamówień publicznych i nowych wymaganiach w zamówieniach publicznych, wynikających z prowadzonych polityk na poziomie UE.</w:t>
      </w:r>
    </w:p>
    <w:p w14:paraId="24C644AE" w14:textId="77777777" w:rsidR="00351EE9" w:rsidRPr="00D45E1B" w:rsidRDefault="00351EE9" w:rsidP="00351EE9">
      <w:pPr>
        <w:spacing w:before="120" w:line="360" w:lineRule="auto"/>
        <w:jc w:val="left"/>
        <w:rPr>
          <w:iCs/>
          <w:szCs w:val="22"/>
        </w:rPr>
      </w:pPr>
      <w:r w:rsidRPr="00D45E1B">
        <w:rPr>
          <w:iCs/>
          <w:szCs w:val="22"/>
        </w:rPr>
        <w:t>W 2026 r. potrzebne będzie dalsze monitorowanie prac legislacyjnych nad rosnącą liczbą aktów sektorowych UE zawierających przepisy dotyczące zamówień publicznych oraz w miarę potrzeb i możliwości zapewnianie wsparcia merytorycznego właściwym resortom.</w:t>
      </w:r>
    </w:p>
    <w:p w14:paraId="01E70E56" w14:textId="1B50C676" w:rsidR="006743B6" w:rsidRPr="007F41A3" w:rsidRDefault="00351EE9" w:rsidP="00A80432">
      <w:pPr>
        <w:spacing w:before="120" w:line="360" w:lineRule="auto"/>
        <w:jc w:val="left"/>
        <w:rPr>
          <w:iCs/>
          <w:szCs w:val="22"/>
        </w:rPr>
      </w:pPr>
      <w:r w:rsidRPr="00D45E1B">
        <w:rPr>
          <w:iCs/>
          <w:szCs w:val="22"/>
        </w:rPr>
        <w:t>W tym celu, zasadne jest wzmocnienie zdolności Departamentu do udziału w pracach legislacyjnych na poziomie UE, zarówno bezpośredniego w Grupie Roboczej Rady do spraw Konkurencyjności i Wzrostu, format zamówienia publiczne, jak również pośredniego poprzez zapewnianie wsparcia merytorycznego udzielanego właściwym resortom w pracach nad sektorowymi wnioskami legislacyjnymi, procedowanymi w innych grupach roboczych.</w:t>
      </w:r>
    </w:p>
    <w:p w14:paraId="67FEB094" w14:textId="77777777" w:rsidR="00101625" w:rsidRPr="004B3145" w:rsidRDefault="00101625" w:rsidP="00D06180">
      <w:pPr>
        <w:pStyle w:val="Nagwek2"/>
      </w:pPr>
      <w:bookmarkStart w:id="262" w:name="_Toc64451846"/>
      <w:bookmarkStart w:id="263" w:name="_Toc233203296"/>
      <w:r w:rsidRPr="0099272A">
        <w:t>II.</w:t>
      </w:r>
      <w:r>
        <w:t>4</w:t>
      </w:r>
      <w:r w:rsidRPr="0099272A">
        <w:t>. Umowy międzynarodowe zawierane przez UE, określające zasady dostępu do zamówień publicznych państw UE</w:t>
      </w:r>
      <w:bookmarkEnd w:id="262"/>
      <w:bookmarkEnd w:id="263"/>
    </w:p>
    <w:p w14:paraId="30C9022C" w14:textId="23AB521F" w:rsidR="00101625" w:rsidRDefault="006532A8" w:rsidP="006532A8">
      <w:pPr>
        <w:pStyle w:val="StylArial11ptWyjustowany"/>
        <w:spacing w:before="120" w:line="360" w:lineRule="auto"/>
        <w:jc w:val="left"/>
        <w:rPr>
          <w:rFonts w:cs="Arial"/>
          <w:iCs/>
          <w:szCs w:val="22"/>
        </w:rPr>
      </w:pPr>
      <w:r w:rsidRPr="006532A8">
        <w:rPr>
          <w:rFonts w:cs="Arial"/>
          <w:iCs/>
          <w:szCs w:val="22"/>
        </w:rPr>
        <w:t xml:space="preserve">Polska jest zobowiązana do zapewnienia dostępu do krajowych zamówień publicznych wykonawcom, towarom i usługom z państw trzecich, w zakresie i na zasadach określonych </w:t>
      </w:r>
      <w:r w:rsidRPr="006532A8">
        <w:rPr>
          <w:rFonts w:cs="Arial"/>
          <w:iCs/>
          <w:szCs w:val="22"/>
        </w:rPr>
        <w:lastRenderedPageBreak/>
        <w:t xml:space="preserve">w zawartych przez UE umowach międzynarodowych. Na mocy tych samych umów i w określonym w nich zakresie wykonawcy, towary i usługi z UE mają zagwarantowane prawo do ubiegania się o zagraniczne zamówienia publiczne. </w:t>
      </w:r>
    </w:p>
    <w:p w14:paraId="2A6514BF" w14:textId="5AF1D223" w:rsidR="00101625" w:rsidRDefault="00C81123" w:rsidP="00270CF3">
      <w:pPr>
        <w:pStyle w:val="Nagwek3"/>
      </w:pPr>
      <w:bookmarkStart w:id="264" w:name="_Toc233203297"/>
      <w:r>
        <w:t>II.4.</w:t>
      </w:r>
      <w:r w:rsidR="00101625">
        <w:t xml:space="preserve">1. </w:t>
      </w:r>
      <w:r w:rsidR="00101625" w:rsidRPr="0099272A">
        <w:t>Porozumienie ws. Zamówień Rządowych (Porozumienie GPA)</w:t>
      </w:r>
      <w:bookmarkEnd w:id="264"/>
    </w:p>
    <w:p w14:paraId="3C5DA675" w14:textId="77777777" w:rsidR="00C81123" w:rsidRPr="00C81123" w:rsidRDefault="00C81123" w:rsidP="00C81123">
      <w:pPr>
        <w:shd w:val="clear" w:color="auto" w:fill="FFFFFF"/>
        <w:spacing w:before="120" w:line="360" w:lineRule="auto"/>
        <w:jc w:val="left"/>
        <w:rPr>
          <w:rFonts w:cs="Arial"/>
          <w:iCs/>
        </w:rPr>
      </w:pPr>
      <w:proofErr w:type="spellStart"/>
      <w:r w:rsidRPr="00C81123">
        <w:rPr>
          <w:rFonts w:cs="Arial"/>
          <w:iCs/>
        </w:rPr>
        <w:t>Plurilateralne</w:t>
      </w:r>
      <w:proofErr w:type="spellEnd"/>
      <w:r w:rsidRPr="00C81123">
        <w:rPr>
          <w:rFonts w:cs="Arial"/>
          <w:iCs/>
        </w:rPr>
        <w:t xml:space="preserve"> Porozumienie Światowej Organizacji Handlu (WTO) w sprawie Zamówień Rządowych (GPA) z 2012 r. jest najważniejszym z międzynarodowych porozumień w dziedzinie zamówień publicznych z uwagi na liczbę uczestniczących państw i zakres udostępnionych zamówień. Zrewidowane GPA weszło w życie 6 kwietnia 2014 r. i do końca 2025 r. obowiązywało 22 uczestników, w tym Unię Europejską z jej 27 państwami. GPA ma na celu otwarcie rynków zamówień publicznych na zagraniczną konkurencję na zasadzie wzajemności i w zakresie uzgodnionym między stronami GPA. Ma również na celu zapewnienie przejrzystości zamówień publicznych i promowanie dobrego zarządzania.</w:t>
      </w:r>
    </w:p>
    <w:p w14:paraId="6FC7A64D" w14:textId="77777777" w:rsidR="00C81123" w:rsidRPr="00C81123" w:rsidRDefault="00C81123" w:rsidP="00C81123">
      <w:pPr>
        <w:shd w:val="clear" w:color="auto" w:fill="FFFFFF"/>
        <w:spacing w:before="120" w:line="360" w:lineRule="auto"/>
        <w:jc w:val="left"/>
        <w:rPr>
          <w:rFonts w:cs="Arial"/>
          <w:iCs/>
        </w:rPr>
      </w:pPr>
      <w:r w:rsidRPr="00C81123">
        <w:rPr>
          <w:rFonts w:cs="Arial"/>
          <w:iCs/>
        </w:rPr>
        <w:t>Warunki uczestnictwa każdej strony GPA są określone w wynegocjowanym zobowiązaniach każdej ze stron, definiujących: podmioty zamawiające, których procedury udzielania zamówień będą otwarte dla zagranicznych oferentów; towary, usługi i roboty budowlane otwarte na zagraniczną konkurencję; wartości progowe, powyżej których udzielanie zamówień będzie otwarte na zagraniczną konkurencję; wyjątki od udostępnianego zakresu zamówień. Umowa zapewnia prawne gwarancje niedyskryminacji dla towarów, usług i wykonawców stron GPA w objętych nimi zamówieniach.</w:t>
      </w:r>
    </w:p>
    <w:p w14:paraId="5943C2F8" w14:textId="77777777" w:rsidR="00C81123" w:rsidRPr="00C81123" w:rsidRDefault="00C81123" w:rsidP="00C81123">
      <w:pPr>
        <w:shd w:val="clear" w:color="auto" w:fill="FFFFFF"/>
        <w:spacing w:before="120" w:line="360" w:lineRule="auto"/>
        <w:jc w:val="left"/>
        <w:rPr>
          <w:rFonts w:cs="Arial"/>
          <w:iCs/>
        </w:rPr>
      </w:pPr>
      <w:r w:rsidRPr="00C81123">
        <w:rPr>
          <w:rFonts w:cs="Arial"/>
          <w:iCs/>
        </w:rPr>
        <w:t xml:space="preserve">Stronami GPA w 2025 r. były następujące kraje i terytoria: Armenia, Australia, Czarnogóra, Holandia w odniesieniu do Aruby, Hong-Kong, Islandia, Izrael, Japonia, Kanada, Korea, Lichtenstein, Mołdawia, Norwegia, Nowa Zelandia, Singapur, Stany Zjednoczone Ameryki Północnej, Szwajcaria, Tajwan, Ukraina, Unia Europejska w imieniu 27 państw członkowskich, Zjednoczone Królestwo Wielkiej Brytanii i Irlandii Północnej. </w:t>
      </w:r>
    </w:p>
    <w:p w14:paraId="179B8C9F" w14:textId="00E0C534" w:rsidR="00C81123" w:rsidRPr="00C81123" w:rsidRDefault="00C81123" w:rsidP="00C81123">
      <w:pPr>
        <w:shd w:val="clear" w:color="auto" w:fill="FFFFFF"/>
        <w:spacing w:before="120" w:line="360" w:lineRule="auto"/>
        <w:jc w:val="left"/>
        <w:rPr>
          <w:rFonts w:cs="Arial"/>
          <w:iCs/>
        </w:rPr>
      </w:pPr>
      <w:r w:rsidRPr="00C81123">
        <w:rPr>
          <w:rFonts w:cs="Arial"/>
          <w:iCs/>
        </w:rPr>
        <w:t xml:space="preserve">W 2025 r. 38 państw miało status obserwatora przy GPA, jak również pięć organizacji międzyrządowych (tj. Międzynarodowy Fundusz Walutowy (MFW), Międzynarodowe Centrum Handlu (ITC), Organizacja Współpracy Gospodarczej i Rozwoju (OECD), Konferencja Narodów Zjednoczonych ds. Handlu i Rozwoju (UNCTAD) oraz Europejski Bank Odbudowy i Rozwoju (EBRD)). W 2025 r. status obserwatora uzyskały Barbados i Gwatemala. Obecnie 11 państw jest w trakcie rozpoczętych negocjacji </w:t>
      </w:r>
      <w:proofErr w:type="spellStart"/>
      <w:r w:rsidRPr="00C81123">
        <w:rPr>
          <w:rFonts w:cs="Arial"/>
          <w:iCs/>
        </w:rPr>
        <w:t>ws</w:t>
      </w:r>
      <w:proofErr w:type="spellEnd"/>
      <w:r w:rsidRPr="00C81123">
        <w:rPr>
          <w:rFonts w:cs="Arial"/>
          <w:iCs/>
        </w:rPr>
        <w:t>. przystąpienia, tj.: Albania, Chiny, Gruzja, Jordania, Kazachstan, Kirgistan, Kostaryka, Oman, Federacja Rosyjska, Tadżykistan oraz Brazylia, a Afganistan, Mongolia, Arabia Saudyjska, Seszele oraz Timor Wschodni przyjęł</w:t>
      </w:r>
      <w:r w:rsidR="00FF77B7">
        <w:rPr>
          <w:rFonts w:cs="Arial"/>
          <w:iCs/>
        </w:rPr>
        <w:t>y</w:t>
      </w:r>
      <w:r w:rsidRPr="00C81123">
        <w:rPr>
          <w:rFonts w:cs="Arial"/>
          <w:iCs/>
        </w:rPr>
        <w:t xml:space="preserve"> zobowiązania do podjęcia negocjacji </w:t>
      </w:r>
      <w:proofErr w:type="spellStart"/>
      <w:r w:rsidRPr="00C81123">
        <w:rPr>
          <w:rFonts w:cs="Arial"/>
          <w:iCs/>
        </w:rPr>
        <w:t>ws</w:t>
      </w:r>
      <w:proofErr w:type="spellEnd"/>
      <w:r w:rsidRPr="00C81123">
        <w:rPr>
          <w:rFonts w:cs="Arial"/>
          <w:iCs/>
        </w:rPr>
        <w:t xml:space="preserve">. przystąpienia do GPA. </w:t>
      </w:r>
    </w:p>
    <w:p w14:paraId="02D9B729" w14:textId="27575E21" w:rsidR="00101625" w:rsidRDefault="00C81123" w:rsidP="00C81123">
      <w:pPr>
        <w:shd w:val="clear" w:color="auto" w:fill="FFFFFF"/>
        <w:spacing w:before="120" w:line="360" w:lineRule="auto"/>
        <w:jc w:val="left"/>
        <w:rPr>
          <w:rFonts w:cs="Arial"/>
          <w:iCs/>
        </w:rPr>
      </w:pPr>
      <w:r w:rsidRPr="00C81123">
        <w:rPr>
          <w:rFonts w:cs="Arial"/>
          <w:iCs/>
        </w:rPr>
        <w:lastRenderedPageBreak/>
        <w:t xml:space="preserve">Informacja o zakresie zamówień udostępnionych przez strony GPA w ramach GPA znajduje się na serwisie internetowym WTO: </w:t>
      </w:r>
      <w:hyperlink r:id="rId61" w:history="1">
        <w:r w:rsidRPr="00C81123">
          <w:rPr>
            <w:rStyle w:val="Hipercze"/>
            <w:rFonts w:cs="Arial"/>
            <w:iCs/>
          </w:rPr>
          <w:t>https://e-gpa.wto.org/</w:t>
        </w:r>
      </w:hyperlink>
      <w:r w:rsidRPr="00C81123">
        <w:rPr>
          <w:rFonts w:cs="Arial"/>
          <w:iCs/>
        </w:rPr>
        <w:t>.</w:t>
      </w:r>
    </w:p>
    <w:p w14:paraId="75545637" w14:textId="0F4E9354" w:rsidR="00101625" w:rsidRDefault="00C81123" w:rsidP="00270CF3">
      <w:pPr>
        <w:pStyle w:val="Nagwek3"/>
      </w:pPr>
      <w:bookmarkStart w:id="265" w:name="_Toc233203298"/>
      <w:r>
        <w:t>II.4.</w:t>
      </w:r>
      <w:r w:rsidR="00101625">
        <w:t xml:space="preserve">2. </w:t>
      </w:r>
      <w:r w:rsidR="00101625" w:rsidRPr="0099272A">
        <w:t>Obowiązujące umowy dwustronne zawarte przez UE, określające zobowiązania UE dopuszczenia do unijnego rynku zamówień publicznych</w:t>
      </w:r>
      <w:bookmarkEnd w:id="265"/>
    </w:p>
    <w:p w14:paraId="16FE66D4" w14:textId="77777777" w:rsidR="001675B8" w:rsidRPr="001675B8" w:rsidRDefault="001675B8" w:rsidP="001675B8">
      <w:pPr>
        <w:spacing w:before="120" w:line="360" w:lineRule="auto"/>
        <w:jc w:val="left"/>
        <w:rPr>
          <w:rFonts w:cs="Arial"/>
          <w:bCs/>
          <w:iCs/>
          <w:szCs w:val="22"/>
        </w:rPr>
      </w:pPr>
      <w:r w:rsidRPr="001675B8">
        <w:rPr>
          <w:rFonts w:cs="Arial"/>
          <w:bCs/>
          <w:iCs/>
          <w:szCs w:val="22"/>
        </w:rPr>
        <w:t xml:space="preserve">Unia Europejska zawiera międzynarodowe umowy handlowe z innymi krajami lub regionami, </w:t>
      </w:r>
      <w:r w:rsidRPr="001675B8">
        <w:rPr>
          <w:rFonts w:cs="Arial"/>
          <w:bCs/>
          <w:iCs/>
          <w:szCs w:val="22"/>
        </w:rPr>
        <w:br/>
        <w:t>które w zależności od treści można podzielić na 3 główne kategorie:</w:t>
      </w:r>
    </w:p>
    <w:p w14:paraId="38BBA0DE" w14:textId="1A968A87" w:rsidR="001675B8" w:rsidRPr="001675B8" w:rsidRDefault="001675B8" w:rsidP="00565A93">
      <w:pPr>
        <w:numPr>
          <w:ilvl w:val="0"/>
          <w:numId w:val="30"/>
        </w:numPr>
        <w:spacing w:line="360" w:lineRule="auto"/>
        <w:ind w:left="714" w:hanging="357"/>
        <w:jc w:val="left"/>
        <w:rPr>
          <w:rFonts w:cs="Arial"/>
          <w:bCs/>
          <w:iCs/>
          <w:szCs w:val="22"/>
          <w:lang w:val="x-none"/>
        </w:rPr>
      </w:pPr>
      <w:r w:rsidRPr="001675B8">
        <w:rPr>
          <w:rFonts w:cs="Arial"/>
          <w:bCs/>
          <w:iCs/>
          <w:szCs w:val="22"/>
          <w:lang w:val="x-none"/>
        </w:rPr>
        <w:t>umowy o partnerstwie gospodarczym – wspierają rozwój partnerów handlowych z</w:t>
      </w:r>
      <w:r w:rsidR="00FF77B7">
        <w:rPr>
          <w:rFonts w:cs="Arial"/>
          <w:bCs/>
          <w:iCs/>
          <w:szCs w:val="22"/>
          <w:lang w:val="x-none"/>
        </w:rPr>
        <w:t> </w:t>
      </w:r>
      <w:r w:rsidRPr="001675B8">
        <w:rPr>
          <w:rFonts w:cs="Arial"/>
          <w:bCs/>
          <w:iCs/>
          <w:szCs w:val="22"/>
          <w:lang w:val="x-none"/>
        </w:rPr>
        <w:t>państw Afryki, Karaibów i Pacyfiku,</w:t>
      </w:r>
    </w:p>
    <w:p w14:paraId="111733ED" w14:textId="77777777" w:rsidR="001675B8" w:rsidRPr="001675B8" w:rsidRDefault="001675B8" w:rsidP="00565A93">
      <w:pPr>
        <w:numPr>
          <w:ilvl w:val="0"/>
          <w:numId w:val="30"/>
        </w:numPr>
        <w:spacing w:line="360" w:lineRule="auto"/>
        <w:ind w:left="714" w:hanging="357"/>
        <w:jc w:val="left"/>
        <w:rPr>
          <w:rFonts w:cs="Arial"/>
          <w:bCs/>
          <w:iCs/>
          <w:szCs w:val="22"/>
          <w:lang w:val="x-none"/>
        </w:rPr>
      </w:pPr>
      <w:r w:rsidRPr="001675B8">
        <w:rPr>
          <w:rFonts w:cs="Arial"/>
          <w:bCs/>
          <w:iCs/>
          <w:szCs w:val="22"/>
          <w:lang w:val="x-none"/>
        </w:rPr>
        <w:t>umowy o wolnym handlu – umożliwiają wzajemne otwarcie rynków dzięki przyznaniu preferencyjnego dostępu; są zawierane z krajami rozwiniętymi i gospodarkami wschodzącymi,</w:t>
      </w:r>
    </w:p>
    <w:p w14:paraId="422FC551" w14:textId="77777777" w:rsidR="001675B8" w:rsidRPr="001675B8" w:rsidRDefault="001675B8" w:rsidP="00565A93">
      <w:pPr>
        <w:numPr>
          <w:ilvl w:val="0"/>
          <w:numId w:val="30"/>
        </w:numPr>
        <w:spacing w:line="360" w:lineRule="auto"/>
        <w:ind w:left="714" w:hanging="357"/>
        <w:jc w:val="left"/>
        <w:rPr>
          <w:rFonts w:cs="Arial"/>
          <w:bCs/>
          <w:iCs/>
          <w:szCs w:val="22"/>
          <w:lang w:val="x-none"/>
        </w:rPr>
      </w:pPr>
      <w:r w:rsidRPr="001675B8">
        <w:rPr>
          <w:rFonts w:cs="Arial"/>
          <w:bCs/>
          <w:iCs/>
          <w:szCs w:val="22"/>
          <w:lang w:val="x-none"/>
        </w:rPr>
        <w:t>układy o stowarzyszeniu – są konkretyzacją szerzej zakrojonych porozumień politycznych.</w:t>
      </w:r>
    </w:p>
    <w:p w14:paraId="3DB1936F" w14:textId="77777777" w:rsidR="001675B8" w:rsidRPr="001675B8" w:rsidRDefault="001675B8" w:rsidP="00832C46">
      <w:pPr>
        <w:spacing w:before="120" w:line="360" w:lineRule="auto"/>
        <w:jc w:val="left"/>
        <w:rPr>
          <w:rFonts w:cs="Arial"/>
          <w:bCs/>
          <w:iCs/>
          <w:szCs w:val="22"/>
        </w:rPr>
      </w:pPr>
      <w:r w:rsidRPr="001675B8">
        <w:rPr>
          <w:rFonts w:cs="Arial"/>
          <w:bCs/>
          <w:iCs/>
          <w:szCs w:val="22"/>
        </w:rPr>
        <w:t xml:space="preserve">UE zawiera także umowy, które nie przewidują handlu na warunkach preferencyjnych i są częścią szerszych porozumień, takie jak umowy o partnerstwie i współpracy. </w:t>
      </w:r>
    </w:p>
    <w:p w14:paraId="6071EF73" w14:textId="77777777" w:rsidR="001675B8" w:rsidRPr="001675B8" w:rsidRDefault="001675B8" w:rsidP="00832C46">
      <w:pPr>
        <w:spacing w:before="120" w:line="360" w:lineRule="auto"/>
        <w:jc w:val="left"/>
        <w:rPr>
          <w:rFonts w:cs="Arial"/>
          <w:bCs/>
          <w:iCs/>
          <w:szCs w:val="22"/>
        </w:rPr>
      </w:pPr>
      <w:r w:rsidRPr="001675B8">
        <w:rPr>
          <w:rFonts w:cs="Arial"/>
          <w:bCs/>
          <w:iCs/>
          <w:szCs w:val="22"/>
        </w:rPr>
        <w:t xml:space="preserve">W 2025 r. Unia Europejska była stroną 44 umów o wolnym handlu z 76 preferencyjnymi partnerami handlowymi na całym świecie. </w:t>
      </w:r>
    </w:p>
    <w:p w14:paraId="0DFBFEB9" w14:textId="77777777" w:rsidR="001675B8" w:rsidRPr="001675B8" w:rsidRDefault="001675B8" w:rsidP="00832C46">
      <w:pPr>
        <w:spacing w:before="120" w:line="360" w:lineRule="auto"/>
        <w:jc w:val="left"/>
        <w:rPr>
          <w:rFonts w:cs="Arial"/>
          <w:bCs/>
          <w:iCs/>
          <w:szCs w:val="22"/>
        </w:rPr>
      </w:pPr>
      <w:r w:rsidRPr="001675B8">
        <w:rPr>
          <w:rFonts w:cs="Arial"/>
          <w:bCs/>
          <w:iCs/>
          <w:szCs w:val="22"/>
        </w:rPr>
        <w:t>Jednak tylko część z tych umów zawiera zobowiązania lub odniesienia do zamówień publicznych o zróżnicowanym charakterze, od szczegółowych zobowiązań wzorowanych na GPA po tylko ogólne zobowiązania do współpracy lub zbliżania regulacji. Przykładowo Umowa o wolnym handlu (FTA) między UE a Indiami nie obejmuje wzajemnego otwarcia rynków zamówień publicznych.</w:t>
      </w:r>
    </w:p>
    <w:p w14:paraId="1767C0EC" w14:textId="77777777" w:rsidR="001675B8" w:rsidRPr="001675B8" w:rsidRDefault="001675B8" w:rsidP="00832C46">
      <w:pPr>
        <w:spacing w:before="120" w:line="360" w:lineRule="auto"/>
        <w:jc w:val="left"/>
        <w:rPr>
          <w:rFonts w:cs="Arial"/>
          <w:bCs/>
          <w:iCs/>
          <w:szCs w:val="22"/>
        </w:rPr>
      </w:pPr>
      <w:r w:rsidRPr="001675B8">
        <w:rPr>
          <w:rFonts w:cs="Arial"/>
          <w:bCs/>
          <w:iCs/>
          <w:szCs w:val="22"/>
        </w:rPr>
        <w:t>Szczegółowe wzajemne zobowiązania stron</w:t>
      </w:r>
      <w:r w:rsidRPr="001675B8">
        <w:rPr>
          <w:rFonts w:cs="Arial"/>
          <w:iCs/>
          <w:szCs w:val="22"/>
        </w:rPr>
        <w:t xml:space="preserve"> </w:t>
      </w:r>
      <w:r w:rsidRPr="001675B8">
        <w:rPr>
          <w:rFonts w:cs="Arial"/>
          <w:bCs/>
          <w:iCs/>
          <w:szCs w:val="22"/>
        </w:rPr>
        <w:t xml:space="preserve">określają odrębne rozdziały i załączniki tzw. umów handlowych nowej generacji, wzorowane na Porozumieniu GPA, zawartych z: Wielką Brytanią (2021), Wietnamem (2020), Japonią (2019), Singapurem (2019), Kanadą (2017), Koreą (2015) oraz z Forum Karaibskim (CARIFORUM) i Nową Zelandią (2024). </w:t>
      </w:r>
    </w:p>
    <w:p w14:paraId="0260DCAE" w14:textId="67FA1443" w:rsidR="001675B8" w:rsidRPr="001675B8" w:rsidRDefault="001675B8" w:rsidP="00832C46">
      <w:pPr>
        <w:spacing w:before="120" w:line="360" w:lineRule="auto"/>
        <w:jc w:val="left"/>
        <w:rPr>
          <w:rFonts w:cs="Arial"/>
          <w:bCs/>
          <w:iCs/>
          <w:szCs w:val="22"/>
        </w:rPr>
      </w:pPr>
      <w:r w:rsidRPr="001675B8">
        <w:rPr>
          <w:rFonts w:cs="Arial"/>
          <w:bCs/>
          <w:iCs/>
          <w:szCs w:val="22"/>
        </w:rPr>
        <w:t>Układ o stowarzyszeniu UE-Chile (obowiązujący od 2003 r.) został zmodernizowany za pomocą dwóch równoległych instrumentów prawnych: Umowy Ramowej o Zaawansowanym Handlu (AFA) i Umowy Przejściowej o Handlu (ITA) podpisanych w</w:t>
      </w:r>
      <w:r w:rsidR="00FF77B7">
        <w:rPr>
          <w:rFonts w:cs="Arial"/>
          <w:bCs/>
          <w:iCs/>
          <w:szCs w:val="22"/>
        </w:rPr>
        <w:t> </w:t>
      </w:r>
      <w:r w:rsidRPr="001675B8">
        <w:rPr>
          <w:rFonts w:cs="Arial"/>
          <w:bCs/>
          <w:iCs/>
          <w:szCs w:val="22"/>
        </w:rPr>
        <w:t>2023</w:t>
      </w:r>
      <w:r w:rsidR="00FF77B7">
        <w:rPr>
          <w:rFonts w:cs="Arial"/>
          <w:bCs/>
          <w:iCs/>
          <w:szCs w:val="22"/>
        </w:rPr>
        <w:t> </w:t>
      </w:r>
      <w:r w:rsidRPr="001675B8">
        <w:rPr>
          <w:rFonts w:cs="Arial"/>
          <w:bCs/>
          <w:iCs/>
          <w:szCs w:val="22"/>
        </w:rPr>
        <w:t>r.</w:t>
      </w:r>
      <w:r w:rsidRPr="001675B8">
        <w:rPr>
          <w:rFonts w:cs="Arial"/>
          <w:iCs/>
          <w:szCs w:val="22"/>
        </w:rPr>
        <w:t xml:space="preserve"> </w:t>
      </w:r>
      <w:r w:rsidRPr="001675B8">
        <w:rPr>
          <w:rFonts w:cs="Arial"/>
          <w:bCs/>
          <w:iCs/>
          <w:szCs w:val="22"/>
        </w:rPr>
        <w:t>ITA UE–Chile weszła w życie 1 lutego 2025 r. i zostanie uchylona i zastąpiona Umową AFA po jej wejściu w życie.</w:t>
      </w:r>
    </w:p>
    <w:p w14:paraId="58FEA280" w14:textId="7FE83357" w:rsidR="001675B8" w:rsidRPr="001675B8" w:rsidRDefault="001675B8" w:rsidP="00832C46">
      <w:pPr>
        <w:spacing w:before="120" w:line="360" w:lineRule="auto"/>
        <w:jc w:val="left"/>
        <w:rPr>
          <w:rFonts w:cs="Arial"/>
          <w:bCs/>
          <w:iCs/>
          <w:szCs w:val="22"/>
        </w:rPr>
      </w:pPr>
      <w:r w:rsidRPr="001675B8">
        <w:rPr>
          <w:rFonts w:cs="Arial"/>
          <w:bCs/>
          <w:iCs/>
          <w:szCs w:val="22"/>
        </w:rPr>
        <w:lastRenderedPageBreak/>
        <w:t>17 stycznia 2025 r. osiągnięto porozumienie w sprawie filaru handlowego i inwestycyjnego umowy z Meksykiem, zaś 3 września 2025 r. Komisja przedstawiła do podpisu i tymczasowego stosowania Umowę o strategicznym partnerstwie politycznym i gospodarczym oraz dotyczącą współpracy między Unią Europejską i jej państwami członkowskimi a Meksykańskimi Stanami Zjednoczonymi, (znaną również jako zmodernizowana umowa globalna UE-Meksyk), która ma być podpisana w 2026 r.</w:t>
      </w:r>
    </w:p>
    <w:p w14:paraId="3BACF78C" w14:textId="77777777" w:rsidR="001675B8" w:rsidRPr="001675B8" w:rsidRDefault="001675B8" w:rsidP="00832C46">
      <w:pPr>
        <w:spacing w:before="120" w:line="360" w:lineRule="auto"/>
        <w:jc w:val="left"/>
        <w:rPr>
          <w:rFonts w:cs="Arial"/>
          <w:bCs/>
          <w:iCs/>
          <w:szCs w:val="22"/>
        </w:rPr>
      </w:pPr>
      <w:r w:rsidRPr="001675B8">
        <w:rPr>
          <w:rFonts w:cs="Arial"/>
          <w:bCs/>
          <w:iCs/>
          <w:szCs w:val="22"/>
        </w:rPr>
        <w:t>13 lipca 2025 r. osiągnięte zostało porozumienie polityczne w sprawie CEPA UE-Indonezja, a 23 września 2025 r. UE i Indonezja zakończyły negocjacje w sprawie kompleksowej umowy o partnerstwie gospodarczym (CEPA UE-Indonezja). Umowa ma wejść w życie 1 stycznia 2027 r., przy czym jej wdrożenie zależy od zakończenia procesu ratyfikacji.</w:t>
      </w:r>
    </w:p>
    <w:p w14:paraId="75A187AE" w14:textId="3813B0C7" w:rsidR="001675B8" w:rsidRPr="001675B8" w:rsidRDefault="001675B8" w:rsidP="00832C46">
      <w:pPr>
        <w:spacing w:before="120" w:line="360" w:lineRule="auto"/>
        <w:jc w:val="left"/>
        <w:rPr>
          <w:rFonts w:cs="Arial"/>
          <w:bCs/>
          <w:iCs/>
          <w:szCs w:val="22"/>
        </w:rPr>
      </w:pPr>
      <w:r w:rsidRPr="001675B8">
        <w:rPr>
          <w:rFonts w:cs="Arial"/>
          <w:bCs/>
          <w:iCs/>
          <w:szCs w:val="22"/>
        </w:rPr>
        <w:t xml:space="preserve">Unia Europejska i cztery kraje </w:t>
      </w:r>
      <w:proofErr w:type="spellStart"/>
      <w:r w:rsidRPr="001675B8">
        <w:rPr>
          <w:rFonts w:cs="Arial"/>
          <w:bCs/>
          <w:iCs/>
          <w:szCs w:val="22"/>
        </w:rPr>
        <w:t>Mercosuru</w:t>
      </w:r>
      <w:proofErr w:type="spellEnd"/>
      <w:r w:rsidRPr="001675B8">
        <w:rPr>
          <w:rFonts w:cs="Arial"/>
          <w:bCs/>
          <w:iCs/>
          <w:szCs w:val="22"/>
        </w:rPr>
        <w:t xml:space="preserve"> – Argentyna, Brazylia, Paragwaj i Urugwaj – osiągnęły 6 grudnia 2024 r. porozumienie polityczne w sprawie Umowy o partnerstwie UE-</w:t>
      </w:r>
      <w:proofErr w:type="spellStart"/>
      <w:r w:rsidRPr="001675B8">
        <w:rPr>
          <w:rFonts w:cs="Arial"/>
          <w:bCs/>
          <w:iCs/>
          <w:szCs w:val="22"/>
        </w:rPr>
        <w:t>Mercosur</w:t>
      </w:r>
      <w:proofErr w:type="spellEnd"/>
      <w:r w:rsidRPr="001675B8">
        <w:rPr>
          <w:rFonts w:cs="Arial"/>
          <w:bCs/>
          <w:iCs/>
          <w:szCs w:val="22"/>
        </w:rPr>
        <w:t xml:space="preserve"> (EMPA), która wraz z przejściową umową handlową (</w:t>
      </w:r>
      <w:proofErr w:type="spellStart"/>
      <w:r w:rsidRPr="001675B8">
        <w:rPr>
          <w:rFonts w:cs="Arial"/>
          <w:bCs/>
          <w:iCs/>
          <w:szCs w:val="22"/>
        </w:rPr>
        <w:t>iTA</w:t>
      </w:r>
      <w:proofErr w:type="spellEnd"/>
      <w:r w:rsidRPr="001675B8">
        <w:rPr>
          <w:rFonts w:cs="Arial"/>
          <w:bCs/>
          <w:iCs/>
          <w:szCs w:val="22"/>
        </w:rPr>
        <w:t>) została podpisana 17</w:t>
      </w:r>
      <w:r w:rsidR="00FF77B7">
        <w:rPr>
          <w:rFonts w:cs="Arial"/>
          <w:bCs/>
          <w:iCs/>
          <w:szCs w:val="22"/>
        </w:rPr>
        <w:t> </w:t>
      </w:r>
      <w:r w:rsidRPr="001675B8">
        <w:rPr>
          <w:rFonts w:cs="Arial"/>
          <w:bCs/>
          <w:iCs/>
          <w:szCs w:val="22"/>
        </w:rPr>
        <w:t xml:space="preserve">stycznia 2026 r. </w:t>
      </w:r>
      <w:proofErr w:type="spellStart"/>
      <w:r w:rsidRPr="001675B8">
        <w:rPr>
          <w:rFonts w:cs="Arial"/>
          <w:bCs/>
          <w:iCs/>
          <w:szCs w:val="22"/>
        </w:rPr>
        <w:t>iTA</w:t>
      </w:r>
      <w:proofErr w:type="spellEnd"/>
      <w:r w:rsidRPr="001675B8">
        <w:rPr>
          <w:rFonts w:cs="Arial"/>
          <w:bCs/>
          <w:iCs/>
          <w:szCs w:val="22"/>
        </w:rPr>
        <w:t xml:space="preserve"> będzie stosowana tymczasowo od 1 maja 2026 r. i zostanie uchylona oraz zastąpiona przez EMPA po jej pełnej ratyfikacji i wejściu w życie.</w:t>
      </w:r>
    </w:p>
    <w:p w14:paraId="50DF0589" w14:textId="77777777" w:rsidR="001675B8" w:rsidRPr="001675B8" w:rsidRDefault="001675B8" w:rsidP="00832C46">
      <w:pPr>
        <w:spacing w:before="120" w:line="360" w:lineRule="auto"/>
        <w:jc w:val="left"/>
        <w:rPr>
          <w:rFonts w:cs="Arial"/>
          <w:bCs/>
          <w:iCs/>
          <w:szCs w:val="22"/>
        </w:rPr>
      </w:pPr>
      <w:r w:rsidRPr="001675B8">
        <w:rPr>
          <w:rFonts w:cs="Arial"/>
          <w:bCs/>
          <w:iCs/>
          <w:szCs w:val="22"/>
        </w:rPr>
        <w:t>W 2025 r. trwały jeszcze negocjacje Umowy o wolnym handlu między UE i Australią, zakończone dopiero 18 marca 2026 r.</w:t>
      </w:r>
    </w:p>
    <w:p w14:paraId="16E44532" w14:textId="77777777" w:rsidR="001675B8" w:rsidRPr="001675B8" w:rsidRDefault="001675B8" w:rsidP="00832C46">
      <w:pPr>
        <w:spacing w:before="120" w:line="360" w:lineRule="auto"/>
        <w:jc w:val="left"/>
        <w:rPr>
          <w:rFonts w:cs="Arial"/>
          <w:bCs/>
          <w:iCs/>
          <w:szCs w:val="22"/>
        </w:rPr>
      </w:pPr>
      <w:r w:rsidRPr="001675B8">
        <w:rPr>
          <w:rFonts w:cs="Arial"/>
          <w:bCs/>
          <w:iCs/>
          <w:szCs w:val="22"/>
        </w:rPr>
        <w:t>Spośród innych umów, w kontekście zobowiązań w obszarze zamówień publicznych należy mieć na uwadze umowy zawarte przez UE z:</w:t>
      </w:r>
    </w:p>
    <w:p w14:paraId="4E3F3C45" w14:textId="77777777" w:rsidR="001675B8" w:rsidRPr="00832C46" w:rsidRDefault="001675B8" w:rsidP="00565A93">
      <w:pPr>
        <w:pStyle w:val="Akapitzlist"/>
        <w:numPr>
          <w:ilvl w:val="0"/>
          <w:numId w:val="31"/>
        </w:numPr>
        <w:spacing w:line="360" w:lineRule="auto"/>
        <w:jc w:val="left"/>
        <w:rPr>
          <w:rFonts w:cs="Arial"/>
          <w:bCs/>
          <w:iCs/>
          <w:sz w:val="22"/>
          <w:szCs w:val="22"/>
        </w:rPr>
      </w:pPr>
      <w:r w:rsidRPr="00832C46">
        <w:rPr>
          <w:rFonts w:cs="Arial"/>
          <w:bCs/>
          <w:iCs/>
          <w:sz w:val="22"/>
          <w:szCs w:val="22"/>
        </w:rPr>
        <w:t>Armenią, stroną Kompleksowej i Rozszerzonej Umowy Partnerskiej z 2018 r.,</w:t>
      </w:r>
    </w:p>
    <w:p w14:paraId="6AF80A3E" w14:textId="77777777" w:rsidR="001675B8" w:rsidRPr="00832C46" w:rsidRDefault="001675B8" w:rsidP="00565A93">
      <w:pPr>
        <w:pStyle w:val="Akapitzlist"/>
        <w:numPr>
          <w:ilvl w:val="0"/>
          <w:numId w:val="31"/>
        </w:numPr>
        <w:spacing w:line="360" w:lineRule="auto"/>
        <w:jc w:val="left"/>
        <w:rPr>
          <w:rFonts w:cs="Arial"/>
          <w:bCs/>
          <w:iCs/>
          <w:sz w:val="22"/>
          <w:szCs w:val="22"/>
        </w:rPr>
      </w:pPr>
      <w:r w:rsidRPr="00832C46">
        <w:rPr>
          <w:rFonts w:cs="Arial"/>
          <w:bCs/>
          <w:iCs/>
          <w:sz w:val="22"/>
          <w:szCs w:val="22"/>
        </w:rPr>
        <w:t>Kazachstanem, stroną Umowy o Wzmocnionym Partnerstwie i Współpracy z 2015 r.,</w:t>
      </w:r>
    </w:p>
    <w:p w14:paraId="48ADCAEF" w14:textId="77777777" w:rsidR="001675B8" w:rsidRPr="00832C46" w:rsidRDefault="001675B8" w:rsidP="00565A93">
      <w:pPr>
        <w:pStyle w:val="Akapitzlist"/>
        <w:numPr>
          <w:ilvl w:val="0"/>
          <w:numId w:val="31"/>
        </w:numPr>
        <w:spacing w:line="360" w:lineRule="auto"/>
        <w:jc w:val="left"/>
        <w:rPr>
          <w:rFonts w:cs="Arial"/>
          <w:bCs/>
          <w:iCs/>
          <w:sz w:val="22"/>
          <w:szCs w:val="22"/>
        </w:rPr>
      </w:pPr>
      <w:r w:rsidRPr="00832C46">
        <w:rPr>
          <w:rFonts w:cs="Arial"/>
          <w:bCs/>
          <w:iCs/>
          <w:sz w:val="22"/>
          <w:szCs w:val="22"/>
        </w:rPr>
        <w:t>państwami Ameryki Środkowej (Kostaryka, Salwador, Gwatemala, Honduras, Nikaragua, Panama), stronami Umowy Stowarzyszeniowej z 2012 r.,</w:t>
      </w:r>
    </w:p>
    <w:p w14:paraId="4E4F0791" w14:textId="77777777" w:rsidR="001675B8" w:rsidRPr="00832C46" w:rsidRDefault="001675B8" w:rsidP="00565A93">
      <w:pPr>
        <w:pStyle w:val="Akapitzlist"/>
        <w:numPr>
          <w:ilvl w:val="0"/>
          <w:numId w:val="31"/>
        </w:numPr>
        <w:spacing w:line="360" w:lineRule="auto"/>
        <w:jc w:val="left"/>
        <w:rPr>
          <w:rFonts w:cs="Arial"/>
          <w:bCs/>
          <w:iCs/>
          <w:sz w:val="22"/>
          <w:szCs w:val="22"/>
        </w:rPr>
      </w:pPr>
      <w:r w:rsidRPr="00832C46">
        <w:rPr>
          <w:rFonts w:cs="Arial"/>
          <w:bCs/>
          <w:iCs/>
          <w:sz w:val="22"/>
          <w:szCs w:val="22"/>
        </w:rPr>
        <w:t>państwami Wspólnoty Andyjskiej (Ekwadorem, Kolumbią, Peru), stronami stosowanej tymczasowo Kompleksowej Umowy Handlowej z 2012 r.,</w:t>
      </w:r>
    </w:p>
    <w:p w14:paraId="48E23039" w14:textId="77777777" w:rsidR="001675B8" w:rsidRPr="00832C46" w:rsidRDefault="001675B8" w:rsidP="00565A93">
      <w:pPr>
        <w:pStyle w:val="Akapitzlist"/>
        <w:numPr>
          <w:ilvl w:val="0"/>
          <w:numId w:val="31"/>
        </w:numPr>
        <w:spacing w:line="360" w:lineRule="auto"/>
        <w:jc w:val="left"/>
        <w:rPr>
          <w:rFonts w:cs="Arial"/>
          <w:bCs/>
          <w:iCs/>
          <w:sz w:val="22"/>
          <w:szCs w:val="22"/>
        </w:rPr>
      </w:pPr>
      <w:r w:rsidRPr="00832C46">
        <w:rPr>
          <w:rFonts w:cs="Arial"/>
          <w:bCs/>
          <w:iCs/>
          <w:sz w:val="22"/>
          <w:szCs w:val="22"/>
        </w:rPr>
        <w:t>Irakiem, stroną Umowy o Partnerstwie i Współpracy z 2012 r.,</w:t>
      </w:r>
    </w:p>
    <w:p w14:paraId="2860DFC9" w14:textId="77777777" w:rsidR="001675B8" w:rsidRPr="00832C46" w:rsidRDefault="001675B8" w:rsidP="00565A93">
      <w:pPr>
        <w:pStyle w:val="Akapitzlist"/>
        <w:numPr>
          <w:ilvl w:val="0"/>
          <w:numId w:val="31"/>
        </w:numPr>
        <w:spacing w:line="360" w:lineRule="auto"/>
        <w:jc w:val="left"/>
        <w:rPr>
          <w:rFonts w:cs="Arial"/>
          <w:bCs/>
          <w:iCs/>
          <w:sz w:val="22"/>
          <w:szCs w:val="22"/>
        </w:rPr>
      </w:pPr>
      <w:r w:rsidRPr="00832C46">
        <w:rPr>
          <w:rFonts w:cs="Arial"/>
          <w:bCs/>
          <w:iCs/>
          <w:sz w:val="22"/>
          <w:szCs w:val="22"/>
        </w:rPr>
        <w:t>Szwajcarią, stroną Umowy z 1999 r. dotyczącej niektórych aspektów zamówień publicznych,</w:t>
      </w:r>
    </w:p>
    <w:p w14:paraId="2775FD22" w14:textId="49FF61C6" w:rsidR="001675B8" w:rsidRPr="00832C46" w:rsidRDefault="001675B8" w:rsidP="00565A93">
      <w:pPr>
        <w:pStyle w:val="Akapitzlist"/>
        <w:numPr>
          <w:ilvl w:val="0"/>
          <w:numId w:val="31"/>
        </w:numPr>
        <w:spacing w:line="360" w:lineRule="auto"/>
        <w:jc w:val="left"/>
        <w:rPr>
          <w:rFonts w:cs="Arial"/>
          <w:bCs/>
          <w:iCs/>
          <w:sz w:val="22"/>
          <w:szCs w:val="22"/>
        </w:rPr>
      </w:pPr>
      <w:r w:rsidRPr="00832C46">
        <w:rPr>
          <w:rFonts w:cs="Arial"/>
          <w:bCs/>
          <w:iCs/>
          <w:sz w:val="22"/>
          <w:szCs w:val="22"/>
        </w:rPr>
        <w:t>państwami Bałkanów Zachodnich, tj. Albanią, Bośnią i Hercegowiną, Czarnogórą, Mołdawią, Kosowem</w:t>
      </w:r>
      <w:r w:rsidR="00817A33">
        <w:rPr>
          <w:rFonts w:cs="Arial"/>
          <w:bCs/>
          <w:iCs/>
          <w:sz w:val="22"/>
          <w:szCs w:val="22"/>
          <w:lang w:val="pl-PL"/>
        </w:rPr>
        <w:t xml:space="preserve"> </w:t>
      </w:r>
      <w:r w:rsidRPr="00832C46">
        <w:rPr>
          <w:rFonts w:cs="Arial"/>
          <w:bCs/>
          <w:iCs/>
          <w:sz w:val="22"/>
          <w:szCs w:val="22"/>
        </w:rPr>
        <w:t>i Serbią, stronami Umów o Stabilizacji i Stowarzyszeniu.</w:t>
      </w:r>
    </w:p>
    <w:p w14:paraId="747CD664" w14:textId="77777777" w:rsidR="001675B8" w:rsidRPr="001675B8" w:rsidRDefault="001675B8" w:rsidP="006B4A6B">
      <w:pPr>
        <w:spacing w:before="120" w:line="360" w:lineRule="auto"/>
        <w:jc w:val="left"/>
        <w:rPr>
          <w:rFonts w:cs="Arial"/>
          <w:bCs/>
          <w:iCs/>
          <w:szCs w:val="22"/>
        </w:rPr>
      </w:pPr>
      <w:r w:rsidRPr="001675B8">
        <w:rPr>
          <w:rFonts w:cs="Arial"/>
          <w:bCs/>
          <w:iCs/>
          <w:szCs w:val="22"/>
        </w:rPr>
        <w:t>Poza tym rozdziały określające zasady dostępu do zamówień publicznych oraz harmonogramy udostępniania rynków zamówień publicznych zawierają Umowy Stowarzyszeniowe zawierane przez UE (np. z Ukrainą, Mołdawią, Gruzją).</w:t>
      </w:r>
    </w:p>
    <w:p w14:paraId="7439C0BF" w14:textId="77777777" w:rsidR="001675B8" w:rsidRPr="001675B8" w:rsidRDefault="001675B8" w:rsidP="006B4A6B">
      <w:pPr>
        <w:spacing w:before="120" w:line="360" w:lineRule="auto"/>
        <w:jc w:val="left"/>
        <w:rPr>
          <w:rFonts w:cs="Arial"/>
          <w:bCs/>
          <w:iCs/>
          <w:szCs w:val="22"/>
        </w:rPr>
      </w:pPr>
      <w:r w:rsidRPr="001675B8">
        <w:rPr>
          <w:rFonts w:cs="Arial"/>
          <w:bCs/>
          <w:iCs/>
          <w:szCs w:val="22"/>
        </w:rPr>
        <w:t>Zakres zamówień udostępnianych w tych umowach handlowych jest zróżnicowany, przede wszystkim co do poziomu otwarcia rynków zamówień publicznych drugiej strony.</w:t>
      </w:r>
    </w:p>
    <w:p w14:paraId="66A45A7E" w14:textId="765CC3A3" w:rsidR="001675B8" w:rsidRPr="001675B8" w:rsidRDefault="001675B8" w:rsidP="006B4A6B">
      <w:pPr>
        <w:spacing w:before="120" w:line="360" w:lineRule="auto"/>
        <w:jc w:val="left"/>
        <w:rPr>
          <w:rFonts w:cs="Arial"/>
          <w:bCs/>
          <w:iCs/>
          <w:szCs w:val="22"/>
        </w:rPr>
      </w:pPr>
      <w:r w:rsidRPr="001675B8">
        <w:rPr>
          <w:rFonts w:cs="Arial"/>
          <w:bCs/>
          <w:iCs/>
          <w:szCs w:val="22"/>
        </w:rPr>
        <w:lastRenderedPageBreak/>
        <w:t>W 2024 r. Komisja Europejska uruchomiła narzędzie internetowe dla zamawiających (</w:t>
      </w:r>
      <w:proofErr w:type="spellStart"/>
      <w:r w:rsidRPr="001675B8">
        <w:rPr>
          <w:rFonts w:cs="Arial"/>
          <w:bCs/>
          <w:i/>
          <w:iCs/>
          <w:szCs w:val="22"/>
        </w:rPr>
        <w:t>Procurement</w:t>
      </w:r>
      <w:proofErr w:type="spellEnd"/>
      <w:r w:rsidRPr="001675B8">
        <w:rPr>
          <w:rFonts w:cs="Arial"/>
          <w:bCs/>
          <w:i/>
          <w:iCs/>
          <w:szCs w:val="22"/>
        </w:rPr>
        <w:t xml:space="preserve"> for </w:t>
      </w:r>
      <w:proofErr w:type="spellStart"/>
      <w:r w:rsidRPr="001675B8">
        <w:rPr>
          <w:rFonts w:cs="Arial"/>
          <w:bCs/>
          <w:i/>
          <w:iCs/>
          <w:szCs w:val="22"/>
        </w:rPr>
        <w:t>Buyers</w:t>
      </w:r>
      <w:proofErr w:type="spellEnd"/>
      <w:r w:rsidRPr="001675B8">
        <w:rPr>
          <w:rFonts w:cs="Arial"/>
          <w:bCs/>
          <w:iCs/>
          <w:szCs w:val="22"/>
        </w:rPr>
        <w:t>), pozwalające na ustalenie</w:t>
      </w:r>
      <w:r w:rsidR="00295181">
        <w:rPr>
          <w:rFonts w:cs="Arial"/>
          <w:bCs/>
          <w:iCs/>
          <w:szCs w:val="22"/>
        </w:rPr>
        <w:t>,</w:t>
      </w:r>
      <w:r w:rsidRPr="001675B8">
        <w:rPr>
          <w:rFonts w:cs="Arial"/>
          <w:bCs/>
          <w:iCs/>
          <w:szCs w:val="22"/>
        </w:rPr>
        <w:t xml:space="preserve"> czy wykonawca z państwa trzeciego ma zagwarantowany dostęp do określonych zamówień wskazanych zamawiających w państwach UE na podstawie umów handlowych zawartych przez UE. Narzędzie jest dostępne pod linkiem:</w:t>
      </w:r>
    </w:p>
    <w:p w14:paraId="4A307E65" w14:textId="77777777" w:rsidR="001675B8" w:rsidRPr="001675B8" w:rsidRDefault="001675B8" w:rsidP="006B4A6B">
      <w:pPr>
        <w:spacing w:before="120" w:line="360" w:lineRule="auto"/>
        <w:jc w:val="left"/>
        <w:rPr>
          <w:rFonts w:cs="Arial"/>
          <w:bCs/>
          <w:iCs/>
          <w:szCs w:val="22"/>
        </w:rPr>
      </w:pPr>
      <w:hyperlink r:id="rId62" w:anchor="/procumementlocation" w:history="1">
        <w:r w:rsidRPr="001675B8">
          <w:rPr>
            <w:rStyle w:val="Hipercze"/>
            <w:rFonts w:cs="Arial"/>
            <w:bCs/>
            <w:iCs/>
            <w:szCs w:val="22"/>
          </w:rPr>
          <w:t>https://webgate.ec.europa.eu/procurementbuyers/pl/#/procumementlocation</w:t>
        </w:r>
      </w:hyperlink>
      <w:r w:rsidRPr="001675B8">
        <w:rPr>
          <w:rFonts w:cs="Arial"/>
          <w:bCs/>
          <w:iCs/>
          <w:szCs w:val="22"/>
        </w:rPr>
        <w:t xml:space="preserve"> </w:t>
      </w:r>
    </w:p>
    <w:p w14:paraId="416DD4BD" w14:textId="77777777" w:rsidR="001675B8" w:rsidRPr="001675B8" w:rsidRDefault="001675B8" w:rsidP="006B4A6B">
      <w:pPr>
        <w:spacing w:before="120" w:line="360" w:lineRule="auto"/>
        <w:jc w:val="left"/>
        <w:rPr>
          <w:rFonts w:cs="Arial"/>
          <w:bCs/>
          <w:iCs/>
          <w:szCs w:val="22"/>
        </w:rPr>
      </w:pPr>
      <w:r w:rsidRPr="001675B8">
        <w:rPr>
          <w:rFonts w:cs="Arial"/>
          <w:bCs/>
          <w:iCs/>
          <w:szCs w:val="22"/>
        </w:rPr>
        <w:t>Szczegółowe informacje o umowach międzynarodowych zawartych przez Unię Europejską i wiążących jej państwa członkowskie, w tym w obszarze zamówień publicznych, są dostępne na stronie internetowej Komisji Europejskiej:</w:t>
      </w:r>
    </w:p>
    <w:p w14:paraId="2D872DA7" w14:textId="77777777" w:rsidR="001675B8" w:rsidRPr="001675B8" w:rsidRDefault="001675B8" w:rsidP="006B4A6B">
      <w:pPr>
        <w:spacing w:before="120" w:line="360" w:lineRule="auto"/>
        <w:jc w:val="left"/>
        <w:rPr>
          <w:rFonts w:cs="Arial"/>
          <w:bCs/>
          <w:iCs/>
          <w:szCs w:val="22"/>
        </w:rPr>
      </w:pPr>
      <w:hyperlink r:id="rId63" w:anchor="_in-place" w:history="1">
        <w:r w:rsidRPr="001675B8">
          <w:rPr>
            <w:rStyle w:val="Hipercze"/>
            <w:rFonts w:cs="Arial"/>
            <w:bCs/>
            <w:iCs/>
            <w:szCs w:val="22"/>
          </w:rPr>
          <w:t>https://ec.europa.eu/trade/policy/countries-and-regions/negotiations-and-agreements/index_en.htm#_in-place</w:t>
        </w:r>
      </w:hyperlink>
      <w:r w:rsidRPr="001675B8">
        <w:rPr>
          <w:rFonts w:cs="Arial"/>
          <w:iCs/>
          <w:szCs w:val="22"/>
        </w:rPr>
        <w:t xml:space="preserve"> </w:t>
      </w:r>
    </w:p>
    <w:p w14:paraId="35EF3516" w14:textId="536FC384" w:rsidR="001675B8" w:rsidRDefault="001675B8" w:rsidP="006B4A6B">
      <w:pPr>
        <w:spacing w:before="120" w:line="360" w:lineRule="auto"/>
        <w:jc w:val="left"/>
        <w:rPr>
          <w:rFonts w:cs="Arial"/>
          <w:iCs/>
          <w:szCs w:val="22"/>
        </w:rPr>
      </w:pPr>
      <w:hyperlink r:id="rId64" w:history="1">
        <w:r w:rsidRPr="001675B8">
          <w:rPr>
            <w:rStyle w:val="Hipercze"/>
            <w:rFonts w:cs="Arial"/>
            <w:bCs/>
            <w:iCs/>
            <w:szCs w:val="22"/>
          </w:rPr>
          <w:t>https://single-market-economy.ec.europa.eu/single-market/public-procurement/international-public-procurement/bilateral-relations-non-eu-countries_pl</w:t>
        </w:r>
      </w:hyperlink>
      <w:r w:rsidRPr="001675B8">
        <w:rPr>
          <w:rFonts w:cs="Arial"/>
          <w:iCs/>
          <w:szCs w:val="22"/>
        </w:rPr>
        <w:t xml:space="preserve"> </w:t>
      </w:r>
    </w:p>
    <w:p w14:paraId="01AC74D3" w14:textId="626BD9C6" w:rsidR="005E7F5C" w:rsidRDefault="005E7F5C" w:rsidP="006B4A6B">
      <w:pPr>
        <w:spacing w:before="120" w:line="360" w:lineRule="auto"/>
        <w:jc w:val="left"/>
        <w:rPr>
          <w:rFonts w:cs="Arial"/>
          <w:iCs/>
          <w:szCs w:val="22"/>
        </w:rPr>
      </w:pPr>
    </w:p>
    <w:p w14:paraId="5E8E7238" w14:textId="1D6AA04F" w:rsidR="004A2394" w:rsidRDefault="004A2394" w:rsidP="006B4A6B">
      <w:pPr>
        <w:spacing w:before="120" w:line="360" w:lineRule="auto"/>
        <w:jc w:val="left"/>
        <w:rPr>
          <w:rFonts w:cs="Arial"/>
          <w:iCs/>
          <w:szCs w:val="22"/>
        </w:rPr>
      </w:pPr>
    </w:p>
    <w:p w14:paraId="0096442F" w14:textId="77777777" w:rsidR="004A2394" w:rsidRDefault="004A2394" w:rsidP="006B4A6B">
      <w:pPr>
        <w:spacing w:before="120" w:line="360" w:lineRule="auto"/>
        <w:jc w:val="left"/>
        <w:rPr>
          <w:rFonts w:cs="Arial"/>
          <w:iCs/>
          <w:szCs w:val="22"/>
        </w:rPr>
        <w:sectPr w:rsidR="004A2394" w:rsidSect="0057598F">
          <w:pgSz w:w="11906" w:h="16838"/>
          <w:pgMar w:top="1418" w:right="1418" w:bottom="1418" w:left="1418" w:header="709" w:footer="709" w:gutter="0"/>
          <w:cols w:space="708"/>
          <w:docGrid w:linePitch="299"/>
        </w:sectPr>
      </w:pPr>
    </w:p>
    <w:p w14:paraId="3C0F9C3A" w14:textId="58B46354" w:rsidR="009F2FE9" w:rsidRPr="006D7B39" w:rsidRDefault="009F2FE9" w:rsidP="005B3FFE">
      <w:pPr>
        <w:pStyle w:val="Nagwek1"/>
      </w:pPr>
      <w:bookmarkStart w:id="266" w:name="_Toc64451874"/>
      <w:bookmarkStart w:id="267" w:name="_Ref99030846"/>
      <w:bookmarkStart w:id="268" w:name="_Ref99030949"/>
      <w:bookmarkStart w:id="269" w:name="_Toc233203299"/>
      <w:r w:rsidRPr="006D7B39">
        <w:lastRenderedPageBreak/>
        <w:t>II</w:t>
      </w:r>
      <w:r w:rsidR="00142DBE">
        <w:t>I</w:t>
      </w:r>
      <w:r w:rsidRPr="006D7B39">
        <w:t xml:space="preserve">. </w:t>
      </w:r>
      <w:r w:rsidR="00670613" w:rsidRPr="006D7B39">
        <w:t xml:space="preserve">ASPEKTY </w:t>
      </w:r>
      <w:r w:rsidRPr="006D7B39">
        <w:t>INSTYTUCJONALNE FUNKCJONOWANIA SYSTEMU ZAMÓWIEŃ PUBLICZNYCH W POLSCE</w:t>
      </w:r>
      <w:bookmarkEnd w:id="266"/>
      <w:bookmarkEnd w:id="267"/>
      <w:bookmarkEnd w:id="268"/>
      <w:bookmarkEnd w:id="269"/>
    </w:p>
    <w:p w14:paraId="18C0A03D" w14:textId="59792CBD" w:rsidR="00846CAF" w:rsidRPr="00846CAF" w:rsidRDefault="00846CAF" w:rsidP="00D06180">
      <w:pPr>
        <w:pStyle w:val="Nagwek2"/>
      </w:pPr>
      <w:bookmarkStart w:id="270" w:name="_Toc64451875"/>
      <w:bookmarkStart w:id="271" w:name="_Toc233203300"/>
      <w:r w:rsidRPr="00846CAF">
        <w:t>I</w:t>
      </w:r>
      <w:r w:rsidR="008715FE">
        <w:t>I</w:t>
      </w:r>
      <w:r w:rsidRPr="00846CAF">
        <w:t>I.1. Kompetencje Prezesa Urzędu Zamówień Publicznych</w:t>
      </w:r>
      <w:bookmarkEnd w:id="270"/>
      <w:bookmarkEnd w:id="271"/>
    </w:p>
    <w:p w14:paraId="00C3836C" w14:textId="62AA286F" w:rsidR="002D641E" w:rsidRDefault="000E7304" w:rsidP="00746F6C">
      <w:pPr>
        <w:spacing w:before="120" w:line="360" w:lineRule="auto"/>
        <w:jc w:val="left"/>
        <w:rPr>
          <w:rFonts w:cs="Arial"/>
          <w:iCs/>
        </w:rPr>
      </w:pPr>
      <w:r>
        <w:rPr>
          <w:rFonts w:cs="Arial"/>
          <w:iCs/>
          <w:noProof/>
        </w:rPr>
        <w:drawing>
          <wp:inline distT="0" distB="0" distL="0" distR="0" wp14:anchorId="34DE0AE8" wp14:editId="11FE04F6">
            <wp:extent cx="5759450" cy="4319905"/>
            <wp:effectExtent l="0" t="0" r="0" b="4445"/>
            <wp:docPr id="472541992" name="Obraz 472541992" descr="Grafika. Liczby Prezesa UZP. Rok 2025" title="Grafika. Liczby Prezesa UZP. Rok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41992" name="Liczby Prezesa 2025 popr.jpg"/>
                    <pic:cNvPicPr/>
                  </pic:nvPicPr>
                  <pic:blipFill>
                    <a:blip r:embed="rId65">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14:paraId="3DF601E7" w14:textId="0F55FDA5" w:rsidR="00746F6C" w:rsidRPr="00746F6C" w:rsidRDefault="00746F6C" w:rsidP="00746F6C">
      <w:pPr>
        <w:spacing w:before="120" w:line="360" w:lineRule="auto"/>
        <w:jc w:val="left"/>
        <w:rPr>
          <w:rFonts w:cs="Arial"/>
          <w:iCs/>
        </w:rPr>
      </w:pPr>
      <w:r w:rsidRPr="00746F6C">
        <w:rPr>
          <w:rFonts w:cs="Arial"/>
          <w:iCs/>
        </w:rPr>
        <w:t>Prezes UZP jest centralnym organem administracji rządowej właściwym w sprawach zamówień publicznych (art. 466 ust. 1 ustawy Pzp), a także organem właściwym w sprawach umowy koncesji (art. 52 ust. 1 ustawy o umowie koncesji na roboty budowlane lub usługi).</w:t>
      </w:r>
    </w:p>
    <w:p w14:paraId="21B3BD9B" w14:textId="77777777" w:rsidR="00746F6C" w:rsidRPr="00746F6C" w:rsidRDefault="00746F6C" w:rsidP="00746F6C">
      <w:pPr>
        <w:spacing w:before="120" w:line="360" w:lineRule="auto"/>
        <w:jc w:val="left"/>
        <w:rPr>
          <w:rFonts w:cs="Arial"/>
          <w:iCs/>
        </w:rPr>
      </w:pPr>
      <w:r w:rsidRPr="00746F6C">
        <w:rPr>
          <w:rFonts w:cs="Arial"/>
          <w:iCs/>
        </w:rPr>
        <w:t xml:space="preserve">Do kompetencji Prezesa UZP przede wszystkim należy (art. 469 ustawy Pzp): monitorowanie systemu zamówień publicznych i analizy w tym zakresie, kontrola postępowań o udzielenie zamówienia publicznego, zapewnienie funkcjonowania systemu środków ochrony prawnej i narzędzi informatycznych wykorzystywanych w obszarze zamówień publicznych, a także działań związanych z upowszechnianiem wiedzy z zakresu zamówień publicznych. </w:t>
      </w:r>
    </w:p>
    <w:p w14:paraId="077DB01D" w14:textId="6E61C699" w:rsidR="00746F6C" w:rsidRPr="00746F6C" w:rsidRDefault="00746F6C" w:rsidP="00746F6C">
      <w:pPr>
        <w:spacing w:before="120" w:line="360" w:lineRule="auto"/>
        <w:jc w:val="left"/>
        <w:rPr>
          <w:rFonts w:cs="Arial"/>
          <w:iCs/>
        </w:rPr>
      </w:pPr>
      <w:r w:rsidRPr="00746F6C">
        <w:rPr>
          <w:rFonts w:cs="Arial"/>
          <w:iCs/>
        </w:rPr>
        <w:lastRenderedPageBreak/>
        <w:t>Zadaniem Prezesa UZP jest również dążenie do zapewnienia jednolitego stosowania przepisów o zamówieniach, wydawanie opinii, przygotowywanie i upowszechnianie przykładowych wzorów umów w sprawach zamówień publicznych, regulaminów oraz innych dokumentów stosowanych przy udzielaniu zamówień, a także podejmowanie rozstrzygnięć w</w:t>
      </w:r>
      <w:r w:rsidR="00295181">
        <w:rPr>
          <w:rFonts w:cs="Arial"/>
          <w:iCs/>
        </w:rPr>
        <w:t> </w:t>
      </w:r>
      <w:r w:rsidRPr="00746F6C">
        <w:rPr>
          <w:rFonts w:cs="Arial"/>
          <w:iCs/>
        </w:rPr>
        <w:t>indywidualnych sprawach przewidzianych ustawą Pzp</w:t>
      </w:r>
      <w:r>
        <w:rPr>
          <w:rFonts w:cs="Arial"/>
          <w:iCs/>
        </w:rPr>
        <w:t>.</w:t>
      </w:r>
    </w:p>
    <w:p w14:paraId="6539D638" w14:textId="4B46F859" w:rsidR="00E86839" w:rsidRPr="00CA29C7" w:rsidRDefault="00E86839" w:rsidP="00270CF3">
      <w:pPr>
        <w:pStyle w:val="Nagwek3"/>
      </w:pPr>
      <w:bookmarkStart w:id="272" w:name="_Toc64451878"/>
      <w:bookmarkStart w:id="273" w:name="_Toc233203301"/>
      <w:r w:rsidRPr="00CA29C7">
        <w:t>I</w:t>
      </w:r>
      <w:r w:rsidR="008715FE">
        <w:t>I</w:t>
      </w:r>
      <w:r w:rsidRPr="00CA29C7">
        <w:t>I.1.</w:t>
      </w:r>
      <w:r w:rsidR="00774FB5">
        <w:t>1</w:t>
      </w:r>
      <w:r w:rsidRPr="00CA29C7">
        <w:t>. Realizacja zadania dążenia do zapewnienia jednolitego stosowania przepisów o zamówieniach</w:t>
      </w:r>
      <w:bookmarkEnd w:id="272"/>
      <w:bookmarkEnd w:id="273"/>
    </w:p>
    <w:p w14:paraId="4A57763A" w14:textId="5D870027" w:rsidR="00135BF8" w:rsidRPr="00135BF8" w:rsidRDefault="00135BF8" w:rsidP="00135BF8">
      <w:pPr>
        <w:shd w:val="clear" w:color="auto" w:fill="FFFFFF"/>
        <w:spacing w:before="120" w:line="360" w:lineRule="auto"/>
        <w:jc w:val="left"/>
        <w:rPr>
          <w:bCs/>
          <w:iCs/>
        </w:rPr>
      </w:pPr>
      <w:r w:rsidRPr="00135BF8">
        <w:rPr>
          <w:bCs/>
          <w:iCs/>
        </w:rPr>
        <w:t>Główne działania Prezesa UZP służące zapewnieniu jednolitego stosowania przepisów o</w:t>
      </w:r>
      <w:r w:rsidR="00295181">
        <w:rPr>
          <w:bCs/>
          <w:iCs/>
        </w:rPr>
        <w:t> </w:t>
      </w:r>
      <w:r w:rsidRPr="00135BF8">
        <w:rPr>
          <w:bCs/>
          <w:iCs/>
        </w:rPr>
        <w:t xml:space="preserve">zamówieniach (realizacja kompetencji z art. 469 pkt 6 ustawy Pzp) obejmują: </w:t>
      </w:r>
    </w:p>
    <w:p w14:paraId="185F6936" w14:textId="67F2B031" w:rsidR="00135BF8" w:rsidRPr="00135BF8" w:rsidRDefault="00135BF8" w:rsidP="00565A93">
      <w:pPr>
        <w:numPr>
          <w:ilvl w:val="0"/>
          <w:numId w:val="11"/>
        </w:numPr>
        <w:shd w:val="clear" w:color="auto" w:fill="FFFFFF"/>
        <w:spacing w:line="360" w:lineRule="auto"/>
        <w:jc w:val="left"/>
        <w:rPr>
          <w:bCs/>
          <w:iCs/>
        </w:rPr>
      </w:pPr>
      <w:r w:rsidRPr="00135BF8">
        <w:rPr>
          <w:bCs/>
          <w:iCs/>
        </w:rPr>
        <w:t>Wydawanie opinii i interpretacji prawnych dotyczących stosowania przepisów z</w:t>
      </w:r>
      <w:r w:rsidR="00295181">
        <w:rPr>
          <w:bCs/>
          <w:iCs/>
        </w:rPr>
        <w:t> </w:t>
      </w:r>
      <w:r w:rsidRPr="00135BF8">
        <w:rPr>
          <w:bCs/>
          <w:iCs/>
        </w:rPr>
        <w:t>zakresu zamówień publicznych oraz umów koncesji na roboty budowlane lub usługi budzących poważne wątpliwości lub wywołujących rozbieżności w orzecznictwie</w:t>
      </w:r>
      <w:r w:rsidR="00295181">
        <w:rPr>
          <w:bCs/>
          <w:iCs/>
        </w:rPr>
        <w:t>;</w:t>
      </w:r>
    </w:p>
    <w:p w14:paraId="1F5403CD" w14:textId="22057092" w:rsidR="00135BF8" w:rsidRPr="00135BF8" w:rsidRDefault="00135BF8" w:rsidP="00565A93">
      <w:pPr>
        <w:numPr>
          <w:ilvl w:val="0"/>
          <w:numId w:val="11"/>
        </w:numPr>
        <w:shd w:val="clear" w:color="auto" w:fill="FFFFFF"/>
        <w:spacing w:line="360" w:lineRule="auto"/>
        <w:jc w:val="left"/>
        <w:rPr>
          <w:bCs/>
          <w:iCs/>
        </w:rPr>
      </w:pPr>
      <w:r w:rsidRPr="00135BF8">
        <w:rPr>
          <w:bCs/>
          <w:iCs/>
        </w:rPr>
        <w:t>Upowszechnianie dobrych praktyk w obszarze zamówień publicznych</w:t>
      </w:r>
      <w:r w:rsidR="00295181">
        <w:rPr>
          <w:bCs/>
          <w:iCs/>
        </w:rPr>
        <w:t>;</w:t>
      </w:r>
    </w:p>
    <w:p w14:paraId="75229860" w14:textId="77777777" w:rsidR="00135BF8" w:rsidRPr="00135BF8" w:rsidRDefault="00135BF8" w:rsidP="00565A93">
      <w:pPr>
        <w:numPr>
          <w:ilvl w:val="0"/>
          <w:numId w:val="11"/>
        </w:numPr>
        <w:shd w:val="clear" w:color="auto" w:fill="FFFFFF"/>
        <w:spacing w:line="360" w:lineRule="auto"/>
        <w:jc w:val="left"/>
        <w:rPr>
          <w:bCs/>
          <w:iCs/>
        </w:rPr>
      </w:pPr>
      <w:r w:rsidRPr="00135BF8">
        <w:rPr>
          <w:bCs/>
          <w:iCs/>
        </w:rPr>
        <w:t>Upowszechnianie wiedzy o zamówieniach publicznych w odniesieniu do przygotowywania i upowszechniania przykładowych wzorów umów w sprawach zamówień publicznych, regulaminów oraz innych dokumentów stosowanych przy udzielaniu zamówień;</w:t>
      </w:r>
    </w:p>
    <w:p w14:paraId="4B3C90F6" w14:textId="77777777" w:rsidR="00135BF8" w:rsidRPr="00135BF8" w:rsidRDefault="00135BF8" w:rsidP="00565A93">
      <w:pPr>
        <w:numPr>
          <w:ilvl w:val="0"/>
          <w:numId w:val="11"/>
        </w:numPr>
        <w:shd w:val="clear" w:color="auto" w:fill="FFFFFF"/>
        <w:spacing w:line="360" w:lineRule="auto"/>
        <w:jc w:val="left"/>
        <w:rPr>
          <w:bCs/>
          <w:iCs/>
        </w:rPr>
      </w:pPr>
      <w:r w:rsidRPr="00135BF8">
        <w:rPr>
          <w:bCs/>
          <w:iCs/>
        </w:rPr>
        <w:t>Działania informacyjne w obszarze istotnych zagadnień dotyczących zamówień publicznych i umów koncesji na roboty budowlane lub usługi.</w:t>
      </w:r>
    </w:p>
    <w:p w14:paraId="404BB34E" w14:textId="77777777" w:rsidR="00E86839" w:rsidRPr="00CF401D" w:rsidRDefault="00E86839" w:rsidP="00852522">
      <w:pPr>
        <w:pStyle w:val="Nagwek4"/>
      </w:pPr>
      <w:r>
        <w:t xml:space="preserve">1. </w:t>
      </w:r>
      <w:r w:rsidRPr="00CF401D">
        <w:t>Wydawanie opinii</w:t>
      </w:r>
    </w:p>
    <w:p w14:paraId="4B2E4070" w14:textId="2A175B93" w:rsidR="00CC78A4" w:rsidRPr="00CC78A4" w:rsidRDefault="00CC78A4" w:rsidP="00CC78A4">
      <w:pPr>
        <w:shd w:val="clear" w:color="auto" w:fill="FFFFFF"/>
        <w:spacing w:before="120" w:line="360" w:lineRule="auto"/>
        <w:jc w:val="left"/>
      </w:pPr>
      <w:r w:rsidRPr="00CC78A4">
        <w:t>Podstawą prawną wydawania przez Prezesa UZP</w:t>
      </w:r>
      <w:r w:rsidR="00990AEA">
        <w:t xml:space="preserve"> </w:t>
      </w:r>
      <w:r w:rsidRPr="00CC78A4">
        <w:t xml:space="preserve">opinii prawnych jest art. 471 ust. 1 ustawy Pzp. Zgodnie z treścią tego przepisu, Prezes Urzędu, dążąc do zapewnienia jednolitego stosowania przepisów ustawy przez zamawiających, wydaje, z urzędu lub na wniosek, opinie, w których przedstawia interpretacje przepisów dotyczących zamówień publicznych budzących poważne wątpliwości lub wywołujących rozbieżności w orzecznictwie, przy uwzględnieniu orzecznictwa Sądu Najwyższego, Trybunału Konstytucyjnego, Trybunału Sprawiedliwości Unii Europejskiej, sądów powszechnych oraz </w:t>
      </w:r>
      <w:r w:rsidR="00B25533">
        <w:t>KIO</w:t>
      </w:r>
      <w:r w:rsidRPr="00CC78A4">
        <w:t>.</w:t>
      </w:r>
    </w:p>
    <w:p w14:paraId="486AF050" w14:textId="645E4694" w:rsidR="00CC78A4" w:rsidRPr="00CC78A4" w:rsidRDefault="00CC78A4" w:rsidP="00CC78A4">
      <w:pPr>
        <w:shd w:val="clear" w:color="auto" w:fill="FFFFFF"/>
        <w:spacing w:before="120" w:line="360" w:lineRule="auto"/>
        <w:jc w:val="left"/>
      </w:pPr>
      <w:r w:rsidRPr="00CC78A4">
        <w:t>Z uwagi na posiadane przez Prezesa Urzędu kompetencje kontrolne, opinie prawne wydawane przez Urząd Zamówień Publicznych mogą mieć wyłącznie charakter ogólnych interpretacji przepisów dotyczących zamówień publicznych. Oznacza to, że opinie nie przedstawiają stanowisk wydawanych w oparciu o indywidualnie określony stan faktyczny sprawy, a w szczególności nie mogą polegać na dokonywaniu oceny zasadności czynności podejmowanych przez zamawiającego oraz inne podmioty czy też na wskazywaniu,</w:t>
      </w:r>
      <w:r w:rsidR="00990AEA">
        <w:t xml:space="preserve"> </w:t>
      </w:r>
      <w:r w:rsidRPr="00CC78A4">
        <w:t xml:space="preserve">jakie </w:t>
      </w:r>
      <w:r w:rsidRPr="00CC78A4">
        <w:lastRenderedPageBreak/>
        <w:t>czynności powinny być podjęte w konkretnej sprawie. Opinie prawne Prezesa UZP nie mogą stanowić doradztwa w sprawie indywidualnej.</w:t>
      </w:r>
    </w:p>
    <w:p w14:paraId="49920EEB" w14:textId="4D88F6BC" w:rsidR="00CC78A4" w:rsidRPr="00CC78A4" w:rsidRDefault="00CC78A4" w:rsidP="00CC78A4">
      <w:pPr>
        <w:shd w:val="clear" w:color="auto" w:fill="FFFFFF"/>
        <w:spacing w:before="120" w:line="360" w:lineRule="auto"/>
        <w:jc w:val="left"/>
      </w:pPr>
      <w:r w:rsidRPr="00CC78A4">
        <w:t>Wniosek o wydanie przez Prezesa UZP opinii prawnej powinien zawierać uzasadnienie, w</w:t>
      </w:r>
      <w:r w:rsidR="00295181">
        <w:t> </w:t>
      </w:r>
      <w:r w:rsidRPr="00CC78A4">
        <w:t xml:space="preserve">którym, w szczególności: przedstawia się istotę zagadnienia prawnego oraz wskazuje przepisy ustawy wymagające wydania opinii oraz uzasadnia się potrzebę wydania opinii (art. 471 ust. 2 ustawy Pzp). </w:t>
      </w:r>
    </w:p>
    <w:p w14:paraId="295BC58C" w14:textId="77777777" w:rsidR="00CC78A4" w:rsidRPr="00CC78A4" w:rsidRDefault="00CC78A4" w:rsidP="00CC78A4">
      <w:pPr>
        <w:shd w:val="clear" w:color="auto" w:fill="FFFFFF"/>
        <w:spacing w:before="120" w:line="360" w:lineRule="auto"/>
        <w:jc w:val="left"/>
      </w:pPr>
      <w:r w:rsidRPr="00CC78A4">
        <w:t>W 2025 r. do Urzędu Zamówień Publicznych wpłynęły łącznie 513 zapytania dotyczące interpretacji przepisów ustawy Pzp i przepisów wykonawczych do ustawy Pzp, co oznacza spadek o 8,7 % w stosunku do 2024 r.</w:t>
      </w:r>
    </w:p>
    <w:p w14:paraId="2EECFDC6" w14:textId="1AF58282" w:rsidR="00CC78A4" w:rsidRPr="00CC78A4" w:rsidRDefault="00CC78A4" w:rsidP="00CC78A4">
      <w:pPr>
        <w:shd w:val="clear" w:color="auto" w:fill="FFFFFF"/>
        <w:spacing w:before="120" w:line="360" w:lineRule="auto"/>
        <w:jc w:val="left"/>
      </w:pPr>
      <w:r w:rsidRPr="00CC78A4">
        <w:t>W 2025 r. zostało wydanych 549 interpretacji, w tym w odpowiedzi na wnioski z tego roku 452 interpretacji (w 2024</w:t>
      </w:r>
      <w:r w:rsidR="00295181">
        <w:t xml:space="preserve"> </w:t>
      </w:r>
      <w:r w:rsidRPr="00CC78A4">
        <w:t>r.– 535).</w:t>
      </w:r>
    </w:p>
    <w:p w14:paraId="03A09981" w14:textId="77777777" w:rsidR="00E86839" w:rsidRPr="00CF401D" w:rsidRDefault="00E86839" w:rsidP="00852522">
      <w:pPr>
        <w:pStyle w:val="Nagwek4"/>
      </w:pPr>
      <w:r>
        <w:t>2. Inne działania</w:t>
      </w:r>
    </w:p>
    <w:p w14:paraId="6EA7D753" w14:textId="579C62B5" w:rsidR="006C78C8" w:rsidRPr="006C78C8" w:rsidRDefault="006C78C8" w:rsidP="006C78C8">
      <w:pPr>
        <w:shd w:val="clear" w:color="auto" w:fill="FFFFFF"/>
        <w:spacing w:before="120" w:line="360" w:lineRule="auto"/>
        <w:jc w:val="left"/>
      </w:pPr>
      <w:r w:rsidRPr="006C78C8">
        <w:t>W okresie objętym Sprawozdaniem na stronie internetowej UZP publikowane były stanowiska i informacje dotyczące zagadnień budzących szczególne zainteresowanie uczestników rynku zamówień publicznych, a także wskazujące na istotne dla uczestników rynku zamówień publicznych zmiany w obowiązujących przepisach. W tym zakresie należy</w:t>
      </w:r>
      <w:r>
        <w:t xml:space="preserve"> </w:t>
      </w:r>
      <w:r w:rsidRPr="006C78C8">
        <w:t>wskazać m.in. na:</w:t>
      </w:r>
    </w:p>
    <w:p w14:paraId="37FC770D" w14:textId="77777777" w:rsidR="006C78C8" w:rsidRPr="006C78C8" w:rsidRDefault="006C78C8" w:rsidP="00565A93">
      <w:pPr>
        <w:numPr>
          <w:ilvl w:val="0"/>
          <w:numId w:val="12"/>
        </w:numPr>
        <w:shd w:val="clear" w:color="auto" w:fill="FFFFFF"/>
        <w:spacing w:line="360" w:lineRule="auto"/>
        <w:jc w:val="left"/>
      </w:pPr>
      <w:r w:rsidRPr="006C78C8">
        <w:t>Opinię prawną dotyczącą produktów i podmiotów z Chin w postępowaniach na wyroby medyczne o wartości co najmniej 5 mln euro w świetle rozporządzenia 2025/1197 - zapisy SWZ i wymagane dokumenty;</w:t>
      </w:r>
    </w:p>
    <w:p w14:paraId="6B6FF6C7" w14:textId="77777777" w:rsidR="006C78C8" w:rsidRPr="006C78C8" w:rsidRDefault="006C78C8" w:rsidP="00565A93">
      <w:pPr>
        <w:numPr>
          <w:ilvl w:val="0"/>
          <w:numId w:val="12"/>
        </w:numPr>
        <w:shd w:val="clear" w:color="auto" w:fill="FFFFFF"/>
        <w:spacing w:line="360" w:lineRule="auto"/>
        <w:jc w:val="left"/>
      </w:pPr>
      <w:r w:rsidRPr="006C78C8">
        <w:t>Opinię prawną dotyczącą obowiązku wykluczenia podmiotów z Chin z postępowań na wyroby medyczne o wartości co najmniej 5 mln euro - obliczanie wartości szacunkowej zamówienia;</w:t>
      </w:r>
    </w:p>
    <w:p w14:paraId="415B0DF4" w14:textId="453A8EF3" w:rsidR="006C78C8" w:rsidRPr="006C78C8" w:rsidRDefault="006C78C8" w:rsidP="00565A93">
      <w:pPr>
        <w:numPr>
          <w:ilvl w:val="0"/>
          <w:numId w:val="12"/>
        </w:numPr>
        <w:shd w:val="clear" w:color="auto" w:fill="FFFFFF"/>
        <w:spacing w:line="360" w:lineRule="auto"/>
        <w:jc w:val="left"/>
      </w:pPr>
      <w:r w:rsidRPr="006C78C8">
        <w:t>Opinię prawną dotyczącą zastosowanie tzw. „procedury odwróconej” w</w:t>
      </w:r>
      <w:r w:rsidR="00295181">
        <w:t> </w:t>
      </w:r>
      <w:r w:rsidRPr="006C78C8">
        <w:t>postępowaniach prowadzonych w trybie podstawowym.</w:t>
      </w:r>
    </w:p>
    <w:p w14:paraId="0E3573BD" w14:textId="22678B15" w:rsidR="006C78C8" w:rsidRPr="006C78C8" w:rsidRDefault="006C78C8" w:rsidP="006C78C8">
      <w:pPr>
        <w:shd w:val="clear" w:color="auto" w:fill="FFFFFF"/>
        <w:spacing w:before="120" w:line="360" w:lineRule="auto"/>
        <w:jc w:val="left"/>
      </w:pPr>
      <w:r w:rsidRPr="006C78C8">
        <w:t>Zagadnieniem, który w roku 2025 r. budził największe zainteresowanie uczestników rynku zamówień publicznych</w:t>
      </w:r>
      <w:r w:rsidR="00295181">
        <w:t>,</w:t>
      </w:r>
      <w:r w:rsidRPr="006C78C8">
        <w:t xml:space="preserve"> był udział w postępowaniach o udzielenie zamówienia publicznego podmiotów z państw trzecich, niebędących stronami umów międzynarodowych. W związku z</w:t>
      </w:r>
      <w:r w:rsidR="00295181">
        <w:t> </w:t>
      </w:r>
      <w:r w:rsidRPr="006C78C8">
        <w:t>powyższym Urząd zamieścił liczne komunikaty, jak również interpretacje przepisów w</w:t>
      </w:r>
      <w:r w:rsidR="00295181">
        <w:t> </w:t>
      </w:r>
      <w:r w:rsidRPr="006C78C8">
        <w:t>postaci pytań i odpowiedzi na najczęściej kierowane do Urzędu zapytania, dotyczące udziału wykonawców z państw trzecich. W celu ułatwienia korzystania z zasobów na stronie internetowej utworzono dedykowaną zakładkę w całości poświęconą temu zagadnieniu.</w:t>
      </w:r>
    </w:p>
    <w:p w14:paraId="24CA7586" w14:textId="33A5CC63" w:rsidR="008715FE" w:rsidRDefault="006C78C8" w:rsidP="006C78C8">
      <w:pPr>
        <w:shd w:val="clear" w:color="auto" w:fill="FFFFFF"/>
        <w:spacing w:before="120" w:line="360" w:lineRule="auto"/>
        <w:jc w:val="left"/>
      </w:pPr>
      <w:r w:rsidRPr="006C78C8">
        <w:t xml:space="preserve">Materiały są dostępne pod adresem: </w:t>
      </w:r>
      <w:hyperlink r:id="rId66" w:history="1">
        <w:r w:rsidRPr="006C78C8">
          <w:rPr>
            <w:rStyle w:val="Hipercze"/>
          </w:rPr>
          <w:t>https://www.gov.pl/web/uzp/wyrok-tsue-sprawa-c-65222-kolin</w:t>
        </w:r>
      </w:hyperlink>
    </w:p>
    <w:p w14:paraId="2BB11D43" w14:textId="2598A9F2" w:rsidR="006A0F6D" w:rsidRPr="00BA4B74" w:rsidRDefault="006A0F6D" w:rsidP="00270CF3">
      <w:pPr>
        <w:pStyle w:val="Nagwek3"/>
      </w:pPr>
      <w:bookmarkStart w:id="274" w:name="_Toc64451881"/>
      <w:bookmarkStart w:id="275" w:name="_Toc233203302"/>
      <w:r w:rsidRPr="001A7F67">
        <w:lastRenderedPageBreak/>
        <w:t>I</w:t>
      </w:r>
      <w:r w:rsidR="008715FE" w:rsidRPr="001A7F67">
        <w:t>I</w:t>
      </w:r>
      <w:r w:rsidRPr="001A7F67">
        <w:t>I.1.</w:t>
      </w:r>
      <w:r w:rsidR="00774FB5" w:rsidRPr="001A7F67">
        <w:t>2</w:t>
      </w:r>
      <w:r w:rsidRPr="001A7F67">
        <w:t>. Kontrola udzielania zamówień publicznych</w:t>
      </w:r>
      <w:bookmarkEnd w:id="274"/>
      <w:bookmarkEnd w:id="275"/>
    </w:p>
    <w:p w14:paraId="37C49106" w14:textId="77777777" w:rsidR="00BF7DD0" w:rsidRPr="00BF7DD0" w:rsidRDefault="00BF7DD0" w:rsidP="00BF7DD0">
      <w:pPr>
        <w:shd w:val="clear" w:color="auto" w:fill="FFFFFF"/>
        <w:spacing w:before="120" w:line="360" w:lineRule="auto"/>
        <w:jc w:val="left"/>
      </w:pPr>
      <w:r w:rsidRPr="00BF7DD0">
        <w:t xml:space="preserve">W 2025 r. Prezes Urzędu zakończył łącznie </w:t>
      </w:r>
      <w:r w:rsidRPr="00BF7DD0">
        <w:rPr>
          <w:b/>
          <w:bCs/>
        </w:rPr>
        <w:t>292</w:t>
      </w:r>
      <w:r w:rsidRPr="00BF7DD0">
        <w:t xml:space="preserve"> kontroli zamówień publicznych, w tym: </w:t>
      </w:r>
    </w:p>
    <w:p w14:paraId="0AFC605C" w14:textId="77777777" w:rsidR="00BF7DD0" w:rsidRPr="00977023" w:rsidRDefault="00BF7DD0" w:rsidP="00F47F50">
      <w:pPr>
        <w:pStyle w:val="Akapitzlist"/>
        <w:numPr>
          <w:ilvl w:val="0"/>
          <w:numId w:val="60"/>
        </w:numPr>
        <w:shd w:val="clear" w:color="auto" w:fill="FFFFFF"/>
        <w:spacing w:line="360" w:lineRule="auto"/>
        <w:ind w:left="714" w:hanging="357"/>
        <w:jc w:val="left"/>
        <w:rPr>
          <w:sz w:val="22"/>
          <w:szCs w:val="22"/>
        </w:rPr>
      </w:pPr>
      <w:r w:rsidRPr="00977023">
        <w:rPr>
          <w:b/>
          <w:bCs/>
          <w:sz w:val="22"/>
          <w:szCs w:val="22"/>
        </w:rPr>
        <w:t>160</w:t>
      </w:r>
      <w:r w:rsidRPr="00977023">
        <w:rPr>
          <w:sz w:val="22"/>
          <w:szCs w:val="22"/>
        </w:rPr>
        <w:t xml:space="preserve"> kontroli doraźnych,</w:t>
      </w:r>
    </w:p>
    <w:p w14:paraId="0F096059" w14:textId="77777777" w:rsidR="00BF7DD0" w:rsidRPr="00977023" w:rsidRDefault="00BF7DD0" w:rsidP="00F47F50">
      <w:pPr>
        <w:pStyle w:val="Akapitzlist"/>
        <w:numPr>
          <w:ilvl w:val="0"/>
          <w:numId w:val="60"/>
        </w:numPr>
        <w:shd w:val="clear" w:color="auto" w:fill="FFFFFF"/>
        <w:spacing w:line="360" w:lineRule="auto"/>
        <w:ind w:left="714" w:hanging="357"/>
        <w:jc w:val="left"/>
        <w:rPr>
          <w:sz w:val="22"/>
          <w:szCs w:val="22"/>
        </w:rPr>
      </w:pPr>
      <w:r w:rsidRPr="00977023">
        <w:rPr>
          <w:b/>
          <w:bCs/>
          <w:sz w:val="22"/>
          <w:szCs w:val="22"/>
        </w:rPr>
        <w:t>132</w:t>
      </w:r>
      <w:r w:rsidRPr="00977023">
        <w:rPr>
          <w:sz w:val="22"/>
          <w:szCs w:val="22"/>
        </w:rPr>
        <w:t xml:space="preserve"> kontroli uprzednich obligatoryjnych.</w:t>
      </w:r>
    </w:p>
    <w:p w14:paraId="2C05526F" w14:textId="77777777" w:rsidR="00BF7DD0" w:rsidRPr="00BF7DD0" w:rsidRDefault="00BF7DD0" w:rsidP="00BF7DD0">
      <w:pPr>
        <w:shd w:val="clear" w:color="auto" w:fill="FFFFFF"/>
        <w:spacing w:before="120" w:line="360" w:lineRule="auto"/>
        <w:jc w:val="left"/>
      </w:pPr>
      <w:r w:rsidRPr="00BF7DD0">
        <w:t xml:space="preserve">Jest to o około </w:t>
      </w:r>
      <w:r w:rsidRPr="00BF7DD0">
        <w:rPr>
          <w:b/>
          <w:bCs/>
        </w:rPr>
        <w:t>5 %</w:t>
      </w:r>
      <w:r w:rsidRPr="00BF7DD0">
        <w:t xml:space="preserve"> zakończonych kontroli więcej niż w roku </w:t>
      </w:r>
      <w:r w:rsidRPr="00BF7DD0">
        <w:rPr>
          <w:b/>
          <w:bCs/>
        </w:rPr>
        <w:t>2024</w:t>
      </w:r>
      <w:r w:rsidRPr="00BF7DD0">
        <w:t xml:space="preserve">, gdy Prezes Urzędu zakończył łącznie </w:t>
      </w:r>
      <w:r w:rsidRPr="00BF7DD0">
        <w:rPr>
          <w:b/>
          <w:bCs/>
        </w:rPr>
        <w:t xml:space="preserve">277 </w:t>
      </w:r>
      <w:r w:rsidRPr="00BF7DD0">
        <w:t xml:space="preserve">kontroli zamówień publicznych, w tym </w:t>
      </w:r>
      <w:r w:rsidRPr="00BF7DD0">
        <w:rPr>
          <w:b/>
          <w:bCs/>
        </w:rPr>
        <w:t xml:space="preserve">159 </w:t>
      </w:r>
      <w:r w:rsidRPr="00BF7DD0">
        <w:t xml:space="preserve">kontroli doraźnych oraz </w:t>
      </w:r>
      <w:r w:rsidRPr="00BF7DD0">
        <w:rPr>
          <w:b/>
          <w:bCs/>
        </w:rPr>
        <w:t>108</w:t>
      </w:r>
      <w:r w:rsidRPr="00BF7DD0">
        <w:t xml:space="preserve"> kontroli uprzednich obligatoryjnych.</w:t>
      </w:r>
    </w:p>
    <w:p w14:paraId="26089E01" w14:textId="77777777" w:rsidR="006A0F6D" w:rsidRPr="00CB1AE2" w:rsidRDefault="006A0F6D" w:rsidP="00852522">
      <w:pPr>
        <w:pStyle w:val="Nagwek4"/>
      </w:pPr>
      <w:r>
        <w:t xml:space="preserve">1. </w:t>
      </w:r>
      <w:r w:rsidRPr="00CB1AE2">
        <w:t>Kontrola doraźna</w:t>
      </w:r>
    </w:p>
    <w:p w14:paraId="33985DE0" w14:textId="0FF75E1E" w:rsidR="00501E5D" w:rsidRPr="00501E5D" w:rsidRDefault="00501E5D" w:rsidP="00501E5D">
      <w:pPr>
        <w:shd w:val="clear" w:color="auto" w:fill="FFFFFF"/>
        <w:spacing w:before="120" w:line="360" w:lineRule="auto"/>
        <w:jc w:val="left"/>
      </w:pPr>
      <w:r w:rsidRPr="00501E5D">
        <w:t xml:space="preserve">W 2025 r. do Prezesa Urzędu wpłynęło </w:t>
      </w:r>
      <w:r w:rsidRPr="00501E5D">
        <w:rPr>
          <w:b/>
          <w:bCs/>
        </w:rPr>
        <w:t>657</w:t>
      </w:r>
      <w:r w:rsidRPr="00501E5D">
        <w:t xml:space="preserve"> wniosków o kontrolę doraźną (w 2024 – 421). W</w:t>
      </w:r>
      <w:r w:rsidR="00C502DF">
        <w:t> </w:t>
      </w:r>
      <w:r w:rsidRPr="00501E5D">
        <w:t xml:space="preserve">stosunku do roku 2024 liczba wniosków o kontrolę doraźną wzrosła o </w:t>
      </w:r>
      <w:r w:rsidRPr="00501E5D">
        <w:rPr>
          <w:b/>
          <w:bCs/>
        </w:rPr>
        <w:t>56</w:t>
      </w:r>
      <w:r w:rsidRPr="00501E5D">
        <w:t xml:space="preserve"> %. </w:t>
      </w:r>
    </w:p>
    <w:p w14:paraId="385F709F" w14:textId="3334F607" w:rsidR="0036716E" w:rsidRDefault="0036716E" w:rsidP="0036716E">
      <w:pPr>
        <w:pStyle w:val="Legenda"/>
      </w:pPr>
      <w:bookmarkStart w:id="276" w:name="_Toc233203366"/>
      <w:r w:rsidRPr="00BA1095">
        <w:t xml:space="preserve">Rys. </w:t>
      </w:r>
      <w:r>
        <w:fldChar w:fldCharType="begin"/>
      </w:r>
      <w:r>
        <w:instrText>SEQ Rys. \* ARABIC</w:instrText>
      </w:r>
      <w:r>
        <w:fldChar w:fldCharType="separate"/>
      </w:r>
      <w:r w:rsidR="00017C65">
        <w:rPr>
          <w:noProof/>
        </w:rPr>
        <w:t>45</w:t>
      </w:r>
      <w:r>
        <w:fldChar w:fldCharType="end"/>
      </w:r>
      <w:r w:rsidRPr="00BA1095">
        <w:t xml:space="preserve">. </w:t>
      </w:r>
      <w:r>
        <w:t>L</w:t>
      </w:r>
      <w:r w:rsidRPr="0036716E">
        <w:t>iczba wniosków o kontrolę doraźną</w:t>
      </w:r>
      <w:r w:rsidR="007313FF">
        <w:t xml:space="preserve"> w podziale na miesiące 2025 roku</w:t>
      </w:r>
      <w:bookmarkEnd w:id="276"/>
    </w:p>
    <w:p w14:paraId="289D79BF" w14:textId="62BAD4B2" w:rsidR="000F066F" w:rsidRDefault="007313FF" w:rsidP="00501E5D">
      <w:pPr>
        <w:shd w:val="clear" w:color="auto" w:fill="FFFFFF"/>
        <w:spacing w:before="120" w:line="360" w:lineRule="auto"/>
        <w:jc w:val="left"/>
      </w:pPr>
      <w:r>
        <w:rPr>
          <w:noProof/>
        </w:rPr>
        <w:drawing>
          <wp:inline distT="0" distB="0" distL="0" distR="0" wp14:anchorId="347EA34E" wp14:editId="3943EC09">
            <wp:extent cx="4572000" cy="2743200"/>
            <wp:effectExtent l="0" t="0" r="0" b="0"/>
            <wp:docPr id="26" name="Wykres 26" descr="Liczba wniosków o kontrolę doraźną w podziale na miesiące 2025 roku" title="Liczba wniosków o kontrolę doraźną w podziale na miesiące 2025 roku"/>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A9DAAB6" w14:textId="5A49A06E" w:rsidR="00501E5D" w:rsidRPr="00501E5D" w:rsidRDefault="00501E5D" w:rsidP="0057796F">
      <w:pPr>
        <w:shd w:val="clear" w:color="auto" w:fill="FFFFFF"/>
        <w:spacing w:before="240" w:line="360" w:lineRule="auto"/>
        <w:jc w:val="left"/>
      </w:pPr>
      <w:r w:rsidRPr="00501E5D">
        <w:t>Część wniosków (</w:t>
      </w:r>
      <w:r w:rsidRPr="00501E5D">
        <w:rPr>
          <w:b/>
          <w:bCs/>
        </w:rPr>
        <w:t>9</w:t>
      </w:r>
      <w:r w:rsidRPr="00501E5D">
        <w:t>%) pochodziła od sygnalistów, którzy wskazywali na podejrzenie naruszenia przepisów ustawy Pzp w trybie ustawy z dnia 14 czerwca 2024 r. o ochronie sygnalistów</w:t>
      </w:r>
      <w:r w:rsidR="00960B82">
        <w:t xml:space="preserve"> (Dz. U. </w:t>
      </w:r>
      <w:r w:rsidR="003A4900">
        <w:t>poz. 928)</w:t>
      </w:r>
      <w:r w:rsidRPr="00501E5D">
        <w:t xml:space="preserve">. Zgłoszeń zewnętrznych od sygnalistów wpłynęło w 2025 r. </w:t>
      </w:r>
      <w:r w:rsidRPr="00501E5D">
        <w:rPr>
          <w:b/>
          <w:bCs/>
        </w:rPr>
        <w:t>57</w:t>
      </w:r>
      <w:r w:rsidRPr="00501E5D">
        <w:t xml:space="preserve">. </w:t>
      </w:r>
    </w:p>
    <w:p w14:paraId="2DAAC8EE" w14:textId="5654BB52" w:rsidR="00501E5D" w:rsidRPr="00501E5D" w:rsidRDefault="00501E5D" w:rsidP="00501E5D">
      <w:pPr>
        <w:shd w:val="clear" w:color="auto" w:fill="FFFFFF"/>
        <w:spacing w:before="120" w:line="360" w:lineRule="auto"/>
        <w:jc w:val="left"/>
      </w:pPr>
      <w:r w:rsidRPr="00501E5D">
        <w:t xml:space="preserve">W wyniku rozpatrzenia zgłoszeń zewnętrznych od sygnalistów Prezes Urzędu podjął </w:t>
      </w:r>
      <w:r w:rsidRPr="00501E5D">
        <w:rPr>
          <w:b/>
          <w:bCs/>
        </w:rPr>
        <w:t>63</w:t>
      </w:r>
      <w:r w:rsidRPr="00501E5D">
        <w:t xml:space="preserve"> działania następcze (m.in. wszczęcie kontroli doraźnej). Kilka zgłoszeń zewnętrznych odnosiło się do więcej niż jednego postępowania o udzielenie zamówienia publicznego, w związku z tym liczba podjętych działań następczych przewyższa liczbę zgłoszeń.</w:t>
      </w:r>
    </w:p>
    <w:p w14:paraId="58BEAFC1" w14:textId="77777777" w:rsidR="00501E5D" w:rsidRPr="00501E5D" w:rsidRDefault="00501E5D" w:rsidP="00501E5D">
      <w:pPr>
        <w:shd w:val="clear" w:color="auto" w:fill="FFFFFF"/>
        <w:spacing w:before="120" w:line="360" w:lineRule="auto"/>
        <w:jc w:val="left"/>
      </w:pPr>
      <w:r w:rsidRPr="00501E5D">
        <w:t xml:space="preserve">Prezes Urzędu rozpatrzył </w:t>
      </w:r>
      <w:r w:rsidRPr="00501E5D">
        <w:rPr>
          <w:b/>
          <w:bCs/>
        </w:rPr>
        <w:t>595</w:t>
      </w:r>
      <w:r w:rsidRPr="00501E5D">
        <w:rPr>
          <w:vertAlign w:val="superscript"/>
        </w:rPr>
        <w:footnoteReference w:id="18"/>
      </w:r>
      <w:r w:rsidRPr="00501E5D">
        <w:t xml:space="preserve"> wniosków o kontrolę doraźną. Z wnioskami o kontrolę do Prezesa Urzędu występowali wykonawcy, ale także m.in. organy ścigania oraz podmioty </w:t>
      </w:r>
      <w:r w:rsidRPr="00501E5D">
        <w:lastRenderedPageBreak/>
        <w:t>nieuczestniczące w danych postępowaniach o udzielenie zamówień, w tym: osoby prywatne, radni, sygnaliści, organizacje zrzeszające przedstawicieli określonych zawodów, instytucje zaangażowane we wdrażanie programów unijnych.</w:t>
      </w:r>
    </w:p>
    <w:p w14:paraId="266969AA" w14:textId="77777777" w:rsidR="00501E5D" w:rsidRPr="00501E5D" w:rsidRDefault="00501E5D" w:rsidP="00501E5D">
      <w:pPr>
        <w:shd w:val="clear" w:color="auto" w:fill="FFFFFF"/>
        <w:spacing w:before="120" w:line="360" w:lineRule="auto"/>
        <w:jc w:val="left"/>
      </w:pPr>
      <w:r w:rsidRPr="00501E5D">
        <w:t>W wyniku rozpatrzenia ww. wniosków o kontrolę doraźną Prezes Urzędu:</w:t>
      </w:r>
    </w:p>
    <w:p w14:paraId="35075D79" w14:textId="77777777" w:rsidR="00501E5D" w:rsidRPr="00501E5D" w:rsidRDefault="00501E5D" w:rsidP="00F47F50">
      <w:pPr>
        <w:pStyle w:val="Akapitzlist"/>
        <w:numPr>
          <w:ilvl w:val="0"/>
          <w:numId w:val="47"/>
        </w:numPr>
        <w:shd w:val="clear" w:color="auto" w:fill="FFFFFF"/>
        <w:spacing w:line="360" w:lineRule="auto"/>
        <w:jc w:val="left"/>
        <w:rPr>
          <w:sz w:val="22"/>
          <w:szCs w:val="22"/>
        </w:rPr>
      </w:pPr>
      <w:r w:rsidRPr="00501E5D">
        <w:rPr>
          <w:sz w:val="22"/>
          <w:szCs w:val="22"/>
        </w:rPr>
        <w:t xml:space="preserve">w </w:t>
      </w:r>
      <w:r w:rsidRPr="00501E5D">
        <w:rPr>
          <w:b/>
          <w:bCs/>
          <w:sz w:val="22"/>
          <w:szCs w:val="22"/>
        </w:rPr>
        <w:t>160</w:t>
      </w:r>
      <w:r w:rsidRPr="00501E5D">
        <w:rPr>
          <w:sz w:val="22"/>
          <w:szCs w:val="22"/>
        </w:rPr>
        <w:t xml:space="preserve"> sprawach przeprowadził kontrolę. W </w:t>
      </w:r>
      <w:r w:rsidRPr="00501E5D">
        <w:rPr>
          <w:b/>
          <w:bCs/>
          <w:sz w:val="22"/>
          <w:szCs w:val="22"/>
        </w:rPr>
        <w:t xml:space="preserve">130 </w:t>
      </w:r>
      <w:r w:rsidRPr="00501E5D">
        <w:rPr>
          <w:sz w:val="22"/>
          <w:szCs w:val="22"/>
        </w:rPr>
        <w:t xml:space="preserve">sprawach kontrole zostały zakończone informacją o braku podstaw do dalszego prowadzenia kontroli po przeprowadzeniu postępowania wyjaśniającego, które stanowi wstępny etap tej kontroli - z uwagi na brak uzasadnionego przypuszczenia, iż doszło do naruszenia przepisów ustawy Pzp, które mogło mieć wpływ na wynik postępowania. </w:t>
      </w:r>
    </w:p>
    <w:p w14:paraId="7699C611" w14:textId="2A8DCC90" w:rsidR="00501E5D" w:rsidRPr="00501E5D" w:rsidRDefault="00501E5D" w:rsidP="00501E5D">
      <w:pPr>
        <w:shd w:val="clear" w:color="auto" w:fill="FFFFFF"/>
        <w:spacing w:before="120" w:line="360" w:lineRule="auto"/>
        <w:ind w:left="709"/>
        <w:jc w:val="left"/>
      </w:pPr>
      <w:r w:rsidRPr="00501E5D">
        <w:t xml:space="preserve">W </w:t>
      </w:r>
      <w:r w:rsidRPr="00501E5D">
        <w:rPr>
          <w:b/>
          <w:bCs/>
        </w:rPr>
        <w:t xml:space="preserve">30 </w:t>
      </w:r>
      <w:r w:rsidRPr="00501E5D">
        <w:t xml:space="preserve">sprawach wszczęto dalszą kontrolę doraźną w związku ze stwierdzeniem po przeprowadzeniu postępowania wyjaśniającego uzasadnionego przypuszczenia, że doszło do naruszenia przepisów ustawy Pzp, które miało wpływ na wynik postępowania lub konkursu albo zawarto lub zmieniono umowę lub umowę ramową z naruszeniem przepisów tej ustawy - w tym w </w:t>
      </w:r>
      <w:r w:rsidRPr="00501E5D">
        <w:rPr>
          <w:b/>
          <w:bCs/>
        </w:rPr>
        <w:t xml:space="preserve">1 </w:t>
      </w:r>
      <w:r w:rsidRPr="00501E5D">
        <w:t>kontroli nie stwierdzono naruszeń ustawy Pzp</w:t>
      </w:r>
      <w:r w:rsidR="0042036A">
        <w:t>;</w:t>
      </w:r>
    </w:p>
    <w:p w14:paraId="04507596" w14:textId="5D4A6953" w:rsidR="00501E5D" w:rsidRPr="00501E5D" w:rsidRDefault="00501E5D" w:rsidP="00F47F50">
      <w:pPr>
        <w:pStyle w:val="Akapitzlist"/>
        <w:numPr>
          <w:ilvl w:val="0"/>
          <w:numId w:val="48"/>
        </w:numPr>
        <w:shd w:val="clear" w:color="auto" w:fill="FFFFFF"/>
        <w:spacing w:line="360" w:lineRule="auto"/>
        <w:jc w:val="left"/>
        <w:rPr>
          <w:sz w:val="22"/>
          <w:szCs w:val="22"/>
        </w:rPr>
      </w:pPr>
      <w:r w:rsidRPr="00501E5D">
        <w:rPr>
          <w:sz w:val="22"/>
          <w:szCs w:val="22"/>
        </w:rPr>
        <w:t xml:space="preserve">w </w:t>
      </w:r>
      <w:r w:rsidRPr="00501E5D">
        <w:rPr>
          <w:b/>
          <w:bCs/>
          <w:sz w:val="22"/>
          <w:szCs w:val="22"/>
        </w:rPr>
        <w:t>359</w:t>
      </w:r>
      <w:r w:rsidRPr="00501E5D">
        <w:rPr>
          <w:sz w:val="22"/>
          <w:szCs w:val="22"/>
        </w:rPr>
        <w:t xml:space="preserve"> sprawach odmówił wszczęcia kontroli podając uzasadnienie faktyczne i</w:t>
      </w:r>
      <w:r w:rsidR="0042036A">
        <w:rPr>
          <w:sz w:val="22"/>
          <w:szCs w:val="22"/>
        </w:rPr>
        <w:t> </w:t>
      </w:r>
      <w:r w:rsidRPr="00501E5D">
        <w:rPr>
          <w:sz w:val="22"/>
          <w:szCs w:val="22"/>
        </w:rPr>
        <w:t>prawne odnoszące się do podniesionych zarzutów</w:t>
      </w:r>
      <w:r w:rsidR="0042036A">
        <w:rPr>
          <w:sz w:val="22"/>
          <w:szCs w:val="22"/>
        </w:rPr>
        <w:t>;</w:t>
      </w:r>
    </w:p>
    <w:p w14:paraId="1DBBB544" w14:textId="77777777" w:rsidR="00501E5D" w:rsidRPr="00501E5D" w:rsidRDefault="00501E5D" w:rsidP="00F47F50">
      <w:pPr>
        <w:pStyle w:val="Akapitzlist"/>
        <w:numPr>
          <w:ilvl w:val="0"/>
          <w:numId w:val="48"/>
        </w:numPr>
        <w:shd w:val="clear" w:color="auto" w:fill="FFFFFF"/>
        <w:spacing w:line="360" w:lineRule="auto"/>
        <w:jc w:val="left"/>
        <w:rPr>
          <w:sz w:val="22"/>
          <w:szCs w:val="22"/>
        </w:rPr>
      </w:pPr>
      <w:r w:rsidRPr="00501E5D">
        <w:rPr>
          <w:sz w:val="22"/>
          <w:szCs w:val="22"/>
        </w:rPr>
        <w:t xml:space="preserve">zakończył </w:t>
      </w:r>
      <w:r w:rsidRPr="00501E5D">
        <w:rPr>
          <w:b/>
          <w:bCs/>
          <w:sz w:val="22"/>
          <w:szCs w:val="22"/>
        </w:rPr>
        <w:t>80</w:t>
      </w:r>
      <w:r w:rsidRPr="00501E5D">
        <w:rPr>
          <w:sz w:val="22"/>
          <w:szCs w:val="22"/>
        </w:rPr>
        <w:t xml:space="preserve"> spraw, które nie podlegały merytorycznemu rozpatrzeniu (np. przekazanie zgodnie z właściwością do innego organu).</w:t>
      </w:r>
    </w:p>
    <w:p w14:paraId="5080C468" w14:textId="3CECF822" w:rsidR="00501E5D" w:rsidRPr="00501E5D" w:rsidRDefault="00501E5D" w:rsidP="00501E5D">
      <w:pPr>
        <w:shd w:val="clear" w:color="auto" w:fill="FFFFFF"/>
        <w:spacing w:before="120" w:line="360" w:lineRule="auto"/>
        <w:jc w:val="left"/>
      </w:pPr>
      <w:r w:rsidRPr="00501E5D">
        <w:t>Średni czas trwania postępowania wyjaśniającego</w:t>
      </w:r>
      <w:r w:rsidR="0042036A">
        <w:t>,</w:t>
      </w:r>
      <w:r w:rsidRPr="00501E5D">
        <w:t xml:space="preserve"> będącego wstępnym etapem kontroli doraźnej</w:t>
      </w:r>
      <w:r w:rsidR="0042036A">
        <w:t>,</w:t>
      </w:r>
      <w:r w:rsidRPr="00501E5D">
        <w:t xml:space="preserve"> wyniósł ok. </w:t>
      </w:r>
      <w:r w:rsidRPr="00501E5D">
        <w:rPr>
          <w:b/>
          <w:bCs/>
        </w:rPr>
        <w:t>4,6</w:t>
      </w:r>
      <w:r w:rsidRPr="00501E5D">
        <w:t xml:space="preserve"> miesiąca, przy ustawowym terminie wynoszącym 6 miesięcy.</w:t>
      </w:r>
    </w:p>
    <w:p w14:paraId="31BA9A2A" w14:textId="69F7F968" w:rsidR="00501E5D" w:rsidRPr="00501E5D" w:rsidRDefault="00501E5D" w:rsidP="00790157">
      <w:pPr>
        <w:shd w:val="clear" w:color="auto" w:fill="FFFFFF"/>
        <w:spacing w:before="120" w:line="360" w:lineRule="auto"/>
        <w:jc w:val="left"/>
      </w:pPr>
      <w:r w:rsidRPr="00501E5D">
        <w:t>Postępowania o udzielenie zamówienia publicznego, które zostały poddane kontroli doraźnej</w:t>
      </w:r>
      <w:r w:rsidR="0042036A">
        <w:t>,</w:t>
      </w:r>
      <w:r w:rsidRPr="00501E5D">
        <w:t xml:space="preserve"> były przeprowadzone przede wszystkim przez jednostki sektora finansów publicznych oraz podmioty prawa publicznego. </w:t>
      </w:r>
    </w:p>
    <w:p w14:paraId="7AFA8B4E" w14:textId="5D20E1C7" w:rsidR="00501E5D" w:rsidRPr="00501E5D" w:rsidRDefault="00501E5D" w:rsidP="00790157">
      <w:pPr>
        <w:shd w:val="clear" w:color="auto" w:fill="FFFFFF"/>
        <w:spacing w:before="120" w:line="360" w:lineRule="auto"/>
        <w:jc w:val="left"/>
      </w:pPr>
      <w:r w:rsidRPr="00501E5D">
        <w:t xml:space="preserve">Skontrolowano </w:t>
      </w:r>
      <w:r w:rsidRPr="00501E5D">
        <w:rPr>
          <w:b/>
          <w:bCs/>
        </w:rPr>
        <w:t>19</w:t>
      </w:r>
      <w:r w:rsidRPr="00501E5D">
        <w:t xml:space="preserve"> zamówień przeprowadzonych przez zamawiających należących do administracji rządowej (w tym jednostki podległe lub nadzorowane) oraz</w:t>
      </w:r>
      <w:r w:rsidR="00326395">
        <w:t xml:space="preserve"> </w:t>
      </w:r>
      <w:r w:rsidRPr="00501E5D">
        <w:rPr>
          <w:b/>
          <w:bCs/>
        </w:rPr>
        <w:t xml:space="preserve">107 </w:t>
      </w:r>
      <w:r w:rsidRPr="00501E5D">
        <w:t>zamawiających należących do administracji samorządowej (w tym m.in. spółki komunalne). Pozostali zamawiający to zamawiający sektorowi, a także szpitale, uczelnie wyższe oraz sądy.</w:t>
      </w:r>
    </w:p>
    <w:p w14:paraId="5AB4C5B0" w14:textId="77777777" w:rsidR="00501E5D" w:rsidRPr="00501E5D" w:rsidRDefault="00501E5D" w:rsidP="00790157">
      <w:pPr>
        <w:shd w:val="clear" w:color="auto" w:fill="FFFFFF"/>
        <w:spacing w:before="120" w:line="360" w:lineRule="auto"/>
        <w:jc w:val="left"/>
      </w:pPr>
      <w:r w:rsidRPr="00501E5D">
        <w:rPr>
          <w:b/>
          <w:bCs/>
        </w:rPr>
        <w:t>20</w:t>
      </w:r>
      <w:r w:rsidRPr="00501E5D">
        <w:t xml:space="preserve"> zamówień objętych kontrolą doraźną było współfinansowanych ze środków UE. Dofinansowane były one głównie w ramach:</w:t>
      </w:r>
    </w:p>
    <w:p w14:paraId="6410D304" w14:textId="77777777" w:rsidR="00501E5D" w:rsidRPr="00D01454" w:rsidRDefault="00501E5D" w:rsidP="00F47F50">
      <w:pPr>
        <w:pStyle w:val="Akapitzlist"/>
        <w:numPr>
          <w:ilvl w:val="0"/>
          <w:numId w:val="49"/>
        </w:numPr>
        <w:shd w:val="clear" w:color="auto" w:fill="FFFFFF"/>
        <w:spacing w:line="360" w:lineRule="auto"/>
        <w:jc w:val="left"/>
        <w:rPr>
          <w:sz w:val="22"/>
          <w:szCs w:val="22"/>
        </w:rPr>
      </w:pPr>
      <w:r w:rsidRPr="00D01454">
        <w:rPr>
          <w:sz w:val="22"/>
          <w:szCs w:val="22"/>
        </w:rPr>
        <w:t xml:space="preserve">Programu Rozwoju Obszarów Wiejskich – </w:t>
      </w:r>
      <w:r w:rsidRPr="00D01454">
        <w:rPr>
          <w:b/>
          <w:bCs/>
          <w:sz w:val="22"/>
          <w:szCs w:val="22"/>
        </w:rPr>
        <w:t>4</w:t>
      </w:r>
      <w:r w:rsidRPr="00D01454">
        <w:rPr>
          <w:sz w:val="22"/>
          <w:szCs w:val="22"/>
        </w:rPr>
        <w:t xml:space="preserve"> kontrole, </w:t>
      </w:r>
    </w:p>
    <w:p w14:paraId="747C37BC" w14:textId="77777777" w:rsidR="00501E5D" w:rsidRPr="00D01454" w:rsidRDefault="00501E5D" w:rsidP="00F47F50">
      <w:pPr>
        <w:pStyle w:val="Akapitzlist"/>
        <w:numPr>
          <w:ilvl w:val="0"/>
          <w:numId w:val="49"/>
        </w:numPr>
        <w:shd w:val="clear" w:color="auto" w:fill="FFFFFF"/>
        <w:spacing w:line="360" w:lineRule="auto"/>
        <w:jc w:val="left"/>
        <w:rPr>
          <w:sz w:val="22"/>
          <w:szCs w:val="22"/>
        </w:rPr>
      </w:pPr>
      <w:r w:rsidRPr="00D01454">
        <w:rPr>
          <w:sz w:val="22"/>
          <w:szCs w:val="22"/>
        </w:rPr>
        <w:t xml:space="preserve">Regionalnych Programów Operacyjnych – </w:t>
      </w:r>
      <w:r w:rsidRPr="00D01454">
        <w:rPr>
          <w:b/>
          <w:bCs/>
          <w:sz w:val="22"/>
          <w:szCs w:val="22"/>
        </w:rPr>
        <w:t>7</w:t>
      </w:r>
      <w:r w:rsidRPr="00D01454">
        <w:rPr>
          <w:sz w:val="22"/>
          <w:szCs w:val="22"/>
        </w:rPr>
        <w:t xml:space="preserve"> kontroli, </w:t>
      </w:r>
    </w:p>
    <w:p w14:paraId="5C732E17" w14:textId="77777777" w:rsidR="00501E5D" w:rsidRPr="00D01454" w:rsidRDefault="00501E5D" w:rsidP="00F47F50">
      <w:pPr>
        <w:pStyle w:val="Akapitzlist"/>
        <w:numPr>
          <w:ilvl w:val="0"/>
          <w:numId w:val="49"/>
        </w:numPr>
        <w:shd w:val="clear" w:color="auto" w:fill="FFFFFF"/>
        <w:spacing w:line="360" w:lineRule="auto"/>
        <w:jc w:val="left"/>
        <w:rPr>
          <w:sz w:val="22"/>
          <w:szCs w:val="22"/>
        </w:rPr>
      </w:pPr>
      <w:r w:rsidRPr="00D01454">
        <w:rPr>
          <w:sz w:val="22"/>
          <w:szCs w:val="22"/>
        </w:rPr>
        <w:t xml:space="preserve">Krajowego Planu Odbudowy – </w:t>
      </w:r>
      <w:r w:rsidRPr="00D01454">
        <w:rPr>
          <w:b/>
          <w:bCs/>
          <w:sz w:val="22"/>
          <w:szCs w:val="22"/>
        </w:rPr>
        <w:t>2</w:t>
      </w:r>
      <w:r w:rsidRPr="00D01454">
        <w:rPr>
          <w:sz w:val="22"/>
          <w:szCs w:val="22"/>
        </w:rPr>
        <w:t xml:space="preserve"> kontrole,</w:t>
      </w:r>
    </w:p>
    <w:p w14:paraId="49BC1FDE" w14:textId="77777777" w:rsidR="00501E5D" w:rsidRPr="00D01454" w:rsidRDefault="00501E5D" w:rsidP="00F47F50">
      <w:pPr>
        <w:pStyle w:val="Akapitzlist"/>
        <w:numPr>
          <w:ilvl w:val="0"/>
          <w:numId w:val="49"/>
        </w:numPr>
        <w:shd w:val="clear" w:color="auto" w:fill="FFFFFF"/>
        <w:spacing w:line="360" w:lineRule="auto"/>
        <w:jc w:val="left"/>
        <w:rPr>
          <w:sz w:val="22"/>
          <w:szCs w:val="22"/>
        </w:rPr>
      </w:pPr>
      <w:r w:rsidRPr="00D01454">
        <w:rPr>
          <w:sz w:val="22"/>
          <w:szCs w:val="22"/>
        </w:rPr>
        <w:t xml:space="preserve">Fundusze Europejskie na Infrastrukturę, Klimat, Środowisko – </w:t>
      </w:r>
      <w:r w:rsidRPr="00D01454">
        <w:rPr>
          <w:b/>
          <w:bCs/>
          <w:sz w:val="22"/>
          <w:szCs w:val="22"/>
        </w:rPr>
        <w:t>2</w:t>
      </w:r>
      <w:r w:rsidRPr="00D01454">
        <w:rPr>
          <w:sz w:val="22"/>
          <w:szCs w:val="22"/>
        </w:rPr>
        <w:t xml:space="preserve"> kontrole,</w:t>
      </w:r>
    </w:p>
    <w:p w14:paraId="511F569F" w14:textId="77777777" w:rsidR="00501E5D" w:rsidRPr="00D01454" w:rsidRDefault="00501E5D" w:rsidP="00F47F50">
      <w:pPr>
        <w:pStyle w:val="Akapitzlist"/>
        <w:numPr>
          <w:ilvl w:val="0"/>
          <w:numId w:val="49"/>
        </w:numPr>
        <w:shd w:val="clear" w:color="auto" w:fill="FFFFFF"/>
        <w:spacing w:line="360" w:lineRule="auto"/>
        <w:jc w:val="left"/>
        <w:rPr>
          <w:sz w:val="22"/>
          <w:szCs w:val="22"/>
        </w:rPr>
      </w:pPr>
      <w:r w:rsidRPr="00D01454">
        <w:rPr>
          <w:sz w:val="22"/>
          <w:szCs w:val="22"/>
        </w:rPr>
        <w:t xml:space="preserve">Zielony Transport – </w:t>
      </w:r>
      <w:r w:rsidRPr="00D01454">
        <w:rPr>
          <w:b/>
          <w:bCs/>
          <w:sz w:val="22"/>
          <w:szCs w:val="22"/>
        </w:rPr>
        <w:t>1</w:t>
      </w:r>
      <w:r w:rsidRPr="00D01454">
        <w:rPr>
          <w:sz w:val="22"/>
          <w:szCs w:val="22"/>
        </w:rPr>
        <w:t xml:space="preserve"> kontrola,</w:t>
      </w:r>
    </w:p>
    <w:p w14:paraId="3A4AFCD6" w14:textId="77777777" w:rsidR="00501E5D" w:rsidRPr="00D01454" w:rsidRDefault="00501E5D" w:rsidP="00F47F50">
      <w:pPr>
        <w:pStyle w:val="Akapitzlist"/>
        <w:numPr>
          <w:ilvl w:val="0"/>
          <w:numId w:val="49"/>
        </w:numPr>
        <w:shd w:val="clear" w:color="auto" w:fill="FFFFFF"/>
        <w:spacing w:line="360" w:lineRule="auto"/>
        <w:jc w:val="left"/>
        <w:rPr>
          <w:sz w:val="22"/>
          <w:szCs w:val="22"/>
        </w:rPr>
      </w:pPr>
      <w:r w:rsidRPr="00D01454">
        <w:rPr>
          <w:sz w:val="22"/>
          <w:szCs w:val="22"/>
        </w:rPr>
        <w:lastRenderedPageBreak/>
        <w:t xml:space="preserve">Fundusze Europejskie na Rozwój Cyfrowy – </w:t>
      </w:r>
      <w:r w:rsidRPr="00D01454">
        <w:rPr>
          <w:b/>
          <w:bCs/>
          <w:sz w:val="22"/>
          <w:szCs w:val="22"/>
        </w:rPr>
        <w:t>1</w:t>
      </w:r>
      <w:r w:rsidRPr="00D01454">
        <w:rPr>
          <w:sz w:val="22"/>
          <w:szCs w:val="22"/>
        </w:rPr>
        <w:t xml:space="preserve"> kontrola,</w:t>
      </w:r>
    </w:p>
    <w:p w14:paraId="69D266DF" w14:textId="77777777" w:rsidR="00501E5D" w:rsidRPr="00D01454" w:rsidRDefault="00501E5D" w:rsidP="00F47F50">
      <w:pPr>
        <w:pStyle w:val="Akapitzlist"/>
        <w:numPr>
          <w:ilvl w:val="0"/>
          <w:numId w:val="49"/>
        </w:numPr>
        <w:shd w:val="clear" w:color="auto" w:fill="FFFFFF"/>
        <w:spacing w:line="360" w:lineRule="auto"/>
        <w:jc w:val="left"/>
        <w:rPr>
          <w:sz w:val="22"/>
          <w:szCs w:val="22"/>
        </w:rPr>
      </w:pPr>
      <w:r w:rsidRPr="00D01454">
        <w:rPr>
          <w:sz w:val="22"/>
          <w:szCs w:val="22"/>
        </w:rPr>
        <w:t xml:space="preserve">Fundusze Europejskie dla Rybactwa – </w:t>
      </w:r>
      <w:r w:rsidRPr="00D01454">
        <w:rPr>
          <w:b/>
          <w:bCs/>
          <w:sz w:val="22"/>
          <w:szCs w:val="22"/>
        </w:rPr>
        <w:t>1</w:t>
      </w:r>
      <w:r w:rsidRPr="00D01454">
        <w:rPr>
          <w:sz w:val="22"/>
          <w:szCs w:val="22"/>
        </w:rPr>
        <w:t xml:space="preserve"> kontrola,</w:t>
      </w:r>
    </w:p>
    <w:p w14:paraId="47C15DA4" w14:textId="77777777" w:rsidR="00501E5D" w:rsidRPr="00D01454" w:rsidRDefault="00501E5D" w:rsidP="00F47F50">
      <w:pPr>
        <w:pStyle w:val="Akapitzlist"/>
        <w:numPr>
          <w:ilvl w:val="0"/>
          <w:numId w:val="49"/>
        </w:numPr>
        <w:shd w:val="clear" w:color="auto" w:fill="FFFFFF"/>
        <w:spacing w:line="360" w:lineRule="auto"/>
        <w:jc w:val="left"/>
        <w:rPr>
          <w:sz w:val="22"/>
          <w:szCs w:val="22"/>
        </w:rPr>
      </w:pPr>
      <w:r w:rsidRPr="00D01454">
        <w:rPr>
          <w:sz w:val="22"/>
          <w:szCs w:val="22"/>
        </w:rPr>
        <w:t xml:space="preserve">Fundusz Europejski dla Polski Wschodniej – </w:t>
      </w:r>
      <w:r w:rsidRPr="00D01454">
        <w:rPr>
          <w:b/>
          <w:bCs/>
          <w:sz w:val="22"/>
          <w:szCs w:val="22"/>
        </w:rPr>
        <w:t>1</w:t>
      </w:r>
      <w:r w:rsidRPr="00D01454">
        <w:rPr>
          <w:sz w:val="22"/>
          <w:szCs w:val="22"/>
        </w:rPr>
        <w:t xml:space="preserve"> kontrola,</w:t>
      </w:r>
    </w:p>
    <w:p w14:paraId="6032343E" w14:textId="77777777" w:rsidR="00501E5D" w:rsidRPr="00D01454" w:rsidRDefault="00501E5D" w:rsidP="00F47F50">
      <w:pPr>
        <w:pStyle w:val="Akapitzlist"/>
        <w:numPr>
          <w:ilvl w:val="0"/>
          <w:numId w:val="49"/>
        </w:numPr>
        <w:shd w:val="clear" w:color="auto" w:fill="FFFFFF"/>
        <w:spacing w:line="360" w:lineRule="auto"/>
        <w:jc w:val="left"/>
        <w:rPr>
          <w:sz w:val="22"/>
          <w:szCs w:val="22"/>
        </w:rPr>
      </w:pPr>
      <w:r w:rsidRPr="00D01454">
        <w:rPr>
          <w:sz w:val="22"/>
          <w:szCs w:val="22"/>
        </w:rPr>
        <w:t xml:space="preserve">Program Polska Cyfrowa - </w:t>
      </w:r>
      <w:r w:rsidRPr="00D01454">
        <w:rPr>
          <w:b/>
          <w:bCs/>
          <w:sz w:val="22"/>
          <w:szCs w:val="22"/>
        </w:rPr>
        <w:t xml:space="preserve">1 </w:t>
      </w:r>
      <w:r w:rsidRPr="00D01454">
        <w:rPr>
          <w:sz w:val="22"/>
          <w:szCs w:val="22"/>
        </w:rPr>
        <w:t>kontrola.</w:t>
      </w:r>
    </w:p>
    <w:p w14:paraId="2249470F" w14:textId="77777777" w:rsidR="00501E5D" w:rsidRPr="00501E5D" w:rsidRDefault="00501E5D" w:rsidP="00A72E35">
      <w:pPr>
        <w:shd w:val="clear" w:color="auto" w:fill="FFFFFF"/>
        <w:spacing w:before="120" w:line="360" w:lineRule="auto"/>
        <w:jc w:val="left"/>
      </w:pPr>
      <w:r w:rsidRPr="00501E5D">
        <w:t>O wynikach kontroli doraźnych zamówień współfinansowanych ze środków UE informowane były instytucje, na wniosek których wszczęto kontrolę, przy czym zawsze informowana była także właściwa instytucja zarządzająca i instytucja pośrednicząca, a w przypadku regionalnych programów operacyjnych - właściwa instytucja zarządzająca.</w:t>
      </w:r>
    </w:p>
    <w:p w14:paraId="27DF6EDB" w14:textId="77777777" w:rsidR="00501E5D" w:rsidRPr="00501E5D" w:rsidRDefault="00501E5D" w:rsidP="00A72E35">
      <w:pPr>
        <w:shd w:val="clear" w:color="auto" w:fill="FFFFFF"/>
        <w:spacing w:before="120" w:line="360" w:lineRule="auto"/>
        <w:jc w:val="left"/>
        <w:rPr>
          <w:b/>
          <w:bCs/>
        </w:rPr>
      </w:pPr>
      <w:bookmarkStart w:id="277" w:name="_Hlk98404064"/>
      <w:r w:rsidRPr="00501E5D">
        <w:t xml:space="preserve">Łączna wartość szacunkowa zamówień objętych kontrolą doraźną w 2025 r. wyniosła - </w:t>
      </w:r>
      <w:r w:rsidRPr="00501E5D">
        <w:rPr>
          <w:b/>
          <w:bCs/>
        </w:rPr>
        <w:t>1 954 485 687,34 zł</w:t>
      </w:r>
      <w:r w:rsidRPr="00501E5D">
        <w:t>.</w:t>
      </w:r>
    </w:p>
    <w:p w14:paraId="569609B8" w14:textId="76282566" w:rsidR="007D2040" w:rsidRDefault="007D2040" w:rsidP="007D2040">
      <w:pPr>
        <w:pStyle w:val="Legenda"/>
      </w:pPr>
      <w:bookmarkStart w:id="278" w:name="_Toc233203367"/>
      <w:r w:rsidRPr="00BA1095">
        <w:t xml:space="preserve">Rys. </w:t>
      </w:r>
      <w:r>
        <w:fldChar w:fldCharType="begin"/>
      </w:r>
      <w:r>
        <w:instrText>SEQ Rys. \* ARABIC</w:instrText>
      </w:r>
      <w:r>
        <w:fldChar w:fldCharType="separate"/>
      </w:r>
      <w:r w:rsidR="00017C65">
        <w:rPr>
          <w:noProof/>
        </w:rPr>
        <w:t>46</w:t>
      </w:r>
      <w:r>
        <w:fldChar w:fldCharType="end"/>
      </w:r>
      <w:r w:rsidRPr="00BA1095">
        <w:t xml:space="preserve">. </w:t>
      </w:r>
      <w:r>
        <w:t>L</w:t>
      </w:r>
      <w:r w:rsidRPr="0036716E">
        <w:t xml:space="preserve">iczba </w:t>
      </w:r>
      <w:r>
        <w:t xml:space="preserve">i wartość </w:t>
      </w:r>
      <w:r w:rsidRPr="007D2040">
        <w:t>szacunkowa skontrolowanych zamówień</w:t>
      </w:r>
      <w:r>
        <w:t xml:space="preserve"> w</w:t>
      </w:r>
      <w:r w:rsidR="00326395">
        <w:t xml:space="preserve"> </w:t>
      </w:r>
      <w:r>
        <w:t xml:space="preserve">2025 roku w podziale na rodzaj zamówienia </w:t>
      </w:r>
      <w:r w:rsidR="00471AC6">
        <w:t>(kontrola doraźna)</w:t>
      </w:r>
      <w:bookmarkEnd w:id="278"/>
    </w:p>
    <w:p w14:paraId="6CF8A9A2" w14:textId="295D00A1" w:rsidR="007D2040" w:rsidRDefault="00ED5E1D" w:rsidP="00A72E35">
      <w:pPr>
        <w:shd w:val="clear" w:color="auto" w:fill="FFFFFF"/>
        <w:spacing w:before="120" w:line="360" w:lineRule="auto"/>
        <w:jc w:val="left"/>
      </w:pPr>
      <w:r>
        <w:rPr>
          <w:noProof/>
        </w:rPr>
        <w:drawing>
          <wp:inline distT="0" distB="0" distL="0" distR="0" wp14:anchorId="6FEDEB90" wp14:editId="18E48C41">
            <wp:extent cx="4861560" cy="3101340"/>
            <wp:effectExtent l="0" t="0" r="0" b="3810"/>
            <wp:docPr id="472542003" name="Wykres 472542003" descr="Liczba i wartość szacunkowa skontrolowanych zamówień w 2025 roku w podziale na rodzaj zamówienia (kontrola doraźna)" title="Liczba i wartość szacunkowa skontrolowanych zamówień w 2025 roku w podziale na rodzaj zamówienia (kontrola doraźna)"/>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468725F" w14:textId="0F49A37D" w:rsidR="00501E5D" w:rsidRPr="00501E5D" w:rsidRDefault="00501E5D" w:rsidP="00DF2FAF">
      <w:pPr>
        <w:shd w:val="clear" w:color="auto" w:fill="FFFFFF"/>
        <w:spacing w:before="240" w:line="360" w:lineRule="auto"/>
        <w:jc w:val="left"/>
      </w:pPr>
      <w:r w:rsidRPr="00501E5D">
        <w:t xml:space="preserve">Łączna wartość szacunkowa skontrolowanych zamówień na </w:t>
      </w:r>
      <w:r w:rsidRPr="00501E5D">
        <w:rPr>
          <w:b/>
          <w:bCs/>
        </w:rPr>
        <w:t>usługi</w:t>
      </w:r>
      <w:r w:rsidRPr="00501E5D">
        <w:t xml:space="preserve"> (</w:t>
      </w:r>
      <w:r w:rsidRPr="00501E5D">
        <w:rPr>
          <w:b/>
          <w:bCs/>
        </w:rPr>
        <w:t>83</w:t>
      </w:r>
      <w:r w:rsidRPr="00501E5D">
        <w:t xml:space="preserve">) wyniosła </w:t>
      </w:r>
      <w:r w:rsidRPr="00501E5D">
        <w:rPr>
          <w:b/>
          <w:bCs/>
        </w:rPr>
        <w:t xml:space="preserve">1 531 670 813,18 </w:t>
      </w:r>
      <w:r w:rsidRPr="00501E5D">
        <w:t xml:space="preserve">zł, na </w:t>
      </w:r>
      <w:r w:rsidRPr="00501E5D">
        <w:rPr>
          <w:b/>
          <w:bCs/>
        </w:rPr>
        <w:t>dostawy</w:t>
      </w:r>
      <w:r w:rsidRPr="00501E5D">
        <w:t xml:space="preserve"> (</w:t>
      </w:r>
      <w:r w:rsidRPr="00501E5D">
        <w:rPr>
          <w:b/>
          <w:bCs/>
        </w:rPr>
        <w:t>34</w:t>
      </w:r>
      <w:r w:rsidRPr="00501E5D">
        <w:t xml:space="preserve">) wyniosła </w:t>
      </w:r>
      <w:r w:rsidRPr="00501E5D">
        <w:rPr>
          <w:b/>
          <w:bCs/>
        </w:rPr>
        <w:t xml:space="preserve">79 517 147,89 </w:t>
      </w:r>
      <w:r w:rsidRPr="00501E5D">
        <w:t xml:space="preserve">zł, a na </w:t>
      </w:r>
      <w:r w:rsidRPr="00501E5D">
        <w:rPr>
          <w:b/>
          <w:bCs/>
        </w:rPr>
        <w:t xml:space="preserve">roboty budowlane </w:t>
      </w:r>
      <w:r w:rsidRPr="00501E5D">
        <w:t>(</w:t>
      </w:r>
      <w:r w:rsidRPr="00501E5D">
        <w:rPr>
          <w:b/>
          <w:bCs/>
        </w:rPr>
        <w:t>43</w:t>
      </w:r>
      <w:r w:rsidRPr="00501E5D">
        <w:t xml:space="preserve">) wyniosła </w:t>
      </w:r>
      <w:r w:rsidRPr="00501E5D">
        <w:rPr>
          <w:b/>
          <w:bCs/>
        </w:rPr>
        <w:t>344 162 225,82</w:t>
      </w:r>
      <w:r w:rsidR="00326395">
        <w:rPr>
          <w:b/>
          <w:bCs/>
        </w:rPr>
        <w:t xml:space="preserve"> </w:t>
      </w:r>
      <w:r w:rsidRPr="00501E5D">
        <w:rPr>
          <w:b/>
          <w:bCs/>
        </w:rPr>
        <w:t>zł</w:t>
      </w:r>
      <w:r w:rsidRPr="00501E5D">
        <w:t>.</w:t>
      </w:r>
    </w:p>
    <w:p w14:paraId="147F8C78" w14:textId="01F0A1C1" w:rsidR="000F7304" w:rsidRDefault="000F7304" w:rsidP="000F7304">
      <w:pPr>
        <w:pStyle w:val="Legenda"/>
      </w:pPr>
      <w:bookmarkStart w:id="279" w:name="_Toc233203368"/>
      <w:r w:rsidRPr="00BA1095">
        <w:lastRenderedPageBreak/>
        <w:t xml:space="preserve">Rys. </w:t>
      </w:r>
      <w:r>
        <w:fldChar w:fldCharType="begin"/>
      </w:r>
      <w:r>
        <w:instrText>SEQ Rys. \* ARABIC</w:instrText>
      </w:r>
      <w:r>
        <w:fldChar w:fldCharType="separate"/>
      </w:r>
      <w:r w:rsidR="00017C65">
        <w:rPr>
          <w:noProof/>
        </w:rPr>
        <w:t>47</w:t>
      </w:r>
      <w:r>
        <w:fldChar w:fldCharType="end"/>
      </w:r>
      <w:r w:rsidRPr="00BA1095">
        <w:t xml:space="preserve">. </w:t>
      </w:r>
      <w:r>
        <w:t xml:space="preserve">Wartość </w:t>
      </w:r>
      <w:r w:rsidRPr="007D2040">
        <w:t>szacunkowa skontrolowanych zamówień</w:t>
      </w:r>
      <w:r>
        <w:t xml:space="preserve"> w</w:t>
      </w:r>
      <w:r w:rsidR="00326395">
        <w:t xml:space="preserve"> </w:t>
      </w:r>
      <w:r>
        <w:t xml:space="preserve">2025 roku w podziale na rodzaj administracji </w:t>
      </w:r>
      <w:r w:rsidR="00D60F29">
        <w:t>(kontrola doraźna)</w:t>
      </w:r>
      <w:bookmarkEnd w:id="279"/>
    </w:p>
    <w:p w14:paraId="3059A3BC" w14:textId="2202D40F" w:rsidR="000F7304" w:rsidRDefault="00282FEE" w:rsidP="00A72E35">
      <w:pPr>
        <w:shd w:val="clear" w:color="auto" w:fill="FFFFFF"/>
        <w:spacing w:before="120" w:line="360" w:lineRule="auto"/>
        <w:jc w:val="left"/>
      </w:pPr>
      <w:r>
        <w:rPr>
          <w:noProof/>
        </w:rPr>
        <w:drawing>
          <wp:inline distT="0" distB="0" distL="0" distR="0" wp14:anchorId="3D5C3996" wp14:editId="0F64D949">
            <wp:extent cx="4974590" cy="2743200"/>
            <wp:effectExtent l="0" t="0" r="0" b="0"/>
            <wp:docPr id="472541988" name="Obraz 472541988" descr="Wartość szacunkowa skontrolowanych zamówień w 2025 roku w podziale na rodzaj administracji (kontrola doraźna)" title="Wartość szacunkowa skontrolowanych zamówień w 2025 roku w podziale na rodzaj administracji (kontrola doraź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74590" cy="2743200"/>
                    </a:xfrm>
                    <a:prstGeom prst="rect">
                      <a:avLst/>
                    </a:prstGeom>
                    <a:noFill/>
                  </pic:spPr>
                </pic:pic>
              </a:graphicData>
            </a:graphic>
          </wp:inline>
        </w:drawing>
      </w:r>
    </w:p>
    <w:p w14:paraId="244D88D3" w14:textId="6137676F" w:rsidR="00501E5D" w:rsidRPr="00501E5D" w:rsidRDefault="00501E5D" w:rsidP="0011742D">
      <w:pPr>
        <w:shd w:val="clear" w:color="auto" w:fill="FFFFFF"/>
        <w:spacing w:before="240" w:line="360" w:lineRule="auto"/>
        <w:jc w:val="left"/>
      </w:pPr>
      <w:r w:rsidRPr="00501E5D">
        <w:t xml:space="preserve">Łączna wartość szacunkowa skontrolowanych zamówień udzielonych przez zamawiających należących do </w:t>
      </w:r>
      <w:r w:rsidRPr="00501E5D">
        <w:rPr>
          <w:b/>
          <w:bCs/>
        </w:rPr>
        <w:t>administracji rządowej</w:t>
      </w:r>
      <w:r w:rsidRPr="00501E5D">
        <w:t xml:space="preserve"> wyniosła </w:t>
      </w:r>
      <w:r w:rsidRPr="00501E5D">
        <w:rPr>
          <w:b/>
          <w:bCs/>
        </w:rPr>
        <w:t xml:space="preserve">76 043 666,65 </w:t>
      </w:r>
      <w:r w:rsidRPr="00501E5D">
        <w:t xml:space="preserve">zł, natomiast do </w:t>
      </w:r>
      <w:r w:rsidRPr="00501E5D">
        <w:rPr>
          <w:b/>
          <w:bCs/>
        </w:rPr>
        <w:t>administracji samorządowej</w:t>
      </w:r>
      <w:r w:rsidRPr="00501E5D">
        <w:t xml:space="preserve"> </w:t>
      </w:r>
      <w:r w:rsidR="00800FA3">
        <w:t xml:space="preserve">- </w:t>
      </w:r>
      <w:r w:rsidRPr="00501E5D">
        <w:rPr>
          <w:b/>
          <w:bCs/>
        </w:rPr>
        <w:t xml:space="preserve">1 595 930 910,45 </w:t>
      </w:r>
      <w:r w:rsidRPr="00501E5D">
        <w:t>zł.</w:t>
      </w:r>
    </w:p>
    <w:p w14:paraId="47BE71B5" w14:textId="2385DC9E" w:rsidR="00501E5D" w:rsidRPr="00501E5D" w:rsidRDefault="00501E5D" w:rsidP="00A72E35">
      <w:pPr>
        <w:shd w:val="clear" w:color="auto" w:fill="FFFFFF"/>
        <w:spacing w:before="120" w:line="360" w:lineRule="auto"/>
        <w:jc w:val="left"/>
      </w:pPr>
      <w:r w:rsidRPr="00501E5D">
        <w:rPr>
          <w:b/>
          <w:bCs/>
        </w:rPr>
        <w:t>29</w:t>
      </w:r>
      <w:r w:rsidRPr="00501E5D">
        <w:t xml:space="preserve"> kontroli wykazało naruszenia, mające lub mogące mieć wpływ na wynik postępowani</w:t>
      </w:r>
      <w:bookmarkEnd w:id="277"/>
      <w:r w:rsidRPr="00501E5D">
        <w:t>a o</w:t>
      </w:r>
      <w:r w:rsidR="00800FA3">
        <w:t> </w:t>
      </w:r>
      <w:r w:rsidRPr="00501E5D">
        <w:t xml:space="preserve">udzielenie zamówienia, z których </w:t>
      </w:r>
      <w:r w:rsidRPr="00501E5D">
        <w:rPr>
          <w:b/>
          <w:bCs/>
        </w:rPr>
        <w:t>20</w:t>
      </w:r>
      <w:r w:rsidRPr="00501E5D">
        <w:t xml:space="preserve"> dotyczyło zamówień na usługi, </w:t>
      </w:r>
      <w:r w:rsidRPr="00501E5D">
        <w:rPr>
          <w:b/>
          <w:bCs/>
        </w:rPr>
        <w:t>4</w:t>
      </w:r>
      <w:r w:rsidRPr="00501E5D">
        <w:t xml:space="preserve"> na dostawy oraz </w:t>
      </w:r>
      <w:r w:rsidRPr="00501E5D">
        <w:rPr>
          <w:b/>
          <w:bCs/>
        </w:rPr>
        <w:t>5</w:t>
      </w:r>
      <w:r w:rsidR="00800FA3">
        <w:t> </w:t>
      </w:r>
      <w:r w:rsidRPr="00501E5D">
        <w:t xml:space="preserve">na roboty budowlane. </w:t>
      </w:r>
    </w:p>
    <w:p w14:paraId="254ABE9E" w14:textId="7BA601F2" w:rsidR="00501E5D" w:rsidRPr="00501E5D" w:rsidRDefault="00501E5D" w:rsidP="00A72E35">
      <w:pPr>
        <w:shd w:val="clear" w:color="auto" w:fill="FFFFFF"/>
        <w:spacing w:before="120" w:line="360" w:lineRule="auto"/>
        <w:jc w:val="left"/>
      </w:pPr>
      <w:r w:rsidRPr="00501E5D">
        <w:t>Łączna wartość szacunkowa zamówień objętych kontrolą doraźną, w których stwierdzono naruszenia mające lub mogące mieć wpływ na wynik postępowania</w:t>
      </w:r>
      <w:r w:rsidR="00800FA3">
        <w:t>,</w:t>
      </w:r>
      <w:r w:rsidRPr="00501E5D">
        <w:t xml:space="preserve"> wyniosła w roku 2025</w:t>
      </w:r>
      <w:r w:rsidR="00326395">
        <w:t xml:space="preserve"> </w:t>
      </w:r>
      <w:r w:rsidRPr="00501E5D">
        <w:rPr>
          <w:b/>
          <w:bCs/>
        </w:rPr>
        <w:t>981</w:t>
      </w:r>
      <w:r w:rsidR="00800FA3">
        <w:rPr>
          <w:b/>
          <w:bCs/>
        </w:rPr>
        <w:t> </w:t>
      </w:r>
      <w:r w:rsidRPr="00501E5D">
        <w:rPr>
          <w:b/>
          <w:bCs/>
        </w:rPr>
        <w:t>315</w:t>
      </w:r>
      <w:r w:rsidR="00800FA3">
        <w:rPr>
          <w:b/>
          <w:bCs/>
        </w:rPr>
        <w:t> </w:t>
      </w:r>
      <w:r w:rsidRPr="00501E5D">
        <w:rPr>
          <w:b/>
          <w:bCs/>
        </w:rPr>
        <w:t>913,17</w:t>
      </w:r>
      <w:r w:rsidRPr="00501E5D">
        <w:t xml:space="preserve"> zł. </w:t>
      </w:r>
    </w:p>
    <w:p w14:paraId="1323CEBB" w14:textId="04BFCF1E" w:rsidR="00A319B0" w:rsidRDefault="00A319B0" w:rsidP="00A319B0">
      <w:pPr>
        <w:pStyle w:val="Legenda"/>
      </w:pPr>
      <w:bookmarkStart w:id="280" w:name="_Toc233203369"/>
      <w:r w:rsidRPr="00BA1095">
        <w:lastRenderedPageBreak/>
        <w:t xml:space="preserve">Rys. </w:t>
      </w:r>
      <w:r>
        <w:fldChar w:fldCharType="begin"/>
      </w:r>
      <w:r>
        <w:instrText>SEQ Rys. \* ARABIC</w:instrText>
      </w:r>
      <w:r>
        <w:fldChar w:fldCharType="separate"/>
      </w:r>
      <w:r w:rsidR="00017C65">
        <w:rPr>
          <w:noProof/>
        </w:rPr>
        <w:t>48</w:t>
      </w:r>
      <w:r>
        <w:fldChar w:fldCharType="end"/>
      </w:r>
      <w:r w:rsidRPr="00BA1095">
        <w:t xml:space="preserve">. </w:t>
      </w:r>
      <w:r>
        <w:t xml:space="preserve">Wartość </w:t>
      </w:r>
      <w:r w:rsidRPr="007D2040">
        <w:t xml:space="preserve">szacunkowa </w:t>
      </w:r>
      <w:r w:rsidRPr="00A319B0">
        <w:t xml:space="preserve">zamówień objętych kontrolą doraźną, w których stwierdzono naruszenia mające lub mogące mieć wpływ na wynik postępowania </w:t>
      </w:r>
      <w:r>
        <w:t>w podziale na tryb udzielenia zamówienia</w:t>
      </w:r>
      <w:bookmarkEnd w:id="280"/>
      <w:r>
        <w:t xml:space="preserve"> </w:t>
      </w:r>
    </w:p>
    <w:p w14:paraId="179FED22" w14:textId="17B25AC8" w:rsidR="00A319B0" w:rsidRDefault="00197E12" w:rsidP="00A72E35">
      <w:pPr>
        <w:shd w:val="clear" w:color="auto" w:fill="FFFFFF"/>
        <w:spacing w:before="120" w:line="360" w:lineRule="auto"/>
        <w:jc w:val="left"/>
      </w:pPr>
      <w:r>
        <w:rPr>
          <w:noProof/>
        </w:rPr>
        <w:drawing>
          <wp:inline distT="0" distB="0" distL="0" distR="0" wp14:anchorId="3051561E" wp14:editId="6A49305E">
            <wp:extent cx="5074920" cy="2891790"/>
            <wp:effectExtent l="0" t="0" r="0" b="3810"/>
            <wp:docPr id="472541986" name="Wykres 472541986" descr="Wartość szacunkowa zamówień objętych kontrolą doraźną, w których stwierdzono naruszenia mające lub mogące mieć wpływ na wynik postępowania w podziale na tryb udzielenia zamówienia " title="Wartość szacunkowa zamówień objętych kontrolą doraźną, w których stwierdzono naruszenia mające lub mogące mieć wpływ na wynik postępowania w podziale na tryb udzielenia zamówienia "/>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646E94A" w14:textId="5BC9677F" w:rsidR="00501E5D" w:rsidRPr="00501E5D" w:rsidRDefault="00501E5D" w:rsidP="004C0744">
      <w:pPr>
        <w:shd w:val="clear" w:color="auto" w:fill="FFFFFF"/>
        <w:spacing w:before="240" w:line="360" w:lineRule="auto"/>
        <w:jc w:val="left"/>
      </w:pPr>
      <w:r w:rsidRPr="00501E5D">
        <w:t>Były to kontrole zamówień udzielonych w trybach:</w:t>
      </w:r>
    </w:p>
    <w:p w14:paraId="39708430" w14:textId="5DC5A443" w:rsidR="00501E5D" w:rsidRPr="00A72E35" w:rsidRDefault="00501E5D" w:rsidP="00F47F50">
      <w:pPr>
        <w:pStyle w:val="Akapitzlist"/>
        <w:numPr>
          <w:ilvl w:val="0"/>
          <w:numId w:val="50"/>
        </w:numPr>
        <w:shd w:val="clear" w:color="auto" w:fill="FFFFFF"/>
        <w:spacing w:line="360" w:lineRule="auto"/>
        <w:jc w:val="left"/>
        <w:rPr>
          <w:sz w:val="22"/>
          <w:szCs w:val="22"/>
        </w:rPr>
      </w:pPr>
      <w:r w:rsidRPr="00A72E35">
        <w:rPr>
          <w:sz w:val="22"/>
          <w:szCs w:val="22"/>
        </w:rPr>
        <w:t>podstawowym (</w:t>
      </w:r>
      <w:r w:rsidRPr="00A72E35">
        <w:rPr>
          <w:b/>
          <w:bCs/>
          <w:sz w:val="22"/>
          <w:szCs w:val="22"/>
        </w:rPr>
        <w:t>18</w:t>
      </w:r>
      <w:r w:rsidRPr="00A72E35">
        <w:rPr>
          <w:sz w:val="22"/>
          <w:szCs w:val="22"/>
        </w:rPr>
        <w:t xml:space="preserve">), których łączna wartość szacunkowa wyniosła </w:t>
      </w:r>
      <w:r w:rsidRPr="00A72E35">
        <w:rPr>
          <w:b/>
          <w:bCs/>
          <w:sz w:val="22"/>
          <w:szCs w:val="22"/>
        </w:rPr>
        <w:t>15 617 773,04</w:t>
      </w:r>
      <w:r w:rsidRPr="00A72E35">
        <w:rPr>
          <w:sz w:val="22"/>
          <w:szCs w:val="22"/>
        </w:rPr>
        <w:t xml:space="preserve"> zł;</w:t>
      </w:r>
    </w:p>
    <w:p w14:paraId="2C8C0A25" w14:textId="554EB51F" w:rsidR="00501E5D" w:rsidRPr="00A72E35" w:rsidRDefault="00501E5D" w:rsidP="00F47F50">
      <w:pPr>
        <w:pStyle w:val="Akapitzlist"/>
        <w:numPr>
          <w:ilvl w:val="0"/>
          <w:numId w:val="50"/>
        </w:numPr>
        <w:shd w:val="clear" w:color="auto" w:fill="FFFFFF"/>
        <w:spacing w:line="360" w:lineRule="auto"/>
        <w:jc w:val="left"/>
        <w:rPr>
          <w:sz w:val="22"/>
          <w:szCs w:val="22"/>
        </w:rPr>
      </w:pPr>
      <w:r w:rsidRPr="00A72E35">
        <w:rPr>
          <w:sz w:val="22"/>
          <w:szCs w:val="22"/>
        </w:rPr>
        <w:t>przetargu nieograniczonego (</w:t>
      </w:r>
      <w:r w:rsidRPr="00A72E35">
        <w:rPr>
          <w:b/>
          <w:bCs/>
          <w:sz w:val="22"/>
          <w:szCs w:val="22"/>
        </w:rPr>
        <w:t>6</w:t>
      </w:r>
      <w:r w:rsidRPr="00A72E35">
        <w:rPr>
          <w:sz w:val="22"/>
          <w:szCs w:val="22"/>
        </w:rPr>
        <w:t xml:space="preserve">), których łączna wartość szacunkowa wyniosła </w:t>
      </w:r>
      <w:r w:rsidRPr="00A72E35">
        <w:rPr>
          <w:b/>
          <w:bCs/>
          <w:sz w:val="22"/>
          <w:szCs w:val="22"/>
        </w:rPr>
        <w:t>925</w:t>
      </w:r>
      <w:r w:rsidR="00800FA3">
        <w:rPr>
          <w:b/>
          <w:bCs/>
          <w:sz w:val="22"/>
          <w:szCs w:val="22"/>
        </w:rPr>
        <w:t> </w:t>
      </w:r>
      <w:r w:rsidRPr="00A72E35">
        <w:rPr>
          <w:b/>
          <w:bCs/>
          <w:sz w:val="22"/>
          <w:szCs w:val="22"/>
        </w:rPr>
        <w:t>097</w:t>
      </w:r>
      <w:r w:rsidR="00800FA3">
        <w:rPr>
          <w:b/>
          <w:bCs/>
          <w:sz w:val="22"/>
          <w:szCs w:val="22"/>
        </w:rPr>
        <w:t> </w:t>
      </w:r>
      <w:r w:rsidRPr="00A72E35">
        <w:rPr>
          <w:b/>
          <w:bCs/>
          <w:sz w:val="22"/>
          <w:szCs w:val="22"/>
        </w:rPr>
        <w:t>155,22</w:t>
      </w:r>
      <w:r w:rsidR="00326395">
        <w:rPr>
          <w:b/>
          <w:bCs/>
          <w:sz w:val="22"/>
          <w:szCs w:val="22"/>
        </w:rPr>
        <w:t xml:space="preserve"> </w:t>
      </w:r>
      <w:r w:rsidRPr="00A72E35">
        <w:rPr>
          <w:sz w:val="22"/>
          <w:szCs w:val="22"/>
        </w:rPr>
        <w:t>zł;</w:t>
      </w:r>
    </w:p>
    <w:p w14:paraId="136DE5B7" w14:textId="36D25497" w:rsidR="00501E5D" w:rsidRPr="00A72E35" w:rsidRDefault="00501E5D" w:rsidP="00F47F50">
      <w:pPr>
        <w:pStyle w:val="Akapitzlist"/>
        <w:numPr>
          <w:ilvl w:val="0"/>
          <w:numId w:val="50"/>
        </w:numPr>
        <w:shd w:val="clear" w:color="auto" w:fill="FFFFFF"/>
        <w:spacing w:line="360" w:lineRule="auto"/>
        <w:jc w:val="left"/>
        <w:rPr>
          <w:sz w:val="22"/>
          <w:szCs w:val="22"/>
        </w:rPr>
      </w:pPr>
      <w:r w:rsidRPr="00A72E35">
        <w:rPr>
          <w:sz w:val="22"/>
          <w:szCs w:val="22"/>
        </w:rPr>
        <w:t>zamówienia z wolnej ręki (</w:t>
      </w:r>
      <w:r w:rsidRPr="00A72E35">
        <w:rPr>
          <w:b/>
          <w:bCs/>
          <w:sz w:val="22"/>
          <w:szCs w:val="22"/>
        </w:rPr>
        <w:t>3</w:t>
      </w:r>
      <w:r w:rsidRPr="00A72E35">
        <w:rPr>
          <w:sz w:val="22"/>
          <w:szCs w:val="22"/>
        </w:rPr>
        <w:t xml:space="preserve">), których łączna wartość szacunkowa wyniosła </w:t>
      </w:r>
      <w:r w:rsidRPr="00A72E35">
        <w:rPr>
          <w:b/>
          <w:bCs/>
          <w:sz w:val="22"/>
          <w:szCs w:val="22"/>
        </w:rPr>
        <w:t>18 225 075,00</w:t>
      </w:r>
      <w:r w:rsidR="00326395">
        <w:rPr>
          <w:sz w:val="22"/>
          <w:szCs w:val="22"/>
        </w:rPr>
        <w:t xml:space="preserve"> </w:t>
      </w:r>
      <w:r w:rsidRPr="00A72E35">
        <w:rPr>
          <w:sz w:val="22"/>
          <w:szCs w:val="22"/>
        </w:rPr>
        <w:t>zł;</w:t>
      </w:r>
    </w:p>
    <w:p w14:paraId="7A1260C3" w14:textId="30CD870A" w:rsidR="00501E5D" w:rsidRPr="00A72E35" w:rsidRDefault="00501E5D" w:rsidP="00F47F50">
      <w:pPr>
        <w:pStyle w:val="Akapitzlist"/>
        <w:numPr>
          <w:ilvl w:val="0"/>
          <w:numId w:val="50"/>
        </w:numPr>
        <w:shd w:val="clear" w:color="auto" w:fill="FFFFFF"/>
        <w:spacing w:line="360" w:lineRule="auto"/>
        <w:jc w:val="left"/>
        <w:rPr>
          <w:b/>
          <w:bCs/>
          <w:sz w:val="22"/>
          <w:szCs w:val="22"/>
        </w:rPr>
      </w:pPr>
      <w:r w:rsidRPr="00A72E35">
        <w:rPr>
          <w:sz w:val="22"/>
          <w:szCs w:val="22"/>
        </w:rPr>
        <w:t>bez stosowania ustawy Pzp (</w:t>
      </w:r>
      <w:r w:rsidRPr="00A72E35">
        <w:rPr>
          <w:b/>
          <w:bCs/>
          <w:sz w:val="22"/>
          <w:szCs w:val="22"/>
        </w:rPr>
        <w:t>2</w:t>
      </w:r>
      <w:r w:rsidRPr="00A72E35">
        <w:rPr>
          <w:sz w:val="22"/>
          <w:szCs w:val="22"/>
        </w:rPr>
        <w:t xml:space="preserve">), których łączna wartość szacunkowa wyniosła </w:t>
      </w:r>
      <w:r w:rsidRPr="00A72E35">
        <w:rPr>
          <w:b/>
          <w:bCs/>
          <w:sz w:val="22"/>
          <w:szCs w:val="22"/>
        </w:rPr>
        <w:t>22</w:t>
      </w:r>
      <w:r w:rsidR="00800FA3">
        <w:rPr>
          <w:b/>
          <w:bCs/>
          <w:sz w:val="22"/>
          <w:szCs w:val="22"/>
        </w:rPr>
        <w:t> </w:t>
      </w:r>
      <w:r w:rsidRPr="00A72E35">
        <w:rPr>
          <w:b/>
          <w:bCs/>
          <w:sz w:val="22"/>
          <w:szCs w:val="22"/>
        </w:rPr>
        <w:t>375</w:t>
      </w:r>
      <w:r w:rsidR="00800FA3">
        <w:rPr>
          <w:b/>
          <w:bCs/>
          <w:sz w:val="22"/>
          <w:szCs w:val="22"/>
        </w:rPr>
        <w:t> </w:t>
      </w:r>
      <w:r w:rsidRPr="00A72E35">
        <w:rPr>
          <w:b/>
          <w:bCs/>
          <w:sz w:val="22"/>
          <w:szCs w:val="22"/>
        </w:rPr>
        <w:t>909,91</w:t>
      </w:r>
      <w:r w:rsidRPr="00A72E35">
        <w:rPr>
          <w:sz w:val="22"/>
          <w:szCs w:val="22"/>
        </w:rPr>
        <w:t xml:space="preserve"> zł.</w:t>
      </w:r>
    </w:p>
    <w:p w14:paraId="47CF453E" w14:textId="77777777" w:rsidR="00501E5D" w:rsidRPr="00501E5D" w:rsidRDefault="00501E5D" w:rsidP="0006127C">
      <w:pPr>
        <w:shd w:val="clear" w:color="auto" w:fill="FFFFFF"/>
        <w:spacing w:before="120" w:line="360" w:lineRule="auto"/>
        <w:jc w:val="left"/>
      </w:pPr>
      <w:r w:rsidRPr="00501E5D">
        <w:t xml:space="preserve">Kontrolą objęto zamówienia udzielane zarówno w procedurze krajowej – </w:t>
      </w:r>
      <w:r w:rsidRPr="00501E5D">
        <w:rPr>
          <w:b/>
          <w:bCs/>
        </w:rPr>
        <w:t>21</w:t>
      </w:r>
      <w:r w:rsidRPr="00501E5D">
        <w:t xml:space="preserve"> kontroli, jak i w procedurze unijnej – </w:t>
      </w:r>
      <w:r w:rsidRPr="00501E5D">
        <w:rPr>
          <w:b/>
          <w:bCs/>
        </w:rPr>
        <w:t>8</w:t>
      </w:r>
      <w:r w:rsidRPr="00501E5D">
        <w:t xml:space="preserve"> kontroli.</w:t>
      </w:r>
    </w:p>
    <w:p w14:paraId="1DD2E678" w14:textId="77777777" w:rsidR="00501E5D" w:rsidRPr="00591904" w:rsidRDefault="00501E5D" w:rsidP="00852522">
      <w:pPr>
        <w:pStyle w:val="Nagwek4"/>
      </w:pPr>
      <w:r w:rsidRPr="000C66F5">
        <w:t>Naruszenia dotyczyły m.in. przepisów</w:t>
      </w:r>
      <w:r w:rsidRPr="00591904">
        <w:t>:</w:t>
      </w:r>
    </w:p>
    <w:p w14:paraId="3EE0495C" w14:textId="4172B97D"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art. 2 ust. 1 pkt 1 w zw. z art. 4 pkt 1, art. 16 pkt 2 oraz 17 ust. 2 ustawy Pzp poprzez zawarcie z Wykonawcą umowy na realizację zadania bez zastosowania przepisów ustawy Pzp, po uprzednim odstąpieniu od umowy zawartej w wyniku przeprowadzonego postępowania na ten sam przedmiot, a w konsekwencji naruszenie zasady przejrzystości oraz zasady legalizmu, która wyklucza udzielenie zamówienia publicznego wykonawcy niewybranemu zgodnie z przepisami ustawy Pzp;</w:t>
      </w:r>
    </w:p>
    <w:p w14:paraId="3D6B1800" w14:textId="760515C2"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 xml:space="preserve">art. 16 pkt 1 w zw. z art. 222 ust. 1 ustawy Pzp poprzez dokonanie czynności otwarcia ofert przed upływem na ich złożenie, a w konsekwencji art. 255 pkt 6 ustawy </w:t>
      </w:r>
      <w:r w:rsidRPr="00335FDB">
        <w:rPr>
          <w:sz w:val="22"/>
          <w:szCs w:val="22"/>
        </w:rPr>
        <w:lastRenderedPageBreak/>
        <w:t>Pzp poprzez brak unieważnienia postępowania z uwagi, iż było ono obarczone niemożliwą do usunięcia wadą uniemożliwiającą zawarcie niepodlegającej unieważnieniu umowy w sprawie zamówienia publicznego;</w:t>
      </w:r>
    </w:p>
    <w:p w14:paraId="5084A013" w14:textId="34EBEEAE"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art. 28 i 29 ust. 1 ustawy Pzp poprzez brak ustalenia wartości zamówienia dotyczącego zakupu równiarki z należytą starannością i tym samym doprowadzenie do uniknięcia stosowania przepisów ustawy Pzp przy udzieleniu zamówienia na leasing równiarki, co stanowiło naruszenie art. 2 ust. 1 pkt 1 ustawy Pzp, jak również art. 17 ust. 2, który wyklucza udzielenie zamówienia publicznego wykonawcy niewybranemu zgodnie z przepisami ustawy Pzp;</w:t>
      </w:r>
    </w:p>
    <w:p w14:paraId="0AFDDE35" w14:textId="08175E9B"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lang w:bidi="pl-PL"/>
        </w:rPr>
        <w:t>art. 99 ust. 1 ustawy Pzp poprzez sporządzenie opisu przedmiotu zamówienia w</w:t>
      </w:r>
      <w:r w:rsidR="00800FA3">
        <w:rPr>
          <w:sz w:val="22"/>
          <w:szCs w:val="22"/>
          <w:lang w:bidi="pl-PL"/>
        </w:rPr>
        <w:t> </w:t>
      </w:r>
      <w:r w:rsidRPr="00335FDB">
        <w:rPr>
          <w:sz w:val="22"/>
          <w:szCs w:val="22"/>
          <w:lang w:bidi="pl-PL"/>
        </w:rPr>
        <w:t xml:space="preserve">sposób niewyczerpujący i nieuwzględniający wymagań i okoliczności mogących mieć wpływ na sporządzenie oferty, tj. poprzez pominięcie informacji pozwalających na obliczenie </w:t>
      </w:r>
      <w:r w:rsidRPr="00335FDB">
        <w:rPr>
          <w:sz w:val="22"/>
          <w:szCs w:val="22"/>
        </w:rPr>
        <w:t>dochodu pochodzącego z tytułu opłat pobieranych od klientów (który wykonawca zgodnie z SWZ miał uwzględnić w cenie oferty), co jednocześnie mogło faworyzować dotychczasowego wykonawcę zamówienia;</w:t>
      </w:r>
    </w:p>
    <w:p w14:paraId="484260E9" w14:textId="56D9CDB4"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art. 99 ust. 4 ustawy Pzp poprzez opisanie przedmiotu zamówienia w sposób utrudniający zasadę uczciwej konkurencji, tj. poprzez sformułowanie opisu przedmiotu zamówienia za pomocą wymagań i parametrów, które mogły zostać spełnione tylko przez jeden konkretny produkt określonego producenta;</w:t>
      </w:r>
    </w:p>
    <w:p w14:paraId="358C9353" w14:textId="51828528"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 xml:space="preserve">art. 106 ust. 1 oraz art. 107 ust. 2 ustawy Pzp poprzez bezpodstawne wezwanie wykonawcy do złożenia określonych przedmiotowych środków dowodowych, pomimo nieprzewidzenia tych środków w ogłoszeniu o zamówieniu lub dokumentach zamówienia oraz nieprzewidzenia przez </w:t>
      </w:r>
      <w:r w:rsidR="00AC0E3E">
        <w:rPr>
          <w:sz w:val="22"/>
          <w:szCs w:val="22"/>
        </w:rPr>
        <w:t>z</w:t>
      </w:r>
      <w:r w:rsidR="00AC0E3E" w:rsidRPr="00335FDB">
        <w:rPr>
          <w:sz w:val="22"/>
          <w:szCs w:val="22"/>
        </w:rPr>
        <w:t xml:space="preserve">amawiającego </w:t>
      </w:r>
      <w:r w:rsidRPr="00335FDB">
        <w:rPr>
          <w:sz w:val="22"/>
          <w:szCs w:val="22"/>
        </w:rPr>
        <w:t>możliwości wezwania do złożenia przedmiotowych środków dowodowych;</w:t>
      </w:r>
    </w:p>
    <w:p w14:paraId="6CFCB855" w14:textId="2AF7AEDE"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art. 112 ust. 1 w zw. z art. 116 ust. 1 oraz art. 16 pkt 1 i 3 ustawy Pzp poprzez zawarcie w opisie warunku udziału w postępowaniu dotyczącego zdolności technicznej lub zawodowej wymogu, aby wykonawca wykonał minimum jedną usługę zbiorowego żywienia, polegającą na przygotowaniu poprzez obróbkę cieplną produktów żywnościowych oraz wydawaniu gorących posiłków na rzecz osób objętych pomocą społeczną w ilości min. 8000 szt. w ciągu jednego roku kalendarzowego, co świadczy o sformułowaniu nadmiernych, nieproporcjonalnych do przedmiotu zamówienia wymagań, które mogły mieć wpływ na ograniczenie konkurencji lub wyeliminowania niektórych podmiotów z udziału w postępowaniu;</w:t>
      </w:r>
    </w:p>
    <w:p w14:paraId="36388546" w14:textId="605F0519"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 xml:space="preserve">art. 128 ust. 1 ustawy Pzp poprzez zaniechanie wezwania wykonawcy </w:t>
      </w:r>
      <w:r w:rsidR="00AC0E3E">
        <w:rPr>
          <w:sz w:val="22"/>
          <w:szCs w:val="22"/>
        </w:rPr>
        <w:t>k</w:t>
      </w:r>
      <w:r w:rsidR="00AC0E3E" w:rsidRPr="00335FDB">
        <w:rPr>
          <w:sz w:val="22"/>
          <w:szCs w:val="22"/>
        </w:rPr>
        <w:t xml:space="preserve">onsorcjum </w:t>
      </w:r>
      <w:r w:rsidRPr="00335FDB">
        <w:rPr>
          <w:sz w:val="22"/>
          <w:szCs w:val="22"/>
        </w:rPr>
        <w:t xml:space="preserve">firm do uzupełnienia dokumentów w zakresie przedłożonych podmiotowych środków dowodowych, które nie potwierdzały, że </w:t>
      </w:r>
      <w:r w:rsidR="00AC0E3E">
        <w:rPr>
          <w:sz w:val="22"/>
          <w:szCs w:val="22"/>
        </w:rPr>
        <w:t>k</w:t>
      </w:r>
      <w:r w:rsidR="00AC0E3E" w:rsidRPr="00335FDB">
        <w:rPr>
          <w:sz w:val="22"/>
          <w:szCs w:val="22"/>
        </w:rPr>
        <w:t xml:space="preserve">onsorcjum </w:t>
      </w:r>
      <w:r w:rsidRPr="00335FDB">
        <w:rPr>
          <w:sz w:val="22"/>
          <w:szCs w:val="22"/>
        </w:rPr>
        <w:t>spełniało warunki udziału w</w:t>
      </w:r>
      <w:r w:rsidR="00800FA3">
        <w:rPr>
          <w:sz w:val="22"/>
          <w:szCs w:val="22"/>
        </w:rPr>
        <w:t> </w:t>
      </w:r>
      <w:r w:rsidRPr="00335FDB">
        <w:rPr>
          <w:sz w:val="22"/>
          <w:szCs w:val="22"/>
        </w:rPr>
        <w:t xml:space="preserve">postępowaniu w zakresie posiadania wymaganych uprawnień do prowadzenia </w:t>
      </w:r>
      <w:r w:rsidRPr="00335FDB">
        <w:rPr>
          <w:sz w:val="22"/>
          <w:szCs w:val="22"/>
        </w:rPr>
        <w:lastRenderedPageBreak/>
        <w:t xml:space="preserve">działalności przez dwóch członków konsorcjum oraz posiadania wymaganego doświadczenia przez dwóch członków konsorcjum, co prowadziło do naruszenia zasady równego traktowania wykonawców wyrażonej w art. 16 pkt 1 ustawy Pzp poprzez wybranie oferty najkorzystniejszej złożonej przez </w:t>
      </w:r>
      <w:r w:rsidR="00AC0E3E">
        <w:rPr>
          <w:sz w:val="22"/>
          <w:szCs w:val="22"/>
        </w:rPr>
        <w:t>w</w:t>
      </w:r>
      <w:r w:rsidR="00AC0E3E" w:rsidRPr="00335FDB">
        <w:rPr>
          <w:sz w:val="22"/>
          <w:szCs w:val="22"/>
        </w:rPr>
        <w:t>ykonawcę</w:t>
      </w:r>
      <w:r w:rsidRPr="00335FDB">
        <w:rPr>
          <w:sz w:val="22"/>
          <w:szCs w:val="22"/>
        </w:rPr>
        <w:t>, który nie wykazał spełnienia warunków udziału w postępowaniu oraz art. 128 ust. 4 ustawy Pzp poprzez zaniechanie wezwania do udzielenia wyjaśnień w zakresie wymaganego doświadczenia przez jednego z członków konsorcjum;</w:t>
      </w:r>
    </w:p>
    <w:p w14:paraId="315D9397" w14:textId="73EF31E2"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art. 128 ust. 1 ustawy Pzp w zw. z § 9 ust. 1 pkt 1 rozporządzenia Ministra Rozwoju, Pracy i Technologii z dnia 23 grudnia 2020 r. w sprawie podmiotowych środków dowodowych oraz innych dokumentów lub oświadczeń, jakich może żądać zamawiający od wykonawcy</w:t>
      </w:r>
      <w:r w:rsidR="00C61615">
        <w:rPr>
          <w:sz w:val="22"/>
          <w:szCs w:val="22"/>
        </w:rPr>
        <w:t xml:space="preserve"> (Dz. U. poz. 2415</w:t>
      </w:r>
      <w:r w:rsidR="0036389B">
        <w:rPr>
          <w:sz w:val="22"/>
          <w:szCs w:val="22"/>
        </w:rPr>
        <w:t>, z późn. zm.</w:t>
      </w:r>
      <w:r w:rsidR="00C61615">
        <w:rPr>
          <w:sz w:val="22"/>
          <w:szCs w:val="22"/>
        </w:rPr>
        <w:t>)</w:t>
      </w:r>
      <w:r w:rsidR="00D224BC">
        <w:rPr>
          <w:sz w:val="22"/>
          <w:szCs w:val="22"/>
        </w:rPr>
        <w:t>, zwanego dalej “rozporządzeniem</w:t>
      </w:r>
      <w:r w:rsidRPr="00335FDB">
        <w:rPr>
          <w:sz w:val="22"/>
          <w:szCs w:val="22"/>
        </w:rPr>
        <w:t xml:space="preserve"> </w:t>
      </w:r>
      <w:proofErr w:type="spellStart"/>
      <w:r w:rsidR="00D224BC">
        <w:rPr>
          <w:sz w:val="22"/>
          <w:szCs w:val="22"/>
        </w:rPr>
        <w:t>ws</w:t>
      </w:r>
      <w:proofErr w:type="spellEnd"/>
      <w:r w:rsidR="00D224BC">
        <w:rPr>
          <w:sz w:val="22"/>
          <w:szCs w:val="22"/>
        </w:rPr>
        <w:t>. podmiotowych środków</w:t>
      </w:r>
      <w:r w:rsidR="0036389B">
        <w:rPr>
          <w:sz w:val="22"/>
          <w:szCs w:val="22"/>
        </w:rPr>
        <w:t xml:space="preserve"> </w:t>
      </w:r>
      <w:r w:rsidR="00D224BC">
        <w:rPr>
          <w:sz w:val="22"/>
          <w:szCs w:val="22"/>
        </w:rPr>
        <w:t xml:space="preserve">dowodowych”, </w:t>
      </w:r>
      <w:r w:rsidRPr="00335FDB">
        <w:rPr>
          <w:sz w:val="22"/>
          <w:szCs w:val="22"/>
        </w:rPr>
        <w:t>poprzez zaniechanie wezwania wykonawcy do uzupełnienia podmiotowego środka dowodowego potwierdzającego spełnienie warunku udziału w postępowaniu w zakresie zdolności technicznej lub zawodowej w</w:t>
      </w:r>
      <w:r w:rsidR="00800FA3">
        <w:rPr>
          <w:sz w:val="22"/>
          <w:szCs w:val="22"/>
        </w:rPr>
        <w:t> </w:t>
      </w:r>
      <w:r w:rsidRPr="00335FDB">
        <w:rPr>
          <w:sz w:val="22"/>
          <w:szCs w:val="22"/>
        </w:rPr>
        <w:t>postaci wykazu robót budowlanych;</w:t>
      </w:r>
    </w:p>
    <w:p w14:paraId="6DF3D46E" w14:textId="16E5539A"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art. 128 ust. 1 ustawy Pzp poprzez jego niezastosowanie, tj. odrzucenie oferty wykonawcy na podstawie art. 226 ust. 1 pkt 2 lit. a-c ustawy Pzp, w sytuacji gdy zamawiający przed odrzuceniem oferty zobowiązany był wezwać wykonawcę do uzupełnienia podmiotowych środków dowodowych;</w:t>
      </w:r>
    </w:p>
    <w:p w14:paraId="3E29723A" w14:textId="5D96645A"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art. 223 ust. 2 pkt 3 ustawy Pzp poprzez jego błędne zastosowanie, tj. niezasadne poprawienie oferty wykonawcy w zakresie wysokości stawek podatku od towarów i</w:t>
      </w:r>
      <w:r w:rsidR="00800FA3">
        <w:rPr>
          <w:sz w:val="22"/>
          <w:szCs w:val="22"/>
        </w:rPr>
        <w:t> </w:t>
      </w:r>
      <w:r w:rsidRPr="00335FDB">
        <w:rPr>
          <w:sz w:val="22"/>
          <w:szCs w:val="22"/>
        </w:rPr>
        <w:t>usług;</w:t>
      </w:r>
    </w:p>
    <w:p w14:paraId="570FF50F" w14:textId="6D217971"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art. 226 ust. 1 pkt 2 lit. b w zw. z art. 128 ust. 4 i 5 ustawy Pzp, poprzez zaniechanie wezwania wykonawcy do udzielenia wyjaśnień oraz zaniechanie odrzucenia jego oferty z powodu niewykazania przez wykonawcę spełniania warunku udziału w postępowaniu określonego w SWZ;</w:t>
      </w:r>
    </w:p>
    <w:p w14:paraId="1A39200F" w14:textId="224C90A5"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art. 226 ust. 1 pkt 8 w zw. z art. 224 ust. 6 ustawy Pzp, poprzez zaniechanie odrzucenia oferty wykonawcy, pomimo, że ocena wyjaśnień wykonawcy nie pozwalała na stwierdzenie, że zaoferowana cena nie jest rażąco niska, w zakresie przyjętych do jej wyliczenia kosztów pracy oraz stawki roboczogodziny wynikających z kosztorysu ofertowego;</w:t>
      </w:r>
    </w:p>
    <w:p w14:paraId="1C8FB099" w14:textId="74CE007D"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 xml:space="preserve">art. 226 ust. 1 pkt 10 ustawy Pzp poprzez zaniechanie odrzucenia oferty złożonej przez </w:t>
      </w:r>
      <w:r w:rsidR="00551094">
        <w:rPr>
          <w:sz w:val="22"/>
          <w:szCs w:val="22"/>
        </w:rPr>
        <w:t>w</w:t>
      </w:r>
      <w:r w:rsidR="00551094" w:rsidRPr="00335FDB">
        <w:rPr>
          <w:sz w:val="22"/>
          <w:szCs w:val="22"/>
        </w:rPr>
        <w:t>ykonawcę</w:t>
      </w:r>
      <w:r w:rsidRPr="00335FDB">
        <w:rPr>
          <w:sz w:val="22"/>
          <w:szCs w:val="22"/>
        </w:rPr>
        <w:t xml:space="preserve">, która zawierała błędy w obliczeniu ceny (nieprawidłowa stawka </w:t>
      </w:r>
      <w:r w:rsidR="00551094">
        <w:rPr>
          <w:sz w:val="22"/>
          <w:szCs w:val="22"/>
        </w:rPr>
        <w:t>podatku od towarów i usług</w:t>
      </w:r>
      <w:r w:rsidRPr="00335FDB">
        <w:rPr>
          <w:sz w:val="22"/>
          <w:szCs w:val="22"/>
        </w:rPr>
        <w:t>);</w:t>
      </w:r>
    </w:p>
    <w:p w14:paraId="4F76AC8E" w14:textId="357B4A4F"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art. 255 pkt 6 w zw. z art. 457 ust. 1 ustawy Pzp oraz art. 70</w:t>
      </w:r>
      <w:r w:rsidRPr="00335FDB">
        <w:rPr>
          <w:sz w:val="22"/>
          <w:szCs w:val="22"/>
          <w:vertAlign w:val="superscript"/>
        </w:rPr>
        <w:t>5</w:t>
      </w:r>
      <w:r w:rsidRPr="00335FDB">
        <w:rPr>
          <w:sz w:val="22"/>
          <w:szCs w:val="22"/>
        </w:rPr>
        <w:t xml:space="preserve"> ustawy z dnia 23</w:t>
      </w:r>
      <w:r w:rsidR="00800FA3">
        <w:rPr>
          <w:sz w:val="22"/>
          <w:szCs w:val="22"/>
        </w:rPr>
        <w:t> </w:t>
      </w:r>
      <w:r w:rsidRPr="00335FDB">
        <w:rPr>
          <w:sz w:val="22"/>
          <w:szCs w:val="22"/>
        </w:rPr>
        <w:t>kwietnia 1964 r.</w:t>
      </w:r>
      <w:r w:rsidR="00D73707">
        <w:rPr>
          <w:sz w:val="22"/>
          <w:szCs w:val="22"/>
        </w:rPr>
        <w:t>-</w:t>
      </w:r>
      <w:r w:rsidRPr="00335FDB">
        <w:rPr>
          <w:sz w:val="22"/>
          <w:szCs w:val="22"/>
        </w:rPr>
        <w:t xml:space="preserve"> Kodeks cywilny </w:t>
      </w:r>
      <w:r w:rsidR="00CC758F">
        <w:rPr>
          <w:sz w:val="22"/>
          <w:szCs w:val="22"/>
        </w:rPr>
        <w:t xml:space="preserve">(Dz. U. </w:t>
      </w:r>
      <w:r w:rsidR="00B43604">
        <w:rPr>
          <w:sz w:val="22"/>
          <w:szCs w:val="22"/>
        </w:rPr>
        <w:t>z 202</w:t>
      </w:r>
      <w:r w:rsidR="001E77F7">
        <w:rPr>
          <w:sz w:val="22"/>
          <w:szCs w:val="22"/>
        </w:rPr>
        <w:t xml:space="preserve">5 poz. 1071, z późn. zm.) </w:t>
      </w:r>
      <w:r w:rsidRPr="00335FDB">
        <w:rPr>
          <w:sz w:val="22"/>
          <w:szCs w:val="22"/>
        </w:rPr>
        <w:t xml:space="preserve">w zw. z art. 457 ust. 5 ustawy Pzp, poprzez niezasadne unieważnienie postępowania o </w:t>
      </w:r>
      <w:r w:rsidRPr="00335FDB">
        <w:rPr>
          <w:sz w:val="22"/>
          <w:szCs w:val="22"/>
        </w:rPr>
        <w:lastRenderedPageBreak/>
        <w:t>udzielenie zamówienia publicznego, jako obarczonego niemożliwą do usunięcia wadą uniemożliwiającą zawarcie niepodlegającej unieważnieniu umowy w sprawie zamówienia publicznego;</w:t>
      </w:r>
    </w:p>
    <w:p w14:paraId="16C6AEA9" w14:textId="2A90FE1F"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 xml:space="preserve">art. 266 w zw. z art. 223 ust. 2 pkt 2 ustawy Pzp poprzez brak poprawienia w ofercie </w:t>
      </w:r>
      <w:r w:rsidR="00D73707">
        <w:rPr>
          <w:sz w:val="22"/>
          <w:szCs w:val="22"/>
        </w:rPr>
        <w:t>w</w:t>
      </w:r>
      <w:r w:rsidR="00D73707" w:rsidRPr="00335FDB">
        <w:rPr>
          <w:sz w:val="22"/>
          <w:szCs w:val="22"/>
        </w:rPr>
        <w:t xml:space="preserve">ykonawcy </w:t>
      </w:r>
      <w:r w:rsidRPr="00335FDB">
        <w:rPr>
          <w:sz w:val="22"/>
          <w:szCs w:val="22"/>
        </w:rPr>
        <w:t xml:space="preserve">oczywistych omyłek rachunkowych w formularzu cenowym, które polegały na błędnym przemnożeniu pozycji z kolumny "powierzchnia w m2" z cenami jednostkowymi, tj. stawką netto za 1 m2/miesiąc sprzątania pomieszczeń wewnątrz obiektów oraz brak uwzględnienia konsekwencji rachunkowych dokonanych poprawek w formularzu cenowym w ramach łącznej wartości brutto oferty ww. </w:t>
      </w:r>
      <w:r w:rsidR="00D73707">
        <w:rPr>
          <w:sz w:val="22"/>
          <w:szCs w:val="22"/>
        </w:rPr>
        <w:t>w</w:t>
      </w:r>
      <w:r w:rsidR="00D73707" w:rsidRPr="00335FDB">
        <w:rPr>
          <w:sz w:val="22"/>
          <w:szCs w:val="22"/>
        </w:rPr>
        <w:t>ykonawcy</w:t>
      </w:r>
      <w:r w:rsidRPr="00335FDB">
        <w:rPr>
          <w:sz w:val="22"/>
          <w:szCs w:val="22"/>
        </w:rPr>
        <w:t xml:space="preserve">, pomimo że </w:t>
      </w:r>
      <w:r w:rsidR="00D73707">
        <w:rPr>
          <w:sz w:val="22"/>
          <w:szCs w:val="22"/>
        </w:rPr>
        <w:t>z</w:t>
      </w:r>
      <w:r w:rsidR="00D73707" w:rsidRPr="00335FDB">
        <w:rPr>
          <w:sz w:val="22"/>
          <w:szCs w:val="22"/>
        </w:rPr>
        <w:t xml:space="preserve">amawiający </w:t>
      </w:r>
      <w:r w:rsidRPr="00335FDB">
        <w:rPr>
          <w:sz w:val="22"/>
          <w:szCs w:val="22"/>
        </w:rPr>
        <w:t xml:space="preserve">jest zobowiązany do poprawienia oczywistych omyłek rachunkowych w ofercie, a w konsekwencji art. 266 w zw. z art. 226 ust. 1 pkt 10 ustawy Pzp poprzez bezpodstawne odrzucenie oferty </w:t>
      </w:r>
      <w:r w:rsidR="00D73707">
        <w:rPr>
          <w:sz w:val="22"/>
          <w:szCs w:val="22"/>
        </w:rPr>
        <w:t>w</w:t>
      </w:r>
      <w:r w:rsidR="00D73707" w:rsidRPr="00335FDB">
        <w:rPr>
          <w:sz w:val="22"/>
          <w:szCs w:val="22"/>
        </w:rPr>
        <w:t xml:space="preserve">ykonawcy </w:t>
      </w:r>
      <w:r w:rsidRPr="00335FDB">
        <w:rPr>
          <w:sz w:val="22"/>
          <w:szCs w:val="22"/>
        </w:rPr>
        <w:t>na skutek uznania, że omyłki zawarte w formularzu cenowym stanowiły błąd w obliczeniu ceny, podczas gdy były to oczywiste omyłki rachunkowe podlegające poprawieniu w trybie przewidzianym w art. 223 ust. 2 pkt 2 ustawy Pzp;</w:t>
      </w:r>
    </w:p>
    <w:p w14:paraId="5F275286" w14:textId="1771C81A"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 xml:space="preserve">art. 226 ust. 1 pkt 2 lit. c ustawy Pzp poprzez zaniechanie odrzucenia oferty wykonawcy, który złożył wraz z ofertą przedmiotowy środek dowodowy niepotwierdzający, że oferowane przez wykonawcę usługi spełniają określone przez </w:t>
      </w:r>
      <w:r w:rsidR="00D73707">
        <w:rPr>
          <w:sz w:val="22"/>
          <w:szCs w:val="22"/>
        </w:rPr>
        <w:t>z</w:t>
      </w:r>
      <w:r w:rsidR="00D73707" w:rsidRPr="00335FDB">
        <w:rPr>
          <w:sz w:val="22"/>
          <w:szCs w:val="22"/>
        </w:rPr>
        <w:t xml:space="preserve">amawiającego </w:t>
      </w:r>
      <w:r w:rsidRPr="00335FDB">
        <w:rPr>
          <w:sz w:val="22"/>
          <w:szCs w:val="22"/>
        </w:rPr>
        <w:t>wymagania;</w:t>
      </w:r>
    </w:p>
    <w:p w14:paraId="0295C350" w14:textId="031642F3"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 xml:space="preserve">art. 305 pkt 1 w zw. z art. 214 ust. 1 pkt 1 lit. a w zw. z art. 16 pkt 1 ustawy Pzp poprzez udzielenie zamówienia w trybie z wolnej ręki pomimo nieziszczenia się przesłanek wyboru tego trybu, czym </w:t>
      </w:r>
      <w:r w:rsidR="00D73707">
        <w:rPr>
          <w:sz w:val="22"/>
          <w:szCs w:val="22"/>
        </w:rPr>
        <w:t>z</w:t>
      </w:r>
      <w:r w:rsidR="00D73707" w:rsidRPr="00335FDB">
        <w:rPr>
          <w:sz w:val="22"/>
          <w:szCs w:val="22"/>
        </w:rPr>
        <w:t xml:space="preserve">amawiający </w:t>
      </w:r>
      <w:r w:rsidRPr="00335FDB">
        <w:rPr>
          <w:sz w:val="22"/>
          <w:szCs w:val="22"/>
        </w:rPr>
        <w:t>naruszył zasady uczciwej konkurencji oraz równego traktowania wykonawców;</w:t>
      </w:r>
    </w:p>
    <w:p w14:paraId="4672855E" w14:textId="79B85173" w:rsidR="00501E5D" w:rsidRPr="00335FDB" w:rsidRDefault="00501E5D" w:rsidP="00F47F50">
      <w:pPr>
        <w:pStyle w:val="Akapitzlist"/>
        <w:numPr>
          <w:ilvl w:val="0"/>
          <w:numId w:val="51"/>
        </w:numPr>
        <w:shd w:val="clear" w:color="auto" w:fill="FFFFFF"/>
        <w:spacing w:line="360" w:lineRule="auto"/>
        <w:jc w:val="left"/>
        <w:rPr>
          <w:sz w:val="22"/>
          <w:szCs w:val="22"/>
        </w:rPr>
      </w:pPr>
      <w:r w:rsidRPr="00335FDB">
        <w:rPr>
          <w:sz w:val="22"/>
          <w:szCs w:val="22"/>
        </w:rPr>
        <w:t>art. 455 ust. 1 pkt 1 w zw. z art. 439 ust. 1 i 2 ustawy Pzp poprzez wprowadzenie istotnych zmian umowy zawartej w sprawie zamówienia w sytuacji braku spełnienia ustawowych przesłanek zmiany umowy.</w:t>
      </w:r>
    </w:p>
    <w:p w14:paraId="07CDF267" w14:textId="33E56CAE" w:rsidR="00501E5D" w:rsidRPr="00501E5D" w:rsidRDefault="00501E5D" w:rsidP="00915ECA">
      <w:pPr>
        <w:shd w:val="clear" w:color="auto" w:fill="FFFFFF"/>
        <w:spacing w:before="120" w:line="360" w:lineRule="auto"/>
        <w:jc w:val="left"/>
      </w:pPr>
      <w:r w:rsidRPr="00501E5D">
        <w:t xml:space="preserve">Zamawiający w 2025 r. zgłosili zastrzeżenia od wyniku </w:t>
      </w:r>
      <w:r w:rsidRPr="00501E5D">
        <w:rPr>
          <w:b/>
          <w:bCs/>
        </w:rPr>
        <w:t>14</w:t>
      </w:r>
      <w:r w:rsidRPr="00501E5D">
        <w:t xml:space="preserve"> kontroli doraźnych. Prezes Urzędu nie uwzględnił zgłoszonych zastrzeżeń i przekazał je do rozpatrzenia przez </w:t>
      </w:r>
      <w:r w:rsidR="00B25533">
        <w:t>KIO</w:t>
      </w:r>
      <w:r w:rsidRPr="00501E5D">
        <w:t xml:space="preserve">. Żadne zastrzeżenia od wyniku kontroli nie zostały uwzględnione w całości przez </w:t>
      </w:r>
      <w:r w:rsidR="00B25533">
        <w:t>KIO</w:t>
      </w:r>
      <w:r w:rsidRPr="00501E5D">
        <w:t xml:space="preserve">, </w:t>
      </w:r>
      <w:r w:rsidRPr="00501E5D">
        <w:rPr>
          <w:b/>
          <w:bCs/>
        </w:rPr>
        <w:t>2</w:t>
      </w:r>
      <w:r w:rsidRPr="00501E5D">
        <w:t xml:space="preserve"> uwzględniono w części i </w:t>
      </w:r>
      <w:r w:rsidRPr="00501E5D">
        <w:rPr>
          <w:b/>
          <w:bCs/>
        </w:rPr>
        <w:t>12</w:t>
      </w:r>
      <w:r w:rsidRPr="00501E5D">
        <w:t xml:space="preserve"> zastrzeżeń nie uwzględniono, podtrzymując tym samym stanowisko Prezesa Urzędu.</w:t>
      </w:r>
    </w:p>
    <w:p w14:paraId="2BEBB1CF" w14:textId="77777777" w:rsidR="00C5162D" w:rsidRPr="00C5162D" w:rsidRDefault="00C5162D" w:rsidP="00852522">
      <w:pPr>
        <w:pStyle w:val="Nagwek4"/>
      </w:pPr>
      <w:r w:rsidRPr="00C5162D">
        <w:t>Wnioski, jakie wypływają z naruszeń stwierdzonych w wyniku przeprowadzonych przez Prezesa Urzędu kontroli doraźnych:</w:t>
      </w:r>
    </w:p>
    <w:p w14:paraId="0C112DC4" w14:textId="32E7B4BE" w:rsidR="00C5162D" w:rsidRPr="006277B6" w:rsidRDefault="00C5162D" w:rsidP="00F47F50">
      <w:pPr>
        <w:pStyle w:val="Akapitzlist"/>
        <w:numPr>
          <w:ilvl w:val="0"/>
          <w:numId w:val="52"/>
        </w:numPr>
        <w:shd w:val="clear" w:color="auto" w:fill="FFFFFF"/>
        <w:spacing w:line="360" w:lineRule="auto"/>
        <w:ind w:left="714" w:hanging="357"/>
        <w:jc w:val="left"/>
        <w:rPr>
          <w:sz w:val="22"/>
          <w:szCs w:val="22"/>
        </w:rPr>
      </w:pPr>
      <w:r w:rsidRPr="006277B6">
        <w:rPr>
          <w:sz w:val="22"/>
          <w:szCs w:val="22"/>
        </w:rPr>
        <w:t xml:space="preserve">przy szacowaniu wartości zamówienia leasingowego należy obliczyć całkowite wynagrodzenie wykonawcy, czyli sumę wszystkich przewidywanych opłat (raty, opłaty </w:t>
      </w:r>
      <w:r w:rsidRPr="006277B6">
        <w:rPr>
          <w:sz w:val="22"/>
          <w:szCs w:val="22"/>
        </w:rPr>
        <w:lastRenderedPageBreak/>
        <w:t>początkowej, opłaty końcowej, kosztów obsługi itp.) bez podatku VAT, z</w:t>
      </w:r>
      <w:r w:rsidR="00800FA3">
        <w:rPr>
          <w:sz w:val="22"/>
          <w:szCs w:val="22"/>
        </w:rPr>
        <w:t> </w:t>
      </w:r>
      <w:r w:rsidRPr="006277B6">
        <w:rPr>
          <w:sz w:val="22"/>
          <w:szCs w:val="22"/>
        </w:rPr>
        <w:t xml:space="preserve">uwzględnieniem czasu trwania umowy i potencjalnego wykupu przedmiotu leasingu </w:t>
      </w:r>
      <w:r w:rsidRPr="006277B6">
        <w:rPr>
          <w:b/>
          <w:bCs/>
          <w:sz w:val="22"/>
          <w:szCs w:val="22"/>
        </w:rPr>
        <w:t>(por. KND/128/24/DKZP)</w:t>
      </w:r>
      <w:r w:rsidRPr="006277B6">
        <w:rPr>
          <w:sz w:val="22"/>
          <w:szCs w:val="22"/>
        </w:rPr>
        <w:t>;</w:t>
      </w:r>
    </w:p>
    <w:p w14:paraId="0A156A55" w14:textId="6554A113" w:rsidR="00C5162D" w:rsidRPr="006277B6" w:rsidRDefault="00C5162D" w:rsidP="00F47F50">
      <w:pPr>
        <w:pStyle w:val="Akapitzlist"/>
        <w:numPr>
          <w:ilvl w:val="0"/>
          <w:numId w:val="52"/>
        </w:numPr>
        <w:shd w:val="clear" w:color="auto" w:fill="FFFFFF"/>
        <w:spacing w:line="360" w:lineRule="auto"/>
        <w:ind w:left="714" w:hanging="357"/>
        <w:jc w:val="left"/>
        <w:rPr>
          <w:sz w:val="22"/>
          <w:szCs w:val="22"/>
        </w:rPr>
      </w:pPr>
      <w:r w:rsidRPr="006277B6">
        <w:rPr>
          <w:sz w:val="22"/>
          <w:szCs w:val="22"/>
        </w:rPr>
        <w:t xml:space="preserve">przy opisie warunków udziału w postępowaniu należy pamiętać o zakazie formułowania nadmiernych, nieproporcjonalnych do przedmiotu zamówienia wymagań, które mogą mieć wpływ na ograniczenie konkurencji lub wyeliminowanie niektórych podmiotów z udziału w postępowaniu </w:t>
      </w:r>
      <w:r w:rsidRPr="006277B6">
        <w:rPr>
          <w:b/>
          <w:bCs/>
          <w:sz w:val="22"/>
          <w:szCs w:val="22"/>
        </w:rPr>
        <w:t>(por. KUD/2/25/DKZP)</w:t>
      </w:r>
      <w:r w:rsidRPr="006277B6">
        <w:rPr>
          <w:sz w:val="22"/>
          <w:szCs w:val="22"/>
        </w:rPr>
        <w:t>;</w:t>
      </w:r>
    </w:p>
    <w:p w14:paraId="729D0635" w14:textId="29E544FB" w:rsidR="00C5162D" w:rsidRPr="006277B6" w:rsidRDefault="00C5162D" w:rsidP="00F47F50">
      <w:pPr>
        <w:pStyle w:val="Akapitzlist"/>
        <w:numPr>
          <w:ilvl w:val="0"/>
          <w:numId w:val="52"/>
        </w:numPr>
        <w:shd w:val="clear" w:color="auto" w:fill="FFFFFF"/>
        <w:spacing w:line="360" w:lineRule="auto"/>
        <w:ind w:left="714" w:hanging="357"/>
        <w:jc w:val="left"/>
        <w:rPr>
          <w:sz w:val="22"/>
          <w:szCs w:val="22"/>
        </w:rPr>
      </w:pPr>
      <w:r w:rsidRPr="006277B6">
        <w:rPr>
          <w:sz w:val="22"/>
          <w:szCs w:val="22"/>
        </w:rPr>
        <w:t xml:space="preserve">przy udzielaniu zamówień przez podmioty prawa publicznego podwykonawcom należy stosować przepisy ustawy Pzp do wyboru podwykonawców </w:t>
      </w:r>
      <w:r w:rsidRPr="006277B6">
        <w:rPr>
          <w:b/>
          <w:bCs/>
          <w:sz w:val="22"/>
          <w:szCs w:val="22"/>
        </w:rPr>
        <w:t>(por. KND/128/24/DKZP)</w:t>
      </w:r>
      <w:r w:rsidRPr="006277B6">
        <w:rPr>
          <w:sz w:val="22"/>
          <w:szCs w:val="22"/>
        </w:rPr>
        <w:t>;</w:t>
      </w:r>
    </w:p>
    <w:p w14:paraId="0D041C76" w14:textId="6D5E42C7" w:rsidR="00C5162D" w:rsidRPr="006277B6" w:rsidRDefault="00C5162D" w:rsidP="00F47F50">
      <w:pPr>
        <w:pStyle w:val="Akapitzlist"/>
        <w:numPr>
          <w:ilvl w:val="0"/>
          <w:numId w:val="52"/>
        </w:numPr>
        <w:shd w:val="clear" w:color="auto" w:fill="FFFFFF"/>
        <w:spacing w:line="360" w:lineRule="auto"/>
        <w:ind w:left="714" w:hanging="357"/>
        <w:jc w:val="left"/>
        <w:rPr>
          <w:sz w:val="22"/>
          <w:szCs w:val="22"/>
        </w:rPr>
      </w:pPr>
      <w:r w:rsidRPr="006277B6">
        <w:rPr>
          <w:sz w:val="22"/>
          <w:szCs w:val="22"/>
        </w:rPr>
        <w:t>weryfikując aspekt istotności zmiany pierwotnych warunków zamówienia, o której mowa w art. 305 pkt 2 ustawy Pzp, zamawiający zobligowany jest w szczególności do zbadania wpływu dokonanej zmiany warunków zamówienia na krąg wykonawców w</w:t>
      </w:r>
      <w:r w:rsidR="00800FA3">
        <w:rPr>
          <w:sz w:val="22"/>
          <w:szCs w:val="22"/>
        </w:rPr>
        <w:t> </w:t>
      </w:r>
      <w:r w:rsidRPr="006277B6">
        <w:rPr>
          <w:sz w:val="22"/>
          <w:szCs w:val="22"/>
        </w:rPr>
        <w:t xml:space="preserve">postępowaniu prowadzonym uprzednio </w:t>
      </w:r>
      <w:r w:rsidRPr="006277B6">
        <w:rPr>
          <w:b/>
          <w:bCs/>
          <w:sz w:val="22"/>
          <w:szCs w:val="22"/>
        </w:rPr>
        <w:t>(por. KND/152/24/DKZP)</w:t>
      </w:r>
      <w:r w:rsidRPr="006277B6">
        <w:rPr>
          <w:sz w:val="22"/>
          <w:szCs w:val="22"/>
        </w:rPr>
        <w:t>;</w:t>
      </w:r>
    </w:p>
    <w:p w14:paraId="71C4A26C" w14:textId="421ED644" w:rsidR="00C5162D" w:rsidRPr="006277B6" w:rsidRDefault="00C5162D" w:rsidP="00F47F50">
      <w:pPr>
        <w:pStyle w:val="Akapitzlist"/>
        <w:numPr>
          <w:ilvl w:val="0"/>
          <w:numId w:val="52"/>
        </w:numPr>
        <w:shd w:val="clear" w:color="auto" w:fill="FFFFFF"/>
        <w:spacing w:line="360" w:lineRule="auto"/>
        <w:ind w:left="714" w:hanging="357"/>
        <w:jc w:val="left"/>
        <w:rPr>
          <w:sz w:val="22"/>
          <w:szCs w:val="22"/>
        </w:rPr>
      </w:pPr>
      <w:r w:rsidRPr="006277B6">
        <w:rPr>
          <w:sz w:val="22"/>
          <w:szCs w:val="22"/>
        </w:rPr>
        <w:t xml:space="preserve">zamawiający nie jest uprawniony do wezwania wykonawcy o poprawienie złożonego przedmiotowego środka dowodowego, jeśli złożony przez wykonawcę środek nie potwierdza, że dostawy, usługi lub roboty budowlane oferowane przez wykonawcę spełniają wymogi określone w opisie przedmiotu zamówienia </w:t>
      </w:r>
      <w:r w:rsidRPr="006277B6">
        <w:rPr>
          <w:b/>
          <w:bCs/>
          <w:sz w:val="22"/>
          <w:szCs w:val="22"/>
        </w:rPr>
        <w:t>(por. KND/2/25/DKZP)</w:t>
      </w:r>
      <w:r w:rsidRPr="006277B6">
        <w:rPr>
          <w:sz w:val="22"/>
          <w:szCs w:val="22"/>
        </w:rPr>
        <w:t>;</w:t>
      </w:r>
    </w:p>
    <w:p w14:paraId="1F97F4FC" w14:textId="25A5EFD3" w:rsidR="00C5162D" w:rsidRPr="006277B6" w:rsidRDefault="00C5162D" w:rsidP="00F47F50">
      <w:pPr>
        <w:pStyle w:val="Akapitzlist"/>
        <w:numPr>
          <w:ilvl w:val="0"/>
          <w:numId w:val="52"/>
        </w:numPr>
        <w:shd w:val="clear" w:color="auto" w:fill="FFFFFF"/>
        <w:spacing w:line="360" w:lineRule="auto"/>
        <w:ind w:left="714" w:hanging="357"/>
        <w:jc w:val="left"/>
        <w:rPr>
          <w:sz w:val="22"/>
          <w:szCs w:val="22"/>
        </w:rPr>
      </w:pPr>
      <w:r w:rsidRPr="006277B6">
        <w:rPr>
          <w:sz w:val="22"/>
          <w:szCs w:val="22"/>
        </w:rPr>
        <w:t xml:space="preserve">zamawiający nie jest uprawniony do uzależnienia wskazanej przez siebie minimalnej wielkości świadczenia od zdarzeń o charakterze warunkowym </w:t>
      </w:r>
      <w:r w:rsidRPr="006277B6">
        <w:rPr>
          <w:b/>
          <w:bCs/>
          <w:sz w:val="22"/>
          <w:szCs w:val="22"/>
        </w:rPr>
        <w:t>(por. KND/44/25/DKZP)</w:t>
      </w:r>
      <w:r w:rsidRPr="006277B6">
        <w:rPr>
          <w:sz w:val="22"/>
          <w:szCs w:val="22"/>
        </w:rPr>
        <w:t>;</w:t>
      </w:r>
    </w:p>
    <w:p w14:paraId="239E22D1" w14:textId="14D7DA4D" w:rsidR="00C5162D" w:rsidRPr="006277B6" w:rsidRDefault="00C5162D" w:rsidP="00F47F50">
      <w:pPr>
        <w:pStyle w:val="Akapitzlist"/>
        <w:numPr>
          <w:ilvl w:val="0"/>
          <w:numId w:val="52"/>
        </w:numPr>
        <w:shd w:val="clear" w:color="auto" w:fill="FFFFFF"/>
        <w:spacing w:line="360" w:lineRule="auto"/>
        <w:ind w:left="714" w:hanging="357"/>
        <w:jc w:val="left"/>
        <w:rPr>
          <w:sz w:val="22"/>
          <w:szCs w:val="22"/>
        </w:rPr>
      </w:pPr>
      <w:r w:rsidRPr="006277B6">
        <w:rPr>
          <w:sz w:val="22"/>
          <w:szCs w:val="22"/>
        </w:rPr>
        <w:t xml:space="preserve">sytuacja, w której inicjatywa udzielenia zamówienia o ściśle określonych parametrach pochodzi od konkretnego wykonawcy z założeniem, iż dane usługi mogłyby być świadczone tylko przez jednego wykonawcę, stanowi o faktycznej próbie wykreowania przesłanek udzielenia zamówienia w trybie z wolnej ręki, która to praktyka nosi charakter próby obejścia przepisów regulujących procedury wyboru trybu udzielenia zamówienia </w:t>
      </w:r>
      <w:r w:rsidRPr="006277B6">
        <w:rPr>
          <w:b/>
          <w:bCs/>
          <w:sz w:val="22"/>
          <w:szCs w:val="22"/>
        </w:rPr>
        <w:t>(por. KND/74/25/DKZP)</w:t>
      </w:r>
      <w:r w:rsidRPr="006277B6">
        <w:rPr>
          <w:sz w:val="22"/>
          <w:szCs w:val="22"/>
        </w:rPr>
        <w:t>;</w:t>
      </w:r>
    </w:p>
    <w:p w14:paraId="04AA7968" w14:textId="6FA32CDC" w:rsidR="00C5162D" w:rsidRPr="006277B6" w:rsidRDefault="00C5162D" w:rsidP="00F47F50">
      <w:pPr>
        <w:pStyle w:val="Akapitzlist"/>
        <w:numPr>
          <w:ilvl w:val="0"/>
          <w:numId w:val="52"/>
        </w:numPr>
        <w:shd w:val="clear" w:color="auto" w:fill="FFFFFF"/>
        <w:spacing w:line="360" w:lineRule="auto"/>
        <w:ind w:left="714" w:hanging="357"/>
        <w:jc w:val="left"/>
        <w:rPr>
          <w:sz w:val="22"/>
          <w:szCs w:val="22"/>
        </w:rPr>
      </w:pPr>
      <w:r w:rsidRPr="006277B6">
        <w:rPr>
          <w:sz w:val="22"/>
          <w:szCs w:val="22"/>
        </w:rPr>
        <w:t xml:space="preserve">przy szacowaniu wartości zamówienia należy uwzględniać wynagrodzenie pochodzące nie tylko bezpośrednio od zamawiającego, ale również ewentualne świadczenia dodatkowe objęte zamówieniem, przekładające się na wynagrodzenie wykonawcy, w tym dochody, jakie wykonawca (operator) uzyska z tytułu realizacji zamówienia pochodzące od innych podmiotów </w:t>
      </w:r>
      <w:r w:rsidRPr="006277B6">
        <w:rPr>
          <w:b/>
          <w:bCs/>
          <w:sz w:val="22"/>
          <w:szCs w:val="22"/>
        </w:rPr>
        <w:t>(por. KND/85/24/DKZP, KND/84/24/DKZP, KND/82/24/DKZP)</w:t>
      </w:r>
      <w:r w:rsidRPr="006277B6">
        <w:rPr>
          <w:sz w:val="22"/>
          <w:szCs w:val="22"/>
        </w:rPr>
        <w:t>;</w:t>
      </w:r>
    </w:p>
    <w:p w14:paraId="1B003737" w14:textId="5434B112" w:rsidR="00C5162D" w:rsidRPr="006277B6" w:rsidRDefault="00C5162D" w:rsidP="00F47F50">
      <w:pPr>
        <w:pStyle w:val="Akapitzlist"/>
        <w:numPr>
          <w:ilvl w:val="0"/>
          <w:numId w:val="52"/>
        </w:numPr>
        <w:shd w:val="clear" w:color="auto" w:fill="FFFFFF"/>
        <w:spacing w:line="360" w:lineRule="auto"/>
        <w:ind w:left="714" w:hanging="357"/>
        <w:jc w:val="left"/>
        <w:rPr>
          <w:sz w:val="22"/>
          <w:szCs w:val="22"/>
        </w:rPr>
      </w:pPr>
      <w:r w:rsidRPr="006277B6">
        <w:rPr>
          <w:sz w:val="22"/>
          <w:szCs w:val="22"/>
        </w:rPr>
        <w:t xml:space="preserve">wyrażony w art. 99 ust. 4 ustawy Pzp zakaz utrudniania uczciwej konkurencji przy opisywaniu przedmiotu zamówienia należy odnosić nie tylko do kręgu potencjalnych wykonawców, ale i urządzeń, które mogą oni zaoferować w ramach swych ofert. Naruszeniem reguł uczciwej konkurencji przy opisywaniu przedmiotu zamówienia jest </w:t>
      </w:r>
      <w:r w:rsidRPr="006277B6">
        <w:rPr>
          <w:sz w:val="22"/>
          <w:szCs w:val="22"/>
        </w:rPr>
        <w:lastRenderedPageBreak/>
        <w:t xml:space="preserve">bowiem także eliminowanie czy faworyzowanie określonych produktów. Oznacza to, że opis przedmiot zamówienia powinien być otwarty na konkurencję produktową, czyli konkurencję między produktami i producentami, a nie tylko wykonawcami, będącymi dystrybutorami tego samego produktu </w:t>
      </w:r>
      <w:r w:rsidRPr="006277B6">
        <w:rPr>
          <w:b/>
          <w:bCs/>
          <w:sz w:val="22"/>
          <w:szCs w:val="22"/>
        </w:rPr>
        <w:t>(por. KND/92/24/DKZP)</w:t>
      </w:r>
      <w:r w:rsidRPr="006277B6">
        <w:rPr>
          <w:sz w:val="22"/>
          <w:szCs w:val="22"/>
        </w:rPr>
        <w:t>;</w:t>
      </w:r>
    </w:p>
    <w:p w14:paraId="725307CD" w14:textId="4C932E64" w:rsidR="00C5162D" w:rsidRPr="006277B6" w:rsidRDefault="00C5162D" w:rsidP="00F47F50">
      <w:pPr>
        <w:pStyle w:val="Akapitzlist"/>
        <w:numPr>
          <w:ilvl w:val="0"/>
          <w:numId w:val="52"/>
        </w:numPr>
        <w:shd w:val="clear" w:color="auto" w:fill="FFFFFF"/>
        <w:spacing w:line="360" w:lineRule="auto"/>
        <w:ind w:left="714" w:hanging="357"/>
        <w:jc w:val="left"/>
        <w:rPr>
          <w:sz w:val="22"/>
          <w:szCs w:val="22"/>
        </w:rPr>
      </w:pPr>
      <w:r w:rsidRPr="006277B6">
        <w:rPr>
          <w:sz w:val="22"/>
          <w:szCs w:val="22"/>
        </w:rPr>
        <w:t xml:space="preserve">przesłanki odrzucenia ofert, w tym wynikające z art. 226 ust. 1 pkt 2 lit. c ustawy Pzp, powinny być stosowane wyłącznie po wyczerpaniu dostępnych instrumentów proceduralnych, w tym wezwania do uzupełnienia dokumentów </w:t>
      </w:r>
      <w:r w:rsidRPr="006277B6">
        <w:rPr>
          <w:b/>
          <w:bCs/>
          <w:sz w:val="22"/>
          <w:szCs w:val="22"/>
        </w:rPr>
        <w:t>(por. KND/117/24/DKZP)</w:t>
      </w:r>
      <w:r w:rsidRPr="006277B6">
        <w:rPr>
          <w:sz w:val="22"/>
          <w:szCs w:val="22"/>
        </w:rPr>
        <w:t>.</w:t>
      </w:r>
    </w:p>
    <w:p w14:paraId="40328FE8" w14:textId="77777777" w:rsidR="00C5162D" w:rsidRPr="00C5162D" w:rsidRDefault="00C5162D" w:rsidP="00C62E67">
      <w:pPr>
        <w:shd w:val="clear" w:color="auto" w:fill="FFFFFF"/>
        <w:spacing w:before="120" w:line="360" w:lineRule="auto"/>
        <w:jc w:val="left"/>
      </w:pPr>
      <w:r w:rsidRPr="00C5162D">
        <w:t xml:space="preserve">Prezes Urzędu pragnie zwrócić szczególną uwagę na następujące wyniki kontroli: </w:t>
      </w:r>
    </w:p>
    <w:p w14:paraId="6EC77BD7" w14:textId="620EC9F7" w:rsidR="00C5162D" w:rsidRPr="00C62E67" w:rsidRDefault="00C5162D" w:rsidP="00F47F50">
      <w:pPr>
        <w:pStyle w:val="Akapitzlist"/>
        <w:numPr>
          <w:ilvl w:val="0"/>
          <w:numId w:val="53"/>
        </w:numPr>
        <w:shd w:val="clear" w:color="auto" w:fill="FFFFFF"/>
        <w:spacing w:line="360" w:lineRule="auto"/>
        <w:ind w:left="714" w:hanging="357"/>
        <w:jc w:val="left"/>
        <w:rPr>
          <w:sz w:val="22"/>
          <w:szCs w:val="22"/>
        </w:rPr>
      </w:pPr>
      <w:r w:rsidRPr="00C62E67">
        <w:rPr>
          <w:b/>
          <w:bCs/>
          <w:sz w:val="22"/>
          <w:szCs w:val="22"/>
        </w:rPr>
        <w:t>KND/128/24/DKZP</w:t>
      </w:r>
      <w:r w:rsidRPr="00C62E67">
        <w:rPr>
          <w:sz w:val="22"/>
          <w:szCs w:val="22"/>
        </w:rPr>
        <w:t xml:space="preserve"> - kontrola sześciu zamówień udzielonych bez stosowania ustawy przez podmiot prawa publicznego, w której stwierdzono m.in. naruszenie art. 2 ust. 1 pkt 1, art. 16 pkt 2 oraz art. 17 ust. 2 ustawy Pzp </w:t>
      </w:r>
      <w:r w:rsidRPr="00C62E67">
        <w:rPr>
          <w:b/>
          <w:bCs/>
          <w:sz w:val="22"/>
          <w:szCs w:val="22"/>
        </w:rPr>
        <w:t>poprzez zawarcie pięciu umów z podwykonawcami bez zastosowania przepisów ustawy Pzp</w:t>
      </w:r>
      <w:r w:rsidRPr="00C62E67">
        <w:rPr>
          <w:sz w:val="22"/>
          <w:szCs w:val="22"/>
        </w:rPr>
        <w:t>, a w konsekwencji naruszenie zasady przejrzystości oraz zasady legalizmu, która wyklucza udzielenie zamówienia publicznego wykonawcy niewybranemu zgodnie z przepisami ustawy Pzp</w:t>
      </w:r>
      <w:r w:rsidR="00800FA3">
        <w:rPr>
          <w:sz w:val="22"/>
          <w:szCs w:val="22"/>
        </w:rPr>
        <w:t>.</w:t>
      </w:r>
    </w:p>
    <w:p w14:paraId="75E6C8A9" w14:textId="44FA2B16" w:rsidR="00C5162D" w:rsidRPr="00C62E67" w:rsidRDefault="00C5162D" w:rsidP="00F47F50">
      <w:pPr>
        <w:pStyle w:val="Akapitzlist"/>
        <w:numPr>
          <w:ilvl w:val="0"/>
          <w:numId w:val="53"/>
        </w:numPr>
        <w:shd w:val="clear" w:color="auto" w:fill="FFFFFF"/>
        <w:spacing w:line="360" w:lineRule="auto"/>
        <w:ind w:left="714" w:hanging="357"/>
        <w:jc w:val="left"/>
        <w:rPr>
          <w:sz w:val="22"/>
          <w:szCs w:val="22"/>
        </w:rPr>
      </w:pPr>
      <w:r w:rsidRPr="00C62E67">
        <w:rPr>
          <w:b/>
          <w:bCs/>
          <w:sz w:val="22"/>
          <w:szCs w:val="22"/>
        </w:rPr>
        <w:t>KND/152/24/DKZP</w:t>
      </w:r>
      <w:r w:rsidRPr="00C62E67">
        <w:rPr>
          <w:sz w:val="22"/>
          <w:szCs w:val="22"/>
        </w:rPr>
        <w:t xml:space="preserve"> - kontrola postępowania o udzielenie zamówienia publicznego, w której Prezes Urzędu stwierdził naruszenie art. 305 pkt 2 ustawy Pzp poprzez udzielenie zamówienia w trybie z wolnej ręki po uprzednim unieważnieniu postępowania prowadzonego w trybie podstawowym, w sytuacji zmiany pierwotnych warunków zamówienia w istotny sposób</w:t>
      </w:r>
      <w:r w:rsidR="00800FA3">
        <w:rPr>
          <w:sz w:val="22"/>
          <w:szCs w:val="22"/>
        </w:rPr>
        <w:t>.</w:t>
      </w:r>
    </w:p>
    <w:p w14:paraId="31ACE86B" w14:textId="65C94B9E" w:rsidR="00C5162D" w:rsidRPr="00C62E67" w:rsidRDefault="00C5162D" w:rsidP="00F47F50">
      <w:pPr>
        <w:pStyle w:val="Akapitzlist"/>
        <w:numPr>
          <w:ilvl w:val="0"/>
          <w:numId w:val="53"/>
        </w:numPr>
        <w:shd w:val="clear" w:color="auto" w:fill="FFFFFF"/>
        <w:spacing w:line="360" w:lineRule="auto"/>
        <w:ind w:left="714" w:hanging="357"/>
        <w:jc w:val="left"/>
        <w:rPr>
          <w:sz w:val="22"/>
          <w:szCs w:val="22"/>
        </w:rPr>
      </w:pPr>
      <w:r w:rsidRPr="00C62E67">
        <w:rPr>
          <w:b/>
          <w:bCs/>
          <w:sz w:val="22"/>
          <w:szCs w:val="22"/>
        </w:rPr>
        <w:t>KND/44/25/DKZP</w:t>
      </w:r>
      <w:r w:rsidRPr="00C62E67">
        <w:rPr>
          <w:sz w:val="22"/>
          <w:szCs w:val="22"/>
        </w:rPr>
        <w:t xml:space="preserve"> - kontrola postępowania o udzielenie zamówienia publicznego, w której Prezes Urzędu stwierdził naruszenie art. 433 pkt 4 ustawy Pzp poprzez przewidzenie w projektowanych postanowieniach umowy możliwości ograniczenia zakresu zamówienia przez zamawiającego bez wskazania minimalnej wartości lub wielkości świadczenia stron</w:t>
      </w:r>
      <w:r w:rsidR="00800FA3">
        <w:rPr>
          <w:sz w:val="22"/>
          <w:szCs w:val="22"/>
        </w:rPr>
        <w:t>.</w:t>
      </w:r>
    </w:p>
    <w:p w14:paraId="515D0F6F" w14:textId="5E6EC288" w:rsidR="00C5162D" w:rsidRPr="00C62E67" w:rsidRDefault="00C5162D" w:rsidP="00F47F50">
      <w:pPr>
        <w:pStyle w:val="Akapitzlist"/>
        <w:numPr>
          <w:ilvl w:val="0"/>
          <w:numId w:val="53"/>
        </w:numPr>
        <w:shd w:val="clear" w:color="auto" w:fill="FFFFFF"/>
        <w:spacing w:line="360" w:lineRule="auto"/>
        <w:ind w:left="714" w:hanging="357"/>
        <w:jc w:val="left"/>
        <w:rPr>
          <w:sz w:val="22"/>
          <w:szCs w:val="22"/>
        </w:rPr>
      </w:pPr>
      <w:r w:rsidRPr="00C62E67">
        <w:rPr>
          <w:b/>
          <w:bCs/>
          <w:sz w:val="22"/>
          <w:szCs w:val="22"/>
        </w:rPr>
        <w:t>KUD/2/25/DKZP -</w:t>
      </w:r>
      <w:r w:rsidRPr="00C62E67">
        <w:rPr>
          <w:sz w:val="22"/>
          <w:szCs w:val="22"/>
        </w:rPr>
        <w:t xml:space="preserve"> kontrola postępowania o udzielenie zamówienia publicznego na „Świadczenie usług publicznych w zakresie publicznego transportu zbiorowego w</w:t>
      </w:r>
      <w:r w:rsidR="00800FA3">
        <w:rPr>
          <w:sz w:val="22"/>
          <w:szCs w:val="22"/>
        </w:rPr>
        <w:t> </w:t>
      </w:r>
      <w:r w:rsidRPr="00C62E67">
        <w:rPr>
          <w:sz w:val="22"/>
          <w:szCs w:val="22"/>
        </w:rPr>
        <w:t>transporcie kolejowym w okresie od 1 stycznia 2026 r. do 31 grudnia 2030 r.”, w</w:t>
      </w:r>
      <w:r w:rsidR="00800FA3">
        <w:rPr>
          <w:sz w:val="22"/>
          <w:szCs w:val="22"/>
        </w:rPr>
        <w:t> </w:t>
      </w:r>
      <w:r w:rsidRPr="00C62E67">
        <w:rPr>
          <w:sz w:val="22"/>
          <w:szCs w:val="22"/>
        </w:rPr>
        <w:t>której Prezes Urzędu stwierdził naruszenia:</w:t>
      </w:r>
    </w:p>
    <w:p w14:paraId="7A2608DC" w14:textId="66AF823F" w:rsidR="00C5162D" w:rsidRPr="001C63E3" w:rsidRDefault="00C5162D" w:rsidP="00F47F50">
      <w:pPr>
        <w:pStyle w:val="Akapitzlist"/>
        <w:numPr>
          <w:ilvl w:val="0"/>
          <w:numId w:val="54"/>
        </w:numPr>
        <w:shd w:val="clear" w:color="auto" w:fill="FFFFFF"/>
        <w:spacing w:line="360" w:lineRule="auto"/>
        <w:jc w:val="left"/>
        <w:rPr>
          <w:b/>
          <w:bCs/>
          <w:sz w:val="22"/>
          <w:szCs w:val="22"/>
        </w:rPr>
      </w:pPr>
      <w:r w:rsidRPr="001C63E3">
        <w:rPr>
          <w:sz w:val="22"/>
          <w:szCs w:val="22"/>
        </w:rPr>
        <w:t>art. 99 ust. 1 i 4 w zw. z art. 16 pkt 1 i 3 ustawy Pzp poprzez opisanie przedmiotu zamówienia w sposób ograniczający konkurencję do wykonawcy świadczącego obecnie usługę publicznego transportu zbiorowego w transporcie kolejowym, o</w:t>
      </w:r>
      <w:r w:rsidR="00800FA3">
        <w:rPr>
          <w:sz w:val="22"/>
          <w:szCs w:val="22"/>
        </w:rPr>
        <w:t> </w:t>
      </w:r>
      <w:r w:rsidRPr="001C63E3">
        <w:rPr>
          <w:sz w:val="22"/>
          <w:szCs w:val="22"/>
        </w:rPr>
        <w:t xml:space="preserve">czym świadczy </w:t>
      </w:r>
      <w:r w:rsidRPr="001C63E3">
        <w:rPr>
          <w:b/>
          <w:bCs/>
          <w:sz w:val="22"/>
          <w:szCs w:val="22"/>
        </w:rPr>
        <w:t>brak oznaczenia w opisie przedmiotu zamówienia oraz w</w:t>
      </w:r>
      <w:r w:rsidR="00800FA3">
        <w:rPr>
          <w:b/>
          <w:bCs/>
          <w:sz w:val="22"/>
          <w:szCs w:val="22"/>
        </w:rPr>
        <w:t> </w:t>
      </w:r>
      <w:r w:rsidRPr="001C63E3">
        <w:rPr>
          <w:b/>
          <w:bCs/>
          <w:sz w:val="22"/>
          <w:szCs w:val="22"/>
        </w:rPr>
        <w:t xml:space="preserve">projekcie umowy terminu rozpoczęcia świadczenia usług następującego </w:t>
      </w:r>
      <w:r w:rsidRPr="001C63E3">
        <w:rPr>
          <w:b/>
          <w:bCs/>
          <w:sz w:val="22"/>
          <w:szCs w:val="22"/>
        </w:rPr>
        <w:lastRenderedPageBreak/>
        <w:t>w</w:t>
      </w:r>
      <w:r w:rsidR="00800FA3">
        <w:rPr>
          <w:b/>
          <w:bCs/>
          <w:sz w:val="22"/>
          <w:szCs w:val="22"/>
        </w:rPr>
        <w:t> </w:t>
      </w:r>
      <w:r w:rsidRPr="001C63E3">
        <w:rPr>
          <w:b/>
          <w:bCs/>
          <w:sz w:val="22"/>
          <w:szCs w:val="22"/>
        </w:rPr>
        <w:t>okresie przynajmniej 12 miesięcy od podpisania umowy w sprawie zamówienia publicznego;</w:t>
      </w:r>
    </w:p>
    <w:p w14:paraId="202EE393" w14:textId="7603F733" w:rsidR="00C5162D" w:rsidRPr="001C63E3" w:rsidRDefault="00C5162D" w:rsidP="00F47F50">
      <w:pPr>
        <w:pStyle w:val="Akapitzlist"/>
        <w:numPr>
          <w:ilvl w:val="0"/>
          <w:numId w:val="54"/>
        </w:numPr>
        <w:shd w:val="clear" w:color="auto" w:fill="FFFFFF"/>
        <w:spacing w:line="360" w:lineRule="auto"/>
        <w:jc w:val="left"/>
        <w:rPr>
          <w:sz w:val="22"/>
          <w:szCs w:val="22"/>
        </w:rPr>
      </w:pPr>
      <w:r w:rsidRPr="001C63E3">
        <w:rPr>
          <w:sz w:val="22"/>
          <w:szCs w:val="22"/>
        </w:rPr>
        <w:t>art. 112 ust. 1 w zw. z art. 16 pkt 1 i 3 ustawy Pzp poprzez określenie warunków udziału w postępowaniu dotyczących zdolności technicznej lub zawodowej w</w:t>
      </w:r>
      <w:r w:rsidR="00800FA3">
        <w:rPr>
          <w:sz w:val="22"/>
          <w:szCs w:val="22"/>
        </w:rPr>
        <w:t> </w:t>
      </w:r>
      <w:r w:rsidRPr="001C63E3">
        <w:rPr>
          <w:sz w:val="22"/>
          <w:szCs w:val="22"/>
        </w:rPr>
        <w:t>sposób nieproporcjonalny do przedmiotu zamówienia, niesłużący do oceny zdolności wykonawcy do należytego wykonania zamówienia oraz w sposób preferujący wykonawcę świadczącego obecnie usługę publicznego transportu zbiorowego w transporcie kolejowym na terenie Województwa Podkarpackiego;</w:t>
      </w:r>
    </w:p>
    <w:p w14:paraId="41DD376C" w14:textId="100070BC" w:rsidR="00C5162D" w:rsidRPr="001C63E3" w:rsidRDefault="00C5162D" w:rsidP="00F47F50">
      <w:pPr>
        <w:pStyle w:val="Akapitzlist"/>
        <w:numPr>
          <w:ilvl w:val="0"/>
          <w:numId w:val="54"/>
        </w:numPr>
        <w:shd w:val="clear" w:color="auto" w:fill="FFFFFF"/>
        <w:spacing w:line="360" w:lineRule="auto"/>
        <w:jc w:val="left"/>
        <w:rPr>
          <w:sz w:val="22"/>
          <w:szCs w:val="22"/>
        </w:rPr>
      </w:pPr>
      <w:r w:rsidRPr="001C63E3">
        <w:rPr>
          <w:sz w:val="22"/>
          <w:szCs w:val="22"/>
        </w:rPr>
        <w:t xml:space="preserve">art. 436 pkt 1 ustawy Pzp poprzez </w:t>
      </w:r>
      <w:r w:rsidRPr="001C63E3">
        <w:rPr>
          <w:b/>
          <w:bCs/>
          <w:sz w:val="22"/>
          <w:szCs w:val="22"/>
        </w:rPr>
        <w:t>zaniechanie oznaczenia okresu świadczenia usługi jako 60 miesięcy od dnia rozpoczęcia usługi</w:t>
      </w:r>
      <w:r w:rsidRPr="001C63E3">
        <w:rPr>
          <w:sz w:val="22"/>
          <w:szCs w:val="22"/>
        </w:rPr>
        <w:t>.</w:t>
      </w:r>
    </w:p>
    <w:p w14:paraId="568D6F71" w14:textId="60086B3C" w:rsidR="00C5162D" w:rsidRPr="00C5162D" w:rsidRDefault="00C5162D" w:rsidP="001C63E3">
      <w:pPr>
        <w:shd w:val="clear" w:color="auto" w:fill="FFFFFF"/>
        <w:spacing w:before="120" w:line="360" w:lineRule="auto"/>
        <w:jc w:val="left"/>
      </w:pPr>
      <w:r w:rsidRPr="00C5162D">
        <w:t xml:space="preserve">Podobnie jak w latach ubiegłych wyniki działalności kontrolnej w poszczególnych obszarach oraz ich analiza są udostępniane dla szerokiego grona uczestników rynku poprzez publikacje Prezesa Urzędu. W 2025 r. Prezes Urzędu wydał i udostępnił na swojej stronie internetowej publikację pt.: </w:t>
      </w:r>
      <w:r w:rsidRPr="00C5162D">
        <w:rPr>
          <w:i/>
          <w:iCs/>
        </w:rPr>
        <w:t>Proceduralne aspekty weryfikacji podmiotowych środków dowodowych na przykładach kontroli Prezesa UZP i orzecznictwa KIO</w:t>
      </w:r>
      <w:r w:rsidRPr="00C5162D">
        <w:t>. Dostarczony materiał pozwala zarówno zamawiającym</w:t>
      </w:r>
      <w:r w:rsidR="00800FA3">
        <w:t>,</w:t>
      </w:r>
      <w:r w:rsidRPr="00C5162D">
        <w:t xml:space="preserve"> jak i wykonawcom zapobiec kolejnym tego typu nieprawidłowościom.</w:t>
      </w:r>
    </w:p>
    <w:p w14:paraId="1419CFB3" w14:textId="77777777" w:rsidR="00C5162D" w:rsidRPr="00C5162D" w:rsidRDefault="00C5162D" w:rsidP="001C63E3">
      <w:pPr>
        <w:shd w:val="clear" w:color="auto" w:fill="FFFFFF"/>
        <w:spacing w:before="120" w:line="360" w:lineRule="auto"/>
        <w:jc w:val="left"/>
      </w:pPr>
      <w:r w:rsidRPr="00C5162D">
        <w:t>W 2025 roku, podobnie jak w latach ubiegłych, wyniki działalności kontrolnej Prezesa Urzędu były szeroko upowszechniane w ramach działań szkoleniowych organizowanych przez Prezesa Urzędu, m.in. w ramach Polityki Zakupowej Państwa oraz Pomoc Techniczna Fundusze Europejskie.</w:t>
      </w:r>
    </w:p>
    <w:p w14:paraId="7E579420" w14:textId="77777777" w:rsidR="006A0F6D" w:rsidRPr="004F5A21" w:rsidRDefault="006A0F6D" w:rsidP="00852522">
      <w:pPr>
        <w:pStyle w:val="Nagwek4"/>
      </w:pPr>
      <w:r>
        <w:t xml:space="preserve">2. </w:t>
      </w:r>
      <w:r w:rsidRPr="004F5A21">
        <w:t>Kontrola uprzednia obligatoryjna</w:t>
      </w:r>
    </w:p>
    <w:p w14:paraId="74E2933F" w14:textId="77777777" w:rsidR="00A34694" w:rsidRPr="00A34694" w:rsidRDefault="00A34694" w:rsidP="00A34694">
      <w:pPr>
        <w:shd w:val="clear" w:color="auto" w:fill="FFFFFF"/>
        <w:spacing w:before="120" w:line="360" w:lineRule="auto"/>
        <w:jc w:val="left"/>
      </w:pPr>
      <w:r w:rsidRPr="00A34694">
        <w:t xml:space="preserve">W 2025 r. Prezes Urzędu przeprowadził </w:t>
      </w:r>
      <w:r w:rsidRPr="00A34694">
        <w:rPr>
          <w:b/>
          <w:bCs/>
        </w:rPr>
        <w:t>132</w:t>
      </w:r>
      <w:r w:rsidRPr="00A34694">
        <w:t xml:space="preserve"> obligatoryjne kontrole uprzednie (tj. przed zawarciem umowy z wykonawcą) zamówień współfinansowanych ze środków UE o wartościach przekraczających wyrażoną w złotych równowartość kwoty 10 mln euro dla dostaw i usług oraz 20 mln euro dla robót budowlanych. </w:t>
      </w:r>
    </w:p>
    <w:p w14:paraId="3337DDB6" w14:textId="3E06B390" w:rsidR="00A34694" w:rsidRPr="00A34694" w:rsidRDefault="00A34694" w:rsidP="00A34694">
      <w:pPr>
        <w:shd w:val="clear" w:color="auto" w:fill="FFFFFF"/>
        <w:spacing w:before="120" w:line="360" w:lineRule="auto"/>
        <w:jc w:val="left"/>
      </w:pPr>
      <w:r w:rsidRPr="00A34694">
        <w:t>Analogicznie jak w przypadku kontroli doraźnych postępowania o udzielenie zamówienia publicznego, które zostały poddane kontroli uprzedniej</w:t>
      </w:r>
      <w:r w:rsidR="00800FA3">
        <w:t>,</w:t>
      </w:r>
      <w:r w:rsidRPr="00A34694">
        <w:t xml:space="preserve"> były przeprowadzone przede wszystkim przez jednostki sektora finansów publicznych oraz podmioty prawa publicznego.</w:t>
      </w:r>
    </w:p>
    <w:p w14:paraId="0141527B" w14:textId="77777777" w:rsidR="00A34694" w:rsidRPr="00A34694" w:rsidRDefault="00A34694" w:rsidP="00A34694">
      <w:pPr>
        <w:shd w:val="clear" w:color="auto" w:fill="FFFFFF"/>
        <w:spacing w:before="120" w:line="360" w:lineRule="auto"/>
        <w:jc w:val="left"/>
      </w:pPr>
      <w:r w:rsidRPr="00A34694">
        <w:t xml:space="preserve">Ponadto w odniesieniu do </w:t>
      </w:r>
      <w:r w:rsidRPr="00A34694">
        <w:rPr>
          <w:b/>
          <w:bCs/>
        </w:rPr>
        <w:t xml:space="preserve">6 </w:t>
      </w:r>
      <w:r w:rsidRPr="00A34694">
        <w:t>postepowań o najwyższej wartości Prezes Urzędu dokonał weryfikacji dopełnienia przez zamawiających obowiązków, o których mowa w art. 28 i art. 29 rozporządzenia Parlamentu Europejskiego i Rady (UE) 2022/2560 z dnia 14 grudnia 2022 r. w sprawie subsydiów zagranicznych zakłócających rynek wewnętrzny.</w:t>
      </w:r>
    </w:p>
    <w:p w14:paraId="4205F779" w14:textId="109D3C16" w:rsidR="00A34694" w:rsidRPr="00A34694" w:rsidRDefault="00A34694" w:rsidP="00A34694">
      <w:pPr>
        <w:shd w:val="clear" w:color="auto" w:fill="FFFFFF"/>
        <w:spacing w:before="120" w:line="360" w:lineRule="auto"/>
        <w:jc w:val="left"/>
      </w:pPr>
      <w:r w:rsidRPr="00A34694">
        <w:lastRenderedPageBreak/>
        <w:t xml:space="preserve">Skontrolowano </w:t>
      </w:r>
      <w:r w:rsidRPr="00A34694">
        <w:rPr>
          <w:b/>
          <w:bCs/>
        </w:rPr>
        <w:t>52</w:t>
      </w:r>
      <w:r w:rsidRPr="00A34694">
        <w:t xml:space="preserve"> zamówie</w:t>
      </w:r>
      <w:r w:rsidR="00800FA3">
        <w:t>nia</w:t>
      </w:r>
      <w:r w:rsidRPr="00A34694">
        <w:t xml:space="preserve"> przeprowadzon</w:t>
      </w:r>
      <w:r w:rsidR="00800FA3">
        <w:t>e</w:t>
      </w:r>
      <w:r w:rsidRPr="00A34694">
        <w:t xml:space="preserve"> przez zamawiających należących do administracji rządowej, w tym zamawiających nadzorowanych przez organy z administracji rządowej</w:t>
      </w:r>
      <w:r w:rsidR="00800FA3">
        <w:t xml:space="preserve"> </w:t>
      </w:r>
      <w:r w:rsidRPr="00A34694">
        <w:t xml:space="preserve">(np. GDDKiA, PKP PLK, COAR) oraz </w:t>
      </w:r>
      <w:r w:rsidRPr="00A34694">
        <w:rPr>
          <w:b/>
          <w:bCs/>
        </w:rPr>
        <w:t xml:space="preserve">80 </w:t>
      </w:r>
      <w:r w:rsidRPr="00A34694">
        <w:t>Zamawiających należących do administracji samorządowej (w tym jednostek podległych lub nadzorowanych, m.in. jednostki samorządu terytorialnego, spółki komunalne.</w:t>
      </w:r>
    </w:p>
    <w:p w14:paraId="16F4BF06" w14:textId="77777777" w:rsidR="00A34694" w:rsidRPr="00A34694" w:rsidRDefault="00A34694" w:rsidP="00A34694">
      <w:pPr>
        <w:shd w:val="clear" w:color="auto" w:fill="FFFFFF"/>
        <w:spacing w:before="120" w:line="360" w:lineRule="auto"/>
        <w:jc w:val="left"/>
      </w:pPr>
      <w:r w:rsidRPr="00A34694">
        <w:t xml:space="preserve">Zamówienia objęte kontrolą uprzednią były współfinansowane w ramach: </w:t>
      </w:r>
    </w:p>
    <w:p w14:paraId="4650FB4F" w14:textId="77777777" w:rsidR="00A34694" w:rsidRPr="00A34694" w:rsidRDefault="00A34694" w:rsidP="00F47F50">
      <w:pPr>
        <w:pStyle w:val="Akapitzlist"/>
        <w:numPr>
          <w:ilvl w:val="0"/>
          <w:numId w:val="55"/>
        </w:numPr>
        <w:shd w:val="clear" w:color="auto" w:fill="FFFFFF"/>
        <w:spacing w:line="360" w:lineRule="auto"/>
        <w:ind w:left="714" w:hanging="357"/>
        <w:jc w:val="left"/>
        <w:rPr>
          <w:sz w:val="22"/>
          <w:szCs w:val="22"/>
        </w:rPr>
      </w:pPr>
      <w:r w:rsidRPr="00A34694">
        <w:rPr>
          <w:sz w:val="22"/>
          <w:szCs w:val="22"/>
        </w:rPr>
        <w:t xml:space="preserve">Krajowego Planu Odbudowy – </w:t>
      </w:r>
      <w:r w:rsidRPr="00A34694">
        <w:rPr>
          <w:b/>
          <w:bCs/>
          <w:sz w:val="22"/>
          <w:szCs w:val="22"/>
        </w:rPr>
        <w:t xml:space="preserve">44 </w:t>
      </w:r>
      <w:r w:rsidRPr="00A34694">
        <w:rPr>
          <w:sz w:val="22"/>
          <w:szCs w:val="22"/>
        </w:rPr>
        <w:t>kontrole,</w:t>
      </w:r>
    </w:p>
    <w:p w14:paraId="2BC5CD08" w14:textId="77777777" w:rsidR="00A34694" w:rsidRPr="00A34694" w:rsidRDefault="00A34694" w:rsidP="00F47F50">
      <w:pPr>
        <w:pStyle w:val="Akapitzlist"/>
        <w:numPr>
          <w:ilvl w:val="0"/>
          <w:numId w:val="55"/>
        </w:numPr>
        <w:shd w:val="clear" w:color="auto" w:fill="FFFFFF"/>
        <w:spacing w:line="360" w:lineRule="auto"/>
        <w:jc w:val="left"/>
        <w:rPr>
          <w:sz w:val="22"/>
          <w:szCs w:val="22"/>
        </w:rPr>
      </w:pPr>
      <w:r w:rsidRPr="00A34694">
        <w:rPr>
          <w:sz w:val="22"/>
          <w:szCs w:val="22"/>
        </w:rPr>
        <w:t xml:space="preserve">Programu Fundusze Europejskie dla Rozwoju Społecznego – </w:t>
      </w:r>
      <w:r w:rsidRPr="00A34694">
        <w:rPr>
          <w:b/>
          <w:bCs/>
          <w:sz w:val="22"/>
          <w:szCs w:val="22"/>
        </w:rPr>
        <w:t xml:space="preserve">5 </w:t>
      </w:r>
      <w:r w:rsidRPr="00A34694">
        <w:rPr>
          <w:sz w:val="22"/>
          <w:szCs w:val="22"/>
        </w:rPr>
        <w:t>kontroli,</w:t>
      </w:r>
    </w:p>
    <w:p w14:paraId="5E5782BF" w14:textId="77777777" w:rsidR="00A34694" w:rsidRPr="00A34694" w:rsidRDefault="00A34694" w:rsidP="00F47F50">
      <w:pPr>
        <w:pStyle w:val="Akapitzlist"/>
        <w:numPr>
          <w:ilvl w:val="0"/>
          <w:numId w:val="55"/>
        </w:numPr>
        <w:shd w:val="clear" w:color="auto" w:fill="FFFFFF"/>
        <w:spacing w:line="360" w:lineRule="auto"/>
        <w:jc w:val="left"/>
        <w:rPr>
          <w:sz w:val="22"/>
          <w:szCs w:val="22"/>
        </w:rPr>
      </w:pPr>
      <w:r w:rsidRPr="00A34694">
        <w:rPr>
          <w:sz w:val="22"/>
          <w:szCs w:val="22"/>
        </w:rPr>
        <w:t xml:space="preserve">Funduszy Europejskich na Infrastrukturę, Klimat i Środowisko </w:t>
      </w:r>
      <w:r w:rsidRPr="00A34694">
        <w:rPr>
          <w:b/>
          <w:bCs/>
          <w:sz w:val="22"/>
          <w:szCs w:val="22"/>
        </w:rPr>
        <w:t xml:space="preserve">18 </w:t>
      </w:r>
      <w:r w:rsidRPr="00A34694">
        <w:rPr>
          <w:sz w:val="22"/>
          <w:szCs w:val="22"/>
        </w:rPr>
        <w:t>kontroli,</w:t>
      </w:r>
    </w:p>
    <w:p w14:paraId="5E3FC73B" w14:textId="77777777" w:rsidR="00A34694" w:rsidRPr="00A34694" w:rsidRDefault="00A34694" w:rsidP="00F47F50">
      <w:pPr>
        <w:pStyle w:val="Akapitzlist"/>
        <w:numPr>
          <w:ilvl w:val="0"/>
          <w:numId w:val="55"/>
        </w:numPr>
        <w:shd w:val="clear" w:color="auto" w:fill="FFFFFF"/>
        <w:spacing w:line="360" w:lineRule="auto"/>
        <w:jc w:val="left"/>
        <w:rPr>
          <w:sz w:val="22"/>
          <w:szCs w:val="22"/>
        </w:rPr>
      </w:pPr>
      <w:r w:rsidRPr="00A34694">
        <w:rPr>
          <w:sz w:val="22"/>
          <w:szCs w:val="22"/>
        </w:rPr>
        <w:t xml:space="preserve">Regionalnych Programów Operacyjnych - </w:t>
      </w:r>
      <w:r w:rsidRPr="00A34694">
        <w:rPr>
          <w:b/>
          <w:bCs/>
          <w:sz w:val="22"/>
          <w:szCs w:val="22"/>
        </w:rPr>
        <w:t xml:space="preserve">24 </w:t>
      </w:r>
      <w:r w:rsidRPr="00A34694">
        <w:rPr>
          <w:sz w:val="22"/>
          <w:szCs w:val="22"/>
        </w:rPr>
        <w:t>kontrole,</w:t>
      </w:r>
    </w:p>
    <w:p w14:paraId="4FCB0736" w14:textId="77777777" w:rsidR="00A34694" w:rsidRPr="00A34694" w:rsidRDefault="00A34694" w:rsidP="00F47F50">
      <w:pPr>
        <w:pStyle w:val="Akapitzlist"/>
        <w:numPr>
          <w:ilvl w:val="0"/>
          <w:numId w:val="55"/>
        </w:numPr>
        <w:shd w:val="clear" w:color="auto" w:fill="FFFFFF"/>
        <w:spacing w:line="360" w:lineRule="auto"/>
        <w:jc w:val="left"/>
        <w:rPr>
          <w:sz w:val="22"/>
          <w:szCs w:val="22"/>
        </w:rPr>
      </w:pPr>
      <w:r w:rsidRPr="00A34694">
        <w:rPr>
          <w:sz w:val="22"/>
          <w:szCs w:val="22"/>
        </w:rPr>
        <w:t xml:space="preserve">Programu Fundusze Europejskie dla Polski Wschodniej – </w:t>
      </w:r>
      <w:r w:rsidRPr="00A34694">
        <w:rPr>
          <w:b/>
          <w:bCs/>
          <w:sz w:val="22"/>
          <w:szCs w:val="22"/>
        </w:rPr>
        <w:t xml:space="preserve">5 </w:t>
      </w:r>
      <w:r w:rsidRPr="00A34694">
        <w:rPr>
          <w:sz w:val="22"/>
          <w:szCs w:val="22"/>
        </w:rPr>
        <w:t>kontroli,</w:t>
      </w:r>
    </w:p>
    <w:p w14:paraId="3AE08838" w14:textId="77777777" w:rsidR="00A34694" w:rsidRPr="00A34694" w:rsidRDefault="00A34694" w:rsidP="00F47F50">
      <w:pPr>
        <w:pStyle w:val="Akapitzlist"/>
        <w:numPr>
          <w:ilvl w:val="0"/>
          <w:numId w:val="55"/>
        </w:numPr>
        <w:shd w:val="clear" w:color="auto" w:fill="FFFFFF"/>
        <w:spacing w:line="360" w:lineRule="auto"/>
        <w:jc w:val="left"/>
        <w:rPr>
          <w:sz w:val="22"/>
          <w:szCs w:val="22"/>
        </w:rPr>
      </w:pPr>
      <w:r w:rsidRPr="00A34694">
        <w:rPr>
          <w:sz w:val="22"/>
          <w:szCs w:val="22"/>
        </w:rPr>
        <w:t xml:space="preserve">Instrumentu CEF „Łącząc Europę” </w:t>
      </w:r>
      <w:r w:rsidRPr="00A34694">
        <w:rPr>
          <w:b/>
          <w:bCs/>
          <w:sz w:val="22"/>
          <w:szCs w:val="22"/>
        </w:rPr>
        <w:t xml:space="preserve">6 </w:t>
      </w:r>
      <w:r w:rsidRPr="00A34694">
        <w:rPr>
          <w:sz w:val="22"/>
          <w:szCs w:val="22"/>
        </w:rPr>
        <w:t>kontroli,</w:t>
      </w:r>
    </w:p>
    <w:p w14:paraId="52D6B1DF" w14:textId="77777777" w:rsidR="00A34694" w:rsidRPr="00A34694" w:rsidRDefault="00A34694" w:rsidP="00F47F50">
      <w:pPr>
        <w:pStyle w:val="Akapitzlist"/>
        <w:numPr>
          <w:ilvl w:val="0"/>
          <w:numId w:val="55"/>
        </w:numPr>
        <w:shd w:val="clear" w:color="auto" w:fill="FFFFFF"/>
        <w:spacing w:line="360" w:lineRule="auto"/>
        <w:jc w:val="left"/>
        <w:rPr>
          <w:sz w:val="22"/>
          <w:szCs w:val="22"/>
        </w:rPr>
      </w:pPr>
      <w:r w:rsidRPr="00A34694">
        <w:rPr>
          <w:sz w:val="22"/>
          <w:szCs w:val="22"/>
        </w:rPr>
        <w:t xml:space="preserve">Programu Fundusze Europejskie dla Podkarpacia </w:t>
      </w:r>
      <w:r w:rsidRPr="00A34694">
        <w:rPr>
          <w:b/>
          <w:bCs/>
          <w:sz w:val="22"/>
          <w:szCs w:val="22"/>
        </w:rPr>
        <w:t xml:space="preserve">2 </w:t>
      </w:r>
      <w:r w:rsidRPr="00A34694">
        <w:rPr>
          <w:sz w:val="22"/>
          <w:szCs w:val="22"/>
        </w:rPr>
        <w:t>kontrole,</w:t>
      </w:r>
    </w:p>
    <w:p w14:paraId="11729693" w14:textId="77777777" w:rsidR="00A34694" w:rsidRPr="00A34694" w:rsidRDefault="00A34694" w:rsidP="00F47F50">
      <w:pPr>
        <w:pStyle w:val="Akapitzlist"/>
        <w:numPr>
          <w:ilvl w:val="0"/>
          <w:numId w:val="55"/>
        </w:numPr>
        <w:shd w:val="clear" w:color="auto" w:fill="FFFFFF"/>
        <w:spacing w:line="360" w:lineRule="auto"/>
        <w:jc w:val="left"/>
        <w:rPr>
          <w:sz w:val="22"/>
          <w:szCs w:val="22"/>
        </w:rPr>
      </w:pPr>
      <w:r w:rsidRPr="00A34694">
        <w:rPr>
          <w:sz w:val="22"/>
          <w:szCs w:val="22"/>
        </w:rPr>
        <w:t xml:space="preserve">Fundusze Europejskie na Rozwój Cyfrowy </w:t>
      </w:r>
      <w:r w:rsidRPr="00A34694">
        <w:rPr>
          <w:b/>
          <w:bCs/>
          <w:sz w:val="22"/>
          <w:szCs w:val="22"/>
        </w:rPr>
        <w:t xml:space="preserve">1 </w:t>
      </w:r>
      <w:r w:rsidRPr="00A34694">
        <w:rPr>
          <w:sz w:val="22"/>
          <w:szCs w:val="22"/>
        </w:rPr>
        <w:t>kontrola,</w:t>
      </w:r>
    </w:p>
    <w:p w14:paraId="740741B7" w14:textId="77777777" w:rsidR="00A34694" w:rsidRPr="00A34694" w:rsidRDefault="00A34694" w:rsidP="00F47F50">
      <w:pPr>
        <w:pStyle w:val="Akapitzlist"/>
        <w:numPr>
          <w:ilvl w:val="0"/>
          <w:numId w:val="55"/>
        </w:numPr>
        <w:shd w:val="clear" w:color="auto" w:fill="FFFFFF"/>
        <w:spacing w:line="360" w:lineRule="auto"/>
        <w:jc w:val="left"/>
        <w:rPr>
          <w:sz w:val="22"/>
          <w:szCs w:val="22"/>
        </w:rPr>
      </w:pPr>
      <w:r w:rsidRPr="00A34694">
        <w:rPr>
          <w:sz w:val="22"/>
          <w:szCs w:val="22"/>
        </w:rPr>
        <w:t xml:space="preserve">Programu Operacyjnego Pomoc Żywnościowa </w:t>
      </w:r>
      <w:r w:rsidRPr="00A34694">
        <w:rPr>
          <w:b/>
          <w:bCs/>
          <w:sz w:val="22"/>
          <w:szCs w:val="22"/>
        </w:rPr>
        <w:t xml:space="preserve">1 </w:t>
      </w:r>
      <w:r w:rsidRPr="00A34694">
        <w:rPr>
          <w:sz w:val="22"/>
          <w:szCs w:val="22"/>
        </w:rPr>
        <w:t>kontrola,</w:t>
      </w:r>
    </w:p>
    <w:p w14:paraId="55711226" w14:textId="77777777" w:rsidR="00A34694" w:rsidRPr="00A34694" w:rsidRDefault="00A34694" w:rsidP="00F47F50">
      <w:pPr>
        <w:pStyle w:val="Akapitzlist"/>
        <w:numPr>
          <w:ilvl w:val="0"/>
          <w:numId w:val="55"/>
        </w:numPr>
        <w:shd w:val="clear" w:color="auto" w:fill="FFFFFF"/>
        <w:spacing w:line="360" w:lineRule="auto"/>
        <w:jc w:val="left"/>
        <w:rPr>
          <w:sz w:val="22"/>
          <w:szCs w:val="22"/>
        </w:rPr>
      </w:pPr>
      <w:r w:rsidRPr="00A34694">
        <w:rPr>
          <w:sz w:val="22"/>
          <w:szCs w:val="22"/>
        </w:rPr>
        <w:t xml:space="preserve">kilku lub kilkunastu programów – </w:t>
      </w:r>
      <w:r w:rsidRPr="00A34694">
        <w:rPr>
          <w:b/>
          <w:bCs/>
          <w:sz w:val="22"/>
          <w:szCs w:val="22"/>
        </w:rPr>
        <w:t xml:space="preserve">4 </w:t>
      </w:r>
      <w:r w:rsidRPr="00A34694">
        <w:rPr>
          <w:sz w:val="22"/>
          <w:szCs w:val="22"/>
        </w:rPr>
        <w:t>kontrole,</w:t>
      </w:r>
    </w:p>
    <w:p w14:paraId="6DD221A1" w14:textId="63F5CA0C" w:rsidR="00A34694" w:rsidRPr="00A34694" w:rsidRDefault="00A34694" w:rsidP="00F47F50">
      <w:pPr>
        <w:pStyle w:val="Akapitzlist"/>
        <w:numPr>
          <w:ilvl w:val="0"/>
          <w:numId w:val="55"/>
        </w:numPr>
        <w:shd w:val="clear" w:color="auto" w:fill="FFFFFF"/>
        <w:spacing w:line="360" w:lineRule="auto"/>
        <w:jc w:val="left"/>
        <w:rPr>
          <w:sz w:val="22"/>
          <w:szCs w:val="22"/>
        </w:rPr>
      </w:pPr>
      <w:r w:rsidRPr="00A34694">
        <w:rPr>
          <w:sz w:val="22"/>
          <w:szCs w:val="22"/>
        </w:rPr>
        <w:t>zamówie</w:t>
      </w:r>
      <w:r w:rsidR="00800FA3">
        <w:rPr>
          <w:sz w:val="22"/>
          <w:szCs w:val="22"/>
        </w:rPr>
        <w:t>ń</w:t>
      </w:r>
      <w:r w:rsidRPr="00A34694">
        <w:rPr>
          <w:sz w:val="22"/>
          <w:szCs w:val="22"/>
        </w:rPr>
        <w:t xml:space="preserve"> przewidzian</w:t>
      </w:r>
      <w:r w:rsidR="00800FA3">
        <w:rPr>
          <w:sz w:val="22"/>
          <w:szCs w:val="22"/>
        </w:rPr>
        <w:t>ych</w:t>
      </w:r>
      <w:r w:rsidRPr="00A34694">
        <w:rPr>
          <w:sz w:val="22"/>
          <w:szCs w:val="22"/>
        </w:rPr>
        <w:t xml:space="preserve"> do dofinansowania w ramach </w:t>
      </w:r>
      <w:proofErr w:type="spellStart"/>
      <w:r w:rsidRPr="00A34694">
        <w:rPr>
          <w:sz w:val="22"/>
          <w:szCs w:val="22"/>
        </w:rPr>
        <w:t>r</w:t>
      </w:r>
      <w:r>
        <w:rPr>
          <w:sz w:val="22"/>
          <w:szCs w:val="22"/>
          <w:lang w:val="pl-PL"/>
        </w:rPr>
        <w:t>ó</w:t>
      </w:r>
      <w:r w:rsidRPr="00A34694">
        <w:rPr>
          <w:sz w:val="22"/>
          <w:szCs w:val="22"/>
        </w:rPr>
        <w:t>żnych</w:t>
      </w:r>
      <w:proofErr w:type="spellEnd"/>
      <w:r w:rsidRPr="00A34694">
        <w:rPr>
          <w:sz w:val="22"/>
          <w:szCs w:val="22"/>
        </w:rPr>
        <w:t xml:space="preserve"> programów – </w:t>
      </w:r>
      <w:r w:rsidRPr="00A34694">
        <w:rPr>
          <w:b/>
          <w:bCs/>
          <w:sz w:val="22"/>
          <w:szCs w:val="22"/>
        </w:rPr>
        <w:t>22</w:t>
      </w:r>
      <w:r w:rsidRPr="00A34694">
        <w:rPr>
          <w:sz w:val="22"/>
          <w:szCs w:val="22"/>
        </w:rPr>
        <w:t xml:space="preserve"> kontrole.</w:t>
      </w:r>
    </w:p>
    <w:p w14:paraId="74DF8B14" w14:textId="77777777" w:rsidR="00A34694" w:rsidRPr="00A34694" w:rsidRDefault="00A34694" w:rsidP="00A34694">
      <w:pPr>
        <w:shd w:val="clear" w:color="auto" w:fill="FFFFFF"/>
        <w:spacing w:before="120" w:line="360" w:lineRule="auto"/>
        <w:jc w:val="left"/>
      </w:pPr>
      <w:r w:rsidRPr="00A34694">
        <w:t>O wynikach przeprowadzonych kontroli uprzednich informowane były właściwe instytucje zarządzające oraz pośredniczące.</w:t>
      </w:r>
    </w:p>
    <w:p w14:paraId="4FC0CC60" w14:textId="0CF60E6D" w:rsidR="00A34694" w:rsidRPr="00A34694" w:rsidRDefault="00A34694" w:rsidP="00A34694">
      <w:pPr>
        <w:shd w:val="clear" w:color="auto" w:fill="FFFFFF"/>
        <w:spacing w:before="120" w:line="360" w:lineRule="auto"/>
        <w:jc w:val="left"/>
      </w:pPr>
      <w:r w:rsidRPr="00A34694">
        <w:t xml:space="preserve">W przypadku </w:t>
      </w:r>
      <w:r w:rsidRPr="00A34694">
        <w:rPr>
          <w:b/>
          <w:bCs/>
        </w:rPr>
        <w:t>43</w:t>
      </w:r>
      <w:r w:rsidRPr="00A34694">
        <w:t xml:space="preserve"> kontroli uprzednich nie stwierdzono żadnych naruszeń ustawy Pzp. W</w:t>
      </w:r>
      <w:r w:rsidR="00800FA3">
        <w:t> </w:t>
      </w:r>
      <w:r w:rsidRPr="00A34694">
        <w:rPr>
          <w:b/>
          <w:bCs/>
        </w:rPr>
        <w:t>89</w:t>
      </w:r>
      <w:r w:rsidR="00800FA3">
        <w:t> </w:t>
      </w:r>
      <w:r w:rsidRPr="00A34694">
        <w:t xml:space="preserve">kontrolach stwierdzono naruszenia przepisów ustawy Pzp, z czego w </w:t>
      </w:r>
      <w:r w:rsidRPr="00A34694">
        <w:rPr>
          <w:b/>
          <w:bCs/>
        </w:rPr>
        <w:t>10</w:t>
      </w:r>
      <w:r w:rsidRPr="00A34694">
        <w:t xml:space="preserve"> przypadkach Prezes Urzędu wydał zalecenie pokontrolne wskazujące na konieczność usunięcia stwierdzonego naruszenia. Zamawiający we wszystkich </w:t>
      </w:r>
      <w:r w:rsidRPr="00A34694">
        <w:rPr>
          <w:b/>
          <w:bCs/>
        </w:rPr>
        <w:t>10</w:t>
      </w:r>
      <w:r w:rsidRPr="00A34694">
        <w:t xml:space="preserve"> przypadkach prawidłowo wykonali zalecane czynności.</w:t>
      </w:r>
    </w:p>
    <w:p w14:paraId="286CD098" w14:textId="77777777" w:rsidR="00A34694" w:rsidRPr="00A34694" w:rsidRDefault="00A34694" w:rsidP="00A34694">
      <w:pPr>
        <w:shd w:val="clear" w:color="auto" w:fill="FFFFFF"/>
        <w:spacing w:before="120" w:line="360" w:lineRule="auto"/>
        <w:jc w:val="left"/>
      </w:pPr>
      <w:r w:rsidRPr="00A34694">
        <w:t xml:space="preserve">W 2025 r. zamawiający zgłosili zastrzeżenia od wyniku </w:t>
      </w:r>
      <w:r w:rsidRPr="00A34694">
        <w:rPr>
          <w:b/>
          <w:bCs/>
        </w:rPr>
        <w:t xml:space="preserve">4 </w:t>
      </w:r>
      <w:r w:rsidRPr="00A34694">
        <w:t xml:space="preserve">przeprowadzonych obligatoryjnych kontroli uprzednich. We wszystkich </w:t>
      </w:r>
      <w:r w:rsidRPr="00A34694">
        <w:rPr>
          <w:b/>
          <w:bCs/>
        </w:rPr>
        <w:t>4</w:t>
      </w:r>
      <w:r w:rsidRPr="00A34694">
        <w:t xml:space="preserve"> kontrolach zastrzeżenia zgłoszone zostały jedynie do części ze stwierdzonych naruszeń, co oznacza iż żadna z informacji o wyniku nie została zmieniona w pełnym zakresie. Prezes Urzędu uwzględnił zastrzeżenia w </w:t>
      </w:r>
      <w:r w:rsidRPr="00A34694">
        <w:rPr>
          <w:b/>
          <w:bCs/>
        </w:rPr>
        <w:t>1</w:t>
      </w:r>
      <w:r w:rsidRPr="00A34694">
        <w:t xml:space="preserve"> przypadku, pozostałe </w:t>
      </w:r>
      <w:r w:rsidRPr="00A34694">
        <w:rPr>
          <w:b/>
          <w:bCs/>
        </w:rPr>
        <w:t>3</w:t>
      </w:r>
      <w:r w:rsidRPr="00A34694">
        <w:t xml:space="preserve"> przekazał do zaopiniowania przez KIO, która w przypadku </w:t>
      </w:r>
      <w:r w:rsidRPr="00A34694">
        <w:rPr>
          <w:b/>
          <w:bCs/>
        </w:rPr>
        <w:t>1</w:t>
      </w:r>
      <w:r w:rsidRPr="00A34694">
        <w:t xml:space="preserve"> kontroli uwzględniła zastrzeżenia, a w </w:t>
      </w:r>
      <w:r w:rsidRPr="00A34694">
        <w:rPr>
          <w:b/>
          <w:bCs/>
        </w:rPr>
        <w:t>2</w:t>
      </w:r>
      <w:r w:rsidRPr="00A34694">
        <w:t xml:space="preserve"> przypadkach nie uwzględniła zastrzeżeń, podzielając tym samym stanowisko Prezesa Urzędu.</w:t>
      </w:r>
    </w:p>
    <w:p w14:paraId="004567E6" w14:textId="77777777" w:rsidR="00A34694" w:rsidRPr="00A34694" w:rsidRDefault="00A34694" w:rsidP="00A34694">
      <w:pPr>
        <w:shd w:val="clear" w:color="auto" w:fill="FFFFFF"/>
        <w:spacing w:before="120" w:line="360" w:lineRule="auto"/>
        <w:jc w:val="left"/>
      </w:pPr>
      <w:r w:rsidRPr="00A34694">
        <w:t xml:space="preserve">Łączna szacunkowa wartość wszystkich </w:t>
      </w:r>
      <w:r w:rsidRPr="00A34694">
        <w:rPr>
          <w:b/>
          <w:bCs/>
        </w:rPr>
        <w:t xml:space="preserve">132 </w:t>
      </w:r>
      <w:r w:rsidRPr="00A34694">
        <w:t xml:space="preserve">postępowań objętych kontrolą uprzednią w 2025 r. wyniosła: </w:t>
      </w:r>
      <w:r w:rsidRPr="00A34694">
        <w:rPr>
          <w:b/>
          <w:bCs/>
        </w:rPr>
        <w:t>30 901</w:t>
      </w:r>
      <w:r w:rsidRPr="00A34694">
        <w:t xml:space="preserve"> </w:t>
      </w:r>
      <w:r w:rsidRPr="00A34694">
        <w:rPr>
          <w:b/>
          <w:bCs/>
        </w:rPr>
        <w:t>289 759,10 zł</w:t>
      </w:r>
      <w:r w:rsidRPr="00A34694">
        <w:t xml:space="preserve">. </w:t>
      </w:r>
    </w:p>
    <w:p w14:paraId="759D9E80" w14:textId="57DBFDE3" w:rsidR="00A92707" w:rsidRDefault="00A92707" w:rsidP="00A92707">
      <w:pPr>
        <w:pStyle w:val="Legenda"/>
      </w:pPr>
      <w:bookmarkStart w:id="281" w:name="_Toc233203370"/>
      <w:r w:rsidRPr="00BA1095">
        <w:lastRenderedPageBreak/>
        <w:t xml:space="preserve">Rys. </w:t>
      </w:r>
      <w:r>
        <w:fldChar w:fldCharType="begin"/>
      </w:r>
      <w:r>
        <w:instrText>SEQ Rys. \* ARABIC</w:instrText>
      </w:r>
      <w:r>
        <w:fldChar w:fldCharType="separate"/>
      </w:r>
      <w:r w:rsidR="00017C65">
        <w:rPr>
          <w:noProof/>
        </w:rPr>
        <w:t>49</w:t>
      </w:r>
      <w:r>
        <w:fldChar w:fldCharType="end"/>
      </w:r>
      <w:r w:rsidRPr="00BA1095">
        <w:t xml:space="preserve">. </w:t>
      </w:r>
      <w:r>
        <w:t xml:space="preserve">Wartość </w:t>
      </w:r>
      <w:r w:rsidRPr="007D2040">
        <w:t xml:space="preserve">szacunkowa </w:t>
      </w:r>
      <w:r w:rsidRPr="00A319B0">
        <w:t xml:space="preserve">zamówień objętych kontrolą </w:t>
      </w:r>
      <w:r w:rsidRPr="00A92707">
        <w:t>uprzednią</w:t>
      </w:r>
      <w:r w:rsidRPr="00A319B0">
        <w:t xml:space="preserve"> </w:t>
      </w:r>
      <w:r>
        <w:t>w podziale na tryb udzielenia zamówienia</w:t>
      </w:r>
      <w:bookmarkEnd w:id="281"/>
      <w:r>
        <w:t xml:space="preserve"> </w:t>
      </w:r>
    </w:p>
    <w:p w14:paraId="32890B39" w14:textId="6C48E0AF" w:rsidR="00A92707" w:rsidRDefault="00793326" w:rsidP="00A34694">
      <w:pPr>
        <w:shd w:val="clear" w:color="auto" w:fill="FFFFFF"/>
        <w:spacing w:before="120" w:line="360" w:lineRule="auto"/>
        <w:jc w:val="left"/>
      </w:pPr>
      <w:r>
        <w:rPr>
          <w:noProof/>
        </w:rPr>
        <w:drawing>
          <wp:inline distT="0" distB="0" distL="0" distR="0" wp14:anchorId="42E09D00" wp14:editId="2E5C9FEB">
            <wp:extent cx="5074920" cy="2891790"/>
            <wp:effectExtent l="0" t="0" r="0" b="3810"/>
            <wp:docPr id="472541985" name="Wykres 472541985" descr="Wartość szacunkowa zamówień objętych kontrolą uprzednią w podziale na tryb udzielenia zamówienia " title="Wartość szacunkowa zamówień objętych kontrolą uprzednią w podziale na tryb udzielenia zamówienia "/>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64F9746" w14:textId="4F311FF2" w:rsidR="00A34694" w:rsidRPr="00A34694" w:rsidRDefault="00A34694" w:rsidP="00F34FDF">
      <w:pPr>
        <w:shd w:val="clear" w:color="auto" w:fill="FFFFFF"/>
        <w:spacing w:before="240" w:line="360" w:lineRule="auto"/>
        <w:jc w:val="left"/>
      </w:pPr>
      <w:r w:rsidRPr="00A34694">
        <w:t>Były to kontrole zamówień udzielonych w trybach:</w:t>
      </w:r>
    </w:p>
    <w:p w14:paraId="766B2105" w14:textId="5D92D716" w:rsidR="00A34694" w:rsidRPr="00B677BA" w:rsidRDefault="00A34694" w:rsidP="00F47F50">
      <w:pPr>
        <w:pStyle w:val="Akapitzlist"/>
        <w:numPr>
          <w:ilvl w:val="0"/>
          <w:numId w:val="56"/>
        </w:numPr>
        <w:shd w:val="clear" w:color="auto" w:fill="FFFFFF"/>
        <w:spacing w:line="360" w:lineRule="auto"/>
        <w:ind w:left="714" w:hanging="357"/>
        <w:jc w:val="left"/>
        <w:rPr>
          <w:sz w:val="22"/>
          <w:szCs w:val="22"/>
        </w:rPr>
      </w:pPr>
      <w:r w:rsidRPr="00B677BA">
        <w:rPr>
          <w:sz w:val="22"/>
          <w:szCs w:val="22"/>
        </w:rPr>
        <w:t>przetargu nieograniczonego (</w:t>
      </w:r>
      <w:r w:rsidRPr="00B677BA">
        <w:rPr>
          <w:b/>
          <w:bCs/>
          <w:sz w:val="22"/>
          <w:szCs w:val="22"/>
        </w:rPr>
        <w:t>129</w:t>
      </w:r>
      <w:r w:rsidRPr="00B677BA">
        <w:rPr>
          <w:sz w:val="22"/>
          <w:szCs w:val="22"/>
        </w:rPr>
        <w:t xml:space="preserve">), których łączna wartość szacunkowa wyniosła </w:t>
      </w:r>
      <w:r w:rsidR="00E17E3B">
        <w:rPr>
          <w:sz w:val="22"/>
          <w:szCs w:val="22"/>
        </w:rPr>
        <w:t>–</w:t>
      </w:r>
      <w:r w:rsidRPr="00B677BA">
        <w:rPr>
          <w:sz w:val="22"/>
          <w:szCs w:val="22"/>
        </w:rPr>
        <w:t xml:space="preserve"> </w:t>
      </w:r>
      <w:r w:rsidRPr="00B677BA">
        <w:rPr>
          <w:b/>
          <w:bCs/>
          <w:sz w:val="22"/>
          <w:szCs w:val="22"/>
        </w:rPr>
        <w:t>30</w:t>
      </w:r>
      <w:r w:rsidR="00E17E3B">
        <w:rPr>
          <w:b/>
          <w:bCs/>
          <w:sz w:val="22"/>
          <w:szCs w:val="22"/>
        </w:rPr>
        <w:t> </w:t>
      </w:r>
      <w:r w:rsidRPr="00B677BA">
        <w:rPr>
          <w:b/>
          <w:bCs/>
          <w:sz w:val="22"/>
          <w:szCs w:val="22"/>
        </w:rPr>
        <w:t xml:space="preserve">687 424 423,32 </w:t>
      </w:r>
      <w:r w:rsidRPr="00B677BA">
        <w:rPr>
          <w:sz w:val="22"/>
          <w:szCs w:val="22"/>
        </w:rPr>
        <w:t>zł;</w:t>
      </w:r>
    </w:p>
    <w:p w14:paraId="06DEBD79" w14:textId="7DA8150B" w:rsidR="00A34694" w:rsidRPr="00B677BA" w:rsidRDefault="00A34694" w:rsidP="00F47F50">
      <w:pPr>
        <w:pStyle w:val="Akapitzlist"/>
        <w:numPr>
          <w:ilvl w:val="0"/>
          <w:numId w:val="56"/>
        </w:numPr>
        <w:shd w:val="clear" w:color="auto" w:fill="FFFFFF"/>
        <w:spacing w:line="360" w:lineRule="auto"/>
        <w:ind w:left="714" w:hanging="357"/>
        <w:jc w:val="left"/>
        <w:rPr>
          <w:sz w:val="22"/>
          <w:szCs w:val="22"/>
        </w:rPr>
      </w:pPr>
      <w:r w:rsidRPr="00B677BA">
        <w:rPr>
          <w:sz w:val="22"/>
          <w:szCs w:val="22"/>
        </w:rPr>
        <w:t>zamówienia z wolnej ręki (</w:t>
      </w:r>
      <w:r w:rsidRPr="00B677BA">
        <w:rPr>
          <w:b/>
          <w:bCs/>
          <w:sz w:val="22"/>
          <w:szCs w:val="22"/>
        </w:rPr>
        <w:t>2</w:t>
      </w:r>
      <w:r w:rsidRPr="00B677BA">
        <w:rPr>
          <w:sz w:val="22"/>
          <w:szCs w:val="22"/>
        </w:rPr>
        <w:t xml:space="preserve">), których łączna wartość szacunkowa wyniosła </w:t>
      </w:r>
      <w:r w:rsidR="00E17E3B">
        <w:rPr>
          <w:sz w:val="22"/>
          <w:szCs w:val="22"/>
        </w:rPr>
        <w:t>–</w:t>
      </w:r>
      <w:r w:rsidRPr="00B677BA">
        <w:rPr>
          <w:sz w:val="22"/>
          <w:szCs w:val="22"/>
        </w:rPr>
        <w:t xml:space="preserve"> </w:t>
      </w:r>
      <w:r w:rsidRPr="00B677BA">
        <w:rPr>
          <w:b/>
          <w:bCs/>
          <w:sz w:val="22"/>
          <w:szCs w:val="22"/>
        </w:rPr>
        <w:t>113</w:t>
      </w:r>
      <w:r w:rsidR="00E17E3B">
        <w:rPr>
          <w:b/>
          <w:bCs/>
          <w:sz w:val="22"/>
          <w:szCs w:val="22"/>
        </w:rPr>
        <w:t> </w:t>
      </w:r>
      <w:r w:rsidRPr="00B677BA">
        <w:rPr>
          <w:b/>
          <w:bCs/>
          <w:sz w:val="22"/>
          <w:szCs w:val="22"/>
        </w:rPr>
        <w:t>585</w:t>
      </w:r>
      <w:r w:rsidR="00E17E3B">
        <w:rPr>
          <w:b/>
          <w:bCs/>
          <w:sz w:val="22"/>
          <w:szCs w:val="22"/>
        </w:rPr>
        <w:t> </w:t>
      </w:r>
      <w:r w:rsidRPr="00B677BA">
        <w:rPr>
          <w:b/>
          <w:bCs/>
          <w:sz w:val="22"/>
          <w:szCs w:val="22"/>
        </w:rPr>
        <w:t xml:space="preserve">681,03 </w:t>
      </w:r>
      <w:r w:rsidRPr="00B677BA">
        <w:rPr>
          <w:sz w:val="22"/>
          <w:szCs w:val="22"/>
        </w:rPr>
        <w:t>zł;</w:t>
      </w:r>
    </w:p>
    <w:p w14:paraId="2A1779CA" w14:textId="05EA97C6" w:rsidR="00A34694" w:rsidRPr="00B677BA" w:rsidRDefault="00A34694" w:rsidP="00F47F50">
      <w:pPr>
        <w:pStyle w:val="Akapitzlist"/>
        <w:numPr>
          <w:ilvl w:val="0"/>
          <w:numId w:val="56"/>
        </w:numPr>
        <w:shd w:val="clear" w:color="auto" w:fill="FFFFFF"/>
        <w:spacing w:line="360" w:lineRule="auto"/>
        <w:ind w:left="714" w:hanging="357"/>
        <w:jc w:val="left"/>
        <w:rPr>
          <w:sz w:val="22"/>
          <w:szCs w:val="22"/>
        </w:rPr>
      </w:pPr>
      <w:r w:rsidRPr="00B677BA">
        <w:rPr>
          <w:sz w:val="22"/>
          <w:szCs w:val="22"/>
        </w:rPr>
        <w:t>dialogu konkurencyjnego (</w:t>
      </w:r>
      <w:r w:rsidRPr="00B677BA">
        <w:rPr>
          <w:b/>
          <w:bCs/>
          <w:sz w:val="22"/>
          <w:szCs w:val="22"/>
        </w:rPr>
        <w:t>1</w:t>
      </w:r>
      <w:r w:rsidRPr="00B677BA">
        <w:rPr>
          <w:sz w:val="22"/>
          <w:szCs w:val="22"/>
        </w:rPr>
        <w:t xml:space="preserve">), których łączna wartość szacunkowa wyniosła </w:t>
      </w:r>
      <w:r w:rsidR="00E17E3B">
        <w:rPr>
          <w:sz w:val="22"/>
          <w:szCs w:val="22"/>
        </w:rPr>
        <w:t>–</w:t>
      </w:r>
      <w:r w:rsidRPr="00B677BA">
        <w:rPr>
          <w:sz w:val="22"/>
          <w:szCs w:val="22"/>
        </w:rPr>
        <w:t xml:space="preserve"> </w:t>
      </w:r>
      <w:r w:rsidRPr="00B677BA">
        <w:rPr>
          <w:b/>
          <w:bCs/>
          <w:sz w:val="22"/>
          <w:szCs w:val="22"/>
        </w:rPr>
        <w:t>100</w:t>
      </w:r>
      <w:r w:rsidR="00E17E3B">
        <w:rPr>
          <w:b/>
          <w:bCs/>
          <w:sz w:val="22"/>
          <w:szCs w:val="22"/>
        </w:rPr>
        <w:t> </w:t>
      </w:r>
      <w:r w:rsidRPr="00B677BA">
        <w:rPr>
          <w:b/>
          <w:bCs/>
          <w:sz w:val="22"/>
          <w:szCs w:val="22"/>
        </w:rPr>
        <w:t>279</w:t>
      </w:r>
      <w:r w:rsidR="00E17E3B">
        <w:rPr>
          <w:b/>
          <w:bCs/>
          <w:sz w:val="22"/>
          <w:szCs w:val="22"/>
        </w:rPr>
        <w:t> </w:t>
      </w:r>
      <w:r w:rsidRPr="00B677BA">
        <w:rPr>
          <w:b/>
          <w:bCs/>
          <w:sz w:val="22"/>
          <w:szCs w:val="22"/>
        </w:rPr>
        <w:t xml:space="preserve">654,75 </w:t>
      </w:r>
      <w:r w:rsidRPr="00B677BA">
        <w:rPr>
          <w:sz w:val="22"/>
          <w:szCs w:val="22"/>
        </w:rPr>
        <w:t>zł.</w:t>
      </w:r>
    </w:p>
    <w:p w14:paraId="6B17A0FF" w14:textId="6950162B" w:rsidR="00FB63F1" w:rsidRDefault="00FB63F1" w:rsidP="00FB63F1">
      <w:pPr>
        <w:pStyle w:val="Legenda"/>
      </w:pPr>
      <w:bookmarkStart w:id="282" w:name="_Toc233203371"/>
      <w:r w:rsidRPr="00BA1095">
        <w:t xml:space="preserve">Rys. </w:t>
      </w:r>
      <w:r>
        <w:fldChar w:fldCharType="begin"/>
      </w:r>
      <w:r>
        <w:instrText>SEQ Rys. \* ARABIC</w:instrText>
      </w:r>
      <w:r>
        <w:fldChar w:fldCharType="separate"/>
      </w:r>
      <w:r w:rsidR="00017C65">
        <w:rPr>
          <w:noProof/>
        </w:rPr>
        <w:t>50</w:t>
      </w:r>
      <w:r>
        <w:fldChar w:fldCharType="end"/>
      </w:r>
      <w:r w:rsidRPr="00BA1095">
        <w:t xml:space="preserve">. </w:t>
      </w:r>
      <w:r>
        <w:t>L</w:t>
      </w:r>
      <w:r w:rsidRPr="0036716E">
        <w:t xml:space="preserve">iczba </w:t>
      </w:r>
      <w:r>
        <w:t xml:space="preserve">i wartość </w:t>
      </w:r>
      <w:r w:rsidRPr="007D2040">
        <w:t>szacunkowa skontrolowanych zamówień</w:t>
      </w:r>
      <w:r>
        <w:t xml:space="preserve"> w</w:t>
      </w:r>
      <w:r w:rsidR="00326395">
        <w:t xml:space="preserve"> </w:t>
      </w:r>
      <w:r>
        <w:t xml:space="preserve">2025 roku w podziale na rodzaj zamówienia </w:t>
      </w:r>
      <w:r w:rsidR="0035701D">
        <w:t>(kontrola uprzednia)</w:t>
      </w:r>
      <w:bookmarkEnd w:id="282"/>
    </w:p>
    <w:p w14:paraId="191F55A6" w14:textId="4A7AA1FE" w:rsidR="00FB63F1" w:rsidRDefault="00B22FD6" w:rsidP="00A34694">
      <w:pPr>
        <w:shd w:val="clear" w:color="auto" w:fill="FFFFFF"/>
        <w:spacing w:before="120" w:line="360" w:lineRule="auto"/>
        <w:jc w:val="left"/>
      </w:pPr>
      <w:r>
        <w:rPr>
          <w:noProof/>
        </w:rPr>
        <w:drawing>
          <wp:inline distT="0" distB="0" distL="0" distR="0" wp14:anchorId="5DA56B3B" wp14:editId="55A95D09">
            <wp:extent cx="4861560" cy="3101340"/>
            <wp:effectExtent l="0" t="0" r="0" b="3810"/>
            <wp:docPr id="472541990" name="Wykres 472541990" descr="Liczba i wartość szacunkowa skontrolowanych zamówień w 2025 roku w podziale na rodzaj zamówienia (kontrola uprzednia)" title="Liczba i wartość szacunkowa skontrolowanych zamówień w 2025 roku w podziale na rodzaj zamówienia (kontrola uprzednia)"/>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5621FCF" w14:textId="19BDA761" w:rsidR="00A34694" w:rsidRPr="00A34694" w:rsidRDefault="00A34694" w:rsidP="00552305">
      <w:pPr>
        <w:shd w:val="clear" w:color="auto" w:fill="FFFFFF"/>
        <w:spacing w:before="240" w:line="360" w:lineRule="auto"/>
        <w:jc w:val="left"/>
      </w:pPr>
      <w:r w:rsidRPr="00A34694">
        <w:lastRenderedPageBreak/>
        <w:t>Łączna wartość szacunkowa skontrolowanych</w:t>
      </w:r>
      <w:r w:rsidRPr="00A34694">
        <w:rPr>
          <w:vertAlign w:val="superscript"/>
        </w:rPr>
        <w:t xml:space="preserve"> </w:t>
      </w:r>
      <w:r w:rsidRPr="00A34694">
        <w:t xml:space="preserve">zamówień na </w:t>
      </w:r>
      <w:r w:rsidRPr="00A34694">
        <w:rPr>
          <w:b/>
          <w:bCs/>
        </w:rPr>
        <w:t>usługi</w:t>
      </w:r>
      <w:r w:rsidRPr="00A34694">
        <w:t xml:space="preserve"> (</w:t>
      </w:r>
      <w:r w:rsidRPr="00A34694">
        <w:rPr>
          <w:b/>
          <w:bCs/>
        </w:rPr>
        <w:t>17)</w:t>
      </w:r>
      <w:r w:rsidR="00326395">
        <w:rPr>
          <w:b/>
          <w:bCs/>
        </w:rPr>
        <w:t xml:space="preserve"> </w:t>
      </w:r>
      <w:r w:rsidRPr="00A34694">
        <w:t xml:space="preserve">wyniosła </w:t>
      </w:r>
      <w:r w:rsidRPr="00A34694">
        <w:rPr>
          <w:b/>
          <w:bCs/>
        </w:rPr>
        <w:t>1</w:t>
      </w:r>
      <w:r w:rsidR="00E17E3B">
        <w:rPr>
          <w:b/>
          <w:bCs/>
        </w:rPr>
        <w:t> </w:t>
      </w:r>
      <w:r w:rsidRPr="00A34694">
        <w:rPr>
          <w:b/>
          <w:bCs/>
        </w:rPr>
        <w:t>205</w:t>
      </w:r>
      <w:r w:rsidR="00E17E3B">
        <w:rPr>
          <w:b/>
          <w:bCs/>
        </w:rPr>
        <w:t> </w:t>
      </w:r>
      <w:r w:rsidRPr="00A34694">
        <w:rPr>
          <w:b/>
          <w:bCs/>
        </w:rPr>
        <w:t>545</w:t>
      </w:r>
      <w:r w:rsidR="00E17E3B">
        <w:rPr>
          <w:b/>
          <w:bCs/>
        </w:rPr>
        <w:t> </w:t>
      </w:r>
      <w:r w:rsidRPr="00A34694">
        <w:rPr>
          <w:b/>
          <w:bCs/>
        </w:rPr>
        <w:t xml:space="preserve">516,50 </w:t>
      </w:r>
      <w:r w:rsidRPr="00A34694">
        <w:t xml:space="preserve">zł, na </w:t>
      </w:r>
      <w:r w:rsidRPr="00A34694">
        <w:rPr>
          <w:b/>
          <w:bCs/>
        </w:rPr>
        <w:t>dostawy</w:t>
      </w:r>
      <w:r w:rsidRPr="00A34694">
        <w:t xml:space="preserve"> (</w:t>
      </w:r>
      <w:r w:rsidRPr="00A34694">
        <w:rPr>
          <w:b/>
          <w:bCs/>
        </w:rPr>
        <w:t>58</w:t>
      </w:r>
      <w:r w:rsidRPr="00A34694">
        <w:t xml:space="preserve">) wyniosła </w:t>
      </w:r>
      <w:r w:rsidRPr="00A34694">
        <w:rPr>
          <w:b/>
          <w:bCs/>
        </w:rPr>
        <w:t xml:space="preserve">6 674 375 877,05 </w:t>
      </w:r>
      <w:r w:rsidRPr="00A34694">
        <w:t xml:space="preserve">zł, zaś na </w:t>
      </w:r>
      <w:r w:rsidRPr="00A34694">
        <w:rPr>
          <w:b/>
          <w:bCs/>
        </w:rPr>
        <w:t xml:space="preserve">roboty budowlane </w:t>
      </w:r>
      <w:r w:rsidRPr="00A34694">
        <w:t>(</w:t>
      </w:r>
      <w:r w:rsidRPr="00A34694">
        <w:rPr>
          <w:b/>
          <w:bCs/>
        </w:rPr>
        <w:t>57</w:t>
      </w:r>
      <w:r w:rsidRPr="00A34694">
        <w:t xml:space="preserve">) wyniosła </w:t>
      </w:r>
      <w:r w:rsidRPr="00A34694">
        <w:rPr>
          <w:b/>
          <w:bCs/>
        </w:rPr>
        <w:t>23 021 368 365,55</w:t>
      </w:r>
      <w:r w:rsidR="00326395">
        <w:rPr>
          <w:b/>
          <w:bCs/>
        </w:rPr>
        <w:t xml:space="preserve"> </w:t>
      </w:r>
      <w:r w:rsidRPr="00A34694">
        <w:rPr>
          <w:b/>
          <w:bCs/>
        </w:rPr>
        <w:t>zł</w:t>
      </w:r>
      <w:r w:rsidRPr="00A34694">
        <w:t>.</w:t>
      </w:r>
    </w:p>
    <w:p w14:paraId="3547E124" w14:textId="26D2C6D1" w:rsidR="00D60F29" w:rsidRDefault="00D60F29" w:rsidP="00D60F29">
      <w:pPr>
        <w:pStyle w:val="Legenda"/>
      </w:pPr>
      <w:bookmarkStart w:id="283" w:name="_Toc233203372"/>
      <w:r w:rsidRPr="00BA1095">
        <w:t xml:space="preserve">Rys. </w:t>
      </w:r>
      <w:r>
        <w:fldChar w:fldCharType="begin"/>
      </w:r>
      <w:r>
        <w:instrText>SEQ Rys. \* ARABIC</w:instrText>
      </w:r>
      <w:r>
        <w:fldChar w:fldCharType="separate"/>
      </w:r>
      <w:r w:rsidR="00017C65">
        <w:rPr>
          <w:noProof/>
        </w:rPr>
        <w:t>51</w:t>
      </w:r>
      <w:r>
        <w:fldChar w:fldCharType="end"/>
      </w:r>
      <w:r w:rsidRPr="00BA1095">
        <w:t xml:space="preserve">. </w:t>
      </w:r>
      <w:r>
        <w:t xml:space="preserve">Wartość </w:t>
      </w:r>
      <w:r w:rsidRPr="007D2040">
        <w:t>szacunkowa skontrolowanych zamówień</w:t>
      </w:r>
      <w:r>
        <w:t xml:space="preserve"> w</w:t>
      </w:r>
      <w:r w:rsidR="00326395">
        <w:t xml:space="preserve"> </w:t>
      </w:r>
      <w:r>
        <w:t>2025 roku w podziale na rodzaj administracji (kontrola uprzednia)</w:t>
      </w:r>
      <w:bookmarkEnd w:id="283"/>
    </w:p>
    <w:p w14:paraId="39C8DC82" w14:textId="678D4A29" w:rsidR="00D60F29" w:rsidRDefault="00B7165B" w:rsidP="00A34694">
      <w:pPr>
        <w:shd w:val="clear" w:color="auto" w:fill="FFFFFF"/>
        <w:spacing w:before="120" w:line="360" w:lineRule="auto"/>
        <w:jc w:val="left"/>
      </w:pPr>
      <w:r>
        <w:rPr>
          <w:noProof/>
        </w:rPr>
        <w:drawing>
          <wp:inline distT="0" distB="0" distL="0" distR="0" wp14:anchorId="62545FA9" wp14:editId="0D0AEDB8">
            <wp:extent cx="4974590" cy="2743200"/>
            <wp:effectExtent l="0" t="0" r="0" b="0"/>
            <wp:docPr id="25" name="Obraz 25" descr="Wartość szacunkowa skontrolowanych zamówień w 2025 roku w podziale na rodzaj administracji (kontrola uprzednia)" title="Wartość szacunkowa skontrolowanych zamówień w 2025 roku w podziale na rodzaj administracji (kontrola uprzed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74590" cy="2743200"/>
                    </a:xfrm>
                    <a:prstGeom prst="rect">
                      <a:avLst/>
                    </a:prstGeom>
                    <a:noFill/>
                  </pic:spPr>
                </pic:pic>
              </a:graphicData>
            </a:graphic>
          </wp:inline>
        </w:drawing>
      </w:r>
    </w:p>
    <w:p w14:paraId="43CD0771" w14:textId="39102E9D" w:rsidR="00A34694" w:rsidRPr="00A34694" w:rsidRDefault="00A34694" w:rsidP="00896ADD">
      <w:pPr>
        <w:shd w:val="clear" w:color="auto" w:fill="FFFFFF"/>
        <w:spacing w:before="240" w:line="360" w:lineRule="auto"/>
        <w:jc w:val="left"/>
      </w:pPr>
      <w:r w:rsidRPr="00A34694">
        <w:t>Łączna wartość szacunkowa skontrolowanych</w:t>
      </w:r>
      <w:r w:rsidRPr="00A34694">
        <w:rPr>
          <w:vertAlign w:val="superscript"/>
        </w:rPr>
        <w:t xml:space="preserve"> </w:t>
      </w:r>
      <w:r w:rsidRPr="00A34694">
        <w:t xml:space="preserve">zamówień udzielonych przez zamawiających należących do </w:t>
      </w:r>
      <w:r w:rsidRPr="00A34694">
        <w:rPr>
          <w:b/>
          <w:bCs/>
        </w:rPr>
        <w:t xml:space="preserve">administracji rządowej (52) </w:t>
      </w:r>
      <w:r w:rsidRPr="00A34694">
        <w:t xml:space="preserve">wyniosła </w:t>
      </w:r>
      <w:r w:rsidRPr="00A34694">
        <w:rPr>
          <w:b/>
          <w:bCs/>
        </w:rPr>
        <w:t>21 771 194 328,09</w:t>
      </w:r>
      <w:r w:rsidR="00326395">
        <w:rPr>
          <w:b/>
          <w:bCs/>
        </w:rPr>
        <w:t xml:space="preserve"> </w:t>
      </w:r>
      <w:r w:rsidRPr="00A34694">
        <w:t xml:space="preserve">zł, natomiast do </w:t>
      </w:r>
      <w:r w:rsidRPr="00A34694">
        <w:rPr>
          <w:b/>
          <w:bCs/>
        </w:rPr>
        <w:t>administracji samorządowej</w:t>
      </w:r>
      <w:r w:rsidRPr="00A34694">
        <w:t xml:space="preserve"> wyniosła</w:t>
      </w:r>
      <w:r w:rsidRPr="00A34694">
        <w:rPr>
          <w:b/>
          <w:bCs/>
        </w:rPr>
        <w:t xml:space="preserve"> 9 130 095 431,01 </w:t>
      </w:r>
      <w:r w:rsidRPr="00A34694">
        <w:t>zł.</w:t>
      </w:r>
    </w:p>
    <w:p w14:paraId="337D0783" w14:textId="77777777" w:rsidR="00A34694" w:rsidRPr="00A34694" w:rsidRDefault="00A34694" w:rsidP="00A34694">
      <w:pPr>
        <w:shd w:val="clear" w:color="auto" w:fill="FFFFFF"/>
        <w:spacing w:before="120" w:line="360" w:lineRule="auto"/>
        <w:jc w:val="left"/>
        <w:rPr>
          <w:b/>
          <w:bCs/>
        </w:rPr>
      </w:pPr>
      <w:r w:rsidRPr="00A34694">
        <w:t xml:space="preserve">Łączna wartość szacunkowa </w:t>
      </w:r>
      <w:r w:rsidRPr="00A34694">
        <w:rPr>
          <w:b/>
          <w:bCs/>
        </w:rPr>
        <w:t>89</w:t>
      </w:r>
      <w:r w:rsidRPr="00A34694">
        <w:t xml:space="preserve"> zamówień objętych kontrolą uprzednią, w których stwierdzono naruszenia wyniosła w roku 2025 - </w:t>
      </w:r>
      <w:r w:rsidRPr="00A34694">
        <w:rPr>
          <w:b/>
          <w:bCs/>
        </w:rPr>
        <w:t xml:space="preserve">15 612 167 752,90 </w:t>
      </w:r>
      <w:r w:rsidRPr="00A34694">
        <w:t>zł.</w:t>
      </w:r>
    </w:p>
    <w:p w14:paraId="389648C5" w14:textId="77777777" w:rsidR="00A34694" w:rsidRPr="00A34694" w:rsidRDefault="00A34694" w:rsidP="00852522">
      <w:pPr>
        <w:pStyle w:val="Nagwek4"/>
      </w:pPr>
      <w:r w:rsidRPr="00A34694">
        <w:t>Stwierdzone w toku kontroli uprzednich naruszenia dotyczyły m.in. przepisów:</w:t>
      </w:r>
    </w:p>
    <w:p w14:paraId="78727365" w14:textId="54570B35"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 xml:space="preserve">art. 18 ust. 1 i 3 ustawy Pzp w zw. z art. 11 ust. 2 ustawy z dnia 16 kwietnia 1993 r. o zwalczaniu nieuczciwej konkurencji </w:t>
      </w:r>
      <w:r w:rsidR="00DC51E2">
        <w:rPr>
          <w:sz w:val="22"/>
          <w:szCs w:val="22"/>
        </w:rPr>
        <w:t xml:space="preserve">(Dz. U. z 2025 r. poz. 85) </w:t>
      </w:r>
      <w:r w:rsidRPr="00DC55B7">
        <w:rPr>
          <w:sz w:val="22"/>
          <w:szCs w:val="22"/>
        </w:rPr>
        <w:t>poprzez zaniechanie odtajnienia wskazanych w uzasadnieniu dokumentów wykonawcy;</w:t>
      </w:r>
    </w:p>
    <w:p w14:paraId="59C1F4FB" w14:textId="4A383A0F"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56 ust. 4 w zw. z art. 56 ust. 3 ustawy Pzp, poprzez zaniechanie złożenia oświadczenia o braku lub istnieniu okoliczności, o których mowa w art. 56 ust. 3 ustawy Pzp;</w:t>
      </w:r>
    </w:p>
    <w:p w14:paraId="00E034CD" w14:textId="1B0E7D07"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56 ust. 4 w zw. z art. 56 ust. 2 ustawy Pzp poprzez brak złożenia oświadczenia przez członka komisji przetargowej;</w:t>
      </w:r>
    </w:p>
    <w:p w14:paraId="34565A5D" w14:textId="0387169F" w:rsidR="00A34694" w:rsidRPr="00DC55B7" w:rsidRDefault="00A34694" w:rsidP="00F47F50">
      <w:pPr>
        <w:pStyle w:val="Akapitzlist"/>
        <w:numPr>
          <w:ilvl w:val="0"/>
          <w:numId w:val="57"/>
        </w:numPr>
        <w:shd w:val="clear" w:color="auto" w:fill="FFFFFF"/>
        <w:spacing w:line="360" w:lineRule="auto"/>
        <w:jc w:val="left"/>
        <w:rPr>
          <w:iCs/>
          <w:sz w:val="22"/>
          <w:szCs w:val="22"/>
        </w:rPr>
      </w:pPr>
      <w:r w:rsidRPr="00DC55B7">
        <w:rPr>
          <w:iCs/>
          <w:sz w:val="22"/>
          <w:szCs w:val="22"/>
        </w:rPr>
        <w:t xml:space="preserve">art. 74 ust. 1 w zw. z art. 74 ust. 2 pkt 1 ustawy Pzp oraz art. 18 ust. 3 ustawy Pzp, poprzez zaniechanie niezwłocznego udostępnienia </w:t>
      </w:r>
      <w:r w:rsidR="005D566B">
        <w:rPr>
          <w:iCs/>
          <w:sz w:val="22"/>
          <w:szCs w:val="22"/>
        </w:rPr>
        <w:t>w</w:t>
      </w:r>
      <w:r w:rsidR="005D566B" w:rsidRPr="00DC55B7">
        <w:rPr>
          <w:iCs/>
          <w:sz w:val="22"/>
          <w:szCs w:val="22"/>
        </w:rPr>
        <w:t xml:space="preserve">ykonawcom </w:t>
      </w:r>
      <w:r w:rsidRPr="00DC55B7">
        <w:rPr>
          <w:iCs/>
          <w:sz w:val="22"/>
          <w:szCs w:val="22"/>
        </w:rPr>
        <w:t>wyjaśnień w</w:t>
      </w:r>
      <w:r w:rsidR="00E17E3B">
        <w:rPr>
          <w:iCs/>
          <w:sz w:val="22"/>
          <w:szCs w:val="22"/>
        </w:rPr>
        <w:t> </w:t>
      </w:r>
      <w:r w:rsidRPr="00DC55B7">
        <w:rPr>
          <w:iCs/>
          <w:sz w:val="22"/>
          <w:szCs w:val="22"/>
        </w:rPr>
        <w:t>przedmiocie rażąco niskiej ceny, jak również zaniechanie odtajnienia treści ww.</w:t>
      </w:r>
      <w:r w:rsidR="00E17E3B">
        <w:rPr>
          <w:iCs/>
          <w:sz w:val="22"/>
          <w:szCs w:val="22"/>
        </w:rPr>
        <w:t> </w:t>
      </w:r>
      <w:r w:rsidRPr="00DC55B7">
        <w:rPr>
          <w:iCs/>
          <w:sz w:val="22"/>
          <w:szCs w:val="22"/>
        </w:rPr>
        <w:t>wyjaśnień wykonawcy;</w:t>
      </w:r>
    </w:p>
    <w:p w14:paraId="6FD57CF9" w14:textId="16AD6579"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74 ust. 2 ustawy Pzp, poprzez zaniechanie dokonania czynności udostępnienia odtajnionej części dokumentacji postępowania;</w:t>
      </w:r>
    </w:p>
    <w:p w14:paraId="6C2843F8" w14:textId="5F040584"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81 ust. 1 ustawy Pzp, poprzez przekazanie Prezesowi Urzędu informacji o</w:t>
      </w:r>
      <w:r w:rsidR="00E17E3B">
        <w:rPr>
          <w:sz w:val="22"/>
          <w:szCs w:val="22"/>
        </w:rPr>
        <w:t> </w:t>
      </w:r>
      <w:r w:rsidRPr="00DC55B7">
        <w:rPr>
          <w:sz w:val="22"/>
          <w:szCs w:val="22"/>
        </w:rPr>
        <w:t>złożonych w postępowaniu wnioskach z niedochowaniem terminu przewidzianego ww. przepisem ustawy;</w:t>
      </w:r>
    </w:p>
    <w:p w14:paraId="5FC46BB7" w14:textId="135C644C"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90 ust. 1 oraz art. 137 ust. 1 ustawy Pzp, poprzez brak dokonania zmiany ogłoszenia o zamówieniu oraz treści specyfikacji warunków zamówienia;</w:t>
      </w:r>
    </w:p>
    <w:p w14:paraId="0D65379B" w14:textId="707B8935"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90 w zw. z art. 124 pkt 1 ustawy Pzp w zw. z § 4 ust. 1 pkt 2 rozporządzenia</w:t>
      </w:r>
      <w:r w:rsidR="001326C5">
        <w:rPr>
          <w:sz w:val="22"/>
          <w:szCs w:val="22"/>
        </w:rPr>
        <w:t xml:space="preserve"> </w:t>
      </w:r>
      <w:proofErr w:type="spellStart"/>
      <w:r w:rsidR="001326C5">
        <w:rPr>
          <w:sz w:val="22"/>
          <w:szCs w:val="22"/>
        </w:rPr>
        <w:t>ws</w:t>
      </w:r>
      <w:proofErr w:type="spellEnd"/>
      <w:r w:rsidR="001326C5">
        <w:rPr>
          <w:sz w:val="22"/>
          <w:szCs w:val="22"/>
        </w:rPr>
        <w:t>. podmiotowych środków dowodowych</w:t>
      </w:r>
      <w:r w:rsidRPr="00DC55B7">
        <w:rPr>
          <w:sz w:val="22"/>
          <w:szCs w:val="22"/>
        </w:rPr>
        <w:t xml:space="preserve">, poprzez zaniechanie zmiany treści ogłoszenia o zamówieniu o informację, że </w:t>
      </w:r>
      <w:r w:rsidR="004346FB">
        <w:rPr>
          <w:sz w:val="22"/>
          <w:szCs w:val="22"/>
        </w:rPr>
        <w:t>z</w:t>
      </w:r>
      <w:r w:rsidR="004346FB" w:rsidRPr="00DC55B7">
        <w:rPr>
          <w:sz w:val="22"/>
          <w:szCs w:val="22"/>
        </w:rPr>
        <w:t xml:space="preserve">amawiający </w:t>
      </w:r>
      <w:r w:rsidRPr="00DC55B7">
        <w:rPr>
          <w:sz w:val="22"/>
          <w:szCs w:val="22"/>
        </w:rPr>
        <w:t xml:space="preserve">będzie żądać od wykonawców mających siedzibę lub miejsce zamieszkania poza granicami Rzeczypospolitej Polskiej również dokumentu wskazanego w § 4 ust. 1 pkt 2 </w:t>
      </w:r>
      <w:r w:rsidR="00624E41">
        <w:rPr>
          <w:sz w:val="22"/>
          <w:szCs w:val="22"/>
        </w:rPr>
        <w:t xml:space="preserve">ww. </w:t>
      </w:r>
      <w:r w:rsidRPr="00DC55B7">
        <w:rPr>
          <w:sz w:val="22"/>
          <w:szCs w:val="22"/>
        </w:rPr>
        <w:t>rozporządzenia;</w:t>
      </w:r>
    </w:p>
    <w:p w14:paraId="7F12ECE7" w14:textId="2ECCD74B"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98 ust. 1 pkt 1 ustawy Pzp, poprzez zaniechanie zwrotu wadium wniesionego przez Konsorcjum w terminie 7 dni od dnia upływu terminu związania ofertą;</w:t>
      </w:r>
    </w:p>
    <w:p w14:paraId="14175195" w14:textId="20B01D36"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124 pkt 1, art. 134 ust. 1 pkt 7 i 9 oraz art. 119 ustawy Pzp, poprzez zaniechanie określenia sposobu weryfikacji spełnienia warunków udziału w postępowaniu oraz podstaw wykluczenia przez podmioty udostępniające potencjał wykonawcy;</w:t>
      </w:r>
    </w:p>
    <w:p w14:paraId="5DA177C0" w14:textId="7CBB5EA5"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124 pkt 1 ustawy Pzp w zw. z § 2 ust. 1 pkt 7 rozporządzenia, poprzez żądanie od wykonawcy oświadczenia o aktualności informacji podanych w oświadczeniu składanym, na podstawie art. 125 ust. 1 ustawy Pzp, w zakresie odnoszącym się do podstaw wykluczenia z postępowania w zakresie szerszym niż przewiduje § 2 ust. 1 pkt 7 rozporządzenia;</w:t>
      </w:r>
    </w:p>
    <w:p w14:paraId="167BEA8D" w14:textId="1A696FBE"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124 oraz art. 128 ust. 6 ustawy Pzp, poprzez żądanie przedstawienia wraz z ofertą dokumentu wykraczającego poza katalog dokumentów, o których mowa w art. 124 oraz art. 128 ust. 6 ustawy Pzp;</w:t>
      </w:r>
    </w:p>
    <w:p w14:paraId="2AE1E8FC" w14:textId="46451F0C"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 xml:space="preserve">art. 124 pkt 1 w zw. z art. 108 ust. 2 ustawy </w:t>
      </w:r>
      <w:r w:rsidR="00DC51E2" w:rsidRPr="00DC55B7">
        <w:rPr>
          <w:sz w:val="22"/>
          <w:szCs w:val="22"/>
        </w:rPr>
        <w:t>P</w:t>
      </w:r>
      <w:r w:rsidR="00DC51E2">
        <w:rPr>
          <w:sz w:val="22"/>
          <w:szCs w:val="22"/>
        </w:rPr>
        <w:t>zp</w:t>
      </w:r>
      <w:r w:rsidR="00DC51E2" w:rsidRPr="00DC55B7">
        <w:rPr>
          <w:sz w:val="22"/>
          <w:szCs w:val="22"/>
        </w:rPr>
        <w:t xml:space="preserve"> </w:t>
      </w:r>
      <w:r w:rsidRPr="00DC55B7">
        <w:rPr>
          <w:sz w:val="22"/>
          <w:szCs w:val="22"/>
        </w:rPr>
        <w:t xml:space="preserve">oraz w zw. z § 2 ust. 1 pkt 3 i § 4 ust. 1 pkt 2 rozporządzenia </w:t>
      </w:r>
      <w:proofErr w:type="spellStart"/>
      <w:r w:rsidR="001326C5">
        <w:rPr>
          <w:sz w:val="22"/>
          <w:szCs w:val="22"/>
        </w:rPr>
        <w:t>ws</w:t>
      </w:r>
      <w:proofErr w:type="spellEnd"/>
      <w:r w:rsidR="001326C5">
        <w:rPr>
          <w:sz w:val="22"/>
          <w:szCs w:val="22"/>
        </w:rPr>
        <w:t>. podmiotowych środków dowodowych</w:t>
      </w:r>
      <w:r w:rsidR="001326C5" w:rsidRPr="00DC55B7">
        <w:rPr>
          <w:sz w:val="22"/>
          <w:szCs w:val="22"/>
        </w:rPr>
        <w:t xml:space="preserve"> </w:t>
      </w:r>
      <w:r w:rsidRPr="00DC55B7">
        <w:rPr>
          <w:sz w:val="22"/>
          <w:szCs w:val="22"/>
        </w:rPr>
        <w:t xml:space="preserve">poprzez zaniechanie wskazania w SWZ pełnego katalogu podmiotowych środków dowodowych, jakich zobowiązany był przewidzieć </w:t>
      </w:r>
      <w:r w:rsidR="00EB7BE5">
        <w:rPr>
          <w:sz w:val="22"/>
          <w:szCs w:val="22"/>
        </w:rPr>
        <w:t>z</w:t>
      </w:r>
      <w:r w:rsidR="00EB7BE5" w:rsidRPr="00DC55B7">
        <w:rPr>
          <w:sz w:val="22"/>
          <w:szCs w:val="22"/>
        </w:rPr>
        <w:t xml:space="preserve">amawiający </w:t>
      </w:r>
      <w:r w:rsidRPr="00DC55B7">
        <w:rPr>
          <w:sz w:val="22"/>
          <w:szCs w:val="22"/>
        </w:rPr>
        <w:t>w SWZ, odstępując przy tym od żądania dokumentu, o którym mowa w</w:t>
      </w:r>
      <w:bookmarkStart w:id="284" w:name="_Hlk211327892"/>
      <w:r w:rsidR="00E17E3B">
        <w:rPr>
          <w:sz w:val="22"/>
          <w:szCs w:val="22"/>
        </w:rPr>
        <w:t> </w:t>
      </w:r>
      <w:r w:rsidRPr="00DC55B7">
        <w:rPr>
          <w:sz w:val="22"/>
          <w:szCs w:val="22"/>
        </w:rPr>
        <w:t xml:space="preserve">§ 2 ust. 1 pkt 3 </w:t>
      </w:r>
      <w:bookmarkEnd w:id="284"/>
      <w:r w:rsidRPr="00DC55B7">
        <w:rPr>
          <w:sz w:val="22"/>
          <w:szCs w:val="22"/>
        </w:rPr>
        <w:t xml:space="preserve">i § 4 ust. 1 pkt 2 </w:t>
      </w:r>
      <w:r w:rsidR="002558A1">
        <w:rPr>
          <w:sz w:val="22"/>
          <w:szCs w:val="22"/>
        </w:rPr>
        <w:t xml:space="preserve">ww. </w:t>
      </w:r>
      <w:r w:rsidRPr="00DC55B7">
        <w:rPr>
          <w:sz w:val="22"/>
          <w:szCs w:val="22"/>
        </w:rPr>
        <w:t>rozporządzenia, zarówno od wykonawców, jak i</w:t>
      </w:r>
      <w:r w:rsidR="00E17E3B">
        <w:rPr>
          <w:sz w:val="22"/>
          <w:szCs w:val="22"/>
        </w:rPr>
        <w:t> </w:t>
      </w:r>
      <w:r w:rsidRPr="00DC55B7">
        <w:rPr>
          <w:sz w:val="22"/>
          <w:szCs w:val="22"/>
        </w:rPr>
        <w:t>podmiotów udostępniających zasoby;</w:t>
      </w:r>
    </w:p>
    <w:p w14:paraId="37B3C325" w14:textId="3470CCB9"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124 pkt 2 ustawy Pzp w zw. z § 8 ust. 1 pkt 1 rozporządzenia</w:t>
      </w:r>
      <w:r w:rsidR="002558A1">
        <w:rPr>
          <w:sz w:val="22"/>
          <w:szCs w:val="22"/>
        </w:rPr>
        <w:t xml:space="preserve"> </w:t>
      </w:r>
      <w:proofErr w:type="spellStart"/>
      <w:r w:rsidR="002558A1">
        <w:rPr>
          <w:sz w:val="22"/>
          <w:szCs w:val="22"/>
        </w:rPr>
        <w:t>ws</w:t>
      </w:r>
      <w:proofErr w:type="spellEnd"/>
      <w:r w:rsidR="002558A1">
        <w:rPr>
          <w:sz w:val="22"/>
          <w:szCs w:val="22"/>
        </w:rPr>
        <w:t>. podmiotowych środków dowodowych</w:t>
      </w:r>
      <w:r w:rsidRPr="00DC55B7">
        <w:rPr>
          <w:sz w:val="22"/>
          <w:szCs w:val="22"/>
        </w:rPr>
        <w:t>, poprzez wymaganie od wykonawców przedstawienia podmiotowego środka dowodowego w</w:t>
      </w:r>
      <w:r w:rsidR="00E17E3B">
        <w:rPr>
          <w:sz w:val="22"/>
          <w:szCs w:val="22"/>
        </w:rPr>
        <w:t> </w:t>
      </w:r>
      <w:r w:rsidRPr="00DC55B7">
        <w:rPr>
          <w:sz w:val="22"/>
          <w:szCs w:val="22"/>
        </w:rPr>
        <w:t>celu potwierdzenia spełniania warunku dotyczącego zdolności finansowej niezgodnie z brzmieniem § 8 ust. 1 pkt 1 ww. rozporządzenia;</w:t>
      </w:r>
    </w:p>
    <w:p w14:paraId="065233BE" w14:textId="64C4F868"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 xml:space="preserve">art. 128 ust. 1 ustawy Pzp poprzez zaniechanie wezwania wykonawcy </w:t>
      </w:r>
      <w:r w:rsidR="002558A1">
        <w:rPr>
          <w:sz w:val="22"/>
          <w:szCs w:val="22"/>
        </w:rPr>
        <w:t>k</w:t>
      </w:r>
      <w:r w:rsidR="002558A1" w:rsidRPr="00DC55B7">
        <w:rPr>
          <w:sz w:val="22"/>
          <w:szCs w:val="22"/>
        </w:rPr>
        <w:t>onsorcjum</w:t>
      </w:r>
      <w:r w:rsidRPr="00DC55B7">
        <w:rPr>
          <w:sz w:val="22"/>
          <w:szCs w:val="22"/>
        </w:rPr>
        <w:t>, na podstawie art. 128 ust. 1 ustawy Pzp, do uzupełnienia dokumentów w postaci informacji z Krajowego Rejestru Karnego, potwierdzającej niekaralność wskazanej osoby w zakresie okoliczności wskazanych w art. 108 ust. 1 pkt 2 ustawy Pzp;</w:t>
      </w:r>
    </w:p>
    <w:p w14:paraId="1A97B693" w14:textId="737AA0F1"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 xml:space="preserve">art. 133 ust. 1 ustawy Pzp, poprzez zaniechanie udostępnienia całości treści SWZ od dnia publikacji ogłoszenia o zamówieniu w </w:t>
      </w:r>
      <w:r w:rsidR="007860FB">
        <w:rPr>
          <w:sz w:val="22"/>
          <w:szCs w:val="22"/>
        </w:rPr>
        <w:t>Dz. Urz. UE</w:t>
      </w:r>
      <w:r w:rsidRPr="00DC55B7">
        <w:rPr>
          <w:sz w:val="22"/>
          <w:szCs w:val="22"/>
        </w:rPr>
        <w:t>;</w:t>
      </w:r>
    </w:p>
    <w:p w14:paraId="4943E1DF" w14:textId="5AC23AC2"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 xml:space="preserve">art. 134 ust. 1 pkt 9 ustawy Pzp oraz art. 124 pkt 1 ustawy Pzp w zw. z § 2 ust. 1 pkt 7 lit. b i c rozporządzenia </w:t>
      </w:r>
      <w:proofErr w:type="spellStart"/>
      <w:r w:rsidR="0097448C">
        <w:rPr>
          <w:sz w:val="22"/>
          <w:szCs w:val="22"/>
        </w:rPr>
        <w:t>ws</w:t>
      </w:r>
      <w:proofErr w:type="spellEnd"/>
      <w:r w:rsidR="0097448C">
        <w:rPr>
          <w:sz w:val="22"/>
          <w:szCs w:val="22"/>
        </w:rPr>
        <w:t>. podmiotowych środków dowodowych</w:t>
      </w:r>
      <w:r w:rsidR="0097448C" w:rsidRPr="00DC55B7" w:rsidDel="0097448C">
        <w:rPr>
          <w:sz w:val="22"/>
          <w:szCs w:val="22"/>
        </w:rPr>
        <w:t xml:space="preserve"> </w:t>
      </w:r>
      <w:r w:rsidRPr="00DC55B7">
        <w:rPr>
          <w:sz w:val="22"/>
          <w:szCs w:val="22"/>
        </w:rPr>
        <w:t>poprzez zaniechanie wskazania w SWZ żądania podmiotowego środka dowodowego na potwierdzenie braku zaistnienia podstawy wykluczenia wskazanej w art. 108 ust. 1 pkt</w:t>
      </w:r>
      <w:r w:rsidR="00326395">
        <w:rPr>
          <w:sz w:val="22"/>
          <w:szCs w:val="22"/>
        </w:rPr>
        <w:t xml:space="preserve"> </w:t>
      </w:r>
      <w:r w:rsidRPr="00DC55B7">
        <w:rPr>
          <w:sz w:val="22"/>
          <w:szCs w:val="22"/>
        </w:rPr>
        <w:t>4 i 5 ustawy Pzp, tj. oświadczenia o którym mowa w § 2 ust. 1 pkt 7</w:t>
      </w:r>
      <w:r w:rsidR="00326395">
        <w:rPr>
          <w:sz w:val="22"/>
          <w:szCs w:val="22"/>
        </w:rPr>
        <w:t xml:space="preserve"> </w:t>
      </w:r>
      <w:r w:rsidRPr="00DC55B7">
        <w:rPr>
          <w:sz w:val="22"/>
          <w:szCs w:val="22"/>
        </w:rPr>
        <w:t xml:space="preserve">lit. b i c </w:t>
      </w:r>
      <w:r w:rsidR="00AC69EA">
        <w:rPr>
          <w:sz w:val="22"/>
          <w:szCs w:val="22"/>
        </w:rPr>
        <w:t xml:space="preserve">ww. </w:t>
      </w:r>
      <w:r w:rsidRPr="00DC55B7">
        <w:rPr>
          <w:sz w:val="22"/>
          <w:szCs w:val="22"/>
        </w:rPr>
        <w:t>rozporządzenia;</w:t>
      </w:r>
    </w:p>
    <w:p w14:paraId="4C3CF1E4" w14:textId="30D2707F"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137 ust. 1 i 4 w zw. z art. 90 ust 1 ustawy Pzp</w:t>
      </w:r>
      <w:r w:rsidR="00326395">
        <w:rPr>
          <w:sz w:val="22"/>
          <w:szCs w:val="22"/>
        </w:rPr>
        <w:t xml:space="preserve"> </w:t>
      </w:r>
      <w:r w:rsidRPr="00DC55B7">
        <w:rPr>
          <w:sz w:val="22"/>
          <w:szCs w:val="22"/>
        </w:rPr>
        <w:t>poprzez brak dokonania ujednolicenia treści SWZ oraz ogłoszenia o zamówieniu w zakresie zapisów dotyczących terminu związania ofertą;</w:t>
      </w:r>
    </w:p>
    <w:p w14:paraId="5918956A" w14:textId="72DCBC3F"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137 ust. 1 ustawy Pzp, poprzez zaniechanie ujednolicenia zapisów Projektu umowy w zakresie podwykonawstwa;</w:t>
      </w:r>
    </w:p>
    <w:p w14:paraId="1F28D854" w14:textId="08F64E2C"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223 ust. 2 pkt 3 ustawy Pzp, poprzez zaniechanie dokonania poprawy innej omyłki w złożonej ofercie (w przypadku przedmiotowego naruszenia sformułowane zostało zalecenie jego usunięcia);</w:t>
      </w:r>
    </w:p>
    <w:p w14:paraId="7CFFD9AA" w14:textId="090268E5" w:rsidR="00A34694" w:rsidRPr="00DC55B7" w:rsidRDefault="00A34694" w:rsidP="00F47F50">
      <w:pPr>
        <w:pStyle w:val="Akapitzlist"/>
        <w:numPr>
          <w:ilvl w:val="0"/>
          <w:numId w:val="57"/>
        </w:numPr>
        <w:shd w:val="clear" w:color="auto" w:fill="FFFFFF"/>
        <w:spacing w:line="360" w:lineRule="auto"/>
        <w:jc w:val="left"/>
        <w:rPr>
          <w:b/>
          <w:sz w:val="22"/>
          <w:szCs w:val="22"/>
        </w:rPr>
      </w:pPr>
      <w:r w:rsidRPr="00DC55B7">
        <w:rPr>
          <w:sz w:val="22"/>
          <w:szCs w:val="22"/>
        </w:rPr>
        <w:t>art. 226 ust. 1 pkt 8 w zw. z</w:t>
      </w:r>
      <w:r w:rsidR="00326395">
        <w:rPr>
          <w:sz w:val="22"/>
          <w:szCs w:val="22"/>
        </w:rPr>
        <w:t xml:space="preserve"> </w:t>
      </w:r>
      <w:r w:rsidRPr="00DC55B7">
        <w:rPr>
          <w:sz w:val="22"/>
          <w:szCs w:val="22"/>
        </w:rPr>
        <w:t>art. 224 ust. 6 ustawy Pzp poprzez zaniechanie odrzucenia ofert wykonawców w zakresie wybranych części i uznanie wyjaśnień złożonych przez tych wykonawców, w zakresie rażąco niskiej ceny, za wystarczające;</w:t>
      </w:r>
      <w:r w:rsidR="00326395">
        <w:rPr>
          <w:b/>
          <w:sz w:val="22"/>
          <w:szCs w:val="22"/>
        </w:rPr>
        <w:t xml:space="preserve"> </w:t>
      </w:r>
    </w:p>
    <w:p w14:paraId="7E4E5613" w14:textId="02CED823" w:rsidR="00A34694" w:rsidRPr="00DC55B7" w:rsidRDefault="00A34694" w:rsidP="00F47F50">
      <w:pPr>
        <w:pStyle w:val="Akapitzlist"/>
        <w:numPr>
          <w:ilvl w:val="0"/>
          <w:numId w:val="57"/>
        </w:numPr>
        <w:shd w:val="clear" w:color="auto" w:fill="FFFFFF"/>
        <w:spacing w:line="360" w:lineRule="auto"/>
        <w:jc w:val="left"/>
        <w:rPr>
          <w:sz w:val="22"/>
          <w:szCs w:val="22"/>
        </w:rPr>
      </w:pPr>
      <w:r w:rsidRPr="00DC55B7">
        <w:rPr>
          <w:sz w:val="22"/>
          <w:szCs w:val="22"/>
        </w:rPr>
        <w:t>art. 252 ust. 2 ustawy Pzp, poprzez zaniechanie wezwania wykonawcy, którego oferta otrzymała najwyższą ocenę, do wyrażenia, w wyznaczonym przez zamawiającego terminie, pisemnej zgody na wybór jego oferty przed przekazaniem informacji o wyniku postępowania.</w:t>
      </w:r>
    </w:p>
    <w:p w14:paraId="4AA7852D" w14:textId="77777777" w:rsidR="00E254AB" w:rsidRPr="00E254AB" w:rsidRDefault="00E254AB" w:rsidP="00852522">
      <w:pPr>
        <w:pStyle w:val="Nagwek4"/>
      </w:pPr>
      <w:r w:rsidRPr="00E254AB">
        <w:t>Wnioski, jakie wypływają z naruszeń stwierdzonych w wyniku przeprowadzonych przez Prezesa Urzędu kontroli uprzednich:</w:t>
      </w:r>
    </w:p>
    <w:p w14:paraId="17ACFD45" w14:textId="2C508DDF" w:rsidR="00E254AB" w:rsidRPr="00E254AB" w:rsidRDefault="00E254AB" w:rsidP="00F47F50">
      <w:pPr>
        <w:pStyle w:val="Akapitzlist"/>
        <w:numPr>
          <w:ilvl w:val="0"/>
          <w:numId w:val="58"/>
        </w:numPr>
        <w:shd w:val="clear" w:color="auto" w:fill="FFFFFF"/>
        <w:spacing w:after="120" w:line="360" w:lineRule="auto"/>
        <w:rPr>
          <w:rFonts w:cs="Arial"/>
          <w:iCs/>
          <w:sz w:val="22"/>
          <w:szCs w:val="22"/>
        </w:rPr>
      </w:pPr>
      <w:r w:rsidRPr="00E254AB">
        <w:rPr>
          <w:rFonts w:cs="Arial"/>
          <w:sz w:val="22"/>
          <w:szCs w:val="22"/>
        </w:rPr>
        <w:t xml:space="preserve">przy ustalaniu zakresu żądanych </w:t>
      </w:r>
      <w:r w:rsidRPr="00E254AB">
        <w:rPr>
          <w:rFonts w:cs="Arial"/>
          <w:iCs/>
          <w:sz w:val="22"/>
          <w:szCs w:val="22"/>
        </w:rPr>
        <w:t>podmiotowych środków dowodowych na podstawie art. 124 pkt 1 ustawy Pzp pełen katalog żądanych dokumentów powinien zostać sformułowany przez zamawiającego już w treści SWZ oraz odnosić się do opisanych warunków udziału w postępowaniu</w:t>
      </w:r>
      <w:r w:rsidR="00326395">
        <w:rPr>
          <w:rFonts w:cs="Arial"/>
          <w:iCs/>
          <w:sz w:val="22"/>
          <w:szCs w:val="22"/>
        </w:rPr>
        <w:t xml:space="preserve"> </w:t>
      </w:r>
      <w:r w:rsidRPr="00E254AB">
        <w:rPr>
          <w:rFonts w:cs="Arial"/>
          <w:b/>
          <w:bCs/>
          <w:iCs/>
          <w:sz w:val="22"/>
          <w:szCs w:val="22"/>
        </w:rPr>
        <w:t>(por. KU/103/25/DKZP, KU/105/25/DKZP, KU/37/25/DKZP, KU/112/25/DKZP, KU/101/25/DKZP, KU/84/25/DKZP</w:t>
      </w:r>
      <w:r w:rsidRPr="00E254AB">
        <w:rPr>
          <w:rFonts w:cs="Arial"/>
          <w:iCs/>
          <w:sz w:val="22"/>
          <w:szCs w:val="22"/>
        </w:rPr>
        <w:t>);</w:t>
      </w:r>
    </w:p>
    <w:p w14:paraId="627D0573" w14:textId="49F9A8C1" w:rsidR="00E254AB" w:rsidRPr="00E254AB" w:rsidRDefault="00E254AB" w:rsidP="00F47F50">
      <w:pPr>
        <w:pStyle w:val="Akapitzlist"/>
        <w:numPr>
          <w:ilvl w:val="0"/>
          <w:numId w:val="58"/>
        </w:numPr>
        <w:shd w:val="clear" w:color="auto" w:fill="FFFFFF"/>
        <w:spacing w:after="120" w:line="360" w:lineRule="auto"/>
        <w:rPr>
          <w:rFonts w:cs="Arial"/>
          <w:iCs/>
          <w:sz w:val="22"/>
          <w:szCs w:val="22"/>
        </w:rPr>
      </w:pPr>
      <w:r w:rsidRPr="00E254AB">
        <w:rPr>
          <w:rFonts w:cs="Arial"/>
          <w:iCs/>
          <w:sz w:val="22"/>
          <w:szCs w:val="22"/>
        </w:rPr>
        <w:t xml:space="preserve">przy badaniu skuteczności zastrzeżenia informacji objętych tajemnicą przedsiębiorstwa na podstawie art. 18 ust. 3 ustawy Pzp warunkiem ograniczenia dostępu do tych informacji jest odpowiednie zachowanie wykonawcy, który musi po pierwsze zastrzec, że informacje te nie mogą być udostępniane, oraz po drugie musi wykazać, że zastrzeżone informacje techniczne, technologiczne, organizacyjne przedsiębiorstwa lub inne informacje posiadające wartość gospodarczą nie są powszechnie znane </w:t>
      </w:r>
      <w:r w:rsidRPr="00E254AB">
        <w:rPr>
          <w:rFonts w:cs="Arial"/>
          <w:b/>
          <w:bCs/>
          <w:iCs/>
          <w:sz w:val="22"/>
          <w:szCs w:val="22"/>
        </w:rPr>
        <w:t>(por. KU/101/25/DKZP, KU/88/25/DKZP, KU/55/25/DKZP)</w:t>
      </w:r>
      <w:r w:rsidRPr="00E254AB">
        <w:rPr>
          <w:rFonts w:cs="Arial"/>
          <w:iCs/>
          <w:sz w:val="22"/>
          <w:szCs w:val="22"/>
        </w:rPr>
        <w:t>;</w:t>
      </w:r>
    </w:p>
    <w:p w14:paraId="7146EE42" w14:textId="6D57DC67" w:rsidR="00E254AB" w:rsidRPr="00E254AB" w:rsidRDefault="00E254AB" w:rsidP="00F47F50">
      <w:pPr>
        <w:pStyle w:val="Akapitzlist"/>
        <w:numPr>
          <w:ilvl w:val="0"/>
          <w:numId w:val="58"/>
        </w:numPr>
        <w:shd w:val="clear" w:color="auto" w:fill="FFFFFF"/>
        <w:spacing w:after="120" w:line="360" w:lineRule="auto"/>
        <w:rPr>
          <w:rFonts w:cs="Arial"/>
          <w:iCs/>
          <w:sz w:val="22"/>
          <w:szCs w:val="22"/>
        </w:rPr>
      </w:pPr>
      <w:r w:rsidRPr="00E254AB">
        <w:rPr>
          <w:rFonts w:cs="Arial"/>
          <w:iCs/>
          <w:sz w:val="22"/>
          <w:szCs w:val="22"/>
        </w:rPr>
        <w:t xml:space="preserve">przy wszczynaniu postępowania zamawiający zobowiązany jest na podstawie </w:t>
      </w:r>
      <w:r w:rsidRPr="00E254AB">
        <w:rPr>
          <w:rFonts w:cs="Arial"/>
          <w:sz w:val="22"/>
          <w:szCs w:val="22"/>
        </w:rPr>
        <w:t>art. 133 ust. 1 ustawy Pzp</w:t>
      </w:r>
      <w:r w:rsidRPr="00E254AB">
        <w:rPr>
          <w:rFonts w:cs="Arial"/>
          <w:iCs/>
          <w:sz w:val="22"/>
          <w:szCs w:val="22"/>
        </w:rPr>
        <w:t xml:space="preserve"> do zapewnienia na stronie internetowej prowadzonego postępowania bezpłatnego, pełnego, bezpośredniego i nieograniczonego dostępu do specyfikacji warunków zamówienia od dnia publikacji ogłoszenia o zamówieniu w</w:t>
      </w:r>
      <w:r w:rsidR="00E17E3B">
        <w:rPr>
          <w:rFonts w:cs="Arial"/>
          <w:iCs/>
          <w:sz w:val="22"/>
          <w:szCs w:val="22"/>
        </w:rPr>
        <w:t> </w:t>
      </w:r>
      <w:r w:rsidRPr="00E254AB">
        <w:rPr>
          <w:rFonts w:cs="Arial"/>
          <w:iCs/>
          <w:sz w:val="22"/>
          <w:szCs w:val="22"/>
        </w:rPr>
        <w:t xml:space="preserve">Dzienniku Urzędowym Unii Europejskiej nie krócej niż do dnia udzielenia zamówienia </w:t>
      </w:r>
      <w:r w:rsidRPr="00E254AB">
        <w:rPr>
          <w:rFonts w:cs="Arial"/>
          <w:b/>
          <w:bCs/>
          <w:iCs/>
          <w:sz w:val="22"/>
          <w:szCs w:val="22"/>
        </w:rPr>
        <w:t>(por. KU/66/25/DKZP, KU/111/24/DKZP)</w:t>
      </w:r>
      <w:r w:rsidRPr="00E254AB">
        <w:rPr>
          <w:rFonts w:cs="Arial"/>
          <w:iCs/>
          <w:sz w:val="22"/>
          <w:szCs w:val="22"/>
        </w:rPr>
        <w:t>;</w:t>
      </w:r>
    </w:p>
    <w:p w14:paraId="492F3FE1" w14:textId="10BD96E2" w:rsidR="00E254AB" w:rsidRPr="00E254AB" w:rsidRDefault="00E254AB" w:rsidP="00F47F50">
      <w:pPr>
        <w:pStyle w:val="Akapitzlist"/>
        <w:numPr>
          <w:ilvl w:val="0"/>
          <w:numId w:val="58"/>
        </w:numPr>
        <w:shd w:val="clear" w:color="auto" w:fill="FFFFFF"/>
        <w:spacing w:after="120" w:line="360" w:lineRule="auto"/>
        <w:rPr>
          <w:rFonts w:cs="Arial"/>
          <w:iCs/>
          <w:sz w:val="22"/>
          <w:szCs w:val="22"/>
        </w:rPr>
      </w:pPr>
      <w:r w:rsidRPr="00E254AB">
        <w:rPr>
          <w:rFonts w:cs="Arial"/>
          <w:iCs/>
          <w:sz w:val="22"/>
          <w:szCs w:val="22"/>
        </w:rPr>
        <w:t xml:space="preserve">dokumentacja, której nie przysługuje status tajemnicy przedsiębiorstwa, powinny być zgodnie z art. 74 ust. 1 w zw. z art. 74 ust. 2 ustawy Pzp udostępniona wykonawcom bez zbędnej zwłoki </w:t>
      </w:r>
      <w:r w:rsidRPr="00E254AB">
        <w:rPr>
          <w:rFonts w:cs="Arial"/>
          <w:b/>
          <w:bCs/>
          <w:iCs/>
          <w:sz w:val="22"/>
          <w:szCs w:val="22"/>
        </w:rPr>
        <w:t>(por. KU/77/25/DKZP, KU/111/24/DKZP);</w:t>
      </w:r>
    </w:p>
    <w:p w14:paraId="34B275C7" w14:textId="19115F70" w:rsidR="00E254AB" w:rsidRPr="00E254AB" w:rsidRDefault="00E254AB" w:rsidP="00F47F50">
      <w:pPr>
        <w:pStyle w:val="Akapitzlist"/>
        <w:numPr>
          <w:ilvl w:val="0"/>
          <w:numId w:val="58"/>
        </w:numPr>
        <w:shd w:val="clear" w:color="auto" w:fill="FFFFFF"/>
        <w:spacing w:after="120" w:line="360" w:lineRule="auto"/>
        <w:rPr>
          <w:rFonts w:cs="Arial"/>
          <w:iCs/>
          <w:sz w:val="22"/>
          <w:szCs w:val="22"/>
        </w:rPr>
      </w:pPr>
      <w:r w:rsidRPr="00E254AB">
        <w:rPr>
          <w:rFonts w:cs="Arial"/>
          <w:iCs/>
          <w:sz w:val="22"/>
          <w:szCs w:val="22"/>
        </w:rPr>
        <w:t xml:space="preserve">w przypadku wystąpienia rozbieżności w SWZ zamawiający zobligowany jest do ich ujednolicenia na podstawie art. 137 ust. 1 ustawy Pzp </w:t>
      </w:r>
      <w:r w:rsidRPr="00E254AB">
        <w:rPr>
          <w:rFonts w:cs="Arial"/>
          <w:b/>
          <w:bCs/>
          <w:iCs/>
          <w:sz w:val="22"/>
          <w:szCs w:val="22"/>
        </w:rPr>
        <w:t>(por. KU/77/24/DKZP, KU/2/25/DKZP, KU/18/25/DKZP)</w:t>
      </w:r>
      <w:r w:rsidRPr="00E254AB">
        <w:rPr>
          <w:rFonts w:cs="Arial"/>
          <w:iCs/>
          <w:sz w:val="22"/>
          <w:szCs w:val="22"/>
        </w:rPr>
        <w:t>;</w:t>
      </w:r>
    </w:p>
    <w:p w14:paraId="3D5D215E" w14:textId="11A68F56" w:rsidR="00E254AB" w:rsidRPr="00E254AB" w:rsidRDefault="00E254AB" w:rsidP="00F47F50">
      <w:pPr>
        <w:pStyle w:val="Akapitzlist"/>
        <w:numPr>
          <w:ilvl w:val="0"/>
          <w:numId w:val="58"/>
        </w:numPr>
        <w:shd w:val="clear" w:color="auto" w:fill="FFFFFF"/>
        <w:spacing w:after="120" w:line="360" w:lineRule="auto"/>
        <w:rPr>
          <w:rFonts w:cs="Arial"/>
          <w:iCs/>
          <w:sz w:val="22"/>
          <w:szCs w:val="22"/>
        </w:rPr>
      </w:pPr>
      <w:r w:rsidRPr="00E254AB">
        <w:rPr>
          <w:rFonts w:cs="Arial"/>
          <w:sz w:val="22"/>
          <w:szCs w:val="22"/>
        </w:rPr>
        <w:t xml:space="preserve">sposób weryfikacji podstaw wykluczenia wobec podmiotów trzecich, o których mowa w 119 ustawy Pzp, a także dokumentów żądanych od tych podmiotów w celu potwierdzenia braku podstaw wykluczenia z udziału w postępowaniu powinien być określony w SWZ </w:t>
      </w:r>
      <w:r w:rsidRPr="00E254AB">
        <w:rPr>
          <w:rFonts w:cs="Arial"/>
          <w:b/>
          <w:bCs/>
          <w:sz w:val="22"/>
          <w:szCs w:val="22"/>
        </w:rPr>
        <w:t xml:space="preserve">(por. </w:t>
      </w:r>
      <w:r w:rsidRPr="00E254AB">
        <w:rPr>
          <w:rFonts w:cs="Arial"/>
          <w:b/>
          <w:bCs/>
          <w:iCs/>
          <w:sz w:val="22"/>
          <w:szCs w:val="22"/>
        </w:rPr>
        <w:t>KU/23/25/DKZP, KU/101/25/DKZP, KU/13/25/DKZP)</w:t>
      </w:r>
      <w:r w:rsidRPr="00E254AB">
        <w:rPr>
          <w:rFonts w:cs="Arial"/>
          <w:iCs/>
          <w:sz w:val="22"/>
          <w:szCs w:val="22"/>
        </w:rPr>
        <w:t>;</w:t>
      </w:r>
    </w:p>
    <w:p w14:paraId="38D5F754" w14:textId="52B9EBCF" w:rsidR="00E254AB" w:rsidRPr="00E254AB" w:rsidRDefault="00E254AB" w:rsidP="00F47F50">
      <w:pPr>
        <w:pStyle w:val="Akapitzlist"/>
        <w:numPr>
          <w:ilvl w:val="0"/>
          <w:numId w:val="58"/>
        </w:numPr>
        <w:shd w:val="clear" w:color="auto" w:fill="FFFFFF"/>
        <w:spacing w:after="120" w:line="360" w:lineRule="auto"/>
        <w:rPr>
          <w:rFonts w:cs="Arial"/>
          <w:iCs/>
          <w:sz w:val="22"/>
          <w:szCs w:val="22"/>
        </w:rPr>
      </w:pPr>
      <w:r w:rsidRPr="00E254AB">
        <w:rPr>
          <w:rFonts w:cs="Arial"/>
          <w:iCs/>
          <w:sz w:val="22"/>
          <w:szCs w:val="22"/>
        </w:rPr>
        <w:t>w sytuacji wystąpienia rozbieżności pomiędzy treścią ogłoszenia o zamówieniu a</w:t>
      </w:r>
      <w:r w:rsidR="00E17E3B">
        <w:rPr>
          <w:rFonts w:cs="Arial"/>
          <w:iCs/>
          <w:sz w:val="22"/>
          <w:szCs w:val="22"/>
        </w:rPr>
        <w:t> </w:t>
      </w:r>
      <w:r w:rsidRPr="00E254AB">
        <w:rPr>
          <w:rFonts w:cs="Arial"/>
          <w:iCs/>
          <w:sz w:val="22"/>
          <w:szCs w:val="22"/>
        </w:rPr>
        <w:t>treścią SWZ, która wprowadza w błąd i mogłaby doprowadzić do złożenia ofert zgodnych z jednym z tych dokumentów, a niezgodnym z drugim zamawiający zobligowany jest do dokonania stosownych modyfikacji na podstawie art. 137 ust. 4 w</w:t>
      </w:r>
      <w:r w:rsidR="00E17E3B">
        <w:rPr>
          <w:rFonts w:cs="Arial"/>
          <w:iCs/>
          <w:sz w:val="22"/>
          <w:szCs w:val="22"/>
        </w:rPr>
        <w:t> </w:t>
      </w:r>
      <w:r w:rsidRPr="00E254AB">
        <w:rPr>
          <w:rFonts w:cs="Arial"/>
          <w:iCs/>
          <w:sz w:val="22"/>
          <w:szCs w:val="22"/>
        </w:rPr>
        <w:t xml:space="preserve">zw. z art. 90 ust 1 ustawy Pzp </w:t>
      </w:r>
      <w:r w:rsidRPr="00E254AB">
        <w:rPr>
          <w:rFonts w:cs="Arial"/>
          <w:b/>
          <w:bCs/>
          <w:sz w:val="22"/>
          <w:szCs w:val="22"/>
        </w:rPr>
        <w:t xml:space="preserve">(por. </w:t>
      </w:r>
      <w:r w:rsidRPr="00E254AB">
        <w:rPr>
          <w:rFonts w:cs="Arial"/>
          <w:b/>
          <w:bCs/>
          <w:iCs/>
          <w:sz w:val="22"/>
          <w:szCs w:val="22"/>
        </w:rPr>
        <w:t>KU/35/25/DKZP)</w:t>
      </w:r>
      <w:r w:rsidRPr="00E254AB">
        <w:rPr>
          <w:rFonts w:cs="Arial"/>
          <w:iCs/>
          <w:sz w:val="22"/>
          <w:szCs w:val="22"/>
        </w:rPr>
        <w:t>.</w:t>
      </w:r>
    </w:p>
    <w:p w14:paraId="72A53C69" w14:textId="684A819F" w:rsidR="003839F1" w:rsidRPr="00185348" w:rsidRDefault="003839F1" w:rsidP="00852522">
      <w:pPr>
        <w:pStyle w:val="Nagwek4"/>
      </w:pPr>
      <w:r>
        <w:t xml:space="preserve">3. </w:t>
      </w:r>
      <w:r w:rsidRPr="00185348">
        <w:t>Zawiadomienia rzeczników dyscypliny finansów publicznych i wyniki tych zawiadomień</w:t>
      </w:r>
    </w:p>
    <w:p w14:paraId="4F940482" w14:textId="646F9A82" w:rsidR="00446C6D" w:rsidRPr="00446C6D" w:rsidRDefault="00446C6D" w:rsidP="00446C6D">
      <w:pPr>
        <w:shd w:val="clear" w:color="auto" w:fill="FFFFFF"/>
        <w:spacing w:before="120" w:line="360" w:lineRule="auto"/>
        <w:jc w:val="left"/>
      </w:pPr>
      <w:r w:rsidRPr="00446C6D">
        <w:t>W przypadku wykrycia w trakcie realizacji czynności kontrolnych lub w toku prowadzonych postępowań wyjaśniających, nieprawidłowości stanowiących naruszenie ustawy z dnia 17</w:t>
      </w:r>
      <w:r w:rsidR="00EC7549">
        <w:t> </w:t>
      </w:r>
      <w:r w:rsidRPr="00446C6D">
        <w:t xml:space="preserve">grudnia 20004 r. o odpowiedzialności za naruszenie dyscypliny finansów publicznych </w:t>
      </w:r>
      <w:r w:rsidR="00F74953">
        <w:t xml:space="preserve">(Dz. U. z 2025 r. oz. 1484) </w:t>
      </w:r>
      <w:r w:rsidRPr="00446C6D">
        <w:t xml:space="preserve">Prezes Urzędu zawiadamiał o stwierdzonym naruszeniu właściwego rzecznika dyscypliny finansów publicznych. Zawiadomienia do rzecznika dyscypliny finansów publicznych skierowano w odniesieniu do </w:t>
      </w:r>
      <w:r w:rsidRPr="00446C6D">
        <w:rPr>
          <w:b/>
          <w:bCs/>
        </w:rPr>
        <w:t>20</w:t>
      </w:r>
      <w:r w:rsidRPr="00446C6D">
        <w:t xml:space="preserve"> spraw objętych w 2025 r. kontrolą doraźną oraz do </w:t>
      </w:r>
      <w:r w:rsidRPr="00446C6D">
        <w:rPr>
          <w:b/>
          <w:bCs/>
        </w:rPr>
        <w:t>1</w:t>
      </w:r>
      <w:r w:rsidRPr="00446C6D">
        <w:t xml:space="preserve"> objętej kontrolą uprzednią.</w:t>
      </w:r>
    </w:p>
    <w:p w14:paraId="009482FB" w14:textId="77777777" w:rsidR="00446C6D" w:rsidRPr="00446C6D" w:rsidRDefault="00446C6D" w:rsidP="00446C6D">
      <w:pPr>
        <w:shd w:val="clear" w:color="auto" w:fill="FFFFFF"/>
        <w:spacing w:before="120" w:line="360" w:lineRule="auto"/>
        <w:jc w:val="left"/>
      </w:pPr>
      <w:r w:rsidRPr="00446C6D">
        <w:t>Zawiadamiano rzecznika o stwierdzeniu naruszeń dyscypliny finansów publicznych polegających na:</w:t>
      </w:r>
    </w:p>
    <w:p w14:paraId="5C718E68" w14:textId="0FAECE7D" w:rsidR="00446C6D" w:rsidRPr="00446C6D" w:rsidRDefault="00446C6D" w:rsidP="00F47F50">
      <w:pPr>
        <w:pStyle w:val="Akapitzlist"/>
        <w:numPr>
          <w:ilvl w:val="0"/>
          <w:numId w:val="59"/>
        </w:numPr>
        <w:shd w:val="clear" w:color="auto" w:fill="FFFFFF"/>
        <w:spacing w:line="360" w:lineRule="auto"/>
        <w:jc w:val="left"/>
        <w:rPr>
          <w:sz w:val="22"/>
          <w:szCs w:val="22"/>
        </w:rPr>
      </w:pPr>
      <w:r w:rsidRPr="00446C6D">
        <w:rPr>
          <w:sz w:val="22"/>
          <w:szCs w:val="22"/>
        </w:rPr>
        <w:t>sformułowaniu nadmiernych, nieproporcjonalnych do przedmiotu zamówienia wymagań, które mogły mieć wpływ na ograniczenie konkurencji (</w:t>
      </w:r>
      <w:r w:rsidRPr="00446C6D">
        <w:rPr>
          <w:b/>
          <w:bCs/>
          <w:sz w:val="22"/>
          <w:szCs w:val="22"/>
        </w:rPr>
        <w:t xml:space="preserve">1 </w:t>
      </w:r>
      <w:r w:rsidRPr="00446C6D">
        <w:rPr>
          <w:sz w:val="22"/>
          <w:szCs w:val="22"/>
        </w:rPr>
        <w:t>zawiadomienie)</w:t>
      </w:r>
      <w:r w:rsidR="00EC7549">
        <w:rPr>
          <w:sz w:val="22"/>
          <w:szCs w:val="22"/>
        </w:rPr>
        <w:t>;</w:t>
      </w:r>
    </w:p>
    <w:p w14:paraId="0B71009B" w14:textId="2FF8CD80" w:rsidR="00446C6D" w:rsidRPr="00446C6D" w:rsidRDefault="00446C6D" w:rsidP="00F47F50">
      <w:pPr>
        <w:pStyle w:val="Akapitzlist"/>
        <w:numPr>
          <w:ilvl w:val="0"/>
          <w:numId w:val="59"/>
        </w:numPr>
        <w:shd w:val="clear" w:color="auto" w:fill="FFFFFF"/>
        <w:spacing w:line="360" w:lineRule="auto"/>
        <w:jc w:val="left"/>
        <w:rPr>
          <w:sz w:val="22"/>
          <w:szCs w:val="22"/>
        </w:rPr>
      </w:pPr>
      <w:r w:rsidRPr="00446C6D">
        <w:rPr>
          <w:sz w:val="22"/>
          <w:szCs w:val="22"/>
        </w:rPr>
        <w:t xml:space="preserve">niezasadnym stosowaniu trybu zamówienia z wolnej ręki </w:t>
      </w:r>
      <w:r w:rsidRPr="00446C6D">
        <w:rPr>
          <w:b/>
          <w:bCs/>
          <w:sz w:val="22"/>
          <w:szCs w:val="22"/>
        </w:rPr>
        <w:t>(3</w:t>
      </w:r>
      <w:r w:rsidRPr="00446C6D">
        <w:rPr>
          <w:sz w:val="22"/>
          <w:szCs w:val="22"/>
        </w:rPr>
        <w:t xml:space="preserve"> zawiadomienia)</w:t>
      </w:r>
      <w:r w:rsidR="00EC7549">
        <w:rPr>
          <w:sz w:val="22"/>
          <w:szCs w:val="22"/>
        </w:rPr>
        <w:t>;</w:t>
      </w:r>
    </w:p>
    <w:p w14:paraId="0930EA91" w14:textId="025CC6C4" w:rsidR="00446C6D" w:rsidRPr="00446C6D" w:rsidRDefault="00446C6D" w:rsidP="00F47F50">
      <w:pPr>
        <w:pStyle w:val="Akapitzlist"/>
        <w:numPr>
          <w:ilvl w:val="0"/>
          <w:numId w:val="59"/>
        </w:numPr>
        <w:shd w:val="clear" w:color="auto" w:fill="FFFFFF"/>
        <w:spacing w:line="360" w:lineRule="auto"/>
        <w:jc w:val="left"/>
        <w:rPr>
          <w:sz w:val="22"/>
          <w:szCs w:val="22"/>
        </w:rPr>
      </w:pPr>
      <w:r w:rsidRPr="00446C6D">
        <w:rPr>
          <w:sz w:val="22"/>
          <w:szCs w:val="22"/>
        </w:rPr>
        <w:t>nieuprawionym odrzuceniu albo zaniechaniu odrzucenia oferty (</w:t>
      </w:r>
      <w:r w:rsidRPr="00446C6D">
        <w:rPr>
          <w:b/>
          <w:bCs/>
          <w:sz w:val="22"/>
          <w:szCs w:val="22"/>
        </w:rPr>
        <w:t>4</w:t>
      </w:r>
      <w:r w:rsidRPr="00446C6D">
        <w:rPr>
          <w:sz w:val="22"/>
          <w:szCs w:val="22"/>
        </w:rPr>
        <w:t xml:space="preserve"> zawiadomienia)</w:t>
      </w:r>
      <w:r w:rsidR="00EC7549">
        <w:rPr>
          <w:sz w:val="22"/>
          <w:szCs w:val="22"/>
        </w:rPr>
        <w:t>;</w:t>
      </w:r>
    </w:p>
    <w:p w14:paraId="34A36F41" w14:textId="4B436355" w:rsidR="00446C6D" w:rsidRPr="00446C6D" w:rsidRDefault="00446C6D" w:rsidP="00F47F50">
      <w:pPr>
        <w:pStyle w:val="Akapitzlist"/>
        <w:numPr>
          <w:ilvl w:val="0"/>
          <w:numId w:val="59"/>
        </w:numPr>
        <w:shd w:val="clear" w:color="auto" w:fill="FFFFFF"/>
        <w:spacing w:line="360" w:lineRule="auto"/>
        <w:jc w:val="left"/>
        <w:rPr>
          <w:sz w:val="22"/>
          <w:szCs w:val="22"/>
        </w:rPr>
      </w:pPr>
      <w:r w:rsidRPr="00446C6D">
        <w:rPr>
          <w:sz w:val="22"/>
          <w:szCs w:val="22"/>
        </w:rPr>
        <w:t xml:space="preserve">zmianie umowy w sprawie zamówienia publicznego z naruszeniem przepisów </w:t>
      </w:r>
      <w:r w:rsidRPr="00446C6D">
        <w:rPr>
          <w:sz w:val="22"/>
          <w:szCs w:val="22"/>
        </w:rPr>
        <w:br/>
        <w:t>o zamówieniach publicznych (</w:t>
      </w:r>
      <w:r w:rsidRPr="00446C6D">
        <w:rPr>
          <w:b/>
          <w:bCs/>
          <w:sz w:val="22"/>
          <w:szCs w:val="22"/>
        </w:rPr>
        <w:t>2</w:t>
      </w:r>
      <w:r w:rsidRPr="00446C6D">
        <w:rPr>
          <w:sz w:val="22"/>
          <w:szCs w:val="22"/>
        </w:rPr>
        <w:t xml:space="preserve"> zawiadomienie)</w:t>
      </w:r>
      <w:r w:rsidR="00EC7549">
        <w:rPr>
          <w:sz w:val="22"/>
          <w:szCs w:val="22"/>
        </w:rPr>
        <w:t>;</w:t>
      </w:r>
    </w:p>
    <w:p w14:paraId="7CEFDB63" w14:textId="766F69BA" w:rsidR="00446C6D" w:rsidRPr="00446C6D" w:rsidRDefault="00446C6D" w:rsidP="00F47F50">
      <w:pPr>
        <w:pStyle w:val="Akapitzlist"/>
        <w:numPr>
          <w:ilvl w:val="0"/>
          <w:numId w:val="59"/>
        </w:numPr>
        <w:shd w:val="clear" w:color="auto" w:fill="FFFFFF"/>
        <w:spacing w:line="360" w:lineRule="auto"/>
        <w:jc w:val="left"/>
        <w:rPr>
          <w:sz w:val="22"/>
          <w:szCs w:val="22"/>
        </w:rPr>
      </w:pPr>
      <w:r w:rsidRPr="00446C6D">
        <w:rPr>
          <w:sz w:val="22"/>
          <w:szCs w:val="22"/>
        </w:rPr>
        <w:t>bezpodstawnym unieważnieniu albo zaniechaniu unieważnienia postępowania o udzielenie zamówienia publicznego z naruszeniem przepisów o zamówieniach publicznych określających przesłanki unieważnienia (</w:t>
      </w:r>
      <w:r w:rsidRPr="00446C6D">
        <w:rPr>
          <w:b/>
          <w:bCs/>
          <w:sz w:val="22"/>
          <w:szCs w:val="22"/>
        </w:rPr>
        <w:t>5</w:t>
      </w:r>
      <w:r w:rsidRPr="00446C6D">
        <w:rPr>
          <w:sz w:val="22"/>
          <w:szCs w:val="22"/>
        </w:rPr>
        <w:t xml:space="preserve"> zawiadomienia)</w:t>
      </w:r>
      <w:r w:rsidR="00EC7549">
        <w:rPr>
          <w:sz w:val="22"/>
          <w:szCs w:val="22"/>
        </w:rPr>
        <w:t>;</w:t>
      </w:r>
    </w:p>
    <w:p w14:paraId="18C06FCF" w14:textId="1C8C8F2A" w:rsidR="00446C6D" w:rsidRPr="00446C6D" w:rsidRDefault="00446C6D" w:rsidP="00F47F50">
      <w:pPr>
        <w:pStyle w:val="Akapitzlist"/>
        <w:numPr>
          <w:ilvl w:val="0"/>
          <w:numId w:val="59"/>
        </w:numPr>
        <w:shd w:val="clear" w:color="auto" w:fill="FFFFFF"/>
        <w:spacing w:line="360" w:lineRule="auto"/>
        <w:jc w:val="left"/>
        <w:rPr>
          <w:sz w:val="22"/>
          <w:szCs w:val="22"/>
        </w:rPr>
      </w:pPr>
      <w:r w:rsidRPr="00446C6D">
        <w:rPr>
          <w:sz w:val="22"/>
          <w:szCs w:val="22"/>
        </w:rPr>
        <w:t>bezpodstawnym udzieleniu zamówienia publicznego z wyłączeniem lub pominięciem przepisów ustawy Pzp (</w:t>
      </w:r>
      <w:r w:rsidRPr="00446C6D">
        <w:rPr>
          <w:b/>
          <w:bCs/>
          <w:sz w:val="22"/>
          <w:szCs w:val="22"/>
        </w:rPr>
        <w:t>2</w:t>
      </w:r>
      <w:r w:rsidRPr="00446C6D">
        <w:rPr>
          <w:sz w:val="22"/>
          <w:szCs w:val="22"/>
        </w:rPr>
        <w:t xml:space="preserve"> zawiadomienia)</w:t>
      </w:r>
      <w:r w:rsidR="00EC7549">
        <w:rPr>
          <w:sz w:val="22"/>
          <w:szCs w:val="22"/>
        </w:rPr>
        <w:t>;</w:t>
      </w:r>
    </w:p>
    <w:p w14:paraId="298E2201" w14:textId="746A19D2" w:rsidR="00446C6D" w:rsidRPr="00446C6D" w:rsidRDefault="00446C6D" w:rsidP="00F47F50">
      <w:pPr>
        <w:pStyle w:val="Akapitzlist"/>
        <w:numPr>
          <w:ilvl w:val="0"/>
          <w:numId w:val="59"/>
        </w:numPr>
        <w:shd w:val="clear" w:color="auto" w:fill="FFFFFF"/>
        <w:spacing w:line="360" w:lineRule="auto"/>
        <w:jc w:val="left"/>
        <w:rPr>
          <w:sz w:val="22"/>
          <w:szCs w:val="22"/>
        </w:rPr>
      </w:pPr>
      <w:r w:rsidRPr="00446C6D">
        <w:rPr>
          <w:sz w:val="22"/>
          <w:szCs w:val="22"/>
        </w:rPr>
        <w:t>przewidzeni</w:t>
      </w:r>
      <w:r w:rsidR="00EC7549">
        <w:rPr>
          <w:sz w:val="22"/>
          <w:szCs w:val="22"/>
        </w:rPr>
        <w:t>u</w:t>
      </w:r>
      <w:r w:rsidRPr="00446C6D">
        <w:rPr>
          <w:sz w:val="22"/>
          <w:szCs w:val="22"/>
        </w:rPr>
        <w:t xml:space="preserve"> w projektowanych postanowieniach umowy możliwości ograniczenia zakresu zamówienia przez zamawiającego bez wskazania minimalnej wartości lub wielkości świadczenia stron (</w:t>
      </w:r>
      <w:r w:rsidRPr="00446C6D">
        <w:rPr>
          <w:b/>
          <w:bCs/>
          <w:sz w:val="22"/>
          <w:szCs w:val="22"/>
        </w:rPr>
        <w:t>1</w:t>
      </w:r>
      <w:r w:rsidRPr="00446C6D">
        <w:rPr>
          <w:sz w:val="22"/>
          <w:szCs w:val="22"/>
        </w:rPr>
        <w:t xml:space="preserve"> zawiadomienie)</w:t>
      </w:r>
      <w:r w:rsidR="00EC7549">
        <w:rPr>
          <w:sz w:val="22"/>
          <w:szCs w:val="22"/>
        </w:rPr>
        <w:t>;</w:t>
      </w:r>
    </w:p>
    <w:p w14:paraId="4CBB56FB" w14:textId="75D73828" w:rsidR="00446C6D" w:rsidRPr="00446C6D" w:rsidRDefault="00446C6D" w:rsidP="00F47F50">
      <w:pPr>
        <w:pStyle w:val="Akapitzlist"/>
        <w:numPr>
          <w:ilvl w:val="0"/>
          <w:numId w:val="59"/>
        </w:numPr>
        <w:shd w:val="clear" w:color="auto" w:fill="FFFFFF"/>
        <w:spacing w:line="360" w:lineRule="auto"/>
        <w:jc w:val="left"/>
        <w:rPr>
          <w:sz w:val="22"/>
          <w:szCs w:val="22"/>
        </w:rPr>
      </w:pPr>
      <w:r w:rsidRPr="00446C6D">
        <w:rPr>
          <w:sz w:val="22"/>
          <w:szCs w:val="22"/>
        </w:rPr>
        <w:t>zaniechani</w:t>
      </w:r>
      <w:r w:rsidR="00EC7549">
        <w:rPr>
          <w:sz w:val="22"/>
          <w:szCs w:val="22"/>
        </w:rPr>
        <w:t>u</w:t>
      </w:r>
      <w:r w:rsidRPr="00446C6D">
        <w:rPr>
          <w:sz w:val="22"/>
          <w:szCs w:val="22"/>
        </w:rPr>
        <w:t xml:space="preserve"> wezwania wykonawców wspólnie ubiegających się o zawarcie umowy ramowej – do uzupełnienia podmiotowego środka dowodowego w postaci wykazu usług (</w:t>
      </w:r>
      <w:r w:rsidRPr="00446C6D">
        <w:rPr>
          <w:b/>
          <w:bCs/>
          <w:sz w:val="22"/>
          <w:szCs w:val="22"/>
        </w:rPr>
        <w:t xml:space="preserve">1 </w:t>
      </w:r>
      <w:r w:rsidRPr="00446C6D">
        <w:rPr>
          <w:sz w:val="22"/>
          <w:szCs w:val="22"/>
        </w:rPr>
        <w:t>zawiadomienie)</w:t>
      </w:r>
      <w:r w:rsidR="00EC7549">
        <w:rPr>
          <w:sz w:val="22"/>
          <w:szCs w:val="22"/>
        </w:rPr>
        <w:t>;</w:t>
      </w:r>
    </w:p>
    <w:p w14:paraId="4A04B420" w14:textId="3401CC98" w:rsidR="00446C6D" w:rsidRPr="00446C6D" w:rsidRDefault="00446C6D" w:rsidP="00F47F50">
      <w:pPr>
        <w:pStyle w:val="Akapitzlist"/>
        <w:numPr>
          <w:ilvl w:val="0"/>
          <w:numId w:val="59"/>
        </w:numPr>
        <w:shd w:val="clear" w:color="auto" w:fill="FFFFFF"/>
        <w:spacing w:line="360" w:lineRule="auto"/>
        <w:jc w:val="left"/>
        <w:rPr>
          <w:sz w:val="22"/>
          <w:szCs w:val="22"/>
        </w:rPr>
      </w:pPr>
      <w:r w:rsidRPr="00446C6D">
        <w:rPr>
          <w:sz w:val="22"/>
          <w:szCs w:val="22"/>
        </w:rPr>
        <w:t>zaniechani</w:t>
      </w:r>
      <w:r w:rsidR="00EC7549">
        <w:rPr>
          <w:sz w:val="22"/>
          <w:szCs w:val="22"/>
        </w:rPr>
        <w:t>u</w:t>
      </w:r>
      <w:r w:rsidRPr="00446C6D">
        <w:rPr>
          <w:sz w:val="22"/>
          <w:szCs w:val="22"/>
        </w:rPr>
        <w:t xml:space="preserve"> czynności unieważnienia wyboru oferty najkorzystniejszej oraz zaniechani</w:t>
      </w:r>
      <w:r w:rsidR="00EC7549">
        <w:rPr>
          <w:sz w:val="22"/>
          <w:szCs w:val="22"/>
        </w:rPr>
        <w:t>u</w:t>
      </w:r>
      <w:r w:rsidRPr="00446C6D">
        <w:rPr>
          <w:sz w:val="22"/>
          <w:szCs w:val="22"/>
        </w:rPr>
        <w:t xml:space="preserve"> wezwania wykonawcy do udzielenia wyjaśnień z powodu niewykazania przez wykonawcę spełniania warunku udziału w postępowaniu (</w:t>
      </w:r>
      <w:r w:rsidRPr="00446C6D">
        <w:rPr>
          <w:b/>
          <w:bCs/>
          <w:sz w:val="22"/>
          <w:szCs w:val="22"/>
        </w:rPr>
        <w:t xml:space="preserve">1 </w:t>
      </w:r>
      <w:r w:rsidRPr="00446C6D">
        <w:rPr>
          <w:sz w:val="22"/>
          <w:szCs w:val="22"/>
        </w:rPr>
        <w:t>zawiadomienie)</w:t>
      </w:r>
      <w:r w:rsidR="00EC7549">
        <w:rPr>
          <w:sz w:val="22"/>
          <w:szCs w:val="22"/>
        </w:rPr>
        <w:t>;</w:t>
      </w:r>
    </w:p>
    <w:p w14:paraId="317EFA68" w14:textId="1BB5739A" w:rsidR="00446C6D" w:rsidRPr="00446C6D" w:rsidRDefault="00446C6D" w:rsidP="00F47F50">
      <w:pPr>
        <w:pStyle w:val="Akapitzlist"/>
        <w:numPr>
          <w:ilvl w:val="0"/>
          <w:numId w:val="59"/>
        </w:numPr>
        <w:shd w:val="clear" w:color="auto" w:fill="FFFFFF"/>
        <w:spacing w:line="360" w:lineRule="auto"/>
        <w:jc w:val="left"/>
        <w:rPr>
          <w:sz w:val="22"/>
          <w:szCs w:val="22"/>
        </w:rPr>
      </w:pPr>
      <w:r w:rsidRPr="00446C6D">
        <w:rPr>
          <w:sz w:val="22"/>
          <w:szCs w:val="22"/>
        </w:rPr>
        <w:t>niezłożeni</w:t>
      </w:r>
      <w:r w:rsidR="00EC7549">
        <w:rPr>
          <w:sz w:val="22"/>
          <w:szCs w:val="22"/>
        </w:rPr>
        <w:t>u</w:t>
      </w:r>
      <w:r w:rsidRPr="00446C6D">
        <w:rPr>
          <w:sz w:val="22"/>
          <w:szCs w:val="22"/>
        </w:rPr>
        <w:t xml:space="preserve"> oświadczenia o istnieniu albo braku istnienia okoliczności, o których mowa w art. 56 ust. 2 ustawy Pzp (</w:t>
      </w:r>
      <w:r w:rsidRPr="00446C6D">
        <w:rPr>
          <w:b/>
          <w:bCs/>
          <w:sz w:val="22"/>
          <w:szCs w:val="22"/>
        </w:rPr>
        <w:t>1</w:t>
      </w:r>
      <w:r w:rsidRPr="00446C6D">
        <w:rPr>
          <w:sz w:val="22"/>
          <w:szCs w:val="22"/>
        </w:rPr>
        <w:t xml:space="preserve"> zawiadomienie).</w:t>
      </w:r>
    </w:p>
    <w:p w14:paraId="4A0FB249" w14:textId="1D271E2D" w:rsidR="00446C6D" w:rsidRDefault="00446C6D" w:rsidP="00446C6D">
      <w:pPr>
        <w:shd w:val="clear" w:color="auto" w:fill="FFFFFF"/>
        <w:spacing w:before="120" w:line="360" w:lineRule="auto"/>
        <w:jc w:val="left"/>
      </w:pPr>
      <w:r w:rsidRPr="00446C6D">
        <w:t xml:space="preserve">W wyniku rozpatrzenia </w:t>
      </w:r>
      <w:r w:rsidRPr="00446C6D">
        <w:rPr>
          <w:b/>
          <w:bCs/>
        </w:rPr>
        <w:t>13</w:t>
      </w:r>
      <w:r w:rsidRPr="00446C6D">
        <w:t xml:space="preserve"> zawiadomień przez rzeczników Prezes Urzędu został poinformowany, iż odnośnie</w:t>
      </w:r>
      <w:r w:rsidR="00EC7549">
        <w:t xml:space="preserve"> do</w:t>
      </w:r>
      <w:r w:rsidRPr="00446C6D">
        <w:t xml:space="preserve"> </w:t>
      </w:r>
      <w:r w:rsidRPr="00446C6D">
        <w:rPr>
          <w:b/>
          <w:bCs/>
        </w:rPr>
        <w:t>11</w:t>
      </w:r>
      <w:r w:rsidRPr="00446C6D">
        <w:t xml:space="preserve"> zawiadomień skierowano wnioski o ukaranie osoby obwinionej do komisji orzekającej. W </w:t>
      </w:r>
      <w:r w:rsidRPr="00446C6D">
        <w:rPr>
          <w:b/>
          <w:bCs/>
        </w:rPr>
        <w:t>3</w:t>
      </w:r>
      <w:r w:rsidRPr="00446C6D">
        <w:t xml:space="preserve"> sprawach rzecznik dyscypliny finansów publicznych odmówił wszczęcia postępowania wyjaśniającego. W zakresie </w:t>
      </w:r>
      <w:r w:rsidRPr="00446C6D">
        <w:rPr>
          <w:b/>
          <w:bCs/>
        </w:rPr>
        <w:t>7</w:t>
      </w:r>
      <w:r w:rsidRPr="00446C6D">
        <w:t xml:space="preserve"> pozostałych zawiadomień rzecznicy nie poinformowali jeszcze Prezesa Urzędu o sposobie załatwienia sprawy.</w:t>
      </w:r>
    </w:p>
    <w:p w14:paraId="5877881A" w14:textId="3159A3F5" w:rsidR="00374C7C" w:rsidRPr="00185348" w:rsidRDefault="00374C7C" w:rsidP="00374C7C">
      <w:pPr>
        <w:pStyle w:val="Nagwek4"/>
      </w:pPr>
      <w:r>
        <w:t xml:space="preserve">4. </w:t>
      </w:r>
      <w:r w:rsidRPr="00374C7C">
        <w:t>Wnioski i rekomendacje w zakresie</w:t>
      </w:r>
      <w:r>
        <w:t xml:space="preserve"> kontroli </w:t>
      </w:r>
      <w:r w:rsidRPr="00374C7C">
        <w:t>udzielania zamówień publicznych</w:t>
      </w:r>
    </w:p>
    <w:p w14:paraId="7F8C7FAF" w14:textId="77777777" w:rsidR="00256CF0" w:rsidRPr="00256CF0" w:rsidRDefault="00256CF0" w:rsidP="00256CF0">
      <w:pPr>
        <w:shd w:val="clear" w:color="auto" w:fill="FFFFFF"/>
        <w:spacing w:before="120" w:line="360" w:lineRule="auto"/>
        <w:jc w:val="left"/>
      </w:pPr>
      <w:r w:rsidRPr="00256CF0">
        <w:t xml:space="preserve">W roku 2025 zaobserwowano istotny wzrost wpływających do Prezesa Urzędu wniosków o kontrolę. W przypadku kontroli doraźnej, w porównaniu z rokiem 2024, wzrost liczby wniosków wyniósł ok. 52%, natomiast w przypadku kontroli uprzednich wzrost ten wyniósł ok. 59%. </w:t>
      </w:r>
    </w:p>
    <w:p w14:paraId="4C0B6638" w14:textId="77777777" w:rsidR="00256CF0" w:rsidRPr="00256CF0" w:rsidRDefault="00256CF0" w:rsidP="00256CF0">
      <w:pPr>
        <w:shd w:val="clear" w:color="auto" w:fill="FFFFFF"/>
        <w:spacing w:before="120" w:line="360" w:lineRule="auto"/>
        <w:jc w:val="left"/>
      </w:pPr>
      <w:r w:rsidRPr="00256CF0">
        <w:t>Najczęstsze naruszenia ustawy Pzp dotyczyły szacowania wartości zamówienia, opisu przedmiotu zamówienia, oceny ofert, niezasadnego unieważniania albo zaniechania unieważnienia postępowania, a także zmian umowy.</w:t>
      </w:r>
    </w:p>
    <w:p w14:paraId="4879C68F" w14:textId="77777777" w:rsidR="00256CF0" w:rsidRPr="00256CF0" w:rsidRDefault="00256CF0" w:rsidP="00256CF0">
      <w:pPr>
        <w:shd w:val="clear" w:color="auto" w:fill="FFFFFF"/>
        <w:spacing w:before="120" w:line="360" w:lineRule="auto"/>
        <w:jc w:val="left"/>
      </w:pPr>
      <w:r w:rsidRPr="00256CF0">
        <w:t>Mając na uwadze rozwój rynku zamówień publicznych oraz potrzeby i oczekiwania uczestników tego rynku planowane jest wprowadzenie do ustawy Pzp regulacji dotyczących kontroli systemowych Prezesa Urzędu.</w:t>
      </w:r>
    </w:p>
    <w:p w14:paraId="02C32B14" w14:textId="77777777" w:rsidR="00256CF0" w:rsidRPr="00256CF0" w:rsidRDefault="00256CF0" w:rsidP="00256CF0">
      <w:pPr>
        <w:shd w:val="clear" w:color="auto" w:fill="FFFFFF"/>
        <w:spacing w:before="120" w:line="360" w:lineRule="auto"/>
        <w:jc w:val="left"/>
      </w:pPr>
      <w:r w:rsidRPr="00256CF0">
        <w:t xml:space="preserve">Celem kontroli systemowych będzie nie tylko identyfikacja naruszeń ustawy Pzp i praktyk zakupowych, które mają negatywne odziaływanie na proces udzielania zamówień publicznych, ale również promowanie praktyk zakupowych zwiększających efektywność procesów zakupowych. Wyniki kontroli zostaną także wykorzystane na potrzeby monitoringu skuteczności realizacji polityki zakupowej państwa. </w:t>
      </w:r>
    </w:p>
    <w:p w14:paraId="14584A8D" w14:textId="77777777" w:rsidR="00256CF0" w:rsidRPr="00256CF0" w:rsidRDefault="00256CF0" w:rsidP="00256CF0">
      <w:pPr>
        <w:shd w:val="clear" w:color="auto" w:fill="FFFFFF"/>
        <w:spacing w:before="120" w:line="360" w:lineRule="auto"/>
        <w:jc w:val="left"/>
      </w:pPr>
      <w:r w:rsidRPr="00256CF0">
        <w:t xml:space="preserve">Kontrole systemowe będą obejmowały kluczowe obszary rynku o charakterze podmiotowym i przedmiotowym, a ich wyniki posłużą do formułowania wniosków </w:t>
      </w:r>
      <w:r w:rsidRPr="00256CF0">
        <w:rPr>
          <w:i/>
          <w:iCs/>
        </w:rPr>
        <w:t xml:space="preserve">de lege </w:t>
      </w:r>
      <w:proofErr w:type="spellStart"/>
      <w:r w:rsidRPr="00256CF0">
        <w:rPr>
          <w:i/>
          <w:iCs/>
        </w:rPr>
        <w:t>ferenda</w:t>
      </w:r>
      <w:proofErr w:type="spellEnd"/>
      <w:r w:rsidRPr="00256CF0">
        <w:t xml:space="preserve"> oraz prowadzenia działań edukacyjno-szkoleniowych. Stworzone zostaną również zdolności analityczne dedykowane bardziej efektywnemu planowaniu kontroli oraz formułowaniu wniosków płynących z wyników kontroli.</w:t>
      </w:r>
    </w:p>
    <w:p w14:paraId="00BD689D" w14:textId="3D115530" w:rsidR="00374C7C" w:rsidRDefault="00256CF0" w:rsidP="00446C6D">
      <w:pPr>
        <w:shd w:val="clear" w:color="auto" w:fill="FFFFFF"/>
        <w:spacing w:before="120" w:line="360" w:lineRule="auto"/>
        <w:jc w:val="left"/>
      </w:pPr>
      <w:r w:rsidRPr="00256CF0">
        <w:t>Prezes Urzędu planuje również wzmacniać współpracę z innymi organami kontroli (m.in. poprzez wspólne prowadzenie kontroli), w tym przede wszystkim z Najwyższą Izbą Kontroli.</w:t>
      </w:r>
    </w:p>
    <w:p w14:paraId="610AA469" w14:textId="6B842561" w:rsidR="002F7077" w:rsidRPr="00CA29C7" w:rsidRDefault="00CC2929" w:rsidP="00270CF3">
      <w:pPr>
        <w:pStyle w:val="Nagwek3"/>
      </w:pPr>
      <w:bookmarkStart w:id="285" w:name="_Toc64451880"/>
      <w:bookmarkStart w:id="286" w:name="_Toc233203303"/>
      <w:r>
        <w:t>I</w:t>
      </w:r>
      <w:r w:rsidR="002F7077" w:rsidRPr="00CA29C7">
        <w:t>II.1.</w:t>
      </w:r>
      <w:r w:rsidR="00743CA3">
        <w:t>3</w:t>
      </w:r>
      <w:r w:rsidR="002F7077" w:rsidRPr="00CA29C7">
        <w:t>. Realizacja zadania przygotowywania i upowszechniania przykładowych wzorów umów w sprawach zamówień publicznych, regulaminów oraz innych dokumentów stosowanych przy udzielaniu zamówień</w:t>
      </w:r>
      <w:bookmarkEnd w:id="285"/>
      <w:bookmarkEnd w:id="286"/>
    </w:p>
    <w:p w14:paraId="34A41078" w14:textId="6854FE3D" w:rsidR="00C02CC4" w:rsidRPr="00C02CC4" w:rsidRDefault="00C02CC4" w:rsidP="00C02CC4">
      <w:pPr>
        <w:shd w:val="clear" w:color="auto" w:fill="FFFFFF"/>
        <w:spacing w:before="120" w:line="360" w:lineRule="auto"/>
        <w:jc w:val="left"/>
      </w:pPr>
      <w:r w:rsidRPr="00C02CC4">
        <w:t xml:space="preserve">Zgodnie z treścią art. 469 pkt 7 ustawy Pzp, Prezes </w:t>
      </w:r>
      <w:r w:rsidR="00F74953" w:rsidRPr="00C02CC4">
        <w:t>U</w:t>
      </w:r>
      <w:r w:rsidR="00F74953">
        <w:t>rzędu</w:t>
      </w:r>
      <w:r w:rsidR="00F74953" w:rsidRPr="00C02CC4">
        <w:t xml:space="preserve"> </w:t>
      </w:r>
      <w:r w:rsidRPr="00C02CC4">
        <w:t>przygotowuje i upowszechnia przykładowe wzory umów w sprawach zamówień publicznych, regulaminów oraz innych dokumentów stosowanych przy udzielaniu zamówień.</w:t>
      </w:r>
    </w:p>
    <w:p w14:paraId="6C86F0E4" w14:textId="77777777" w:rsidR="00C02CC4" w:rsidRPr="00C02CC4" w:rsidRDefault="00C02CC4" w:rsidP="00C02CC4">
      <w:pPr>
        <w:shd w:val="clear" w:color="auto" w:fill="FFFFFF"/>
        <w:spacing w:before="120" w:line="360" w:lineRule="auto"/>
        <w:jc w:val="left"/>
      </w:pPr>
      <w:r w:rsidRPr="00C02CC4">
        <w:t>W roku 2025 r. opracowane zostały różnorodne materiały, których celem było wsparcie uczestników rynku zamówień publicznych w praktycznym stosowaniu przez nich ustawy Pzp.</w:t>
      </w:r>
    </w:p>
    <w:p w14:paraId="0FD45617" w14:textId="77777777" w:rsidR="00C02CC4" w:rsidRPr="00C02CC4" w:rsidRDefault="00C02CC4" w:rsidP="00C02CC4">
      <w:pPr>
        <w:shd w:val="clear" w:color="auto" w:fill="FFFFFF"/>
        <w:spacing w:before="120" w:line="360" w:lineRule="auto"/>
        <w:jc w:val="left"/>
      </w:pPr>
      <w:r w:rsidRPr="00C02CC4">
        <w:t>W roku objętym Sprawozdaniem opublikowano na stronie internetowej Urzędu m.in. materiały pt.:</w:t>
      </w:r>
    </w:p>
    <w:p w14:paraId="2F98813E" w14:textId="2227DB18" w:rsidR="00C02CC4" w:rsidRPr="00C02CC4" w:rsidRDefault="00C02CC4" w:rsidP="00565A93">
      <w:pPr>
        <w:numPr>
          <w:ilvl w:val="0"/>
          <w:numId w:val="13"/>
        </w:numPr>
        <w:shd w:val="clear" w:color="auto" w:fill="FFFFFF"/>
        <w:spacing w:line="360" w:lineRule="auto"/>
        <w:jc w:val="left"/>
      </w:pPr>
      <w:r w:rsidRPr="00C02CC4">
        <w:t>Wytyczne i dobre praktyki dotyczące wstępnych konsultacji rynkowych</w:t>
      </w:r>
      <w:r w:rsidR="000106E5">
        <w:t>;</w:t>
      </w:r>
    </w:p>
    <w:p w14:paraId="08A2FF45" w14:textId="6E0CDECA" w:rsidR="00C02CC4" w:rsidRPr="00C02CC4" w:rsidRDefault="00C02CC4" w:rsidP="00565A93">
      <w:pPr>
        <w:numPr>
          <w:ilvl w:val="0"/>
          <w:numId w:val="13"/>
        </w:numPr>
        <w:shd w:val="clear" w:color="auto" w:fill="FFFFFF"/>
        <w:spacing w:line="360" w:lineRule="auto"/>
        <w:jc w:val="left"/>
      </w:pPr>
      <w:r w:rsidRPr="00C02CC4">
        <w:t>Wytyczne i dobre praktyki dotyczące tzw. zamówień podprogowych</w:t>
      </w:r>
      <w:r w:rsidR="000106E5">
        <w:t>;</w:t>
      </w:r>
    </w:p>
    <w:p w14:paraId="7027A213" w14:textId="7ECBD8A0" w:rsidR="00C02CC4" w:rsidRPr="00C02CC4" w:rsidRDefault="00C02CC4" w:rsidP="00565A93">
      <w:pPr>
        <w:numPr>
          <w:ilvl w:val="0"/>
          <w:numId w:val="13"/>
        </w:numPr>
        <w:shd w:val="clear" w:color="auto" w:fill="FFFFFF"/>
        <w:spacing w:line="360" w:lineRule="auto"/>
        <w:jc w:val="left"/>
      </w:pPr>
      <w:r w:rsidRPr="00C02CC4">
        <w:t>Wybrane klauzule przeglądowe w umowach na usługę dowozu dzieci do szkół</w:t>
      </w:r>
      <w:r w:rsidR="000106E5">
        <w:t>.</w:t>
      </w:r>
    </w:p>
    <w:p w14:paraId="79BB24D0" w14:textId="77777777" w:rsidR="00C02CC4" w:rsidRPr="00C02CC4" w:rsidRDefault="00C02CC4" w:rsidP="00C02CC4">
      <w:pPr>
        <w:shd w:val="clear" w:color="auto" w:fill="FFFFFF"/>
        <w:spacing w:line="360" w:lineRule="auto"/>
        <w:jc w:val="left"/>
      </w:pPr>
      <w:r w:rsidRPr="00C02CC4">
        <w:t>W roku 2025 przygotowano również:</w:t>
      </w:r>
    </w:p>
    <w:p w14:paraId="1E919C9D" w14:textId="6D426C08" w:rsidR="00C02CC4" w:rsidRPr="00C02CC4" w:rsidRDefault="00C02CC4" w:rsidP="00565A93">
      <w:pPr>
        <w:numPr>
          <w:ilvl w:val="0"/>
          <w:numId w:val="14"/>
        </w:numPr>
        <w:shd w:val="clear" w:color="auto" w:fill="FFFFFF"/>
        <w:spacing w:line="360" w:lineRule="auto"/>
        <w:jc w:val="left"/>
      </w:pPr>
      <w:r w:rsidRPr="00C02CC4">
        <w:t>Przykładowe wzory oświadczeń z art. 56 ustawy Pzp</w:t>
      </w:r>
      <w:r w:rsidR="000106E5">
        <w:t>;</w:t>
      </w:r>
    </w:p>
    <w:p w14:paraId="53320634" w14:textId="28375D21" w:rsidR="00C02CC4" w:rsidRPr="00C02CC4" w:rsidRDefault="00C02CC4" w:rsidP="00565A93">
      <w:pPr>
        <w:numPr>
          <w:ilvl w:val="0"/>
          <w:numId w:val="14"/>
        </w:numPr>
        <w:shd w:val="clear" w:color="auto" w:fill="FFFFFF"/>
        <w:spacing w:line="360" w:lineRule="auto"/>
        <w:jc w:val="left"/>
      </w:pPr>
      <w:r w:rsidRPr="00C02CC4">
        <w:t>Przykładowy wzór dokumentu wysyłanego przez zamawiającego w toku</w:t>
      </w:r>
      <w:r w:rsidR="000106E5">
        <w:t>;</w:t>
      </w:r>
      <w:r w:rsidRPr="00C02CC4">
        <w:t xml:space="preserve"> postępowania: wniosek o wyrażenie zgody na wybór oferty po upływie terminu związania ofertą i wniosek o wniosek o przedłużenie terminu związania ofertą.</w:t>
      </w:r>
    </w:p>
    <w:p w14:paraId="4047387B" w14:textId="21526FF2" w:rsidR="00C02CC4" w:rsidRPr="00C02CC4" w:rsidRDefault="00C02CC4" w:rsidP="00B23B44">
      <w:pPr>
        <w:shd w:val="clear" w:color="auto" w:fill="FFFFFF"/>
        <w:spacing w:before="120" w:line="360" w:lineRule="auto"/>
        <w:jc w:val="left"/>
      </w:pPr>
      <w:r w:rsidRPr="00C02CC4">
        <w:t>Warto wskazać, że w roku 2025 r. UZP wraz z Prokuratorią Generalną Rzeczypospolitej Polskiej pracował w ramach grupę roboczej nad przygotowaniem przykładowej umowy o</w:t>
      </w:r>
      <w:r w:rsidR="000106E5">
        <w:t> </w:t>
      </w:r>
      <w:r w:rsidRPr="00C02CC4">
        <w:t>zamówienie publiczne na roboty budowlane. Wzór umowy ma stanowić wsparcie uczestników rynku zamówień publicznych w praktyce udzielania zamówień, będzie zawierał przykładowe zapisy umowy wraz z omówieniem i wskazówkami dotyczącymi praktyki udzielania zamówień na tego typu przedmiot zamówienia. Prace nad dokumentem są w</w:t>
      </w:r>
      <w:r w:rsidR="000106E5">
        <w:t> </w:t>
      </w:r>
      <w:r w:rsidRPr="00C02CC4">
        <w:t xml:space="preserve">toku. </w:t>
      </w:r>
    </w:p>
    <w:p w14:paraId="47AF06E7" w14:textId="6E418186" w:rsidR="006A0F6D" w:rsidRPr="009B6EA9" w:rsidRDefault="006A0F6D" w:rsidP="00270CF3">
      <w:pPr>
        <w:pStyle w:val="Nagwek3"/>
      </w:pPr>
      <w:bookmarkStart w:id="287" w:name="_Toc64451884"/>
      <w:bookmarkStart w:id="288" w:name="_Toc233203304"/>
      <w:r w:rsidRPr="001139D6">
        <w:t>I</w:t>
      </w:r>
      <w:r w:rsidR="00CC2929">
        <w:t>I</w:t>
      </w:r>
      <w:r w:rsidRPr="001139D6">
        <w:t>I.1.</w:t>
      </w:r>
      <w:r w:rsidR="00743CA3">
        <w:t>4</w:t>
      </w:r>
      <w:r w:rsidRPr="001139D6">
        <w:t>. Działalność edukacyjno-informacyjna realizowana przez Urząd, wspierająca uczestników systemu zamówień publicznych</w:t>
      </w:r>
      <w:bookmarkEnd w:id="287"/>
      <w:bookmarkEnd w:id="288"/>
    </w:p>
    <w:p w14:paraId="407A5626" w14:textId="59620140" w:rsidR="00273BC8" w:rsidRDefault="00273BC8" w:rsidP="00EF0996">
      <w:pPr>
        <w:shd w:val="clear" w:color="auto" w:fill="FFFFFF"/>
        <w:spacing w:before="120" w:line="360" w:lineRule="auto"/>
        <w:jc w:val="left"/>
        <w:rPr>
          <w:rFonts w:cs="Arial"/>
          <w:szCs w:val="22"/>
        </w:rPr>
      </w:pPr>
      <w:r>
        <w:rPr>
          <w:rFonts w:cs="Arial"/>
          <w:noProof/>
          <w:szCs w:val="22"/>
        </w:rPr>
        <w:drawing>
          <wp:inline distT="0" distB="0" distL="0" distR="0" wp14:anchorId="1FD6CB05" wp14:editId="3DA11B04">
            <wp:extent cx="5759450" cy="4319905"/>
            <wp:effectExtent l="0" t="0" r="0" b="4445"/>
            <wp:docPr id="472541989" name="Obraz 472541989" descr="Grafika. Działania edukacyjne UZP. Rok 2025" title="Grafika. Działania edukacyjne UZP. Rok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41989" name="Działania edukacyjne 2025.jpg"/>
                    <pic:cNvPicPr/>
                  </pic:nvPicPr>
                  <pic:blipFill>
                    <a:blip r:embed="rId74">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14:paraId="7D88C2D0" w14:textId="77777777" w:rsidR="00273BC8" w:rsidRPr="008A5999" w:rsidRDefault="00273BC8" w:rsidP="00273BC8">
      <w:pPr>
        <w:pStyle w:val="Nagwek4"/>
      </w:pPr>
      <w:r>
        <w:t xml:space="preserve">1. </w:t>
      </w:r>
      <w:r w:rsidRPr="00EF13F2">
        <w:t>Akademia Zakupów Publicznych</w:t>
      </w:r>
    </w:p>
    <w:p w14:paraId="40376298" w14:textId="77E8DBA1" w:rsidR="00EF13F2" w:rsidRPr="00EF13F2" w:rsidRDefault="00084E0F" w:rsidP="00EF0996">
      <w:pPr>
        <w:shd w:val="clear" w:color="auto" w:fill="FFFFFF"/>
        <w:spacing w:before="120" w:line="360" w:lineRule="auto"/>
        <w:jc w:val="left"/>
        <w:rPr>
          <w:rFonts w:cs="Arial"/>
          <w:b/>
          <w:iCs/>
          <w:szCs w:val="22"/>
        </w:rPr>
      </w:pPr>
      <w:r>
        <w:rPr>
          <w:rFonts w:cs="Arial"/>
          <w:noProof/>
          <w:szCs w:val="22"/>
        </w:rPr>
        <w:drawing>
          <wp:anchor distT="0" distB="0" distL="114300" distR="114300" simplePos="0" relativeHeight="251658240" behindDoc="1" locked="0" layoutInCell="1" allowOverlap="1" wp14:anchorId="0082D83C" wp14:editId="225F5370">
            <wp:simplePos x="0" y="0"/>
            <wp:positionH relativeFrom="column">
              <wp:posOffset>3182620</wp:posOffset>
            </wp:positionH>
            <wp:positionV relativeFrom="paragraph">
              <wp:posOffset>25400</wp:posOffset>
            </wp:positionV>
            <wp:extent cx="3178800" cy="1267200"/>
            <wp:effectExtent l="0" t="0" r="0" b="0"/>
            <wp:wrapSquare wrapText="left"/>
            <wp:docPr id="1" name="Obraz 1" descr="Obraz. Logo Akademii Zakupów Publicznych" title="Obraz. Logo Akademii Zakupów Publ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78800" cy="1267200"/>
                    </a:xfrm>
                    <a:prstGeom prst="rect">
                      <a:avLst/>
                    </a:prstGeom>
                    <a:noFill/>
                  </pic:spPr>
                </pic:pic>
              </a:graphicData>
            </a:graphic>
            <wp14:sizeRelH relativeFrom="margin">
              <wp14:pctWidth>0</wp14:pctWidth>
            </wp14:sizeRelH>
            <wp14:sizeRelV relativeFrom="margin">
              <wp14:pctHeight>0</wp14:pctHeight>
            </wp14:sizeRelV>
          </wp:anchor>
        </w:drawing>
      </w:r>
      <w:r w:rsidR="00EF13F2" w:rsidRPr="00EF13F2">
        <w:rPr>
          <w:rFonts w:cs="Arial"/>
          <w:szCs w:val="22"/>
        </w:rPr>
        <w:t>W 2025 roku Urząd Zamówień Publicznych rozpoczął nowy projekt edukacyjny o nazwie Akademia Zakupów Publicznych. Celem projektu jest podniesienie poziomu profesjonalizmu wszystkich uczestników systemu zamówień publicznych.</w:t>
      </w:r>
    </w:p>
    <w:p w14:paraId="27CE258E" w14:textId="189A603A" w:rsidR="00EF13F2" w:rsidRPr="00EF13F2" w:rsidRDefault="00EF13F2" w:rsidP="00EF0996">
      <w:pPr>
        <w:shd w:val="clear" w:color="auto" w:fill="FFFFFF"/>
        <w:spacing w:before="120" w:line="360" w:lineRule="auto"/>
        <w:jc w:val="left"/>
        <w:rPr>
          <w:rFonts w:cs="Arial"/>
          <w:szCs w:val="22"/>
        </w:rPr>
      </w:pPr>
      <w:r w:rsidRPr="00EF13F2">
        <w:rPr>
          <w:rFonts w:cs="Arial"/>
          <w:szCs w:val="22"/>
        </w:rPr>
        <w:t>Akademia Zakupów Publicznych oferowała różnorodne przedsięwzięcia edukacyjne, takie jak szkolenia, materiały i aktywności, mające na celu wzmocnienie wiedzy na temat procesu i</w:t>
      </w:r>
      <w:r w:rsidR="000106E5">
        <w:rPr>
          <w:rFonts w:cs="Arial"/>
          <w:szCs w:val="22"/>
        </w:rPr>
        <w:t> </w:t>
      </w:r>
      <w:r w:rsidRPr="00EF13F2">
        <w:rPr>
          <w:rFonts w:cs="Arial"/>
          <w:szCs w:val="22"/>
        </w:rPr>
        <w:t>praktyki udzielania zamówień publicznych. Urząd starał się dotrzeć z wiedzą do jak największej liczby osób zainteresowanych tematyką zamówień publicznych.</w:t>
      </w:r>
    </w:p>
    <w:p w14:paraId="2A83853D" w14:textId="0828084B" w:rsidR="00EF13F2" w:rsidRPr="00EF13F2" w:rsidRDefault="00EF13F2" w:rsidP="00EF0996">
      <w:pPr>
        <w:shd w:val="clear" w:color="auto" w:fill="FFFFFF"/>
        <w:spacing w:before="120" w:line="360" w:lineRule="auto"/>
        <w:jc w:val="left"/>
        <w:rPr>
          <w:rFonts w:cs="Arial"/>
          <w:szCs w:val="22"/>
        </w:rPr>
      </w:pPr>
      <w:r w:rsidRPr="00EF13F2">
        <w:rPr>
          <w:rFonts w:cs="Arial"/>
          <w:szCs w:val="22"/>
        </w:rPr>
        <w:t>Trzy kluczowe pojęcia, które wyrażają ideę projektu Akademii Zamówień Publicznych, to wiedza, profesjonalizm i efektywność. Wiedza jest zapewniana dzięki ofercie najwyższej jakości szkoleń, materiałów edukacyjnych i wszystkich aktywności adresowanych do uczestników rynku zamówień publicznych. Profesjonalizm to cel w odniesieniu do każdego uczestnika rynku, który ma szansę w ramach Akademii pozyskać możliwie jak najlepszą i</w:t>
      </w:r>
      <w:r w:rsidR="000106E5">
        <w:rPr>
          <w:rFonts w:cs="Arial"/>
          <w:szCs w:val="22"/>
        </w:rPr>
        <w:t> </w:t>
      </w:r>
      <w:r w:rsidRPr="00EF13F2">
        <w:rPr>
          <w:rFonts w:cs="Arial"/>
          <w:szCs w:val="22"/>
        </w:rPr>
        <w:t>najszerszą wiedzę w zakresie realizowanych postępowań i całego procesu zakupowego. Efektywność natomiast będzie konsekwencją systematycznego wzrostu profesjonalizacji kadr zamówieniowych.</w:t>
      </w:r>
    </w:p>
    <w:p w14:paraId="129B4809" w14:textId="5109837F" w:rsidR="00EF13F2" w:rsidRPr="00EF13F2" w:rsidRDefault="00EF13F2" w:rsidP="00EF0996">
      <w:pPr>
        <w:shd w:val="clear" w:color="auto" w:fill="FFFFFF"/>
        <w:spacing w:before="120" w:line="360" w:lineRule="auto"/>
        <w:jc w:val="left"/>
        <w:rPr>
          <w:rFonts w:cs="Arial"/>
          <w:szCs w:val="22"/>
        </w:rPr>
      </w:pPr>
      <w:r w:rsidRPr="00EF13F2">
        <w:rPr>
          <w:rFonts w:cs="Arial"/>
          <w:szCs w:val="22"/>
        </w:rPr>
        <w:t xml:space="preserve">W ramach Akademii Zakupów Publicznych zamówienia traktowane są szerzej niż tylko procedura opisana w ustawie </w:t>
      </w:r>
      <w:r w:rsidR="003D22C4">
        <w:rPr>
          <w:rFonts w:cs="Arial"/>
          <w:szCs w:val="22"/>
        </w:rPr>
        <w:t xml:space="preserve">Pzp </w:t>
      </w:r>
      <w:r w:rsidRPr="00EF13F2">
        <w:rPr>
          <w:rFonts w:cs="Arial"/>
          <w:szCs w:val="22"/>
        </w:rPr>
        <w:t>– są postrzegane jako proces zakupowy, który zaczyna się wcześniej niż publikacja ogłoszenia i kończy</w:t>
      </w:r>
      <w:r w:rsidR="003F5B73">
        <w:rPr>
          <w:rFonts w:cs="Arial"/>
          <w:szCs w:val="22"/>
        </w:rPr>
        <w:t xml:space="preserve"> później niż podpisanie umowy z </w:t>
      </w:r>
      <w:r w:rsidRPr="00EF13F2">
        <w:rPr>
          <w:rFonts w:cs="Arial"/>
          <w:szCs w:val="22"/>
        </w:rPr>
        <w:t>wykonawcą. Z</w:t>
      </w:r>
      <w:r w:rsidR="000106E5">
        <w:rPr>
          <w:rFonts w:cs="Arial"/>
          <w:szCs w:val="22"/>
        </w:rPr>
        <w:t> </w:t>
      </w:r>
      <w:r w:rsidRPr="00EF13F2">
        <w:rPr>
          <w:rFonts w:cs="Arial"/>
          <w:szCs w:val="22"/>
        </w:rPr>
        <w:t xml:space="preserve">tego względu działania w ramach Akademii dotyczyły m.in. kwestii </w:t>
      </w:r>
      <w:proofErr w:type="spellStart"/>
      <w:r w:rsidRPr="00EF13F2">
        <w:rPr>
          <w:rFonts w:cs="Arial"/>
          <w:szCs w:val="22"/>
        </w:rPr>
        <w:t>okołozamówieniowych</w:t>
      </w:r>
      <w:proofErr w:type="spellEnd"/>
      <w:r w:rsidRPr="00EF13F2">
        <w:rPr>
          <w:rFonts w:cs="Arial"/>
          <w:szCs w:val="22"/>
        </w:rPr>
        <w:t>, które mają wpływ na przebieg postępowania.</w:t>
      </w:r>
    </w:p>
    <w:p w14:paraId="6A2730B2" w14:textId="4CDD43A3" w:rsidR="00EF13F2" w:rsidRPr="00EF13F2" w:rsidRDefault="00EF13F2" w:rsidP="00EF0996">
      <w:pPr>
        <w:shd w:val="clear" w:color="auto" w:fill="FFFFFF"/>
        <w:spacing w:before="120" w:line="360" w:lineRule="auto"/>
        <w:jc w:val="left"/>
        <w:rPr>
          <w:rFonts w:cs="Arial"/>
          <w:szCs w:val="22"/>
        </w:rPr>
      </w:pPr>
      <w:r w:rsidRPr="00EF13F2">
        <w:rPr>
          <w:rFonts w:cs="Arial"/>
          <w:szCs w:val="22"/>
        </w:rPr>
        <w:t>Pod egidą Akademii Zakupów Publicznych prowadzone były aktywności w trzech obszarach: działania edukacyjno-szkoleniowe, działania informacyjne i współpraca z rynkiem. Działania edukacyjno-szkoleniowe obejmowały szkolenia stacjonarne i online, konferencje, warsztaty i</w:t>
      </w:r>
      <w:r w:rsidR="000106E5">
        <w:rPr>
          <w:rFonts w:cs="Arial"/>
          <w:szCs w:val="22"/>
        </w:rPr>
        <w:t> </w:t>
      </w:r>
      <w:r w:rsidRPr="00EF13F2">
        <w:rPr>
          <w:rFonts w:cs="Arial"/>
          <w:szCs w:val="22"/>
        </w:rPr>
        <w:t xml:space="preserve">seminaria, a także spotkania dedykowane dla konkretnych grup odbiorców. Działania informacyjne obejmowały przygotowanie materiałów merytorycznych dotyczących wybranych aspektów zamówień publicznych. Częścią Akademii były również podcasty radiowe powstałe we współpracy z Polskim Radiem i Ogólnopolskim Stowarzyszeniem Konsultantów Zamówień Publicznych oraz współtworzenie dodatku do dziennika Rzeczpospolita poświęconego wybranym tematom z obszaru zamówień publicznych. </w:t>
      </w:r>
    </w:p>
    <w:p w14:paraId="7C841C0A" w14:textId="5F7897AF" w:rsidR="00EF13F2" w:rsidRPr="00EF13F2" w:rsidRDefault="00EF13F2" w:rsidP="00EF0996">
      <w:pPr>
        <w:shd w:val="clear" w:color="auto" w:fill="FFFFFF"/>
        <w:spacing w:before="120" w:line="360" w:lineRule="auto"/>
        <w:jc w:val="left"/>
        <w:rPr>
          <w:rFonts w:cs="Arial"/>
          <w:szCs w:val="22"/>
        </w:rPr>
      </w:pPr>
      <w:r w:rsidRPr="00EF13F2">
        <w:rPr>
          <w:rFonts w:cs="Arial"/>
          <w:szCs w:val="22"/>
        </w:rPr>
        <w:t>Aktywność w ram</w:t>
      </w:r>
      <w:r w:rsidR="00495F8E">
        <w:rPr>
          <w:rFonts w:cs="Arial"/>
          <w:szCs w:val="22"/>
        </w:rPr>
        <w:t xml:space="preserve">ach Akademii obejmowała również </w:t>
      </w:r>
      <w:r w:rsidRPr="00EF13F2">
        <w:rPr>
          <w:rFonts w:cs="Arial"/>
          <w:szCs w:val="22"/>
        </w:rPr>
        <w:t xml:space="preserve">współpracę z rynkiem, m.in. poprzez ankietę na temat profesjonalizacji i oczekiwań edukacyjnych uczestników rynku czy wdrażanie europejskich ram kompetencyjnych </w:t>
      </w:r>
      <w:proofErr w:type="spellStart"/>
      <w:r w:rsidRPr="00EF13F2">
        <w:rPr>
          <w:rFonts w:cs="Arial"/>
          <w:szCs w:val="22"/>
        </w:rPr>
        <w:t>ProcurComp</w:t>
      </w:r>
      <w:r w:rsidRPr="00EF13F2">
        <w:rPr>
          <w:rFonts w:cs="Arial"/>
          <w:szCs w:val="22"/>
          <w:vertAlign w:val="superscript"/>
        </w:rPr>
        <w:t>EU</w:t>
      </w:r>
      <w:proofErr w:type="spellEnd"/>
      <w:r w:rsidRPr="00EF13F2">
        <w:rPr>
          <w:rFonts w:cs="Arial"/>
          <w:szCs w:val="22"/>
        </w:rPr>
        <w:t>. Ponadto współpraca ta realizowała się także w ramach patronatów nad wydarzeniami i studiami podyplomowymi.</w:t>
      </w:r>
    </w:p>
    <w:p w14:paraId="7334A3BD" w14:textId="77777777" w:rsidR="00EF13F2" w:rsidRPr="00EF13F2" w:rsidRDefault="00EF13F2" w:rsidP="00EF0996">
      <w:pPr>
        <w:shd w:val="clear" w:color="auto" w:fill="FFFFFF"/>
        <w:spacing w:before="120" w:line="360" w:lineRule="auto"/>
        <w:jc w:val="left"/>
        <w:rPr>
          <w:rFonts w:cs="Arial"/>
          <w:szCs w:val="22"/>
        </w:rPr>
      </w:pPr>
      <w:r w:rsidRPr="00EF13F2">
        <w:rPr>
          <w:rFonts w:cs="Arial"/>
          <w:szCs w:val="22"/>
        </w:rPr>
        <w:t>Zakres tematyczny</w:t>
      </w:r>
      <w:r w:rsidRPr="00EF13F2">
        <w:rPr>
          <w:rFonts w:cs="Arial"/>
          <w:b/>
          <w:bCs/>
          <w:szCs w:val="22"/>
        </w:rPr>
        <w:t xml:space="preserve"> </w:t>
      </w:r>
      <w:r w:rsidRPr="00EF13F2">
        <w:rPr>
          <w:rFonts w:cs="Arial"/>
          <w:szCs w:val="22"/>
        </w:rPr>
        <w:t>przedsięwzięć w ramach Akademii Zakupów Publicznych koncentrował się wokół trzech kluczowych zagadnień. Na pierwszy plan w sposób naturalny wybijało się szczegółowe omówienie poszczególnych elementów procedury przewidzianej w Prawie zamówień publicznych. Ponadto prezentowane były rzeczywiste przykłady zastosowania mechanizmów ustawowych w konkretnych sytuacjach, dzięki czemu uczestnicy mieli okazję poznawać praktyczne aspekty prowadzenia postępowań. Akademia oferowała również kompleksowe wsparcie dla zamawiających poprzez dostarczanie wiedzy na temat procesów oraz umiejętności niezbędnych do skutecznej realizacji zamówień publicznych.</w:t>
      </w:r>
    </w:p>
    <w:p w14:paraId="457A9075" w14:textId="0915ECED" w:rsidR="00EF13F2" w:rsidRPr="00EF13F2" w:rsidRDefault="00EF13F2" w:rsidP="00EF0996">
      <w:pPr>
        <w:shd w:val="clear" w:color="auto" w:fill="FFFFFF"/>
        <w:spacing w:before="120" w:line="360" w:lineRule="auto"/>
        <w:jc w:val="left"/>
        <w:rPr>
          <w:rFonts w:cs="Arial"/>
          <w:szCs w:val="22"/>
        </w:rPr>
      </w:pPr>
      <w:r w:rsidRPr="00EF13F2">
        <w:rPr>
          <w:rFonts w:cs="Arial"/>
          <w:szCs w:val="22"/>
        </w:rPr>
        <w:t xml:space="preserve">Zasadniczą część kadry prowadzącej działania edukacyjne stanowili pracownicy Urzędu Zamówień Publicznych. Dodatkowo w realizowane przedsięwzięcia aktywnie włączali się praktycy z rynku, pokazując jak w praktyce zastosować dostępne w ustawie </w:t>
      </w:r>
      <w:r w:rsidR="003D22C4">
        <w:rPr>
          <w:rFonts w:cs="Arial"/>
          <w:szCs w:val="22"/>
        </w:rPr>
        <w:t xml:space="preserve">Pzp </w:t>
      </w:r>
      <w:r w:rsidRPr="00EF13F2">
        <w:rPr>
          <w:rFonts w:cs="Arial"/>
          <w:szCs w:val="22"/>
        </w:rPr>
        <w:t xml:space="preserve">mechanizmy, a także dzieląc się swoimi kompetencjami w dziedzinach </w:t>
      </w:r>
      <w:proofErr w:type="spellStart"/>
      <w:r w:rsidRPr="00EF13F2">
        <w:rPr>
          <w:rFonts w:cs="Arial"/>
          <w:szCs w:val="22"/>
        </w:rPr>
        <w:t>okołozamówieniowych</w:t>
      </w:r>
      <w:proofErr w:type="spellEnd"/>
      <w:r w:rsidRPr="00EF13F2">
        <w:rPr>
          <w:rFonts w:cs="Arial"/>
          <w:szCs w:val="22"/>
        </w:rPr>
        <w:t>.</w:t>
      </w:r>
    </w:p>
    <w:p w14:paraId="0A04A9A8" w14:textId="77777777" w:rsidR="00EF13F2" w:rsidRPr="00EF13F2" w:rsidRDefault="00EF13F2" w:rsidP="00EF0996">
      <w:pPr>
        <w:shd w:val="clear" w:color="auto" w:fill="FFFFFF"/>
        <w:spacing w:before="120" w:line="360" w:lineRule="auto"/>
        <w:jc w:val="left"/>
        <w:rPr>
          <w:rFonts w:cs="Arial"/>
          <w:szCs w:val="22"/>
        </w:rPr>
      </w:pPr>
      <w:r w:rsidRPr="00EF13F2">
        <w:rPr>
          <w:rFonts w:cs="Arial"/>
          <w:szCs w:val="22"/>
        </w:rPr>
        <w:t>Zapoczątkowana w 2025 roku Akademia Zakupów Publicznych była cennym źródłem wiedzy i miejscem wymiany doświadczeń dla wszystkich zainteresowanych tematyką zamówień publicznych, przyczyniając się do zwiększenia profesjonalizmu i efektywności w tym obszarze.</w:t>
      </w:r>
    </w:p>
    <w:p w14:paraId="00BAF75A" w14:textId="6D49D328" w:rsidR="006A0F6D" w:rsidRPr="008A5999" w:rsidRDefault="00706629" w:rsidP="00852522">
      <w:pPr>
        <w:pStyle w:val="Nagwek4"/>
      </w:pPr>
      <w:r>
        <w:t>2</w:t>
      </w:r>
      <w:r w:rsidR="006A0F6D">
        <w:t xml:space="preserve">. </w:t>
      </w:r>
      <w:r w:rsidRPr="00706629">
        <w:t xml:space="preserve">Realizacja projektu PTFE </w:t>
      </w:r>
      <w:r>
        <w:t>„</w:t>
      </w:r>
      <w:r w:rsidRPr="00706629">
        <w:t>Wsparcie beneficjentów polityki spójności w</w:t>
      </w:r>
      <w:r w:rsidR="000106E5">
        <w:t> </w:t>
      </w:r>
      <w:r w:rsidRPr="00706629">
        <w:t>obszarze zamówień publicznych”</w:t>
      </w:r>
    </w:p>
    <w:p w14:paraId="42D83495" w14:textId="185D7633" w:rsidR="000717F8" w:rsidRDefault="000717F8" w:rsidP="000717F8">
      <w:pPr>
        <w:shd w:val="clear" w:color="auto" w:fill="FFFFFF"/>
        <w:spacing w:line="360" w:lineRule="auto"/>
        <w:rPr>
          <w:rFonts w:cs="Arial"/>
          <w:szCs w:val="22"/>
        </w:rPr>
      </w:pPr>
      <w:r>
        <w:rPr>
          <w:rFonts w:cs="Arial"/>
          <w:noProof/>
          <w:szCs w:val="22"/>
        </w:rPr>
        <w:drawing>
          <wp:inline distT="0" distB="0" distL="0" distR="0" wp14:anchorId="7EB0D2DC" wp14:editId="1751FDD2">
            <wp:extent cx="5799600" cy="583200"/>
            <wp:effectExtent l="0" t="0" r="0" b="7620"/>
            <wp:docPr id="2" name="Obraz 2" descr="Obraz. Loga projektu PTFE „Wsparcie beneficjentów polityki spójności w obszarze zamówień publicznych”" title="Obraz. Loga projektu PTFE „Wsparcie beneficjentów polityki spójności w obszarze zamówień publ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99600" cy="583200"/>
                    </a:xfrm>
                    <a:prstGeom prst="rect">
                      <a:avLst/>
                    </a:prstGeom>
                    <a:noFill/>
                  </pic:spPr>
                </pic:pic>
              </a:graphicData>
            </a:graphic>
          </wp:inline>
        </w:drawing>
      </w:r>
    </w:p>
    <w:p w14:paraId="6258030E" w14:textId="6AADA62C" w:rsidR="009B6623" w:rsidRDefault="00354750" w:rsidP="00EF0996">
      <w:pPr>
        <w:shd w:val="clear" w:color="auto" w:fill="FFFFFF"/>
        <w:spacing w:before="120" w:line="360" w:lineRule="auto"/>
        <w:jc w:val="left"/>
        <w:rPr>
          <w:rFonts w:cs="Arial"/>
          <w:szCs w:val="22"/>
        </w:rPr>
      </w:pPr>
      <w:r w:rsidRPr="00354750">
        <w:rPr>
          <w:rFonts w:cs="Arial"/>
          <w:szCs w:val="22"/>
        </w:rPr>
        <w:t>W 2025 roku Urząd kontynuował realizację projektu „Wsparcie beneficjentów polityki spójności w obszarze zamówień publicznych”, współfinansowanego ze środków UE w</w:t>
      </w:r>
      <w:r w:rsidR="00AD2C0D">
        <w:rPr>
          <w:rFonts w:cs="Arial"/>
          <w:szCs w:val="22"/>
        </w:rPr>
        <w:t> </w:t>
      </w:r>
      <w:r w:rsidRPr="00354750">
        <w:rPr>
          <w:rFonts w:cs="Arial"/>
          <w:szCs w:val="22"/>
        </w:rPr>
        <w:t>ramach Pomocy Technicznej dla Funduszy Europejskich, oś priorytetowa II: Skuteczni beneficjenci. Uczestnikami przedsięwzięć organizowanych w ramach projektu byli przedstawiciele administracji publiczne</w:t>
      </w:r>
      <w:r>
        <w:rPr>
          <w:rFonts w:cs="Arial"/>
          <w:szCs w:val="22"/>
        </w:rPr>
        <w:t xml:space="preserve">j oraz podległych jej organów i </w:t>
      </w:r>
      <w:r w:rsidRPr="00354750">
        <w:rPr>
          <w:rFonts w:cs="Arial"/>
          <w:szCs w:val="22"/>
        </w:rPr>
        <w:t>jednostek organizacyjnych, a także przedstawiciele instytucji kontrolujących udzielanie zamówień.</w:t>
      </w:r>
    </w:p>
    <w:p w14:paraId="39CCB4F2" w14:textId="153ECA1A" w:rsidR="006A0F6D" w:rsidRPr="008A5999" w:rsidRDefault="00944363" w:rsidP="00852522">
      <w:pPr>
        <w:pStyle w:val="Nagwek4"/>
      </w:pPr>
      <w:r>
        <w:t>2</w:t>
      </w:r>
      <w:r w:rsidR="006A0F6D">
        <w:t xml:space="preserve">.1. </w:t>
      </w:r>
      <w:r w:rsidR="006A0F6D" w:rsidRPr="003F5AA0">
        <w:t>Szkolenia online</w:t>
      </w:r>
    </w:p>
    <w:p w14:paraId="527A7426" w14:textId="155346C6" w:rsidR="000717F8" w:rsidRPr="000717F8" w:rsidRDefault="009B78A8" w:rsidP="00EF0996">
      <w:pPr>
        <w:shd w:val="clear" w:color="auto" w:fill="FFFFFF"/>
        <w:spacing w:before="120" w:line="360" w:lineRule="auto"/>
        <w:jc w:val="left"/>
        <w:rPr>
          <w:rFonts w:cs="Arial"/>
          <w:szCs w:val="22"/>
        </w:rPr>
      </w:pPr>
      <w:r w:rsidRPr="001D2BE9">
        <w:rPr>
          <w:rFonts w:cs="Arial"/>
          <w:noProof/>
          <w:szCs w:val="22"/>
        </w:rPr>
        <w:drawing>
          <wp:anchor distT="0" distB="0" distL="114300" distR="114300" simplePos="0" relativeHeight="251659264" behindDoc="0" locked="0" layoutInCell="1" allowOverlap="1" wp14:anchorId="0E27FBB1" wp14:editId="5927E3A6">
            <wp:simplePos x="0" y="0"/>
            <wp:positionH relativeFrom="column">
              <wp:posOffset>2661920</wp:posOffset>
            </wp:positionH>
            <wp:positionV relativeFrom="paragraph">
              <wp:posOffset>23495</wp:posOffset>
            </wp:positionV>
            <wp:extent cx="3657600" cy="1562400"/>
            <wp:effectExtent l="0" t="0" r="0" b="0"/>
            <wp:wrapSquare wrapText="left"/>
            <wp:docPr id="3" name="Obraz 3" descr="Obraz zawierający tekst, komputer, osoba." title="Obraz zawierający tekst, komputer, os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57600" cy="1562400"/>
                    </a:xfrm>
                    <a:prstGeom prst="rect">
                      <a:avLst/>
                    </a:prstGeom>
                  </pic:spPr>
                </pic:pic>
              </a:graphicData>
            </a:graphic>
            <wp14:sizeRelV relativeFrom="margin">
              <wp14:pctHeight>0</wp14:pctHeight>
            </wp14:sizeRelV>
          </wp:anchor>
        </w:drawing>
      </w:r>
      <w:r w:rsidR="000717F8" w:rsidRPr="000717F8">
        <w:rPr>
          <w:rFonts w:cs="Arial"/>
          <w:szCs w:val="22"/>
        </w:rPr>
        <w:t>W ramach projektu „Wsparcie beneficjentów polityki spójności w</w:t>
      </w:r>
      <w:r w:rsidR="00070777">
        <w:rPr>
          <w:rFonts w:cs="Arial"/>
          <w:szCs w:val="22"/>
        </w:rPr>
        <w:t> </w:t>
      </w:r>
      <w:r w:rsidR="000717F8" w:rsidRPr="000717F8">
        <w:rPr>
          <w:rFonts w:cs="Arial"/>
          <w:szCs w:val="22"/>
        </w:rPr>
        <w:t>obszarze zamówień publicznych” odbyło się w 2025 roku 31 szkoleń zrealizowanych w trybie online w</w:t>
      </w:r>
      <w:r w:rsidR="00070777">
        <w:rPr>
          <w:rFonts w:cs="Arial"/>
          <w:szCs w:val="22"/>
        </w:rPr>
        <w:t> </w:t>
      </w:r>
      <w:r w:rsidR="000717F8" w:rsidRPr="000717F8">
        <w:rPr>
          <w:rFonts w:cs="Arial"/>
          <w:szCs w:val="22"/>
        </w:rPr>
        <w:t>następujących terminach:</w:t>
      </w:r>
    </w:p>
    <w:p w14:paraId="3EC6A72D" w14:textId="77777777" w:rsidR="000717F8" w:rsidRPr="000717F8" w:rsidRDefault="000717F8" w:rsidP="00EF0996">
      <w:pPr>
        <w:shd w:val="clear" w:color="auto" w:fill="FFFFFF"/>
        <w:spacing w:before="120" w:line="360" w:lineRule="auto"/>
        <w:jc w:val="left"/>
        <w:rPr>
          <w:rFonts w:cs="Arial"/>
          <w:szCs w:val="22"/>
        </w:rPr>
      </w:pPr>
      <w:r w:rsidRPr="000717F8">
        <w:rPr>
          <w:rFonts w:cs="Arial"/>
          <w:szCs w:val="22"/>
        </w:rPr>
        <w:t>12.02., 26.02., 12.03., 19.03., 26.03., 09.04., 16.04., 23.04., 30.04., 07.05., 14.05., 21.05., 28.05., 04.06., 11.06., 18.06., 25.06., 2.07., 9.07., 28.08., 3.09., 10.09., 17.09., 24.09., 1.10., 8.10., 15.10., 22.10., 29.10., 19.11., 26.11.2025 r.</w:t>
      </w:r>
    </w:p>
    <w:p w14:paraId="66084D3A" w14:textId="77777777" w:rsidR="000717F8" w:rsidRPr="000717F8" w:rsidRDefault="000717F8" w:rsidP="00EF0996">
      <w:pPr>
        <w:shd w:val="clear" w:color="auto" w:fill="FFFFFF"/>
        <w:spacing w:before="120" w:line="360" w:lineRule="auto"/>
        <w:jc w:val="left"/>
        <w:rPr>
          <w:rFonts w:cs="Arial"/>
          <w:szCs w:val="22"/>
        </w:rPr>
      </w:pPr>
      <w:r w:rsidRPr="000717F8">
        <w:rPr>
          <w:rFonts w:cs="Arial"/>
          <w:szCs w:val="22"/>
        </w:rPr>
        <w:t>Program szkoleń obejmował następujące zagadnienia:</w:t>
      </w:r>
    </w:p>
    <w:p w14:paraId="678788C7"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Analiza potrzeb i wymagań</w:t>
      </w:r>
    </w:p>
    <w:p w14:paraId="55972AE9"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 xml:space="preserve">Wstępne konsultacje rynkowe </w:t>
      </w:r>
    </w:p>
    <w:p w14:paraId="235606B6"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Przygotowanie postępowania o udzielenie zamówienia</w:t>
      </w:r>
    </w:p>
    <w:p w14:paraId="364C3455"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Tryby udzielenia zamówienia</w:t>
      </w:r>
    </w:p>
    <w:p w14:paraId="24806DE8"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Opis przedmiotu zamówienia – wybrane zagadnienia</w:t>
      </w:r>
    </w:p>
    <w:p w14:paraId="6E052CA1"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Kwalifikacja wykonawców w postępowaniu o udzielenie zamówienia</w:t>
      </w:r>
    </w:p>
    <w:p w14:paraId="578E040A"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 xml:space="preserve">Wykonawcy z państw trzecich </w:t>
      </w:r>
    </w:p>
    <w:p w14:paraId="7E3DCEAB"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Kryteria oceny ofert</w:t>
      </w:r>
    </w:p>
    <w:p w14:paraId="242E6A90"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Ocena ofert i wybór oferty najkorzystniejszej</w:t>
      </w:r>
    </w:p>
    <w:p w14:paraId="23BAD448"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 xml:space="preserve">Rażąco niska cena </w:t>
      </w:r>
    </w:p>
    <w:p w14:paraId="516E89F3"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Umowy w sprawie zamówień publicznych</w:t>
      </w:r>
    </w:p>
    <w:p w14:paraId="18AF072C"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Zielone zamówienia publiczne</w:t>
      </w:r>
    </w:p>
    <w:p w14:paraId="0DB2D8F0"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Społeczne zamówienia publiczne</w:t>
      </w:r>
    </w:p>
    <w:p w14:paraId="21391A46"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 xml:space="preserve">Prowadzenie postępowania na platformie </w:t>
      </w:r>
      <w:proofErr w:type="spellStart"/>
      <w:r w:rsidRPr="000717F8">
        <w:rPr>
          <w:rFonts w:cs="Arial"/>
          <w:szCs w:val="22"/>
        </w:rPr>
        <w:t>eZamówienia</w:t>
      </w:r>
      <w:proofErr w:type="spellEnd"/>
      <w:r w:rsidRPr="000717F8">
        <w:rPr>
          <w:rFonts w:cs="Arial"/>
          <w:szCs w:val="22"/>
        </w:rPr>
        <w:t xml:space="preserve">, zagadnienia dotyczące </w:t>
      </w:r>
      <w:proofErr w:type="spellStart"/>
      <w:r w:rsidRPr="000717F8">
        <w:rPr>
          <w:rFonts w:cs="Arial"/>
          <w:szCs w:val="22"/>
        </w:rPr>
        <w:t>eForms</w:t>
      </w:r>
      <w:proofErr w:type="spellEnd"/>
    </w:p>
    <w:p w14:paraId="26B1B3EB"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Kontrola zarządcza w zamówieniach publicznych</w:t>
      </w:r>
    </w:p>
    <w:p w14:paraId="0A4FF29A"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Udzielanie zamówienia w trybie z wolnej ręki</w:t>
      </w:r>
    </w:p>
    <w:p w14:paraId="381AA236"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Nieprawidłowości w udzielaniu zamówień publicznych najczęściej identyfikowane w wyniku kontroli przeprowadzanych przez Prezesa UZP</w:t>
      </w:r>
    </w:p>
    <w:p w14:paraId="70CDC828"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 xml:space="preserve">Zamówienia </w:t>
      </w:r>
      <w:proofErr w:type="spellStart"/>
      <w:r w:rsidRPr="000717F8">
        <w:rPr>
          <w:rFonts w:cs="Arial"/>
          <w:szCs w:val="22"/>
        </w:rPr>
        <w:t>przedkomercyjne</w:t>
      </w:r>
      <w:proofErr w:type="spellEnd"/>
      <w:r w:rsidRPr="000717F8">
        <w:rPr>
          <w:rFonts w:cs="Arial"/>
          <w:szCs w:val="22"/>
        </w:rPr>
        <w:t xml:space="preserve"> (PCP) i partnerstwo innowacyjne</w:t>
      </w:r>
    </w:p>
    <w:p w14:paraId="21849EDE"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Zarządzanie projektami; zarządzanie ryzykiem projektu</w:t>
      </w:r>
    </w:p>
    <w:p w14:paraId="77CF79B2"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Zarządzanie procesami</w:t>
      </w:r>
    </w:p>
    <w:p w14:paraId="6D7C93B4"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Budżetowanie i controling projektów</w:t>
      </w:r>
    </w:p>
    <w:p w14:paraId="5F3B4BE9"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Zarządzanie zaangażowaniem interesariuszy</w:t>
      </w:r>
    </w:p>
    <w:p w14:paraId="00DC1CAA" w14:textId="77777777" w:rsidR="000717F8" w:rsidRPr="000717F8" w:rsidRDefault="000717F8" w:rsidP="00070777">
      <w:pPr>
        <w:numPr>
          <w:ilvl w:val="0"/>
          <w:numId w:val="2"/>
        </w:numPr>
        <w:shd w:val="clear" w:color="auto" w:fill="FFFFFF"/>
        <w:tabs>
          <w:tab w:val="left" w:pos="851"/>
        </w:tabs>
        <w:spacing w:line="360" w:lineRule="auto"/>
        <w:ind w:left="851" w:hanging="425"/>
        <w:jc w:val="left"/>
        <w:rPr>
          <w:rFonts w:cs="Arial"/>
          <w:szCs w:val="22"/>
        </w:rPr>
      </w:pPr>
      <w:r w:rsidRPr="000717F8">
        <w:rPr>
          <w:rFonts w:cs="Arial"/>
          <w:szCs w:val="22"/>
        </w:rPr>
        <w:t>Prawo własności intelektualnej w zamówieniach publicznych</w:t>
      </w:r>
    </w:p>
    <w:p w14:paraId="65ADC768" w14:textId="1B0FB055" w:rsidR="006A0F6D" w:rsidRPr="008A5999" w:rsidRDefault="00C50B50" w:rsidP="00852522">
      <w:pPr>
        <w:pStyle w:val="Nagwek4"/>
      </w:pPr>
      <w:r>
        <w:t>2</w:t>
      </w:r>
      <w:r w:rsidR="006A0F6D">
        <w:t xml:space="preserve">.2. </w:t>
      </w:r>
      <w:r w:rsidR="006A0F6D" w:rsidRPr="007466A9">
        <w:t>Przedsięwzięcia w formie stacjonarnej</w:t>
      </w:r>
    </w:p>
    <w:p w14:paraId="2146C388" w14:textId="72CF273A" w:rsidR="009B6623" w:rsidRDefault="00C50B50" w:rsidP="00EF0996">
      <w:pPr>
        <w:shd w:val="clear" w:color="auto" w:fill="FFFFFF"/>
        <w:spacing w:before="120" w:line="360" w:lineRule="auto"/>
        <w:jc w:val="left"/>
        <w:rPr>
          <w:rFonts w:cs="Arial"/>
          <w:szCs w:val="22"/>
        </w:rPr>
      </w:pPr>
      <w:r w:rsidRPr="00C50B50">
        <w:rPr>
          <w:rFonts w:cs="Arial"/>
          <w:szCs w:val="22"/>
        </w:rPr>
        <w:t>W ramach projektu „Wsparcie beneficjentów polityki spójności w obszarze zamówień publicznych” odbyło się kilka przedsięwzięć w formie stacjonarnej.</w:t>
      </w:r>
    </w:p>
    <w:p w14:paraId="5E85D4C5" w14:textId="7C55A2D8" w:rsidR="00FF199F" w:rsidRPr="00292EE8" w:rsidRDefault="00FF199F" w:rsidP="00852522">
      <w:pPr>
        <w:pStyle w:val="Nagwek4"/>
      </w:pPr>
      <w:r>
        <w:t xml:space="preserve">2.2.1. </w:t>
      </w:r>
      <w:r w:rsidRPr="00FF199F">
        <w:t>Cykl konferencji „</w:t>
      </w:r>
      <w:proofErr w:type="spellStart"/>
      <w:r w:rsidRPr="00FF199F">
        <w:t>Cyberbezpieczeństwo</w:t>
      </w:r>
      <w:proofErr w:type="spellEnd"/>
      <w:r w:rsidRPr="00FF199F">
        <w:t xml:space="preserve"> w zamówieniach publicznych”</w:t>
      </w:r>
    </w:p>
    <w:p w14:paraId="404CE74A" w14:textId="002581E7" w:rsidR="00FF199F" w:rsidRPr="00FF199F" w:rsidRDefault="00FF199F" w:rsidP="00EF0996">
      <w:pPr>
        <w:shd w:val="clear" w:color="auto" w:fill="FFFFFF"/>
        <w:spacing w:before="120" w:line="360" w:lineRule="auto"/>
        <w:jc w:val="left"/>
        <w:rPr>
          <w:rFonts w:cs="Arial"/>
          <w:szCs w:val="22"/>
        </w:rPr>
      </w:pPr>
      <w:r w:rsidRPr="00FF199F">
        <w:rPr>
          <w:rFonts w:cs="Arial"/>
          <w:szCs w:val="22"/>
        </w:rPr>
        <w:t xml:space="preserve">Istotnym obszarem, którego waga w kontekście edukacji uczestników systemu zamówień publicznych została dostrzeżona i właściwie potraktowana, było w 2025 roku </w:t>
      </w:r>
      <w:proofErr w:type="spellStart"/>
      <w:r w:rsidRPr="00FF199F">
        <w:rPr>
          <w:rFonts w:cs="Arial"/>
          <w:szCs w:val="22"/>
        </w:rPr>
        <w:t>cyberbezpieczeństwo</w:t>
      </w:r>
      <w:proofErr w:type="spellEnd"/>
      <w:r w:rsidRPr="00FF199F">
        <w:rPr>
          <w:rFonts w:cs="Arial"/>
          <w:szCs w:val="22"/>
        </w:rPr>
        <w:t xml:space="preserve">. Urząd Zamówień Publicznych zorganizował cykl trzech konferencji na ten temat. </w:t>
      </w:r>
    </w:p>
    <w:p w14:paraId="6151DA26" w14:textId="0AB519C8" w:rsidR="00FF199F" w:rsidRPr="00FF199F" w:rsidRDefault="00FF199F" w:rsidP="00EF0996">
      <w:pPr>
        <w:shd w:val="clear" w:color="auto" w:fill="FFFFFF"/>
        <w:spacing w:before="120" w:line="360" w:lineRule="auto"/>
        <w:jc w:val="left"/>
        <w:rPr>
          <w:rFonts w:cs="Arial"/>
          <w:szCs w:val="22"/>
        </w:rPr>
      </w:pPr>
      <w:r w:rsidRPr="00FF199F">
        <w:rPr>
          <w:rFonts w:cs="Arial"/>
          <w:szCs w:val="22"/>
        </w:rPr>
        <w:t xml:space="preserve">Dwie z nich odbyły się </w:t>
      </w:r>
      <w:r w:rsidRPr="00FF199F">
        <w:rPr>
          <w:rFonts w:cs="Arial"/>
          <w:b/>
          <w:bCs/>
          <w:szCs w:val="22"/>
        </w:rPr>
        <w:t>w Warszawie</w:t>
      </w:r>
      <w:r w:rsidRPr="00FF199F">
        <w:rPr>
          <w:rFonts w:cs="Arial"/>
          <w:szCs w:val="22"/>
        </w:rPr>
        <w:t xml:space="preserve"> we współpracy z Ministerstwem Sprawiedliwości </w:t>
      </w:r>
      <w:r w:rsidRPr="00FF199F">
        <w:rPr>
          <w:rFonts w:cs="Arial"/>
          <w:b/>
          <w:bCs/>
          <w:szCs w:val="22"/>
        </w:rPr>
        <w:t xml:space="preserve">3.04. </w:t>
      </w:r>
      <w:r w:rsidRPr="00070777">
        <w:rPr>
          <w:rFonts w:cs="Arial"/>
          <w:szCs w:val="22"/>
        </w:rPr>
        <w:t>i</w:t>
      </w:r>
      <w:r w:rsidR="00070777" w:rsidRPr="00070777">
        <w:rPr>
          <w:rFonts w:cs="Arial"/>
          <w:szCs w:val="22"/>
        </w:rPr>
        <w:t> </w:t>
      </w:r>
      <w:r w:rsidRPr="00FF199F">
        <w:rPr>
          <w:rFonts w:cs="Arial"/>
          <w:b/>
          <w:bCs/>
          <w:szCs w:val="22"/>
        </w:rPr>
        <w:t>12.09.2025</w:t>
      </w:r>
      <w:r w:rsidR="00070777">
        <w:rPr>
          <w:rFonts w:cs="Arial"/>
          <w:b/>
          <w:bCs/>
          <w:szCs w:val="22"/>
        </w:rPr>
        <w:t> </w:t>
      </w:r>
      <w:r w:rsidRPr="00FF199F">
        <w:rPr>
          <w:rFonts w:cs="Arial"/>
          <w:b/>
          <w:bCs/>
          <w:szCs w:val="22"/>
        </w:rPr>
        <w:t xml:space="preserve">r. </w:t>
      </w:r>
      <w:r w:rsidRPr="00FF199F">
        <w:rPr>
          <w:rFonts w:cs="Arial"/>
          <w:szCs w:val="22"/>
        </w:rPr>
        <w:t>Podczas pierwszej z nich otoczenie prawne związane z zamówieniami publicznymi w obszarze </w:t>
      </w:r>
      <w:proofErr w:type="spellStart"/>
      <w:r w:rsidRPr="00FF199F">
        <w:rPr>
          <w:rFonts w:cs="Arial"/>
          <w:szCs w:val="22"/>
        </w:rPr>
        <w:t>cyberbezpieczeństwa</w:t>
      </w:r>
      <w:proofErr w:type="spellEnd"/>
      <w:r w:rsidRPr="00FF199F">
        <w:rPr>
          <w:rFonts w:cs="Arial"/>
          <w:szCs w:val="22"/>
        </w:rPr>
        <w:t> nakreślił Przemysław Grosfeld, Wiceprezes Urzędu Zamówień Publicznych</w:t>
      </w:r>
      <w:r w:rsidR="00151F62">
        <w:rPr>
          <w:rFonts w:cs="Arial"/>
          <w:szCs w:val="22"/>
        </w:rPr>
        <w:t>, zwany dalej „Wiceprezesem Urzędu”</w:t>
      </w:r>
      <w:r w:rsidRPr="00FF199F">
        <w:rPr>
          <w:rFonts w:cs="Arial"/>
          <w:szCs w:val="22"/>
        </w:rPr>
        <w:t xml:space="preserve">. Aktualne trendy rozwoju cyberprzestępczości zaprezentował Adam </w:t>
      </w:r>
      <w:proofErr w:type="spellStart"/>
      <w:r w:rsidRPr="00FF199F">
        <w:rPr>
          <w:rFonts w:cs="Arial"/>
          <w:szCs w:val="22"/>
        </w:rPr>
        <w:t>Klawikowski</w:t>
      </w:r>
      <w:proofErr w:type="spellEnd"/>
      <w:r w:rsidRPr="00FF199F">
        <w:rPr>
          <w:rFonts w:cs="Arial"/>
          <w:szCs w:val="22"/>
        </w:rPr>
        <w:t>, prokurator z Departamentu do Spraw Cyberprzestępczości i</w:t>
      </w:r>
      <w:r w:rsidR="00070777">
        <w:rPr>
          <w:rFonts w:cs="Arial"/>
          <w:szCs w:val="22"/>
        </w:rPr>
        <w:t> </w:t>
      </w:r>
      <w:r w:rsidRPr="00FF199F">
        <w:rPr>
          <w:rFonts w:cs="Arial"/>
          <w:szCs w:val="22"/>
        </w:rPr>
        <w:t xml:space="preserve">Informatyzacji Prokuratury Krajowej. Zabezpieczenie łańcucha dostaw w zamówieniach publicznych w świetle polskich i unijnych regulacji prawnych dotyczących </w:t>
      </w:r>
      <w:proofErr w:type="spellStart"/>
      <w:r w:rsidRPr="00FF199F">
        <w:rPr>
          <w:rFonts w:cs="Arial"/>
          <w:szCs w:val="22"/>
        </w:rPr>
        <w:t>cyberbezpieczeństwa</w:t>
      </w:r>
      <w:proofErr w:type="spellEnd"/>
      <w:r w:rsidRPr="00FF199F">
        <w:rPr>
          <w:rFonts w:cs="Arial"/>
          <w:szCs w:val="22"/>
        </w:rPr>
        <w:t> omówili Krzysztof Teresiński, Kierownik Zespołu Oceny Zgodności oraz Monika Bratek-Charzyńska, radca prawny z Naukowej i Akademickiej Sieci Komputerowej. Alicja Zajączkowska, Kierownik Zespołu Polityk, Strategii i Rozwiązań Chmurowych w Centralnym Ośrodku Informatyki opowiedziała, jak zamawiać bezpiecznie usługi w modelu chmury obliczeniowej. Małgorzata Przewalska z Departamentu Danych i</w:t>
      </w:r>
      <w:r w:rsidR="00070777">
        <w:rPr>
          <w:rFonts w:cs="Arial"/>
          <w:szCs w:val="22"/>
        </w:rPr>
        <w:t> </w:t>
      </w:r>
      <w:r w:rsidRPr="00FF199F">
        <w:rPr>
          <w:rFonts w:cs="Arial"/>
          <w:szCs w:val="22"/>
        </w:rPr>
        <w:t xml:space="preserve">Informatyzacji Urzędu Zamówień Publicznych poinstruowała, jak bezpiecznie udzielać zamówień publicznych za pośrednictwem platformy e-Zamówienia. Zarządzanie publicznym procesem zakupowym o charakterze centralnym w obszarze </w:t>
      </w:r>
      <w:proofErr w:type="spellStart"/>
      <w:r w:rsidRPr="00FF199F">
        <w:rPr>
          <w:rFonts w:cs="Arial"/>
          <w:szCs w:val="22"/>
        </w:rPr>
        <w:t>cyberbezpieczeństwa</w:t>
      </w:r>
      <w:proofErr w:type="spellEnd"/>
      <w:r w:rsidRPr="00FF199F">
        <w:rPr>
          <w:rFonts w:cs="Arial"/>
          <w:szCs w:val="22"/>
        </w:rPr>
        <w:t xml:space="preserve"> realizowanym na rzecz Ministerstwa Sprawiedliwości oraz jednostek sądownictwa omówiła Ewa </w:t>
      </w:r>
      <w:proofErr w:type="spellStart"/>
      <w:r w:rsidRPr="00FF199F">
        <w:rPr>
          <w:rFonts w:cs="Arial"/>
          <w:szCs w:val="22"/>
        </w:rPr>
        <w:t>Ropka</w:t>
      </w:r>
      <w:proofErr w:type="spellEnd"/>
      <w:r w:rsidRPr="00FF199F">
        <w:rPr>
          <w:rFonts w:cs="Arial"/>
          <w:szCs w:val="22"/>
        </w:rPr>
        <w:t xml:space="preserve">, dyrektor Centrum Zakupów dla Sądownictwa IGB. Na koniec odpowiedzi na pytanie, czy zamówienia z zakresu </w:t>
      </w:r>
      <w:proofErr w:type="spellStart"/>
      <w:r w:rsidRPr="00FF199F">
        <w:rPr>
          <w:rFonts w:cs="Arial"/>
          <w:szCs w:val="22"/>
        </w:rPr>
        <w:t>cyberbezpieczeństwa</w:t>
      </w:r>
      <w:proofErr w:type="spellEnd"/>
      <w:r w:rsidRPr="00FF199F">
        <w:rPr>
          <w:rFonts w:cs="Arial"/>
          <w:szCs w:val="22"/>
        </w:rPr>
        <w:t xml:space="preserve"> potrzebują zmian podjął się Marcin Wysocki, zastępca dyrektora Departamentu </w:t>
      </w:r>
      <w:proofErr w:type="spellStart"/>
      <w:r w:rsidRPr="00FF199F">
        <w:rPr>
          <w:rFonts w:cs="Arial"/>
          <w:szCs w:val="22"/>
        </w:rPr>
        <w:t>Cyberbezpieczeństwa</w:t>
      </w:r>
      <w:proofErr w:type="spellEnd"/>
      <w:r w:rsidRPr="00FF199F">
        <w:rPr>
          <w:rFonts w:cs="Arial"/>
          <w:szCs w:val="22"/>
        </w:rPr>
        <w:t xml:space="preserve"> w Ministerstwie Cyfryzacji.</w:t>
      </w:r>
    </w:p>
    <w:p w14:paraId="1C2ABC99" w14:textId="23CEDAF4" w:rsidR="00FF199F" w:rsidRPr="00FF199F" w:rsidRDefault="00A24C84" w:rsidP="00EF0996">
      <w:pPr>
        <w:shd w:val="clear" w:color="auto" w:fill="FFFFFF"/>
        <w:spacing w:before="120" w:line="360" w:lineRule="auto"/>
        <w:jc w:val="left"/>
        <w:rPr>
          <w:rFonts w:cs="Arial"/>
          <w:szCs w:val="22"/>
        </w:rPr>
      </w:pPr>
      <w:r w:rsidRPr="009B0213">
        <w:rPr>
          <w:rFonts w:cs="Arial"/>
          <w:noProof/>
          <w:szCs w:val="22"/>
        </w:rPr>
        <w:drawing>
          <wp:anchor distT="0" distB="0" distL="114300" distR="114300" simplePos="0" relativeHeight="251661312" behindDoc="0" locked="0" layoutInCell="1" allowOverlap="1" wp14:anchorId="19506398" wp14:editId="39C3839C">
            <wp:simplePos x="0" y="0"/>
            <wp:positionH relativeFrom="column">
              <wp:posOffset>-443230</wp:posOffset>
            </wp:positionH>
            <wp:positionV relativeFrom="paragraph">
              <wp:posOffset>311785</wp:posOffset>
            </wp:positionV>
            <wp:extent cx="3498850" cy="2332355"/>
            <wp:effectExtent l="0" t="0" r="6350" b="0"/>
            <wp:wrapSquare wrapText="right"/>
            <wp:docPr id="5" name="Obraz 5"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michals\Desktop\971dd1fa-3c90-4459-818d-107bf00e691a.jf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498850" cy="2332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199F" w:rsidRPr="00FF199F">
        <w:rPr>
          <w:rFonts w:cs="Arial"/>
          <w:szCs w:val="22"/>
        </w:rPr>
        <w:t xml:space="preserve">Druga z konferencji nt. </w:t>
      </w:r>
      <w:proofErr w:type="spellStart"/>
      <w:r w:rsidR="00FF199F" w:rsidRPr="00FF199F">
        <w:rPr>
          <w:rFonts w:cs="Arial"/>
          <w:szCs w:val="22"/>
        </w:rPr>
        <w:t>cyberbezpieczeństwa</w:t>
      </w:r>
      <w:proofErr w:type="spellEnd"/>
      <w:r w:rsidR="00FF199F" w:rsidRPr="00FF199F">
        <w:rPr>
          <w:rFonts w:cs="Arial"/>
          <w:szCs w:val="22"/>
        </w:rPr>
        <w:t xml:space="preserve"> 12.09.2025 r. zapewniła słuchaczom różnorodne prelekcje koncentrujące się na krytycznej roli </w:t>
      </w:r>
      <w:proofErr w:type="spellStart"/>
      <w:r w:rsidR="00FF199F" w:rsidRPr="00FF199F">
        <w:rPr>
          <w:rFonts w:cs="Arial"/>
          <w:szCs w:val="22"/>
        </w:rPr>
        <w:t>cyberbezpieczeństwa</w:t>
      </w:r>
      <w:proofErr w:type="spellEnd"/>
      <w:r w:rsidR="00FF199F" w:rsidRPr="00FF199F">
        <w:rPr>
          <w:rFonts w:cs="Arial"/>
          <w:szCs w:val="22"/>
        </w:rPr>
        <w:t xml:space="preserve"> w</w:t>
      </w:r>
      <w:r w:rsidR="00070777">
        <w:rPr>
          <w:rFonts w:cs="Arial"/>
          <w:szCs w:val="22"/>
        </w:rPr>
        <w:t> </w:t>
      </w:r>
      <w:r w:rsidR="00FF199F" w:rsidRPr="00FF199F">
        <w:rPr>
          <w:rFonts w:cs="Arial"/>
          <w:szCs w:val="22"/>
        </w:rPr>
        <w:t>procesie wydatkowania środków publicznych. Tomasz Chomicki z Polskiej Izby Informatyki i Telekomunikacji oraz dr</w:t>
      </w:r>
      <w:r w:rsidR="00070777">
        <w:rPr>
          <w:rFonts w:cs="Arial"/>
          <w:szCs w:val="22"/>
        </w:rPr>
        <w:t> </w:t>
      </w:r>
      <w:r w:rsidR="00FF199F" w:rsidRPr="00FF199F">
        <w:rPr>
          <w:rFonts w:cs="Arial"/>
          <w:szCs w:val="22"/>
        </w:rPr>
        <w:t>hab. prof. UŚ Dariusz Szostek ze Związku Cyfrowa Polska omówili „blaski i</w:t>
      </w:r>
      <w:r w:rsidR="00070777">
        <w:rPr>
          <w:rFonts w:cs="Arial"/>
          <w:szCs w:val="22"/>
        </w:rPr>
        <w:t> </w:t>
      </w:r>
      <w:r w:rsidR="00FF199F" w:rsidRPr="00FF199F">
        <w:rPr>
          <w:rFonts w:cs="Arial"/>
          <w:szCs w:val="22"/>
        </w:rPr>
        <w:t xml:space="preserve">cienie” </w:t>
      </w:r>
      <w:proofErr w:type="spellStart"/>
      <w:r w:rsidR="00FF199F" w:rsidRPr="00FF199F">
        <w:rPr>
          <w:rFonts w:cs="Arial"/>
          <w:szCs w:val="22"/>
        </w:rPr>
        <w:t>cyberbezpieczeństwa</w:t>
      </w:r>
      <w:proofErr w:type="spellEnd"/>
      <w:r w:rsidR="00FF199F" w:rsidRPr="00FF199F">
        <w:rPr>
          <w:rFonts w:cs="Arial"/>
          <w:szCs w:val="22"/>
        </w:rPr>
        <w:t xml:space="preserve"> w</w:t>
      </w:r>
      <w:r w:rsidR="00070777">
        <w:rPr>
          <w:rFonts w:cs="Arial"/>
          <w:szCs w:val="22"/>
        </w:rPr>
        <w:t> </w:t>
      </w:r>
      <w:r w:rsidR="00FF199F" w:rsidRPr="00FF199F">
        <w:rPr>
          <w:rFonts w:cs="Arial"/>
          <w:szCs w:val="22"/>
        </w:rPr>
        <w:t xml:space="preserve">zamówieniach publicznych. Łukasz </w:t>
      </w:r>
      <w:proofErr w:type="spellStart"/>
      <w:r w:rsidR="00FF199F" w:rsidRPr="00FF199F">
        <w:rPr>
          <w:rFonts w:cs="Arial"/>
          <w:szCs w:val="22"/>
        </w:rPr>
        <w:t>Wojtachnio</w:t>
      </w:r>
      <w:proofErr w:type="spellEnd"/>
      <w:r w:rsidR="00FF199F" w:rsidRPr="00FF199F">
        <w:rPr>
          <w:rFonts w:cs="Arial"/>
          <w:szCs w:val="22"/>
        </w:rPr>
        <w:t xml:space="preserve"> z Departamentu </w:t>
      </w:r>
      <w:proofErr w:type="spellStart"/>
      <w:r w:rsidR="00FF199F" w:rsidRPr="00FF199F">
        <w:rPr>
          <w:rFonts w:cs="Arial"/>
          <w:szCs w:val="22"/>
        </w:rPr>
        <w:t>Cyberbezpieczeństwa</w:t>
      </w:r>
      <w:proofErr w:type="spellEnd"/>
      <w:r w:rsidR="00FF199F" w:rsidRPr="00FF199F">
        <w:rPr>
          <w:rFonts w:cs="Arial"/>
          <w:szCs w:val="22"/>
        </w:rPr>
        <w:t xml:space="preserve"> Ministerstwa Cyfryzacji przedstawił realizowane i planowane działania resortu w kontekście </w:t>
      </w:r>
      <w:proofErr w:type="spellStart"/>
      <w:r w:rsidR="00FF199F" w:rsidRPr="00FF199F">
        <w:rPr>
          <w:rFonts w:cs="Arial"/>
          <w:szCs w:val="22"/>
        </w:rPr>
        <w:t>cyberbezpieczeństwa</w:t>
      </w:r>
      <w:proofErr w:type="spellEnd"/>
      <w:r w:rsidR="00FF199F" w:rsidRPr="00FF199F">
        <w:rPr>
          <w:rFonts w:cs="Arial"/>
          <w:szCs w:val="22"/>
        </w:rPr>
        <w:t xml:space="preserve"> w zamówieniach publicznych. Zagadnienie Instytucji Dostawcy Wysokiego Ryzyka w kontekście zamówień publicznych przybliżył Wiesław Paluszyński, Prezes Polskiego Towarzystwa Informatycznego. Aleksander Wojdyła z </w:t>
      </w:r>
      <w:proofErr w:type="spellStart"/>
      <w:r w:rsidR="00FF199F" w:rsidRPr="00FF199F">
        <w:rPr>
          <w:rFonts w:cs="Arial"/>
          <w:szCs w:val="22"/>
        </w:rPr>
        <w:t>Securitum</w:t>
      </w:r>
      <w:proofErr w:type="spellEnd"/>
      <w:r w:rsidR="00FF199F" w:rsidRPr="00FF199F">
        <w:rPr>
          <w:rFonts w:cs="Arial"/>
          <w:szCs w:val="22"/>
        </w:rPr>
        <w:t xml:space="preserve"> skupił się na szansach, ryzykach i bezpieczeństwie danych w</w:t>
      </w:r>
      <w:r w:rsidR="00070777">
        <w:rPr>
          <w:rFonts w:cs="Arial"/>
          <w:szCs w:val="22"/>
        </w:rPr>
        <w:t> </w:t>
      </w:r>
      <w:r w:rsidR="00FF199F" w:rsidRPr="00FF199F">
        <w:rPr>
          <w:rFonts w:cs="Arial"/>
          <w:szCs w:val="22"/>
        </w:rPr>
        <w:t xml:space="preserve">kontekście wykorzystania chmury w administracji. Marcin Kalmus, Dyrektor Biura </w:t>
      </w:r>
      <w:proofErr w:type="spellStart"/>
      <w:r w:rsidR="00FF199F" w:rsidRPr="00FF199F">
        <w:rPr>
          <w:rFonts w:cs="Arial"/>
          <w:szCs w:val="22"/>
        </w:rPr>
        <w:t>Odwołań</w:t>
      </w:r>
      <w:proofErr w:type="spellEnd"/>
      <w:r w:rsidR="00FF199F" w:rsidRPr="00FF199F">
        <w:rPr>
          <w:rFonts w:cs="Arial"/>
          <w:szCs w:val="22"/>
        </w:rPr>
        <w:t xml:space="preserve"> omówił cyfryzację procesu odwoławczego.</w:t>
      </w:r>
    </w:p>
    <w:p w14:paraId="2E91F66D" w14:textId="327F684A" w:rsidR="00FF199F" w:rsidRPr="00FF199F" w:rsidRDefault="00FF199F" w:rsidP="00EF0996">
      <w:pPr>
        <w:shd w:val="clear" w:color="auto" w:fill="FFFFFF"/>
        <w:spacing w:before="120" w:line="360" w:lineRule="auto"/>
        <w:jc w:val="left"/>
        <w:rPr>
          <w:rFonts w:cs="Arial"/>
          <w:szCs w:val="22"/>
        </w:rPr>
      </w:pPr>
      <w:r w:rsidRPr="00FF199F">
        <w:rPr>
          <w:rFonts w:cs="Arial"/>
          <w:szCs w:val="22"/>
        </w:rPr>
        <w:t>Cykl zamknęła konferencja zorganizowana przez Urząd Zamówień Publicznych w</w:t>
      </w:r>
      <w:r w:rsidR="00070777">
        <w:rPr>
          <w:rFonts w:cs="Arial"/>
          <w:szCs w:val="22"/>
        </w:rPr>
        <w:t> </w:t>
      </w:r>
      <w:r w:rsidRPr="00FF199F">
        <w:rPr>
          <w:rFonts w:cs="Arial"/>
          <w:b/>
          <w:bCs/>
          <w:szCs w:val="22"/>
        </w:rPr>
        <w:t>Gdańsku 14.11.2025</w:t>
      </w:r>
      <w:r w:rsidR="00070777">
        <w:rPr>
          <w:rFonts w:cs="Arial"/>
          <w:b/>
          <w:bCs/>
          <w:szCs w:val="22"/>
        </w:rPr>
        <w:t> r</w:t>
      </w:r>
      <w:r w:rsidRPr="00FF199F">
        <w:rPr>
          <w:rFonts w:cs="Arial"/>
          <w:szCs w:val="22"/>
        </w:rPr>
        <w:t xml:space="preserve">. Wiceprezes UZP Przemysław Grosfeld podkreślił rolę </w:t>
      </w:r>
      <w:proofErr w:type="spellStart"/>
      <w:r w:rsidRPr="00FF199F">
        <w:rPr>
          <w:rFonts w:cs="Arial"/>
          <w:szCs w:val="22"/>
        </w:rPr>
        <w:t>cyberbezpieczeństwa</w:t>
      </w:r>
      <w:proofErr w:type="spellEnd"/>
      <w:r w:rsidRPr="00FF199F">
        <w:rPr>
          <w:rFonts w:cs="Arial"/>
          <w:szCs w:val="22"/>
        </w:rPr>
        <w:t xml:space="preserve"> i profesjonalizacji uczestników rynku zamówień publicznych, wskazując, że dzięki odpowiedniej wiedzy i świadomości, zagrożenia w przestrzeni wirtualnej można lepiej i szybciej diagnozować, a w konsekwencji znajdować na nie odpowiednie antidotum.</w:t>
      </w:r>
      <w:r w:rsidR="00990AEA">
        <w:rPr>
          <w:rFonts w:cs="Arial"/>
          <w:szCs w:val="22"/>
        </w:rPr>
        <w:t xml:space="preserve"> </w:t>
      </w:r>
      <w:r w:rsidRPr="00FF199F">
        <w:rPr>
          <w:rFonts w:cs="Arial"/>
          <w:szCs w:val="22"/>
        </w:rPr>
        <w:t>Wystąpienia prelegentów skupiły się na zagrożeniach, regulacjach oraz wyzwaniach technologicznych stojących przed instytucjami publicznymi. Uczestnikom konferencji w</w:t>
      </w:r>
      <w:r w:rsidR="00070777">
        <w:rPr>
          <w:rFonts w:cs="Arial"/>
          <w:szCs w:val="22"/>
        </w:rPr>
        <w:t> </w:t>
      </w:r>
      <w:r w:rsidRPr="00FF199F">
        <w:rPr>
          <w:rFonts w:cs="Arial"/>
          <w:szCs w:val="22"/>
        </w:rPr>
        <w:t xml:space="preserve">Gdańsku zaprezentowano prelekcje warszawskich prelegentów: Łukasza </w:t>
      </w:r>
      <w:proofErr w:type="spellStart"/>
      <w:r w:rsidRPr="00FF199F">
        <w:rPr>
          <w:rFonts w:cs="Arial"/>
          <w:szCs w:val="22"/>
        </w:rPr>
        <w:t>Wojtachnio</w:t>
      </w:r>
      <w:proofErr w:type="spellEnd"/>
      <w:r w:rsidRPr="00FF199F">
        <w:rPr>
          <w:rFonts w:cs="Arial"/>
          <w:szCs w:val="22"/>
        </w:rPr>
        <w:t>, Wiesława Paluszyńskiego i Aleksandra Wojdyły.</w:t>
      </w:r>
      <w:r w:rsidR="00990AEA">
        <w:rPr>
          <w:rFonts w:cs="Arial"/>
          <w:szCs w:val="22"/>
        </w:rPr>
        <w:t xml:space="preserve"> </w:t>
      </w:r>
      <w:r w:rsidRPr="00FF199F">
        <w:rPr>
          <w:rFonts w:cs="Arial"/>
          <w:szCs w:val="22"/>
        </w:rPr>
        <w:t xml:space="preserve">Dodatkowo o doświadczeniach i dobrych praktykach dotyczących centralnych zakupów w obszarze </w:t>
      </w:r>
      <w:proofErr w:type="spellStart"/>
      <w:r w:rsidRPr="00FF199F">
        <w:rPr>
          <w:rFonts w:cs="Arial"/>
          <w:szCs w:val="22"/>
        </w:rPr>
        <w:t>cyberbezpieczeństwa</w:t>
      </w:r>
      <w:proofErr w:type="spellEnd"/>
      <w:r w:rsidRPr="00FF199F">
        <w:rPr>
          <w:rFonts w:cs="Arial"/>
          <w:szCs w:val="22"/>
        </w:rPr>
        <w:t xml:space="preserve"> opowiedziała Ewa </w:t>
      </w:r>
      <w:proofErr w:type="spellStart"/>
      <w:r w:rsidRPr="00FF199F">
        <w:rPr>
          <w:rFonts w:cs="Arial"/>
          <w:szCs w:val="22"/>
        </w:rPr>
        <w:t>Ropka</w:t>
      </w:r>
      <w:proofErr w:type="spellEnd"/>
      <w:r w:rsidRPr="00FF199F">
        <w:rPr>
          <w:rFonts w:cs="Arial"/>
          <w:szCs w:val="22"/>
        </w:rPr>
        <w:t>, dyrektor Centrum Zakupów dla Sądownictwa IGB. Najczęściej identyfikowane ryzyka i przykłady ataków w administracji publicznych natomiast posłużyły </w:t>
      </w:r>
      <w:proofErr w:type="spellStart"/>
      <w:r w:rsidRPr="00FF199F">
        <w:rPr>
          <w:rFonts w:cs="Arial"/>
          <w:szCs w:val="22"/>
        </w:rPr>
        <w:t>podkom</w:t>
      </w:r>
      <w:proofErr w:type="spellEnd"/>
      <w:r w:rsidRPr="00FF199F">
        <w:rPr>
          <w:rFonts w:cs="Arial"/>
          <w:szCs w:val="22"/>
        </w:rPr>
        <w:t xml:space="preserve">. Tymoteuszowi </w:t>
      </w:r>
      <w:proofErr w:type="spellStart"/>
      <w:r w:rsidRPr="00FF199F">
        <w:rPr>
          <w:rFonts w:cs="Arial"/>
          <w:szCs w:val="22"/>
        </w:rPr>
        <w:t>Szymańczykowi</w:t>
      </w:r>
      <w:proofErr w:type="spellEnd"/>
      <w:r w:rsidRPr="00FF199F">
        <w:rPr>
          <w:rFonts w:cs="Arial"/>
          <w:szCs w:val="22"/>
        </w:rPr>
        <w:t xml:space="preserve"> z Centralnego Biura Zwalczania Cyberprzestępczości do naświetlenia tematu </w:t>
      </w:r>
      <w:proofErr w:type="spellStart"/>
      <w:r w:rsidRPr="00FF199F">
        <w:rPr>
          <w:rFonts w:cs="Arial"/>
          <w:szCs w:val="22"/>
        </w:rPr>
        <w:t>cyberzagrożeń</w:t>
      </w:r>
      <w:proofErr w:type="spellEnd"/>
      <w:r w:rsidRPr="00FF199F">
        <w:rPr>
          <w:rFonts w:cs="Arial"/>
          <w:szCs w:val="22"/>
        </w:rPr>
        <w:t xml:space="preserve"> w zamówieniach publicznych.</w:t>
      </w:r>
    </w:p>
    <w:p w14:paraId="2CD65197" w14:textId="2937E2A6" w:rsidR="00EC3831" w:rsidRPr="00292EE8" w:rsidRDefault="00EC3831" w:rsidP="00852522">
      <w:pPr>
        <w:pStyle w:val="Nagwek4"/>
      </w:pPr>
      <w:r>
        <w:t xml:space="preserve">2.2.2. </w:t>
      </w:r>
      <w:r w:rsidRPr="00EC3831">
        <w:t>Konferencja "Zabezpieczenie finansowe kontraktów w zamówieniach publicznych"</w:t>
      </w:r>
    </w:p>
    <w:p w14:paraId="1A5DC115" w14:textId="4EB8B4F8" w:rsidR="00EC3831" w:rsidRPr="00EC3831" w:rsidRDefault="00D27AFF" w:rsidP="00EF0996">
      <w:pPr>
        <w:shd w:val="clear" w:color="auto" w:fill="FFFFFF"/>
        <w:spacing w:before="120" w:line="360" w:lineRule="auto"/>
        <w:jc w:val="left"/>
        <w:rPr>
          <w:rFonts w:cs="Arial"/>
          <w:szCs w:val="22"/>
        </w:rPr>
      </w:pPr>
      <w:r w:rsidRPr="00D7720A">
        <w:rPr>
          <w:rFonts w:cs="Arial"/>
          <w:noProof/>
          <w:szCs w:val="22"/>
        </w:rPr>
        <w:drawing>
          <wp:anchor distT="0" distB="0" distL="114300" distR="114300" simplePos="0" relativeHeight="251664384" behindDoc="0" locked="0" layoutInCell="1" allowOverlap="1" wp14:anchorId="1AA554C0" wp14:editId="20000EB4">
            <wp:simplePos x="0" y="0"/>
            <wp:positionH relativeFrom="column">
              <wp:posOffset>2992474</wp:posOffset>
            </wp:positionH>
            <wp:positionV relativeFrom="paragraph">
              <wp:posOffset>63500</wp:posOffset>
            </wp:positionV>
            <wp:extent cx="3254400" cy="2444400"/>
            <wp:effectExtent l="0" t="0" r="3175" b="0"/>
            <wp:wrapSquare wrapText="left"/>
            <wp:docPr id="4" name="Obraz 4"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michals\Desktop\07a010da-02f1-43ee-913b-c74e89eadb72.jf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54400" cy="244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3831" w:rsidRPr="00EC3831">
        <w:rPr>
          <w:rFonts w:cs="Arial"/>
          <w:szCs w:val="22"/>
        </w:rPr>
        <w:t>W ramach projektu „Wsparcie beneficjentów polityki spójności w obszarze zamówień publicznych” Urząd zorganizował konferencję pt. „Zabezpieczenie finansowe kontraktów w</w:t>
      </w:r>
      <w:r w:rsidR="00070777">
        <w:rPr>
          <w:rFonts w:cs="Arial"/>
          <w:szCs w:val="22"/>
        </w:rPr>
        <w:t> </w:t>
      </w:r>
      <w:r w:rsidR="00EC3831" w:rsidRPr="00EC3831">
        <w:rPr>
          <w:rFonts w:cs="Arial"/>
          <w:szCs w:val="22"/>
        </w:rPr>
        <w:t xml:space="preserve">zamówieniach publicznych”, która odbyła się </w:t>
      </w:r>
      <w:r w:rsidR="00EC3831" w:rsidRPr="00EC3831">
        <w:rPr>
          <w:rFonts w:cs="Arial"/>
          <w:b/>
          <w:bCs/>
          <w:szCs w:val="22"/>
        </w:rPr>
        <w:t>28.05.2025 r. w Warszawie.</w:t>
      </w:r>
      <w:r w:rsidR="00990AEA">
        <w:rPr>
          <w:rFonts w:cs="Arial"/>
          <w:b/>
          <w:bCs/>
          <w:szCs w:val="22"/>
        </w:rPr>
        <w:t xml:space="preserve"> </w:t>
      </w:r>
      <w:r w:rsidR="00EC3831" w:rsidRPr="00EC3831">
        <w:rPr>
          <w:rFonts w:cs="Arial"/>
          <w:szCs w:val="22"/>
        </w:rPr>
        <w:t>O finansowaniu zamówień publicznych przez jednostki sektora finansów publicznych opowiedział dr Mateusz Winiarz z Katedry Prawa Gospodarczego i Polityki Gospodarczej Uniwersytetu Jagiellońskiego w Krakowie. Temat sukcesu inwestycji oraz formuły finansowania przedstawił dr Sławomir Listkiewicz, Dyrektor Biura Analiz i Finansowania Sektora Publicznego Banku Pekao S.A. W meandry polis ubezpieczeniowych uczestników wydarzenia wprowadzili prof. dr hab. Jakub Pokrzywniak oraz dr Jarosław Kola z Wydziału Prawa i Administracji Uniwersytetu Adama Mickiewicza w Poznaniu. </w:t>
      </w:r>
    </w:p>
    <w:p w14:paraId="3E9CFE2A" w14:textId="222E8E36" w:rsidR="00DC04F2" w:rsidRPr="00292EE8" w:rsidRDefault="00DC04F2" w:rsidP="00852522">
      <w:pPr>
        <w:pStyle w:val="Nagwek4"/>
      </w:pPr>
      <w:r>
        <w:t xml:space="preserve">2.2.3. </w:t>
      </w:r>
      <w:r w:rsidR="008F650E">
        <w:t>Sympozjum</w:t>
      </w:r>
      <w:r w:rsidRPr="00DC04F2">
        <w:t xml:space="preserve"> „Kontrola procesu zakupowego - praktyka i wnioski”</w:t>
      </w:r>
    </w:p>
    <w:p w14:paraId="43346CA5" w14:textId="4B0D0900" w:rsidR="00DC04F2" w:rsidRPr="00DC04F2" w:rsidRDefault="00DC04F2" w:rsidP="00EF0996">
      <w:pPr>
        <w:shd w:val="clear" w:color="auto" w:fill="FFFFFF"/>
        <w:spacing w:before="120" w:line="360" w:lineRule="auto"/>
        <w:jc w:val="left"/>
        <w:rPr>
          <w:rFonts w:cs="Arial"/>
          <w:szCs w:val="22"/>
        </w:rPr>
      </w:pPr>
      <w:r w:rsidRPr="00DC04F2">
        <w:rPr>
          <w:rFonts w:cs="Arial"/>
          <w:b/>
          <w:bCs/>
          <w:szCs w:val="22"/>
        </w:rPr>
        <w:t>17.10.2025</w:t>
      </w:r>
      <w:r w:rsidR="00070777">
        <w:rPr>
          <w:rFonts w:cs="Arial"/>
          <w:b/>
          <w:bCs/>
          <w:szCs w:val="22"/>
        </w:rPr>
        <w:t> </w:t>
      </w:r>
      <w:r w:rsidRPr="00DC04F2">
        <w:rPr>
          <w:rFonts w:cs="Arial"/>
          <w:b/>
          <w:bCs/>
          <w:szCs w:val="22"/>
        </w:rPr>
        <w:t>r. w</w:t>
      </w:r>
      <w:r w:rsidR="00070777">
        <w:rPr>
          <w:rFonts w:cs="Arial"/>
          <w:b/>
          <w:bCs/>
          <w:szCs w:val="22"/>
        </w:rPr>
        <w:t> </w:t>
      </w:r>
      <w:r w:rsidRPr="00DC04F2">
        <w:rPr>
          <w:rFonts w:cs="Arial"/>
          <w:b/>
          <w:bCs/>
          <w:szCs w:val="22"/>
        </w:rPr>
        <w:t>Warszawie</w:t>
      </w:r>
      <w:r w:rsidRPr="00DC04F2">
        <w:rPr>
          <w:rFonts w:cs="Arial"/>
          <w:szCs w:val="22"/>
        </w:rPr>
        <w:t xml:space="preserve"> Urząd Zamówień Publicznych zorganizował w ramach projektu PTFE sympozjum nt. kontroli procesu zakupowego - praktyka i wnioski. Tematyka wydarzenia była niezwykle ważna dla beneficjentów, zarówno dla kontrolerów, jak i osób nadzorujących przebieg procesów kontrolnych. Uczestnicy mieli okazję wysłuchać prelekcji przedstawicieli instytucji kontrolnych, jak Delegatura Najwyższej Izby Kontroli we Wrocławiu, Regionalna Izba Obrachunkowa w Opolu czy Komenda Główna Policji, a także Urząd Zamówień Publicznych. </w:t>
      </w:r>
    </w:p>
    <w:p w14:paraId="4D38D5B3" w14:textId="1BC68615" w:rsidR="00DC04F2" w:rsidRPr="00DC04F2" w:rsidRDefault="00DC04F2" w:rsidP="00EF0996">
      <w:pPr>
        <w:shd w:val="clear" w:color="auto" w:fill="FFFFFF"/>
        <w:spacing w:before="120" w:line="360" w:lineRule="auto"/>
        <w:jc w:val="left"/>
        <w:rPr>
          <w:rFonts w:cs="Arial"/>
          <w:szCs w:val="22"/>
        </w:rPr>
      </w:pPr>
      <w:r w:rsidRPr="00DC04F2">
        <w:rPr>
          <w:rFonts w:cs="Arial"/>
          <w:szCs w:val="22"/>
        </w:rPr>
        <w:t>Zagadnienia z obszaru kontroli Prezesa Urzędu Zamówień Publicznych na gruncie przepisów ustawy Prawo zamówień publicznych przedstawił Tomasz Dudziński, z-ca dyrektora</w:t>
      </w:r>
      <w:r w:rsidR="00990AEA">
        <w:rPr>
          <w:rFonts w:cs="Arial"/>
          <w:szCs w:val="22"/>
        </w:rPr>
        <w:t xml:space="preserve"> </w:t>
      </w:r>
      <w:r w:rsidRPr="00DC04F2">
        <w:rPr>
          <w:rFonts w:cs="Arial"/>
          <w:szCs w:val="22"/>
        </w:rPr>
        <w:t>Departament Kontroli Zamówień Publicznych UZP. Tematykę kontroli zamówień publicznych z perspektywy Najwyższej Izby Kontroli zaprezentował Radosław Kujawiński, Dyrektor Delegatury NIK we Wrocławiu. Z kolei Wojciech Winnik, Naczelnik Wydziału Kontroli Gospodarki Finansowej RIO w Opolu, przybliżył specyfikę kontroli zamówień publicznych prowadzonych przez regionalne izby obrachunkowe. Nie zabrakło prelekcji przedstawiciela Komendy Głównej Policji, Dawida Pająka, nt. zwalczania korupcji w</w:t>
      </w:r>
      <w:r w:rsidR="00070777">
        <w:rPr>
          <w:rFonts w:cs="Arial"/>
          <w:szCs w:val="22"/>
        </w:rPr>
        <w:t> </w:t>
      </w:r>
      <w:r w:rsidRPr="00DC04F2">
        <w:rPr>
          <w:rFonts w:cs="Arial"/>
          <w:szCs w:val="22"/>
        </w:rPr>
        <w:t>zamówieniach publicznych z perspektywy doświadczeń służb policyjnych.</w:t>
      </w:r>
    </w:p>
    <w:p w14:paraId="483DD851" w14:textId="5C440662" w:rsidR="008F7F5F" w:rsidRPr="00292EE8" w:rsidRDefault="008F7F5F" w:rsidP="00852522">
      <w:pPr>
        <w:pStyle w:val="Nagwek4"/>
      </w:pPr>
      <w:r w:rsidRPr="001A4BA7">
        <w:t>2.2.4. Debaty dotyczące przeglądu regulacji Prawa zamówień publicznych</w:t>
      </w:r>
    </w:p>
    <w:p w14:paraId="1B2EB9D2" w14:textId="23714D02" w:rsidR="00240538" w:rsidRPr="00240538" w:rsidRDefault="00240538" w:rsidP="00EF0996">
      <w:pPr>
        <w:shd w:val="clear" w:color="auto" w:fill="FFFFFF"/>
        <w:spacing w:before="120" w:line="360" w:lineRule="auto"/>
        <w:jc w:val="left"/>
        <w:rPr>
          <w:rFonts w:cs="Arial"/>
          <w:szCs w:val="22"/>
        </w:rPr>
      </w:pPr>
      <w:r w:rsidRPr="00FD69EC">
        <w:rPr>
          <w:rFonts w:cs="Arial"/>
          <w:szCs w:val="22"/>
        </w:rPr>
        <w:t xml:space="preserve">W ramach projektu PTFE odbyły się także </w:t>
      </w:r>
      <w:r w:rsidRPr="00FD69EC">
        <w:rPr>
          <w:rFonts w:cs="Arial"/>
          <w:b/>
          <w:bCs/>
          <w:szCs w:val="22"/>
        </w:rPr>
        <w:t>dwie debaty</w:t>
      </w:r>
      <w:r w:rsidRPr="00FD69EC">
        <w:rPr>
          <w:rFonts w:cs="Arial"/>
          <w:szCs w:val="22"/>
        </w:rPr>
        <w:t xml:space="preserve"> poświęcone przeglądowi regulacji Prawa zamówień publicznych – w Poznaniu 8.05.2025 r. oraz w Warszawie 17.10.2025 r., o</w:t>
      </w:r>
      <w:r w:rsidR="00070777">
        <w:rPr>
          <w:rFonts w:cs="Arial"/>
          <w:szCs w:val="22"/>
        </w:rPr>
        <w:t> </w:t>
      </w:r>
      <w:r w:rsidRPr="00FD69EC">
        <w:rPr>
          <w:rFonts w:cs="Arial"/>
          <w:szCs w:val="22"/>
        </w:rPr>
        <w:t>których szerzej w dalszej części Sprawozdania</w:t>
      </w:r>
      <w:r w:rsidR="00FD69EC" w:rsidRPr="00FD69EC">
        <w:rPr>
          <w:rFonts w:cs="Arial"/>
          <w:szCs w:val="22"/>
        </w:rPr>
        <w:t xml:space="preserve"> (</w:t>
      </w:r>
      <w:hyperlink w:anchor="_4._Debaty_dotyczące" w:history="1">
        <w:r w:rsidR="00FD69EC" w:rsidRPr="00FD69EC">
          <w:rPr>
            <w:rStyle w:val="Hipercze"/>
            <w:rFonts w:cs="Arial"/>
            <w:szCs w:val="22"/>
          </w:rPr>
          <w:t>punkt 4. Debaty dotyczące przeglądu regulacji w obszarze zamówień publicznych</w:t>
        </w:r>
      </w:hyperlink>
      <w:r w:rsidR="00FD69EC" w:rsidRPr="00FD69EC">
        <w:rPr>
          <w:rFonts w:cs="Arial"/>
          <w:szCs w:val="22"/>
        </w:rPr>
        <w:t>)</w:t>
      </w:r>
      <w:r w:rsidRPr="00FD69EC">
        <w:rPr>
          <w:rFonts w:cs="Arial"/>
          <w:szCs w:val="22"/>
        </w:rPr>
        <w:t>.</w:t>
      </w:r>
    </w:p>
    <w:p w14:paraId="67143864" w14:textId="0C4EE08C" w:rsidR="006A0F6D" w:rsidRPr="008A5999" w:rsidRDefault="005176AB" w:rsidP="00852522">
      <w:pPr>
        <w:pStyle w:val="Nagwek4"/>
      </w:pPr>
      <w:r>
        <w:t>3</w:t>
      </w:r>
      <w:r w:rsidR="006A0F6D">
        <w:t xml:space="preserve">. </w:t>
      </w:r>
      <w:r w:rsidRPr="005176AB">
        <w:t>Działania w ramach projektu Polityka zakupowa państwa</w:t>
      </w:r>
    </w:p>
    <w:p w14:paraId="0E1DFE79" w14:textId="50F96084" w:rsidR="00CE5B70" w:rsidRDefault="009E0024" w:rsidP="00604218">
      <w:pPr>
        <w:shd w:val="clear" w:color="auto" w:fill="FFFFFF"/>
        <w:spacing w:line="360" w:lineRule="auto"/>
        <w:jc w:val="left"/>
        <w:rPr>
          <w:rFonts w:cs="Arial"/>
          <w:szCs w:val="22"/>
        </w:rPr>
      </w:pPr>
      <w:r>
        <w:rPr>
          <w:rFonts w:cs="Arial"/>
          <w:noProof/>
          <w:szCs w:val="22"/>
        </w:rPr>
        <w:drawing>
          <wp:inline distT="0" distB="0" distL="0" distR="0" wp14:anchorId="43C3FA92" wp14:editId="6684D4E7">
            <wp:extent cx="5760000" cy="763200"/>
            <wp:effectExtent l="0" t="0" r="0" b="0"/>
            <wp:docPr id="7" name="Obraz 7" descr="Obraz. Loga projektu Polityka zakupowa państwa" title="Obraz. Loga projektu Polityka zakupowa pańs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000" cy="763200"/>
                    </a:xfrm>
                    <a:prstGeom prst="rect">
                      <a:avLst/>
                    </a:prstGeom>
                    <a:noFill/>
                  </pic:spPr>
                </pic:pic>
              </a:graphicData>
            </a:graphic>
          </wp:inline>
        </w:drawing>
      </w:r>
    </w:p>
    <w:p w14:paraId="1E3C2813" w14:textId="4DE90008" w:rsidR="00604218" w:rsidRPr="00604218" w:rsidRDefault="00604218" w:rsidP="00EF0996">
      <w:pPr>
        <w:shd w:val="clear" w:color="auto" w:fill="FFFFFF"/>
        <w:spacing w:before="120" w:line="360" w:lineRule="auto"/>
        <w:jc w:val="left"/>
        <w:rPr>
          <w:rFonts w:cs="Arial"/>
          <w:szCs w:val="22"/>
        </w:rPr>
      </w:pPr>
      <w:r w:rsidRPr="00604218">
        <w:rPr>
          <w:rFonts w:cs="Arial"/>
          <w:szCs w:val="22"/>
        </w:rPr>
        <w:t xml:space="preserve">W ramach programu Polityka zakupowa państwa Urząd zrealizował w 2025 roku </w:t>
      </w:r>
      <w:r w:rsidRPr="00604218">
        <w:rPr>
          <w:rFonts w:cs="Arial"/>
          <w:b/>
          <w:bCs/>
          <w:szCs w:val="22"/>
        </w:rPr>
        <w:t>8 szkoleń i warsztatów online</w:t>
      </w:r>
      <w:r w:rsidRPr="00604218">
        <w:rPr>
          <w:rFonts w:cs="Arial"/>
          <w:szCs w:val="22"/>
        </w:rPr>
        <w:t xml:space="preserve"> w następujących terminach:10.04., 15.04., 9.06., 24.06., 23.09.25 r., 20.10.25 r., 7.11.25 r., 28.11.25</w:t>
      </w:r>
      <w:r w:rsidR="00070777">
        <w:rPr>
          <w:rFonts w:cs="Arial"/>
          <w:szCs w:val="22"/>
        </w:rPr>
        <w:t> </w:t>
      </w:r>
      <w:r w:rsidRPr="00604218">
        <w:rPr>
          <w:rFonts w:cs="Arial"/>
          <w:szCs w:val="22"/>
        </w:rPr>
        <w:t>r.</w:t>
      </w:r>
    </w:p>
    <w:p w14:paraId="04DA1ECC" w14:textId="15B3E982" w:rsidR="00604218" w:rsidRPr="00604218" w:rsidRDefault="005D37D0" w:rsidP="00EF0996">
      <w:pPr>
        <w:shd w:val="clear" w:color="auto" w:fill="FFFFFF"/>
        <w:spacing w:before="120" w:line="360" w:lineRule="auto"/>
        <w:jc w:val="left"/>
        <w:rPr>
          <w:rFonts w:cs="Arial"/>
          <w:szCs w:val="22"/>
        </w:rPr>
      </w:pPr>
      <w:r w:rsidRPr="00D50BEB">
        <w:rPr>
          <w:rFonts w:cs="Arial"/>
          <w:noProof/>
          <w:szCs w:val="22"/>
        </w:rPr>
        <w:drawing>
          <wp:anchor distT="0" distB="0" distL="114300" distR="114300" simplePos="0" relativeHeight="251663360" behindDoc="0" locked="0" layoutInCell="1" allowOverlap="1" wp14:anchorId="713BF0E9" wp14:editId="4EF0472A">
            <wp:simplePos x="0" y="0"/>
            <wp:positionH relativeFrom="column">
              <wp:posOffset>-538270</wp:posOffset>
            </wp:positionH>
            <wp:positionV relativeFrom="paragraph">
              <wp:posOffset>85725</wp:posOffset>
            </wp:positionV>
            <wp:extent cx="4111200" cy="1760400"/>
            <wp:effectExtent l="0" t="0" r="3810" b="0"/>
            <wp:wrapSquare wrapText="right"/>
            <wp:docPr id="8" name="Obraz 8" descr="Obraz zawierający tekst, komputer, osoba." title="Obraz zawierający tekst, komputer, os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111200" cy="1760400"/>
                    </a:xfrm>
                    <a:prstGeom prst="rect">
                      <a:avLst/>
                    </a:prstGeom>
                  </pic:spPr>
                </pic:pic>
              </a:graphicData>
            </a:graphic>
            <wp14:sizeRelH relativeFrom="margin">
              <wp14:pctWidth>0</wp14:pctWidth>
            </wp14:sizeRelH>
            <wp14:sizeRelV relativeFrom="margin">
              <wp14:pctHeight>0</wp14:pctHeight>
            </wp14:sizeRelV>
          </wp:anchor>
        </w:drawing>
      </w:r>
      <w:r w:rsidR="00604218" w:rsidRPr="00604218">
        <w:rPr>
          <w:rFonts w:cs="Arial"/>
          <w:szCs w:val="22"/>
        </w:rPr>
        <w:t>Program szkoleń obejmował następujące zagadnienia:</w:t>
      </w:r>
    </w:p>
    <w:p w14:paraId="3EDC2CEF" w14:textId="7E0C7473"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Podstawowe zagadnienia związane ze stosowaniem ustawy Pzp</w:t>
      </w:r>
    </w:p>
    <w:p w14:paraId="1FB4A8D7" w14:textId="22EBCA09"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Analiza potrzeb i wymagań</w:t>
      </w:r>
    </w:p>
    <w:p w14:paraId="70BDF5AD" w14:textId="53A293D5"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Proces udzielania zamówienia publicznego</w:t>
      </w:r>
    </w:p>
    <w:p w14:paraId="4286E92E" w14:textId="1B2F1A93"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Wstępne konsultacje rynkowe</w:t>
      </w:r>
    </w:p>
    <w:p w14:paraId="4CAC62F3" w14:textId="6BBADF1B"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Dynamiczny system zakupów</w:t>
      </w:r>
    </w:p>
    <w:p w14:paraId="0C5CEAEF" w14:textId="77777777"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Aukcja elektroniczna</w:t>
      </w:r>
    </w:p>
    <w:p w14:paraId="63AD8074" w14:textId="77777777"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Kryteria oceny ofert</w:t>
      </w:r>
    </w:p>
    <w:p w14:paraId="1225D3BC" w14:textId="77777777"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 xml:space="preserve">Komunikacja w postępowaniu o udzielenie zamówienia publicznego </w:t>
      </w:r>
    </w:p>
    <w:p w14:paraId="503894DC" w14:textId="77777777"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Najczęstsze naruszenia przepisów Pzp w oparciu o kontrole Prezesa Urzędu</w:t>
      </w:r>
    </w:p>
    <w:p w14:paraId="25B3934A" w14:textId="77777777"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Kontrola Prezesa Urzędu w zakresie odtajnienia informacji objętych tajemnicą przedsiębiorstwa</w:t>
      </w:r>
    </w:p>
    <w:p w14:paraId="75264FC7" w14:textId="77777777"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Kluczowe aspekty ram kompetencji</w:t>
      </w:r>
      <w:r w:rsidRPr="00604218">
        <w:rPr>
          <w:rFonts w:cs="Arial"/>
          <w:b/>
          <w:bCs/>
          <w:szCs w:val="22"/>
        </w:rPr>
        <w:t xml:space="preserve"> </w:t>
      </w:r>
      <w:proofErr w:type="spellStart"/>
      <w:r w:rsidRPr="00604218">
        <w:rPr>
          <w:rFonts w:cs="Arial"/>
          <w:szCs w:val="22"/>
        </w:rPr>
        <w:t>ProcuComp</w:t>
      </w:r>
      <w:r w:rsidRPr="00604218">
        <w:rPr>
          <w:rFonts w:cs="Arial"/>
          <w:szCs w:val="22"/>
          <w:vertAlign w:val="superscript"/>
        </w:rPr>
        <w:t>EU</w:t>
      </w:r>
      <w:proofErr w:type="spellEnd"/>
    </w:p>
    <w:p w14:paraId="59CF7396" w14:textId="77777777"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Zielone zamówienia publiczne</w:t>
      </w:r>
    </w:p>
    <w:p w14:paraId="069229B9" w14:textId="77777777" w:rsidR="00604218" w:rsidRPr="00604218" w:rsidRDefault="00604218" w:rsidP="005A02D1">
      <w:pPr>
        <w:numPr>
          <w:ilvl w:val="0"/>
          <w:numId w:val="3"/>
        </w:numPr>
        <w:shd w:val="clear" w:color="auto" w:fill="FFFFFF"/>
        <w:spacing w:line="360" w:lineRule="auto"/>
        <w:jc w:val="left"/>
        <w:rPr>
          <w:rFonts w:cs="Arial"/>
          <w:szCs w:val="22"/>
        </w:rPr>
      </w:pPr>
      <w:r w:rsidRPr="00604218">
        <w:rPr>
          <w:rFonts w:cs="Arial"/>
          <w:szCs w:val="22"/>
        </w:rPr>
        <w:t>Partnerstwo publiczno-prywatne.</w:t>
      </w:r>
    </w:p>
    <w:p w14:paraId="305744B9" w14:textId="3519B747" w:rsidR="00604218" w:rsidRPr="00604218" w:rsidRDefault="00604218" w:rsidP="00EF0996">
      <w:pPr>
        <w:shd w:val="clear" w:color="auto" w:fill="FFFFFF"/>
        <w:spacing w:before="120" w:line="360" w:lineRule="auto"/>
        <w:jc w:val="left"/>
        <w:rPr>
          <w:rFonts w:cs="Arial"/>
          <w:b/>
          <w:bCs/>
          <w:szCs w:val="22"/>
        </w:rPr>
      </w:pPr>
      <w:r w:rsidRPr="00604218">
        <w:rPr>
          <w:rFonts w:cs="Arial"/>
          <w:szCs w:val="22"/>
        </w:rPr>
        <w:t>W ramach programu Polityka zakupowa państwa zrealizowano także szereg przedsięwzięć</w:t>
      </w:r>
      <w:r w:rsidRPr="00604218">
        <w:rPr>
          <w:rFonts w:cs="Arial"/>
          <w:b/>
          <w:bCs/>
          <w:szCs w:val="22"/>
        </w:rPr>
        <w:t xml:space="preserve"> w</w:t>
      </w:r>
      <w:r w:rsidR="00070777">
        <w:rPr>
          <w:rFonts w:cs="Arial"/>
          <w:b/>
          <w:bCs/>
          <w:szCs w:val="22"/>
        </w:rPr>
        <w:t> </w:t>
      </w:r>
      <w:r w:rsidRPr="00604218">
        <w:rPr>
          <w:rFonts w:cs="Arial"/>
          <w:b/>
          <w:bCs/>
          <w:szCs w:val="22"/>
        </w:rPr>
        <w:t xml:space="preserve">formie stacjonarnej. </w:t>
      </w:r>
    </w:p>
    <w:p w14:paraId="1551E8CC" w14:textId="64E67CAA" w:rsidR="00D67D29" w:rsidRPr="008A5999" w:rsidRDefault="00D67D29" w:rsidP="00852522">
      <w:pPr>
        <w:pStyle w:val="Nagwek4"/>
      </w:pPr>
      <w:r>
        <w:t xml:space="preserve">3.1. </w:t>
      </w:r>
      <w:r w:rsidR="00457501" w:rsidRPr="00457501">
        <w:t>„Praktycy o udzielaniu zamówień publicznych”</w:t>
      </w:r>
    </w:p>
    <w:p w14:paraId="56740039" w14:textId="1FAA5B3B" w:rsidR="00457501" w:rsidRPr="00457501" w:rsidRDefault="00AA6069" w:rsidP="00EF0996">
      <w:pPr>
        <w:shd w:val="clear" w:color="auto" w:fill="FFFFFF"/>
        <w:spacing w:before="120" w:line="360" w:lineRule="auto"/>
        <w:jc w:val="left"/>
        <w:rPr>
          <w:rFonts w:cs="Arial"/>
          <w:szCs w:val="22"/>
        </w:rPr>
      </w:pPr>
      <w:r w:rsidRPr="006F4332">
        <w:rPr>
          <w:rFonts w:cs="Arial"/>
          <w:bCs/>
          <w:noProof/>
          <w:szCs w:val="22"/>
        </w:rPr>
        <w:drawing>
          <wp:anchor distT="0" distB="0" distL="114300" distR="114300" simplePos="0" relativeHeight="251665408" behindDoc="0" locked="0" layoutInCell="1" allowOverlap="1" wp14:anchorId="138797F6" wp14:editId="5D986F7D">
            <wp:simplePos x="0" y="0"/>
            <wp:positionH relativeFrom="column">
              <wp:posOffset>3195320</wp:posOffset>
            </wp:positionH>
            <wp:positionV relativeFrom="paragraph">
              <wp:posOffset>781685</wp:posOffset>
            </wp:positionV>
            <wp:extent cx="3085200" cy="2228400"/>
            <wp:effectExtent l="0" t="0" r="1270" b="635"/>
            <wp:wrapSquare wrapText="left"/>
            <wp:docPr id="9" name="Obraz 9"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michals\Desktop\0dc19977-68d7-4ac0-9dc1-06678361986c.jf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85200" cy="222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7501" w:rsidRPr="00457501">
        <w:rPr>
          <w:rFonts w:cs="Arial"/>
          <w:b/>
          <w:bCs/>
          <w:szCs w:val="22"/>
        </w:rPr>
        <w:t>21 maja 2025 r.</w:t>
      </w:r>
      <w:r w:rsidR="00457501" w:rsidRPr="00457501">
        <w:rPr>
          <w:rFonts w:cs="Arial"/>
          <w:szCs w:val="22"/>
        </w:rPr>
        <w:t xml:space="preserve"> </w:t>
      </w:r>
      <w:r w:rsidR="00457501" w:rsidRPr="00457501">
        <w:rPr>
          <w:rFonts w:cs="Arial"/>
          <w:b/>
          <w:bCs/>
          <w:szCs w:val="22"/>
        </w:rPr>
        <w:t>w Warszawie</w:t>
      </w:r>
      <w:r w:rsidR="00457501" w:rsidRPr="00457501">
        <w:rPr>
          <w:rFonts w:cs="Arial"/>
          <w:szCs w:val="22"/>
        </w:rPr>
        <w:t xml:space="preserve"> odbyło się spotkanie z uczestnikami rynku zamówień publicznych, zorganizowane pod hasłem „Praktycy o udzielaniu zamówień publicznych”. Celem wydarzenia była wymiana doświadczeń oraz omówienie praktycznych aspektów udzielania zamówień publicznych. Spotkanie otworzyła Agnieszka Olszewska, Prezes Urzędu, która powitała uczestników i wygłosiła słowo wstępne. Mec. Jerzy Pieróg z Kancelarii PIERÓG &amp; Partnerzy przedstawił praktykę stosowania trybu dialogu konkurencyjnego, omawiając m.in. kryteria wyboru tego trybu oraz jego zalety i wyzwania. Anna Jędrzejewska, Dyrektor Działu Ofertowania w PORR S.A. zaprezentowała analizę na temat przygotowania oferty w świetle przykładowych zapisów SWZ, zwracając uwagę na najczęściej popełniane błędy i sposoby ich unikania. Swoimi doświadczeniami w</w:t>
      </w:r>
      <w:r w:rsidR="00070777">
        <w:rPr>
          <w:rFonts w:cs="Arial"/>
          <w:szCs w:val="22"/>
        </w:rPr>
        <w:t> </w:t>
      </w:r>
      <w:r w:rsidR="00457501" w:rsidRPr="00457501">
        <w:rPr>
          <w:rFonts w:cs="Arial"/>
          <w:szCs w:val="22"/>
        </w:rPr>
        <w:t xml:space="preserve">tym aspekcie podzieliła się również p. Katarzyna Woźniak z Urzędu Miasta Poznania. Magdalena Michałowska wraz z Anną </w:t>
      </w:r>
      <w:proofErr w:type="spellStart"/>
      <w:r w:rsidR="00457501" w:rsidRPr="00457501">
        <w:rPr>
          <w:rFonts w:cs="Arial"/>
          <w:szCs w:val="22"/>
        </w:rPr>
        <w:t>Gemrą</w:t>
      </w:r>
      <w:proofErr w:type="spellEnd"/>
      <w:r w:rsidR="00457501" w:rsidRPr="00457501">
        <w:rPr>
          <w:rFonts w:cs="Arial"/>
          <w:szCs w:val="22"/>
        </w:rPr>
        <w:t> przedstawiły dobre praktyki w zakresie procedury udzielania zamówień publicznych, koncentrując się na jakościowych kryteriach w</w:t>
      </w:r>
      <w:r w:rsidR="00070777">
        <w:rPr>
          <w:rFonts w:cs="Arial"/>
          <w:szCs w:val="22"/>
        </w:rPr>
        <w:t> </w:t>
      </w:r>
      <w:r w:rsidR="00457501" w:rsidRPr="00457501">
        <w:rPr>
          <w:rFonts w:cs="Arial"/>
          <w:szCs w:val="22"/>
        </w:rPr>
        <w:t>przetargach na usługę tłumaczeń migowych. Spotkanie zakończyło się otwartą dyskusją z</w:t>
      </w:r>
      <w:r w:rsidR="00070777">
        <w:rPr>
          <w:rFonts w:cs="Arial"/>
          <w:szCs w:val="22"/>
        </w:rPr>
        <w:t> </w:t>
      </w:r>
      <w:r w:rsidR="00457501" w:rsidRPr="00457501">
        <w:rPr>
          <w:rFonts w:cs="Arial"/>
          <w:szCs w:val="22"/>
        </w:rPr>
        <w:t>uczestnikami, podczas której poruszano m.in. kwestie praktycznego stosowania przepisów oraz potrzebę dalszej edukacji w zakresie zamówień publicznych.</w:t>
      </w:r>
    </w:p>
    <w:p w14:paraId="3B397D59" w14:textId="2613F332" w:rsidR="00457501" w:rsidRPr="00457501" w:rsidRDefault="00457501" w:rsidP="00EF0996">
      <w:pPr>
        <w:shd w:val="clear" w:color="auto" w:fill="FFFFFF"/>
        <w:spacing w:before="120" w:line="360" w:lineRule="auto"/>
        <w:jc w:val="left"/>
        <w:rPr>
          <w:rFonts w:cs="Arial"/>
          <w:szCs w:val="22"/>
        </w:rPr>
      </w:pPr>
      <w:r w:rsidRPr="00457501">
        <w:rPr>
          <w:rFonts w:cs="Arial"/>
          <w:szCs w:val="22"/>
        </w:rPr>
        <w:t>Praktyka udzielania zamówień publicznych była również przedmiotem konferencji w </w:t>
      </w:r>
      <w:r w:rsidRPr="00457501">
        <w:rPr>
          <w:rFonts w:cs="Arial"/>
          <w:b/>
          <w:bCs/>
          <w:szCs w:val="22"/>
        </w:rPr>
        <w:t>Katowicach 30.09.20925</w:t>
      </w:r>
      <w:r w:rsidRPr="00457501">
        <w:rPr>
          <w:rFonts w:cs="Arial"/>
          <w:szCs w:val="22"/>
        </w:rPr>
        <w:t xml:space="preserve"> roku.</w:t>
      </w:r>
      <w:r w:rsidR="00990AEA">
        <w:rPr>
          <w:rFonts w:cs="Arial"/>
          <w:szCs w:val="22"/>
        </w:rPr>
        <w:t xml:space="preserve"> </w:t>
      </w:r>
      <w:r w:rsidRPr="00457501">
        <w:rPr>
          <w:rFonts w:cs="Arial"/>
          <w:szCs w:val="22"/>
        </w:rPr>
        <w:t>Wydarzenie zorganizowane z myślą o zamawiających i</w:t>
      </w:r>
      <w:r w:rsidR="00070777">
        <w:rPr>
          <w:rFonts w:cs="Arial"/>
          <w:szCs w:val="22"/>
        </w:rPr>
        <w:t> </w:t>
      </w:r>
      <w:r w:rsidRPr="00457501">
        <w:rPr>
          <w:rFonts w:cs="Arial"/>
          <w:szCs w:val="22"/>
        </w:rPr>
        <w:t xml:space="preserve">wykonawcach zgromadziło ekspertów oraz przedstawicieli administracji, którzy dzielili się doświadczeniami i dobrymi praktykami. Przygotowanie oferty w świetle zapisów Specyfikacji Warunków Zamówienia omówiła Katarzyna Woźniak, ekspert w zakresie zamówień publicznych. Magdalena Ostrowska z Ministerstwa Funduszy i Polityki Regionalnej naświetliła rolę partnera prywatnego w projektach partnerstwa publiczno-prywatnego. Z kolei dobre praktyki związane z kryteriami jakościowymi w postępowaniu na usługę tłumaczeń migowych przedstawiły: Magdalena Michałowska, ekspert zamówień publicznych oraz Anna </w:t>
      </w:r>
      <w:proofErr w:type="spellStart"/>
      <w:r w:rsidRPr="00457501">
        <w:rPr>
          <w:rFonts w:cs="Arial"/>
          <w:szCs w:val="22"/>
        </w:rPr>
        <w:t>Gemra</w:t>
      </w:r>
      <w:proofErr w:type="spellEnd"/>
      <w:r w:rsidRPr="00457501">
        <w:rPr>
          <w:rFonts w:cs="Arial"/>
          <w:szCs w:val="22"/>
        </w:rPr>
        <w:t>, ekspert w zakresie tłumaczeń. Natomiast praktyczne doświadczenia związane ze stosowaniem trybu dialogu konkurencyjnego omówili: mec. Jerzy Pieróg oraz mec. Paweł Skrodzki. Wydarzenie stanowiło platformę wymiany doświadczeń oraz dyskusji nad wyzwaniami i kierunkami rozwoju rynku zamówień publicznych w Polsce.</w:t>
      </w:r>
    </w:p>
    <w:p w14:paraId="29AA8E10" w14:textId="64F7AD67" w:rsidR="00FB71D1" w:rsidRPr="008A5999" w:rsidRDefault="00FB71D1" w:rsidP="00852522">
      <w:pPr>
        <w:pStyle w:val="Nagwek4"/>
      </w:pPr>
      <w:r>
        <w:t xml:space="preserve">3.2. </w:t>
      </w:r>
      <w:r w:rsidRPr="00FB71D1">
        <w:t>Konferencja „Kształtowanie umów w procesie zakupowym. Rozwiązywanie sporów w zamówieniach publicznych”</w:t>
      </w:r>
    </w:p>
    <w:p w14:paraId="1041A297" w14:textId="381547BA" w:rsidR="001C6AB7" w:rsidRPr="001C6AB7" w:rsidRDefault="001C6AB7" w:rsidP="00E83420">
      <w:pPr>
        <w:shd w:val="clear" w:color="auto" w:fill="FFFFFF"/>
        <w:spacing w:before="120" w:line="360" w:lineRule="auto"/>
        <w:jc w:val="left"/>
        <w:rPr>
          <w:rFonts w:cs="Arial"/>
          <w:szCs w:val="22"/>
        </w:rPr>
      </w:pPr>
      <w:r w:rsidRPr="001C6AB7">
        <w:rPr>
          <w:rFonts w:cs="Arial"/>
          <w:b/>
          <w:bCs/>
          <w:szCs w:val="22"/>
        </w:rPr>
        <w:t>20.09.2025 r. w Warszawie</w:t>
      </w:r>
      <w:r w:rsidRPr="001C6AB7">
        <w:rPr>
          <w:rFonts w:cs="Arial"/>
          <w:szCs w:val="22"/>
        </w:rPr>
        <w:t xml:space="preserve"> odbyło się spotkanie przedstawicieli przedsiębiorców i instytucji publicznych poświęcone kluczowym aspektom kształtowania umów oraz rozwiązywania sporów w procesie zamówień publicznych. Prezes Urzędu Agnieszka Olszewska w swoim wystąpieniu podkreśliła znaczenie dialogu między zamawiającymi a wykonawcami dla zwiększania jakości oraz bezpieczeństwa kontraktów publicznych. W dalszej części wydarzenia wiedzą i doświadczeniem dzielili się zaproszeni prelegenci.</w:t>
      </w:r>
      <w:r w:rsidR="00990AEA">
        <w:rPr>
          <w:rFonts w:cs="Arial"/>
          <w:szCs w:val="22"/>
        </w:rPr>
        <w:t xml:space="preserve"> </w:t>
      </w:r>
      <w:r w:rsidRPr="001C6AB7">
        <w:rPr>
          <w:rFonts w:cs="Arial"/>
          <w:szCs w:val="22"/>
        </w:rPr>
        <w:t xml:space="preserve">Piotr Pieprzyca, Prezes Zarządu Ogólnopolskiego Stowarzyszenia Konsultantów Zamówień Publicznych, poruszył temat możliwości współtworzenia wzorów umów przez zamawiających i wykonawców. Ivo Kucharczuk, Radca Prokuratorii Generalnej RP, przybliżył kwestie praktyczne wynikające ze specyfiki sektora publicznego w kontekście umów w zamówieniach publicznych. Z kolei Agnieszka Suchecka, Członek Rady Zamówień Publicznych, przedstawiła zasady zawierania ugód oraz korzyści wynikające z mediacji i alternatywnych form rozwiązywania sporów. Z zagadnieniami dotyczącymi postępowań odwoławczych i nadchodzących zmian związanych z rozprawami zdalnymi zapoznała uczestników Anna Kuszel-Kowalczyk, Wiceprezes Krajowej Izby Odwoławczej. Na koniec Krzysztof </w:t>
      </w:r>
      <w:proofErr w:type="spellStart"/>
      <w:r w:rsidRPr="001C6AB7">
        <w:rPr>
          <w:rFonts w:cs="Arial"/>
          <w:szCs w:val="22"/>
        </w:rPr>
        <w:t>Mierkiewicz</w:t>
      </w:r>
      <w:proofErr w:type="spellEnd"/>
      <w:r w:rsidRPr="001C6AB7">
        <w:rPr>
          <w:rFonts w:cs="Arial"/>
          <w:szCs w:val="22"/>
        </w:rPr>
        <w:t xml:space="preserve">, naczelnik Wydziału w Departamencie Partnerstwa Publiczno-Prywatnego, Ministerstwa Funduszy i Polityki Regionalnej omówił możliwości wykorzystania partnerstwa publiczno-prywatnego w inwestycjach publicznych. </w:t>
      </w:r>
    </w:p>
    <w:p w14:paraId="72AEBC34" w14:textId="07E5E3B9" w:rsidR="001C6AB7" w:rsidRPr="008A5999" w:rsidRDefault="001C6AB7" w:rsidP="00852522">
      <w:pPr>
        <w:pStyle w:val="Nagwek4"/>
      </w:pPr>
      <w:r>
        <w:t xml:space="preserve">3.3. </w:t>
      </w:r>
      <w:r w:rsidRPr="001C6AB7">
        <w:t>Konferencja „Konflikt interesów w zamówieniach publicznych”</w:t>
      </w:r>
    </w:p>
    <w:p w14:paraId="61C7BAD0" w14:textId="00C86535" w:rsidR="001C6AB7" w:rsidRPr="001C6AB7" w:rsidRDefault="00BB12DD" w:rsidP="00E83420">
      <w:pPr>
        <w:shd w:val="clear" w:color="auto" w:fill="FFFFFF"/>
        <w:spacing w:before="120" w:line="360" w:lineRule="auto"/>
        <w:jc w:val="left"/>
        <w:rPr>
          <w:rFonts w:cs="Arial"/>
          <w:szCs w:val="22"/>
        </w:rPr>
      </w:pPr>
      <w:r w:rsidRPr="00BB12DD">
        <w:rPr>
          <w:rFonts w:cs="Arial"/>
          <w:noProof/>
          <w:szCs w:val="22"/>
        </w:rPr>
        <w:drawing>
          <wp:anchor distT="0" distB="0" distL="114300" distR="114300" simplePos="0" relativeHeight="251666432" behindDoc="0" locked="0" layoutInCell="1" allowOverlap="1" wp14:anchorId="1FE2F723" wp14:editId="6D98903B">
            <wp:simplePos x="0" y="0"/>
            <wp:positionH relativeFrom="column">
              <wp:posOffset>-443230</wp:posOffset>
            </wp:positionH>
            <wp:positionV relativeFrom="paragraph">
              <wp:posOffset>1040765</wp:posOffset>
            </wp:positionV>
            <wp:extent cx="3168000" cy="2376000"/>
            <wp:effectExtent l="0" t="0" r="0" b="5715"/>
            <wp:wrapSquare wrapText="right"/>
            <wp:docPr id="10" name="Obraz 10"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michals\Desktop\84ac130e-c3e2-483e-8f90-eb12ad213413.jfif"/>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68000" cy="23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6AB7" w:rsidRPr="001C6AB7">
        <w:rPr>
          <w:rFonts w:cs="Arial"/>
          <w:szCs w:val="22"/>
        </w:rPr>
        <w:t xml:space="preserve">Wydarzenie, które stworzyło przestrzeń do wymiany doświadczeń i omówienia najnowszych wyzwań w obszarze uczciwej konkurencji i przejrzystości postępowań, była konferencja zorganizowana przez Urząd Zamówień Publicznych </w:t>
      </w:r>
      <w:r w:rsidR="001C6AB7" w:rsidRPr="001C6AB7">
        <w:rPr>
          <w:rFonts w:cs="Arial"/>
          <w:b/>
          <w:bCs/>
          <w:szCs w:val="22"/>
        </w:rPr>
        <w:t>w Warszawie 2.12.2025 roku</w:t>
      </w:r>
      <w:r w:rsidR="001C6AB7" w:rsidRPr="001C6AB7">
        <w:rPr>
          <w:rFonts w:cs="Arial"/>
          <w:szCs w:val="22"/>
        </w:rPr>
        <w:t xml:space="preserve"> pt. „Konflikt interesów w zamówieniach publicznych”. Zaproszeni eksperci oraz reprezentanci instytucji przedstawili uczestnikom różne aspekty dotyczące konfliktu interesów, a także zmów przetargowych. Temat konfliktu interesów w świetle wyników kontroli NIK, OLAF, RIO oraz Instytucji Audytowych omówił Krzysztof Puchacz. Dawid Pająk z</w:t>
      </w:r>
      <w:r w:rsidR="00070777">
        <w:rPr>
          <w:rFonts w:cs="Arial"/>
          <w:szCs w:val="22"/>
        </w:rPr>
        <w:t> </w:t>
      </w:r>
      <w:r w:rsidR="001C6AB7" w:rsidRPr="001C6AB7">
        <w:rPr>
          <w:rFonts w:cs="Arial"/>
          <w:szCs w:val="22"/>
        </w:rPr>
        <w:t>Komendy Głównej Policji omówił przykłady działań korupcyjnych mogących prowadzić do konfliktu interesów. Przeglądu istotnych wniosków z orzecznictwa antymonopolowego dotyczącego zmów wykonawców dokonał Maciej Żelewski. Marta Kruszka z Urzędu Ochrony Konkurencji i</w:t>
      </w:r>
      <w:r w:rsidR="005C2877">
        <w:rPr>
          <w:rFonts w:cs="Arial"/>
          <w:szCs w:val="22"/>
        </w:rPr>
        <w:t> </w:t>
      </w:r>
      <w:r w:rsidR="001C6AB7" w:rsidRPr="001C6AB7">
        <w:rPr>
          <w:rFonts w:cs="Arial"/>
          <w:szCs w:val="22"/>
        </w:rPr>
        <w:t>Konsumentów opowiedziała o metodach wykrywania i zwalczania zmów przetargowych. Kwestię rozumienia konfliktu interesów w świetle regulacji Prawa zamówień publicznych przedstawił Mariusz Ciosek, Dyrektor Departamentu Kontroli Zamówień Publicznych UZP.</w:t>
      </w:r>
    </w:p>
    <w:p w14:paraId="143A60F0" w14:textId="4EC17D2A" w:rsidR="001C6AB7" w:rsidRPr="00D63292" w:rsidRDefault="001C6AB7" w:rsidP="00852522">
      <w:pPr>
        <w:pStyle w:val="Nagwek4"/>
        <w:rPr>
          <w:lang w:val="en-US"/>
        </w:rPr>
      </w:pPr>
      <w:r w:rsidRPr="00D63292">
        <w:rPr>
          <w:lang w:val="en-US"/>
        </w:rPr>
        <w:t xml:space="preserve">3.4. Konferencja </w:t>
      </w:r>
      <w:proofErr w:type="spellStart"/>
      <w:r w:rsidRPr="00D63292">
        <w:rPr>
          <w:lang w:val="en-US"/>
        </w:rPr>
        <w:t>inaugurująca</w:t>
      </w:r>
      <w:proofErr w:type="spellEnd"/>
      <w:r w:rsidRPr="00D63292">
        <w:rPr>
          <w:lang w:val="en-US"/>
        </w:rPr>
        <w:t xml:space="preserve"> </w:t>
      </w:r>
      <w:proofErr w:type="spellStart"/>
      <w:r w:rsidRPr="00D63292">
        <w:rPr>
          <w:lang w:val="en-US"/>
        </w:rPr>
        <w:t>projekt</w:t>
      </w:r>
      <w:proofErr w:type="spellEnd"/>
      <w:r w:rsidRPr="00D63292">
        <w:rPr>
          <w:lang w:val="en-US"/>
        </w:rPr>
        <w:t xml:space="preserve"> „Data-driven Public Procurement Reform in Poland”</w:t>
      </w:r>
    </w:p>
    <w:p w14:paraId="691B7007" w14:textId="644E132A" w:rsidR="00AE0B2B" w:rsidRPr="00AE0B2B" w:rsidRDefault="00AE0B2B" w:rsidP="00E83420">
      <w:pPr>
        <w:shd w:val="clear" w:color="auto" w:fill="FFFFFF"/>
        <w:spacing w:before="120" w:line="360" w:lineRule="auto"/>
        <w:jc w:val="left"/>
        <w:rPr>
          <w:rFonts w:cs="Arial"/>
          <w:szCs w:val="22"/>
        </w:rPr>
      </w:pPr>
      <w:r w:rsidRPr="00AE0B2B">
        <w:rPr>
          <w:rFonts w:cs="Arial"/>
          <w:szCs w:val="22"/>
        </w:rPr>
        <w:t>Usprawnienie procesu gromadzenia, zarządzania i wykorzystania danych o zamówieniach publicznych to cel, który przyświecał inicjatywie „Data-</w:t>
      </w:r>
      <w:proofErr w:type="spellStart"/>
      <w:r w:rsidRPr="00AE0B2B">
        <w:rPr>
          <w:rFonts w:cs="Arial"/>
          <w:szCs w:val="22"/>
        </w:rPr>
        <w:t>driven</w:t>
      </w:r>
      <w:proofErr w:type="spellEnd"/>
      <w:r w:rsidRPr="00AE0B2B">
        <w:rPr>
          <w:rFonts w:cs="Arial"/>
          <w:szCs w:val="22"/>
        </w:rPr>
        <w:t xml:space="preserve"> Public </w:t>
      </w:r>
      <w:proofErr w:type="spellStart"/>
      <w:r w:rsidRPr="00AE0B2B">
        <w:rPr>
          <w:rFonts w:cs="Arial"/>
          <w:szCs w:val="22"/>
        </w:rPr>
        <w:t>Procurement</w:t>
      </w:r>
      <w:proofErr w:type="spellEnd"/>
      <w:r w:rsidRPr="00AE0B2B">
        <w:rPr>
          <w:rFonts w:cs="Arial"/>
          <w:szCs w:val="22"/>
        </w:rPr>
        <w:t xml:space="preserve"> Reform in</w:t>
      </w:r>
      <w:r w:rsidR="005C2877">
        <w:rPr>
          <w:rFonts w:cs="Arial"/>
          <w:szCs w:val="22"/>
        </w:rPr>
        <w:t> </w:t>
      </w:r>
      <w:r w:rsidRPr="00AE0B2B">
        <w:rPr>
          <w:rFonts w:cs="Arial"/>
          <w:szCs w:val="22"/>
        </w:rPr>
        <w:t>Poland”, realizowanej przez Urząd Zamówień Publicznych we współpracy z Komisją Europejską oraz OECD. Jest to jeden ze 130 projektów, który uzyskał wsparcie KE w</w:t>
      </w:r>
      <w:r w:rsidR="005C2877">
        <w:rPr>
          <w:rFonts w:cs="Arial"/>
          <w:szCs w:val="22"/>
        </w:rPr>
        <w:t> </w:t>
      </w:r>
      <w:r w:rsidRPr="00AE0B2B">
        <w:rPr>
          <w:rFonts w:cs="Arial"/>
          <w:szCs w:val="22"/>
        </w:rPr>
        <w:t xml:space="preserve">ramach tegorocznej edycji Instrumentu Wsparcia Technicznego (TSI). </w:t>
      </w:r>
    </w:p>
    <w:p w14:paraId="5CA5A3B8" w14:textId="5EE1BE32" w:rsidR="00AE0B2B" w:rsidRPr="00AE0B2B" w:rsidRDefault="00AE0B2B" w:rsidP="00E83420">
      <w:pPr>
        <w:shd w:val="clear" w:color="auto" w:fill="FFFFFF"/>
        <w:spacing w:before="120" w:line="360" w:lineRule="auto"/>
        <w:jc w:val="left"/>
        <w:rPr>
          <w:rFonts w:cs="Arial"/>
          <w:szCs w:val="22"/>
        </w:rPr>
      </w:pPr>
      <w:r w:rsidRPr="00AE0B2B">
        <w:rPr>
          <w:rFonts w:cs="Arial"/>
          <w:szCs w:val="22"/>
        </w:rPr>
        <w:t>Tylko w roku poprzedzającym konferencję na podstawie Prawa Zamówień Publicznych udzielonych zostało ok. 153 tys. zamówień na kwotę ponad 330 mld złotych. Z każdym z</w:t>
      </w:r>
      <w:r w:rsidR="005C2877">
        <w:rPr>
          <w:rFonts w:cs="Arial"/>
          <w:szCs w:val="22"/>
        </w:rPr>
        <w:t> </w:t>
      </w:r>
      <w:r w:rsidRPr="00AE0B2B">
        <w:rPr>
          <w:rFonts w:cs="Arial"/>
          <w:szCs w:val="22"/>
        </w:rPr>
        <w:t>nich był związany olbrzymi wolumen cennych danych, których integracja mogłaby pozwolić na optymalizację polityk publicznych, przekrojową analizę rynku, przewidywanie makroekonomicznych trendów czy lepsze zarządzanie procesem zakupowym. Stworzenie tej nowej architektury danych o zamówieniach publicznych w Polsce, realizowane przez Urząd Zamówień Publicznych, uzyskało właśnie wsparcie Komisji Europejskiej i Organizacji Współpracy Gospodarczej i Rozwoju (OECD).</w:t>
      </w:r>
    </w:p>
    <w:p w14:paraId="5986A841" w14:textId="39C0176B" w:rsidR="00AE0B2B" w:rsidRPr="00AE0B2B" w:rsidRDefault="00AE0B2B" w:rsidP="00E83420">
      <w:pPr>
        <w:shd w:val="clear" w:color="auto" w:fill="FFFFFF"/>
        <w:spacing w:before="120" w:line="360" w:lineRule="auto"/>
        <w:jc w:val="left"/>
        <w:rPr>
          <w:rFonts w:cs="Arial"/>
          <w:szCs w:val="22"/>
        </w:rPr>
      </w:pPr>
      <w:r w:rsidRPr="00AE0B2B">
        <w:rPr>
          <w:rFonts w:cs="Arial"/>
          <w:szCs w:val="22"/>
        </w:rPr>
        <w:t>Dostęp do informacji oraz wykorzystywanie ich potencjału jest dziś jednym z najcenniejszych zasobów: zarówno dla prywatnego biznesu, jak i administracji publicznej czy samorządowej. Dotyczy to w szczególności obszaru zamówień publicznych, odgrywającego kluczową rolę w funkcjonowaniu polskiej gospodarki, rozbudowie infrastruktury naszego kraju, codziennym funkcjonowaniu szeregu instytucji, urzędów, placówek.</w:t>
      </w:r>
    </w:p>
    <w:p w14:paraId="1DF19A5C" w14:textId="62D6C915" w:rsidR="00AE0B2B" w:rsidRPr="00AE0B2B" w:rsidRDefault="00AE0B2B" w:rsidP="00E83420">
      <w:pPr>
        <w:shd w:val="clear" w:color="auto" w:fill="FFFFFF"/>
        <w:spacing w:before="120" w:line="360" w:lineRule="auto"/>
        <w:jc w:val="left"/>
        <w:rPr>
          <w:rFonts w:cs="Arial"/>
          <w:szCs w:val="22"/>
        </w:rPr>
      </w:pPr>
      <w:r w:rsidRPr="00AE0B2B">
        <w:rPr>
          <w:rFonts w:cs="Arial"/>
          <w:szCs w:val="22"/>
        </w:rPr>
        <w:t>Dzięki projektowi „Data-</w:t>
      </w:r>
      <w:proofErr w:type="spellStart"/>
      <w:r w:rsidRPr="00AE0B2B">
        <w:rPr>
          <w:rFonts w:cs="Arial"/>
          <w:szCs w:val="22"/>
        </w:rPr>
        <w:t>driven</w:t>
      </w:r>
      <w:proofErr w:type="spellEnd"/>
      <w:r w:rsidRPr="00AE0B2B">
        <w:rPr>
          <w:rFonts w:cs="Arial"/>
          <w:szCs w:val="22"/>
        </w:rPr>
        <w:t xml:space="preserve"> Public </w:t>
      </w:r>
      <w:proofErr w:type="spellStart"/>
      <w:r w:rsidRPr="00AE0B2B">
        <w:rPr>
          <w:rFonts w:cs="Arial"/>
          <w:szCs w:val="22"/>
        </w:rPr>
        <w:t>Procurement</w:t>
      </w:r>
      <w:proofErr w:type="spellEnd"/>
      <w:r w:rsidRPr="00AE0B2B">
        <w:rPr>
          <w:rFonts w:cs="Arial"/>
          <w:szCs w:val="22"/>
        </w:rPr>
        <w:t xml:space="preserve"> Reform in Poland” możliwa będzie dokładna identyfikacja istotnych informacji o całym rynku, np.</w:t>
      </w:r>
      <w:r w:rsidR="00990AEA">
        <w:rPr>
          <w:rFonts w:cs="Arial"/>
          <w:szCs w:val="22"/>
        </w:rPr>
        <w:t xml:space="preserve"> </w:t>
      </w:r>
      <w:r w:rsidRPr="00AE0B2B">
        <w:rPr>
          <w:rFonts w:cs="Arial"/>
          <w:szCs w:val="22"/>
        </w:rPr>
        <w:t>wpływu wykorzystanych narzędzi na efektywność procedur, czynników przyczyniających się do nadmiarowej liczby unieważnień, ryzyka powstania monopoli etc. Korzyści odczuje zarówno sam Urząd, jak i</w:t>
      </w:r>
      <w:r w:rsidR="005C2877">
        <w:rPr>
          <w:rFonts w:cs="Arial"/>
          <w:szCs w:val="22"/>
        </w:rPr>
        <w:t> </w:t>
      </w:r>
      <w:r w:rsidRPr="00AE0B2B">
        <w:rPr>
          <w:rFonts w:cs="Arial"/>
          <w:szCs w:val="22"/>
        </w:rPr>
        <w:t>cały rynek: to lepszy dostęp do danych i możliwość wyciągania z nich wniosków oznacza większą racjonalność zakupów publicznych oraz tworzenie równych szans dla wszystkich interesariuszy.</w:t>
      </w:r>
    </w:p>
    <w:p w14:paraId="58BB7F9B" w14:textId="77777777" w:rsidR="00AE0B2B" w:rsidRPr="00AE0B2B" w:rsidRDefault="00AE0B2B" w:rsidP="00E83420">
      <w:pPr>
        <w:shd w:val="clear" w:color="auto" w:fill="FFFFFF"/>
        <w:spacing w:before="120" w:line="360" w:lineRule="auto"/>
        <w:jc w:val="left"/>
        <w:rPr>
          <w:rFonts w:cs="Arial"/>
          <w:szCs w:val="22"/>
        </w:rPr>
      </w:pPr>
      <w:r w:rsidRPr="00AE0B2B">
        <w:rPr>
          <w:rFonts w:cs="Arial"/>
          <w:szCs w:val="22"/>
        </w:rPr>
        <w:t>Podczas konferencji, w której uczestniczyli przedstawiciele UZP, KE, OECD oraz polskiej administracji rządowej i samorządowej, przedstawiono kolejne etapy realizacji projektu „Data-</w:t>
      </w:r>
      <w:proofErr w:type="spellStart"/>
      <w:r w:rsidRPr="00AE0B2B">
        <w:rPr>
          <w:rFonts w:cs="Arial"/>
          <w:szCs w:val="22"/>
        </w:rPr>
        <w:t>driven</w:t>
      </w:r>
      <w:proofErr w:type="spellEnd"/>
      <w:r w:rsidRPr="00AE0B2B">
        <w:rPr>
          <w:rFonts w:cs="Arial"/>
          <w:szCs w:val="22"/>
        </w:rPr>
        <w:t xml:space="preserve"> Public </w:t>
      </w:r>
      <w:proofErr w:type="spellStart"/>
      <w:r w:rsidRPr="00AE0B2B">
        <w:rPr>
          <w:rFonts w:cs="Arial"/>
          <w:szCs w:val="22"/>
        </w:rPr>
        <w:t>Procurement</w:t>
      </w:r>
      <w:proofErr w:type="spellEnd"/>
      <w:r w:rsidRPr="00AE0B2B">
        <w:rPr>
          <w:rFonts w:cs="Arial"/>
          <w:szCs w:val="22"/>
        </w:rPr>
        <w:t xml:space="preserve"> Reform in Poland”. </w:t>
      </w:r>
    </w:p>
    <w:p w14:paraId="2C1B4263" w14:textId="772F9A77" w:rsidR="00AE0B2B" w:rsidRPr="00AE0B2B" w:rsidRDefault="00B60185" w:rsidP="00E83420">
      <w:pPr>
        <w:shd w:val="clear" w:color="auto" w:fill="FFFFFF"/>
        <w:spacing w:before="120" w:line="360" w:lineRule="auto"/>
        <w:jc w:val="left"/>
        <w:rPr>
          <w:rFonts w:cs="Arial"/>
          <w:szCs w:val="22"/>
        </w:rPr>
      </w:pPr>
      <w:r w:rsidRPr="00B60185">
        <w:rPr>
          <w:rFonts w:cs="Arial"/>
          <w:noProof/>
          <w:szCs w:val="22"/>
        </w:rPr>
        <w:drawing>
          <wp:anchor distT="0" distB="0" distL="114300" distR="114300" simplePos="0" relativeHeight="251667456" behindDoc="0" locked="0" layoutInCell="1" allowOverlap="1" wp14:anchorId="0B3C5AA9" wp14:editId="13112191">
            <wp:simplePos x="0" y="0"/>
            <wp:positionH relativeFrom="column">
              <wp:posOffset>2871470</wp:posOffset>
            </wp:positionH>
            <wp:positionV relativeFrom="paragraph">
              <wp:posOffset>565785</wp:posOffset>
            </wp:positionV>
            <wp:extent cx="3452400" cy="2300400"/>
            <wp:effectExtent l="0" t="0" r="0" b="5080"/>
            <wp:wrapSquare wrapText="left"/>
            <wp:docPr id="13" name="Obraz 13"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michals\Desktop\6051de20-993a-40d2-9265-52f4df5e2ce5.jfif"/>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52400" cy="230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0B2B" w:rsidRPr="00AE0B2B">
        <w:rPr>
          <w:rFonts w:cs="Arial"/>
          <w:szCs w:val="22"/>
        </w:rPr>
        <w:t>W wydarzeniu, wzięli udział w charakterze prelegentów reprezentanci Urzędu Zamówień Publicznych, Komisji Europejskiej, OECD oraz instytucji i organizacji, którym bliska jest tematyka danych dotyczących zamówień publicznych: Agnieszka Olszewska, Prezes UZP; Przemysław Grosfeld, Wiceprezes UZP; Robert Król, Dyrektor Departame</w:t>
      </w:r>
      <w:r w:rsidR="00370364">
        <w:rPr>
          <w:rFonts w:cs="Arial"/>
          <w:szCs w:val="22"/>
        </w:rPr>
        <w:t>n</w:t>
      </w:r>
      <w:r w:rsidR="00AE0B2B" w:rsidRPr="00AE0B2B">
        <w:rPr>
          <w:rFonts w:cs="Arial"/>
          <w:szCs w:val="22"/>
        </w:rPr>
        <w:t xml:space="preserve">tu Danych i Informatyzacji UZP; Florian Hauser, p.o. Szefa Jednostki ds. Zarządzania i Administracji Publicznej, Grupa Zadaniowa ds. Reform i Inwestycji (SG REFORM), Komisja Europejska; </w:t>
      </w:r>
      <w:proofErr w:type="spellStart"/>
      <w:r w:rsidR="00AE0B2B" w:rsidRPr="00AE0B2B">
        <w:rPr>
          <w:rFonts w:cs="Arial"/>
          <w:szCs w:val="22"/>
        </w:rPr>
        <w:t>János</w:t>
      </w:r>
      <w:proofErr w:type="spellEnd"/>
      <w:r w:rsidR="00AE0B2B" w:rsidRPr="00AE0B2B">
        <w:rPr>
          <w:rFonts w:cs="Arial"/>
          <w:szCs w:val="22"/>
        </w:rPr>
        <w:t xml:space="preserve"> </w:t>
      </w:r>
      <w:proofErr w:type="spellStart"/>
      <w:r w:rsidR="00AE0B2B" w:rsidRPr="00AE0B2B">
        <w:rPr>
          <w:rFonts w:cs="Arial"/>
          <w:szCs w:val="22"/>
        </w:rPr>
        <w:t>Bertók</w:t>
      </w:r>
      <w:proofErr w:type="spellEnd"/>
      <w:r w:rsidR="00AE0B2B" w:rsidRPr="00AE0B2B">
        <w:rPr>
          <w:rFonts w:cs="Arial"/>
          <w:szCs w:val="22"/>
        </w:rPr>
        <w:t xml:space="preserve">, Zastępca Dyrektora, Dyrektoriat ds. Zarządzania Publicznego, OECD; Paulo </w:t>
      </w:r>
      <w:proofErr w:type="spellStart"/>
      <w:r w:rsidR="00AE0B2B" w:rsidRPr="00AE0B2B">
        <w:rPr>
          <w:rFonts w:cs="Arial"/>
          <w:szCs w:val="22"/>
        </w:rPr>
        <w:t>Magina</w:t>
      </w:r>
      <w:proofErr w:type="spellEnd"/>
      <w:r w:rsidR="00AE0B2B" w:rsidRPr="00AE0B2B">
        <w:rPr>
          <w:rFonts w:cs="Arial"/>
          <w:szCs w:val="22"/>
        </w:rPr>
        <w:t xml:space="preserve">, Szef Działu ds. Infrastruktury i Zamówień Publicznych, OECD; Thomas </w:t>
      </w:r>
      <w:proofErr w:type="spellStart"/>
      <w:r w:rsidR="00AE0B2B" w:rsidRPr="00AE0B2B">
        <w:rPr>
          <w:rFonts w:cs="Arial"/>
          <w:szCs w:val="22"/>
        </w:rPr>
        <w:t>Giacoletto</w:t>
      </w:r>
      <w:proofErr w:type="spellEnd"/>
      <w:r w:rsidR="00AE0B2B" w:rsidRPr="00AE0B2B">
        <w:rPr>
          <w:rFonts w:cs="Arial"/>
          <w:szCs w:val="22"/>
        </w:rPr>
        <w:t xml:space="preserve">, Policy </w:t>
      </w:r>
      <w:proofErr w:type="spellStart"/>
      <w:r w:rsidR="00AE0B2B" w:rsidRPr="00AE0B2B">
        <w:rPr>
          <w:rFonts w:cs="Arial"/>
          <w:szCs w:val="22"/>
        </w:rPr>
        <w:t>Officer</w:t>
      </w:r>
      <w:proofErr w:type="spellEnd"/>
      <w:r w:rsidR="00AE0B2B" w:rsidRPr="00AE0B2B">
        <w:rPr>
          <w:rFonts w:cs="Arial"/>
          <w:szCs w:val="22"/>
        </w:rPr>
        <w:t>, Grupa Zadaniowa ds. Reform i</w:t>
      </w:r>
      <w:r w:rsidR="005C2877">
        <w:rPr>
          <w:rFonts w:cs="Arial"/>
          <w:szCs w:val="22"/>
        </w:rPr>
        <w:t> </w:t>
      </w:r>
      <w:r w:rsidR="00AE0B2B" w:rsidRPr="00AE0B2B">
        <w:rPr>
          <w:rFonts w:cs="Arial"/>
          <w:szCs w:val="22"/>
        </w:rPr>
        <w:t xml:space="preserve">Inwestycji (SG REFORM), Komisja Europejska; Simon Cox, Analityk ds. Polityk, Dział ds. Infrastruktury i Zamówień Publicznych, OECD; </w:t>
      </w:r>
      <w:proofErr w:type="spellStart"/>
      <w:r w:rsidR="00AE0B2B" w:rsidRPr="00AE0B2B">
        <w:rPr>
          <w:rFonts w:cs="Arial"/>
          <w:szCs w:val="22"/>
        </w:rPr>
        <w:t>Karolis</w:t>
      </w:r>
      <w:proofErr w:type="spellEnd"/>
      <w:r w:rsidR="00AE0B2B" w:rsidRPr="00AE0B2B">
        <w:rPr>
          <w:rFonts w:cs="Arial"/>
          <w:szCs w:val="22"/>
        </w:rPr>
        <w:t xml:space="preserve"> </w:t>
      </w:r>
      <w:proofErr w:type="spellStart"/>
      <w:r w:rsidR="00AE0B2B" w:rsidRPr="00AE0B2B">
        <w:rPr>
          <w:rFonts w:cs="Arial"/>
          <w:szCs w:val="22"/>
        </w:rPr>
        <w:t>Granickas</w:t>
      </w:r>
      <w:proofErr w:type="spellEnd"/>
      <w:r w:rsidR="00AE0B2B" w:rsidRPr="00AE0B2B">
        <w:rPr>
          <w:rFonts w:cs="Arial"/>
          <w:szCs w:val="22"/>
        </w:rPr>
        <w:t xml:space="preserve">, Szef na Europę w organizacji Open </w:t>
      </w:r>
      <w:proofErr w:type="spellStart"/>
      <w:r w:rsidR="00AE0B2B" w:rsidRPr="00AE0B2B">
        <w:rPr>
          <w:rFonts w:cs="Arial"/>
          <w:szCs w:val="22"/>
        </w:rPr>
        <w:t>Contracting</w:t>
      </w:r>
      <w:proofErr w:type="spellEnd"/>
      <w:r w:rsidR="00AE0B2B" w:rsidRPr="00AE0B2B">
        <w:rPr>
          <w:rFonts w:cs="Arial"/>
          <w:szCs w:val="22"/>
        </w:rPr>
        <w:t xml:space="preserve"> </w:t>
      </w:r>
      <w:proofErr w:type="spellStart"/>
      <w:r w:rsidR="00AE0B2B" w:rsidRPr="00AE0B2B">
        <w:rPr>
          <w:rFonts w:cs="Arial"/>
          <w:szCs w:val="22"/>
        </w:rPr>
        <w:t>Partnership</w:t>
      </w:r>
      <w:proofErr w:type="spellEnd"/>
      <w:r w:rsidR="00AE0B2B" w:rsidRPr="00AE0B2B">
        <w:rPr>
          <w:rFonts w:cs="Arial"/>
          <w:szCs w:val="22"/>
        </w:rPr>
        <w:t xml:space="preserve">; </w:t>
      </w:r>
      <w:proofErr w:type="spellStart"/>
      <w:r w:rsidR="00AE0B2B" w:rsidRPr="00AE0B2B">
        <w:rPr>
          <w:rFonts w:cs="Arial"/>
          <w:szCs w:val="22"/>
        </w:rPr>
        <w:t>Timo</w:t>
      </w:r>
      <w:proofErr w:type="spellEnd"/>
      <w:r w:rsidR="00AE0B2B" w:rsidRPr="00AE0B2B">
        <w:rPr>
          <w:rFonts w:cs="Arial"/>
          <w:szCs w:val="22"/>
        </w:rPr>
        <w:t xml:space="preserve"> </w:t>
      </w:r>
      <w:proofErr w:type="spellStart"/>
      <w:r w:rsidR="00AE0B2B" w:rsidRPr="00AE0B2B">
        <w:rPr>
          <w:rFonts w:cs="Arial"/>
          <w:szCs w:val="22"/>
        </w:rPr>
        <w:t>Rantanen</w:t>
      </w:r>
      <w:proofErr w:type="spellEnd"/>
      <w:r w:rsidR="00AE0B2B" w:rsidRPr="00AE0B2B">
        <w:rPr>
          <w:rFonts w:cs="Arial"/>
          <w:szCs w:val="22"/>
        </w:rPr>
        <w:t>, Oficer ds. Polityk, Skarb Państwa Finlandii.</w:t>
      </w:r>
    </w:p>
    <w:p w14:paraId="2CCEAB14" w14:textId="77777777" w:rsidR="00AE0B2B" w:rsidRPr="00AE0B2B" w:rsidRDefault="00AE0B2B" w:rsidP="00E83420">
      <w:pPr>
        <w:shd w:val="clear" w:color="auto" w:fill="FFFFFF"/>
        <w:spacing w:before="120" w:line="360" w:lineRule="auto"/>
        <w:jc w:val="left"/>
        <w:rPr>
          <w:rFonts w:cs="Arial"/>
          <w:szCs w:val="22"/>
        </w:rPr>
      </w:pPr>
      <w:r w:rsidRPr="00AE0B2B">
        <w:rPr>
          <w:rFonts w:cs="Arial"/>
          <w:szCs w:val="22"/>
        </w:rPr>
        <w:t xml:space="preserve">Ważne głosy w dyskusji stały się również udziałem reprezentantów polskiej administracji rządowej i samorządowej: Michał Piwowarczyk, Zastępca Dyrektora Departamentu Partnerstwa Publiczno-Prywatnego, Ministerstwo Funduszy i Polityki Regionalnej; Monika Krupa-Leończyk, Zastępca Dyrektora Departamentu Prawa i Analiz Gospodarczych, Ministerstwo Rozwoju i Technologii; Ewa Stankiewicz, Zastępca Dyrektora Departamentu Prawnego, Generalna Dyrekcja Dróg Krajowych i Autostrad; Katarzyna Woźniak, Dyrektor ds. Zamówień Publicznych, Urząd Miasta Poznania. </w:t>
      </w:r>
    </w:p>
    <w:p w14:paraId="1F51F324" w14:textId="4C053868" w:rsidR="00AE0B2B" w:rsidRPr="00AE0B2B" w:rsidRDefault="00AE0B2B" w:rsidP="00852522">
      <w:pPr>
        <w:pStyle w:val="Nagwek4"/>
      </w:pPr>
      <w:r w:rsidRPr="00AE0B2B">
        <w:t>3.5. Spotkanie Zespołu roboczego ds. stworzenia ułatwień w zakresie udzielania zamówień publicznych w dziedzinie nauki</w:t>
      </w:r>
    </w:p>
    <w:p w14:paraId="48A92A2B" w14:textId="0AE8E68A" w:rsidR="006620BE" w:rsidRPr="006620BE" w:rsidRDefault="006620BE" w:rsidP="00DD2DF3">
      <w:pPr>
        <w:shd w:val="clear" w:color="auto" w:fill="FFFFFF"/>
        <w:spacing w:before="120" w:line="360" w:lineRule="auto"/>
        <w:jc w:val="left"/>
        <w:rPr>
          <w:rFonts w:cs="Arial"/>
          <w:szCs w:val="22"/>
        </w:rPr>
      </w:pPr>
      <w:r w:rsidRPr="006620BE">
        <w:rPr>
          <w:rFonts w:cs="Arial"/>
          <w:b/>
          <w:bCs/>
          <w:szCs w:val="22"/>
        </w:rPr>
        <w:t>12.12.2025 roku w Warszawie</w:t>
      </w:r>
      <w:r w:rsidRPr="006620BE">
        <w:rPr>
          <w:rFonts w:cs="Arial"/>
          <w:szCs w:val="22"/>
        </w:rPr>
        <w:t xml:space="preserve"> miało miejsce spotkanie Zespołu roboczego ds.</w:t>
      </w:r>
      <w:r w:rsidR="00990AEA">
        <w:rPr>
          <w:rFonts w:cs="Arial"/>
          <w:szCs w:val="22"/>
        </w:rPr>
        <w:t xml:space="preserve"> </w:t>
      </w:r>
      <w:r w:rsidRPr="006620BE">
        <w:rPr>
          <w:rFonts w:cs="Arial"/>
          <w:szCs w:val="22"/>
        </w:rPr>
        <w:t xml:space="preserve">stworzenia ułatwień w zakresie udzielania zamówień publicznych w dziedzinie nauki. </w:t>
      </w:r>
    </w:p>
    <w:p w14:paraId="1CC37C74" w14:textId="657A9D94" w:rsidR="006620BE" w:rsidRPr="006620BE" w:rsidRDefault="006620BE" w:rsidP="00DD2DF3">
      <w:pPr>
        <w:shd w:val="clear" w:color="auto" w:fill="FFFFFF"/>
        <w:spacing w:before="120" w:line="360" w:lineRule="auto"/>
        <w:jc w:val="left"/>
        <w:rPr>
          <w:rFonts w:cs="Arial"/>
          <w:szCs w:val="22"/>
        </w:rPr>
      </w:pPr>
      <w:r w:rsidRPr="006620BE">
        <w:rPr>
          <w:rFonts w:cs="Arial"/>
          <w:szCs w:val="22"/>
        </w:rPr>
        <w:t>Było to spotkanie w gronie zespołów międzyuczelnianych zaangażowanych w prowadzone przez uczelnie prace nad zagadnieniami dotyczącymi zamówień publicznych realizowanych przez uczelnie. Podczas spotkania zaprezentowane zostały efekty i wypracowane przez zespoły rozwiązania, miała też miejsce owocna wymiana doświadczeń w tym zakresie. Wystąpienia wprowadzające wygłosiły Agnieszka Olszewska, Prezes Urzędu, oraz Małgorzata Stręciwilk, Kanclerz Uniwersytetu Marii Curie-Skłodowskiej, Przewodnicząca Rady Zamówień Publicznych oraz Przewodnicząca Zespołu Roboczego. Aktualny stan i plan prac trzech grup roboczych w zakresie poszczególnych zagadnień tematycznych</w:t>
      </w:r>
      <w:r w:rsidR="00990AEA">
        <w:rPr>
          <w:rFonts w:cs="Arial"/>
          <w:szCs w:val="22"/>
        </w:rPr>
        <w:t xml:space="preserve"> </w:t>
      </w:r>
      <w:r w:rsidRPr="006620BE">
        <w:rPr>
          <w:rFonts w:cs="Arial"/>
          <w:szCs w:val="22"/>
        </w:rPr>
        <w:t xml:space="preserve">prezentowali kolejno: </w:t>
      </w:r>
    </w:p>
    <w:p w14:paraId="128A36E6" w14:textId="23C0E9CB" w:rsidR="006620BE" w:rsidRPr="006620BE" w:rsidRDefault="006620BE" w:rsidP="005A02D1">
      <w:pPr>
        <w:numPr>
          <w:ilvl w:val="0"/>
          <w:numId w:val="4"/>
        </w:numPr>
        <w:shd w:val="clear" w:color="auto" w:fill="FFFFFF"/>
        <w:spacing w:line="360" w:lineRule="auto"/>
        <w:jc w:val="left"/>
        <w:rPr>
          <w:rFonts w:cs="Arial"/>
          <w:szCs w:val="22"/>
        </w:rPr>
      </w:pPr>
      <w:r w:rsidRPr="006620BE">
        <w:rPr>
          <w:rFonts w:cs="Arial"/>
          <w:szCs w:val="22"/>
        </w:rPr>
        <w:t>I grupa robocza ds. zmian przepisów prawa w zakresie zamówień publicznych w</w:t>
      </w:r>
      <w:r w:rsidR="005C2877">
        <w:rPr>
          <w:rFonts w:cs="Arial"/>
          <w:szCs w:val="22"/>
        </w:rPr>
        <w:t> </w:t>
      </w:r>
      <w:r w:rsidRPr="006620BE">
        <w:rPr>
          <w:rFonts w:cs="Arial"/>
          <w:szCs w:val="22"/>
        </w:rPr>
        <w:t>dziedzinie nauki - prof. dr hab. Marzena Świstak - Katedra Prawa Informatycznego i</w:t>
      </w:r>
      <w:r w:rsidR="005C2877">
        <w:rPr>
          <w:rFonts w:cs="Arial"/>
          <w:szCs w:val="22"/>
        </w:rPr>
        <w:t> </w:t>
      </w:r>
      <w:r w:rsidRPr="006620BE">
        <w:rPr>
          <w:rFonts w:cs="Arial"/>
          <w:szCs w:val="22"/>
        </w:rPr>
        <w:t>Zawodów Prawniczych, Uniwersytet Marii Curie-Skłodowskiej w Lublinie</w:t>
      </w:r>
    </w:p>
    <w:p w14:paraId="5B68D757" w14:textId="77777777" w:rsidR="006620BE" w:rsidRPr="006620BE" w:rsidRDefault="006620BE" w:rsidP="005A02D1">
      <w:pPr>
        <w:numPr>
          <w:ilvl w:val="0"/>
          <w:numId w:val="4"/>
        </w:numPr>
        <w:shd w:val="clear" w:color="auto" w:fill="FFFFFF"/>
        <w:spacing w:line="360" w:lineRule="auto"/>
        <w:jc w:val="left"/>
        <w:rPr>
          <w:rFonts w:cs="Arial"/>
          <w:szCs w:val="22"/>
        </w:rPr>
      </w:pPr>
      <w:r w:rsidRPr="006620BE">
        <w:rPr>
          <w:rFonts w:cs="Arial"/>
          <w:szCs w:val="22"/>
        </w:rPr>
        <w:t>II grupa robocza ds. stworzenia rekomendacji dotyczących zasad sumowania wartości zamówień na usługi i dostawy - dr Mateusz Winiarz – Katedra Publicznego Prawa Gospodarczego i Polityki Gospodarczej, Uniwersytet Jagielloński w Krakowie</w:t>
      </w:r>
    </w:p>
    <w:p w14:paraId="601A10E0" w14:textId="77777777" w:rsidR="006620BE" w:rsidRPr="006620BE" w:rsidRDefault="006620BE" w:rsidP="005A02D1">
      <w:pPr>
        <w:numPr>
          <w:ilvl w:val="0"/>
          <w:numId w:val="4"/>
        </w:numPr>
        <w:shd w:val="clear" w:color="auto" w:fill="FFFFFF"/>
        <w:spacing w:line="360" w:lineRule="auto"/>
        <w:jc w:val="left"/>
        <w:rPr>
          <w:rFonts w:cs="Arial"/>
          <w:szCs w:val="22"/>
        </w:rPr>
      </w:pPr>
      <w:r w:rsidRPr="006620BE">
        <w:rPr>
          <w:rFonts w:cs="Arial"/>
          <w:szCs w:val="22"/>
        </w:rPr>
        <w:t>III grupa robocza ds. wykładni lub propozycji zmian w zakresie art. 33 Pzp - dr Marcin Smaga – Katedra Publicznego Prawa Gospodarczego i Polityki Gospodarczej, Uniwersytet Jagielloński w Krakowie.</w:t>
      </w:r>
    </w:p>
    <w:p w14:paraId="6B81A4CB" w14:textId="3E6231A2" w:rsidR="006620BE" w:rsidRPr="00AE0B2B" w:rsidRDefault="006620BE" w:rsidP="00852522">
      <w:pPr>
        <w:pStyle w:val="Nagwek4"/>
      </w:pPr>
      <w:r w:rsidRPr="00AE0B2B">
        <w:t>3.</w:t>
      </w:r>
      <w:r>
        <w:t>6</w:t>
      </w:r>
      <w:r w:rsidRPr="00AE0B2B">
        <w:t xml:space="preserve">. </w:t>
      </w:r>
      <w:r w:rsidRPr="006620BE">
        <w:t>Spotkania z kierownikami zamawiających nt. strategicznego zarządzania procesem zakupowym</w:t>
      </w:r>
    </w:p>
    <w:p w14:paraId="16134D5F" w14:textId="3A0E5FC1" w:rsidR="00463C63" w:rsidRPr="00463C63" w:rsidRDefault="00463C63" w:rsidP="00DD2DF3">
      <w:pPr>
        <w:shd w:val="clear" w:color="auto" w:fill="FFFFFF"/>
        <w:spacing w:before="120" w:line="360" w:lineRule="auto"/>
        <w:jc w:val="left"/>
        <w:rPr>
          <w:rFonts w:cs="Arial"/>
          <w:szCs w:val="22"/>
        </w:rPr>
      </w:pPr>
      <w:r w:rsidRPr="00463C63">
        <w:rPr>
          <w:rFonts w:cs="Arial"/>
          <w:szCs w:val="22"/>
        </w:rPr>
        <w:t>Kontynuując ubiegłoroczny projekt inspirowany założeniami Polityki zakupowej państwa w</w:t>
      </w:r>
      <w:r w:rsidR="005C2877">
        <w:rPr>
          <w:rFonts w:cs="Arial"/>
          <w:szCs w:val="22"/>
        </w:rPr>
        <w:t> </w:t>
      </w:r>
      <w:r w:rsidRPr="00463C63">
        <w:rPr>
          <w:rFonts w:cs="Arial"/>
          <w:szCs w:val="22"/>
        </w:rPr>
        <w:t>zakresie profesjonalizacji zamówień publicznych, Urząd zorganizował w 2025 roku kolejne spotkania z kierownikami zamawiających poświęcone zarządzaniu strategicznemu procesem udzielania zamówień.</w:t>
      </w:r>
    </w:p>
    <w:p w14:paraId="7D8BEE9B" w14:textId="3CB764F4" w:rsidR="00463C63" w:rsidRPr="00463C63" w:rsidRDefault="00463C63" w:rsidP="00DD2DF3">
      <w:pPr>
        <w:shd w:val="clear" w:color="auto" w:fill="FFFFFF"/>
        <w:spacing w:before="120" w:line="360" w:lineRule="auto"/>
        <w:jc w:val="left"/>
        <w:rPr>
          <w:rFonts w:cs="Arial"/>
          <w:szCs w:val="22"/>
        </w:rPr>
      </w:pPr>
      <w:r w:rsidRPr="00463C63">
        <w:rPr>
          <w:rFonts w:cs="Arial"/>
          <w:szCs w:val="22"/>
        </w:rPr>
        <w:t xml:space="preserve">Pierwsze z nich odbyło się </w:t>
      </w:r>
      <w:r w:rsidRPr="00463C63">
        <w:rPr>
          <w:rFonts w:cs="Arial"/>
          <w:b/>
          <w:bCs/>
          <w:szCs w:val="22"/>
        </w:rPr>
        <w:t>3.06.2025 r. w Łodzi</w:t>
      </w:r>
      <w:r w:rsidRPr="00463C63">
        <w:rPr>
          <w:rFonts w:cs="Arial"/>
          <w:szCs w:val="22"/>
        </w:rPr>
        <w:t xml:space="preserve"> we współpracy Łódzkim Urzędem Wojewódzkim. W wydarzeniu udział wzięła Agnieszka Olszewska, Prezes UZP oraz Dorota Ryl, Wojewoda Łódzki. Prelekcje dotyczyły rozmaitych obszarów. Działania Prokuratorii Generalnej RP w obszarze zamówień publicznych przedstawiła Luiza Modzelewska, Wiceprezes Prokuratorii Generalnej RP. Praktykę stosowania wstępnych konsultacji rynkowych i dynamicznego systemu zakupów omówił Marcin Kalmus, Dyrektor Biura </w:t>
      </w:r>
      <w:proofErr w:type="spellStart"/>
      <w:r w:rsidRPr="00463C63">
        <w:rPr>
          <w:rFonts w:cs="Arial"/>
          <w:szCs w:val="22"/>
        </w:rPr>
        <w:t>Odwołań</w:t>
      </w:r>
      <w:proofErr w:type="spellEnd"/>
      <w:r w:rsidRPr="00463C63">
        <w:rPr>
          <w:rFonts w:cs="Arial"/>
          <w:szCs w:val="22"/>
        </w:rPr>
        <w:t xml:space="preserve">, UZP. Kluczowe aspekty europejskich ram kompetencji </w:t>
      </w:r>
      <w:proofErr w:type="spellStart"/>
      <w:r w:rsidRPr="00463C63">
        <w:rPr>
          <w:rFonts w:cs="Arial"/>
          <w:szCs w:val="22"/>
        </w:rPr>
        <w:t>ProcurComp</w:t>
      </w:r>
      <w:r w:rsidRPr="00370364">
        <w:rPr>
          <w:rFonts w:cs="Arial"/>
          <w:szCs w:val="22"/>
          <w:vertAlign w:val="superscript"/>
        </w:rPr>
        <w:t>EU</w:t>
      </w:r>
      <w:proofErr w:type="spellEnd"/>
      <w:r w:rsidRPr="00463C63">
        <w:rPr>
          <w:rFonts w:cs="Arial"/>
          <w:szCs w:val="22"/>
        </w:rPr>
        <w:t xml:space="preserve"> jako narzędzia o oddziaływaniu na poziomie strategicznym, operacyjnym i indywidulanym omówiła Matylda Grzybowska, ekspert w obszarze zamówień publicznych. Doświadczeniami wynikającymi z wdrażania </w:t>
      </w:r>
      <w:proofErr w:type="spellStart"/>
      <w:r w:rsidRPr="00463C63">
        <w:rPr>
          <w:rFonts w:cs="Arial"/>
          <w:szCs w:val="22"/>
        </w:rPr>
        <w:t>ProcurCompEU</w:t>
      </w:r>
      <w:proofErr w:type="spellEnd"/>
      <w:r w:rsidRPr="00463C63">
        <w:rPr>
          <w:rFonts w:cs="Arial"/>
          <w:szCs w:val="22"/>
        </w:rPr>
        <w:t xml:space="preserve"> podzielił się Bartłomiej Tatka, Z-ca Naczelnika Wydziału Kwatermistrzowskiego, Komendy Miejska Państwowej Straży Pożarnej w</w:t>
      </w:r>
      <w:r w:rsidR="005C2877">
        <w:rPr>
          <w:rFonts w:cs="Arial"/>
          <w:szCs w:val="22"/>
        </w:rPr>
        <w:t> </w:t>
      </w:r>
      <w:r w:rsidRPr="00463C63">
        <w:rPr>
          <w:rFonts w:cs="Arial"/>
          <w:szCs w:val="22"/>
        </w:rPr>
        <w:t>Krakowie.</w:t>
      </w:r>
    </w:p>
    <w:p w14:paraId="7C4D99E1" w14:textId="2BFC2AFB" w:rsidR="00463C63" w:rsidRPr="00463C63" w:rsidRDefault="00463C63" w:rsidP="00DD2DF3">
      <w:pPr>
        <w:shd w:val="clear" w:color="auto" w:fill="FFFFFF"/>
        <w:spacing w:before="120" w:line="360" w:lineRule="auto"/>
        <w:jc w:val="left"/>
        <w:rPr>
          <w:rFonts w:cs="Arial"/>
          <w:szCs w:val="22"/>
        </w:rPr>
      </w:pPr>
      <w:r w:rsidRPr="00463C63">
        <w:rPr>
          <w:rFonts w:cs="Arial"/>
          <w:szCs w:val="22"/>
        </w:rPr>
        <w:t xml:space="preserve">Drugie ze spotkań z kierownikami zamawiających nt. strategicznego zarządzania procesem udzielania zamówień odbyło się </w:t>
      </w:r>
      <w:r w:rsidRPr="00463C63">
        <w:rPr>
          <w:rFonts w:cs="Arial"/>
          <w:b/>
          <w:bCs/>
          <w:szCs w:val="22"/>
        </w:rPr>
        <w:t>26.09.2025 roku w Warszawie</w:t>
      </w:r>
      <w:r w:rsidRPr="00463C63">
        <w:rPr>
          <w:rFonts w:cs="Arial"/>
          <w:szCs w:val="22"/>
        </w:rPr>
        <w:t xml:space="preserve"> we współpracy z Mazowieckim Urzędem Wojewódzkim. Spotkanie otworzyli: Paweł Cukrowski, Dyrektor Generalny Mazowieckiego Urzędu Wojewódzkiego w Warszawie oraz Przemysław Grosfeld, Wiceprezes Urzędu, którzy podkreślili kluczową rolę profesjonalizacji i</w:t>
      </w:r>
      <w:r w:rsidR="005C2877">
        <w:rPr>
          <w:rFonts w:cs="Arial"/>
          <w:szCs w:val="22"/>
        </w:rPr>
        <w:t> </w:t>
      </w:r>
      <w:r w:rsidRPr="00463C63">
        <w:rPr>
          <w:rFonts w:cs="Arial"/>
          <w:szCs w:val="22"/>
        </w:rPr>
        <w:t>odpowiedzialnego podejścia do procedur zakupowych w sektorze publicznym. W programie konferencji znalazły się m.in. wystąpienia dotyczące działań Prokuratorii Generalnej RP w</w:t>
      </w:r>
      <w:r w:rsidR="005C2877">
        <w:rPr>
          <w:rFonts w:cs="Arial"/>
          <w:szCs w:val="22"/>
        </w:rPr>
        <w:t> </w:t>
      </w:r>
      <w:r w:rsidRPr="00463C63">
        <w:rPr>
          <w:rFonts w:cs="Arial"/>
          <w:szCs w:val="22"/>
        </w:rPr>
        <w:t xml:space="preserve">obszarze zamówień publicznych, które omówiła Luiza Modzelewska, Wiceprezes Prokuratorii Generalnej RP. Zagadnienia partnerstwa publiczno-prywatnego w kontekście zamówień przybliżyła Aneta Staśkiewicz, Ministerstw Funduszy i Polityki Regionalnej. Z kolei ekspert Matylda Grzybowska podkreślała znaczenia europejskich ram kompetencji </w:t>
      </w:r>
      <w:proofErr w:type="spellStart"/>
      <w:r w:rsidRPr="00463C63">
        <w:rPr>
          <w:rFonts w:cs="Arial"/>
          <w:szCs w:val="22"/>
        </w:rPr>
        <w:t>ProcurComp</w:t>
      </w:r>
      <w:r w:rsidRPr="002142A3">
        <w:rPr>
          <w:rFonts w:cs="Arial"/>
          <w:szCs w:val="22"/>
          <w:vertAlign w:val="superscript"/>
        </w:rPr>
        <w:t>EU</w:t>
      </w:r>
      <w:proofErr w:type="spellEnd"/>
      <w:r w:rsidRPr="00463C63">
        <w:rPr>
          <w:rFonts w:cs="Arial"/>
          <w:szCs w:val="22"/>
        </w:rPr>
        <w:t>, natomiast doświadczeniami w ich wdrażaniu podzieliła się Anna Krasińska z</w:t>
      </w:r>
      <w:r w:rsidR="005C2877">
        <w:rPr>
          <w:rFonts w:cs="Arial"/>
          <w:szCs w:val="22"/>
        </w:rPr>
        <w:t> </w:t>
      </w:r>
      <w:r w:rsidRPr="00463C63">
        <w:rPr>
          <w:rFonts w:cs="Arial"/>
          <w:szCs w:val="22"/>
        </w:rPr>
        <w:t xml:space="preserve">Wojewódzkiej Stacje Sanitarno-Epidemiologiczna w Olsztynie. </w:t>
      </w:r>
    </w:p>
    <w:p w14:paraId="48154A65" w14:textId="5CBE0B69" w:rsidR="00463C63" w:rsidRPr="00463C63" w:rsidRDefault="0039090D" w:rsidP="00DD2DF3">
      <w:pPr>
        <w:shd w:val="clear" w:color="auto" w:fill="FFFFFF"/>
        <w:spacing w:before="120" w:line="360" w:lineRule="auto"/>
        <w:jc w:val="left"/>
        <w:rPr>
          <w:rFonts w:cs="Arial"/>
          <w:szCs w:val="22"/>
        </w:rPr>
      </w:pPr>
      <w:r w:rsidRPr="0039090D">
        <w:rPr>
          <w:rFonts w:cs="Arial"/>
          <w:noProof/>
          <w:szCs w:val="22"/>
        </w:rPr>
        <w:drawing>
          <wp:anchor distT="0" distB="0" distL="114300" distR="114300" simplePos="0" relativeHeight="251668480" behindDoc="0" locked="0" layoutInCell="1" allowOverlap="1" wp14:anchorId="5C075E8D" wp14:editId="6C625538">
            <wp:simplePos x="0" y="0"/>
            <wp:positionH relativeFrom="column">
              <wp:posOffset>-544830</wp:posOffset>
            </wp:positionH>
            <wp:positionV relativeFrom="paragraph">
              <wp:posOffset>283210</wp:posOffset>
            </wp:positionV>
            <wp:extent cx="3337200" cy="2502000"/>
            <wp:effectExtent l="0" t="0" r="0" b="0"/>
            <wp:wrapSquare wrapText="right"/>
            <wp:docPr id="14" name="Obraz 14"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michals\Desktop\86dc2a0d-dde6-4e42-91cb-6ae2536575e2.jfif"/>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37200" cy="250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3C63" w:rsidRPr="00463C63">
        <w:rPr>
          <w:rFonts w:cs="Arial"/>
          <w:szCs w:val="22"/>
        </w:rPr>
        <w:t>W ramach cyklu spotkań z kierownikami zamawiających</w:t>
      </w:r>
      <w:r w:rsidR="00990AEA">
        <w:rPr>
          <w:rFonts w:cs="Arial"/>
          <w:szCs w:val="22"/>
        </w:rPr>
        <w:t xml:space="preserve"> </w:t>
      </w:r>
      <w:r w:rsidR="00463C63" w:rsidRPr="00463C63">
        <w:rPr>
          <w:rFonts w:cs="Arial"/>
          <w:szCs w:val="22"/>
        </w:rPr>
        <w:t xml:space="preserve">odbyło również </w:t>
      </w:r>
      <w:r w:rsidR="00463C63" w:rsidRPr="00463C63">
        <w:rPr>
          <w:rFonts w:cs="Arial"/>
          <w:b/>
          <w:bCs/>
          <w:szCs w:val="22"/>
        </w:rPr>
        <w:t>21.10.2025 roku we Wrocławiu</w:t>
      </w:r>
      <w:r w:rsidR="00463C63" w:rsidRPr="00463C63">
        <w:rPr>
          <w:rFonts w:cs="Arial"/>
          <w:szCs w:val="22"/>
        </w:rPr>
        <w:t xml:space="preserve"> spotkanie zorganizowane we współpracy Urząd Zamówień Publicznych oraz Dolnośląskiego Urzędu Wojewódzkiego. Tuż przed wydarzeniem miał miejsce briefing prasowy z udziałem Michała Jarosa, Sekretarza Stanu w Ministerstwie Finansów i</w:t>
      </w:r>
      <w:r w:rsidR="005C2877">
        <w:rPr>
          <w:rFonts w:cs="Arial"/>
          <w:szCs w:val="22"/>
        </w:rPr>
        <w:t> </w:t>
      </w:r>
      <w:r w:rsidR="00463C63" w:rsidRPr="00463C63">
        <w:rPr>
          <w:rFonts w:cs="Arial"/>
          <w:szCs w:val="22"/>
        </w:rPr>
        <w:t>Gospodarki, Agnieszki Olszewskiej, Prezes UZP, oraz Luizy</w:t>
      </w:r>
      <w:r w:rsidR="00990AEA">
        <w:rPr>
          <w:rFonts w:cs="Arial"/>
          <w:szCs w:val="22"/>
        </w:rPr>
        <w:t xml:space="preserve"> </w:t>
      </w:r>
      <w:r w:rsidR="00463C63" w:rsidRPr="00463C63">
        <w:rPr>
          <w:rFonts w:cs="Arial"/>
          <w:szCs w:val="22"/>
        </w:rPr>
        <w:t>Modzelewskiej, Wiceprezes Prokuratorii Generalnej RP. Podkreślono strategiczne znaczenie zarządzania jako fundamentu nowoczesnych i odpowiedzialnych zamówień publicznych. Podczas spotkania omówiono m.in. najnowsze zmiany w ustawie Pzp, dotyczące wykonawców i dostaw z państw trzecich. Z tym zagadnieniem zmierzyła się Izabela Fundowicz, Dyrektor Departamentu Prawnego UZP. Luiza Modzelewska, Wiceprezes Prokuratorii Generalnej RP przedstawiła działania Prokuratorii Generalnej RP w obszarze zamówień publicznych. Z kolei Ewelina Łagoda z</w:t>
      </w:r>
      <w:r w:rsidR="005C2877">
        <w:rPr>
          <w:rFonts w:cs="Arial"/>
          <w:szCs w:val="22"/>
        </w:rPr>
        <w:t> </w:t>
      </w:r>
      <w:r w:rsidR="00463C63" w:rsidRPr="00463C63">
        <w:rPr>
          <w:rFonts w:cs="Arial"/>
          <w:szCs w:val="22"/>
        </w:rPr>
        <w:t xml:space="preserve">Ministerstwa Funduszy i Polityki Regionalnej przybliżyła temat partnerstwa publiczno-prywatnego w kontekście zamówień publicznych. W dalszej części spotkania Matylda Grzybowska, ekspert w obszarze zamówień publicznych, zaprezentowała kluczowe aspekty europejskich ram kompetencji </w:t>
      </w:r>
      <w:proofErr w:type="spellStart"/>
      <w:r w:rsidR="00463C63" w:rsidRPr="00463C63">
        <w:rPr>
          <w:rFonts w:cs="Arial"/>
          <w:szCs w:val="22"/>
        </w:rPr>
        <w:t>ProcurComp</w:t>
      </w:r>
      <w:r w:rsidR="00463C63" w:rsidRPr="00463C63">
        <w:rPr>
          <w:rFonts w:cs="Arial"/>
          <w:szCs w:val="22"/>
          <w:vertAlign w:val="superscript"/>
        </w:rPr>
        <w:t>EU</w:t>
      </w:r>
      <w:proofErr w:type="spellEnd"/>
      <w:r w:rsidR="00463C63" w:rsidRPr="00463C63">
        <w:rPr>
          <w:rFonts w:cs="Arial"/>
          <w:szCs w:val="22"/>
        </w:rPr>
        <w:t xml:space="preserve">, które mogą stanowić wsparcie dla instytucji zamawiających na poziomie strategicznym i operacyjnym. Ewa </w:t>
      </w:r>
      <w:proofErr w:type="spellStart"/>
      <w:r w:rsidR="00463C63" w:rsidRPr="00463C63">
        <w:rPr>
          <w:rFonts w:cs="Arial"/>
          <w:szCs w:val="22"/>
        </w:rPr>
        <w:t>Ropka</w:t>
      </w:r>
      <w:proofErr w:type="spellEnd"/>
      <w:r w:rsidR="00463C63" w:rsidRPr="00463C63">
        <w:rPr>
          <w:rFonts w:cs="Arial"/>
          <w:szCs w:val="22"/>
        </w:rPr>
        <w:t>, dyrektor Centrum Zakupów dla Sądownictwa IGB, przedstawiła praktyczne doświadczenia związane z wdrażaniem tego narzędzia w polskich instytucjach.</w:t>
      </w:r>
    </w:p>
    <w:p w14:paraId="7D70C54F" w14:textId="06EE1BC3" w:rsidR="00463C63" w:rsidRPr="00AE0B2B" w:rsidRDefault="00463C63" w:rsidP="00852522">
      <w:pPr>
        <w:pStyle w:val="Nagwek4"/>
      </w:pPr>
      <w:r w:rsidRPr="00AE0B2B">
        <w:t>3.</w:t>
      </w:r>
      <w:r>
        <w:t>7</w:t>
      </w:r>
      <w:r w:rsidRPr="00AE0B2B">
        <w:t xml:space="preserve">. </w:t>
      </w:r>
      <w:r w:rsidRPr="00463C63">
        <w:t>Debaty dotyczące przeglądu regulacji Prawa zamówień publicznych</w:t>
      </w:r>
    </w:p>
    <w:p w14:paraId="31227419" w14:textId="0BEDA0D6" w:rsidR="00463C63" w:rsidRPr="00463C63" w:rsidRDefault="00463C63" w:rsidP="0076527A">
      <w:pPr>
        <w:shd w:val="clear" w:color="auto" w:fill="FFFFFF"/>
        <w:spacing w:before="120" w:line="360" w:lineRule="auto"/>
        <w:jc w:val="left"/>
        <w:rPr>
          <w:rFonts w:cs="Arial"/>
          <w:szCs w:val="22"/>
        </w:rPr>
      </w:pPr>
      <w:r w:rsidRPr="00463C63">
        <w:rPr>
          <w:rFonts w:cs="Arial"/>
          <w:szCs w:val="22"/>
        </w:rPr>
        <w:t xml:space="preserve">W ramach programu Polityka zakupowa państwa odbyły się także </w:t>
      </w:r>
      <w:r w:rsidRPr="00463C63">
        <w:rPr>
          <w:rFonts w:cs="Arial"/>
          <w:b/>
          <w:bCs/>
          <w:szCs w:val="22"/>
        </w:rPr>
        <w:t>trzy debaty</w:t>
      </w:r>
      <w:r w:rsidRPr="00463C63">
        <w:rPr>
          <w:rFonts w:cs="Arial"/>
          <w:szCs w:val="22"/>
        </w:rPr>
        <w:t xml:space="preserve"> poświęcone przeglądowi regulacji Prawa zamówień publicznych – w Warszawie 25.03.2025 r., w</w:t>
      </w:r>
      <w:r w:rsidR="005C2877">
        <w:rPr>
          <w:rFonts w:cs="Arial"/>
          <w:szCs w:val="22"/>
        </w:rPr>
        <w:t> </w:t>
      </w:r>
      <w:r w:rsidRPr="00463C63">
        <w:rPr>
          <w:rFonts w:cs="Arial"/>
          <w:szCs w:val="22"/>
        </w:rPr>
        <w:t>Krakowie 28.03.2025 r. oraz we Wrocławiu 25.04.2025 r., o których szerzej w dalszej części Sprawozdania</w:t>
      </w:r>
      <w:r w:rsidR="00455BE5">
        <w:rPr>
          <w:rFonts w:cs="Arial"/>
          <w:szCs w:val="22"/>
        </w:rPr>
        <w:t xml:space="preserve"> (</w:t>
      </w:r>
      <w:hyperlink w:anchor="_4._Debaty_dotyczące" w:history="1">
        <w:r w:rsidR="00BE2BF0">
          <w:rPr>
            <w:rStyle w:val="Hipercze"/>
            <w:rFonts w:cs="Arial"/>
            <w:szCs w:val="22"/>
          </w:rPr>
          <w:t>punkt</w:t>
        </w:r>
        <w:r w:rsidR="00455BE5" w:rsidRPr="00455BE5">
          <w:rPr>
            <w:rStyle w:val="Hipercze"/>
            <w:rFonts w:cs="Arial"/>
            <w:szCs w:val="22"/>
          </w:rPr>
          <w:t xml:space="preserve"> 4. Debaty dotyczące przeglądu regulacji w obszarze zamówień publicznych</w:t>
        </w:r>
      </w:hyperlink>
      <w:r w:rsidR="00455BE5" w:rsidRPr="00455BE5">
        <w:rPr>
          <w:rFonts w:cs="Arial"/>
          <w:szCs w:val="22"/>
        </w:rPr>
        <w:t>)</w:t>
      </w:r>
      <w:r w:rsidRPr="00455BE5">
        <w:rPr>
          <w:rFonts w:cs="Arial"/>
          <w:szCs w:val="22"/>
        </w:rPr>
        <w:t>.</w:t>
      </w:r>
    </w:p>
    <w:p w14:paraId="6E9187ED" w14:textId="57346D57" w:rsidR="00F2092F" w:rsidRPr="00AE0B2B" w:rsidRDefault="00F2092F" w:rsidP="00852522">
      <w:pPr>
        <w:pStyle w:val="Nagwek4"/>
      </w:pPr>
      <w:r w:rsidRPr="00AE0B2B">
        <w:t>3.</w:t>
      </w:r>
      <w:r>
        <w:t>8</w:t>
      </w:r>
      <w:r w:rsidRPr="00AE0B2B">
        <w:t xml:space="preserve">. </w:t>
      </w:r>
      <w:r>
        <w:t>Warsztaty</w:t>
      </w:r>
    </w:p>
    <w:p w14:paraId="12B5735B" w14:textId="2FDAD83D" w:rsidR="00C65E25" w:rsidRPr="00C65E25" w:rsidRDefault="00C65E25" w:rsidP="0076527A">
      <w:pPr>
        <w:shd w:val="clear" w:color="auto" w:fill="FFFFFF"/>
        <w:spacing w:before="120" w:line="360" w:lineRule="auto"/>
        <w:jc w:val="left"/>
        <w:rPr>
          <w:rFonts w:cs="Arial"/>
          <w:szCs w:val="22"/>
        </w:rPr>
      </w:pPr>
      <w:r w:rsidRPr="00C65E25">
        <w:rPr>
          <w:rFonts w:cs="Arial"/>
          <w:szCs w:val="22"/>
        </w:rPr>
        <w:t xml:space="preserve">Wśród różnorodnych form edukacyjnych oferowanych uczestnikom systemu zamówień publicznych przez Urząd w 2025 roku znalazły się trzy warsztaty w formie stacjonarnej. </w:t>
      </w:r>
    </w:p>
    <w:p w14:paraId="56172B8B" w14:textId="76A9D297" w:rsidR="00C65E25" w:rsidRPr="00C65E25" w:rsidRDefault="00A04527" w:rsidP="0076527A">
      <w:pPr>
        <w:shd w:val="clear" w:color="auto" w:fill="FFFFFF"/>
        <w:spacing w:before="120" w:line="360" w:lineRule="auto"/>
        <w:jc w:val="left"/>
        <w:rPr>
          <w:rFonts w:cs="Arial"/>
          <w:szCs w:val="22"/>
        </w:rPr>
      </w:pPr>
      <w:r w:rsidRPr="00A04527">
        <w:rPr>
          <w:rFonts w:cs="Arial"/>
          <w:noProof/>
          <w:szCs w:val="22"/>
        </w:rPr>
        <w:drawing>
          <wp:anchor distT="0" distB="0" distL="114300" distR="114300" simplePos="0" relativeHeight="251669504" behindDoc="0" locked="0" layoutInCell="1" allowOverlap="1" wp14:anchorId="69D4F0A9" wp14:editId="31FB9429">
            <wp:simplePos x="0" y="0"/>
            <wp:positionH relativeFrom="column">
              <wp:posOffset>2852420</wp:posOffset>
            </wp:positionH>
            <wp:positionV relativeFrom="paragraph">
              <wp:posOffset>520700</wp:posOffset>
            </wp:positionV>
            <wp:extent cx="3492000" cy="1569600"/>
            <wp:effectExtent l="0" t="0" r="0" b="0"/>
            <wp:wrapSquare wrapText="left"/>
            <wp:docPr id="16" name="Obraz 16"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michals\Desktop\a9231676-7594-4ef1-9fdd-4f74e36423d5.jfif"/>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92000" cy="156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5E25" w:rsidRPr="00C65E25">
        <w:rPr>
          <w:rFonts w:cs="Arial"/>
          <w:szCs w:val="22"/>
        </w:rPr>
        <w:t xml:space="preserve">Pierwszy z nich odbył się w </w:t>
      </w:r>
      <w:r w:rsidR="00C65E25" w:rsidRPr="00C65E25">
        <w:rPr>
          <w:rFonts w:cs="Arial"/>
          <w:b/>
          <w:bCs/>
          <w:szCs w:val="22"/>
        </w:rPr>
        <w:t>Olsztynie 14.05.2025</w:t>
      </w:r>
      <w:r w:rsidR="005C2877">
        <w:rPr>
          <w:rFonts w:cs="Arial"/>
          <w:szCs w:val="22"/>
        </w:rPr>
        <w:t> r</w:t>
      </w:r>
      <w:r w:rsidR="00C65E25" w:rsidRPr="00C65E25">
        <w:rPr>
          <w:rFonts w:cs="Arial"/>
          <w:szCs w:val="22"/>
        </w:rPr>
        <w:t>. Tematem wiodącym było</w:t>
      </w:r>
      <w:r w:rsidR="00990AEA">
        <w:rPr>
          <w:rFonts w:cs="Arial"/>
          <w:szCs w:val="22"/>
        </w:rPr>
        <w:t xml:space="preserve"> </w:t>
      </w:r>
      <w:r w:rsidR="00C65E25" w:rsidRPr="00C65E25">
        <w:rPr>
          <w:rFonts w:cs="Arial"/>
          <w:szCs w:val="22"/>
        </w:rPr>
        <w:t>„Rozwiązywanie sporów w zamówieniach publicznych”. Skoncentrowano się na regulacjach prawnych i doświadczeniach w tym zakresie. Omówiono wybrane zagadnienia związane z tematem wydarzenia. Polubowne metody rozwiązywania sporów na etapie wykonywania umowy oraz po jej zakończeniu, a także działalność Sądu Polubownego przy Prokuratorii Generalnej RP przybliżyła Magdalena Kajkowska-Gratys, Dyrektor Departamentu Osób Prawnych I w</w:t>
      </w:r>
      <w:r w:rsidR="005C2877">
        <w:rPr>
          <w:rFonts w:cs="Arial"/>
          <w:szCs w:val="22"/>
        </w:rPr>
        <w:t> </w:t>
      </w:r>
      <w:r w:rsidR="00C65E25" w:rsidRPr="00C65E25">
        <w:rPr>
          <w:rFonts w:cs="Arial"/>
          <w:szCs w:val="22"/>
        </w:rPr>
        <w:t>Prokuratorii Generalnej RP. Temat formułowania rekomendacji co do formalnoprawnej zasadności zawarcia ugody oraz skutków zawarcia ugody w kontekście jej ewentualnej korzystności względem przewidywanego rozstrzygnięcia sądowego omówiła Agnieszka Suchecka z Ogólnopolskiego Stowarzyszenia Konsultantów Zamówień Publicznych. Kwestię klauzul abuzywnych w świetle Prawa zamówień publicznych przedstawił dr Maciej Lubiszewski z Uniwersytetu Warmińsko-Mazurskiego w Olsztynie. </w:t>
      </w:r>
    </w:p>
    <w:p w14:paraId="51EE6A42" w14:textId="77777777" w:rsidR="00C65E25" w:rsidRPr="00C65E25" w:rsidRDefault="00C65E25" w:rsidP="0076527A">
      <w:pPr>
        <w:shd w:val="clear" w:color="auto" w:fill="FFFFFF"/>
        <w:spacing w:before="120" w:line="360" w:lineRule="auto"/>
        <w:jc w:val="left"/>
        <w:rPr>
          <w:rFonts w:cs="Arial"/>
          <w:szCs w:val="22"/>
        </w:rPr>
      </w:pPr>
      <w:r w:rsidRPr="00C65E25">
        <w:rPr>
          <w:rFonts w:cs="Arial"/>
          <w:szCs w:val="22"/>
        </w:rPr>
        <w:t xml:space="preserve">Drugi warsztat odbył się </w:t>
      </w:r>
      <w:r w:rsidRPr="00C65E25">
        <w:rPr>
          <w:rFonts w:cs="Arial"/>
          <w:b/>
          <w:bCs/>
          <w:szCs w:val="22"/>
        </w:rPr>
        <w:t>5.06.2025 r. w Białymstoku</w:t>
      </w:r>
      <w:r w:rsidRPr="00C65E25">
        <w:rPr>
          <w:rFonts w:cs="Arial"/>
          <w:szCs w:val="22"/>
        </w:rPr>
        <w:t xml:space="preserve">. Jego tematem były najczęstsze naruszenia przepisów ustawy Pzp oraz profesjonalizacja kadr – </w:t>
      </w:r>
      <w:proofErr w:type="spellStart"/>
      <w:r w:rsidRPr="00C65E25">
        <w:rPr>
          <w:rFonts w:cs="Arial"/>
          <w:szCs w:val="22"/>
        </w:rPr>
        <w:t>ProcurComp</w:t>
      </w:r>
      <w:r w:rsidRPr="00C65E25">
        <w:rPr>
          <w:rFonts w:cs="Arial"/>
          <w:szCs w:val="22"/>
          <w:vertAlign w:val="superscript"/>
        </w:rPr>
        <w:t>EU</w:t>
      </w:r>
      <w:proofErr w:type="spellEnd"/>
      <w:r w:rsidRPr="00C65E25">
        <w:rPr>
          <w:rFonts w:cs="Arial"/>
          <w:szCs w:val="22"/>
        </w:rPr>
        <w:t>.</w:t>
      </w:r>
    </w:p>
    <w:p w14:paraId="426F3BFF" w14:textId="77777777" w:rsidR="00C65E25" w:rsidRPr="00C65E25" w:rsidRDefault="00C65E25" w:rsidP="0076527A">
      <w:pPr>
        <w:shd w:val="clear" w:color="auto" w:fill="FFFFFF"/>
        <w:spacing w:before="120" w:line="360" w:lineRule="auto"/>
        <w:jc w:val="left"/>
        <w:rPr>
          <w:rFonts w:cs="Arial"/>
          <w:szCs w:val="22"/>
        </w:rPr>
      </w:pPr>
      <w:r w:rsidRPr="00C65E25">
        <w:rPr>
          <w:rFonts w:cs="Arial"/>
          <w:szCs w:val="22"/>
        </w:rPr>
        <w:t>Anna Węcławska z Departamentu Prawnego UZP omówiła wybrane aspekty ustawy Pzp, a Paweł Bednarski z Departamentu Kontroli Zamówień Publicznych przedstawił najczęściej identyfikowane nieprawidłowości na podstawie kontroli Prezesa UZP.</w:t>
      </w:r>
    </w:p>
    <w:p w14:paraId="405D6D32" w14:textId="77777777" w:rsidR="00C65E25" w:rsidRPr="00C65E25" w:rsidRDefault="00C65E25" w:rsidP="0076527A">
      <w:pPr>
        <w:shd w:val="clear" w:color="auto" w:fill="FFFFFF"/>
        <w:spacing w:before="120" w:line="360" w:lineRule="auto"/>
        <w:jc w:val="left"/>
        <w:rPr>
          <w:rFonts w:cs="Arial"/>
          <w:szCs w:val="22"/>
        </w:rPr>
      </w:pPr>
      <w:r w:rsidRPr="00C65E25">
        <w:rPr>
          <w:rFonts w:cs="Arial"/>
          <w:szCs w:val="22"/>
        </w:rPr>
        <w:t xml:space="preserve">Istotną część spotkania stanowiła również prezentacja europejskich ram kompetencji </w:t>
      </w:r>
      <w:proofErr w:type="spellStart"/>
      <w:r w:rsidRPr="00C65E25">
        <w:rPr>
          <w:rFonts w:cs="Arial"/>
          <w:szCs w:val="22"/>
        </w:rPr>
        <w:t>ProcurComp</w:t>
      </w:r>
      <w:r w:rsidRPr="00C65E25">
        <w:rPr>
          <w:rFonts w:cs="Arial"/>
          <w:szCs w:val="22"/>
          <w:vertAlign w:val="superscript"/>
        </w:rPr>
        <w:t>EU</w:t>
      </w:r>
      <w:proofErr w:type="spellEnd"/>
      <w:r w:rsidRPr="00C65E25">
        <w:rPr>
          <w:rFonts w:cs="Arial"/>
          <w:szCs w:val="22"/>
        </w:rPr>
        <w:t xml:space="preserve"> jako narzędzia wspierającego rozwój zawodowy osób zajmujących się zamówieniami publicznymi. Temat ten omówiła p. Matylda Grzybowska.</w:t>
      </w:r>
    </w:p>
    <w:p w14:paraId="3D949B25" w14:textId="409B409B" w:rsidR="00C65E25" w:rsidRDefault="00C65E25" w:rsidP="0076527A">
      <w:pPr>
        <w:shd w:val="clear" w:color="auto" w:fill="FFFFFF"/>
        <w:spacing w:before="120" w:line="360" w:lineRule="auto"/>
        <w:jc w:val="left"/>
        <w:rPr>
          <w:rFonts w:cs="Arial"/>
          <w:szCs w:val="22"/>
        </w:rPr>
      </w:pPr>
      <w:r w:rsidRPr="00C65E25">
        <w:rPr>
          <w:rFonts w:cs="Arial"/>
          <w:b/>
          <w:bCs/>
          <w:szCs w:val="22"/>
        </w:rPr>
        <w:t>Łódź</w:t>
      </w:r>
      <w:r w:rsidRPr="00C65E25">
        <w:rPr>
          <w:rFonts w:cs="Arial"/>
          <w:szCs w:val="22"/>
        </w:rPr>
        <w:t xml:space="preserve"> była miejscem trzeciego z serii warsztatów, który odbył się </w:t>
      </w:r>
      <w:r w:rsidRPr="00C65E25">
        <w:rPr>
          <w:rFonts w:cs="Arial"/>
          <w:b/>
          <w:bCs/>
          <w:szCs w:val="22"/>
        </w:rPr>
        <w:t>30.06.2025 r</w:t>
      </w:r>
      <w:r w:rsidRPr="00C65E25">
        <w:rPr>
          <w:rFonts w:cs="Arial"/>
          <w:szCs w:val="22"/>
        </w:rPr>
        <w:t>. i dotyczył procesu przygotowania i zlecenia zakupów publicznych na przykładach dobrych praktyk.</w:t>
      </w:r>
      <w:r w:rsidR="00990AEA">
        <w:rPr>
          <w:rFonts w:cs="Arial"/>
          <w:szCs w:val="22"/>
        </w:rPr>
        <w:t xml:space="preserve"> </w:t>
      </w:r>
      <w:r w:rsidRPr="00C65E25">
        <w:rPr>
          <w:rFonts w:cs="Arial"/>
          <w:szCs w:val="22"/>
        </w:rPr>
        <w:t>Zakres tematyczny spotkania był szeroki i obejmował różnorodne zagadnienia. Zaprezentowali je na bazie własnych doświadczeń uznani eksperci i wieloletni praktycy w</w:t>
      </w:r>
      <w:r w:rsidR="005C2877">
        <w:rPr>
          <w:rFonts w:cs="Arial"/>
          <w:szCs w:val="22"/>
        </w:rPr>
        <w:t> </w:t>
      </w:r>
      <w:r w:rsidRPr="00C65E25">
        <w:rPr>
          <w:rFonts w:cs="Arial"/>
          <w:szCs w:val="22"/>
        </w:rPr>
        <w:t xml:space="preserve">obszarze zamówień publicznych. Ich prelekcje odwołujące się w znacznej mierze do praktycznych doświadczeń wzbudziły ogromne zainteresowanie uczestników, wywołując właściwe tej formie edukacyjnej interakcje. Wojciech </w:t>
      </w:r>
      <w:proofErr w:type="spellStart"/>
      <w:r w:rsidRPr="00C65E25">
        <w:rPr>
          <w:rFonts w:cs="Arial"/>
          <w:szCs w:val="22"/>
        </w:rPr>
        <w:t>Dziurda</w:t>
      </w:r>
      <w:proofErr w:type="spellEnd"/>
      <w:r w:rsidRPr="00C65E25">
        <w:rPr>
          <w:rFonts w:cs="Arial"/>
          <w:szCs w:val="22"/>
        </w:rPr>
        <w:t xml:space="preserve"> omówił plany zamówień w</w:t>
      </w:r>
      <w:r w:rsidR="005C2877">
        <w:rPr>
          <w:rFonts w:cs="Arial"/>
          <w:szCs w:val="22"/>
        </w:rPr>
        <w:t> </w:t>
      </w:r>
      <w:r w:rsidRPr="00C65E25">
        <w:rPr>
          <w:rFonts w:cs="Arial"/>
          <w:szCs w:val="22"/>
        </w:rPr>
        <w:t>jednostkach samorządu terytorialnego. Piotr Sperczyński przedstawił na przykładach praktycznych analizę rozwiązań udzielenia zamówienia w zależności od profilu zamówień publicznych w jednostce. Projektowane postanowienia umowne jako element dokumentacji postępow</w:t>
      </w:r>
      <w:r w:rsidR="00FE04A4">
        <w:rPr>
          <w:rFonts w:cs="Arial"/>
          <w:szCs w:val="22"/>
        </w:rPr>
        <w:t>ania omówił Mateusz Bogucki. Z k</w:t>
      </w:r>
      <w:r w:rsidRPr="00C65E25">
        <w:rPr>
          <w:rFonts w:cs="Arial"/>
          <w:szCs w:val="22"/>
        </w:rPr>
        <w:t xml:space="preserve">olei zagadnienie samooczyszczenia wykonawcy zaprezentował Karol Krzywicki. Bartosz Pitak przybliżył negocjacje z wykonawcami przed zawarciem umowy i po jej zawarciu. Martyna </w:t>
      </w:r>
      <w:proofErr w:type="spellStart"/>
      <w:r w:rsidRPr="00C65E25">
        <w:rPr>
          <w:rFonts w:cs="Arial"/>
          <w:szCs w:val="22"/>
        </w:rPr>
        <w:t>Lubieniecka</w:t>
      </w:r>
      <w:proofErr w:type="spellEnd"/>
      <w:r w:rsidRPr="00C65E25">
        <w:rPr>
          <w:rFonts w:cs="Arial"/>
          <w:szCs w:val="22"/>
        </w:rPr>
        <w:t xml:space="preserve"> natomiast omówiła zagadnienia wyboru wykonawcy w kontekście rażąco niskiej ceny. </w:t>
      </w:r>
    </w:p>
    <w:p w14:paraId="2B5E67C8" w14:textId="25B1FABD" w:rsidR="00F2092F" w:rsidRPr="00AE0B2B" w:rsidRDefault="00F2092F" w:rsidP="00852522">
      <w:pPr>
        <w:pStyle w:val="Nagwek4"/>
      </w:pPr>
      <w:r w:rsidRPr="00AE0B2B">
        <w:t>3.</w:t>
      </w:r>
      <w:r w:rsidR="00DC5911">
        <w:t>9</w:t>
      </w:r>
      <w:r w:rsidRPr="00AE0B2B">
        <w:t xml:space="preserve">. </w:t>
      </w:r>
      <w:r w:rsidRPr="00F2092F">
        <w:t>Szkolenia w formie stacjonarnej</w:t>
      </w:r>
    </w:p>
    <w:p w14:paraId="35A3EC19" w14:textId="69C57FD5" w:rsidR="00E8678C" w:rsidRPr="00E8678C" w:rsidRDefault="00E8678C" w:rsidP="0076527A">
      <w:pPr>
        <w:shd w:val="clear" w:color="auto" w:fill="FFFFFF"/>
        <w:spacing w:before="120" w:line="360" w:lineRule="auto"/>
        <w:jc w:val="left"/>
        <w:rPr>
          <w:rFonts w:cs="Arial"/>
          <w:szCs w:val="22"/>
        </w:rPr>
      </w:pPr>
      <w:r w:rsidRPr="00E8678C">
        <w:rPr>
          <w:rFonts w:cs="Arial"/>
          <w:szCs w:val="22"/>
        </w:rPr>
        <w:t>W ramach Polityki zakupowej państwa obok licznych szkoleń w formie online oraz przedsięwzięć stacjonarnych Urząd Zamówień Publicznych zorganizował dwa szkolenia w</w:t>
      </w:r>
      <w:r w:rsidR="005C2877">
        <w:rPr>
          <w:rFonts w:cs="Arial"/>
          <w:szCs w:val="22"/>
        </w:rPr>
        <w:t> </w:t>
      </w:r>
      <w:r w:rsidRPr="00E8678C">
        <w:rPr>
          <w:rFonts w:cs="Arial"/>
          <w:szCs w:val="22"/>
        </w:rPr>
        <w:t xml:space="preserve">formie stacjonarnej. Pierwsze z nich odbyło się w </w:t>
      </w:r>
      <w:r w:rsidRPr="00E8678C">
        <w:rPr>
          <w:rFonts w:cs="Arial"/>
          <w:b/>
          <w:bCs/>
          <w:szCs w:val="22"/>
        </w:rPr>
        <w:t>Warszawie 27.02.2025</w:t>
      </w:r>
      <w:r w:rsidRPr="00E8678C">
        <w:rPr>
          <w:rFonts w:cs="Arial"/>
          <w:szCs w:val="22"/>
        </w:rPr>
        <w:t xml:space="preserve"> roku, a jego przedmiotem była „Praktyka udzielania zamówień publicznych”.</w:t>
      </w:r>
      <w:r w:rsidR="00990AEA">
        <w:rPr>
          <w:rFonts w:cs="Arial"/>
          <w:szCs w:val="22"/>
        </w:rPr>
        <w:t xml:space="preserve"> </w:t>
      </w:r>
      <w:r w:rsidRPr="00E8678C">
        <w:rPr>
          <w:rFonts w:cs="Arial"/>
          <w:szCs w:val="22"/>
        </w:rPr>
        <w:t>Znakomici eksperci, jednocześnie doświadczeni praktycy przeprowadzili uczestników przez ciekawe zagadnienia, dzieląc się cennym doświadczeniem. Marzena Brzychcy omówiła temat analizy potrzeb i</w:t>
      </w:r>
      <w:r w:rsidR="005C2877">
        <w:rPr>
          <w:rFonts w:cs="Arial"/>
          <w:szCs w:val="22"/>
        </w:rPr>
        <w:t> </w:t>
      </w:r>
      <w:r w:rsidRPr="00E8678C">
        <w:rPr>
          <w:rFonts w:cs="Arial"/>
          <w:szCs w:val="22"/>
        </w:rPr>
        <w:t xml:space="preserve">wymagań z przykładami praktycznymi. Jak w praktyce wykorzystać ustawowe narzędzie wstępnych konsultacji rynkowych zaprezentował Marcin Kalmus. </w:t>
      </w:r>
    </w:p>
    <w:p w14:paraId="6CA53CF1" w14:textId="60FD03C2" w:rsidR="00E8678C" w:rsidRDefault="00E8678C" w:rsidP="0076527A">
      <w:pPr>
        <w:shd w:val="clear" w:color="auto" w:fill="FFFFFF"/>
        <w:spacing w:before="120" w:line="360" w:lineRule="auto"/>
        <w:jc w:val="left"/>
        <w:rPr>
          <w:rFonts w:cs="Arial"/>
          <w:szCs w:val="22"/>
        </w:rPr>
      </w:pPr>
      <w:r w:rsidRPr="00E8678C">
        <w:rPr>
          <w:rFonts w:cs="Arial"/>
          <w:szCs w:val="22"/>
        </w:rPr>
        <w:t>Praktyczne aspekty stosowania umów ramowych omówił Marcin Jędrasik. Z kolei Michał Zastrzeżyński zaprezentował przykłady stosowania prawa opcji i wznowienia postępowania.</w:t>
      </w:r>
    </w:p>
    <w:p w14:paraId="1A1FDCCB" w14:textId="3CFA0C0A" w:rsidR="00E8678C" w:rsidRPr="00E8678C" w:rsidRDefault="005257B3" w:rsidP="0076527A">
      <w:pPr>
        <w:shd w:val="clear" w:color="auto" w:fill="FFFFFF"/>
        <w:spacing w:before="120" w:line="360" w:lineRule="auto"/>
        <w:jc w:val="left"/>
        <w:rPr>
          <w:rFonts w:cs="Arial"/>
          <w:szCs w:val="22"/>
        </w:rPr>
      </w:pPr>
      <w:r w:rsidRPr="005257B3">
        <w:rPr>
          <w:rFonts w:cs="Arial"/>
          <w:noProof/>
          <w:szCs w:val="22"/>
        </w:rPr>
        <w:drawing>
          <wp:anchor distT="0" distB="0" distL="114300" distR="114300" simplePos="0" relativeHeight="251670528" behindDoc="0" locked="0" layoutInCell="1" allowOverlap="1" wp14:anchorId="2284B013" wp14:editId="0D9F8680">
            <wp:simplePos x="0" y="0"/>
            <wp:positionH relativeFrom="column">
              <wp:posOffset>-494030</wp:posOffset>
            </wp:positionH>
            <wp:positionV relativeFrom="paragraph">
              <wp:posOffset>302895</wp:posOffset>
            </wp:positionV>
            <wp:extent cx="3333600" cy="1875600"/>
            <wp:effectExtent l="0" t="0" r="635" b="0"/>
            <wp:wrapSquare wrapText="right"/>
            <wp:docPr id="17" name="Obraz 17"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michals\Desktop\626fe14c-a193-4352-8775-c3d4f30e6e47.jf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33600" cy="187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678C" w:rsidRPr="00E8678C">
        <w:rPr>
          <w:rFonts w:cs="Arial"/>
          <w:b/>
          <w:bCs/>
          <w:szCs w:val="22"/>
        </w:rPr>
        <w:t>1.07.2025 roku w Warszawie</w:t>
      </w:r>
      <w:r w:rsidR="00E8678C" w:rsidRPr="00E8678C">
        <w:rPr>
          <w:rFonts w:cs="Arial"/>
          <w:szCs w:val="22"/>
        </w:rPr>
        <w:t xml:space="preserve"> odbyło się szkolenie dotyczące zagadnień zarządzania projektem przy udzielaniu zamówień publicznych. Szkolenie poprowadzili eksperci z Katedry Zarządzania Projektami Szkoły Głównej Handlowej w Warszawie – dr hab. prof. SGH Mateusz Juchniewicz oraz dr</w:t>
      </w:r>
      <w:r w:rsidR="005C2877">
        <w:rPr>
          <w:rFonts w:cs="Arial"/>
          <w:szCs w:val="22"/>
        </w:rPr>
        <w:t> </w:t>
      </w:r>
      <w:r w:rsidR="00E8678C" w:rsidRPr="00E8678C">
        <w:rPr>
          <w:rFonts w:cs="Arial"/>
          <w:szCs w:val="22"/>
        </w:rPr>
        <w:t>Paweł Szewczyk. Program obejmował dwie sesje merytoryczne, w trakcie których omówiono m.in.:</w:t>
      </w:r>
    </w:p>
    <w:p w14:paraId="5366194F" w14:textId="77777777" w:rsidR="00E8678C" w:rsidRPr="00E8678C" w:rsidRDefault="00E8678C" w:rsidP="005A02D1">
      <w:pPr>
        <w:numPr>
          <w:ilvl w:val="0"/>
          <w:numId w:val="5"/>
        </w:numPr>
        <w:shd w:val="clear" w:color="auto" w:fill="FFFFFF"/>
        <w:spacing w:line="360" w:lineRule="auto"/>
        <w:jc w:val="left"/>
        <w:rPr>
          <w:rFonts w:cs="Arial"/>
          <w:szCs w:val="22"/>
        </w:rPr>
      </w:pPr>
      <w:r w:rsidRPr="00E8678C">
        <w:rPr>
          <w:rFonts w:cs="Arial"/>
          <w:szCs w:val="22"/>
        </w:rPr>
        <w:t>rolę projektów i ich znaczenie dla funkcjonowania organizacji publicznych,</w:t>
      </w:r>
    </w:p>
    <w:p w14:paraId="0EE5C312" w14:textId="77777777" w:rsidR="00E8678C" w:rsidRPr="00E8678C" w:rsidRDefault="00E8678C" w:rsidP="005A02D1">
      <w:pPr>
        <w:numPr>
          <w:ilvl w:val="0"/>
          <w:numId w:val="5"/>
        </w:numPr>
        <w:shd w:val="clear" w:color="auto" w:fill="FFFFFF"/>
        <w:spacing w:line="360" w:lineRule="auto"/>
        <w:jc w:val="left"/>
        <w:rPr>
          <w:rFonts w:cs="Arial"/>
          <w:szCs w:val="22"/>
        </w:rPr>
      </w:pPr>
      <w:r w:rsidRPr="00E8678C">
        <w:rPr>
          <w:rFonts w:cs="Arial"/>
          <w:szCs w:val="22"/>
        </w:rPr>
        <w:t>zakupy jako kluczowy element wpływający na sukces projektu,</w:t>
      </w:r>
    </w:p>
    <w:p w14:paraId="1F793513" w14:textId="77777777" w:rsidR="00E8678C" w:rsidRPr="00E8678C" w:rsidRDefault="00E8678C" w:rsidP="005A02D1">
      <w:pPr>
        <w:numPr>
          <w:ilvl w:val="0"/>
          <w:numId w:val="5"/>
        </w:numPr>
        <w:shd w:val="clear" w:color="auto" w:fill="FFFFFF"/>
        <w:spacing w:line="360" w:lineRule="auto"/>
        <w:jc w:val="left"/>
        <w:rPr>
          <w:rFonts w:cs="Arial"/>
          <w:szCs w:val="22"/>
        </w:rPr>
      </w:pPr>
      <w:r w:rsidRPr="00E8678C">
        <w:rPr>
          <w:rFonts w:cs="Arial"/>
          <w:szCs w:val="22"/>
        </w:rPr>
        <w:t>różnice pomiędzy procesowym a projektowym podejściem do zakupów,</w:t>
      </w:r>
    </w:p>
    <w:p w14:paraId="07F5E1D6" w14:textId="77777777" w:rsidR="00E8678C" w:rsidRPr="00E8678C" w:rsidRDefault="00E8678C" w:rsidP="005A02D1">
      <w:pPr>
        <w:numPr>
          <w:ilvl w:val="0"/>
          <w:numId w:val="5"/>
        </w:numPr>
        <w:shd w:val="clear" w:color="auto" w:fill="FFFFFF"/>
        <w:spacing w:line="360" w:lineRule="auto"/>
        <w:jc w:val="left"/>
        <w:rPr>
          <w:rFonts w:cs="Arial"/>
          <w:szCs w:val="22"/>
        </w:rPr>
      </w:pPr>
      <w:r w:rsidRPr="00E8678C">
        <w:rPr>
          <w:rFonts w:cs="Arial"/>
          <w:szCs w:val="22"/>
        </w:rPr>
        <w:t>cykl życia projektu oraz dobre praktyki zarządzania projektami.</w:t>
      </w:r>
    </w:p>
    <w:p w14:paraId="7EE5909A" w14:textId="77777777" w:rsidR="00E8678C" w:rsidRPr="00E8678C" w:rsidRDefault="00E8678C" w:rsidP="0076527A">
      <w:pPr>
        <w:shd w:val="clear" w:color="auto" w:fill="FFFFFF"/>
        <w:spacing w:before="120" w:line="360" w:lineRule="auto"/>
        <w:jc w:val="left"/>
        <w:rPr>
          <w:rFonts w:cs="Arial"/>
          <w:szCs w:val="22"/>
        </w:rPr>
      </w:pPr>
      <w:r w:rsidRPr="00E8678C">
        <w:rPr>
          <w:rFonts w:cs="Arial"/>
          <w:szCs w:val="22"/>
        </w:rPr>
        <w:t>Spotkanie było okazją do wymiany doświadczeń, poszerzenia wiedzy oraz dyskusji na temat optymalizacji działań zakupowych w ramach realizacji projektów publicznych.</w:t>
      </w:r>
    </w:p>
    <w:p w14:paraId="7542F315" w14:textId="4B7312FA" w:rsidR="00731FF7" w:rsidRPr="008A5999" w:rsidRDefault="00731FF7" w:rsidP="00852522">
      <w:pPr>
        <w:pStyle w:val="Nagwek4"/>
      </w:pPr>
      <w:bookmarkStart w:id="289" w:name="_4._Debaty_dotyczące"/>
      <w:bookmarkEnd w:id="289"/>
      <w:r>
        <w:t xml:space="preserve">4. </w:t>
      </w:r>
      <w:r w:rsidR="000819F0" w:rsidRPr="000819F0">
        <w:t>Debaty dotyczące przeglądu regulacji w obszarze zamówień publicznych</w:t>
      </w:r>
    </w:p>
    <w:p w14:paraId="6035BB1A" w14:textId="7CFA7D8E" w:rsidR="00001C78" w:rsidRPr="00001C78" w:rsidRDefault="00001C78" w:rsidP="0076527A">
      <w:pPr>
        <w:shd w:val="clear" w:color="auto" w:fill="FFFFFF"/>
        <w:spacing w:before="120" w:line="360" w:lineRule="auto"/>
        <w:jc w:val="left"/>
        <w:rPr>
          <w:rFonts w:cs="Arial"/>
          <w:szCs w:val="22"/>
        </w:rPr>
      </w:pPr>
      <w:r w:rsidRPr="00001C78">
        <w:rPr>
          <w:rFonts w:cs="Arial"/>
          <w:szCs w:val="22"/>
        </w:rPr>
        <w:t>Ważnym elementem działalności edukacyjno-informacyjnej Urzędu były w 2025 roku debaty dotyczące przeglądu regulacji w obszarze zamówień publicznych. Był to kolejny etap przeglądu, trwającego od 2023 roku.</w:t>
      </w:r>
      <w:r w:rsidR="00990AEA">
        <w:rPr>
          <w:rFonts w:cs="Arial"/>
          <w:szCs w:val="22"/>
        </w:rPr>
        <w:t xml:space="preserve"> </w:t>
      </w:r>
      <w:r w:rsidRPr="00001C78">
        <w:rPr>
          <w:rFonts w:cs="Arial"/>
          <w:szCs w:val="22"/>
        </w:rPr>
        <w:t>Debaty zostały przeprowadzone w dużych miastach Polski, tak aby umożliwić udział jak najszerszego grona odbiorców w różnych rejonach kraju, zachowując jednocześnie najbardziej efektywną dla dyskusji i wymiany poglądów formułę spotkań stacjonarnych. Debaty odbyły się w Warszawie (25.03.2025), Krakowie (28.03.2025), Wrocławiu (25.04.2025), Poznaniu (8.05.2025) i Warszawie</w:t>
      </w:r>
      <w:r w:rsidR="00FD69EC">
        <w:rPr>
          <w:rFonts w:cs="Arial"/>
          <w:szCs w:val="22"/>
        </w:rPr>
        <w:t xml:space="preserve"> </w:t>
      </w:r>
      <w:r w:rsidRPr="00001C78">
        <w:rPr>
          <w:rFonts w:cs="Arial"/>
          <w:szCs w:val="22"/>
        </w:rPr>
        <w:t xml:space="preserve">(17.06.2025). </w:t>
      </w:r>
    </w:p>
    <w:p w14:paraId="0857CC56" w14:textId="0409AE76" w:rsidR="00001C78" w:rsidRPr="00001C78" w:rsidRDefault="004F6CE6" w:rsidP="0076527A">
      <w:pPr>
        <w:shd w:val="clear" w:color="auto" w:fill="FFFFFF"/>
        <w:spacing w:before="120" w:line="360" w:lineRule="auto"/>
        <w:jc w:val="left"/>
        <w:rPr>
          <w:rFonts w:cs="Arial"/>
          <w:szCs w:val="22"/>
        </w:rPr>
      </w:pPr>
      <w:r w:rsidRPr="004F6CE6">
        <w:rPr>
          <w:rFonts w:cs="Arial"/>
          <w:noProof/>
          <w:szCs w:val="22"/>
        </w:rPr>
        <w:drawing>
          <wp:anchor distT="0" distB="0" distL="114300" distR="114300" simplePos="0" relativeHeight="251671552" behindDoc="0" locked="0" layoutInCell="1" allowOverlap="1" wp14:anchorId="5217E3AC" wp14:editId="6A03B79C">
            <wp:simplePos x="0" y="0"/>
            <wp:positionH relativeFrom="column">
              <wp:posOffset>3944620</wp:posOffset>
            </wp:positionH>
            <wp:positionV relativeFrom="paragraph">
              <wp:posOffset>343535</wp:posOffset>
            </wp:positionV>
            <wp:extent cx="2304000" cy="2304000"/>
            <wp:effectExtent l="0" t="0" r="1270" b="1270"/>
            <wp:wrapSquare wrapText="left"/>
            <wp:docPr id="18" name="Obraz 18"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michals\Desktop\95549bf1-001d-47dd-8c46-d78253a6ef3b.jfi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04000" cy="23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1C78" w:rsidRPr="00001C78">
        <w:rPr>
          <w:rFonts w:cs="Arial"/>
          <w:szCs w:val="22"/>
        </w:rPr>
        <w:t>Pierwsza z serii debat odbyła się w siedzibie Ministerstwa Rozwoju i Technologii.</w:t>
      </w:r>
      <w:r w:rsidR="00990AEA">
        <w:rPr>
          <w:rFonts w:cs="Arial"/>
          <w:szCs w:val="22"/>
        </w:rPr>
        <w:t xml:space="preserve"> </w:t>
      </w:r>
      <w:r w:rsidR="00001C78" w:rsidRPr="00001C78">
        <w:rPr>
          <w:rFonts w:cs="Arial"/>
          <w:szCs w:val="22"/>
        </w:rPr>
        <w:t>Wydarzenie otworzył Michał Jaros, Sekretarz Stanu w</w:t>
      </w:r>
      <w:r w:rsidR="005C2877">
        <w:rPr>
          <w:rFonts w:cs="Arial"/>
          <w:szCs w:val="22"/>
        </w:rPr>
        <w:t> </w:t>
      </w:r>
      <w:r w:rsidR="00001C78" w:rsidRPr="00001C78">
        <w:rPr>
          <w:rFonts w:cs="Arial"/>
          <w:szCs w:val="22"/>
        </w:rPr>
        <w:t xml:space="preserve">Ministerstwie Rozwoju i Technologii oraz Agnieszka Olszewska, Prezes UZP. Zamawiający i Wykonawcy - praktycy, którzy wzięli udział w spotkaniu, podzielili się swoimi doświadczeniami i pomysłami na zmiany w </w:t>
      </w:r>
      <w:r w:rsidR="00C366CA">
        <w:rPr>
          <w:rFonts w:cs="Arial"/>
          <w:szCs w:val="22"/>
        </w:rPr>
        <w:t xml:space="preserve">ustawie </w:t>
      </w:r>
      <w:r w:rsidR="00C366CA" w:rsidRPr="00001C78">
        <w:rPr>
          <w:rFonts w:cs="Arial"/>
          <w:szCs w:val="22"/>
        </w:rPr>
        <w:t>Praw</w:t>
      </w:r>
      <w:r w:rsidR="00C366CA">
        <w:rPr>
          <w:rFonts w:cs="Arial"/>
          <w:szCs w:val="22"/>
        </w:rPr>
        <w:t xml:space="preserve">o </w:t>
      </w:r>
      <w:r w:rsidR="00001C78" w:rsidRPr="00001C78">
        <w:rPr>
          <w:rFonts w:cs="Arial"/>
          <w:szCs w:val="22"/>
        </w:rPr>
        <w:t>zamówień publicznych. Dyskusja obejmowała zagadnienia, które w ramach wcześniejszych etapów przeglądu Pzp pojawiały się najczęściej. Rozmawiano m.in. o progu stosowania ustawy</w:t>
      </w:r>
      <w:r w:rsidR="00C366CA">
        <w:rPr>
          <w:rFonts w:cs="Arial"/>
          <w:szCs w:val="22"/>
        </w:rPr>
        <w:t xml:space="preserve"> Pzp</w:t>
      </w:r>
      <w:r w:rsidR="00001C78" w:rsidRPr="00001C78">
        <w:rPr>
          <w:rFonts w:cs="Arial"/>
          <w:szCs w:val="22"/>
        </w:rPr>
        <w:t>, dalszym uelastycznieniu procedury dla zamówień poniżej progu unijnego czy trwającej ewaluacji rozwiązań prawnych na szczeblu europejskim.</w:t>
      </w:r>
    </w:p>
    <w:p w14:paraId="2B46A455" w14:textId="6EC1655F" w:rsidR="00001C78" w:rsidRPr="00001C78" w:rsidRDefault="00001C78" w:rsidP="0076527A">
      <w:pPr>
        <w:shd w:val="clear" w:color="auto" w:fill="FFFFFF"/>
        <w:spacing w:before="120" w:line="360" w:lineRule="auto"/>
        <w:jc w:val="left"/>
        <w:rPr>
          <w:rFonts w:cs="Arial"/>
          <w:szCs w:val="22"/>
        </w:rPr>
      </w:pPr>
      <w:r w:rsidRPr="00001C78">
        <w:rPr>
          <w:rFonts w:cs="Arial"/>
          <w:szCs w:val="22"/>
        </w:rPr>
        <w:t>Druga debata miała miejsce trzy dni później 28.03.2025 roku. Tym razem Zamawiający i</w:t>
      </w:r>
      <w:r w:rsidR="005C2877">
        <w:rPr>
          <w:rFonts w:cs="Arial"/>
          <w:szCs w:val="22"/>
        </w:rPr>
        <w:t> </w:t>
      </w:r>
      <w:r w:rsidRPr="00001C78">
        <w:rPr>
          <w:rFonts w:cs="Arial"/>
          <w:szCs w:val="22"/>
        </w:rPr>
        <w:t xml:space="preserve">Wykonawcy spotkali się w Krakowie w auli na Wydziale Prawa i Administracji Uniwersytetu Jagiellońskiego. Wydarzenie rozpoczęło się od sesji otwierającej, w której udział wzięli Agnieszka Olszewska, Prezes UZP, prof. dr hab. Tadeusz </w:t>
      </w:r>
      <w:proofErr w:type="spellStart"/>
      <w:r w:rsidRPr="00001C78">
        <w:rPr>
          <w:rFonts w:cs="Arial"/>
          <w:szCs w:val="22"/>
        </w:rPr>
        <w:t>Włudyka</w:t>
      </w:r>
      <w:proofErr w:type="spellEnd"/>
      <w:r w:rsidRPr="00001C78">
        <w:rPr>
          <w:rFonts w:cs="Arial"/>
          <w:szCs w:val="22"/>
        </w:rPr>
        <w:t>, emerytowany kierownik Katedry Publicznego Prawa Gospodarczego i Polityki Gospodarczej oraz dr Mateusz Winiarz, Katedra Publicznego Prawa Gospodarczego i Polityki Gospodarczej. W dalszej części uczestnicy przekazywali swoje spostrzeżenia dotyczące funkcjonujących obecnie regulacji. Dzielili się swoimi pomysłami w zakresie m.in. wysokości progu stosowania ustawy</w:t>
      </w:r>
      <w:r w:rsidR="00C366CA">
        <w:rPr>
          <w:rFonts w:cs="Arial"/>
          <w:szCs w:val="22"/>
        </w:rPr>
        <w:t xml:space="preserve"> Pzp</w:t>
      </w:r>
      <w:r w:rsidRPr="00001C78">
        <w:rPr>
          <w:rFonts w:cs="Arial"/>
          <w:szCs w:val="22"/>
        </w:rPr>
        <w:t>, obligatoryjnych zapisów umownych czy mechanizmów zastosowanych w trzech wariantach trybu podstawowego. </w:t>
      </w:r>
    </w:p>
    <w:p w14:paraId="1761C9E2" w14:textId="77777777" w:rsidR="00146FAA" w:rsidRPr="00146FAA" w:rsidRDefault="00146FAA" w:rsidP="0076527A">
      <w:pPr>
        <w:shd w:val="clear" w:color="auto" w:fill="FFFFFF"/>
        <w:spacing w:before="120" w:line="360" w:lineRule="auto"/>
        <w:jc w:val="left"/>
        <w:rPr>
          <w:rFonts w:cs="Arial"/>
          <w:szCs w:val="22"/>
        </w:rPr>
      </w:pPr>
      <w:r w:rsidRPr="00146FAA">
        <w:rPr>
          <w:rFonts w:cs="Arial"/>
          <w:szCs w:val="22"/>
        </w:rPr>
        <w:t>Debatę we Wrocławiu 25.04.2024 roku poprzedził briefing prasowy z udziałem p. Michała Jarosa, Sekretarza Stanu w Ministerstwie Rozwoju i Technologii oraz p. Agnieszki Olszewskiej, Prezes UZP. Relacja z debaty pojawiła się m.in. w Faktach - programie informacyjnym TVP3 Wrocław. Ciekawa i bogata w argumenty dyskusja dotyczyła najważniejszych zagadnień Prawa zamówień publicznych. Uczestnicy dzielili się swoimi pomysłami i spostrzeżeniami na podstawie dotychczasowej praktyki stosowania Pzp. Osią debaty były kwestie ewentualnych zmian w ramach obowiązujących procedur, a także etap przygotowania postępowania. </w:t>
      </w:r>
    </w:p>
    <w:p w14:paraId="1D8AAA83" w14:textId="7C7EB2D3" w:rsidR="00146FAA" w:rsidRPr="00146FAA" w:rsidRDefault="00146FAA" w:rsidP="0076527A">
      <w:pPr>
        <w:shd w:val="clear" w:color="auto" w:fill="FFFFFF"/>
        <w:spacing w:before="120" w:line="360" w:lineRule="auto"/>
        <w:jc w:val="left"/>
        <w:rPr>
          <w:rFonts w:cs="Arial"/>
          <w:szCs w:val="22"/>
        </w:rPr>
      </w:pPr>
      <w:r w:rsidRPr="00146FAA">
        <w:rPr>
          <w:rFonts w:cs="Arial"/>
          <w:szCs w:val="22"/>
        </w:rPr>
        <w:t>Czwarta debata odbyła się 8.05.2025</w:t>
      </w:r>
      <w:r w:rsidR="005C2877">
        <w:rPr>
          <w:rFonts w:cs="Arial"/>
          <w:szCs w:val="22"/>
        </w:rPr>
        <w:t> r.</w:t>
      </w:r>
      <w:r w:rsidRPr="00146FAA">
        <w:rPr>
          <w:rFonts w:cs="Arial"/>
          <w:szCs w:val="22"/>
        </w:rPr>
        <w:t xml:space="preserve"> w Poznaniu. Spotkanie było okazją do wymiany poglądów i przekazania reprezentantom UZP spostrzeżeń i doświadczeń z prowadzenia postępowań o udzielenie zamówienia publicznego. Z ramienia UZP w dyskusji udział wzięli Agnieszka Olszewska, Prezes UZP, Izabela Fundowicz, Dyrektor Departamentu Prawnego, Marcin Kalmus, Dyrektor Biura </w:t>
      </w:r>
      <w:proofErr w:type="spellStart"/>
      <w:r w:rsidRPr="00146FAA">
        <w:rPr>
          <w:rFonts w:cs="Arial"/>
          <w:szCs w:val="22"/>
        </w:rPr>
        <w:t>Odwołań</w:t>
      </w:r>
      <w:proofErr w:type="spellEnd"/>
      <w:r w:rsidRPr="00146FAA">
        <w:rPr>
          <w:rFonts w:cs="Arial"/>
          <w:szCs w:val="22"/>
        </w:rPr>
        <w:t xml:space="preserve">, Brygida Brańko, Zastępca Dyrektora Departamentu Prawnego i Anna Dunajewska-Bańka, Naczelnik Wydziału Legislacji, Departament Prawny. Dyskutowano m.in. o proponowanych zmianach dotyczących różnych procedur </w:t>
      </w:r>
      <w:r w:rsidR="0076527A" w:rsidRPr="00822724">
        <w:rPr>
          <w:rFonts w:cs="Arial"/>
          <w:noProof/>
          <w:szCs w:val="22"/>
        </w:rPr>
        <w:drawing>
          <wp:anchor distT="0" distB="0" distL="114300" distR="114300" simplePos="0" relativeHeight="251672576" behindDoc="0" locked="0" layoutInCell="1" allowOverlap="1" wp14:anchorId="216F191E" wp14:editId="5692C3C8">
            <wp:simplePos x="0" y="0"/>
            <wp:positionH relativeFrom="column">
              <wp:posOffset>-523875</wp:posOffset>
            </wp:positionH>
            <wp:positionV relativeFrom="paragraph">
              <wp:posOffset>290830</wp:posOffset>
            </wp:positionV>
            <wp:extent cx="2696400" cy="2026800"/>
            <wp:effectExtent l="0" t="0" r="8890" b="0"/>
            <wp:wrapSquare wrapText="right"/>
            <wp:docPr id="19" name="Obraz 19"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michals\Desktop\ec0f04f9-39f8-4d6b-ba44-7446678bcb92.jfif"/>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96400" cy="202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6FAA">
        <w:rPr>
          <w:rFonts w:cs="Arial"/>
          <w:szCs w:val="22"/>
        </w:rPr>
        <w:t>zamówieniowych, a także o fazie przygotowania postępowania. </w:t>
      </w:r>
    </w:p>
    <w:p w14:paraId="6BBC1B09" w14:textId="1553B568" w:rsidR="00146FAA" w:rsidRPr="00146FAA" w:rsidRDefault="00146FAA" w:rsidP="0076527A">
      <w:pPr>
        <w:shd w:val="clear" w:color="auto" w:fill="FFFFFF"/>
        <w:spacing w:before="120" w:line="360" w:lineRule="auto"/>
        <w:jc w:val="left"/>
        <w:rPr>
          <w:rFonts w:cs="Arial"/>
          <w:szCs w:val="22"/>
        </w:rPr>
      </w:pPr>
      <w:r w:rsidRPr="00146FAA">
        <w:rPr>
          <w:rFonts w:cs="Arial"/>
          <w:szCs w:val="22"/>
        </w:rPr>
        <w:t>Cykl debat zamknęło spotkanie w Warszawie 17.06.2025 r. Spotkanie otworzyła Agnieszka Olszewska, Prezes UZP. Głównym tematem debaty były umowy o zamówienia publiczne oraz środki ochrony prawnej. Uczestnicy wspólnie analizowali możliwe kierunki usprawnień w obowiązujących przepisach na podstawie propozycji zgłoszonych w toku wcześniejszych etapów przeglądu Pzp.</w:t>
      </w:r>
    </w:p>
    <w:p w14:paraId="77130047" w14:textId="1410B4C8" w:rsidR="006A0F6D" w:rsidRPr="00E1650A" w:rsidRDefault="00044FE0" w:rsidP="00852522">
      <w:pPr>
        <w:pStyle w:val="Nagwek4"/>
      </w:pPr>
      <w:r>
        <w:t>5</w:t>
      </w:r>
      <w:r w:rsidR="006A0F6D">
        <w:t xml:space="preserve">. </w:t>
      </w:r>
      <w:r w:rsidR="006A0F6D" w:rsidRPr="0092787C">
        <w:t>Patronat Prezesa UZP</w:t>
      </w:r>
    </w:p>
    <w:p w14:paraId="66D3AED2" w14:textId="02769F17" w:rsidR="00146FAA" w:rsidRPr="00146FAA" w:rsidRDefault="00146FAA" w:rsidP="009E453F">
      <w:pPr>
        <w:shd w:val="clear" w:color="auto" w:fill="FFFFFF"/>
        <w:spacing w:before="120" w:line="360" w:lineRule="auto"/>
        <w:jc w:val="left"/>
        <w:rPr>
          <w:rFonts w:cs="Arial"/>
          <w:szCs w:val="22"/>
        </w:rPr>
      </w:pPr>
      <w:r w:rsidRPr="00146FAA">
        <w:rPr>
          <w:rFonts w:cs="Arial"/>
          <w:szCs w:val="22"/>
        </w:rPr>
        <w:t>Prezes Urzędu udzielił w 2025 roku 16 patronatów przedsięwzięciom, które ukierunkowane były na upowszechnianie wiedzy na temat zamówień publicznych wśród różnych grup uczestników rynku działających w wielu branżach zamówieniowych. Przedsięwzięcia przeprowadzone pod patronatem Prezesa Urzędu były również elementem procesu podnoszenia poziomu profesjonalizacji kadr zamówieniowych.</w:t>
      </w:r>
    </w:p>
    <w:p w14:paraId="61E6A785" w14:textId="11BE566F" w:rsidR="00146FAA" w:rsidRPr="00146FAA" w:rsidRDefault="00146FAA" w:rsidP="009E453F">
      <w:pPr>
        <w:shd w:val="clear" w:color="auto" w:fill="FFFFFF"/>
        <w:spacing w:before="120" w:line="360" w:lineRule="auto"/>
        <w:jc w:val="left"/>
        <w:rPr>
          <w:rFonts w:cs="Arial"/>
          <w:szCs w:val="22"/>
        </w:rPr>
      </w:pPr>
      <w:r w:rsidRPr="00146FAA">
        <w:rPr>
          <w:rFonts w:cs="Arial"/>
          <w:szCs w:val="22"/>
        </w:rPr>
        <w:t xml:space="preserve">Patronatem Prezesa Urzędu zostały objęte następujące przedsięwzięcia: </w:t>
      </w:r>
      <w:r w:rsidRPr="00146FAA">
        <w:rPr>
          <w:rFonts w:cs="Arial"/>
          <w:i/>
          <w:iCs/>
          <w:szCs w:val="22"/>
        </w:rPr>
        <w:t xml:space="preserve">VII Forum Zamówień Publicznych dla Wykonawców </w:t>
      </w:r>
      <w:r w:rsidRPr="00146FAA">
        <w:rPr>
          <w:rFonts w:cs="Arial"/>
          <w:szCs w:val="22"/>
        </w:rPr>
        <w:t xml:space="preserve">(6-7 marca 2025 r., Warszawa), </w:t>
      </w:r>
      <w:r w:rsidRPr="00146FAA">
        <w:rPr>
          <w:rFonts w:cs="Arial"/>
          <w:i/>
          <w:iCs/>
          <w:szCs w:val="22"/>
        </w:rPr>
        <w:t xml:space="preserve">VI Forum Zamówień Publicznych na Dostawy i Usługi </w:t>
      </w:r>
      <w:r w:rsidRPr="00146FAA">
        <w:rPr>
          <w:rFonts w:cs="Arial"/>
          <w:szCs w:val="22"/>
        </w:rPr>
        <w:t xml:space="preserve">(7-9 kwietnia 2025 r., Warszawa), </w:t>
      </w:r>
      <w:r w:rsidRPr="00146FAA">
        <w:rPr>
          <w:rFonts w:cs="Arial"/>
          <w:i/>
          <w:iCs/>
          <w:szCs w:val="22"/>
        </w:rPr>
        <w:t>Konkurs na Przedstawiciela Zamawiającego Publicznego w obszarze usług projektowo-nadzorowanych</w:t>
      </w:r>
      <w:r w:rsidRPr="00146FAA">
        <w:rPr>
          <w:rFonts w:cs="Arial"/>
          <w:szCs w:val="22"/>
        </w:rPr>
        <w:t xml:space="preserve"> (luty-kwiecień 2025 r., Warszawa), konferencja </w:t>
      </w:r>
      <w:r w:rsidRPr="00146FAA">
        <w:rPr>
          <w:rFonts w:cs="Arial"/>
          <w:i/>
          <w:iCs/>
          <w:szCs w:val="22"/>
        </w:rPr>
        <w:t>Projektowanie Przyszłości</w:t>
      </w:r>
      <w:r w:rsidRPr="00146FAA">
        <w:rPr>
          <w:rFonts w:cs="Arial"/>
          <w:szCs w:val="22"/>
        </w:rPr>
        <w:t xml:space="preserve"> (2-3 kwietnia 2025 r., Kraków), konferencja</w:t>
      </w:r>
      <w:r w:rsidRPr="00146FAA">
        <w:rPr>
          <w:rFonts w:cs="Arial"/>
          <w:i/>
          <w:iCs/>
          <w:szCs w:val="22"/>
        </w:rPr>
        <w:t xml:space="preserve"> </w:t>
      </w:r>
      <w:proofErr w:type="spellStart"/>
      <w:r w:rsidRPr="00146FAA">
        <w:rPr>
          <w:rFonts w:cs="Arial"/>
          <w:i/>
          <w:iCs/>
          <w:szCs w:val="22"/>
        </w:rPr>
        <w:t>CyberGOV</w:t>
      </w:r>
      <w:proofErr w:type="spellEnd"/>
      <w:r w:rsidRPr="00146FAA">
        <w:rPr>
          <w:rFonts w:cs="Arial"/>
          <w:i/>
          <w:iCs/>
          <w:szCs w:val="22"/>
        </w:rPr>
        <w:t xml:space="preserve"> 2025 – Bezpieczeństwo IT w sektorze publicznym</w:t>
      </w:r>
      <w:r w:rsidRPr="00146FAA">
        <w:rPr>
          <w:rFonts w:cs="Arial"/>
          <w:szCs w:val="22"/>
        </w:rPr>
        <w:t xml:space="preserve"> (21-22 maja 2025 r., Warszawa), Forum Samorządowych Centrów Usług Wspólnych. </w:t>
      </w:r>
      <w:r w:rsidRPr="00146FAA">
        <w:rPr>
          <w:rFonts w:cs="Arial"/>
          <w:i/>
          <w:iCs/>
          <w:szCs w:val="22"/>
        </w:rPr>
        <w:t>Wyzwania, innowacje, dobre praktyki</w:t>
      </w:r>
      <w:r w:rsidRPr="00146FAA">
        <w:rPr>
          <w:rFonts w:cs="Arial"/>
          <w:szCs w:val="22"/>
        </w:rPr>
        <w:t xml:space="preserve"> (9 czerwca 2025 r., Warszawa), konferencja </w:t>
      </w:r>
      <w:proofErr w:type="spellStart"/>
      <w:r w:rsidRPr="00146FAA">
        <w:rPr>
          <w:rFonts w:cs="Arial"/>
          <w:i/>
          <w:iCs/>
          <w:szCs w:val="22"/>
        </w:rPr>
        <w:t>infraBIM</w:t>
      </w:r>
      <w:proofErr w:type="spellEnd"/>
      <w:r w:rsidRPr="00146FAA">
        <w:rPr>
          <w:rFonts w:cs="Arial"/>
          <w:i/>
          <w:iCs/>
          <w:szCs w:val="22"/>
        </w:rPr>
        <w:t xml:space="preserve"> Expo &amp;</w:t>
      </w:r>
      <w:r w:rsidR="005C2877">
        <w:rPr>
          <w:rFonts w:cs="Arial"/>
          <w:i/>
          <w:iCs/>
          <w:szCs w:val="22"/>
        </w:rPr>
        <w:t> </w:t>
      </w:r>
      <w:r w:rsidRPr="00146FAA">
        <w:rPr>
          <w:rFonts w:cs="Arial"/>
          <w:i/>
          <w:iCs/>
          <w:szCs w:val="22"/>
        </w:rPr>
        <w:t xml:space="preserve">Multi-Conference </w:t>
      </w:r>
      <w:r w:rsidRPr="00146FAA">
        <w:rPr>
          <w:rFonts w:cs="Arial"/>
          <w:szCs w:val="22"/>
        </w:rPr>
        <w:t xml:space="preserve">(10–12 czerwca 2025 r., Kraków), Szkoła Zamówień Publicznych (4-6 czerwca 2025 r., Wisła), konferencja </w:t>
      </w:r>
      <w:r w:rsidRPr="00146FAA">
        <w:rPr>
          <w:rFonts w:cs="Arial"/>
          <w:i/>
          <w:iCs/>
          <w:szCs w:val="22"/>
        </w:rPr>
        <w:t xml:space="preserve">POZAP Poznań o zamówieniach publicznych </w:t>
      </w:r>
      <w:r w:rsidRPr="00146FAA">
        <w:rPr>
          <w:rFonts w:cs="Arial"/>
          <w:szCs w:val="22"/>
        </w:rPr>
        <w:t>(6</w:t>
      </w:r>
      <w:r w:rsidR="005C2877">
        <w:rPr>
          <w:rFonts w:cs="Arial"/>
          <w:szCs w:val="22"/>
        </w:rPr>
        <w:t>-</w:t>
      </w:r>
      <w:r w:rsidRPr="00146FAA">
        <w:rPr>
          <w:rFonts w:cs="Arial"/>
          <w:szCs w:val="22"/>
        </w:rPr>
        <w:t xml:space="preserve">7.10.2025 r., Poznań), </w:t>
      </w:r>
      <w:r w:rsidRPr="00146FAA">
        <w:rPr>
          <w:rFonts w:cs="Arial"/>
          <w:i/>
          <w:iCs/>
          <w:szCs w:val="22"/>
        </w:rPr>
        <w:t>III Ogólnopolska Konferencja Zamówień Publicznych</w:t>
      </w:r>
      <w:r w:rsidRPr="00146FAA">
        <w:rPr>
          <w:rFonts w:cs="Arial"/>
          <w:szCs w:val="22"/>
        </w:rPr>
        <w:t xml:space="preserve"> (26 listopada 2025 r., online), 28 konferencja naukowo-techniczna pt. </w:t>
      </w:r>
      <w:r w:rsidRPr="00146FAA">
        <w:rPr>
          <w:rFonts w:cs="Arial"/>
          <w:i/>
          <w:iCs/>
          <w:szCs w:val="22"/>
        </w:rPr>
        <w:t>Realizacja kontraktów budowlanych – wyzwania, ryzyka, kierunki rozwoju</w:t>
      </w:r>
      <w:r w:rsidRPr="00146FAA">
        <w:rPr>
          <w:rFonts w:cs="Arial"/>
          <w:szCs w:val="22"/>
        </w:rPr>
        <w:t xml:space="preserve"> (9-10 października 2025 r., Ciechocinek), konferencja </w:t>
      </w:r>
      <w:r w:rsidRPr="00146FAA">
        <w:rPr>
          <w:rFonts w:cs="Arial"/>
          <w:i/>
          <w:iCs/>
          <w:szCs w:val="22"/>
        </w:rPr>
        <w:t xml:space="preserve">. „Kondycja architekta a kondycja architektury i przestrzeni” </w:t>
      </w:r>
      <w:r w:rsidRPr="00146FAA">
        <w:rPr>
          <w:rFonts w:cs="Arial"/>
          <w:szCs w:val="22"/>
        </w:rPr>
        <w:t xml:space="preserve">(9-10 października 2025 r., Lwówek Śląski), </w:t>
      </w:r>
      <w:r w:rsidRPr="00146FAA">
        <w:rPr>
          <w:rFonts w:cs="Arial"/>
          <w:i/>
          <w:iCs/>
          <w:szCs w:val="22"/>
        </w:rPr>
        <w:t xml:space="preserve">Turniej </w:t>
      </w:r>
      <w:proofErr w:type="spellStart"/>
      <w:r w:rsidRPr="00146FAA">
        <w:rPr>
          <w:rFonts w:cs="Arial"/>
          <w:i/>
          <w:iCs/>
          <w:szCs w:val="22"/>
        </w:rPr>
        <w:t>Moot</w:t>
      </w:r>
      <w:proofErr w:type="spellEnd"/>
      <w:r w:rsidRPr="00146FAA">
        <w:rPr>
          <w:rFonts w:cs="Arial"/>
          <w:i/>
          <w:iCs/>
          <w:szCs w:val="22"/>
        </w:rPr>
        <w:t xml:space="preserve"> Court „Zastępstwo procesowe przed Krajową Izbą Odwoławcza-V edycja </w:t>
      </w:r>
      <w:r w:rsidRPr="00146FAA">
        <w:rPr>
          <w:rFonts w:cs="Arial"/>
          <w:szCs w:val="22"/>
        </w:rPr>
        <w:t xml:space="preserve">(październik-grudzień 2025 r., Warszawa), </w:t>
      </w:r>
      <w:r w:rsidRPr="00146FAA">
        <w:rPr>
          <w:rFonts w:cs="Arial"/>
          <w:i/>
          <w:iCs/>
          <w:szCs w:val="22"/>
        </w:rPr>
        <w:t>XXVIII Zjazd Specjalistów i</w:t>
      </w:r>
      <w:r w:rsidR="005C2877">
        <w:rPr>
          <w:rFonts w:cs="Arial"/>
          <w:i/>
          <w:iCs/>
          <w:szCs w:val="22"/>
        </w:rPr>
        <w:t> </w:t>
      </w:r>
      <w:r w:rsidRPr="00146FAA">
        <w:rPr>
          <w:rFonts w:cs="Arial"/>
          <w:i/>
          <w:iCs/>
          <w:szCs w:val="22"/>
        </w:rPr>
        <w:t xml:space="preserve">Ekspertów ds. zamówień publicznych </w:t>
      </w:r>
      <w:r w:rsidRPr="00146FAA">
        <w:rPr>
          <w:rFonts w:cs="Arial"/>
          <w:szCs w:val="22"/>
        </w:rPr>
        <w:t xml:space="preserve">(21 listopada 2025 r., Warszawa), </w:t>
      </w:r>
      <w:r w:rsidRPr="00146FAA">
        <w:rPr>
          <w:rFonts w:cs="Arial"/>
          <w:i/>
          <w:iCs/>
          <w:szCs w:val="22"/>
        </w:rPr>
        <w:t xml:space="preserve">XX Forum Przetargów Publicznych </w:t>
      </w:r>
      <w:r w:rsidRPr="00146FAA">
        <w:rPr>
          <w:rFonts w:cs="Arial"/>
          <w:szCs w:val="22"/>
        </w:rPr>
        <w:t>(13-15 października 2025 r. Jachranka k. Warszawy), konkurs na Przedstawiciela Zamawiającego Publicznego w obszarze usług projektowo-</w:t>
      </w:r>
      <w:proofErr w:type="spellStart"/>
      <w:r w:rsidRPr="00146FAA">
        <w:rPr>
          <w:rFonts w:cs="Arial"/>
          <w:szCs w:val="22"/>
        </w:rPr>
        <w:t>nadzorowych</w:t>
      </w:r>
      <w:proofErr w:type="spellEnd"/>
      <w:r w:rsidRPr="00146FAA">
        <w:rPr>
          <w:rFonts w:cs="Arial"/>
          <w:szCs w:val="22"/>
        </w:rPr>
        <w:t xml:space="preserve"> </w:t>
      </w:r>
      <w:proofErr w:type="spellStart"/>
      <w:r w:rsidRPr="00146FAA">
        <w:rPr>
          <w:rFonts w:cs="Arial"/>
          <w:szCs w:val="22"/>
        </w:rPr>
        <w:t>Builders</w:t>
      </w:r>
      <w:proofErr w:type="spellEnd"/>
      <w:r w:rsidRPr="00146FAA">
        <w:rPr>
          <w:rFonts w:cs="Arial"/>
          <w:szCs w:val="22"/>
        </w:rPr>
        <w:t xml:space="preserve"> of </w:t>
      </w:r>
      <w:proofErr w:type="spellStart"/>
      <w:r w:rsidRPr="00146FAA">
        <w:rPr>
          <w:rFonts w:cs="Arial"/>
          <w:szCs w:val="22"/>
        </w:rPr>
        <w:t>Tomorrow</w:t>
      </w:r>
      <w:proofErr w:type="spellEnd"/>
      <w:r w:rsidRPr="00146FAA">
        <w:rPr>
          <w:rFonts w:cs="Arial"/>
          <w:szCs w:val="22"/>
        </w:rPr>
        <w:t xml:space="preserve"> (styczeń-kwiecień 2026).</w:t>
      </w:r>
    </w:p>
    <w:p w14:paraId="11B8E45E" w14:textId="31088B2B" w:rsidR="006A0F6D" w:rsidRPr="00E1650A" w:rsidRDefault="00044FE0" w:rsidP="00852522">
      <w:pPr>
        <w:pStyle w:val="Nagwek4"/>
      </w:pPr>
      <w:r>
        <w:t>6</w:t>
      </w:r>
      <w:r w:rsidR="006A0F6D">
        <w:t xml:space="preserve">. </w:t>
      </w:r>
      <w:r w:rsidR="006A0F6D" w:rsidRPr="000B2BBA">
        <w:t>Studia podyplomowe pod patronatem Prezesa UZP</w:t>
      </w:r>
    </w:p>
    <w:p w14:paraId="370EE9BC" w14:textId="6D91CEF2" w:rsidR="003F69C8" w:rsidRPr="003F69C8" w:rsidRDefault="003F69C8" w:rsidP="009E453F">
      <w:pPr>
        <w:shd w:val="clear" w:color="auto" w:fill="FFFFFF"/>
        <w:spacing w:before="120" w:line="360" w:lineRule="auto"/>
        <w:jc w:val="left"/>
        <w:rPr>
          <w:rFonts w:cs="Arial"/>
          <w:szCs w:val="22"/>
        </w:rPr>
      </w:pPr>
      <w:r w:rsidRPr="003F69C8">
        <w:rPr>
          <w:rFonts w:cs="Arial"/>
          <w:szCs w:val="22"/>
        </w:rPr>
        <w:t>Studia podyplomowe objęte patronatem Prezesa Urzędu Zamówień Publicznych przekazują wiedzę i umiejętności w zakresie prawidłowego i efektywnego stosowania przepisów Prawa zamówień publicznych, specyfiki zamówień na innowacje, kwestii zrównoważonych zamówień publicznych, ekonomiczno-finansowych aspektów zamówień czy kwestii partnerskiego podejścia zamawiających i wykonawców. Procedura zamówieniowa jest w</w:t>
      </w:r>
      <w:r w:rsidR="005C2877">
        <w:rPr>
          <w:rFonts w:cs="Arial"/>
          <w:szCs w:val="22"/>
        </w:rPr>
        <w:t> </w:t>
      </w:r>
      <w:r w:rsidRPr="003F69C8">
        <w:rPr>
          <w:rFonts w:cs="Arial"/>
          <w:szCs w:val="22"/>
        </w:rPr>
        <w:t>trakcie procesu edukacji traktowana szerzej, bowiem studia te kształcą również kompetencje z zakresu ekonomii, finansów i zarządzania. W roku 2025 uczelnie wyższa kontynuowały proces edukacji pod patronatem Prezesa Urzędu Zamówień Publicznych.</w:t>
      </w:r>
      <w:r w:rsidR="00990AEA">
        <w:rPr>
          <w:rFonts w:cs="Arial"/>
          <w:szCs w:val="22"/>
        </w:rPr>
        <w:t xml:space="preserve"> </w:t>
      </w:r>
      <w:r w:rsidRPr="003F69C8">
        <w:rPr>
          <w:rFonts w:cs="Arial"/>
          <w:szCs w:val="22"/>
        </w:rPr>
        <w:t>Proces ten przebiegał na mocy porozumień z uczelniami, zawartych przy pełnym poszanowaniu specyfiki uczelni wyższych, ich autonomii, a także uwzględniających dostosowanie ramowego programu studiów do przepisów, założeń i celów Prawa zamówień publicznych oraz przepisów o szkolnictwie wyższym. W 2025 r. cztery nowe uczelnie przystąpiły do Porozumienia w sprawie prowadzenia studiów podyplomowych z zakresu zamówień publicznych. Były to Uniwersytet Zielonogórski, Warszawa Szkoła Zarządzania Szkoła Wyższa, Uniwersytet Warmińsko-Mazurski i Uniwersytet w Białymstoku.</w:t>
      </w:r>
    </w:p>
    <w:p w14:paraId="5229B4E0" w14:textId="01FED0B1" w:rsidR="003F69C8" w:rsidRDefault="003F69C8" w:rsidP="009E453F">
      <w:pPr>
        <w:shd w:val="clear" w:color="auto" w:fill="FFFFFF"/>
        <w:spacing w:before="120" w:line="360" w:lineRule="auto"/>
        <w:jc w:val="left"/>
        <w:rPr>
          <w:rFonts w:cs="Arial"/>
          <w:szCs w:val="22"/>
        </w:rPr>
      </w:pPr>
      <w:r w:rsidRPr="003F69C8">
        <w:rPr>
          <w:rFonts w:cs="Arial"/>
          <w:szCs w:val="22"/>
        </w:rPr>
        <w:t xml:space="preserve">Wykaz uczelni prowadzących studia podyplomowe po patronatem Prezesa UZP jest publikowany na stronie internetowej Urzędu pod adresem: </w:t>
      </w:r>
      <w:hyperlink r:id="rId90" w:history="1">
        <w:r w:rsidRPr="003F69C8">
          <w:rPr>
            <w:rStyle w:val="Hipercze"/>
            <w:rFonts w:cs="Arial"/>
            <w:szCs w:val="22"/>
          </w:rPr>
          <w:t>https://www.gov.pl/web/uzp/lista-studiow-podyplomowych-objetych-patronatem-prezesa-uzp</w:t>
        </w:r>
      </w:hyperlink>
      <w:r w:rsidRPr="003F69C8">
        <w:rPr>
          <w:rFonts w:cs="Arial"/>
          <w:szCs w:val="22"/>
        </w:rPr>
        <w:t>.</w:t>
      </w:r>
      <w:r w:rsidR="00990AEA">
        <w:rPr>
          <w:rFonts w:cs="Arial"/>
          <w:szCs w:val="22"/>
        </w:rPr>
        <w:t xml:space="preserve"> </w:t>
      </w:r>
    </w:p>
    <w:p w14:paraId="0361AE16" w14:textId="45F95A67" w:rsidR="00EC2629" w:rsidRPr="00E1650A" w:rsidRDefault="00EC2629" w:rsidP="00EC2629">
      <w:pPr>
        <w:pStyle w:val="Nagwek4"/>
      </w:pPr>
      <w:r>
        <w:t>7. Wnioski i rekomendacje w zakresie d</w:t>
      </w:r>
      <w:r w:rsidRPr="00EC2629">
        <w:t>ziałalnoś</w:t>
      </w:r>
      <w:r>
        <w:t>ci</w:t>
      </w:r>
      <w:r w:rsidRPr="00EC2629">
        <w:t xml:space="preserve"> edukacyjno-informacyjn</w:t>
      </w:r>
      <w:r>
        <w:t>ej</w:t>
      </w:r>
    </w:p>
    <w:p w14:paraId="0CBF6929" w14:textId="3D1E92CB" w:rsidR="008758AB" w:rsidRPr="007D6C46" w:rsidRDefault="008758AB" w:rsidP="008758AB">
      <w:pPr>
        <w:shd w:val="clear" w:color="auto" w:fill="FFFFFF"/>
        <w:spacing w:before="120" w:line="360" w:lineRule="auto"/>
        <w:jc w:val="left"/>
        <w:rPr>
          <w:rFonts w:cs="Arial"/>
          <w:szCs w:val="22"/>
        </w:rPr>
      </w:pPr>
      <w:r w:rsidRPr="007D6C46">
        <w:rPr>
          <w:rFonts w:cs="Arial"/>
          <w:szCs w:val="22"/>
        </w:rPr>
        <w:t>Działalność edukacyjno-informacyjna realizowana przez Urząd Zamówień Publicznych w 2025 roku potwierdziła rosnące znaczenie profesjonalizacji uczestników systemu zamówień publicznych oraz potrzebę stałego rozwijania kompetencji w tym obszarze. Uruchomienie Akademii Zakupów Publicznych stworzyło spójną i rozpoznawalną platformę integrującą działania szkoleniowe, informacyjne i eksperckie, odpowiadającą na aktualne wyzwania rynku zamówień publicznych. Realizowane przedsięwzięcia charakteryzowały się dużą różnorodnością tematyczną i organizacyjną. Połączenie szkoleń online, wydarzeń stacjonarnych, warsztatów, konferencji oraz debat umożliwiło dotarcie do szerokiego grona odbiorców reprezentujących administrację publiczną, jednostki samorządu terytorialnego, instytucje kontrolne, środowisko akademickie oraz wykonawców. Ważnym elementem działalności edukacyjnej było uwzględnienie w ramach podejmowanej tematyki</w:t>
      </w:r>
      <w:r w:rsidR="00326395">
        <w:rPr>
          <w:rFonts w:cs="Arial"/>
          <w:szCs w:val="22"/>
        </w:rPr>
        <w:t xml:space="preserve"> </w:t>
      </w:r>
      <w:r w:rsidRPr="007D6C46">
        <w:rPr>
          <w:rFonts w:cs="Arial"/>
          <w:szCs w:val="22"/>
        </w:rPr>
        <w:t xml:space="preserve">zarówno zagadnień proceduralnych wynikających z ustawy Pzp, jak również tematów strategicznych i interdyscyplinarnych, takich jak </w:t>
      </w:r>
      <w:proofErr w:type="spellStart"/>
      <w:r w:rsidRPr="007D6C46">
        <w:rPr>
          <w:rFonts w:cs="Arial"/>
          <w:szCs w:val="22"/>
        </w:rPr>
        <w:t>cyberbezpieczeństwo</w:t>
      </w:r>
      <w:proofErr w:type="spellEnd"/>
      <w:r w:rsidRPr="007D6C46">
        <w:rPr>
          <w:rFonts w:cs="Arial"/>
          <w:szCs w:val="22"/>
        </w:rPr>
        <w:t>, zarządzanie projektami, partnerstwo publiczno-prywatne, analiza danych czy rozwiązywanie sporów. Za istotne należy uznać wzmocnienie współpracy UZP z przedstawicielami rynku, ekspertami branżowymi, środowiskiem naukowym oraz różnymi instytucjami funkcjonującymi w systemie</w:t>
      </w:r>
      <w:r w:rsidR="00326395">
        <w:rPr>
          <w:rFonts w:cs="Arial"/>
          <w:szCs w:val="22"/>
        </w:rPr>
        <w:t xml:space="preserve"> </w:t>
      </w:r>
      <w:r w:rsidRPr="007D6C46">
        <w:rPr>
          <w:rFonts w:cs="Arial"/>
          <w:szCs w:val="22"/>
        </w:rPr>
        <w:t xml:space="preserve">zamówień publicznych. Udział praktyków w działaniach edukacyjnych zwiększał praktyczny wymiar przekazywanej wiedzy i umożliwiał prezentowanie rzeczywistych doświadczeń związanych z prowadzeniem postępowań. Na uwagę zasługuje również konsekwentne promowanie europejskich ram kompetencyjnych </w:t>
      </w:r>
      <w:proofErr w:type="spellStart"/>
      <w:r w:rsidRPr="007D6C46">
        <w:rPr>
          <w:rFonts w:cs="Arial"/>
          <w:szCs w:val="22"/>
        </w:rPr>
        <w:t>ProcurCompEU</w:t>
      </w:r>
      <w:proofErr w:type="spellEnd"/>
      <w:r w:rsidRPr="007D6C46">
        <w:rPr>
          <w:rFonts w:cs="Arial"/>
          <w:szCs w:val="22"/>
        </w:rPr>
        <w:t xml:space="preserve"> oraz rozwijanie podejścia do zamówień publicznych jako strategicznego procesu zakupowego, wykraczającego poza samą procedurę udzielenia zamówienia. Działania te przyczyniały się do budowania nowoczesnego modelu zarządzania zakupami publicznymi, opartego na planowaniu, analizie potrzeb, zarządzaniu ryzykiem oraz efektywnym wykorzystaniu danych. Przeprowadzone debaty dotyczące przeglądu regulacji Prawa zamówień publicznych pokazały jednocześnie duże zainteresowanie uczestników rynku aktywnym udziałem w procesie doskonalenia systemu zamówień publicznych. Wymiana doświadczeń pomiędzy zamawiającymi, wykonawcami i ekspertami pozwoliła zidentyfikować najważniejsze problemy praktyczne oraz potencjalne kierunki zmian legislacyjnych.</w:t>
      </w:r>
    </w:p>
    <w:p w14:paraId="29F74CBD" w14:textId="45610A94" w:rsidR="008758AB" w:rsidRPr="007821AC" w:rsidRDefault="008758AB" w:rsidP="008758AB">
      <w:pPr>
        <w:spacing w:before="120" w:line="360" w:lineRule="auto"/>
        <w:jc w:val="left"/>
        <w:rPr>
          <w:iCs/>
          <w:szCs w:val="22"/>
        </w:rPr>
      </w:pPr>
      <w:r w:rsidRPr="007821AC">
        <w:rPr>
          <w:iCs/>
          <w:szCs w:val="22"/>
        </w:rPr>
        <w:t xml:space="preserve">Rekomenduje się dalsze rozwijanie Akademii Zakupów Publicznych skupiającej działania edukacyjne adresowane do uczestników systemu zamówień publicznych, w tym rozszerzanie tej oferty o nowe obszary wynikające z postępu technologicznego, zmian regulacyjnych oraz potrzeb rynku. Uzasadnione jest zwiększenie form edukacyjnych opartych na rzeczywistych postępowaniach oraz doświadczeniach zamawiających i wykonawców, w szczególności rozwijające umiejętności analityczne, negocjacyjne i zarządcze. Należy kontynuować i rozwijać tematykę koncentrującą się na </w:t>
      </w:r>
      <w:proofErr w:type="spellStart"/>
      <w:r w:rsidRPr="007821AC">
        <w:rPr>
          <w:iCs/>
          <w:szCs w:val="22"/>
        </w:rPr>
        <w:t>cyberbezpieczeństwie</w:t>
      </w:r>
      <w:proofErr w:type="spellEnd"/>
      <w:r w:rsidRPr="007821AC">
        <w:rPr>
          <w:iCs/>
          <w:szCs w:val="22"/>
        </w:rPr>
        <w:t>, profesjonalizacji zamówień publicznych, kwestiach około zamówieniowych oraz</w:t>
      </w:r>
      <w:r w:rsidR="00326395">
        <w:rPr>
          <w:iCs/>
          <w:szCs w:val="22"/>
        </w:rPr>
        <w:t xml:space="preserve"> </w:t>
      </w:r>
      <w:r w:rsidRPr="007821AC">
        <w:rPr>
          <w:iCs/>
          <w:szCs w:val="22"/>
        </w:rPr>
        <w:t>cyfryzacji procesu zakupowego. Obszary te będą miały coraz większe znaczenie dla bezpieczeństwa i efektywności wydatkowania środków publicznych. Pożądane jest również dalsze wzmacnianie współpracy ze środowiskiem akademickim, organizacjami branżowymi oraz instytucjami kontrolnymi, co pozwoli na lepsze dostosowanie działań edukacyjnych do realnych potrzeb rynku oraz wspólne wypracowywanie dobrych praktyk.</w:t>
      </w:r>
    </w:p>
    <w:p w14:paraId="0F47A909" w14:textId="77777777" w:rsidR="008758AB" w:rsidRPr="007821AC" w:rsidRDefault="008758AB" w:rsidP="008758AB">
      <w:pPr>
        <w:spacing w:before="120" w:line="360" w:lineRule="auto"/>
        <w:jc w:val="left"/>
        <w:rPr>
          <w:iCs/>
          <w:szCs w:val="22"/>
        </w:rPr>
      </w:pPr>
      <w:r w:rsidRPr="007821AC">
        <w:rPr>
          <w:iCs/>
          <w:szCs w:val="22"/>
        </w:rPr>
        <w:t xml:space="preserve">Zaleca się także kontynuację działań wspierających profesjonalizację kadr zamówieniowych poprzez popularyzację ram kompetencyjnych </w:t>
      </w:r>
      <w:proofErr w:type="spellStart"/>
      <w:r w:rsidRPr="007821AC">
        <w:rPr>
          <w:iCs/>
          <w:szCs w:val="22"/>
        </w:rPr>
        <w:t>ProcurCompEU</w:t>
      </w:r>
      <w:proofErr w:type="spellEnd"/>
      <w:r w:rsidRPr="007821AC">
        <w:rPr>
          <w:iCs/>
          <w:szCs w:val="22"/>
        </w:rPr>
        <w:t xml:space="preserve"> oraz rozwój systemowych rozwiązań wspierających rozwój zawodowy osób zajmujących się procesem zakupowym.</w:t>
      </w:r>
    </w:p>
    <w:p w14:paraId="4B2C757E" w14:textId="77777777" w:rsidR="008758AB" w:rsidRPr="007821AC" w:rsidRDefault="008758AB" w:rsidP="008758AB">
      <w:pPr>
        <w:spacing w:before="120" w:line="360" w:lineRule="auto"/>
        <w:jc w:val="left"/>
        <w:rPr>
          <w:iCs/>
          <w:szCs w:val="22"/>
        </w:rPr>
      </w:pPr>
      <w:r w:rsidRPr="007821AC">
        <w:rPr>
          <w:iCs/>
          <w:szCs w:val="22"/>
        </w:rPr>
        <w:t>Zasadne wydaje się także dalsze rozwijanie regionalnego wymiaru działalności edukacyjnej Urzędu zwiększające dostępność działań edukacyjnych i umożliwiające aktywny udział przedstawicieli administracji oraz wykonawców z różnych części kraju. Warto też rozwijać mechanizmy ewaluacji działań edukacyjnych, umożliwiające systematyczne badanie potrzeb uczestników rynku oraz ocenę efektywności realizowanych przedsięwzięć. Pozwoli to na jeszcze lepsze dopasowanie oferty edukacyjnej do dynamicznie zmieniających się wyzwań systemu zamówień publicznych.</w:t>
      </w:r>
    </w:p>
    <w:p w14:paraId="387AF06B" w14:textId="2F2B1DC9" w:rsidR="00B23ECA" w:rsidRPr="00EF5AC5" w:rsidRDefault="00CC2929" w:rsidP="00270CF3">
      <w:pPr>
        <w:pStyle w:val="Nagwek3"/>
      </w:pPr>
      <w:bookmarkStart w:id="290" w:name="_Toc64451885"/>
      <w:bookmarkStart w:id="291" w:name="_Toc233203305"/>
      <w:r>
        <w:t>I</w:t>
      </w:r>
      <w:r w:rsidR="00B23ECA" w:rsidRPr="000A7958">
        <w:t>II.1.</w:t>
      </w:r>
      <w:r w:rsidR="00F60569">
        <w:t>5</w:t>
      </w:r>
      <w:r w:rsidR="00B23ECA" w:rsidRPr="000A7958">
        <w:t xml:space="preserve">. Realizacja działań </w:t>
      </w:r>
      <w:r w:rsidR="00C95791">
        <w:t xml:space="preserve">edukacyjnych </w:t>
      </w:r>
      <w:r w:rsidR="00B23ECA" w:rsidRPr="000A7958">
        <w:t>dotyczących zrównoważonych zamówień publicznych</w:t>
      </w:r>
      <w:bookmarkEnd w:id="290"/>
      <w:bookmarkEnd w:id="291"/>
    </w:p>
    <w:p w14:paraId="5F661B40" w14:textId="260444E1" w:rsidR="00B23ECA" w:rsidRPr="007A5C39" w:rsidRDefault="00B23ECA" w:rsidP="00852522">
      <w:pPr>
        <w:pStyle w:val="Nagwek4"/>
      </w:pPr>
      <w:bookmarkStart w:id="292" w:name="_Toc194425375"/>
      <w:r>
        <w:t xml:space="preserve">1. </w:t>
      </w:r>
      <w:bookmarkEnd w:id="292"/>
      <w:r w:rsidR="007F180E">
        <w:t>Szkolenia</w:t>
      </w:r>
    </w:p>
    <w:p w14:paraId="1BCB6C0C" w14:textId="7FFE7C6D" w:rsidR="007F180E" w:rsidRPr="007A5C39" w:rsidRDefault="007F180E" w:rsidP="00852522">
      <w:pPr>
        <w:pStyle w:val="Nagwek4"/>
      </w:pPr>
      <w:r>
        <w:t xml:space="preserve">1.1. </w:t>
      </w:r>
      <w:r w:rsidRPr="000A7958">
        <w:t>Organizacja bloków szkoleniowych z zakresu zielonych zamówień w</w:t>
      </w:r>
      <w:r w:rsidR="00EE00C9">
        <w:t> </w:t>
      </w:r>
      <w:r w:rsidRPr="000A7958">
        <w:t>ramach szkoleń UZP</w:t>
      </w:r>
    </w:p>
    <w:p w14:paraId="0AFD0411" w14:textId="1BC1EE01" w:rsidR="007F180E" w:rsidRPr="007F180E" w:rsidRDefault="007F180E" w:rsidP="007F180E">
      <w:pPr>
        <w:shd w:val="clear" w:color="auto" w:fill="FFFFFF"/>
        <w:spacing w:before="120" w:line="360" w:lineRule="auto"/>
        <w:jc w:val="left"/>
        <w:rPr>
          <w:rFonts w:cs="Arial"/>
          <w:bCs/>
          <w:szCs w:val="22"/>
        </w:rPr>
      </w:pPr>
      <w:r w:rsidRPr="007F180E">
        <w:rPr>
          <w:rFonts w:cs="Arial"/>
          <w:bCs/>
          <w:szCs w:val="22"/>
        </w:rPr>
        <w:t>Zielone zamówienia publiczne zostały uwzględnione w programie 5 szkoleń zorganizowanych przez Urząd Zamówień Publicznych w formule online. Trzy bloki szkoleniowe (w trakcie szkoleń w terminach 21.05, 1.10 oraz 15.10) koncentrowały się na unijnych i krajowych regulacjach prawnych powiązanych z zielonymi zamówieniami publicznymi i obowiązkach dla zamawiających wynikających z tych przepisów. Dodatkowo omówione zostały przepisy ustawy Prawo zamówień publicznych umożliwiające zamawiającym uwzględnienie aspektów środowiskowych na rożnych etapach postępowania o udzielenie zamówienia. Z kolei w ramach 2 bloków szkoleniowych (w trakcie szkoleń 29.10 i</w:t>
      </w:r>
      <w:r w:rsidR="00EE00C9">
        <w:rPr>
          <w:rFonts w:cs="Arial"/>
          <w:bCs/>
          <w:szCs w:val="22"/>
        </w:rPr>
        <w:t> </w:t>
      </w:r>
      <w:r w:rsidRPr="007F180E">
        <w:rPr>
          <w:rFonts w:cs="Arial"/>
          <w:bCs/>
          <w:szCs w:val="22"/>
        </w:rPr>
        <w:t>28.11) przeprowadzonych przez reprezentanta Urzędu Marszałkowskiego Województwa Mazowieckiego nacisk położono na praktykę stosowania aspektów środowiskowych w ramach postępowań o udzielenie zamówienia. Zaprezentowane zostały przykładowe zapisy w dokumentach zamówienia, które wykorzystano na potrzeby sformułowania opisu przedmiotu zamówienia, kryteriów oceny ofert, czy też warunków realizacji zamówienia. W</w:t>
      </w:r>
      <w:r w:rsidR="00EE00C9">
        <w:rPr>
          <w:rFonts w:cs="Arial"/>
          <w:bCs/>
          <w:szCs w:val="22"/>
        </w:rPr>
        <w:t> </w:t>
      </w:r>
      <w:r w:rsidRPr="007F180E">
        <w:rPr>
          <w:rFonts w:cs="Arial"/>
          <w:bCs/>
          <w:szCs w:val="22"/>
        </w:rPr>
        <w:t>wydarzeniach uwzględniających tematykę zielonych zamówień publicznych udział wzięło łącznie 458 osób. Szkolenia zrealizowano w ramach projektu „Wsparcie beneficjentów polityki spójności w obszarze zamówień publicznych” współfinansowanego ze środków UE w</w:t>
      </w:r>
      <w:r w:rsidR="00EE00C9">
        <w:rPr>
          <w:rFonts w:cs="Arial"/>
          <w:bCs/>
          <w:szCs w:val="22"/>
        </w:rPr>
        <w:t> </w:t>
      </w:r>
      <w:r w:rsidRPr="007F180E">
        <w:rPr>
          <w:rFonts w:cs="Arial"/>
          <w:bCs/>
          <w:szCs w:val="22"/>
        </w:rPr>
        <w:t>ramach Pomocy Technicznej dla Funduszy Europejskich.</w:t>
      </w:r>
    </w:p>
    <w:p w14:paraId="37EEC34F" w14:textId="6B845F23" w:rsidR="00B23ECA" w:rsidRPr="00180CC0" w:rsidRDefault="007F180E" w:rsidP="00852522">
      <w:pPr>
        <w:pStyle w:val="Nagwek4"/>
      </w:pPr>
      <w:bookmarkStart w:id="293" w:name="_Toc194425376"/>
      <w:r>
        <w:t>1.</w:t>
      </w:r>
      <w:r w:rsidR="00B23ECA">
        <w:t xml:space="preserve">2. </w:t>
      </w:r>
      <w:r w:rsidR="00B23ECA" w:rsidRPr="00C768A3">
        <w:t>Organizacja szkoleń ze społecznych zamówień publicznych</w:t>
      </w:r>
      <w:bookmarkEnd w:id="293"/>
    </w:p>
    <w:p w14:paraId="601FA14D" w14:textId="79D45C20" w:rsidR="007F180E" w:rsidRPr="007F180E" w:rsidRDefault="007F180E" w:rsidP="007F180E">
      <w:pPr>
        <w:shd w:val="clear" w:color="auto" w:fill="FFFFFF"/>
        <w:spacing w:before="120" w:line="360" w:lineRule="auto"/>
        <w:jc w:val="left"/>
        <w:rPr>
          <w:rFonts w:cs="Arial"/>
          <w:bCs/>
          <w:szCs w:val="22"/>
        </w:rPr>
      </w:pPr>
      <w:r w:rsidRPr="007F180E">
        <w:rPr>
          <w:rFonts w:cs="Arial"/>
          <w:bCs/>
          <w:szCs w:val="22"/>
        </w:rPr>
        <w:t>W 2025 r. Urząd przeprowadził 3 szkolenia na temat społecznych zamówień publicznych. Szkolenia, które zorganizowano w formule online w dniach 19 marca, 8 oraz 22 października, adresowane były do przedstawicieli instytucji zamawiających – reprezentantów administracji rządowej, samorządowej oraz instytucji kontrolnych. Ogółem w szkoleniach ze społecznych zamówień publicznych wzięło udział ponad 260 uczestników. Wydarzenia te zorganizowano w ramach projektu pt. „Wsparcie beneficjentów polityki spójności w obszarze zamówień publicznych” współfinansowanego ze środków UE. W ramach szkoleń omówiono instrumenty prawne w ustawie Prawo zamówień publicznych umożliwiające uwzględnianie aspektów społecznych w toku przygotowania i prowadzenia postępowania o udzielenie zamówienia publicznego oraz na etapie realizacji zamówienia publicznego.</w:t>
      </w:r>
    </w:p>
    <w:p w14:paraId="49939738" w14:textId="1D3E7D27" w:rsidR="00B23ECA" w:rsidRPr="00E122CB" w:rsidRDefault="007F180E" w:rsidP="00852522">
      <w:pPr>
        <w:pStyle w:val="Nagwek4"/>
      </w:pPr>
      <w:bookmarkStart w:id="294" w:name="_Toc194425377"/>
      <w:r>
        <w:t>1.</w:t>
      </w:r>
      <w:r w:rsidR="00B23ECA">
        <w:t xml:space="preserve">3. </w:t>
      </w:r>
      <w:r w:rsidR="00B23ECA" w:rsidRPr="00C768A3">
        <w:t>Organizacja szkoleń z zamówień publicznych na innowacje</w:t>
      </w:r>
      <w:bookmarkEnd w:id="294"/>
    </w:p>
    <w:p w14:paraId="1EB04813" w14:textId="62DF3E92" w:rsidR="007F180E" w:rsidRPr="007F180E" w:rsidRDefault="007F180E" w:rsidP="007F180E">
      <w:pPr>
        <w:shd w:val="clear" w:color="auto" w:fill="FFFFFF"/>
        <w:spacing w:before="120" w:line="360" w:lineRule="auto"/>
        <w:jc w:val="left"/>
        <w:rPr>
          <w:rFonts w:cs="Arial"/>
          <w:bCs/>
          <w:szCs w:val="22"/>
        </w:rPr>
      </w:pPr>
      <w:r w:rsidRPr="007F180E">
        <w:rPr>
          <w:rFonts w:cs="Arial"/>
          <w:bCs/>
          <w:szCs w:val="22"/>
        </w:rPr>
        <w:t>W 2025 r. Urząd przeprowadził 2 szkolenia z zakresu zamówień publicznych na innowacje w</w:t>
      </w:r>
      <w:r w:rsidR="00EE00C9">
        <w:rPr>
          <w:rFonts w:cs="Arial"/>
          <w:bCs/>
          <w:szCs w:val="22"/>
        </w:rPr>
        <w:t> </w:t>
      </w:r>
      <w:r w:rsidRPr="007F180E">
        <w:rPr>
          <w:rFonts w:cs="Arial"/>
          <w:bCs/>
          <w:szCs w:val="22"/>
        </w:rPr>
        <w:t>świetle ustawy</w:t>
      </w:r>
      <w:r w:rsidR="001D1ACB">
        <w:rPr>
          <w:rFonts w:cs="Arial"/>
          <w:bCs/>
          <w:szCs w:val="22"/>
        </w:rPr>
        <w:t xml:space="preserve"> </w:t>
      </w:r>
      <w:r w:rsidRPr="007F180E">
        <w:rPr>
          <w:rFonts w:cs="Arial"/>
          <w:bCs/>
          <w:szCs w:val="22"/>
        </w:rPr>
        <w:t>Prawo zamówień publicznych. Podczas szkoleń, które odbyły się 12</w:t>
      </w:r>
      <w:r w:rsidR="00EE00C9">
        <w:rPr>
          <w:rFonts w:cs="Arial"/>
          <w:bCs/>
          <w:szCs w:val="22"/>
        </w:rPr>
        <w:t> </w:t>
      </w:r>
      <w:r w:rsidRPr="007F180E">
        <w:rPr>
          <w:rFonts w:cs="Arial"/>
          <w:bCs/>
          <w:szCs w:val="22"/>
        </w:rPr>
        <w:t>i</w:t>
      </w:r>
      <w:r w:rsidR="00EE00C9">
        <w:rPr>
          <w:rFonts w:cs="Arial"/>
          <w:bCs/>
          <w:szCs w:val="22"/>
        </w:rPr>
        <w:t> </w:t>
      </w:r>
      <w:r w:rsidRPr="007F180E">
        <w:rPr>
          <w:rFonts w:cs="Arial"/>
          <w:bCs/>
          <w:szCs w:val="22"/>
        </w:rPr>
        <w:t>26</w:t>
      </w:r>
      <w:r w:rsidR="00EE00C9">
        <w:rPr>
          <w:rFonts w:cs="Arial"/>
          <w:bCs/>
          <w:szCs w:val="22"/>
        </w:rPr>
        <w:t> </w:t>
      </w:r>
      <w:r w:rsidRPr="007F180E">
        <w:rPr>
          <w:rFonts w:cs="Arial"/>
          <w:bCs/>
          <w:szCs w:val="22"/>
        </w:rPr>
        <w:t>marca, uczestnicy mieli okazję zapoznać się z kluczowymi instrumentami ustawowymi sprzyjającymi udzielaniu zamówień publicznych na innowacje, a także z</w:t>
      </w:r>
      <w:r w:rsidR="00EE00C9">
        <w:rPr>
          <w:rFonts w:cs="Arial"/>
          <w:bCs/>
          <w:szCs w:val="22"/>
        </w:rPr>
        <w:t> </w:t>
      </w:r>
      <w:r w:rsidRPr="007F180E">
        <w:rPr>
          <w:rFonts w:cs="Arial"/>
          <w:bCs/>
          <w:szCs w:val="22"/>
        </w:rPr>
        <w:t>praktycznymi aspektami ich wdrażania. Tematyka szkoleń obejmowała m.in. zasady i</w:t>
      </w:r>
      <w:r w:rsidR="00EE00C9">
        <w:rPr>
          <w:rFonts w:cs="Arial"/>
          <w:bCs/>
          <w:szCs w:val="22"/>
        </w:rPr>
        <w:t> </w:t>
      </w:r>
      <w:r w:rsidRPr="007F180E">
        <w:rPr>
          <w:rFonts w:cs="Arial"/>
          <w:bCs/>
          <w:szCs w:val="22"/>
        </w:rPr>
        <w:t xml:space="preserve">procedury związane z zamówieniami publicznymi na innowacje, a także analizę studium przypadku innowacyjnego podejścia do zamówień publicznych. Szkolenia, w których udział wzięło 187 osób, zorganizowano w ramach projektu „Wsparcie beneficjentów polityki spójności w obszarze zamówień publicznych” w ramach Pomocy Technicznej dla Funduszy Europejskich. </w:t>
      </w:r>
    </w:p>
    <w:p w14:paraId="7F169DD4" w14:textId="001AD150" w:rsidR="00B23ECA" w:rsidRPr="00E122CB" w:rsidRDefault="007F180E" w:rsidP="00852522">
      <w:pPr>
        <w:pStyle w:val="Nagwek4"/>
      </w:pPr>
      <w:bookmarkStart w:id="295" w:name="_Toc194425378"/>
      <w:r>
        <w:t>1.</w:t>
      </w:r>
      <w:r w:rsidR="00B23ECA">
        <w:t xml:space="preserve">4. </w:t>
      </w:r>
      <w:r w:rsidR="00B23ECA" w:rsidRPr="00C768A3">
        <w:t xml:space="preserve">Organizacja szkoleń z zamówień </w:t>
      </w:r>
      <w:proofErr w:type="spellStart"/>
      <w:r w:rsidR="00B23ECA" w:rsidRPr="00C768A3">
        <w:t>przedkomercyjnych</w:t>
      </w:r>
      <w:proofErr w:type="spellEnd"/>
      <w:r w:rsidR="00B23ECA" w:rsidRPr="00C768A3">
        <w:t xml:space="preserve"> i partnerstwa innowacyjnego</w:t>
      </w:r>
      <w:bookmarkEnd w:id="295"/>
    </w:p>
    <w:p w14:paraId="611AC3B7" w14:textId="6CBFDFCD" w:rsidR="007F180E" w:rsidRPr="007F180E" w:rsidRDefault="007F180E" w:rsidP="007F180E">
      <w:pPr>
        <w:shd w:val="clear" w:color="auto" w:fill="FFFFFF"/>
        <w:spacing w:before="120" w:line="360" w:lineRule="auto"/>
        <w:jc w:val="left"/>
        <w:rPr>
          <w:rFonts w:cs="Arial"/>
          <w:szCs w:val="22"/>
        </w:rPr>
      </w:pPr>
      <w:r w:rsidRPr="007F180E">
        <w:rPr>
          <w:rFonts w:cs="Arial"/>
          <w:szCs w:val="22"/>
        </w:rPr>
        <w:t xml:space="preserve">W dniach 9 lipca, 28 sierpnia oraz 3 września Urząd Zamówień Publicznych zorganizował trzy szkolenia zadedykowane zamówieniom </w:t>
      </w:r>
      <w:proofErr w:type="spellStart"/>
      <w:r w:rsidRPr="007F180E">
        <w:rPr>
          <w:rFonts w:cs="Arial"/>
          <w:szCs w:val="22"/>
        </w:rPr>
        <w:t>przedkomercyjnym</w:t>
      </w:r>
      <w:proofErr w:type="spellEnd"/>
      <w:r w:rsidRPr="007F180E">
        <w:rPr>
          <w:rFonts w:cs="Arial"/>
          <w:szCs w:val="22"/>
        </w:rPr>
        <w:t xml:space="preserve"> (</w:t>
      </w:r>
      <w:proofErr w:type="spellStart"/>
      <w:r w:rsidRPr="007F180E">
        <w:rPr>
          <w:rFonts w:cs="Arial"/>
          <w:szCs w:val="22"/>
        </w:rPr>
        <w:t>pre-commercial</w:t>
      </w:r>
      <w:proofErr w:type="spellEnd"/>
      <w:r w:rsidRPr="007F180E">
        <w:rPr>
          <w:rFonts w:cs="Arial"/>
          <w:szCs w:val="22"/>
        </w:rPr>
        <w:t xml:space="preserve"> </w:t>
      </w:r>
      <w:proofErr w:type="spellStart"/>
      <w:r w:rsidRPr="007F180E">
        <w:rPr>
          <w:rFonts w:cs="Arial"/>
          <w:szCs w:val="22"/>
        </w:rPr>
        <w:t>procurement</w:t>
      </w:r>
      <w:proofErr w:type="spellEnd"/>
      <w:r w:rsidRPr="007F180E">
        <w:rPr>
          <w:rFonts w:cs="Arial"/>
          <w:szCs w:val="22"/>
        </w:rPr>
        <w:t xml:space="preserve">, PCP) oraz partnerstwu innowacyjnemu. Obie formuły pozwalają na zakup innowacji przez sektor publiczny, przy czym w przypadku zamówień </w:t>
      </w:r>
      <w:proofErr w:type="spellStart"/>
      <w:r w:rsidRPr="007F180E">
        <w:rPr>
          <w:rFonts w:cs="Arial"/>
          <w:szCs w:val="22"/>
        </w:rPr>
        <w:t>przedkomercyjnych</w:t>
      </w:r>
      <w:proofErr w:type="spellEnd"/>
      <w:r w:rsidRPr="007F180E">
        <w:rPr>
          <w:rFonts w:cs="Arial"/>
          <w:szCs w:val="22"/>
        </w:rPr>
        <w:t xml:space="preserve"> ma to miejsce poza ustawą Pzp (wyłączenie z art. 11 ust. 1 pkt 3 Pzp), a w przypadku partnerstwa innowacyjnego poprzez specyficzną procedurę przewidzianą ustawą Pzp dla nabywaniu nieistniejących jeszcze przedmiotów zamówienia (artykuły 189-207 Pzp i</w:t>
      </w:r>
      <w:r w:rsidR="00EE00C9">
        <w:rPr>
          <w:rFonts w:cs="Arial"/>
          <w:szCs w:val="22"/>
        </w:rPr>
        <w:t> </w:t>
      </w:r>
      <w:r w:rsidRPr="007F180E">
        <w:rPr>
          <w:rFonts w:cs="Arial"/>
          <w:szCs w:val="22"/>
        </w:rPr>
        <w:t>powiązane). Szkolenia, w których udział wzięło blisko 260 osób, zrealizowano w ramach projektu „Wsparcie beneficjentów polityki spójności w obszarze zamówień publicznych” współfinansowanego ze środków UE w ramach Pomocy Technicznej dla Funduszy Europejskich.</w:t>
      </w:r>
    </w:p>
    <w:p w14:paraId="3A10B0D2" w14:textId="00CF495A" w:rsidR="00B23ECA" w:rsidRPr="00E122CB" w:rsidRDefault="007F180E" w:rsidP="00852522">
      <w:pPr>
        <w:pStyle w:val="Nagwek4"/>
      </w:pPr>
      <w:bookmarkStart w:id="296" w:name="_Toc194425379"/>
      <w:r>
        <w:t>2</w:t>
      </w:r>
      <w:r w:rsidR="00B23ECA">
        <w:t xml:space="preserve">. </w:t>
      </w:r>
      <w:bookmarkEnd w:id="296"/>
      <w:r>
        <w:t>Publikacje</w:t>
      </w:r>
    </w:p>
    <w:p w14:paraId="45877300" w14:textId="59FE1F44" w:rsidR="00B23ECA" w:rsidRPr="00E122CB" w:rsidRDefault="007F180E" w:rsidP="00852522">
      <w:pPr>
        <w:pStyle w:val="Nagwek4"/>
      </w:pPr>
      <w:bookmarkStart w:id="297" w:name="_Toc194425380"/>
      <w:r>
        <w:t>2.1</w:t>
      </w:r>
      <w:r w:rsidR="00B23ECA">
        <w:t xml:space="preserve">. </w:t>
      </w:r>
      <w:bookmarkEnd w:id="297"/>
      <w:r w:rsidRPr="007F180E">
        <w:t>Opracowanie pt. „Przewodnik po regulacjach w zakresie zielonych zamówień publicznych”</w:t>
      </w:r>
    </w:p>
    <w:p w14:paraId="63B4820F" w14:textId="62A48D63" w:rsidR="008F7AA3" w:rsidRPr="008F7AA3" w:rsidRDefault="008F7AA3" w:rsidP="008F7AA3">
      <w:pPr>
        <w:shd w:val="clear" w:color="auto" w:fill="FFFFFF"/>
        <w:spacing w:before="120" w:line="360" w:lineRule="auto"/>
        <w:jc w:val="left"/>
        <w:rPr>
          <w:rFonts w:cs="Arial"/>
          <w:szCs w:val="22"/>
        </w:rPr>
      </w:pPr>
      <w:r w:rsidRPr="008F7AA3">
        <w:rPr>
          <w:rFonts w:cs="Arial"/>
          <w:szCs w:val="22"/>
        </w:rPr>
        <w:t xml:space="preserve">Urząd Zamówień Publicznych przygotował opracowanie pt. </w:t>
      </w:r>
      <w:r w:rsidRPr="008F7AA3">
        <w:rPr>
          <w:rFonts w:cs="Arial"/>
          <w:b/>
          <w:bCs/>
          <w:szCs w:val="22"/>
        </w:rPr>
        <w:t>„Przewodnik po regulacjach w</w:t>
      </w:r>
      <w:r w:rsidR="00EE00C9">
        <w:rPr>
          <w:rFonts w:cs="Arial"/>
          <w:b/>
          <w:bCs/>
          <w:szCs w:val="22"/>
        </w:rPr>
        <w:t> </w:t>
      </w:r>
      <w:r w:rsidRPr="008F7AA3">
        <w:rPr>
          <w:rFonts w:cs="Arial"/>
          <w:b/>
          <w:bCs/>
          <w:szCs w:val="22"/>
        </w:rPr>
        <w:t>zakresie zielonych zamówień publicznych”</w:t>
      </w:r>
      <w:r w:rsidRPr="008F7AA3">
        <w:rPr>
          <w:rFonts w:cs="Arial"/>
          <w:szCs w:val="22"/>
        </w:rPr>
        <w:t>.</w:t>
      </w:r>
      <w:r w:rsidRPr="008F7AA3">
        <w:rPr>
          <w:rFonts w:cs="Arial"/>
          <w:b/>
          <w:bCs/>
          <w:szCs w:val="22"/>
        </w:rPr>
        <w:t xml:space="preserve"> </w:t>
      </w:r>
      <w:r w:rsidRPr="008F7AA3">
        <w:rPr>
          <w:rFonts w:cs="Arial"/>
          <w:szCs w:val="22"/>
        </w:rPr>
        <w:t xml:space="preserve">W opracowaniu omówiono szereg kierunkowych aktów prawnych nakładających na zamawiających określone obowiązki służące poprawie stanu środowiska, a także przedstawiono instrumenty ułatwiające zamawiającym uwzględnianie aspektów środowiskowych w postępowaniach o udzielenie zamówienia publicznego, takie jak etykiety energetyczne, etykiety dla opon, czy też przykładowe oznakowania ekologiczne. Przewodnik opisuje w szczególności nowe obowiązki zamawiających wynikające z unijnego prawodawstwa dotyczące m.in. technologii neutralnych emisyjnie, czy też zakupu nowych </w:t>
      </w:r>
      <w:proofErr w:type="spellStart"/>
      <w:r w:rsidRPr="008F7AA3">
        <w:rPr>
          <w:rFonts w:cs="Arial"/>
          <w:szCs w:val="22"/>
        </w:rPr>
        <w:t>bezemisyjnych</w:t>
      </w:r>
      <w:proofErr w:type="spellEnd"/>
      <w:r w:rsidRPr="008F7AA3">
        <w:rPr>
          <w:rFonts w:cs="Arial"/>
          <w:szCs w:val="22"/>
        </w:rPr>
        <w:t xml:space="preserve"> autobusów miejskich.</w:t>
      </w:r>
      <w:r w:rsidR="00990AEA">
        <w:rPr>
          <w:rFonts w:cs="Arial"/>
          <w:szCs w:val="22"/>
        </w:rPr>
        <w:t xml:space="preserve"> </w:t>
      </w:r>
    </w:p>
    <w:p w14:paraId="1EEE6952" w14:textId="77777777" w:rsidR="008F7AA3" w:rsidRPr="008F7AA3" w:rsidRDefault="008F7AA3" w:rsidP="008F7AA3">
      <w:pPr>
        <w:shd w:val="clear" w:color="auto" w:fill="FFFFFF"/>
        <w:spacing w:before="120" w:line="360" w:lineRule="auto"/>
        <w:jc w:val="left"/>
        <w:rPr>
          <w:rFonts w:cs="Arial"/>
          <w:szCs w:val="22"/>
        </w:rPr>
      </w:pPr>
      <w:r w:rsidRPr="008F7AA3">
        <w:rPr>
          <w:rFonts w:cs="Arial"/>
          <w:szCs w:val="22"/>
        </w:rPr>
        <w:t xml:space="preserve">To opracowanie, a także pozostałe materiały poświęcone zielonym zamówieniom, dostępne </w:t>
      </w:r>
      <w:r w:rsidRPr="00210B9F">
        <w:rPr>
          <w:rFonts w:cs="Arial"/>
          <w:szCs w:val="22"/>
        </w:rPr>
        <w:t xml:space="preserve">są na stronie internetowej UZP pod linkiem: </w:t>
      </w:r>
      <w:hyperlink r:id="rId91" w:history="1">
        <w:r w:rsidRPr="00210B9F">
          <w:rPr>
            <w:rStyle w:val="Hipercze"/>
            <w:rFonts w:cs="Arial"/>
            <w:szCs w:val="22"/>
          </w:rPr>
          <w:t>https://www.gov.pl/web/uzp/publikacje-z-obszaru-zzp</w:t>
        </w:r>
      </w:hyperlink>
    </w:p>
    <w:p w14:paraId="39A79CCA" w14:textId="406FC65B" w:rsidR="00B23ECA" w:rsidRPr="00B226AB" w:rsidRDefault="008F7AA3" w:rsidP="00852522">
      <w:pPr>
        <w:pStyle w:val="Nagwek4"/>
      </w:pPr>
      <w:bookmarkStart w:id="298" w:name="_Toc194425381"/>
      <w:r>
        <w:t>2.2</w:t>
      </w:r>
      <w:r w:rsidR="00B23ECA">
        <w:t xml:space="preserve">. </w:t>
      </w:r>
      <w:bookmarkEnd w:id="298"/>
      <w:r w:rsidRPr="008F7AA3">
        <w:t>Działalność informacyjna na stronie internetowej Urzędu Zamówień Publicznych</w:t>
      </w:r>
    </w:p>
    <w:p w14:paraId="46E259F3" w14:textId="77777777" w:rsidR="00305164" w:rsidRPr="00305164" w:rsidRDefault="00305164" w:rsidP="00305164">
      <w:pPr>
        <w:shd w:val="clear" w:color="auto" w:fill="FFFFFF"/>
        <w:spacing w:before="120" w:line="360" w:lineRule="auto"/>
        <w:jc w:val="left"/>
        <w:rPr>
          <w:rFonts w:cs="Arial"/>
          <w:szCs w:val="22"/>
        </w:rPr>
      </w:pPr>
      <w:r w:rsidRPr="00305164">
        <w:rPr>
          <w:rFonts w:cs="Arial"/>
          <w:szCs w:val="22"/>
        </w:rPr>
        <w:t>Urząd Zamówień Publicznych na bieżąco aktualizował stronę internetową w zakładkach „Zielone zamówienia”, „Społeczne zamówienia” oraz „Zamówienia publiczne na innowacje”.</w:t>
      </w:r>
    </w:p>
    <w:p w14:paraId="16ED4FA9" w14:textId="7CAF95C8" w:rsidR="00B23ECA" w:rsidRPr="00486FE4" w:rsidRDefault="00305164" w:rsidP="00852522">
      <w:pPr>
        <w:pStyle w:val="Nagwek4"/>
      </w:pPr>
      <w:r>
        <w:t>3</w:t>
      </w:r>
      <w:r w:rsidR="00B23ECA">
        <w:t xml:space="preserve">. </w:t>
      </w:r>
      <w:r w:rsidR="00B23ECA" w:rsidRPr="00486FE4">
        <w:t xml:space="preserve">Współpraca z innymi </w:t>
      </w:r>
      <w:r w:rsidR="00B23ECA" w:rsidRPr="00E43BD3">
        <w:t>podmiotami w zakresie zrównoważonych zamówień publicznych</w:t>
      </w:r>
    </w:p>
    <w:p w14:paraId="2915CE41" w14:textId="2E288237" w:rsidR="00B23ECA" w:rsidRPr="00486FE4" w:rsidRDefault="00305164" w:rsidP="00852522">
      <w:pPr>
        <w:pStyle w:val="Nagwek4"/>
      </w:pPr>
      <w:r>
        <w:t>3</w:t>
      </w:r>
      <w:r w:rsidR="00B23ECA">
        <w:t xml:space="preserve">.1. </w:t>
      </w:r>
      <w:r w:rsidRPr="00305164">
        <w:t>Podcast „Zielone zamówienia publiczne – ekologia, prawo i praktyka”</w:t>
      </w:r>
    </w:p>
    <w:p w14:paraId="21323330" w14:textId="29704620" w:rsidR="00210B9F" w:rsidRPr="00210B9F" w:rsidRDefault="00210B9F" w:rsidP="00210B9F">
      <w:pPr>
        <w:spacing w:before="120" w:line="360" w:lineRule="auto"/>
        <w:jc w:val="left"/>
        <w:rPr>
          <w:rFonts w:cs="Arial"/>
        </w:rPr>
      </w:pPr>
      <w:r w:rsidRPr="00210B9F">
        <w:rPr>
          <w:rFonts w:cs="Arial"/>
        </w:rPr>
        <w:t xml:space="preserve">Przedstawiciel Urzędu uczestniczył w nagraniu </w:t>
      </w:r>
      <w:proofErr w:type="spellStart"/>
      <w:r w:rsidRPr="00210B9F">
        <w:rPr>
          <w:rFonts w:cs="Arial"/>
        </w:rPr>
        <w:t>podcastu</w:t>
      </w:r>
      <w:proofErr w:type="spellEnd"/>
      <w:r w:rsidRPr="00210B9F">
        <w:rPr>
          <w:rFonts w:cs="Arial"/>
        </w:rPr>
        <w:t xml:space="preserve"> na temat zielonych zamówień publicznych, w trakcie, którego przybliżył słuchaczom to zagadnienie oraz wspierające je prawne regulacje ujęte w ustawie Prawo zamówień publicznych. Nagranie zrealizowano w</w:t>
      </w:r>
      <w:r w:rsidR="00EE00C9">
        <w:rPr>
          <w:rFonts w:cs="Arial"/>
        </w:rPr>
        <w:t> </w:t>
      </w:r>
      <w:r w:rsidRPr="00210B9F">
        <w:rPr>
          <w:rFonts w:cs="Arial"/>
        </w:rPr>
        <w:t>ramach serii podcastów pn. „Słowem o zamówieniach publicznych i nie tylko” będącej efektem współpracy UZP z Ogólnopolskim Stowarzyszeniem Konsultantów Zamówień Publicznych oraz Polskim Radiem. </w:t>
      </w:r>
    </w:p>
    <w:p w14:paraId="1DE2828B" w14:textId="77777777" w:rsidR="00210B9F" w:rsidRPr="00210B9F" w:rsidRDefault="00210B9F" w:rsidP="00210B9F">
      <w:pPr>
        <w:spacing w:before="120" w:line="360" w:lineRule="auto"/>
        <w:jc w:val="left"/>
        <w:rPr>
          <w:rFonts w:cs="Arial"/>
          <w:bCs/>
        </w:rPr>
      </w:pPr>
      <w:r w:rsidRPr="00210B9F">
        <w:rPr>
          <w:rFonts w:cs="Arial"/>
        </w:rPr>
        <w:t xml:space="preserve">Nagranie dostępne jest pod </w:t>
      </w:r>
      <w:hyperlink r:id="rId92" w:history="1">
        <w:r w:rsidRPr="00210B9F">
          <w:rPr>
            <w:rStyle w:val="Hipercze"/>
            <w:rFonts w:cs="Arial"/>
            <w:bCs/>
          </w:rPr>
          <w:t>linkiem</w:t>
        </w:r>
      </w:hyperlink>
      <w:r w:rsidRPr="00210B9F">
        <w:rPr>
          <w:rFonts w:cs="Arial"/>
          <w:bCs/>
        </w:rPr>
        <w:t xml:space="preserve"> </w:t>
      </w:r>
    </w:p>
    <w:p w14:paraId="554EA239" w14:textId="22FC059F" w:rsidR="00B23ECA" w:rsidRDefault="00210B9F" w:rsidP="00852522">
      <w:pPr>
        <w:pStyle w:val="Nagwek4"/>
      </w:pPr>
      <w:r>
        <w:t>3</w:t>
      </w:r>
      <w:r w:rsidR="00B23ECA">
        <w:t xml:space="preserve">.2. </w:t>
      </w:r>
      <w:r w:rsidRPr="00210B9F">
        <w:t>Podcast „Społeczna odpowiedzialność w praktyce zamówień publicznych”</w:t>
      </w:r>
    </w:p>
    <w:p w14:paraId="55798471" w14:textId="77777777" w:rsidR="001B0B84" w:rsidRPr="001B0B84" w:rsidRDefault="001B0B84" w:rsidP="001B0B84">
      <w:pPr>
        <w:spacing w:before="120" w:line="360" w:lineRule="auto"/>
        <w:jc w:val="left"/>
        <w:rPr>
          <w:rFonts w:cs="Arial"/>
          <w:szCs w:val="22"/>
        </w:rPr>
      </w:pPr>
      <w:r w:rsidRPr="001B0B84">
        <w:rPr>
          <w:rFonts w:cs="Arial"/>
          <w:szCs w:val="22"/>
        </w:rPr>
        <w:t xml:space="preserve">Przedstawicielka Urzędu uczestniczyła w nagraniu </w:t>
      </w:r>
      <w:proofErr w:type="spellStart"/>
      <w:r w:rsidRPr="001B0B84">
        <w:rPr>
          <w:rFonts w:cs="Arial"/>
          <w:szCs w:val="22"/>
        </w:rPr>
        <w:t>podcastu</w:t>
      </w:r>
      <w:proofErr w:type="spellEnd"/>
      <w:r w:rsidRPr="001B0B84">
        <w:rPr>
          <w:rFonts w:cs="Arial"/>
          <w:szCs w:val="22"/>
        </w:rPr>
        <w:t xml:space="preserve"> na temat społecznie odpowiedzialnych zamówień publicznych w trakcie, którego przybliżono słuchaczom pojęcie społecznych zamówień publicznych, korzyści płynące ze stosowania aspektów społecznych w postępowaniach o udzielenie zamówienia publicznego oraz bariery napotykane przy ich uwzględnianiu. Nagranie zrealizowano w ramach serii podcastów pn. „Słowem o zamówieniach publicznych i nie tylko” będącej efektem współpracy UZP z Ogólnopolskim Stowarzyszeniem Konsultantów Zamówień Publicznych oraz Polskim Radiem. </w:t>
      </w:r>
    </w:p>
    <w:p w14:paraId="31DABB9E" w14:textId="77777777" w:rsidR="001B0B84" w:rsidRPr="001B0B84" w:rsidRDefault="001B0B84" w:rsidP="001B0B84">
      <w:pPr>
        <w:spacing w:before="120" w:line="360" w:lineRule="auto"/>
        <w:jc w:val="left"/>
        <w:rPr>
          <w:rFonts w:cs="Arial"/>
          <w:szCs w:val="22"/>
        </w:rPr>
      </w:pPr>
      <w:r w:rsidRPr="001B0B84">
        <w:rPr>
          <w:rFonts w:cs="Arial"/>
          <w:szCs w:val="22"/>
        </w:rPr>
        <w:t xml:space="preserve">Nagranie dostępne jest pod </w:t>
      </w:r>
      <w:hyperlink r:id="rId93" w:history="1">
        <w:r w:rsidRPr="001B0B84">
          <w:rPr>
            <w:rStyle w:val="Hipercze"/>
            <w:rFonts w:cs="Arial"/>
            <w:szCs w:val="22"/>
          </w:rPr>
          <w:t>linkiem</w:t>
        </w:r>
      </w:hyperlink>
    </w:p>
    <w:p w14:paraId="071E9B21" w14:textId="17BDB7CA" w:rsidR="00B23ECA" w:rsidRDefault="00CE69B0" w:rsidP="00852522">
      <w:pPr>
        <w:pStyle w:val="Nagwek4"/>
      </w:pPr>
      <w:r>
        <w:t>3</w:t>
      </w:r>
      <w:r w:rsidR="00B23ECA" w:rsidRPr="00925805">
        <w:t>.3.</w:t>
      </w:r>
      <w:r w:rsidR="00B23ECA">
        <w:t xml:space="preserve"> </w:t>
      </w:r>
      <w:r w:rsidRPr="00CE69B0">
        <w:t>Konferencja „Europejski akt o dostępności – perspektywy wdrożenia i realia”</w:t>
      </w:r>
    </w:p>
    <w:p w14:paraId="78342613" w14:textId="21652625" w:rsidR="00FB6773" w:rsidRPr="00FB6773" w:rsidRDefault="00FB6773" w:rsidP="00FB6773">
      <w:pPr>
        <w:shd w:val="clear" w:color="auto" w:fill="FFFFFF"/>
        <w:spacing w:before="120" w:line="360" w:lineRule="auto"/>
        <w:jc w:val="left"/>
        <w:rPr>
          <w:rFonts w:cs="Arial"/>
          <w:szCs w:val="22"/>
        </w:rPr>
      </w:pPr>
      <w:r w:rsidRPr="00FB6773">
        <w:rPr>
          <w:rFonts w:cs="Arial"/>
          <w:szCs w:val="22"/>
        </w:rPr>
        <w:t xml:space="preserve">10 marca 2025 r. przedstawicielka Urzędu wzięła udział w konferencji pn. </w:t>
      </w:r>
      <w:r w:rsidRPr="00FB6773">
        <w:rPr>
          <w:rFonts w:cs="Arial"/>
          <w:b/>
          <w:bCs/>
          <w:szCs w:val="22"/>
        </w:rPr>
        <w:t>„Europejski akt o</w:t>
      </w:r>
      <w:r w:rsidR="00EE00C9">
        <w:rPr>
          <w:rFonts w:cs="Arial"/>
          <w:b/>
          <w:bCs/>
          <w:szCs w:val="22"/>
        </w:rPr>
        <w:t> </w:t>
      </w:r>
      <w:r w:rsidRPr="00FB6773">
        <w:rPr>
          <w:rFonts w:cs="Arial"/>
          <w:b/>
          <w:bCs/>
          <w:szCs w:val="22"/>
        </w:rPr>
        <w:t>dostępności – perspektywy wdrożenia i realia”</w:t>
      </w:r>
      <w:r w:rsidRPr="00FB6773">
        <w:rPr>
          <w:rFonts w:cs="Arial"/>
          <w:szCs w:val="22"/>
        </w:rPr>
        <w:t xml:space="preserve"> zorganizowanej przez Urząd Marszałkowski Województwa Śląskiego. Celem konferencji było przedstawienie istoty ustawy wdrażającej Europejski Akt o dostępności oraz jej skutków, jak również omówienie głównych obowiązki jej adresatów. Przedstawicielka UZP przybliżyła uczestnikom wydarzenia temat dostępności w zamówieniach publicznych, zwracając uwagę na konieczność uwzględniania przez zamawiających wymagań w zakresie dostępności wynikającą m.in. z ustawy Pzp, ustawy </w:t>
      </w:r>
      <w:r w:rsidR="00767665">
        <w:rPr>
          <w:rFonts w:cs="Arial"/>
          <w:szCs w:val="22"/>
        </w:rPr>
        <w:t>z dnia 19 lipca 2019 r.</w:t>
      </w:r>
      <w:r w:rsidR="0042230B">
        <w:rPr>
          <w:rFonts w:cs="Arial"/>
          <w:szCs w:val="22"/>
        </w:rPr>
        <w:t xml:space="preserve"> </w:t>
      </w:r>
      <w:r w:rsidRPr="00FB6773">
        <w:rPr>
          <w:rFonts w:cs="Arial"/>
          <w:szCs w:val="22"/>
        </w:rPr>
        <w:t xml:space="preserve">o zapewnianiu dostępności osobom ze szczególnymi potrzebami </w:t>
      </w:r>
      <w:r w:rsidR="00767665">
        <w:rPr>
          <w:rFonts w:cs="Arial"/>
          <w:szCs w:val="22"/>
        </w:rPr>
        <w:t>(Dz. U</w:t>
      </w:r>
      <w:r w:rsidR="00A95CC4">
        <w:rPr>
          <w:rFonts w:cs="Arial"/>
          <w:szCs w:val="22"/>
        </w:rPr>
        <w:t xml:space="preserve">. z 2024 r. poz. 1411, z późn. zm.) </w:t>
      </w:r>
      <w:r w:rsidRPr="00FB6773">
        <w:rPr>
          <w:rFonts w:cs="Arial"/>
          <w:szCs w:val="22"/>
        </w:rPr>
        <w:t xml:space="preserve">czy ustawy wdrażającej Europejski Akt o Dostępności. </w:t>
      </w:r>
    </w:p>
    <w:p w14:paraId="1D9AA28D" w14:textId="5A02D682" w:rsidR="00E34392" w:rsidRDefault="00E34392" w:rsidP="00852522">
      <w:pPr>
        <w:pStyle w:val="Nagwek4"/>
      </w:pPr>
      <w:r>
        <w:t>3</w:t>
      </w:r>
      <w:r w:rsidRPr="00925805">
        <w:t>.</w:t>
      </w:r>
      <w:r>
        <w:t>4</w:t>
      </w:r>
      <w:r w:rsidRPr="00925805">
        <w:t>.</w:t>
      </w:r>
      <w:r>
        <w:t xml:space="preserve"> </w:t>
      </w:r>
      <w:r w:rsidRPr="00E34392">
        <w:t>Międzynarodowe warsztaty „Jak przyspieszyć innowacje i zamówienia na innowacje?”</w:t>
      </w:r>
    </w:p>
    <w:p w14:paraId="77439067" w14:textId="25887CA0" w:rsidR="00E34392" w:rsidRPr="00E34392" w:rsidRDefault="00E34392" w:rsidP="00E34392">
      <w:pPr>
        <w:shd w:val="clear" w:color="auto" w:fill="FFFFFF"/>
        <w:spacing w:before="120" w:line="360" w:lineRule="auto"/>
        <w:jc w:val="left"/>
        <w:rPr>
          <w:rFonts w:cs="Arial"/>
          <w:szCs w:val="22"/>
        </w:rPr>
      </w:pPr>
      <w:r w:rsidRPr="00E34392">
        <w:rPr>
          <w:rFonts w:cs="Arial"/>
          <w:szCs w:val="22"/>
        </w:rPr>
        <w:t xml:space="preserve">W dniach 6-7 października 2025 r. w Warszawie odbyły się międzynarodowe warsztaty pn. „How to </w:t>
      </w:r>
      <w:proofErr w:type="spellStart"/>
      <w:r w:rsidRPr="00E34392">
        <w:rPr>
          <w:rFonts w:cs="Arial"/>
          <w:szCs w:val="22"/>
        </w:rPr>
        <w:t>speed</w:t>
      </w:r>
      <w:proofErr w:type="spellEnd"/>
      <w:r w:rsidRPr="00E34392">
        <w:rPr>
          <w:rFonts w:cs="Arial"/>
          <w:szCs w:val="22"/>
        </w:rPr>
        <w:t xml:space="preserve"> </w:t>
      </w:r>
      <w:proofErr w:type="spellStart"/>
      <w:r w:rsidRPr="00E34392">
        <w:rPr>
          <w:rFonts w:cs="Arial"/>
          <w:szCs w:val="22"/>
        </w:rPr>
        <w:t>up</w:t>
      </w:r>
      <w:proofErr w:type="spellEnd"/>
      <w:r w:rsidRPr="00E34392">
        <w:rPr>
          <w:rFonts w:cs="Arial"/>
          <w:szCs w:val="22"/>
        </w:rPr>
        <w:t xml:space="preserve"> </w:t>
      </w:r>
      <w:proofErr w:type="spellStart"/>
      <w:r w:rsidRPr="00E34392">
        <w:rPr>
          <w:rFonts w:cs="Arial"/>
          <w:szCs w:val="22"/>
        </w:rPr>
        <w:t>innovations</w:t>
      </w:r>
      <w:proofErr w:type="spellEnd"/>
      <w:r w:rsidRPr="00E34392">
        <w:rPr>
          <w:rFonts w:cs="Arial"/>
          <w:szCs w:val="22"/>
        </w:rPr>
        <w:t xml:space="preserve"> and </w:t>
      </w:r>
      <w:proofErr w:type="spellStart"/>
      <w:r w:rsidRPr="00E34392">
        <w:rPr>
          <w:rFonts w:cs="Arial"/>
          <w:szCs w:val="22"/>
        </w:rPr>
        <w:t>innovation</w:t>
      </w:r>
      <w:proofErr w:type="spellEnd"/>
      <w:r w:rsidRPr="00E34392">
        <w:rPr>
          <w:rFonts w:cs="Arial"/>
          <w:szCs w:val="22"/>
        </w:rPr>
        <w:t xml:space="preserve"> </w:t>
      </w:r>
      <w:proofErr w:type="spellStart"/>
      <w:r w:rsidRPr="00E34392">
        <w:rPr>
          <w:rFonts w:cs="Arial"/>
          <w:szCs w:val="22"/>
        </w:rPr>
        <w:t>procurement</w:t>
      </w:r>
      <w:proofErr w:type="spellEnd"/>
      <w:r w:rsidRPr="00E34392">
        <w:rPr>
          <w:rFonts w:cs="Arial"/>
          <w:szCs w:val="22"/>
        </w:rPr>
        <w:t>? („Jak przyspieszyć innowacje i</w:t>
      </w:r>
      <w:r w:rsidR="00EE00C9">
        <w:rPr>
          <w:rFonts w:cs="Arial"/>
          <w:szCs w:val="22"/>
        </w:rPr>
        <w:t> </w:t>
      </w:r>
      <w:r w:rsidRPr="00E34392">
        <w:rPr>
          <w:rFonts w:cs="Arial"/>
          <w:szCs w:val="22"/>
        </w:rPr>
        <w:t>zamówienia na innowacje?”) zorganizowane przez Narodowe Centrum Badan i Rozwoju, w</w:t>
      </w:r>
      <w:r w:rsidR="00EE00C9">
        <w:rPr>
          <w:rFonts w:cs="Arial"/>
          <w:szCs w:val="22"/>
        </w:rPr>
        <w:t> </w:t>
      </w:r>
      <w:r w:rsidRPr="00E34392">
        <w:rPr>
          <w:rFonts w:cs="Arial"/>
          <w:szCs w:val="22"/>
        </w:rPr>
        <w:t>których udział wziął również przedstawiciel Urzędu. Wydarzenie odbyło się w ramach aktywności sieci TAFTIE - Europejskiej Sieci Wiodących Agencji ds. Innowacji. Celem warsztatów była wymiana doświadczeń i najlepszych praktyk w zakresie przyspieszania wdrażania innowacji. Dyskusja na forum dotyczyła m.in. przeszkód we wdrażaniu innowacji w sektorze opieki zdrowotnej, technologii ekologicznych oraz technologii podwójnego zastosowania.</w:t>
      </w:r>
    </w:p>
    <w:p w14:paraId="5A4213D4" w14:textId="7BD57FA6" w:rsidR="00E34392" w:rsidRDefault="00E34392" w:rsidP="00852522">
      <w:pPr>
        <w:pStyle w:val="Nagwek4"/>
      </w:pPr>
      <w:r>
        <w:t>3</w:t>
      </w:r>
      <w:r w:rsidRPr="00925805">
        <w:t>.</w:t>
      </w:r>
      <w:r>
        <w:t>5</w:t>
      </w:r>
      <w:r w:rsidRPr="00925805">
        <w:t>.</w:t>
      </w:r>
      <w:r>
        <w:t xml:space="preserve"> </w:t>
      </w:r>
      <w:proofErr w:type="spellStart"/>
      <w:r w:rsidRPr="00E34392">
        <w:t>Webinar</w:t>
      </w:r>
      <w:proofErr w:type="spellEnd"/>
      <w:r w:rsidRPr="00E34392">
        <w:t xml:space="preserve"> pt. „Zielone zamówienia publiczne – praktyka, wyzwania, przyszłość”</w:t>
      </w:r>
    </w:p>
    <w:p w14:paraId="11591916" w14:textId="533F005B" w:rsidR="00E34392" w:rsidRDefault="00E34392" w:rsidP="00E34392">
      <w:pPr>
        <w:shd w:val="clear" w:color="auto" w:fill="FFFFFF"/>
        <w:spacing w:before="120" w:line="360" w:lineRule="auto"/>
        <w:jc w:val="left"/>
        <w:rPr>
          <w:rFonts w:cs="Arial"/>
          <w:szCs w:val="22"/>
        </w:rPr>
      </w:pPr>
      <w:r w:rsidRPr="00E34392">
        <w:rPr>
          <w:rFonts w:cs="Arial"/>
          <w:szCs w:val="22"/>
        </w:rPr>
        <w:t xml:space="preserve">W dniu 21 października 2025 r. przedstawiciel UZP uczestniczył w </w:t>
      </w:r>
      <w:proofErr w:type="spellStart"/>
      <w:r w:rsidRPr="00E34392">
        <w:rPr>
          <w:rFonts w:cs="Arial"/>
          <w:szCs w:val="22"/>
        </w:rPr>
        <w:t>webinarze</w:t>
      </w:r>
      <w:proofErr w:type="spellEnd"/>
      <w:r w:rsidRPr="00E34392">
        <w:rPr>
          <w:rFonts w:cs="Arial"/>
          <w:szCs w:val="22"/>
        </w:rPr>
        <w:t xml:space="preserve"> pn. „Zielone zamówienia publiczne – praktyka, wyzwania, przyszłość” zorganizowanym przez Wielkopolski Fundusz Rozwoju Sp. z o.o. W ramach swojego wystąpienia przybliżył uczestnikom wydarzenia możliwości uwzględnienia aspektów środowiskowych w świetle przepisów ustawy Prawo zamówień publicznych. Dalsza część wydarzenia poświęcona była praktycznym przykładom realizacji działań </w:t>
      </w:r>
      <w:proofErr w:type="spellStart"/>
      <w:r w:rsidRPr="00E34392">
        <w:rPr>
          <w:rFonts w:cs="Arial"/>
          <w:szCs w:val="22"/>
        </w:rPr>
        <w:t>prośrodowiskowych</w:t>
      </w:r>
      <w:proofErr w:type="spellEnd"/>
      <w:r w:rsidRPr="00E34392">
        <w:rPr>
          <w:rFonts w:cs="Arial"/>
          <w:szCs w:val="22"/>
        </w:rPr>
        <w:t xml:space="preserve"> w oparciu o doświadczenia miasta Pleszew oraz gminy Rychwał. </w:t>
      </w:r>
      <w:proofErr w:type="spellStart"/>
      <w:r w:rsidRPr="00E34392">
        <w:rPr>
          <w:rFonts w:cs="Arial"/>
          <w:szCs w:val="22"/>
        </w:rPr>
        <w:t>Webinar</w:t>
      </w:r>
      <w:proofErr w:type="spellEnd"/>
      <w:r w:rsidRPr="00E34392">
        <w:rPr>
          <w:rFonts w:cs="Arial"/>
          <w:szCs w:val="22"/>
        </w:rPr>
        <w:t xml:space="preserve"> zakończyła sesja pytań i</w:t>
      </w:r>
      <w:r w:rsidR="00EE00C9">
        <w:rPr>
          <w:rFonts w:cs="Arial"/>
          <w:szCs w:val="22"/>
        </w:rPr>
        <w:t> </w:t>
      </w:r>
      <w:r w:rsidRPr="00E34392">
        <w:rPr>
          <w:rFonts w:cs="Arial"/>
          <w:szCs w:val="22"/>
        </w:rPr>
        <w:t xml:space="preserve">odpowiedzi. </w:t>
      </w:r>
    </w:p>
    <w:p w14:paraId="78838EB5" w14:textId="0A524621" w:rsidR="00E34392" w:rsidRPr="00E34392" w:rsidRDefault="00E34392" w:rsidP="00E34392">
      <w:pPr>
        <w:shd w:val="clear" w:color="auto" w:fill="FFFFFF"/>
        <w:spacing w:before="120" w:line="360" w:lineRule="auto"/>
        <w:jc w:val="left"/>
        <w:rPr>
          <w:rFonts w:cs="Arial"/>
          <w:szCs w:val="22"/>
        </w:rPr>
      </w:pPr>
      <w:r w:rsidRPr="00E34392">
        <w:rPr>
          <w:rFonts w:cs="Arial"/>
          <w:szCs w:val="22"/>
        </w:rPr>
        <w:t xml:space="preserve">Nagranie z wydarzenia dostępne jest na kanale </w:t>
      </w:r>
      <w:proofErr w:type="spellStart"/>
      <w:r w:rsidRPr="00E34392">
        <w:rPr>
          <w:rFonts w:cs="Arial"/>
          <w:szCs w:val="22"/>
        </w:rPr>
        <w:t>You</w:t>
      </w:r>
      <w:proofErr w:type="spellEnd"/>
      <w:r w:rsidRPr="00E34392">
        <w:rPr>
          <w:rFonts w:cs="Arial"/>
          <w:szCs w:val="22"/>
        </w:rPr>
        <w:t xml:space="preserve"> </w:t>
      </w:r>
      <w:proofErr w:type="spellStart"/>
      <w:r w:rsidRPr="00E34392">
        <w:rPr>
          <w:rFonts w:cs="Arial"/>
          <w:szCs w:val="22"/>
        </w:rPr>
        <w:t>Tube</w:t>
      </w:r>
      <w:proofErr w:type="spellEnd"/>
      <w:r w:rsidRPr="00E34392">
        <w:rPr>
          <w:rFonts w:cs="Arial"/>
          <w:szCs w:val="22"/>
        </w:rPr>
        <w:t xml:space="preserve"> Funduszu pod </w:t>
      </w:r>
      <w:hyperlink r:id="rId94" w:history="1">
        <w:r w:rsidRPr="00E34392">
          <w:rPr>
            <w:rStyle w:val="Hipercze"/>
            <w:rFonts w:cs="Arial"/>
            <w:szCs w:val="22"/>
          </w:rPr>
          <w:t>linkiem</w:t>
        </w:r>
      </w:hyperlink>
      <w:r w:rsidRPr="00E34392">
        <w:rPr>
          <w:rFonts w:cs="Arial"/>
          <w:szCs w:val="22"/>
        </w:rPr>
        <w:t xml:space="preserve">. </w:t>
      </w:r>
    </w:p>
    <w:p w14:paraId="2310EA84" w14:textId="0DDA1342" w:rsidR="008B18EF" w:rsidRDefault="008B18EF" w:rsidP="00852522">
      <w:pPr>
        <w:pStyle w:val="Nagwek4"/>
      </w:pPr>
      <w:r>
        <w:t>3</w:t>
      </w:r>
      <w:r w:rsidRPr="00925805">
        <w:t>.</w:t>
      </w:r>
      <w:r>
        <w:t>6</w:t>
      </w:r>
      <w:r w:rsidRPr="00925805">
        <w:t>.</w:t>
      </w:r>
      <w:r>
        <w:t xml:space="preserve"> </w:t>
      </w:r>
      <w:r w:rsidRPr="008B18EF">
        <w:t>Ogólnopolskie Forum Ekonomii Społecznej</w:t>
      </w:r>
    </w:p>
    <w:p w14:paraId="603DBDCD" w14:textId="32FD8EE2" w:rsidR="0024120B" w:rsidRPr="0024120B" w:rsidRDefault="0024120B" w:rsidP="0024120B">
      <w:pPr>
        <w:shd w:val="clear" w:color="auto" w:fill="FFFFFF"/>
        <w:spacing w:before="120" w:line="360" w:lineRule="auto"/>
        <w:jc w:val="left"/>
        <w:rPr>
          <w:rFonts w:cs="Arial"/>
          <w:szCs w:val="22"/>
        </w:rPr>
      </w:pPr>
      <w:r w:rsidRPr="0024120B">
        <w:rPr>
          <w:rFonts w:cs="Arial"/>
          <w:szCs w:val="22"/>
        </w:rPr>
        <w:t xml:space="preserve">W ramach </w:t>
      </w:r>
      <w:r w:rsidRPr="0024120B">
        <w:rPr>
          <w:rFonts w:cs="Arial"/>
          <w:b/>
          <w:bCs/>
          <w:szCs w:val="22"/>
        </w:rPr>
        <w:t>Ogólnopolskiego Forum Ekonomii Społecznej</w:t>
      </w:r>
      <w:r w:rsidRPr="0024120B">
        <w:rPr>
          <w:rFonts w:cs="Arial"/>
          <w:szCs w:val="22"/>
        </w:rPr>
        <w:t>, które odbyło się w dniach 13-14 listopada 2025 r. w Warszawie, został zorganizowany panel dyskusyjny pt. „Jak skuteczniej wykorzystać społeczne zamówienia publiczne dla rozwoju ekonomii społecznej w</w:t>
      </w:r>
      <w:r w:rsidR="00EE00C9">
        <w:rPr>
          <w:rFonts w:cs="Arial"/>
          <w:szCs w:val="22"/>
        </w:rPr>
        <w:t> </w:t>
      </w:r>
      <w:r w:rsidRPr="0024120B">
        <w:rPr>
          <w:rFonts w:cs="Arial"/>
          <w:szCs w:val="22"/>
        </w:rPr>
        <w:t>Polsce?”. Podczas panelu, w którym udział wzięła Prezes Urzędu, dyskutowano na temat korzyści płynących ze stosowania aspektów społecznych w zamówieniach publicznych, barier, które uniemożliwiają pełniejsze wykorzystanie potencjału zamówień m.in. w rozwoju ekonomii społecznej, oraz działania, jakie w tym zakresie należałoby podjąć, aby zwiększyć udział podmiotów ekonomii społecznej w zamówieniach publicznych.</w:t>
      </w:r>
    </w:p>
    <w:p w14:paraId="0E41914B" w14:textId="4ABB2175" w:rsidR="0024120B" w:rsidRDefault="0024120B" w:rsidP="00852522">
      <w:pPr>
        <w:pStyle w:val="Nagwek4"/>
      </w:pPr>
      <w:r>
        <w:t>3</w:t>
      </w:r>
      <w:r w:rsidRPr="00925805">
        <w:t>.</w:t>
      </w:r>
      <w:r>
        <w:t>7</w:t>
      </w:r>
      <w:r w:rsidRPr="00925805">
        <w:t>.</w:t>
      </w:r>
      <w:r>
        <w:t xml:space="preserve"> </w:t>
      </w:r>
      <w:r w:rsidRPr="0024120B">
        <w:t>II Forum Innowacyjnych Zamówień Publicznych w Krakowie</w:t>
      </w:r>
    </w:p>
    <w:p w14:paraId="6B431598" w14:textId="77777777" w:rsidR="000E2A36" w:rsidRPr="000E2A36" w:rsidRDefault="000E2A36" w:rsidP="000E2A36">
      <w:pPr>
        <w:shd w:val="clear" w:color="auto" w:fill="FFFFFF"/>
        <w:spacing w:before="120" w:line="360" w:lineRule="auto"/>
        <w:jc w:val="left"/>
        <w:rPr>
          <w:rFonts w:cs="Arial"/>
          <w:szCs w:val="22"/>
        </w:rPr>
      </w:pPr>
      <w:r w:rsidRPr="000E2A36">
        <w:rPr>
          <w:rFonts w:cs="Arial"/>
          <w:szCs w:val="22"/>
        </w:rPr>
        <w:t>W dniach 3-4 grudnia 2025 r. Krakowie odbyło się </w:t>
      </w:r>
      <w:r w:rsidRPr="000E2A36">
        <w:rPr>
          <w:rFonts w:cs="Arial"/>
          <w:b/>
          <w:bCs/>
          <w:szCs w:val="22"/>
        </w:rPr>
        <w:t>II Forum Innowacyjnych Zamówień Publicznych</w:t>
      </w:r>
      <w:r w:rsidRPr="000E2A36">
        <w:rPr>
          <w:rFonts w:cs="Arial"/>
          <w:szCs w:val="22"/>
        </w:rPr>
        <w:t>, zorganizowane przez </w:t>
      </w:r>
      <w:r w:rsidRPr="000E2A36">
        <w:rPr>
          <w:rFonts w:cs="Arial"/>
          <w:b/>
          <w:bCs/>
          <w:szCs w:val="22"/>
        </w:rPr>
        <w:t>Narodowe Centrum Badań i Rozwoju</w:t>
      </w:r>
      <w:r w:rsidRPr="000E2A36">
        <w:rPr>
          <w:rFonts w:cs="Arial"/>
          <w:szCs w:val="22"/>
        </w:rPr>
        <w:t xml:space="preserve"> (NCBR). Wydarzenie dotyczyło praktycznych aspektów zamówień na rozwiązania innowacyjne oraz wykorzystaniu procedur wspierających rozwój nowoczesnych technologii w sektorze publicznym. Podczas wydarzenia przedstawicielka UZP omówiła przykłady innowacji mogących stanowić przedmiot zamówienia — zarówno rozwiązań całkowicie nowych, ulepszonych, jak i nowych jedynie z perspektywy danego zamawiającego, a także wskazała również elementy kluczowe dla prawidłowego przygotowania postępowania dotyczącego innowacji, podkreślając znaczenie wstępnych konsultacji rynkowych, starannego opisu potrzeb i wymagań oraz analizy potrzeb oraz możliwości ich zaspokojenia. </w:t>
      </w:r>
    </w:p>
    <w:p w14:paraId="7869259E" w14:textId="18886EA6" w:rsidR="00437705" w:rsidRDefault="00437705" w:rsidP="00852522">
      <w:pPr>
        <w:pStyle w:val="Nagwek4"/>
      </w:pPr>
      <w:r>
        <w:t>3</w:t>
      </w:r>
      <w:r w:rsidRPr="00925805">
        <w:t>.</w:t>
      </w:r>
      <w:r>
        <w:t>8</w:t>
      </w:r>
      <w:r w:rsidRPr="00925805">
        <w:t>.</w:t>
      </w:r>
      <w:r>
        <w:t xml:space="preserve"> Krajowy</w:t>
      </w:r>
      <w:r w:rsidRPr="00437705">
        <w:t xml:space="preserve"> Komitet Rozwoju Ekonomii Społecznej</w:t>
      </w:r>
    </w:p>
    <w:p w14:paraId="07A067C0" w14:textId="477B0A5C" w:rsidR="000E2A36" w:rsidRPr="000E2A36" w:rsidRDefault="000E2A36" w:rsidP="000E2A36">
      <w:pPr>
        <w:shd w:val="clear" w:color="auto" w:fill="FFFFFF"/>
        <w:spacing w:before="120" w:line="360" w:lineRule="auto"/>
        <w:jc w:val="left"/>
        <w:rPr>
          <w:rFonts w:cs="Arial"/>
          <w:szCs w:val="22"/>
        </w:rPr>
      </w:pPr>
      <w:r w:rsidRPr="000E2A36">
        <w:rPr>
          <w:rFonts w:cs="Arial"/>
          <w:szCs w:val="22"/>
        </w:rPr>
        <w:t xml:space="preserve">W 2025 r. Urząd uczestniczył również w pracach </w:t>
      </w:r>
      <w:r w:rsidRPr="000E2A36">
        <w:rPr>
          <w:rFonts w:cs="Arial"/>
          <w:b/>
          <w:bCs/>
          <w:szCs w:val="22"/>
        </w:rPr>
        <w:t>Krajowego Komitetu Rozwoju Ekonomii Społecznej</w:t>
      </w:r>
      <w:r w:rsidRPr="000E2A36">
        <w:rPr>
          <w:rFonts w:cs="Arial"/>
          <w:szCs w:val="22"/>
        </w:rPr>
        <w:t xml:space="preserve">. Krajowy Komitet Rozwoju Ekonomii Społecznej IV kadencji na lata 2023-2026 jest organem opiniodawczo-doradczym Ministra Rodziny i Polityki Społecznej. Do zadań Komitetu należy m.in. przedstawianie opinii o programie rozwoju na rzecz ekonomii społecznej, projektach aktów prawnych i innych dokumentów związanych z funkcjonowaniem podmiotów ekonomii społecznej, także funkcjonowaniu ustawy </w:t>
      </w:r>
      <w:r w:rsidR="00E75D4F">
        <w:rPr>
          <w:rFonts w:cs="Arial"/>
          <w:szCs w:val="22"/>
        </w:rPr>
        <w:t xml:space="preserve">z dnia 5 sierpnia 2022 r. </w:t>
      </w:r>
      <w:r w:rsidRPr="000E2A36">
        <w:rPr>
          <w:rFonts w:cs="Arial"/>
          <w:szCs w:val="22"/>
        </w:rPr>
        <w:t>o ekonomii społecznej</w:t>
      </w:r>
      <w:r w:rsidR="0004017A">
        <w:rPr>
          <w:rFonts w:cs="Arial"/>
          <w:szCs w:val="22"/>
        </w:rPr>
        <w:t xml:space="preserve"> </w:t>
      </w:r>
      <w:r w:rsidR="00E75D4F">
        <w:rPr>
          <w:rFonts w:cs="Arial"/>
          <w:szCs w:val="22"/>
        </w:rPr>
        <w:t>(Dz. U.</w:t>
      </w:r>
      <w:r w:rsidR="0004017A">
        <w:rPr>
          <w:rFonts w:cs="Arial"/>
          <w:szCs w:val="22"/>
        </w:rPr>
        <w:t xml:space="preserve"> z 2025 r. poz. 806)</w:t>
      </w:r>
      <w:r w:rsidRPr="000E2A36">
        <w:rPr>
          <w:rFonts w:cs="Arial"/>
          <w:szCs w:val="22"/>
        </w:rPr>
        <w:t>, a</w:t>
      </w:r>
      <w:r w:rsidR="00EE00C9">
        <w:rPr>
          <w:rFonts w:cs="Arial"/>
          <w:szCs w:val="22"/>
        </w:rPr>
        <w:t> </w:t>
      </w:r>
      <w:r w:rsidRPr="000E2A36">
        <w:rPr>
          <w:rFonts w:cs="Arial"/>
          <w:szCs w:val="22"/>
        </w:rPr>
        <w:t>także opracowywanie propozycji działań na rzecz rozwoju ekonomii społecznej o charakterze innowacyjnym. Komitet prowadzi prace w ramach grup roboczych. Przedstawiciele Urzędu w 2025 r. brali udział w spotkaniach eksperckich w ramach prac grupy roboczej do spraw strategicznych oraz grupy do spraw prawnych, jak również w</w:t>
      </w:r>
      <w:r w:rsidR="00EE00C9">
        <w:rPr>
          <w:rFonts w:cs="Arial"/>
          <w:szCs w:val="22"/>
        </w:rPr>
        <w:t> </w:t>
      </w:r>
      <w:r w:rsidRPr="000E2A36">
        <w:rPr>
          <w:rFonts w:cs="Arial"/>
          <w:szCs w:val="22"/>
        </w:rPr>
        <w:t>posiedzeniach Krajowego Komitetu Rozwoju Ekonomii Społecznej. Głównymi tematami spotkań były kierunki i wyzwania w rozwoju ekonomii społecznej, funkcjonowanie przedsiębiorstw społecznych czy nowelizacja ustawy o ekonomii społecznej.</w:t>
      </w:r>
    </w:p>
    <w:p w14:paraId="0223AD18" w14:textId="4FC083D1" w:rsidR="00437705" w:rsidRDefault="00437705" w:rsidP="00852522">
      <w:pPr>
        <w:pStyle w:val="Nagwek4"/>
      </w:pPr>
      <w:r>
        <w:t>3</w:t>
      </w:r>
      <w:r w:rsidRPr="00925805">
        <w:t>.</w:t>
      </w:r>
      <w:r>
        <w:t>9</w:t>
      </w:r>
      <w:r w:rsidRPr="00925805">
        <w:t>.</w:t>
      </w:r>
      <w:r>
        <w:t xml:space="preserve"> </w:t>
      </w:r>
      <w:r w:rsidRPr="00437705">
        <w:t>Rad</w:t>
      </w:r>
      <w:r>
        <w:t>a</w:t>
      </w:r>
      <w:r w:rsidRPr="00437705">
        <w:t xml:space="preserve"> Dostępności</w:t>
      </w:r>
    </w:p>
    <w:p w14:paraId="2FB8EA39" w14:textId="6A9AF8E1" w:rsidR="000E2A36" w:rsidRPr="000E2A36" w:rsidRDefault="000E2A36" w:rsidP="000E2A36">
      <w:pPr>
        <w:shd w:val="clear" w:color="auto" w:fill="FFFFFF"/>
        <w:spacing w:before="120" w:line="360" w:lineRule="auto"/>
        <w:jc w:val="left"/>
        <w:rPr>
          <w:rFonts w:cs="Arial"/>
          <w:szCs w:val="22"/>
        </w:rPr>
      </w:pPr>
      <w:r w:rsidRPr="000E2A36">
        <w:rPr>
          <w:rFonts w:cs="Arial"/>
          <w:szCs w:val="22"/>
        </w:rPr>
        <w:t xml:space="preserve">Przedstawiciel Urzędu uczestniczył również w posiedzeniach </w:t>
      </w:r>
      <w:r w:rsidRPr="000E2A36">
        <w:rPr>
          <w:rFonts w:cs="Arial"/>
          <w:b/>
          <w:bCs/>
          <w:szCs w:val="22"/>
        </w:rPr>
        <w:t>Rady Dostępności</w:t>
      </w:r>
      <w:r w:rsidRPr="000E2A36">
        <w:rPr>
          <w:rFonts w:cs="Arial"/>
          <w:szCs w:val="22"/>
        </w:rPr>
        <w:t xml:space="preserve"> powołanej na podstawie art. 13 i art. 71 ustawy z dnia 19 lipca 2019 r. o zapewnianiu dostępności osobom ze szczególnymi potrzebami. Do głównych zadań Rady należy opiniowanie i</w:t>
      </w:r>
      <w:r w:rsidR="00EE00C9">
        <w:rPr>
          <w:rFonts w:cs="Arial"/>
          <w:szCs w:val="22"/>
        </w:rPr>
        <w:t> </w:t>
      </w:r>
      <w:r w:rsidRPr="000E2A36">
        <w:rPr>
          <w:rFonts w:cs="Arial"/>
          <w:szCs w:val="22"/>
        </w:rPr>
        <w:t>doradztwo w procesie tworzenia i przeglądu przepisów prawa, wyrażanie opinii w zakresie potrzeb osób z niepełnosprawnościami oraz działań na rzecz poprawy świadomości społecznej w tym zakresie, jak również przygotowywanie analiz niezbędnych do realizacji działań zaplanowanych w Programie Dostępność Plus. Podczas spotkań Rady z udziałem przedstawiciela Urzędu, które odbyły się 27-28 lutego, 16 września oraz 2 grudnia 2025</w:t>
      </w:r>
      <w:r w:rsidR="00EE00C9">
        <w:rPr>
          <w:rFonts w:cs="Arial"/>
          <w:szCs w:val="22"/>
        </w:rPr>
        <w:t> </w:t>
      </w:r>
      <w:r w:rsidRPr="000E2A36">
        <w:rPr>
          <w:rFonts w:cs="Arial"/>
          <w:szCs w:val="22"/>
        </w:rPr>
        <w:t>r. omawiano m.in. stopień realizacji programu rządowego Dostępność Plus, projekty i</w:t>
      </w:r>
      <w:r w:rsidR="00EE00C9">
        <w:rPr>
          <w:rFonts w:cs="Arial"/>
          <w:szCs w:val="22"/>
        </w:rPr>
        <w:t> </w:t>
      </w:r>
      <w:r w:rsidRPr="000E2A36">
        <w:rPr>
          <w:rFonts w:cs="Arial"/>
          <w:szCs w:val="22"/>
        </w:rPr>
        <w:t>inicjatywy mające na celu zwiększenie stopnia dostępności w Polsce, także wyniki prac grup roboczych Rady Dostępności.</w:t>
      </w:r>
    </w:p>
    <w:p w14:paraId="3B7B4306" w14:textId="6E78262C" w:rsidR="00774FB5" w:rsidRPr="00143A8A" w:rsidRDefault="00774FB5" w:rsidP="00270CF3">
      <w:pPr>
        <w:pStyle w:val="Nagwek3"/>
      </w:pPr>
      <w:bookmarkStart w:id="299" w:name="_Toc16598643"/>
      <w:bookmarkStart w:id="300" w:name="_Toc64451882"/>
      <w:bookmarkStart w:id="301" w:name="_Toc233203306"/>
      <w:r w:rsidRPr="00966D2E">
        <w:t>II</w:t>
      </w:r>
      <w:r w:rsidR="00CC2929" w:rsidRPr="00966D2E">
        <w:t>I</w:t>
      </w:r>
      <w:r w:rsidRPr="00966D2E">
        <w:t>.1.</w:t>
      </w:r>
      <w:r w:rsidR="00DE6102" w:rsidRPr="00966D2E">
        <w:t>6</w:t>
      </w:r>
      <w:r w:rsidRPr="00966D2E">
        <w:t>. Wydawanie Biuletynu Zamówień Publicznych</w:t>
      </w:r>
      <w:bookmarkEnd w:id="299"/>
      <w:bookmarkEnd w:id="300"/>
      <w:bookmarkEnd w:id="301"/>
    </w:p>
    <w:p w14:paraId="312BA4BF" w14:textId="0B804B9C" w:rsidR="00966D2E" w:rsidRDefault="00966D2E" w:rsidP="00067C45">
      <w:pPr>
        <w:shd w:val="clear" w:color="auto" w:fill="FFFFFF"/>
        <w:spacing w:before="120" w:line="360" w:lineRule="auto"/>
        <w:jc w:val="left"/>
      </w:pPr>
      <w:r>
        <w:t>Urząd Zamówień Publicznych umożliwia zamawiającym publikowanie ogłoszeń na dwóch rodzajach formularzy ogłoszeń adekwatnych do stanu prawnego, w oparciu o który prowadzone jest postępowanie o udzielenie zamówienia publicznego. Ogłoszenia właściwe dla postępowań wszczętych przed 1 stycznia 2021 roku publikowane są poprzez formularze dostępne pod adresem https://bzp.uzp.gov.pl/, ogłoszenia dla postepowań wszczętych po 1</w:t>
      </w:r>
      <w:r w:rsidR="00EE00C9">
        <w:t> </w:t>
      </w:r>
      <w:r>
        <w:t>stycznia 2021 roku publikowane są w BZP dostępnym na Platformie e-Zamówienia.</w:t>
      </w:r>
    </w:p>
    <w:p w14:paraId="5079FB7C" w14:textId="0856526D" w:rsidR="00966D2E" w:rsidRDefault="00966D2E" w:rsidP="00067C45">
      <w:pPr>
        <w:shd w:val="clear" w:color="auto" w:fill="FFFFFF"/>
        <w:spacing w:before="120" w:line="360" w:lineRule="auto"/>
        <w:jc w:val="left"/>
      </w:pPr>
      <w:r>
        <w:t>Biuletyn Zamówień Publicznych dostępny poprzez Platformę e-Zamówienia umożliwia zamawiającym zamieszczanie ogłoszeń wymaganych ustawą Pzp w postępowaniach o</w:t>
      </w:r>
      <w:r w:rsidR="00EE00C9">
        <w:t> </w:t>
      </w:r>
      <w:r>
        <w:t>udzielenie zamówienia publicznego o wartości mniejszej niż progi unijne, a w przypadku ogłoszenia o wykonaniu umowy także dla postępowań prowadzonych w progach unijnych.</w:t>
      </w:r>
    </w:p>
    <w:p w14:paraId="21B56E24" w14:textId="384DD10F" w:rsidR="00966D2E" w:rsidRDefault="00966D2E" w:rsidP="00067C45">
      <w:pPr>
        <w:shd w:val="clear" w:color="auto" w:fill="FFFFFF"/>
        <w:spacing w:before="120" w:line="360" w:lineRule="auto"/>
        <w:jc w:val="left"/>
      </w:pPr>
      <w:r w:rsidRPr="00396C03">
        <w:t>W 2025 opublikowanych poprzez narzędzie dostępne na stronie: https://bzp.uzp.gov.pl zostało 40 ogłoszeń dotyczących postępowań wszczętych przed 1 stycznia 2021 roku, w</w:t>
      </w:r>
      <w:r w:rsidR="00EE00C9">
        <w:t> </w:t>
      </w:r>
      <w:r w:rsidRPr="00396C03">
        <w:t xml:space="preserve">tym: </w:t>
      </w:r>
    </w:p>
    <w:p w14:paraId="484F1FF0" w14:textId="77777777" w:rsidR="00966D2E" w:rsidRDefault="00966D2E" w:rsidP="00966D2E">
      <w:pPr>
        <w:pStyle w:val="Akapitzlist"/>
        <w:numPr>
          <w:ilvl w:val="0"/>
          <w:numId w:val="72"/>
        </w:numPr>
        <w:shd w:val="clear" w:color="auto" w:fill="FFFFFF" w:themeFill="background1"/>
        <w:spacing w:line="360" w:lineRule="auto"/>
        <w:jc w:val="left"/>
      </w:pPr>
      <w:proofErr w:type="spellStart"/>
      <w:r w:rsidRPr="0CAA7831">
        <w:rPr>
          <w:lang w:val="en-US"/>
        </w:rPr>
        <w:t>ogłoszeń</w:t>
      </w:r>
      <w:proofErr w:type="spellEnd"/>
      <w:r w:rsidRPr="0CAA7831">
        <w:rPr>
          <w:lang w:val="en-US"/>
        </w:rPr>
        <w:t xml:space="preserve"> o </w:t>
      </w:r>
      <w:proofErr w:type="spellStart"/>
      <w:r w:rsidRPr="0CAA7831">
        <w:rPr>
          <w:lang w:val="en-US"/>
        </w:rPr>
        <w:t>zamówieniu</w:t>
      </w:r>
      <w:proofErr w:type="spellEnd"/>
      <w:r w:rsidRPr="0CAA7831">
        <w:rPr>
          <w:lang w:val="en-US"/>
        </w:rPr>
        <w:t xml:space="preserve"> – 0, </w:t>
      </w:r>
    </w:p>
    <w:p w14:paraId="1E891142" w14:textId="77777777" w:rsidR="00966D2E" w:rsidRPr="004C5BA6" w:rsidRDefault="00966D2E" w:rsidP="00966D2E">
      <w:pPr>
        <w:numPr>
          <w:ilvl w:val="0"/>
          <w:numId w:val="72"/>
        </w:numPr>
        <w:shd w:val="clear" w:color="auto" w:fill="FFFFFF"/>
        <w:spacing w:line="360" w:lineRule="auto"/>
        <w:jc w:val="left"/>
      </w:pPr>
      <w:r w:rsidRPr="004C5BA6">
        <w:t xml:space="preserve">ogłoszeń o zamówieniu w dziedzinach obronności i bezpieczeństwa/na podwykonawstwo – 0, </w:t>
      </w:r>
    </w:p>
    <w:p w14:paraId="0B67C701" w14:textId="77777777" w:rsidR="00966D2E" w:rsidRPr="004C5BA6" w:rsidRDefault="00966D2E" w:rsidP="00966D2E">
      <w:pPr>
        <w:numPr>
          <w:ilvl w:val="0"/>
          <w:numId w:val="72"/>
        </w:numPr>
        <w:shd w:val="clear" w:color="auto" w:fill="FFFFFF"/>
        <w:spacing w:line="360" w:lineRule="auto"/>
        <w:jc w:val="left"/>
      </w:pPr>
      <w:r w:rsidRPr="004C5BA6">
        <w:t xml:space="preserve">ogłoszeń o zamiarze zawarcia umowy – 0, </w:t>
      </w:r>
    </w:p>
    <w:p w14:paraId="274A236B" w14:textId="77777777" w:rsidR="00966D2E" w:rsidRPr="004C5BA6" w:rsidRDefault="00966D2E" w:rsidP="00966D2E">
      <w:pPr>
        <w:numPr>
          <w:ilvl w:val="0"/>
          <w:numId w:val="72"/>
        </w:numPr>
        <w:shd w:val="clear" w:color="auto" w:fill="FFFFFF"/>
        <w:spacing w:line="360" w:lineRule="auto"/>
        <w:jc w:val="left"/>
      </w:pPr>
      <w:r w:rsidRPr="004C5BA6">
        <w:t xml:space="preserve">ogłoszeń o udzieleniu zamówienia – </w:t>
      </w:r>
      <w:r>
        <w:t>7</w:t>
      </w:r>
      <w:r w:rsidRPr="004C5BA6">
        <w:t xml:space="preserve">, </w:t>
      </w:r>
    </w:p>
    <w:p w14:paraId="623D803C" w14:textId="77777777" w:rsidR="00966D2E" w:rsidRPr="004C5BA6" w:rsidRDefault="00966D2E" w:rsidP="00966D2E">
      <w:pPr>
        <w:numPr>
          <w:ilvl w:val="0"/>
          <w:numId w:val="72"/>
        </w:numPr>
        <w:shd w:val="clear" w:color="auto" w:fill="FFFFFF"/>
        <w:spacing w:line="360" w:lineRule="auto"/>
        <w:jc w:val="left"/>
      </w:pPr>
      <w:r w:rsidRPr="004C5BA6">
        <w:t xml:space="preserve">ogłoszeń o konkursie – 0, </w:t>
      </w:r>
    </w:p>
    <w:p w14:paraId="6C6D58C2" w14:textId="77777777" w:rsidR="00966D2E" w:rsidRPr="004C5BA6" w:rsidRDefault="00966D2E" w:rsidP="00966D2E">
      <w:pPr>
        <w:numPr>
          <w:ilvl w:val="0"/>
          <w:numId w:val="72"/>
        </w:numPr>
        <w:shd w:val="clear" w:color="auto" w:fill="FFFFFF"/>
        <w:spacing w:line="360" w:lineRule="auto"/>
        <w:jc w:val="left"/>
      </w:pPr>
      <w:r w:rsidRPr="004C5BA6">
        <w:t xml:space="preserve">ogłoszeń o wynikach konkursu – 0, </w:t>
      </w:r>
    </w:p>
    <w:p w14:paraId="39F2F7F3" w14:textId="77777777" w:rsidR="00966D2E" w:rsidRPr="004C5BA6" w:rsidRDefault="00966D2E" w:rsidP="00966D2E">
      <w:pPr>
        <w:numPr>
          <w:ilvl w:val="0"/>
          <w:numId w:val="72"/>
        </w:numPr>
        <w:shd w:val="clear" w:color="auto" w:fill="FFFFFF"/>
        <w:spacing w:line="360" w:lineRule="auto"/>
        <w:jc w:val="left"/>
      </w:pPr>
      <w:r w:rsidRPr="004C5BA6">
        <w:t xml:space="preserve">ogłoszeń o zmianie ogłoszenia – </w:t>
      </w:r>
      <w:r>
        <w:t>0</w:t>
      </w:r>
      <w:r w:rsidRPr="004C5BA6">
        <w:t xml:space="preserve">, </w:t>
      </w:r>
    </w:p>
    <w:p w14:paraId="391EE74A" w14:textId="77777777" w:rsidR="00966D2E" w:rsidRPr="004C5BA6" w:rsidRDefault="00966D2E" w:rsidP="00966D2E">
      <w:pPr>
        <w:numPr>
          <w:ilvl w:val="0"/>
          <w:numId w:val="72"/>
        </w:numPr>
        <w:shd w:val="clear" w:color="auto" w:fill="FFFFFF"/>
        <w:spacing w:line="360" w:lineRule="auto"/>
        <w:jc w:val="left"/>
      </w:pPr>
      <w:r w:rsidRPr="004C5BA6">
        <w:t xml:space="preserve">ogłoszeń o zmianie umowy – </w:t>
      </w:r>
      <w:r>
        <w:t>33</w:t>
      </w:r>
      <w:r w:rsidRPr="004C5BA6">
        <w:t xml:space="preserve">, </w:t>
      </w:r>
    </w:p>
    <w:p w14:paraId="719BDCB1" w14:textId="77777777" w:rsidR="00966D2E" w:rsidRPr="004C5BA6" w:rsidRDefault="00966D2E" w:rsidP="00966D2E">
      <w:pPr>
        <w:numPr>
          <w:ilvl w:val="0"/>
          <w:numId w:val="72"/>
        </w:numPr>
        <w:shd w:val="clear" w:color="auto" w:fill="FFFFFF"/>
        <w:spacing w:line="360" w:lineRule="auto"/>
        <w:jc w:val="left"/>
      </w:pPr>
      <w:r w:rsidRPr="004C5BA6">
        <w:t xml:space="preserve">ogłoszeń o koncesji – 0, </w:t>
      </w:r>
    </w:p>
    <w:p w14:paraId="036E7834" w14:textId="77777777" w:rsidR="00966D2E" w:rsidRPr="004C5BA6" w:rsidRDefault="00966D2E" w:rsidP="00966D2E">
      <w:pPr>
        <w:numPr>
          <w:ilvl w:val="0"/>
          <w:numId w:val="72"/>
        </w:numPr>
        <w:shd w:val="clear" w:color="auto" w:fill="FFFFFF"/>
        <w:spacing w:line="360" w:lineRule="auto"/>
        <w:jc w:val="left"/>
      </w:pPr>
      <w:r w:rsidRPr="004C5BA6">
        <w:t xml:space="preserve">wstępnych ogłoszeń informacyjnych – 0, </w:t>
      </w:r>
    </w:p>
    <w:p w14:paraId="400606C8" w14:textId="77777777" w:rsidR="00966D2E" w:rsidRPr="004C5BA6" w:rsidRDefault="00966D2E" w:rsidP="00966D2E">
      <w:pPr>
        <w:numPr>
          <w:ilvl w:val="0"/>
          <w:numId w:val="72"/>
        </w:numPr>
        <w:shd w:val="clear" w:color="auto" w:fill="FFFFFF"/>
        <w:spacing w:line="360" w:lineRule="auto"/>
        <w:jc w:val="left"/>
      </w:pPr>
      <w:r w:rsidRPr="004C5BA6">
        <w:t xml:space="preserve">ogłoszeń o zmianie ogłoszenia (koncesje) – 0, </w:t>
      </w:r>
    </w:p>
    <w:p w14:paraId="423F00B8" w14:textId="77777777" w:rsidR="00966D2E" w:rsidRPr="004C5BA6" w:rsidRDefault="00966D2E" w:rsidP="00966D2E">
      <w:pPr>
        <w:numPr>
          <w:ilvl w:val="0"/>
          <w:numId w:val="72"/>
        </w:numPr>
        <w:shd w:val="clear" w:color="auto" w:fill="FFFFFF"/>
        <w:spacing w:line="360" w:lineRule="auto"/>
        <w:jc w:val="left"/>
      </w:pPr>
      <w:r w:rsidRPr="004C5BA6">
        <w:t xml:space="preserve">ogłoszeń o zamiarze zawarcia umowy koncesji – 0, </w:t>
      </w:r>
    </w:p>
    <w:p w14:paraId="060B796D" w14:textId="77777777" w:rsidR="00966D2E" w:rsidRPr="004C5BA6" w:rsidRDefault="00966D2E" w:rsidP="00966D2E">
      <w:pPr>
        <w:numPr>
          <w:ilvl w:val="0"/>
          <w:numId w:val="72"/>
        </w:numPr>
        <w:shd w:val="clear" w:color="auto" w:fill="FFFFFF"/>
        <w:spacing w:line="360" w:lineRule="auto"/>
        <w:jc w:val="left"/>
      </w:pPr>
      <w:r w:rsidRPr="004C5BA6">
        <w:t xml:space="preserve">ogłoszeń o zawarciu umowy koncesji – 0, </w:t>
      </w:r>
    </w:p>
    <w:p w14:paraId="013DF144" w14:textId="77777777" w:rsidR="00966D2E" w:rsidRPr="004C5BA6" w:rsidRDefault="00966D2E" w:rsidP="00966D2E">
      <w:pPr>
        <w:numPr>
          <w:ilvl w:val="0"/>
          <w:numId w:val="72"/>
        </w:numPr>
        <w:shd w:val="clear" w:color="auto" w:fill="FFFFFF"/>
        <w:spacing w:line="360" w:lineRule="auto"/>
        <w:jc w:val="left"/>
      </w:pPr>
      <w:r w:rsidRPr="004C5BA6">
        <w:t xml:space="preserve">ogłoszeń o zmianie umowy koncesji – 0. </w:t>
      </w:r>
    </w:p>
    <w:p w14:paraId="405D66B0" w14:textId="77777777" w:rsidR="00966D2E" w:rsidRPr="000F5AC4" w:rsidRDefault="00966D2E" w:rsidP="00067C45">
      <w:pPr>
        <w:shd w:val="clear" w:color="auto" w:fill="FFFFFF"/>
        <w:spacing w:before="120" w:line="360" w:lineRule="auto"/>
        <w:jc w:val="left"/>
      </w:pPr>
      <w:r w:rsidRPr="000F5AC4">
        <w:t>W 202</w:t>
      </w:r>
      <w:r>
        <w:t>5</w:t>
      </w:r>
      <w:r w:rsidRPr="000F5AC4">
        <w:t xml:space="preserve"> r. w B</w:t>
      </w:r>
      <w:r>
        <w:t>ZP</w:t>
      </w:r>
      <w:r w:rsidRPr="000F5AC4">
        <w:t xml:space="preserve"> po 1 stycznia 2021 roku, na Platformie e-Zamówienia zamieszczono </w:t>
      </w:r>
      <w:r>
        <w:rPr>
          <w:b/>
          <w:bCs/>
        </w:rPr>
        <w:t>549 529</w:t>
      </w:r>
      <w:r w:rsidRPr="000F5AC4">
        <w:t xml:space="preserve"> ogłoszeń, w tym: </w:t>
      </w:r>
    </w:p>
    <w:p w14:paraId="5A39557D" w14:textId="77777777" w:rsidR="00966D2E" w:rsidRPr="000F5AC4" w:rsidRDefault="00966D2E" w:rsidP="00966D2E">
      <w:pPr>
        <w:numPr>
          <w:ilvl w:val="0"/>
          <w:numId w:val="72"/>
        </w:numPr>
        <w:shd w:val="clear" w:color="auto" w:fill="FFFFFF"/>
        <w:spacing w:line="360" w:lineRule="auto"/>
        <w:jc w:val="left"/>
      </w:pPr>
      <w:r w:rsidRPr="000F5AC4">
        <w:t xml:space="preserve">ogłoszeń o zamówieniu – </w:t>
      </w:r>
      <w:r>
        <w:t>142 424</w:t>
      </w:r>
      <w:r w:rsidRPr="000F5AC4">
        <w:t xml:space="preserve">, </w:t>
      </w:r>
    </w:p>
    <w:p w14:paraId="649182C3" w14:textId="77777777" w:rsidR="00966D2E" w:rsidRPr="000F5AC4" w:rsidRDefault="00966D2E" w:rsidP="00966D2E">
      <w:pPr>
        <w:numPr>
          <w:ilvl w:val="0"/>
          <w:numId w:val="72"/>
        </w:numPr>
        <w:shd w:val="clear" w:color="auto" w:fill="FFFFFF"/>
        <w:spacing w:line="360" w:lineRule="auto"/>
        <w:jc w:val="left"/>
      </w:pPr>
      <w:r w:rsidRPr="000F5AC4">
        <w:t xml:space="preserve">ogłoszeń o zamiarze zawarcia umowy – 4 </w:t>
      </w:r>
      <w:r>
        <w:t>997</w:t>
      </w:r>
      <w:r w:rsidRPr="000F5AC4">
        <w:t xml:space="preserve">, </w:t>
      </w:r>
    </w:p>
    <w:p w14:paraId="3D525153" w14:textId="77777777" w:rsidR="00966D2E" w:rsidRPr="000F5AC4" w:rsidRDefault="00966D2E" w:rsidP="00966D2E">
      <w:pPr>
        <w:numPr>
          <w:ilvl w:val="0"/>
          <w:numId w:val="72"/>
        </w:numPr>
        <w:shd w:val="clear" w:color="auto" w:fill="FFFFFF"/>
        <w:spacing w:line="360" w:lineRule="auto"/>
        <w:jc w:val="left"/>
      </w:pPr>
      <w:r w:rsidRPr="000F5AC4">
        <w:t>ogłoszeń o wyniku postępowania – 1</w:t>
      </w:r>
      <w:r>
        <w:t>48 220</w:t>
      </w:r>
      <w:r w:rsidRPr="000F5AC4">
        <w:t>,</w:t>
      </w:r>
    </w:p>
    <w:p w14:paraId="1A06B8DE" w14:textId="77777777" w:rsidR="00966D2E" w:rsidRPr="000F5AC4" w:rsidRDefault="00966D2E" w:rsidP="00966D2E">
      <w:pPr>
        <w:numPr>
          <w:ilvl w:val="0"/>
          <w:numId w:val="72"/>
        </w:numPr>
        <w:shd w:val="clear" w:color="auto" w:fill="FFFFFF"/>
        <w:spacing w:line="360" w:lineRule="auto"/>
        <w:jc w:val="left"/>
      </w:pPr>
      <w:r w:rsidRPr="000F5AC4">
        <w:t xml:space="preserve">ogłoszeń o konkursie – </w:t>
      </w:r>
      <w:r>
        <w:t>31</w:t>
      </w:r>
      <w:r w:rsidRPr="000F5AC4">
        <w:t xml:space="preserve">, </w:t>
      </w:r>
    </w:p>
    <w:p w14:paraId="0EEEDCB7" w14:textId="77777777" w:rsidR="00966D2E" w:rsidRPr="000F5AC4" w:rsidRDefault="00966D2E" w:rsidP="00966D2E">
      <w:pPr>
        <w:numPr>
          <w:ilvl w:val="0"/>
          <w:numId w:val="72"/>
        </w:numPr>
        <w:shd w:val="clear" w:color="auto" w:fill="FFFFFF"/>
        <w:spacing w:line="360" w:lineRule="auto"/>
        <w:jc w:val="left"/>
      </w:pPr>
      <w:r w:rsidRPr="000F5AC4">
        <w:t xml:space="preserve">ogłoszeń o wynikach konkursu – </w:t>
      </w:r>
      <w:r>
        <w:t>19</w:t>
      </w:r>
      <w:r w:rsidRPr="000F5AC4">
        <w:t xml:space="preserve">, </w:t>
      </w:r>
    </w:p>
    <w:p w14:paraId="7C961791" w14:textId="77777777" w:rsidR="00966D2E" w:rsidRPr="000F5AC4" w:rsidRDefault="00966D2E" w:rsidP="00966D2E">
      <w:pPr>
        <w:numPr>
          <w:ilvl w:val="0"/>
          <w:numId w:val="72"/>
        </w:numPr>
        <w:shd w:val="clear" w:color="auto" w:fill="FFFFFF"/>
        <w:spacing w:line="360" w:lineRule="auto"/>
        <w:jc w:val="left"/>
      </w:pPr>
      <w:r w:rsidRPr="000F5AC4">
        <w:t>ogłoszeń o zmianie ogłoszenia – 6</w:t>
      </w:r>
      <w:r>
        <w:t>7</w:t>
      </w:r>
      <w:r w:rsidRPr="000F5AC4">
        <w:t xml:space="preserve"> </w:t>
      </w:r>
      <w:r>
        <w:t>231</w:t>
      </w:r>
      <w:r w:rsidRPr="000F5AC4">
        <w:t xml:space="preserve">, </w:t>
      </w:r>
    </w:p>
    <w:p w14:paraId="251313A2" w14:textId="77777777" w:rsidR="00966D2E" w:rsidRPr="000F5AC4" w:rsidRDefault="00966D2E" w:rsidP="00966D2E">
      <w:pPr>
        <w:numPr>
          <w:ilvl w:val="0"/>
          <w:numId w:val="72"/>
        </w:numPr>
        <w:shd w:val="clear" w:color="auto" w:fill="FFFFFF"/>
        <w:spacing w:line="360" w:lineRule="auto"/>
        <w:jc w:val="left"/>
      </w:pPr>
      <w:r w:rsidRPr="000F5AC4">
        <w:t xml:space="preserve">ogłoszeń o zmianie umowy – </w:t>
      </w:r>
      <w:r>
        <w:t>7 431</w:t>
      </w:r>
      <w:r w:rsidRPr="000F5AC4">
        <w:t xml:space="preserve">, </w:t>
      </w:r>
    </w:p>
    <w:p w14:paraId="67E4EE5D" w14:textId="77777777" w:rsidR="00966D2E" w:rsidRPr="000F5AC4" w:rsidRDefault="00966D2E" w:rsidP="00966D2E">
      <w:pPr>
        <w:numPr>
          <w:ilvl w:val="0"/>
          <w:numId w:val="72"/>
        </w:numPr>
        <w:shd w:val="clear" w:color="auto" w:fill="FFFFFF"/>
        <w:spacing w:line="360" w:lineRule="auto"/>
        <w:jc w:val="left"/>
      </w:pPr>
      <w:r w:rsidRPr="000F5AC4">
        <w:t xml:space="preserve">ogłoszeń o wykonaniu umowy – </w:t>
      </w:r>
      <w:r>
        <w:t>162 078</w:t>
      </w:r>
      <w:r w:rsidRPr="000F5AC4">
        <w:t xml:space="preserve">, </w:t>
      </w:r>
    </w:p>
    <w:p w14:paraId="54994EAF" w14:textId="38B21801" w:rsidR="00966D2E" w:rsidRPr="000F5AC4" w:rsidRDefault="00966D2E" w:rsidP="00966D2E">
      <w:pPr>
        <w:numPr>
          <w:ilvl w:val="0"/>
          <w:numId w:val="72"/>
        </w:numPr>
        <w:shd w:val="clear" w:color="auto" w:fill="FFFFFF"/>
        <w:spacing w:line="360" w:lineRule="auto"/>
        <w:jc w:val="left"/>
      </w:pPr>
      <w:r w:rsidRPr="000F5AC4">
        <w:t>ogłoszeń o spełnianiu okoliczności, o których mowa w art. 214 ust.1 pkt 11–14 ustawy</w:t>
      </w:r>
      <w:r w:rsidR="005F4A36">
        <w:t xml:space="preserve"> Pzp</w:t>
      </w:r>
      <w:r w:rsidRPr="000F5AC4">
        <w:t xml:space="preserve"> – 2</w:t>
      </w:r>
      <w:r>
        <w:t>68</w:t>
      </w:r>
      <w:r w:rsidRPr="000F5AC4">
        <w:t xml:space="preserve">, </w:t>
      </w:r>
    </w:p>
    <w:p w14:paraId="186C74CE" w14:textId="77777777" w:rsidR="00966D2E" w:rsidRPr="000F5AC4" w:rsidRDefault="00966D2E" w:rsidP="00966D2E">
      <w:pPr>
        <w:numPr>
          <w:ilvl w:val="0"/>
          <w:numId w:val="72"/>
        </w:numPr>
        <w:shd w:val="clear" w:color="auto" w:fill="FFFFFF"/>
        <w:spacing w:line="360" w:lineRule="auto"/>
        <w:jc w:val="left"/>
      </w:pPr>
      <w:r w:rsidRPr="000F5AC4">
        <w:t xml:space="preserve">ogłoszeń o koncesji – 6, </w:t>
      </w:r>
    </w:p>
    <w:p w14:paraId="13C9C586" w14:textId="77777777" w:rsidR="00966D2E" w:rsidRPr="000F5AC4" w:rsidRDefault="00966D2E" w:rsidP="00966D2E">
      <w:pPr>
        <w:numPr>
          <w:ilvl w:val="0"/>
          <w:numId w:val="72"/>
        </w:numPr>
        <w:shd w:val="clear" w:color="auto" w:fill="FFFFFF"/>
        <w:spacing w:line="360" w:lineRule="auto"/>
        <w:jc w:val="left"/>
      </w:pPr>
      <w:r w:rsidRPr="000F5AC4">
        <w:t xml:space="preserve">ogłoszeń o zmianie ogłoszenia (koncesje) – </w:t>
      </w:r>
      <w:r>
        <w:t>2</w:t>
      </w:r>
      <w:r w:rsidRPr="000F5AC4">
        <w:t xml:space="preserve">, </w:t>
      </w:r>
    </w:p>
    <w:p w14:paraId="3EAB727B" w14:textId="77777777" w:rsidR="00966D2E" w:rsidRPr="000F5AC4" w:rsidRDefault="00966D2E" w:rsidP="00966D2E">
      <w:pPr>
        <w:numPr>
          <w:ilvl w:val="0"/>
          <w:numId w:val="72"/>
        </w:numPr>
        <w:shd w:val="clear" w:color="auto" w:fill="FFFFFF"/>
        <w:spacing w:line="360" w:lineRule="auto"/>
        <w:jc w:val="left"/>
      </w:pPr>
      <w:r w:rsidRPr="000F5AC4">
        <w:t xml:space="preserve">ogłoszeń o zamiarze zawarcia umowy koncesji – 0, </w:t>
      </w:r>
    </w:p>
    <w:p w14:paraId="5253B97D" w14:textId="77777777" w:rsidR="00966D2E" w:rsidRPr="000F5AC4" w:rsidRDefault="00966D2E" w:rsidP="00966D2E">
      <w:pPr>
        <w:numPr>
          <w:ilvl w:val="0"/>
          <w:numId w:val="72"/>
        </w:numPr>
        <w:shd w:val="clear" w:color="auto" w:fill="FFFFFF"/>
        <w:spacing w:line="360" w:lineRule="auto"/>
        <w:jc w:val="left"/>
      </w:pPr>
      <w:r w:rsidRPr="000F5AC4">
        <w:t xml:space="preserve">ogłoszeń o zawarciu umowy koncesji – </w:t>
      </w:r>
      <w:r>
        <w:t>4</w:t>
      </w:r>
      <w:r w:rsidRPr="000F5AC4">
        <w:t xml:space="preserve">, </w:t>
      </w:r>
    </w:p>
    <w:p w14:paraId="70FFE452" w14:textId="77777777" w:rsidR="00966D2E" w:rsidRPr="000F5AC4" w:rsidRDefault="00966D2E" w:rsidP="00966D2E">
      <w:pPr>
        <w:numPr>
          <w:ilvl w:val="0"/>
          <w:numId w:val="72"/>
        </w:numPr>
        <w:shd w:val="clear" w:color="auto" w:fill="FFFFFF"/>
        <w:spacing w:line="360" w:lineRule="auto"/>
        <w:jc w:val="left"/>
      </w:pPr>
      <w:r w:rsidRPr="000F5AC4">
        <w:t xml:space="preserve">ogłoszeń o zmianie umowy koncesji – </w:t>
      </w:r>
      <w:r>
        <w:t>1</w:t>
      </w:r>
      <w:r w:rsidRPr="000F5AC4">
        <w:t xml:space="preserve">, </w:t>
      </w:r>
    </w:p>
    <w:p w14:paraId="23E71DEB" w14:textId="77777777" w:rsidR="00966D2E" w:rsidRPr="000F5AC4" w:rsidRDefault="00966D2E" w:rsidP="00966D2E">
      <w:pPr>
        <w:numPr>
          <w:ilvl w:val="0"/>
          <w:numId w:val="72"/>
        </w:numPr>
        <w:shd w:val="clear" w:color="auto" w:fill="FFFFFF"/>
        <w:spacing w:line="360" w:lineRule="auto"/>
        <w:jc w:val="left"/>
      </w:pPr>
      <w:r w:rsidRPr="000F5AC4">
        <w:t xml:space="preserve">ogłoszeń dotyczących zamówienia, dla którego nie ma obowiązku stosowania ustawy Pzp – </w:t>
      </w:r>
      <w:r>
        <w:t>3</w:t>
      </w:r>
      <w:r w:rsidRPr="000F5AC4">
        <w:t> </w:t>
      </w:r>
      <w:r>
        <w:t>671</w:t>
      </w:r>
      <w:r w:rsidRPr="000F5AC4">
        <w:t xml:space="preserve">, </w:t>
      </w:r>
    </w:p>
    <w:p w14:paraId="74738B39" w14:textId="77777777" w:rsidR="00966D2E" w:rsidRPr="000F5AC4" w:rsidRDefault="00966D2E" w:rsidP="00966D2E">
      <w:pPr>
        <w:numPr>
          <w:ilvl w:val="0"/>
          <w:numId w:val="72"/>
        </w:numPr>
        <w:shd w:val="clear" w:color="auto" w:fill="FFFFFF"/>
        <w:spacing w:line="360" w:lineRule="auto"/>
        <w:jc w:val="left"/>
      </w:pPr>
      <w:r w:rsidRPr="000F5AC4">
        <w:t>planów postępowań – 1</w:t>
      </w:r>
      <w:r>
        <w:t>3</w:t>
      </w:r>
      <w:r w:rsidRPr="000F5AC4">
        <w:t xml:space="preserve"> </w:t>
      </w:r>
      <w:r>
        <w:t>146</w:t>
      </w:r>
      <w:r w:rsidRPr="000F5AC4">
        <w:t xml:space="preserve">. </w:t>
      </w:r>
    </w:p>
    <w:p w14:paraId="0FB0F528" w14:textId="422C3386" w:rsidR="00966D2E" w:rsidRPr="000F5AC4" w:rsidRDefault="00966D2E" w:rsidP="00067C45">
      <w:pPr>
        <w:shd w:val="clear" w:color="auto" w:fill="FFFFFF"/>
        <w:spacing w:before="120" w:line="360" w:lineRule="auto"/>
        <w:jc w:val="left"/>
      </w:pPr>
      <w:r w:rsidRPr="000F5AC4">
        <w:t>Dla porównania poniżej zamieszczono zestawienie liczby ogłoszeń publikowanych w BZP w</w:t>
      </w:r>
      <w:r w:rsidR="00EE00C9">
        <w:t> </w:t>
      </w:r>
      <w:r w:rsidRPr="000F5AC4">
        <w:t>latach 202</w:t>
      </w:r>
      <w:r>
        <w:t>4</w:t>
      </w:r>
      <w:r w:rsidRPr="000F5AC4">
        <w:t>-202</w:t>
      </w:r>
      <w:r>
        <w:t>5</w:t>
      </w:r>
      <w:r w:rsidRPr="000F5AC4">
        <w:t>.</w:t>
      </w:r>
    </w:p>
    <w:p w14:paraId="12B9C54B" w14:textId="50503F5A" w:rsidR="00966D2E" w:rsidRDefault="00966D2E" w:rsidP="00966D2E">
      <w:pPr>
        <w:pStyle w:val="Legenda"/>
      </w:pPr>
      <w:bookmarkStart w:id="302" w:name="_Toc99523990"/>
      <w:bookmarkStart w:id="303" w:name="_Toc99524033"/>
      <w:bookmarkStart w:id="304" w:name="_Toc141276569"/>
      <w:bookmarkStart w:id="305" w:name="_Toc230687662"/>
      <w:bookmarkStart w:id="306" w:name="_Toc233203418"/>
      <w:r w:rsidRPr="00D379BF">
        <w:t xml:space="preserve">Tab. </w:t>
      </w:r>
      <w:r>
        <w:fldChar w:fldCharType="begin"/>
      </w:r>
      <w:r>
        <w:instrText>SEQ Tab. \* ARABIC</w:instrText>
      </w:r>
      <w:r>
        <w:fldChar w:fldCharType="separate"/>
      </w:r>
      <w:r w:rsidR="00017C65">
        <w:rPr>
          <w:noProof/>
        </w:rPr>
        <w:t>46</w:t>
      </w:r>
      <w:r>
        <w:fldChar w:fldCharType="end"/>
      </w:r>
      <w:r w:rsidRPr="00D379BF">
        <w:t>. Liczba ogłoszeń publikowanych w BZP w latach 20</w:t>
      </w:r>
      <w:r>
        <w:t>23</w:t>
      </w:r>
      <w:r w:rsidRPr="00D379BF">
        <w:t>-202</w:t>
      </w:r>
      <w:r>
        <w:t>4</w:t>
      </w:r>
      <w:r w:rsidRPr="00D379BF">
        <w:t xml:space="preserve"> według rodzaju ogłoszenia</w:t>
      </w:r>
      <w:bookmarkEnd w:id="302"/>
      <w:bookmarkEnd w:id="303"/>
      <w:bookmarkEnd w:id="304"/>
      <w:bookmarkEnd w:id="305"/>
      <w:bookmarkEnd w:id="306"/>
    </w:p>
    <w:tbl>
      <w:tblPr>
        <w:tblW w:w="7660" w:type="dxa"/>
        <w:tblInd w:w="-5" w:type="dxa"/>
        <w:tblLayout w:type="fixed"/>
        <w:tblLook w:val="04A0" w:firstRow="1" w:lastRow="0" w:firstColumn="1" w:lastColumn="0" w:noHBand="0" w:noVBand="1"/>
        <w:tblCaption w:val="Tabela. Liczba ogłoszeń publikowanych w BZP w latach 2023-2025 według rodzaju ogłoszenia"/>
        <w:tblDescription w:val="Tabela. Liczba ogłoszeń publikowanych w BZP w latach 2023-2025 według rodzaju ogłoszenia"/>
      </w:tblPr>
      <w:tblGrid>
        <w:gridCol w:w="5250"/>
        <w:gridCol w:w="1134"/>
        <w:gridCol w:w="1276"/>
      </w:tblGrid>
      <w:tr w:rsidR="00966D2E" w:rsidRPr="00854F8C" w14:paraId="0385673E" w14:textId="77777777" w:rsidTr="00E252E7">
        <w:trPr>
          <w:tblHeader/>
        </w:trPr>
        <w:tc>
          <w:tcPr>
            <w:tcW w:w="5250" w:type="dxa"/>
            <w:tcBorders>
              <w:right w:val="single" w:sz="4" w:space="0" w:color="FFFFFF" w:themeColor="background1"/>
            </w:tcBorders>
            <w:shd w:val="clear" w:color="auto" w:fill="002060"/>
            <w:vAlign w:val="center"/>
          </w:tcPr>
          <w:p w14:paraId="7BD285D7" w14:textId="77777777" w:rsidR="00966D2E" w:rsidRPr="00D30407" w:rsidRDefault="00966D2E" w:rsidP="00E252E7">
            <w:pPr>
              <w:spacing w:before="60" w:after="60"/>
              <w:jc w:val="center"/>
              <w:rPr>
                <w:rFonts w:cs="Arial"/>
                <w:b/>
                <w:sz w:val="18"/>
                <w:szCs w:val="18"/>
              </w:rPr>
            </w:pPr>
            <w:r w:rsidRPr="00D30407">
              <w:rPr>
                <w:rFonts w:cs="Arial"/>
                <w:b/>
                <w:sz w:val="18"/>
                <w:szCs w:val="18"/>
              </w:rPr>
              <w:t>Rodzaj ogłoszenia</w:t>
            </w:r>
          </w:p>
        </w:tc>
        <w:tc>
          <w:tcPr>
            <w:tcW w:w="1134" w:type="dxa"/>
            <w:tcBorders>
              <w:left w:val="single" w:sz="4" w:space="0" w:color="FFFFFF" w:themeColor="background1"/>
            </w:tcBorders>
            <w:shd w:val="clear" w:color="auto" w:fill="002060"/>
            <w:vAlign w:val="center"/>
          </w:tcPr>
          <w:p w14:paraId="566580C4" w14:textId="77777777" w:rsidR="00966D2E" w:rsidRPr="00644F26" w:rsidRDefault="00966D2E" w:rsidP="00E252E7">
            <w:pPr>
              <w:spacing w:before="60" w:after="60"/>
              <w:jc w:val="center"/>
              <w:rPr>
                <w:rFonts w:cs="Arial"/>
                <w:b/>
                <w:sz w:val="18"/>
                <w:szCs w:val="18"/>
              </w:rPr>
            </w:pPr>
            <w:r w:rsidRPr="00644F26">
              <w:rPr>
                <w:rFonts w:cs="Arial"/>
                <w:b/>
                <w:sz w:val="18"/>
                <w:szCs w:val="18"/>
              </w:rPr>
              <w:t>202</w:t>
            </w:r>
            <w:r>
              <w:rPr>
                <w:rFonts w:cs="Arial"/>
                <w:b/>
                <w:sz w:val="18"/>
                <w:szCs w:val="18"/>
              </w:rPr>
              <w:t>4</w:t>
            </w:r>
          </w:p>
        </w:tc>
        <w:tc>
          <w:tcPr>
            <w:tcW w:w="1276" w:type="dxa"/>
            <w:tcBorders>
              <w:left w:val="single" w:sz="4" w:space="0" w:color="FFFFFF" w:themeColor="background1"/>
            </w:tcBorders>
            <w:shd w:val="clear" w:color="auto" w:fill="002060"/>
            <w:vAlign w:val="center"/>
          </w:tcPr>
          <w:p w14:paraId="0F09BC31" w14:textId="77777777" w:rsidR="00966D2E" w:rsidRPr="00644F26" w:rsidRDefault="00966D2E" w:rsidP="00E252E7">
            <w:pPr>
              <w:spacing w:before="60" w:after="60"/>
              <w:jc w:val="center"/>
              <w:rPr>
                <w:rFonts w:cs="Arial"/>
                <w:b/>
                <w:sz w:val="18"/>
                <w:szCs w:val="18"/>
              </w:rPr>
            </w:pPr>
            <w:r w:rsidRPr="00644F26">
              <w:rPr>
                <w:rFonts w:cs="Arial"/>
                <w:b/>
                <w:sz w:val="18"/>
                <w:szCs w:val="18"/>
              </w:rPr>
              <w:t>202</w:t>
            </w:r>
            <w:r>
              <w:rPr>
                <w:rFonts w:cs="Arial"/>
                <w:b/>
                <w:sz w:val="18"/>
                <w:szCs w:val="18"/>
              </w:rPr>
              <w:t>5</w:t>
            </w:r>
          </w:p>
        </w:tc>
      </w:tr>
      <w:tr w:rsidR="00966D2E" w:rsidRPr="00854F8C" w14:paraId="5E815242" w14:textId="77777777" w:rsidTr="00E252E7">
        <w:tc>
          <w:tcPr>
            <w:tcW w:w="5250" w:type="dxa"/>
            <w:tcBorders>
              <w:right w:val="single" w:sz="4" w:space="0" w:color="FFFFFF" w:themeColor="background1"/>
            </w:tcBorders>
            <w:vAlign w:val="center"/>
          </w:tcPr>
          <w:p w14:paraId="2FD654EB"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zamówieniu</w:t>
            </w:r>
          </w:p>
        </w:tc>
        <w:tc>
          <w:tcPr>
            <w:tcW w:w="1134" w:type="dxa"/>
            <w:tcBorders>
              <w:left w:val="single" w:sz="4" w:space="0" w:color="FFFFFF" w:themeColor="background1"/>
            </w:tcBorders>
            <w:vAlign w:val="center"/>
          </w:tcPr>
          <w:p w14:paraId="4C849955" w14:textId="77777777" w:rsidR="00966D2E" w:rsidRPr="003A2BC0" w:rsidRDefault="00966D2E" w:rsidP="00E252E7">
            <w:pPr>
              <w:spacing w:before="60" w:after="60"/>
              <w:jc w:val="right"/>
              <w:rPr>
                <w:rFonts w:cs="Arial"/>
                <w:sz w:val="18"/>
                <w:szCs w:val="18"/>
              </w:rPr>
            </w:pPr>
            <w:r w:rsidRPr="003A2BC0">
              <w:rPr>
                <w:sz w:val="18"/>
                <w:szCs w:val="18"/>
              </w:rPr>
              <w:t>129 975</w:t>
            </w:r>
          </w:p>
        </w:tc>
        <w:tc>
          <w:tcPr>
            <w:tcW w:w="1276" w:type="dxa"/>
            <w:tcBorders>
              <w:left w:val="single" w:sz="4" w:space="0" w:color="FFFFFF" w:themeColor="background1"/>
            </w:tcBorders>
            <w:vAlign w:val="center"/>
          </w:tcPr>
          <w:p w14:paraId="15FB232E" w14:textId="77777777" w:rsidR="00966D2E" w:rsidRPr="003A2BC0" w:rsidRDefault="00966D2E" w:rsidP="00E252E7">
            <w:pPr>
              <w:spacing w:before="60" w:after="60"/>
              <w:jc w:val="right"/>
              <w:rPr>
                <w:rFonts w:cs="Arial"/>
                <w:sz w:val="18"/>
                <w:szCs w:val="18"/>
              </w:rPr>
            </w:pPr>
            <w:r>
              <w:rPr>
                <w:rFonts w:cs="Arial"/>
                <w:sz w:val="18"/>
                <w:szCs w:val="18"/>
              </w:rPr>
              <w:t>142 424</w:t>
            </w:r>
          </w:p>
        </w:tc>
      </w:tr>
      <w:tr w:rsidR="00966D2E" w:rsidRPr="00854F8C" w14:paraId="5C84C303" w14:textId="77777777" w:rsidTr="00E252E7">
        <w:tc>
          <w:tcPr>
            <w:tcW w:w="5250" w:type="dxa"/>
            <w:tcBorders>
              <w:right w:val="single" w:sz="4" w:space="0" w:color="FFFFFF" w:themeColor="background1"/>
            </w:tcBorders>
            <w:shd w:val="clear" w:color="auto" w:fill="00B0F0"/>
            <w:vAlign w:val="center"/>
          </w:tcPr>
          <w:p w14:paraId="223D90CF"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zamiarze zawarcia umowy</w:t>
            </w:r>
          </w:p>
        </w:tc>
        <w:tc>
          <w:tcPr>
            <w:tcW w:w="1134" w:type="dxa"/>
            <w:tcBorders>
              <w:left w:val="single" w:sz="4" w:space="0" w:color="FFFFFF" w:themeColor="background1"/>
            </w:tcBorders>
            <w:shd w:val="clear" w:color="auto" w:fill="00B0F0"/>
            <w:vAlign w:val="center"/>
          </w:tcPr>
          <w:p w14:paraId="2EE91F14" w14:textId="77777777" w:rsidR="00966D2E" w:rsidRPr="003A2BC0" w:rsidRDefault="00966D2E" w:rsidP="00E252E7">
            <w:pPr>
              <w:spacing w:before="60" w:after="60"/>
              <w:jc w:val="right"/>
              <w:rPr>
                <w:rFonts w:cs="Arial"/>
                <w:sz w:val="18"/>
                <w:szCs w:val="18"/>
              </w:rPr>
            </w:pPr>
            <w:r w:rsidRPr="003A2BC0">
              <w:rPr>
                <w:sz w:val="18"/>
                <w:szCs w:val="18"/>
              </w:rPr>
              <w:t>4 278</w:t>
            </w:r>
          </w:p>
        </w:tc>
        <w:tc>
          <w:tcPr>
            <w:tcW w:w="1276" w:type="dxa"/>
            <w:tcBorders>
              <w:left w:val="single" w:sz="4" w:space="0" w:color="FFFFFF" w:themeColor="background1"/>
            </w:tcBorders>
            <w:shd w:val="clear" w:color="auto" w:fill="00B0F0"/>
            <w:vAlign w:val="center"/>
          </w:tcPr>
          <w:p w14:paraId="405A1FDA" w14:textId="77777777" w:rsidR="00966D2E" w:rsidRPr="003A2BC0" w:rsidRDefault="00966D2E" w:rsidP="00E252E7">
            <w:pPr>
              <w:spacing w:before="60" w:after="60"/>
              <w:jc w:val="right"/>
              <w:rPr>
                <w:rFonts w:cs="Arial"/>
                <w:sz w:val="18"/>
                <w:szCs w:val="18"/>
              </w:rPr>
            </w:pPr>
            <w:r>
              <w:rPr>
                <w:rFonts w:cs="Arial"/>
                <w:sz w:val="18"/>
                <w:szCs w:val="18"/>
              </w:rPr>
              <w:t>4 997</w:t>
            </w:r>
          </w:p>
        </w:tc>
      </w:tr>
      <w:tr w:rsidR="00966D2E" w:rsidRPr="00854F8C" w14:paraId="36C49F11" w14:textId="77777777" w:rsidTr="00E252E7">
        <w:tc>
          <w:tcPr>
            <w:tcW w:w="5250" w:type="dxa"/>
            <w:tcBorders>
              <w:right w:val="single" w:sz="4" w:space="0" w:color="FFFFFF" w:themeColor="background1"/>
            </w:tcBorders>
            <w:vAlign w:val="center"/>
          </w:tcPr>
          <w:p w14:paraId="6C3A3B9B"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wyniku postępowania</w:t>
            </w:r>
          </w:p>
        </w:tc>
        <w:tc>
          <w:tcPr>
            <w:tcW w:w="1134" w:type="dxa"/>
            <w:tcBorders>
              <w:left w:val="single" w:sz="4" w:space="0" w:color="FFFFFF" w:themeColor="background1"/>
            </w:tcBorders>
            <w:vAlign w:val="center"/>
          </w:tcPr>
          <w:p w14:paraId="110D8A45" w14:textId="77777777" w:rsidR="00966D2E" w:rsidRPr="003A2BC0" w:rsidRDefault="00966D2E" w:rsidP="00E252E7">
            <w:pPr>
              <w:spacing w:before="60" w:after="60"/>
              <w:jc w:val="right"/>
              <w:rPr>
                <w:rFonts w:cs="Arial"/>
                <w:sz w:val="18"/>
                <w:szCs w:val="18"/>
              </w:rPr>
            </w:pPr>
            <w:r w:rsidRPr="003A2BC0">
              <w:rPr>
                <w:sz w:val="18"/>
                <w:szCs w:val="18"/>
              </w:rPr>
              <w:t>135 892</w:t>
            </w:r>
          </w:p>
        </w:tc>
        <w:tc>
          <w:tcPr>
            <w:tcW w:w="1276" w:type="dxa"/>
            <w:tcBorders>
              <w:left w:val="single" w:sz="4" w:space="0" w:color="FFFFFF" w:themeColor="background1"/>
            </w:tcBorders>
            <w:vAlign w:val="center"/>
          </w:tcPr>
          <w:p w14:paraId="4F7E2E57" w14:textId="77777777" w:rsidR="00966D2E" w:rsidRPr="003A2BC0" w:rsidRDefault="00966D2E" w:rsidP="00E252E7">
            <w:pPr>
              <w:spacing w:before="60" w:after="60"/>
              <w:jc w:val="right"/>
              <w:rPr>
                <w:rFonts w:cs="Arial"/>
                <w:sz w:val="18"/>
                <w:szCs w:val="18"/>
              </w:rPr>
            </w:pPr>
            <w:r>
              <w:rPr>
                <w:rFonts w:cs="Arial"/>
                <w:sz w:val="18"/>
                <w:szCs w:val="18"/>
              </w:rPr>
              <w:t>148 220</w:t>
            </w:r>
          </w:p>
        </w:tc>
      </w:tr>
      <w:tr w:rsidR="00966D2E" w:rsidRPr="00854F8C" w14:paraId="78F18B71" w14:textId="77777777" w:rsidTr="00E252E7">
        <w:tc>
          <w:tcPr>
            <w:tcW w:w="5250" w:type="dxa"/>
            <w:tcBorders>
              <w:right w:val="single" w:sz="4" w:space="0" w:color="FFFFFF" w:themeColor="background1"/>
            </w:tcBorders>
            <w:shd w:val="clear" w:color="auto" w:fill="00B0F0"/>
            <w:vAlign w:val="center"/>
          </w:tcPr>
          <w:p w14:paraId="30171263"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konkursie</w:t>
            </w:r>
          </w:p>
        </w:tc>
        <w:tc>
          <w:tcPr>
            <w:tcW w:w="1134" w:type="dxa"/>
            <w:tcBorders>
              <w:left w:val="single" w:sz="4" w:space="0" w:color="FFFFFF" w:themeColor="background1"/>
            </w:tcBorders>
            <w:shd w:val="clear" w:color="auto" w:fill="00B0F0"/>
            <w:vAlign w:val="center"/>
          </w:tcPr>
          <w:p w14:paraId="00293730" w14:textId="77777777" w:rsidR="00966D2E" w:rsidRPr="003A2BC0" w:rsidRDefault="00966D2E" w:rsidP="00E252E7">
            <w:pPr>
              <w:spacing w:before="60" w:after="60"/>
              <w:jc w:val="right"/>
              <w:rPr>
                <w:rFonts w:cs="Arial"/>
                <w:sz w:val="18"/>
                <w:szCs w:val="18"/>
              </w:rPr>
            </w:pPr>
            <w:r w:rsidRPr="003A2BC0">
              <w:rPr>
                <w:sz w:val="18"/>
                <w:szCs w:val="18"/>
              </w:rPr>
              <w:t>27</w:t>
            </w:r>
          </w:p>
        </w:tc>
        <w:tc>
          <w:tcPr>
            <w:tcW w:w="1276" w:type="dxa"/>
            <w:tcBorders>
              <w:left w:val="single" w:sz="4" w:space="0" w:color="FFFFFF" w:themeColor="background1"/>
            </w:tcBorders>
            <w:shd w:val="clear" w:color="auto" w:fill="00B0F0"/>
            <w:vAlign w:val="center"/>
          </w:tcPr>
          <w:p w14:paraId="4836CA09" w14:textId="77777777" w:rsidR="00966D2E" w:rsidRPr="003A2BC0" w:rsidRDefault="00966D2E" w:rsidP="00E252E7">
            <w:pPr>
              <w:spacing w:before="60" w:after="60"/>
              <w:jc w:val="right"/>
              <w:rPr>
                <w:rFonts w:cs="Arial"/>
                <w:sz w:val="18"/>
                <w:szCs w:val="18"/>
              </w:rPr>
            </w:pPr>
            <w:r>
              <w:rPr>
                <w:rFonts w:cs="Arial"/>
                <w:sz w:val="18"/>
                <w:szCs w:val="18"/>
              </w:rPr>
              <w:t>31</w:t>
            </w:r>
          </w:p>
        </w:tc>
      </w:tr>
      <w:tr w:rsidR="00966D2E" w:rsidRPr="00854F8C" w14:paraId="728358C7" w14:textId="77777777" w:rsidTr="00E252E7">
        <w:tc>
          <w:tcPr>
            <w:tcW w:w="5250" w:type="dxa"/>
            <w:tcBorders>
              <w:right w:val="single" w:sz="4" w:space="0" w:color="FFFFFF" w:themeColor="background1"/>
            </w:tcBorders>
            <w:vAlign w:val="center"/>
          </w:tcPr>
          <w:p w14:paraId="657F63E9"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wynikach konkursu</w:t>
            </w:r>
          </w:p>
        </w:tc>
        <w:tc>
          <w:tcPr>
            <w:tcW w:w="1134" w:type="dxa"/>
            <w:tcBorders>
              <w:left w:val="single" w:sz="4" w:space="0" w:color="FFFFFF" w:themeColor="background1"/>
            </w:tcBorders>
            <w:vAlign w:val="center"/>
          </w:tcPr>
          <w:p w14:paraId="6328D735" w14:textId="77777777" w:rsidR="00966D2E" w:rsidRPr="003A2BC0" w:rsidRDefault="00966D2E" w:rsidP="00E252E7">
            <w:pPr>
              <w:spacing w:before="60" w:after="60"/>
              <w:jc w:val="right"/>
              <w:rPr>
                <w:rFonts w:cs="Arial"/>
                <w:sz w:val="18"/>
                <w:szCs w:val="18"/>
              </w:rPr>
            </w:pPr>
            <w:r w:rsidRPr="003A2BC0">
              <w:rPr>
                <w:sz w:val="18"/>
                <w:szCs w:val="18"/>
              </w:rPr>
              <w:t>22</w:t>
            </w:r>
          </w:p>
        </w:tc>
        <w:tc>
          <w:tcPr>
            <w:tcW w:w="1276" w:type="dxa"/>
            <w:tcBorders>
              <w:left w:val="single" w:sz="4" w:space="0" w:color="FFFFFF" w:themeColor="background1"/>
            </w:tcBorders>
            <w:vAlign w:val="center"/>
          </w:tcPr>
          <w:p w14:paraId="30D4E5DF" w14:textId="77777777" w:rsidR="00966D2E" w:rsidRPr="003A2BC0" w:rsidRDefault="00966D2E" w:rsidP="00E252E7">
            <w:pPr>
              <w:spacing w:before="60" w:after="60"/>
              <w:jc w:val="right"/>
              <w:rPr>
                <w:rFonts w:cs="Arial"/>
                <w:sz w:val="18"/>
                <w:szCs w:val="18"/>
              </w:rPr>
            </w:pPr>
            <w:r>
              <w:rPr>
                <w:rFonts w:cs="Arial"/>
                <w:sz w:val="18"/>
                <w:szCs w:val="18"/>
              </w:rPr>
              <w:t>19</w:t>
            </w:r>
          </w:p>
        </w:tc>
      </w:tr>
      <w:tr w:rsidR="00966D2E" w:rsidRPr="00854F8C" w14:paraId="6B18A448" w14:textId="77777777" w:rsidTr="00E252E7">
        <w:tc>
          <w:tcPr>
            <w:tcW w:w="5250" w:type="dxa"/>
            <w:tcBorders>
              <w:right w:val="single" w:sz="4" w:space="0" w:color="FFFFFF" w:themeColor="background1"/>
            </w:tcBorders>
            <w:shd w:val="clear" w:color="auto" w:fill="00B0F0"/>
            <w:vAlign w:val="center"/>
          </w:tcPr>
          <w:p w14:paraId="33F1B00C"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zmianie ogłoszenia</w:t>
            </w:r>
          </w:p>
        </w:tc>
        <w:tc>
          <w:tcPr>
            <w:tcW w:w="1134" w:type="dxa"/>
            <w:tcBorders>
              <w:left w:val="single" w:sz="4" w:space="0" w:color="FFFFFF" w:themeColor="background1"/>
            </w:tcBorders>
            <w:shd w:val="clear" w:color="auto" w:fill="00B0F0"/>
            <w:vAlign w:val="center"/>
          </w:tcPr>
          <w:p w14:paraId="59FB899C" w14:textId="77777777" w:rsidR="00966D2E" w:rsidRPr="003A2BC0" w:rsidRDefault="00966D2E" w:rsidP="00E252E7">
            <w:pPr>
              <w:spacing w:before="60" w:after="60"/>
              <w:jc w:val="right"/>
              <w:rPr>
                <w:rFonts w:cs="Arial"/>
                <w:sz w:val="18"/>
                <w:szCs w:val="18"/>
              </w:rPr>
            </w:pPr>
            <w:r w:rsidRPr="003A2BC0">
              <w:rPr>
                <w:sz w:val="18"/>
                <w:szCs w:val="18"/>
              </w:rPr>
              <w:t>60 939</w:t>
            </w:r>
          </w:p>
        </w:tc>
        <w:tc>
          <w:tcPr>
            <w:tcW w:w="1276" w:type="dxa"/>
            <w:tcBorders>
              <w:left w:val="single" w:sz="4" w:space="0" w:color="FFFFFF" w:themeColor="background1"/>
            </w:tcBorders>
            <w:shd w:val="clear" w:color="auto" w:fill="00B0F0"/>
            <w:vAlign w:val="center"/>
          </w:tcPr>
          <w:p w14:paraId="21DB09EE" w14:textId="77777777" w:rsidR="00966D2E" w:rsidRPr="003A2BC0" w:rsidRDefault="00966D2E" w:rsidP="00E252E7">
            <w:pPr>
              <w:spacing w:before="60" w:after="60"/>
              <w:jc w:val="right"/>
              <w:rPr>
                <w:rFonts w:cs="Arial"/>
                <w:sz w:val="18"/>
                <w:szCs w:val="18"/>
              </w:rPr>
            </w:pPr>
            <w:r>
              <w:rPr>
                <w:rFonts w:cs="Arial"/>
                <w:sz w:val="18"/>
                <w:szCs w:val="18"/>
              </w:rPr>
              <w:t>67 231</w:t>
            </w:r>
          </w:p>
        </w:tc>
      </w:tr>
      <w:tr w:rsidR="00966D2E" w:rsidRPr="00854F8C" w14:paraId="464F0947" w14:textId="77777777" w:rsidTr="00E252E7">
        <w:tc>
          <w:tcPr>
            <w:tcW w:w="5250" w:type="dxa"/>
            <w:tcBorders>
              <w:right w:val="single" w:sz="4" w:space="0" w:color="FFFFFF" w:themeColor="background1"/>
            </w:tcBorders>
            <w:vAlign w:val="center"/>
          </w:tcPr>
          <w:p w14:paraId="2B636088"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zmianie umowy</w:t>
            </w:r>
          </w:p>
        </w:tc>
        <w:tc>
          <w:tcPr>
            <w:tcW w:w="1134" w:type="dxa"/>
            <w:tcBorders>
              <w:left w:val="single" w:sz="4" w:space="0" w:color="FFFFFF" w:themeColor="background1"/>
            </w:tcBorders>
            <w:vAlign w:val="center"/>
          </w:tcPr>
          <w:p w14:paraId="1E7B1D58" w14:textId="77777777" w:rsidR="00966D2E" w:rsidRPr="003A2BC0" w:rsidRDefault="00966D2E" w:rsidP="00E252E7">
            <w:pPr>
              <w:spacing w:before="60" w:after="60"/>
              <w:jc w:val="right"/>
              <w:rPr>
                <w:rFonts w:cs="Arial"/>
                <w:sz w:val="18"/>
                <w:szCs w:val="18"/>
              </w:rPr>
            </w:pPr>
            <w:r w:rsidRPr="003A2BC0">
              <w:rPr>
                <w:sz w:val="18"/>
                <w:szCs w:val="18"/>
              </w:rPr>
              <w:t>8 007</w:t>
            </w:r>
          </w:p>
        </w:tc>
        <w:tc>
          <w:tcPr>
            <w:tcW w:w="1276" w:type="dxa"/>
            <w:tcBorders>
              <w:left w:val="single" w:sz="4" w:space="0" w:color="FFFFFF" w:themeColor="background1"/>
            </w:tcBorders>
            <w:vAlign w:val="center"/>
          </w:tcPr>
          <w:p w14:paraId="74218DEF" w14:textId="77777777" w:rsidR="00966D2E" w:rsidRPr="003A2BC0" w:rsidRDefault="00966D2E" w:rsidP="00E252E7">
            <w:pPr>
              <w:spacing w:before="60" w:after="60"/>
              <w:jc w:val="right"/>
              <w:rPr>
                <w:rFonts w:cs="Arial"/>
                <w:sz w:val="18"/>
                <w:szCs w:val="18"/>
              </w:rPr>
            </w:pPr>
            <w:r>
              <w:rPr>
                <w:rFonts w:cs="Arial"/>
                <w:sz w:val="18"/>
                <w:szCs w:val="18"/>
              </w:rPr>
              <w:t>7 431</w:t>
            </w:r>
          </w:p>
        </w:tc>
      </w:tr>
      <w:tr w:rsidR="00966D2E" w:rsidRPr="00854F8C" w14:paraId="014835EE" w14:textId="77777777" w:rsidTr="00E252E7">
        <w:tc>
          <w:tcPr>
            <w:tcW w:w="5250" w:type="dxa"/>
            <w:tcBorders>
              <w:right w:val="single" w:sz="4" w:space="0" w:color="FFFFFF" w:themeColor="background1"/>
            </w:tcBorders>
            <w:shd w:val="clear" w:color="auto" w:fill="00B0F0"/>
            <w:vAlign w:val="center"/>
          </w:tcPr>
          <w:p w14:paraId="6123C195"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wykonaniu umowy</w:t>
            </w:r>
          </w:p>
        </w:tc>
        <w:tc>
          <w:tcPr>
            <w:tcW w:w="1134" w:type="dxa"/>
            <w:tcBorders>
              <w:left w:val="single" w:sz="4" w:space="0" w:color="FFFFFF" w:themeColor="background1"/>
            </w:tcBorders>
            <w:shd w:val="clear" w:color="auto" w:fill="00B0F0"/>
            <w:vAlign w:val="center"/>
          </w:tcPr>
          <w:p w14:paraId="33C65456" w14:textId="77777777" w:rsidR="00966D2E" w:rsidRPr="003A2BC0" w:rsidRDefault="00966D2E" w:rsidP="00E252E7">
            <w:pPr>
              <w:spacing w:before="60" w:after="60"/>
              <w:jc w:val="right"/>
              <w:rPr>
                <w:rFonts w:cs="Arial"/>
                <w:sz w:val="18"/>
                <w:szCs w:val="18"/>
              </w:rPr>
            </w:pPr>
            <w:r w:rsidRPr="003A2BC0">
              <w:rPr>
                <w:sz w:val="18"/>
                <w:szCs w:val="18"/>
              </w:rPr>
              <w:t>151 492</w:t>
            </w:r>
          </w:p>
        </w:tc>
        <w:tc>
          <w:tcPr>
            <w:tcW w:w="1276" w:type="dxa"/>
            <w:tcBorders>
              <w:left w:val="single" w:sz="4" w:space="0" w:color="FFFFFF" w:themeColor="background1"/>
            </w:tcBorders>
            <w:shd w:val="clear" w:color="auto" w:fill="00B0F0"/>
            <w:vAlign w:val="center"/>
          </w:tcPr>
          <w:p w14:paraId="5A9E2D99" w14:textId="77777777" w:rsidR="00966D2E" w:rsidRPr="003A2BC0" w:rsidRDefault="00966D2E" w:rsidP="00E252E7">
            <w:pPr>
              <w:spacing w:before="60" w:after="60"/>
              <w:jc w:val="right"/>
              <w:rPr>
                <w:rFonts w:cs="Arial"/>
                <w:sz w:val="18"/>
                <w:szCs w:val="18"/>
              </w:rPr>
            </w:pPr>
            <w:r>
              <w:rPr>
                <w:rFonts w:cs="Arial"/>
                <w:sz w:val="18"/>
                <w:szCs w:val="18"/>
              </w:rPr>
              <w:t>162 078</w:t>
            </w:r>
          </w:p>
        </w:tc>
      </w:tr>
      <w:tr w:rsidR="00966D2E" w:rsidRPr="00854F8C" w14:paraId="04CB79FD" w14:textId="77777777" w:rsidTr="00E252E7">
        <w:tc>
          <w:tcPr>
            <w:tcW w:w="5250" w:type="dxa"/>
            <w:tcBorders>
              <w:right w:val="single" w:sz="4" w:space="0" w:color="FFFFFF" w:themeColor="background1"/>
            </w:tcBorders>
            <w:vAlign w:val="center"/>
          </w:tcPr>
          <w:p w14:paraId="4A499BCA" w14:textId="2F1399CB" w:rsidR="00966D2E" w:rsidRPr="00D30407" w:rsidRDefault="00966D2E" w:rsidP="00E252E7">
            <w:pPr>
              <w:spacing w:before="60" w:after="60"/>
              <w:jc w:val="left"/>
              <w:rPr>
                <w:rFonts w:cs="Arial"/>
                <w:b/>
                <w:sz w:val="18"/>
                <w:szCs w:val="18"/>
              </w:rPr>
            </w:pPr>
            <w:r w:rsidRPr="00D30407">
              <w:rPr>
                <w:rFonts w:cs="Arial"/>
                <w:b/>
                <w:sz w:val="18"/>
                <w:szCs w:val="18"/>
              </w:rPr>
              <w:t>Ogłoszenie o spełnianiu okoliczności, o których mowa w art. 214 ust.1 pkt 11–14 ustawy</w:t>
            </w:r>
            <w:r w:rsidR="005F4A36">
              <w:rPr>
                <w:rFonts w:cs="Arial"/>
                <w:b/>
                <w:sz w:val="18"/>
                <w:szCs w:val="18"/>
              </w:rPr>
              <w:t xml:space="preserve"> Pzp</w:t>
            </w:r>
          </w:p>
        </w:tc>
        <w:tc>
          <w:tcPr>
            <w:tcW w:w="1134" w:type="dxa"/>
            <w:tcBorders>
              <w:left w:val="single" w:sz="4" w:space="0" w:color="FFFFFF" w:themeColor="background1"/>
            </w:tcBorders>
            <w:vAlign w:val="center"/>
          </w:tcPr>
          <w:p w14:paraId="04EA744C" w14:textId="77777777" w:rsidR="00966D2E" w:rsidRPr="003A2BC0" w:rsidRDefault="00966D2E" w:rsidP="00E252E7">
            <w:pPr>
              <w:spacing w:before="60" w:after="60"/>
              <w:jc w:val="right"/>
              <w:rPr>
                <w:rFonts w:cs="Arial"/>
                <w:sz w:val="18"/>
                <w:szCs w:val="18"/>
              </w:rPr>
            </w:pPr>
            <w:r w:rsidRPr="003A2BC0">
              <w:rPr>
                <w:sz w:val="18"/>
                <w:szCs w:val="18"/>
              </w:rPr>
              <w:t>245</w:t>
            </w:r>
          </w:p>
        </w:tc>
        <w:tc>
          <w:tcPr>
            <w:tcW w:w="1276" w:type="dxa"/>
            <w:tcBorders>
              <w:left w:val="single" w:sz="4" w:space="0" w:color="FFFFFF" w:themeColor="background1"/>
            </w:tcBorders>
            <w:vAlign w:val="center"/>
          </w:tcPr>
          <w:p w14:paraId="317C335E" w14:textId="77777777" w:rsidR="00966D2E" w:rsidRPr="003A2BC0" w:rsidRDefault="00966D2E" w:rsidP="00E252E7">
            <w:pPr>
              <w:spacing w:before="60" w:after="60"/>
              <w:jc w:val="right"/>
              <w:rPr>
                <w:rFonts w:cs="Arial"/>
                <w:sz w:val="18"/>
                <w:szCs w:val="18"/>
              </w:rPr>
            </w:pPr>
            <w:r>
              <w:rPr>
                <w:rFonts w:cs="Arial"/>
                <w:sz w:val="18"/>
                <w:szCs w:val="18"/>
              </w:rPr>
              <w:t>268</w:t>
            </w:r>
          </w:p>
        </w:tc>
      </w:tr>
      <w:tr w:rsidR="00966D2E" w:rsidRPr="00854F8C" w14:paraId="0691E503" w14:textId="77777777" w:rsidTr="00E252E7">
        <w:tc>
          <w:tcPr>
            <w:tcW w:w="5250" w:type="dxa"/>
            <w:tcBorders>
              <w:right w:val="single" w:sz="4" w:space="0" w:color="FFFFFF" w:themeColor="background1"/>
            </w:tcBorders>
            <w:shd w:val="clear" w:color="auto" w:fill="00B0F0"/>
            <w:vAlign w:val="center"/>
          </w:tcPr>
          <w:p w14:paraId="0D13946A"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koncesji</w:t>
            </w:r>
          </w:p>
        </w:tc>
        <w:tc>
          <w:tcPr>
            <w:tcW w:w="1134" w:type="dxa"/>
            <w:tcBorders>
              <w:left w:val="single" w:sz="4" w:space="0" w:color="FFFFFF" w:themeColor="background1"/>
            </w:tcBorders>
            <w:shd w:val="clear" w:color="auto" w:fill="00B0F0"/>
            <w:vAlign w:val="center"/>
          </w:tcPr>
          <w:p w14:paraId="43314E25" w14:textId="77777777" w:rsidR="00966D2E" w:rsidRPr="003A2BC0" w:rsidRDefault="00966D2E" w:rsidP="00E252E7">
            <w:pPr>
              <w:spacing w:before="60" w:after="60"/>
              <w:jc w:val="right"/>
              <w:rPr>
                <w:rFonts w:cs="Arial"/>
                <w:sz w:val="18"/>
                <w:szCs w:val="18"/>
              </w:rPr>
            </w:pPr>
            <w:r w:rsidRPr="003A2BC0">
              <w:rPr>
                <w:sz w:val="18"/>
                <w:szCs w:val="18"/>
              </w:rPr>
              <w:t>16</w:t>
            </w:r>
          </w:p>
        </w:tc>
        <w:tc>
          <w:tcPr>
            <w:tcW w:w="1276" w:type="dxa"/>
            <w:tcBorders>
              <w:left w:val="single" w:sz="4" w:space="0" w:color="FFFFFF" w:themeColor="background1"/>
            </w:tcBorders>
            <w:shd w:val="clear" w:color="auto" w:fill="00B0F0"/>
            <w:vAlign w:val="center"/>
          </w:tcPr>
          <w:p w14:paraId="558FBEA7" w14:textId="77777777" w:rsidR="00966D2E" w:rsidRPr="003A2BC0" w:rsidRDefault="00966D2E" w:rsidP="00E252E7">
            <w:pPr>
              <w:spacing w:before="60" w:after="60"/>
              <w:jc w:val="right"/>
              <w:rPr>
                <w:rFonts w:cs="Arial"/>
                <w:sz w:val="18"/>
                <w:szCs w:val="18"/>
              </w:rPr>
            </w:pPr>
            <w:r>
              <w:rPr>
                <w:rFonts w:cs="Arial"/>
                <w:sz w:val="18"/>
                <w:szCs w:val="18"/>
              </w:rPr>
              <w:t>6</w:t>
            </w:r>
          </w:p>
        </w:tc>
      </w:tr>
      <w:tr w:rsidR="00966D2E" w:rsidRPr="00854F8C" w14:paraId="6DDEF973" w14:textId="77777777" w:rsidTr="00E252E7">
        <w:tc>
          <w:tcPr>
            <w:tcW w:w="5250" w:type="dxa"/>
            <w:tcBorders>
              <w:right w:val="single" w:sz="4" w:space="0" w:color="FFFFFF" w:themeColor="background1"/>
            </w:tcBorders>
            <w:vAlign w:val="center"/>
          </w:tcPr>
          <w:p w14:paraId="260B5D7D"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zmianie ogłoszenia (koncesje)</w:t>
            </w:r>
          </w:p>
        </w:tc>
        <w:tc>
          <w:tcPr>
            <w:tcW w:w="1134" w:type="dxa"/>
            <w:tcBorders>
              <w:left w:val="single" w:sz="4" w:space="0" w:color="FFFFFF" w:themeColor="background1"/>
            </w:tcBorders>
            <w:vAlign w:val="center"/>
          </w:tcPr>
          <w:p w14:paraId="1D0E3D22" w14:textId="77777777" w:rsidR="00966D2E" w:rsidRPr="003A2BC0" w:rsidRDefault="00966D2E" w:rsidP="00E252E7">
            <w:pPr>
              <w:spacing w:before="60" w:after="60"/>
              <w:jc w:val="right"/>
              <w:rPr>
                <w:rFonts w:cs="Arial"/>
                <w:sz w:val="18"/>
                <w:szCs w:val="18"/>
              </w:rPr>
            </w:pPr>
            <w:r w:rsidRPr="003A2BC0">
              <w:rPr>
                <w:sz w:val="18"/>
                <w:szCs w:val="18"/>
              </w:rPr>
              <w:t>5</w:t>
            </w:r>
          </w:p>
        </w:tc>
        <w:tc>
          <w:tcPr>
            <w:tcW w:w="1276" w:type="dxa"/>
            <w:tcBorders>
              <w:left w:val="single" w:sz="4" w:space="0" w:color="FFFFFF" w:themeColor="background1"/>
            </w:tcBorders>
            <w:vAlign w:val="center"/>
          </w:tcPr>
          <w:p w14:paraId="464C0815" w14:textId="77777777" w:rsidR="00966D2E" w:rsidRPr="003A2BC0" w:rsidRDefault="00966D2E" w:rsidP="00E252E7">
            <w:pPr>
              <w:spacing w:before="60" w:after="60"/>
              <w:jc w:val="right"/>
              <w:rPr>
                <w:rFonts w:cs="Arial"/>
                <w:sz w:val="18"/>
                <w:szCs w:val="18"/>
              </w:rPr>
            </w:pPr>
            <w:r>
              <w:rPr>
                <w:rFonts w:cs="Arial"/>
                <w:sz w:val="18"/>
                <w:szCs w:val="18"/>
              </w:rPr>
              <w:t>2</w:t>
            </w:r>
          </w:p>
        </w:tc>
      </w:tr>
      <w:tr w:rsidR="00966D2E" w:rsidRPr="00854F8C" w14:paraId="00C74C03" w14:textId="77777777" w:rsidTr="00E252E7">
        <w:tc>
          <w:tcPr>
            <w:tcW w:w="5250" w:type="dxa"/>
            <w:tcBorders>
              <w:right w:val="single" w:sz="4" w:space="0" w:color="FFFFFF" w:themeColor="background1"/>
            </w:tcBorders>
            <w:shd w:val="clear" w:color="auto" w:fill="00B0F0"/>
            <w:vAlign w:val="center"/>
          </w:tcPr>
          <w:p w14:paraId="1E14993B"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zamiarze zawarcia umowy koncesji</w:t>
            </w:r>
          </w:p>
        </w:tc>
        <w:tc>
          <w:tcPr>
            <w:tcW w:w="1134" w:type="dxa"/>
            <w:tcBorders>
              <w:left w:val="single" w:sz="4" w:space="0" w:color="FFFFFF" w:themeColor="background1"/>
            </w:tcBorders>
            <w:shd w:val="clear" w:color="auto" w:fill="00B0F0"/>
            <w:vAlign w:val="center"/>
          </w:tcPr>
          <w:p w14:paraId="17472801" w14:textId="77777777" w:rsidR="00966D2E" w:rsidRPr="003A2BC0" w:rsidRDefault="00966D2E" w:rsidP="00E252E7">
            <w:pPr>
              <w:spacing w:before="60" w:after="60"/>
              <w:jc w:val="right"/>
              <w:rPr>
                <w:rFonts w:cs="Arial"/>
                <w:sz w:val="18"/>
                <w:szCs w:val="18"/>
              </w:rPr>
            </w:pPr>
            <w:r w:rsidRPr="003A2BC0">
              <w:rPr>
                <w:sz w:val="18"/>
                <w:szCs w:val="18"/>
              </w:rPr>
              <w:t>0</w:t>
            </w:r>
          </w:p>
        </w:tc>
        <w:tc>
          <w:tcPr>
            <w:tcW w:w="1276" w:type="dxa"/>
            <w:tcBorders>
              <w:left w:val="single" w:sz="4" w:space="0" w:color="FFFFFF" w:themeColor="background1"/>
            </w:tcBorders>
            <w:shd w:val="clear" w:color="auto" w:fill="00B0F0"/>
            <w:vAlign w:val="center"/>
          </w:tcPr>
          <w:p w14:paraId="1FD6715A" w14:textId="77777777" w:rsidR="00966D2E" w:rsidRPr="003A2BC0" w:rsidRDefault="00966D2E" w:rsidP="00E252E7">
            <w:pPr>
              <w:spacing w:before="60" w:after="60"/>
              <w:jc w:val="right"/>
              <w:rPr>
                <w:rFonts w:cs="Arial"/>
                <w:sz w:val="18"/>
                <w:szCs w:val="18"/>
              </w:rPr>
            </w:pPr>
            <w:r>
              <w:rPr>
                <w:rFonts w:cs="Arial"/>
                <w:sz w:val="18"/>
                <w:szCs w:val="18"/>
              </w:rPr>
              <w:t>0</w:t>
            </w:r>
          </w:p>
        </w:tc>
      </w:tr>
      <w:tr w:rsidR="00966D2E" w:rsidRPr="00854F8C" w14:paraId="6A3E12A2" w14:textId="77777777" w:rsidTr="00E252E7">
        <w:tc>
          <w:tcPr>
            <w:tcW w:w="5250" w:type="dxa"/>
            <w:tcBorders>
              <w:right w:val="single" w:sz="4" w:space="0" w:color="FFFFFF" w:themeColor="background1"/>
            </w:tcBorders>
            <w:vAlign w:val="center"/>
          </w:tcPr>
          <w:p w14:paraId="78BBB90C"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zawarciu umowy koncesji</w:t>
            </w:r>
          </w:p>
        </w:tc>
        <w:tc>
          <w:tcPr>
            <w:tcW w:w="1134" w:type="dxa"/>
            <w:tcBorders>
              <w:left w:val="single" w:sz="4" w:space="0" w:color="FFFFFF" w:themeColor="background1"/>
            </w:tcBorders>
            <w:vAlign w:val="center"/>
          </w:tcPr>
          <w:p w14:paraId="54B6F6C6" w14:textId="77777777" w:rsidR="00966D2E" w:rsidRPr="003A2BC0" w:rsidRDefault="00966D2E" w:rsidP="00E252E7">
            <w:pPr>
              <w:spacing w:before="60" w:after="60"/>
              <w:jc w:val="right"/>
              <w:rPr>
                <w:rFonts w:cs="Arial"/>
                <w:sz w:val="18"/>
                <w:szCs w:val="18"/>
              </w:rPr>
            </w:pPr>
            <w:r w:rsidRPr="003A2BC0">
              <w:rPr>
                <w:sz w:val="18"/>
                <w:szCs w:val="18"/>
              </w:rPr>
              <w:t>13</w:t>
            </w:r>
          </w:p>
        </w:tc>
        <w:tc>
          <w:tcPr>
            <w:tcW w:w="1276" w:type="dxa"/>
            <w:tcBorders>
              <w:left w:val="single" w:sz="4" w:space="0" w:color="FFFFFF" w:themeColor="background1"/>
            </w:tcBorders>
            <w:vAlign w:val="center"/>
          </w:tcPr>
          <w:p w14:paraId="0A25E13A" w14:textId="77777777" w:rsidR="00966D2E" w:rsidRPr="003A2BC0" w:rsidRDefault="00966D2E" w:rsidP="00E252E7">
            <w:pPr>
              <w:spacing w:before="60" w:after="60"/>
              <w:jc w:val="right"/>
              <w:rPr>
                <w:rFonts w:cs="Arial"/>
                <w:sz w:val="18"/>
                <w:szCs w:val="18"/>
              </w:rPr>
            </w:pPr>
            <w:r>
              <w:rPr>
                <w:rFonts w:cs="Arial"/>
                <w:sz w:val="18"/>
                <w:szCs w:val="18"/>
              </w:rPr>
              <w:t>4</w:t>
            </w:r>
          </w:p>
        </w:tc>
      </w:tr>
      <w:tr w:rsidR="00966D2E" w:rsidRPr="00854F8C" w14:paraId="4D059B90" w14:textId="77777777" w:rsidTr="00E252E7">
        <w:tc>
          <w:tcPr>
            <w:tcW w:w="5250" w:type="dxa"/>
            <w:tcBorders>
              <w:right w:val="single" w:sz="4" w:space="0" w:color="FFFFFF" w:themeColor="background1"/>
            </w:tcBorders>
            <w:shd w:val="clear" w:color="auto" w:fill="00B0F0"/>
            <w:vAlign w:val="center"/>
          </w:tcPr>
          <w:p w14:paraId="6A5DC344"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o zmianie umowy koncesji</w:t>
            </w:r>
          </w:p>
        </w:tc>
        <w:tc>
          <w:tcPr>
            <w:tcW w:w="1134" w:type="dxa"/>
            <w:tcBorders>
              <w:left w:val="single" w:sz="4" w:space="0" w:color="FFFFFF" w:themeColor="background1"/>
            </w:tcBorders>
            <w:shd w:val="clear" w:color="auto" w:fill="00B0F0"/>
            <w:vAlign w:val="center"/>
          </w:tcPr>
          <w:p w14:paraId="2A18EF8E" w14:textId="77777777" w:rsidR="00966D2E" w:rsidRPr="003A2BC0" w:rsidRDefault="00966D2E" w:rsidP="00E252E7">
            <w:pPr>
              <w:spacing w:before="60" w:after="60"/>
              <w:jc w:val="right"/>
              <w:rPr>
                <w:rFonts w:cs="Arial"/>
                <w:sz w:val="18"/>
                <w:szCs w:val="18"/>
              </w:rPr>
            </w:pPr>
            <w:r w:rsidRPr="003A2BC0">
              <w:rPr>
                <w:sz w:val="18"/>
                <w:szCs w:val="18"/>
              </w:rPr>
              <w:t>0</w:t>
            </w:r>
          </w:p>
        </w:tc>
        <w:tc>
          <w:tcPr>
            <w:tcW w:w="1276" w:type="dxa"/>
            <w:tcBorders>
              <w:left w:val="single" w:sz="4" w:space="0" w:color="FFFFFF" w:themeColor="background1"/>
            </w:tcBorders>
            <w:shd w:val="clear" w:color="auto" w:fill="00B0F0"/>
            <w:vAlign w:val="center"/>
          </w:tcPr>
          <w:p w14:paraId="19AAEAFD" w14:textId="77777777" w:rsidR="00966D2E" w:rsidRPr="003A2BC0" w:rsidRDefault="00966D2E" w:rsidP="00E252E7">
            <w:pPr>
              <w:spacing w:before="60" w:after="60"/>
              <w:jc w:val="right"/>
              <w:rPr>
                <w:rFonts w:cs="Arial"/>
                <w:sz w:val="18"/>
                <w:szCs w:val="18"/>
              </w:rPr>
            </w:pPr>
            <w:r>
              <w:rPr>
                <w:rFonts w:cs="Arial"/>
                <w:sz w:val="18"/>
                <w:szCs w:val="18"/>
              </w:rPr>
              <w:t>1</w:t>
            </w:r>
          </w:p>
        </w:tc>
      </w:tr>
      <w:tr w:rsidR="00966D2E" w:rsidRPr="00854F8C" w14:paraId="58E71B72" w14:textId="77777777" w:rsidTr="00E252E7">
        <w:tc>
          <w:tcPr>
            <w:tcW w:w="5250" w:type="dxa"/>
            <w:tcBorders>
              <w:right w:val="single" w:sz="4" w:space="0" w:color="FFFFFF" w:themeColor="background1"/>
            </w:tcBorders>
            <w:vAlign w:val="center"/>
          </w:tcPr>
          <w:p w14:paraId="6B2DD13B" w14:textId="77777777" w:rsidR="00966D2E" w:rsidRPr="00D30407" w:rsidRDefault="00966D2E" w:rsidP="00E252E7">
            <w:pPr>
              <w:spacing w:before="60" w:after="60"/>
              <w:jc w:val="left"/>
              <w:rPr>
                <w:rFonts w:cs="Arial"/>
                <w:b/>
                <w:sz w:val="18"/>
                <w:szCs w:val="18"/>
              </w:rPr>
            </w:pPr>
            <w:r w:rsidRPr="00D30407">
              <w:rPr>
                <w:rFonts w:cs="Arial"/>
                <w:b/>
                <w:sz w:val="18"/>
                <w:szCs w:val="18"/>
              </w:rPr>
              <w:t>Ogłoszenie dotyczące zamówienia, dla którego nie ma obowiązku stosowania ustawy Pzp</w:t>
            </w:r>
          </w:p>
        </w:tc>
        <w:tc>
          <w:tcPr>
            <w:tcW w:w="1134" w:type="dxa"/>
            <w:tcBorders>
              <w:left w:val="single" w:sz="4" w:space="0" w:color="FFFFFF" w:themeColor="background1"/>
            </w:tcBorders>
            <w:vAlign w:val="center"/>
          </w:tcPr>
          <w:p w14:paraId="57C0B02E" w14:textId="77777777" w:rsidR="00966D2E" w:rsidRPr="003A2BC0" w:rsidRDefault="00966D2E" w:rsidP="00E252E7">
            <w:pPr>
              <w:spacing w:before="60" w:after="60"/>
              <w:jc w:val="right"/>
              <w:rPr>
                <w:rFonts w:cs="Arial"/>
                <w:sz w:val="18"/>
                <w:szCs w:val="18"/>
              </w:rPr>
            </w:pPr>
            <w:r w:rsidRPr="003A2BC0">
              <w:rPr>
                <w:sz w:val="18"/>
                <w:szCs w:val="18"/>
              </w:rPr>
              <w:t>5 800</w:t>
            </w:r>
          </w:p>
        </w:tc>
        <w:tc>
          <w:tcPr>
            <w:tcW w:w="1276" w:type="dxa"/>
            <w:tcBorders>
              <w:left w:val="single" w:sz="4" w:space="0" w:color="FFFFFF" w:themeColor="background1"/>
            </w:tcBorders>
            <w:vAlign w:val="center"/>
          </w:tcPr>
          <w:p w14:paraId="1633B658" w14:textId="77777777" w:rsidR="00966D2E" w:rsidRPr="003A2BC0" w:rsidRDefault="00966D2E" w:rsidP="00E252E7">
            <w:pPr>
              <w:spacing w:before="60" w:after="60"/>
              <w:jc w:val="right"/>
              <w:rPr>
                <w:rFonts w:cs="Arial"/>
                <w:sz w:val="18"/>
                <w:szCs w:val="18"/>
              </w:rPr>
            </w:pPr>
            <w:r>
              <w:rPr>
                <w:rFonts w:cs="Arial"/>
                <w:sz w:val="18"/>
                <w:szCs w:val="18"/>
              </w:rPr>
              <w:t>3 671</w:t>
            </w:r>
          </w:p>
        </w:tc>
      </w:tr>
      <w:tr w:rsidR="00966D2E" w:rsidRPr="00854F8C" w14:paraId="39C547E3" w14:textId="77777777" w:rsidTr="00E252E7">
        <w:tc>
          <w:tcPr>
            <w:tcW w:w="5250" w:type="dxa"/>
            <w:tcBorders>
              <w:right w:val="single" w:sz="4" w:space="0" w:color="FFFFFF" w:themeColor="background1"/>
            </w:tcBorders>
            <w:shd w:val="clear" w:color="auto" w:fill="00B0F0"/>
            <w:vAlign w:val="center"/>
          </w:tcPr>
          <w:p w14:paraId="3514B736" w14:textId="77777777" w:rsidR="00966D2E" w:rsidRPr="00D30407" w:rsidRDefault="00966D2E" w:rsidP="00E252E7">
            <w:pPr>
              <w:spacing w:before="60" w:after="60"/>
              <w:jc w:val="left"/>
              <w:rPr>
                <w:rFonts w:cs="Arial"/>
                <w:b/>
                <w:sz w:val="18"/>
                <w:szCs w:val="18"/>
              </w:rPr>
            </w:pPr>
            <w:r w:rsidRPr="00D30407">
              <w:rPr>
                <w:rFonts w:cs="Arial"/>
                <w:b/>
                <w:sz w:val="18"/>
                <w:szCs w:val="18"/>
              </w:rPr>
              <w:t>Plan postępowań</w:t>
            </w:r>
          </w:p>
        </w:tc>
        <w:tc>
          <w:tcPr>
            <w:tcW w:w="1134" w:type="dxa"/>
            <w:tcBorders>
              <w:left w:val="single" w:sz="4" w:space="0" w:color="FFFFFF" w:themeColor="background1"/>
            </w:tcBorders>
            <w:shd w:val="clear" w:color="auto" w:fill="00B0F0"/>
            <w:vAlign w:val="center"/>
          </w:tcPr>
          <w:p w14:paraId="76C56170" w14:textId="77777777" w:rsidR="00966D2E" w:rsidRPr="003A2BC0" w:rsidRDefault="00966D2E" w:rsidP="00E252E7">
            <w:pPr>
              <w:spacing w:before="60" w:after="60"/>
              <w:jc w:val="right"/>
              <w:rPr>
                <w:rFonts w:cs="Arial"/>
                <w:b/>
                <w:sz w:val="18"/>
                <w:szCs w:val="18"/>
              </w:rPr>
            </w:pPr>
            <w:r w:rsidRPr="003A2BC0">
              <w:rPr>
                <w:sz w:val="18"/>
                <w:szCs w:val="18"/>
              </w:rPr>
              <w:t>16 984</w:t>
            </w:r>
          </w:p>
        </w:tc>
        <w:tc>
          <w:tcPr>
            <w:tcW w:w="1276" w:type="dxa"/>
            <w:tcBorders>
              <w:left w:val="single" w:sz="4" w:space="0" w:color="FFFFFF" w:themeColor="background1"/>
            </w:tcBorders>
            <w:shd w:val="clear" w:color="auto" w:fill="00B0F0"/>
            <w:vAlign w:val="center"/>
          </w:tcPr>
          <w:p w14:paraId="0D380931" w14:textId="77777777" w:rsidR="00966D2E" w:rsidRPr="003A2BC0" w:rsidRDefault="00966D2E" w:rsidP="00E252E7">
            <w:pPr>
              <w:spacing w:before="60" w:after="60"/>
              <w:jc w:val="right"/>
              <w:rPr>
                <w:rFonts w:cs="Arial"/>
                <w:b/>
                <w:sz w:val="18"/>
                <w:szCs w:val="18"/>
              </w:rPr>
            </w:pPr>
            <w:r>
              <w:rPr>
                <w:rFonts w:cs="Arial"/>
                <w:b/>
                <w:sz w:val="18"/>
                <w:szCs w:val="18"/>
              </w:rPr>
              <w:t>13 146</w:t>
            </w:r>
          </w:p>
        </w:tc>
      </w:tr>
    </w:tbl>
    <w:p w14:paraId="4B675D9F" w14:textId="637E0BF1" w:rsidR="009B6623" w:rsidRDefault="00966D2E" w:rsidP="00966D2E">
      <w:pPr>
        <w:shd w:val="clear" w:color="auto" w:fill="FFFFFF"/>
        <w:spacing w:before="240" w:line="360" w:lineRule="auto"/>
        <w:jc w:val="left"/>
      </w:pPr>
      <w:bookmarkStart w:id="307" w:name="_Toc231987351"/>
      <w:r w:rsidRPr="00061481">
        <w:t>W BZP oprócz ogłoszeń krajowych zamieszczane są również (po ich uprzednim opublikowaniu w Dz.U. UE) ogłoszenia unijne. Dzięki tej funkcjonalności uczestnicy rynku zamówień publicznych mają zapewniony dostęp do wszystkich ogłoszeń w sprawie zamówienia publicznego publikowanych przez polskich zamawiających, a dzięki zaimplementowanej na Platformie wyszukiwarce mogą je wyszukiwać na podstawie określonych parametrów.</w:t>
      </w:r>
      <w:bookmarkEnd w:id="307"/>
    </w:p>
    <w:p w14:paraId="300FF660" w14:textId="653BB7C2" w:rsidR="00774FB5" w:rsidRPr="0072020C" w:rsidRDefault="00CC2929" w:rsidP="00270CF3">
      <w:pPr>
        <w:pStyle w:val="Nagwek3"/>
      </w:pPr>
      <w:bookmarkStart w:id="308" w:name="_Toc64451883"/>
      <w:bookmarkStart w:id="309" w:name="_Toc233203307"/>
      <w:r w:rsidRPr="00E252E7">
        <w:t>I</w:t>
      </w:r>
      <w:r w:rsidR="00DE6102" w:rsidRPr="00E252E7">
        <w:t>II.1.7</w:t>
      </w:r>
      <w:r w:rsidR="00774FB5" w:rsidRPr="00E252E7">
        <w:t>. Działania związane z informatyzacją systemu zamówień publicznych</w:t>
      </w:r>
      <w:bookmarkEnd w:id="308"/>
      <w:bookmarkEnd w:id="309"/>
    </w:p>
    <w:p w14:paraId="6F6B7F70" w14:textId="77777777" w:rsidR="00774FB5" w:rsidRPr="00420458" w:rsidRDefault="00774FB5" w:rsidP="00852522">
      <w:pPr>
        <w:pStyle w:val="Nagwek4"/>
      </w:pPr>
      <w:r>
        <w:t xml:space="preserve">1. </w:t>
      </w:r>
      <w:r w:rsidRPr="00420458">
        <w:t>Platforma e-Zamówienia</w:t>
      </w:r>
      <w:r>
        <w:t xml:space="preserve"> ezamowienia.gov.pl</w:t>
      </w:r>
    </w:p>
    <w:p w14:paraId="467E9F3D" w14:textId="13AEB139" w:rsidR="00E252E7" w:rsidRPr="00E252E7" w:rsidRDefault="00E252E7" w:rsidP="00067C45">
      <w:pPr>
        <w:shd w:val="clear" w:color="auto" w:fill="FFFFFF"/>
        <w:spacing w:before="120" w:line="360" w:lineRule="auto"/>
        <w:jc w:val="left"/>
        <w:rPr>
          <w:rFonts w:cs="Arial"/>
          <w:bCs/>
          <w:szCs w:val="22"/>
        </w:rPr>
      </w:pPr>
      <w:r w:rsidRPr="00E252E7">
        <w:rPr>
          <w:rFonts w:cs="Arial"/>
          <w:bCs/>
          <w:szCs w:val="22"/>
        </w:rPr>
        <w:t xml:space="preserve">Platforma e-Zamówienia zapewnia kluczową dla całego rynku </w:t>
      </w:r>
      <w:proofErr w:type="spellStart"/>
      <w:r w:rsidRPr="00E252E7">
        <w:rPr>
          <w:rFonts w:cs="Arial"/>
          <w:bCs/>
          <w:szCs w:val="22"/>
        </w:rPr>
        <w:t>zamówien</w:t>
      </w:r>
      <w:proofErr w:type="spellEnd"/>
      <w:r w:rsidRPr="00E252E7">
        <w:rPr>
          <w:rFonts w:cs="Arial"/>
          <w:bCs/>
          <w:szCs w:val="22"/>
        </w:rPr>
        <w:t xml:space="preserve">́ publicznych </w:t>
      </w:r>
      <w:proofErr w:type="spellStart"/>
      <w:r w:rsidRPr="00E252E7">
        <w:rPr>
          <w:rFonts w:cs="Arial"/>
          <w:bCs/>
          <w:szCs w:val="22"/>
        </w:rPr>
        <w:t>funkcjonalnośc</w:t>
      </w:r>
      <w:proofErr w:type="spellEnd"/>
      <w:r w:rsidRPr="00E252E7">
        <w:rPr>
          <w:rFonts w:cs="Arial"/>
          <w:bCs/>
          <w:szCs w:val="22"/>
        </w:rPr>
        <w:t xml:space="preserve">́ - </w:t>
      </w:r>
      <w:r w:rsidR="000463D5">
        <w:rPr>
          <w:rFonts w:cs="Arial"/>
          <w:bCs/>
          <w:szCs w:val="22"/>
        </w:rPr>
        <w:t>BZP</w:t>
      </w:r>
      <w:r w:rsidRPr="00E252E7">
        <w:rPr>
          <w:rFonts w:cs="Arial"/>
          <w:bCs/>
          <w:szCs w:val="22"/>
        </w:rPr>
        <w:t xml:space="preserve">, </w:t>
      </w:r>
      <w:proofErr w:type="spellStart"/>
      <w:r w:rsidRPr="00E252E7">
        <w:rPr>
          <w:rFonts w:cs="Arial"/>
          <w:bCs/>
          <w:szCs w:val="22"/>
        </w:rPr>
        <w:t>który</w:t>
      </w:r>
      <w:proofErr w:type="spellEnd"/>
      <w:r w:rsidRPr="00E252E7">
        <w:rPr>
          <w:rFonts w:cs="Arial"/>
          <w:bCs/>
          <w:szCs w:val="22"/>
        </w:rPr>
        <w:t xml:space="preserve"> jest </w:t>
      </w:r>
      <w:proofErr w:type="spellStart"/>
      <w:r w:rsidRPr="00E252E7">
        <w:rPr>
          <w:rFonts w:cs="Arial"/>
          <w:bCs/>
          <w:szCs w:val="22"/>
        </w:rPr>
        <w:t>narzędziem</w:t>
      </w:r>
      <w:proofErr w:type="spellEnd"/>
      <w:r w:rsidRPr="00E252E7">
        <w:rPr>
          <w:rFonts w:cs="Arial"/>
          <w:bCs/>
          <w:szCs w:val="22"/>
        </w:rPr>
        <w:t xml:space="preserve"> </w:t>
      </w:r>
      <w:proofErr w:type="spellStart"/>
      <w:r w:rsidRPr="00E252E7">
        <w:rPr>
          <w:rFonts w:cs="Arial"/>
          <w:bCs/>
          <w:szCs w:val="22"/>
        </w:rPr>
        <w:t>służącym</w:t>
      </w:r>
      <w:proofErr w:type="spellEnd"/>
      <w:r w:rsidRPr="00E252E7">
        <w:rPr>
          <w:rFonts w:cs="Arial"/>
          <w:bCs/>
          <w:szCs w:val="22"/>
        </w:rPr>
        <w:t xml:space="preserve"> do realizacji przez </w:t>
      </w:r>
      <w:proofErr w:type="spellStart"/>
      <w:r w:rsidRPr="00E252E7">
        <w:rPr>
          <w:rFonts w:cs="Arial"/>
          <w:bCs/>
          <w:szCs w:val="22"/>
        </w:rPr>
        <w:t>zamawiających</w:t>
      </w:r>
      <w:proofErr w:type="spellEnd"/>
      <w:r w:rsidRPr="00E252E7">
        <w:rPr>
          <w:rFonts w:cs="Arial"/>
          <w:bCs/>
          <w:szCs w:val="22"/>
        </w:rPr>
        <w:t xml:space="preserve"> </w:t>
      </w:r>
      <w:proofErr w:type="spellStart"/>
      <w:r w:rsidRPr="00E252E7">
        <w:rPr>
          <w:rFonts w:cs="Arial"/>
          <w:bCs/>
          <w:szCs w:val="22"/>
        </w:rPr>
        <w:t>obowiązków</w:t>
      </w:r>
      <w:proofErr w:type="spellEnd"/>
      <w:r w:rsidRPr="00E252E7">
        <w:rPr>
          <w:rFonts w:cs="Arial"/>
          <w:bCs/>
          <w:szCs w:val="22"/>
        </w:rPr>
        <w:t xml:space="preserve"> </w:t>
      </w:r>
      <w:proofErr w:type="spellStart"/>
      <w:r w:rsidRPr="00E252E7">
        <w:rPr>
          <w:rFonts w:cs="Arial"/>
          <w:bCs/>
          <w:szCs w:val="22"/>
        </w:rPr>
        <w:t>wynikających</w:t>
      </w:r>
      <w:proofErr w:type="spellEnd"/>
      <w:r w:rsidRPr="00E252E7">
        <w:rPr>
          <w:rFonts w:cs="Arial"/>
          <w:bCs/>
          <w:szCs w:val="22"/>
        </w:rPr>
        <w:t xml:space="preserve"> z ustawy Pzp oraz w zakresie publikacji </w:t>
      </w:r>
      <w:proofErr w:type="spellStart"/>
      <w:r w:rsidRPr="00E252E7">
        <w:rPr>
          <w:rFonts w:cs="Arial"/>
          <w:bCs/>
          <w:szCs w:val="22"/>
        </w:rPr>
        <w:t>ogłoszen</w:t>
      </w:r>
      <w:proofErr w:type="spellEnd"/>
      <w:r w:rsidRPr="00E252E7">
        <w:rPr>
          <w:rFonts w:cs="Arial"/>
          <w:bCs/>
          <w:szCs w:val="22"/>
        </w:rPr>
        <w:t xml:space="preserve">́ z ustawy o umowie koncesji na roboty budowlane lub usługi. Dodatkowo, w celu wypełnienia </w:t>
      </w:r>
      <w:proofErr w:type="spellStart"/>
      <w:r w:rsidRPr="00E252E7">
        <w:rPr>
          <w:rFonts w:cs="Arial"/>
          <w:bCs/>
          <w:szCs w:val="22"/>
        </w:rPr>
        <w:t>zobowiązan</w:t>
      </w:r>
      <w:proofErr w:type="spellEnd"/>
      <w:r w:rsidRPr="00E252E7">
        <w:rPr>
          <w:rFonts w:cs="Arial"/>
          <w:bCs/>
          <w:szCs w:val="22"/>
        </w:rPr>
        <w:t xml:space="preserve">́ ustawowych Prezesa </w:t>
      </w:r>
      <w:r w:rsidR="005F4A36" w:rsidRPr="00E252E7">
        <w:rPr>
          <w:rFonts w:cs="Arial"/>
          <w:bCs/>
          <w:szCs w:val="22"/>
        </w:rPr>
        <w:t>U</w:t>
      </w:r>
      <w:r w:rsidR="005F4A36">
        <w:rPr>
          <w:rFonts w:cs="Arial"/>
          <w:bCs/>
          <w:szCs w:val="22"/>
        </w:rPr>
        <w:t>rzędu</w:t>
      </w:r>
      <w:r w:rsidR="005F4A36" w:rsidRPr="00E252E7">
        <w:rPr>
          <w:rFonts w:cs="Arial"/>
          <w:bCs/>
          <w:szCs w:val="22"/>
        </w:rPr>
        <w:t xml:space="preserve"> </w:t>
      </w:r>
      <w:r w:rsidRPr="00E252E7">
        <w:rPr>
          <w:rFonts w:cs="Arial"/>
          <w:bCs/>
          <w:szCs w:val="22"/>
        </w:rPr>
        <w:t xml:space="preserve">na Platformie </w:t>
      </w:r>
      <w:proofErr w:type="spellStart"/>
      <w:r w:rsidRPr="00E252E7">
        <w:rPr>
          <w:rFonts w:cs="Arial"/>
          <w:bCs/>
          <w:szCs w:val="22"/>
        </w:rPr>
        <w:t>e-Zamówienia</w:t>
      </w:r>
      <w:proofErr w:type="spellEnd"/>
      <w:r w:rsidRPr="00E252E7">
        <w:rPr>
          <w:rFonts w:cs="Arial"/>
          <w:bCs/>
          <w:szCs w:val="22"/>
        </w:rPr>
        <w:t xml:space="preserve"> </w:t>
      </w:r>
      <w:proofErr w:type="spellStart"/>
      <w:r w:rsidRPr="00E252E7">
        <w:rPr>
          <w:rFonts w:cs="Arial"/>
          <w:bCs/>
          <w:szCs w:val="22"/>
        </w:rPr>
        <w:t>udostępniony</w:t>
      </w:r>
      <w:proofErr w:type="spellEnd"/>
      <w:r w:rsidRPr="00E252E7">
        <w:rPr>
          <w:rFonts w:cs="Arial"/>
          <w:bCs/>
          <w:szCs w:val="22"/>
        </w:rPr>
        <w:t xml:space="preserve"> został formularz, za </w:t>
      </w:r>
      <w:proofErr w:type="spellStart"/>
      <w:r w:rsidRPr="00E252E7">
        <w:rPr>
          <w:rFonts w:cs="Arial"/>
          <w:bCs/>
          <w:szCs w:val="22"/>
        </w:rPr>
        <w:t>pomoca</w:t>
      </w:r>
      <w:proofErr w:type="spellEnd"/>
      <w:r w:rsidRPr="00E252E7">
        <w:rPr>
          <w:rFonts w:cs="Arial"/>
          <w:bCs/>
          <w:szCs w:val="22"/>
        </w:rPr>
        <w:t xml:space="preserve">̨ </w:t>
      </w:r>
      <w:proofErr w:type="spellStart"/>
      <w:r w:rsidRPr="00E252E7">
        <w:rPr>
          <w:rFonts w:cs="Arial"/>
          <w:bCs/>
          <w:szCs w:val="22"/>
        </w:rPr>
        <w:t>którego</w:t>
      </w:r>
      <w:proofErr w:type="spellEnd"/>
      <w:r w:rsidRPr="00E252E7">
        <w:rPr>
          <w:rFonts w:cs="Arial"/>
          <w:bCs/>
          <w:szCs w:val="22"/>
        </w:rPr>
        <w:t xml:space="preserve"> składane </w:t>
      </w:r>
      <w:proofErr w:type="spellStart"/>
      <w:r w:rsidRPr="00E252E7">
        <w:rPr>
          <w:rFonts w:cs="Arial"/>
          <w:bCs/>
          <w:szCs w:val="22"/>
        </w:rPr>
        <w:t>sa</w:t>
      </w:r>
      <w:proofErr w:type="spellEnd"/>
      <w:r w:rsidRPr="00E252E7">
        <w:rPr>
          <w:rFonts w:cs="Arial"/>
          <w:bCs/>
          <w:szCs w:val="22"/>
        </w:rPr>
        <w:t xml:space="preserve">̨ do Prezesa UZP Informacje o </w:t>
      </w:r>
      <w:proofErr w:type="spellStart"/>
      <w:r w:rsidRPr="00E252E7">
        <w:rPr>
          <w:rFonts w:cs="Arial"/>
          <w:bCs/>
          <w:szCs w:val="22"/>
        </w:rPr>
        <w:t>złożonych</w:t>
      </w:r>
      <w:proofErr w:type="spellEnd"/>
      <w:r w:rsidRPr="00E252E7">
        <w:rPr>
          <w:rFonts w:cs="Arial"/>
          <w:bCs/>
          <w:szCs w:val="22"/>
        </w:rPr>
        <w:t xml:space="preserve"> wnioskach i ofertach oraz formularz do składania rocznych </w:t>
      </w:r>
      <w:proofErr w:type="spellStart"/>
      <w:r w:rsidRPr="00E252E7">
        <w:rPr>
          <w:rFonts w:cs="Arial"/>
          <w:bCs/>
          <w:szCs w:val="22"/>
        </w:rPr>
        <w:t>sprawozdan</w:t>
      </w:r>
      <w:proofErr w:type="spellEnd"/>
      <w:r w:rsidRPr="00E252E7">
        <w:rPr>
          <w:rFonts w:cs="Arial"/>
          <w:bCs/>
          <w:szCs w:val="22"/>
        </w:rPr>
        <w:t>́ z</w:t>
      </w:r>
      <w:r w:rsidR="004F478A">
        <w:rPr>
          <w:rFonts w:cs="Arial"/>
          <w:bCs/>
          <w:szCs w:val="22"/>
        </w:rPr>
        <w:t> </w:t>
      </w:r>
      <w:r w:rsidRPr="00E252E7">
        <w:rPr>
          <w:rFonts w:cs="Arial"/>
          <w:bCs/>
          <w:szCs w:val="22"/>
        </w:rPr>
        <w:t xml:space="preserve">udzielonych </w:t>
      </w:r>
      <w:proofErr w:type="spellStart"/>
      <w:r w:rsidRPr="00E252E7">
        <w:rPr>
          <w:rFonts w:cs="Arial"/>
          <w:bCs/>
          <w:szCs w:val="22"/>
        </w:rPr>
        <w:t>zamówien</w:t>
      </w:r>
      <w:proofErr w:type="spellEnd"/>
      <w:r w:rsidRPr="00E252E7">
        <w:rPr>
          <w:rFonts w:cs="Arial"/>
          <w:bCs/>
          <w:szCs w:val="22"/>
        </w:rPr>
        <w:t>́. W ramach dostępnych funkcjonalności, Platforma umożliwia przygotowanie i przesłanie do publikacji w Dzienniku Urzędowym UE ogłoszeń unijnych.</w:t>
      </w:r>
    </w:p>
    <w:p w14:paraId="2E68EDB2" w14:textId="6A9701A8" w:rsidR="00E252E7" w:rsidRPr="00E252E7" w:rsidRDefault="00E252E7" w:rsidP="00067C45">
      <w:pPr>
        <w:shd w:val="clear" w:color="auto" w:fill="FFFFFF"/>
        <w:spacing w:before="120" w:line="360" w:lineRule="auto"/>
        <w:jc w:val="left"/>
        <w:rPr>
          <w:rFonts w:cs="Arial"/>
          <w:bCs/>
          <w:szCs w:val="22"/>
        </w:rPr>
      </w:pPr>
      <w:r w:rsidRPr="00E252E7">
        <w:rPr>
          <w:rFonts w:cs="Arial"/>
          <w:bCs/>
          <w:szCs w:val="22"/>
        </w:rPr>
        <w:t xml:space="preserve">Dla uczestników rynku zamówień publicznych, Platforma </w:t>
      </w:r>
      <w:proofErr w:type="spellStart"/>
      <w:r w:rsidRPr="00E252E7">
        <w:rPr>
          <w:rFonts w:cs="Arial"/>
          <w:bCs/>
          <w:szCs w:val="22"/>
        </w:rPr>
        <w:t>e-Zamówienia</w:t>
      </w:r>
      <w:proofErr w:type="spellEnd"/>
      <w:r w:rsidRPr="00E252E7">
        <w:rPr>
          <w:rFonts w:cs="Arial"/>
          <w:bCs/>
          <w:szCs w:val="22"/>
        </w:rPr>
        <w:t xml:space="preserve"> jest również bezpłatnym narzędziem, </w:t>
      </w:r>
      <w:proofErr w:type="spellStart"/>
      <w:r w:rsidRPr="00E252E7">
        <w:rPr>
          <w:rFonts w:cs="Arial"/>
          <w:bCs/>
          <w:szCs w:val="22"/>
        </w:rPr>
        <w:t>które</w:t>
      </w:r>
      <w:proofErr w:type="spellEnd"/>
      <w:r w:rsidRPr="00E252E7">
        <w:rPr>
          <w:rFonts w:cs="Arial"/>
          <w:bCs/>
          <w:szCs w:val="22"/>
        </w:rPr>
        <w:t xml:space="preserve"> </w:t>
      </w:r>
      <w:proofErr w:type="spellStart"/>
      <w:r w:rsidRPr="00E252E7">
        <w:rPr>
          <w:rFonts w:cs="Arial"/>
          <w:bCs/>
          <w:szCs w:val="22"/>
        </w:rPr>
        <w:t>umożliwia</w:t>
      </w:r>
      <w:proofErr w:type="spellEnd"/>
      <w:r w:rsidRPr="00E252E7">
        <w:rPr>
          <w:rFonts w:cs="Arial"/>
          <w:bCs/>
          <w:szCs w:val="22"/>
        </w:rPr>
        <w:t xml:space="preserve"> uczestnikom </w:t>
      </w:r>
      <w:proofErr w:type="spellStart"/>
      <w:r w:rsidRPr="00E252E7">
        <w:rPr>
          <w:rFonts w:cs="Arial"/>
          <w:bCs/>
          <w:szCs w:val="22"/>
        </w:rPr>
        <w:t>postępowania</w:t>
      </w:r>
      <w:proofErr w:type="spellEnd"/>
      <w:r w:rsidRPr="00E252E7">
        <w:rPr>
          <w:rFonts w:cs="Arial"/>
          <w:bCs/>
          <w:szCs w:val="22"/>
        </w:rPr>
        <w:t xml:space="preserve"> o udzielenie </w:t>
      </w:r>
      <w:proofErr w:type="spellStart"/>
      <w:r w:rsidRPr="00E252E7">
        <w:rPr>
          <w:rFonts w:cs="Arial"/>
          <w:bCs/>
          <w:szCs w:val="22"/>
        </w:rPr>
        <w:t>zamówienia</w:t>
      </w:r>
      <w:proofErr w:type="spellEnd"/>
      <w:r w:rsidRPr="00E252E7">
        <w:rPr>
          <w:rFonts w:cs="Arial"/>
          <w:bCs/>
          <w:szCs w:val="22"/>
        </w:rPr>
        <w:t xml:space="preserve"> publicznego zastosowanie, wymaganej przepisami ustawy Pzp, komunikacji elektronicznej i </w:t>
      </w:r>
      <w:proofErr w:type="spellStart"/>
      <w:r w:rsidRPr="00E252E7">
        <w:rPr>
          <w:rFonts w:cs="Arial"/>
          <w:bCs/>
          <w:szCs w:val="22"/>
        </w:rPr>
        <w:t>wymiane</w:t>
      </w:r>
      <w:proofErr w:type="spellEnd"/>
      <w:r w:rsidRPr="00E252E7">
        <w:rPr>
          <w:rFonts w:cs="Arial"/>
          <w:bCs/>
          <w:szCs w:val="22"/>
        </w:rPr>
        <w:t xml:space="preserve">̨ </w:t>
      </w:r>
      <w:proofErr w:type="spellStart"/>
      <w:r w:rsidRPr="00E252E7">
        <w:rPr>
          <w:rFonts w:cs="Arial"/>
          <w:bCs/>
          <w:szCs w:val="22"/>
        </w:rPr>
        <w:t>dokumentów</w:t>
      </w:r>
      <w:proofErr w:type="spellEnd"/>
      <w:r w:rsidRPr="00E252E7">
        <w:rPr>
          <w:rFonts w:cs="Arial"/>
          <w:bCs/>
          <w:szCs w:val="22"/>
        </w:rPr>
        <w:t xml:space="preserve"> elektronicznych na </w:t>
      </w:r>
      <w:proofErr w:type="spellStart"/>
      <w:r w:rsidRPr="00E252E7">
        <w:rPr>
          <w:rFonts w:cs="Arial"/>
          <w:bCs/>
          <w:szCs w:val="22"/>
        </w:rPr>
        <w:t>różnych</w:t>
      </w:r>
      <w:proofErr w:type="spellEnd"/>
      <w:r w:rsidRPr="00E252E7">
        <w:rPr>
          <w:rFonts w:cs="Arial"/>
          <w:bCs/>
          <w:szCs w:val="22"/>
        </w:rPr>
        <w:t xml:space="preserve"> etapach </w:t>
      </w:r>
      <w:proofErr w:type="spellStart"/>
      <w:r w:rsidRPr="00E252E7">
        <w:rPr>
          <w:rFonts w:cs="Arial"/>
          <w:bCs/>
          <w:szCs w:val="22"/>
        </w:rPr>
        <w:t>postępowania</w:t>
      </w:r>
      <w:proofErr w:type="spellEnd"/>
      <w:r w:rsidRPr="00E252E7">
        <w:rPr>
          <w:rFonts w:cs="Arial"/>
          <w:bCs/>
          <w:szCs w:val="22"/>
        </w:rPr>
        <w:t xml:space="preserve"> o</w:t>
      </w:r>
      <w:r w:rsidR="004F478A">
        <w:rPr>
          <w:rFonts w:cs="Arial"/>
          <w:bCs/>
          <w:szCs w:val="22"/>
        </w:rPr>
        <w:t> </w:t>
      </w:r>
      <w:r w:rsidRPr="00E252E7">
        <w:rPr>
          <w:rFonts w:cs="Arial"/>
          <w:bCs/>
          <w:szCs w:val="22"/>
        </w:rPr>
        <w:t xml:space="preserve">udzielenie </w:t>
      </w:r>
      <w:proofErr w:type="spellStart"/>
      <w:r w:rsidRPr="00E252E7">
        <w:rPr>
          <w:rFonts w:cs="Arial"/>
          <w:bCs/>
          <w:szCs w:val="22"/>
        </w:rPr>
        <w:t>zamówienia</w:t>
      </w:r>
      <w:proofErr w:type="spellEnd"/>
      <w:r w:rsidRPr="00E252E7">
        <w:rPr>
          <w:rFonts w:cs="Arial"/>
          <w:bCs/>
          <w:szCs w:val="22"/>
        </w:rPr>
        <w:t xml:space="preserve"> w tym w </w:t>
      </w:r>
      <w:proofErr w:type="spellStart"/>
      <w:r w:rsidRPr="00E252E7">
        <w:rPr>
          <w:rFonts w:cs="Arial"/>
          <w:bCs/>
          <w:szCs w:val="22"/>
        </w:rPr>
        <w:t>szczególności</w:t>
      </w:r>
      <w:proofErr w:type="spellEnd"/>
      <w:r w:rsidRPr="00E252E7">
        <w:rPr>
          <w:rFonts w:cs="Arial"/>
          <w:bCs/>
          <w:szCs w:val="22"/>
        </w:rPr>
        <w:t xml:space="preserve"> składanie ofert, </w:t>
      </w:r>
      <w:proofErr w:type="spellStart"/>
      <w:r w:rsidRPr="00E252E7">
        <w:rPr>
          <w:rFonts w:cs="Arial"/>
          <w:bCs/>
          <w:szCs w:val="22"/>
        </w:rPr>
        <w:t>wniosków</w:t>
      </w:r>
      <w:proofErr w:type="spellEnd"/>
      <w:r w:rsidRPr="00E252E7">
        <w:rPr>
          <w:rFonts w:cs="Arial"/>
          <w:bCs/>
          <w:szCs w:val="22"/>
        </w:rPr>
        <w:t xml:space="preserve"> i prac konkursowych. Uczestnicy </w:t>
      </w:r>
      <w:proofErr w:type="spellStart"/>
      <w:r w:rsidRPr="00E252E7">
        <w:rPr>
          <w:rFonts w:cs="Arial"/>
          <w:bCs/>
          <w:szCs w:val="22"/>
        </w:rPr>
        <w:t>postępowania</w:t>
      </w:r>
      <w:proofErr w:type="spellEnd"/>
      <w:r w:rsidRPr="00E252E7">
        <w:rPr>
          <w:rFonts w:cs="Arial"/>
          <w:bCs/>
          <w:szCs w:val="22"/>
        </w:rPr>
        <w:t xml:space="preserve"> o udzielenie </w:t>
      </w:r>
      <w:proofErr w:type="spellStart"/>
      <w:r w:rsidRPr="00E252E7">
        <w:rPr>
          <w:rFonts w:cs="Arial"/>
          <w:bCs/>
          <w:szCs w:val="22"/>
        </w:rPr>
        <w:t>zamówienia</w:t>
      </w:r>
      <w:proofErr w:type="spellEnd"/>
      <w:r w:rsidRPr="00E252E7">
        <w:rPr>
          <w:rFonts w:cs="Arial"/>
          <w:bCs/>
          <w:szCs w:val="22"/>
        </w:rPr>
        <w:t xml:space="preserve"> publicznego mają </w:t>
      </w:r>
      <w:proofErr w:type="spellStart"/>
      <w:r w:rsidRPr="00E252E7">
        <w:rPr>
          <w:rFonts w:cs="Arial"/>
          <w:bCs/>
          <w:szCs w:val="22"/>
        </w:rPr>
        <w:t>możliwość</w:t>
      </w:r>
      <w:proofErr w:type="spellEnd"/>
      <w:r w:rsidRPr="00E252E7">
        <w:rPr>
          <w:rFonts w:cs="Arial"/>
          <w:bCs/>
          <w:szCs w:val="22"/>
        </w:rPr>
        <w:t xml:space="preserve"> odbioru i wysyłania wszelkich informacji, </w:t>
      </w:r>
      <w:proofErr w:type="spellStart"/>
      <w:r w:rsidRPr="00E252E7">
        <w:rPr>
          <w:rFonts w:cs="Arial"/>
          <w:bCs/>
          <w:szCs w:val="22"/>
        </w:rPr>
        <w:t>oświadczen</w:t>
      </w:r>
      <w:proofErr w:type="spellEnd"/>
      <w:r w:rsidRPr="00E252E7">
        <w:rPr>
          <w:rFonts w:cs="Arial"/>
          <w:bCs/>
          <w:szCs w:val="22"/>
        </w:rPr>
        <w:t xml:space="preserve">́, </w:t>
      </w:r>
      <w:proofErr w:type="spellStart"/>
      <w:r w:rsidRPr="00E252E7">
        <w:rPr>
          <w:rFonts w:cs="Arial"/>
          <w:bCs/>
          <w:szCs w:val="22"/>
        </w:rPr>
        <w:t>wniosków</w:t>
      </w:r>
      <w:proofErr w:type="spellEnd"/>
      <w:r w:rsidRPr="00E252E7">
        <w:rPr>
          <w:rFonts w:cs="Arial"/>
          <w:bCs/>
          <w:szCs w:val="22"/>
        </w:rPr>
        <w:t xml:space="preserve"> i </w:t>
      </w:r>
      <w:proofErr w:type="spellStart"/>
      <w:r w:rsidRPr="00E252E7">
        <w:rPr>
          <w:rFonts w:cs="Arial"/>
          <w:bCs/>
          <w:szCs w:val="22"/>
        </w:rPr>
        <w:t>wezwan</w:t>
      </w:r>
      <w:proofErr w:type="spellEnd"/>
      <w:r w:rsidRPr="00E252E7">
        <w:rPr>
          <w:rFonts w:cs="Arial"/>
          <w:bCs/>
          <w:szCs w:val="22"/>
        </w:rPr>
        <w:t xml:space="preserve">́, w tym tworzenia i wysyłania przez </w:t>
      </w:r>
      <w:proofErr w:type="spellStart"/>
      <w:r w:rsidRPr="00E252E7">
        <w:rPr>
          <w:rFonts w:cs="Arial"/>
          <w:bCs/>
          <w:szCs w:val="22"/>
        </w:rPr>
        <w:t>zamawiającego</w:t>
      </w:r>
      <w:proofErr w:type="spellEnd"/>
      <w:r w:rsidRPr="00E252E7">
        <w:rPr>
          <w:rFonts w:cs="Arial"/>
          <w:bCs/>
          <w:szCs w:val="22"/>
        </w:rPr>
        <w:t xml:space="preserve"> do zarejestrowanych na Platformie </w:t>
      </w:r>
      <w:proofErr w:type="spellStart"/>
      <w:r w:rsidRPr="00E252E7">
        <w:rPr>
          <w:rFonts w:cs="Arial"/>
          <w:bCs/>
          <w:szCs w:val="22"/>
        </w:rPr>
        <w:t>uczestników</w:t>
      </w:r>
      <w:proofErr w:type="spellEnd"/>
      <w:r w:rsidRPr="00E252E7">
        <w:rPr>
          <w:rFonts w:cs="Arial"/>
          <w:bCs/>
          <w:szCs w:val="22"/>
        </w:rPr>
        <w:t xml:space="preserve"> </w:t>
      </w:r>
      <w:proofErr w:type="spellStart"/>
      <w:r w:rsidRPr="00E252E7">
        <w:rPr>
          <w:rFonts w:cs="Arial"/>
          <w:bCs/>
          <w:szCs w:val="22"/>
        </w:rPr>
        <w:t>postępowania</w:t>
      </w:r>
      <w:proofErr w:type="spellEnd"/>
      <w:r w:rsidRPr="00E252E7">
        <w:rPr>
          <w:rFonts w:cs="Arial"/>
          <w:bCs/>
          <w:szCs w:val="22"/>
        </w:rPr>
        <w:t xml:space="preserve"> </w:t>
      </w:r>
      <w:proofErr w:type="spellStart"/>
      <w:r w:rsidRPr="00E252E7">
        <w:rPr>
          <w:rFonts w:cs="Arial"/>
          <w:bCs/>
          <w:szCs w:val="22"/>
        </w:rPr>
        <w:t>zaproszen</w:t>
      </w:r>
      <w:proofErr w:type="spellEnd"/>
      <w:r w:rsidRPr="00E252E7">
        <w:rPr>
          <w:rFonts w:cs="Arial"/>
          <w:bCs/>
          <w:szCs w:val="22"/>
        </w:rPr>
        <w:t xml:space="preserve">́ do składania ofert lub do negocjacji na odpowiednim etapie </w:t>
      </w:r>
      <w:proofErr w:type="spellStart"/>
      <w:r w:rsidRPr="00E252E7">
        <w:rPr>
          <w:rFonts w:cs="Arial"/>
          <w:bCs/>
          <w:szCs w:val="22"/>
        </w:rPr>
        <w:t>postępowania</w:t>
      </w:r>
      <w:proofErr w:type="spellEnd"/>
      <w:r w:rsidRPr="00E252E7">
        <w:rPr>
          <w:rFonts w:cs="Arial"/>
          <w:bCs/>
          <w:szCs w:val="22"/>
        </w:rPr>
        <w:t>, a wykonawcom składanie ofert/</w:t>
      </w:r>
      <w:proofErr w:type="spellStart"/>
      <w:r w:rsidRPr="00E252E7">
        <w:rPr>
          <w:rFonts w:cs="Arial"/>
          <w:bCs/>
          <w:szCs w:val="22"/>
        </w:rPr>
        <w:t>wniosków</w:t>
      </w:r>
      <w:proofErr w:type="spellEnd"/>
      <w:r w:rsidRPr="00E252E7">
        <w:rPr>
          <w:rFonts w:cs="Arial"/>
          <w:bCs/>
          <w:szCs w:val="22"/>
        </w:rPr>
        <w:t>/prac konkursowych.</w:t>
      </w:r>
    </w:p>
    <w:p w14:paraId="0E67FB50" w14:textId="6D32DF1E" w:rsidR="00E252E7" w:rsidRPr="00E252E7" w:rsidRDefault="00E252E7" w:rsidP="00067C45">
      <w:pPr>
        <w:shd w:val="clear" w:color="auto" w:fill="FFFFFF"/>
        <w:spacing w:before="120" w:line="360" w:lineRule="auto"/>
        <w:jc w:val="left"/>
        <w:rPr>
          <w:rFonts w:cs="Arial"/>
          <w:bCs/>
          <w:szCs w:val="22"/>
        </w:rPr>
      </w:pPr>
      <w:r w:rsidRPr="00E252E7">
        <w:rPr>
          <w:rFonts w:cs="Arial"/>
          <w:bCs/>
          <w:szCs w:val="22"/>
        </w:rPr>
        <w:t>Wykonawcom zainteresowanym udziałem w postępowaniach o udzielenie zamówienia publicznego udostępniana jest funkcjonalność</w:t>
      </w:r>
      <w:r w:rsidR="00326395">
        <w:rPr>
          <w:rFonts w:cs="Arial"/>
          <w:bCs/>
          <w:szCs w:val="22"/>
        </w:rPr>
        <w:t xml:space="preserve"> </w:t>
      </w:r>
      <w:r w:rsidRPr="00E252E7">
        <w:rPr>
          <w:rFonts w:cs="Arial"/>
          <w:bCs/>
          <w:szCs w:val="22"/>
        </w:rPr>
        <w:t>m.in. możliwość przeglądania ogłoszeń i</w:t>
      </w:r>
      <w:r w:rsidR="007A3276">
        <w:rPr>
          <w:rFonts w:cs="Arial"/>
          <w:bCs/>
          <w:szCs w:val="22"/>
        </w:rPr>
        <w:t> </w:t>
      </w:r>
      <w:r w:rsidRPr="00E252E7">
        <w:rPr>
          <w:rFonts w:cs="Arial"/>
          <w:bCs/>
          <w:szCs w:val="22"/>
        </w:rPr>
        <w:t>zakładania subskrypcji.</w:t>
      </w:r>
    </w:p>
    <w:p w14:paraId="4620DF17" w14:textId="77777777" w:rsidR="00E252E7" w:rsidRPr="00E252E7" w:rsidRDefault="00E252E7" w:rsidP="00067C45">
      <w:pPr>
        <w:shd w:val="clear" w:color="auto" w:fill="FFFFFF"/>
        <w:spacing w:before="120" w:line="360" w:lineRule="auto"/>
        <w:jc w:val="left"/>
        <w:rPr>
          <w:rFonts w:cs="Arial"/>
          <w:bCs/>
          <w:szCs w:val="22"/>
        </w:rPr>
      </w:pPr>
      <w:r w:rsidRPr="00E252E7">
        <w:rPr>
          <w:rFonts w:cs="Arial"/>
          <w:bCs/>
          <w:szCs w:val="22"/>
        </w:rPr>
        <w:t xml:space="preserve">W 2025 roku na Platformie e-Zamówienia zostało przeprowadzonych 152 853 postępowań krajowych i 24 897 postępowań unijnych. W przeprowadzonych na Platformie postępowaniach zostało złożonych 252 132. </w:t>
      </w:r>
    </w:p>
    <w:p w14:paraId="761B4394" w14:textId="0373DDA0" w:rsidR="00E252E7" w:rsidRPr="00E252E7" w:rsidRDefault="00E252E7" w:rsidP="00067C45">
      <w:pPr>
        <w:shd w:val="clear" w:color="auto" w:fill="FFFFFF"/>
        <w:spacing w:before="120" w:line="360" w:lineRule="auto"/>
        <w:jc w:val="left"/>
        <w:rPr>
          <w:rFonts w:cs="Arial"/>
          <w:bCs/>
          <w:szCs w:val="22"/>
        </w:rPr>
      </w:pPr>
      <w:r w:rsidRPr="00E252E7">
        <w:rPr>
          <w:rFonts w:cs="Arial"/>
          <w:bCs/>
          <w:szCs w:val="22"/>
        </w:rPr>
        <w:t>Liczba użytkowników Platformy stale rośnie i na koniec 2025 roku wynosiła około 37</w:t>
      </w:r>
      <w:r w:rsidR="007A3276">
        <w:rPr>
          <w:rFonts w:cs="Arial"/>
          <w:bCs/>
          <w:szCs w:val="22"/>
        </w:rPr>
        <w:t> </w:t>
      </w:r>
      <w:r w:rsidRPr="00E252E7">
        <w:rPr>
          <w:rFonts w:cs="Arial"/>
          <w:bCs/>
          <w:szCs w:val="22"/>
        </w:rPr>
        <w:t xml:space="preserve">400 zamawiających oraz około 80 000 wykonawców. </w:t>
      </w:r>
    </w:p>
    <w:p w14:paraId="50CB267B" w14:textId="4805F799" w:rsidR="009B6623" w:rsidRDefault="00E252E7" w:rsidP="00067C45">
      <w:pPr>
        <w:shd w:val="clear" w:color="auto" w:fill="FFFFFF"/>
        <w:spacing w:before="120" w:line="360" w:lineRule="auto"/>
        <w:jc w:val="left"/>
        <w:rPr>
          <w:rFonts w:cs="Arial"/>
          <w:bCs/>
          <w:szCs w:val="22"/>
        </w:rPr>
      </w:pPr>
      <w:r w:rsidRPr="00E252E7">
        <w:rPr>
          <w:rFonts w:cs="Arial"/>
          <w:bCs/>
          <w:szCs w:val="22"/>
        </w:rPr>
        <w:t>Urząd Zamówień Publicznych dokłada starań, aby rozwijać funkcjonalności Platformy, podejmuje działania związane z zapewnieniem bezpieczeństwa przebiegu postepowań o</w:t>
      </w:r>
      <w:r w:rsidR="007A3276">
        <w:rPr>
          <w:rFonts w:cs="Arial"/>
          <w:bCs/>
          <w:szCs w:val="22"/>
        </w:rPr>
        <w:t> </w:t>
      </w:r>
      <w:r w:rsidRPr="00E252E7">
        <w:rPr>
          <w:rFonts w:cs="Arial"/>
          <w:bCs/>
          <w:szCs w:val="22"/>
        </w:rPr>
        <w:t>udzielenie zamówienia publicznego, oraz zapewnia wsparcie użytkownikom Platformy poprzez udostępniony na Platformie System O</w:t>
      </w:r>
      <w:r w:rsidR="004315D7">
        <w:rPr>
          <w:rFonts w:cs="Arial"/>
          <w:bCs/>
          <w:szCs w:val="22"/>
        </w:rPr>
        <w:t>bsługi Zgłoszeń oraz infolinię.</w:t>
      </w:r>
    </w:p>
    <w:p w14:paraId="28640785" w14:textId="7C922283" w:rsidR="00774FB5" w:rsidRPr="00864CF6" w:rsidRDefault="00774FB5" w:rsidP="00852522">
      <w:pPr>
        <w:pStyle w:val="Nagwek4"/>
        <w:rPr>
          <w:lang w:val="en-US"/>
        </w:rPr>
      </w:pPr>
      <w:r w:rsidRPr="00864CF6">
        <w:rPr>
          <w:lang w:val="en-US"/>
        </w:rPr>
        <w:t xml:space="preserve">2. </w:t>
      </w:r>
      <w:proofErr w:type="spellStart"/>
      <w:r w:rsidRPr="00864CF6">
        <w:rPr>
          <w:lang w:val="en-US"/>
        </w:rPr>
        <w:t>miniPortal</w:t>
      </w:r>
      <w:proofErr w:type="spellEnd"/>
      <w:r w:rsidRPr="00864CF6">
        <w:rPr>
          <w:lang w:val="en-US"/>
        </w:rPr>
        <w:t xml:space="preserve"> </w:t>
      </w:r>
      <w:r w:rsidR="00864CF6" w:rsidRPr="00864CF6">
        <w:rPr>
          <w:lang w:val="en-US"/>
        </w:rPr>
        <w:t>(</w:t>
      </w:r>
      <w:r w:rsidRPr="00864CF6">
        <w:rPr>
          <w:lang w:val="en-US"/>
        </w:rPr>
        <w:t>miniPortal.uzp.gov.pl</w:t>
      </w:r>
      <w:r w:rsidR="00864CF6" w:rsidRPr="00864CF6">
        <w:rPr>
          <w:lang w:val="en-US"/>
        </w:rPr>
        <w:t>)</w:t>
      </w:r>
    </w:p>
    <w:p w14:paraId="50C0B47C" w14:textId="77777777" w:rsidR="00864CF6" w:rsidRPr="00864CF6" w:rsidRDefault="00864CF6" w:rsidP="00067C45">
      <w:pPr>
        <w:shd w:val="clear" w:color="auto" w:fill="FFFFFF"/>
        <w:spacing w:before="120" w:line="360" w:lineRule="auto"/>
        <w:jc w:val="left"/>
        <w:rPr>
          <w:rFonts w:cs="Arial"/>
          <w:bCs/>
          <w:szCs w:val="22"/>
        </w:rPr>
      </w:pPr>
      <w:proofErr w:type="spellStart"/>
      <w:r w:rsidRPr="00864CF6">
        <w:rPr>
          <w:rFonts w:cs="Arial"/>
          <w:bCs/>
          <w:szCs w:val="22"/>
        </w:rPr>
        <w:t>miniPortal</w:t>
      </w:r>
      <w:proofErr w:type="spellEnd"/>
      <w:r w:rsidRPr="00864CF6">
        <w:rPr>
          <w:rFonts w:cs="Arial"/>
          <w:bCs/>
          <w:szCs w:val="22"/>
        </w:rPr>
        <w:t xml:space="preserve"> jest bezpłatnym narzędziem do elektronicznej komunikacji pomiędzy zamawiającymi a wykonawcami, umożliwiającym prowadzenie postępowań w zakresie koncesji oraz umowy ramowej – umowy wykonawczej. </w:t>
      </w:r>
    </w:p>
    <w:p w14:paraId="0BD8C70D" w14:textId="2FD18CC2" w:rsidR="00864CF6" w:rsidRPr="00864CF6" w:rsidRDefault="00864CF6" w:rsidP="00067C45">
      <w:pPr>
        <w:shd w:val="clear" w:color="auto" w:fill="FFFFFF"/>
        <w:spacing w:before="120" w:line="360" w:lineRule="auto"/>
        <w:jc w:val="left"/>
        <w:rPr>
          <w:rFonts w:cs="Arial"/>
          <w:bCs/>
          <w:szCs w:val="22"/>
        </w:rPr>
      </w:pPr>
      <w:r w:rsidRPr="00864CF6">
        <w:rPr>
          <w:rFonts w:cs="Arial"/>
          <w:bCs/>
          <w:szCs w:val="22"/>
        </w:rPr>
        <w:t xml:space="preserve">Postępowania te prowadzone są z wykorzystaniem narzędzi elektronicznych i publicznych usług funkcjonujących w państwowych zasobach, tj. BZP i usług </w:t>
      </w:r>
      <w:proofErr w:type="spellStart"/>
      <w:r w:rsidRPr="00864CF6">
        <w:rPr>
          <w:rFonts w:cs="Arial"/>
          <w:bCs/>
          <w:szCs w:val="22"/>
        </w:rPr>
        <w:t>ePUAP</w:t>
      </w:r>
      <w:proofErr w:type="spellEnd"/>
      <w:r w:rsidRPr="00864CF6">
        <w:rPr>
          <w:rFonts w:cs="Arial"/>
          <w:bCs/>
          <w:szCs w:val="22"/>
        </w:rPr>
        <w:t xml:space="preserve">. Po publikacji odpowiedniego ogłoszenia wszczynającego postępowanie w </w:t>
      </w:r>
      <w:r w:rsidR="007D5082">
        <w:rPr>
          <w:rFonts w:cs="Arial"/>
          <w:bCs/>
          <w:szCs w:val="22"/>
        </w:rPr>
        <w:t>BZP</w:t>
      </w:r>
      <w:r w:rsidRPr="00864CF6">
        <w:rPr>
          <w:rFonts w:cs="Arial"/>
          <w:bCs/>
          <w:szCs w:val="22"/>
        </w:rPr>
        <w:t xml:space="preserve"> lub Dzienniku Urzędowym Unii Europejskiej zamawiający mogą zarejestrować na </w:t>
      </w:r>
      <w:proofErr w:type="spellStart"/>
      <w:r w:rsidRPr="00864CF6">
        <w:rPr>
          <w:rFonts w:cs="Arial"/>
          <w:bCs/>
          <w:szCs w:val="22"/>
        </w:rPr>
        <w:t>miniPortalu</w:t>
      </w:r>
      <w:proofErr w:type="spellEnd"/>
      <w:r w:rsidRPr="00864CF6">
        <w:rPr>
          <w:rFonts w:cs="Arial"/>
          <w:bCs/>
          <w:szCs w:val="22"/>
        </w:rPr>
        <w:t xml:space="preserve"> postępowanie, w którym Wykonawcy szyfrują oferty i przekazują przez odpowiedni formularz na </w:t>
      </w:r>
      <w:proofErr w:type="spellStart"/>
      <w:r w:rsidRPr="00864CF6">
        <w:rPr>
          <w:rFonts w:cs="Arial"/>
          <w:bCs/>
          <w:szCs w:val="22"/>
        </w:rPr>
        <w:t>ePUAPie</w:t>
      </w:r>
      <w:proofErr w:type="spellEnd"/>
      <w:r w:rsidRPr="00864CF6">
        <w:rPr>
          <w:rFonts w:cs="Arial"/>
          <w:bCs/>
          <w:szCs w:val="22"/>
        </w:rPr>
        <w:t>, a zamawiający po upływie terminu na ich otwarcie mogą je odszyfrować.</w:t>
      </w:r>
    </w:p>
    <w:p w14:paraId="6DAB5D61" w14:textId="77777777" w:rsidR="00864CF6" w:rsidRPr="00864CF6" w:rsidRDefault="00864CF6" w:rsidP="00067C45">
      <w:pPr>
        <w:shd w:val="clear" w:color="auto" w:fill="FFFFFF"/>
        <w:spacing w:before="120" w:line="360" w:lineRule="auto"/>
        <w:jc w:val="left"/>
        <w:rPr>
          <w:rFonts w:cs="Arial"/>
          <w:bCs/>
          <w:szCs w:val="22"/>
        </w:rPr>
      </w:pPr>
      <w:r w:rsidRPr="00864CF6">
        <w:rPr>
          <w:rFonts w:cs="Arial"/>
          <w:bCs/>
          <w:szCs w:val="22"/>
        </w:rPr>
        <w:t xml:space="preserve">W 2025 roku na </w:t>
      </w:r>
      <w:proofErr w:type="spellStart"/>
      <w:r w:rsidRPr="00864CF6">
        <w:rPr>
          <w:rFonts w:cs="Arial"/>
          <w:bCs/>
          <w:szCs w:val="22"/>
        </w:rPr>
        <w:t>miniPortalu</w:t>
      </w:r>
      <w:proofErr w:type="spellEnd"/>
      <w:r w:rsidRPr="00864CF6">
        <w:rPr>
          <w:rFonts w:cs="Arial"/>
          <w:bCs/>
          <w:szCs w:val="22"/>
        </w:rPr>
        <w:t xml:space="preserve"> przeprowadzono 357 postępowań:</w:t>
      </w:r>
    </w:p>
    <w:p w14:paraId="622A31FF" w14:textId="77777777" w:rsidR="00864CF6" w:rsidRPr="00864CF6" w:rsidRDefault="00864CF6" w:rsidP="00864CF6">
      <w:pPr>
        <w:numPr>
          <w:ilvl w:val="0"/>
          <w:numId w:val="72"/>
        </w:numPr>
        <w:shd w:val="clear" w:color="auto" w:fill="FFFFFF"/>
        <w:spacing w:line="360" w:lineRule="auto"/>
        <w:jc w:val="left"/>
        <w:rPr>
          <w:rFonts w:cs="Arial"/>
          <w:bCs/>
          <w:szCs w:val="22"/>
        </w:rPr>
      </w:pPr>
      <w:r w:rsidRPr="00864CF6">
        <w:rPr>
          <w:rFonts w:cs="Arial"/>
          <w:bCs/>
          <w:szCs w:val="22"/>
        </w:rPr>
        <w:t>Koncesje zgodnie z art. 29 ust. 1 pkt 1 - 3</w:t>
      </w:r>
    </w:p>
    <w:p w14:paraId="43AADFDF" w14:textId="6FB152E3" w:rsidR="009B6623" w:rsidRPr="000126F1" w:rsidRDefault="00864CF6" w:rsidP="00774FB5">
      <w:pPr>
        <w:numPr>
          <w:ilvl w:val="0"/>
          <w:numId w:val="72"/>
        </w:numPr>
        <w:shd w:val="clear" w:color="auto" w:fill="FFFFFF"/>
        <w:spacing w:line="360" w:lineRule="auto"/>
        <w:jc w:val="left"/>
        <w:rPr>
          <w:rFonts w:cs="Arial"/>
          <w:bCs/>
          <w:szCs w:val="22"/>
        </w:rPr>
      </w:pPr>
      <w:r w:rsidRPr="00864CF6">
        <w:rPr>
          <w:rFonts w:cs="Arial"/>
          <w:bCs/>
          <w:szCs w:val="22"/>
        </w:rPr>
        <w:t>Umowa ramowa - umowa wykonawcza – 354</w:t>
      </w:r>
    </w:p>
    <w:p w14:paraId="5BF0C24A" w14:textId="2935DC12" w:rsidR="00774FB5" w:rsidRPr="00F65B7D" w:rsidRDefault="00774FB5" w:rsidP="00852522">
      <w:pPr>
        <w:pStyle w:val="Nagwek4"/>
      </w:pPr>
      <w:r>
        <w:t xml:space="preserve">3. </w:t>
      </w:r>
      <w:r w:rsidRPr="00F65B7D">
        <w:t xml:space="preserve">Platforma aukcji </w:t>
      </w:r>
      <w:r w:rsidR="000126F1">
        <w:t>(</w:t>
      </w:r>
      <w:r w:rsidRPr="00F65B7D">
        <w:t>aukcje.uzp.gov.pl</w:t>
      </w:r>
      <w:r w:rsidR="000126F1">
        <w:t>)</w:t>
      </w:r>
    </w:p>
    <w:p w14:paraId="7015E21A" w14:textId="77777777" w:rsidR="000126F1" w:rsidRPr="000126F1" w:rsidRDefault="000126F1" w:rsidP="00067C45">
      <w:pPr>
        <w:shd w:val="clear" w:color="auto" w:fill="FFFFFF"/>
        <w:spacing w:before="120" w:line="360" w:lineRule="auto"/>
        <w:jc w:val="left"/>
        <w:rPr>
          <w:rFonts w:cs="Arial"/>
          <w:bCs/>
          <w:szCs w:val="22"/>
        </w:rPr>
      </w:pPr>
      <w:r w:rsidRPr="000126F1">
        <w:rPr>
          <w:rFonts w:cs="Arial"/>
          <w:bCs/>
          <w:szCs w:val="22"/>
        </w:rPr>
        <w:t xml:space="preserve">Urząd Zamówień Publicznych bezpłatnie udostępnia zamawiającym system informatyczny służący do prowadzenia aukcji. Platforma służy do przeprowadzania aukcji elektronicznych – zgodnie z przepisami ustawy Pzp, jako sposobu dokonywania wyboru najkorzystniejszej oferty m.in., w postępowaniach prowadzonych w trybie przetargu nieograniczonego, przetargu ograniczonego lub negocjacji z ogłoszeniem. Platforma aukcji elektronicznych umożliwia przeprowadzenie aukcji jednoetapowej. </w:t>
      </w:r>
    </w:p>
    <w:p w14:paraId="69B71B2A" w14:textId="182BE816" w:rsidR="009B6623" w:rsidRDefault="000126F1" w:rsidP="00067C45">
      <w:pPr>
        <w:shd w:val="clear" w:color="auto" w:fill="FFFFFF"/>
        <w:spacing w:before="120" w:line="360" w:lineRule="auto"/>
        <w:jc w:val="left"/>
        <w:rPr>
          <w:rFonts w:cs="Arial"/>
          <w:bCs/>
          <w:szCs w:val="22"/>
        </w:rPr>
      </w:pPr>
      <w:r w:rsidRPr="000126F1">
        <w:rPr>
          <w:rFonts w:cs="Arial"/>
          <w:bCs/>
          <w:szCs w:val="22"/>
        </w:rPr>
        <w:t xml:space="preserve">W 2025 r. na Platformie aukcji elektronicznych przeprowadzono 89 aukcji, zorganizowanych przez 10 zamawiających (w 2024 r. – 175 aukcji). Suma oszczędności w stosunku ofert wstępnych do ofert złożonych we wszystkich aukcjach w roku 2025: 21 782 321,03 zł. </w:t>
      </w:r>
    </w:p>
    <w:p w14:paraId="4291E99E" w14:textId="265D6B6A" w:rsidR="00774FB5" w:rsidRPr="00F65B7D" w:rsidRDefault="00774FB5" w:rsidP="00852522">
      <w:pPr>
        <w:pStyle w:val="Nagwek4"/>
      </w:pPr>
      <w:r>
        <w:t xml:space="preserve">4. </w:t>
      </w:r>
      <w:r w:rsidRPr="00F65B7D">
        <w:t xml:space="preserve">Kody CPV </w:t>
      </w:r>
      <w:r w:rsidR="000126F1">
        <w:t>(</w:t>
      </w:r>
      <w:r w:rsidRPr="00F65B7D">
        <w:t>kody.uzp.gov.pl</w:t>
      </w:r>
      <w:r w:rsidR="000126F1">
        <w:t>)</w:t>
      </w:r>
    </w:p>
    <w:p w14:paraId="7BD3CD7F" w14:textId="13E8034A" w:rsidR="009B6623" w:rsidRDefault="000126F1" w:rsidP="00067C45">
      <w:pPr>
        <w:shd w:val="clear" w:color="auto" w:fill="FFFFFF"/>
        <w:spacing w:before="120" w:line="360" w:lineRule="auto"/>
        <w:jc w:val="left"/>
        <w:rPr>
          <w:rFonts w:cs="Arial"/>
          <w:bCs/>
          <w:szCs w:val="22"/>
        </w:rPr>
      </w:pPr>
      <w:r w:rsidRPr="000126F1">
        <w:rPr>
          <w:rFonts w:cs="Arial"/>
          <w:bCs/>
          <w:szCs w:val="22"/>
        </w:rPr>
        <w:t>Urząd Zamówień Publicznych udostępnia wyszukiwarkę kodów CPV i CPC, która ułatwia dostęp do potrzebnych informacji oraz przyspiesza kwalifikację dostaw, usług i robót budowlanych nabywanych przez zamawiających. Wspólny Słownik Zamówień to jednolity system klasyfikacji zamówień publicznych, którego celem jest ujednolicenie terminologii stosowanej przy opisie przedmiotu zamówienia przez instytucje zamawiające. Obowiązek korzystania ze słownika podczas przygotowywania opisu przedmiotu zamówienia wynika bezpośrednio z art. 99 ust. 3 ustawy Pzp.</w:t>
      </w:r>
    </w:p>
    <w:p w14:paraId="355F0FD6" w14:textId="08824E2C" w:rsidR="00774FB5" w:rsidRPr="00C152DA" w:rsidRDefault="00774FB5" w:rsidP="00852522">
      <w:pPr>
        <w:pStyle w:val="Nagwek4"/>
      </w:pPr>
      <w:r>
        <w:t xml:space="preserve">5. </w:t>
      </w:r>
      <w:r w:rsidRPr="00C152DA">
        <w:t xml:space="preserve">Formularz JEDZ </w:t>
      </w:r>
      <w:r w:rsidR="000126F1">
        <w:t>(</w:t>
      </w:r>
      <w:r w:rsidRPr="00C152DA">
        <w:rPr>
          <w:rFonts w:cs="Arial"/>
          <w:bCs/>
        </w:rPr>
        <w:t>espd.uzp.gov.pl</w:t>
      </w:r>
      <w:r w:rsidR="000126F1">
        <w:rPr>
          <w:rFonts w:cs="Arial"/>
          <w:bCs/>
        </w:rPr>
        <w:t>)</w:t>
      </w:r>
    </w:p>
    <w:p w14:paraId="1CE0E2B4" w14:textId="567FFD27" w:rsidR="009B6623" w:rsidRPr="000126F1" w:rsidRDefault="000126F1" w:rsidP="00067C45">
      <w:pPr>
        <w:shd w:val="clear" w:color="auto" w:fill="FFFFFF"/>
        <w:spacing w:before="120" w:line="360" w:lineRule="auto"/>
        <w:jc w:val="left"/>
        <w:rPr>
          <w:rFonts w:cs="Arial"/>
          <w:bCs/>
          <w:szCs w:val="22"/>
        </w:rPr>
      </w:pPr>
      <w:r w:rsidRPr="000126F1">
        <w:rPr>
          <w:rFonts w:cs="Arial"/>
          <w:bCs/>
          <w:szCs w:val="22"/>
        </w:rPr>
        <w:t xml:space="preserve">Urząd Zamówień Publicznych oferuje bezpłatne narzędzie wspierające zamawiających </w:t>
      </w:r>
      <w:r w:rsidRPr="000126F1">
        <w:rPr>
          <w:rFonts w:cs="Arial"/>
          <w:bCs/>
          <w:szCs w:val="22"/>
        </w:rPr>
        <w:br/>
        <w:t>i wykonawców w korzystaniu ze standardowego formularza JEDZ w formie elektronicznej. Aplikacja ta, oparta na komponentach dostarczanych przez Komisję Europejską, zapewnia podobne funkcjonalności. Użytkownicy mogą tworzyć nowy formularz JEDZ, ponownie wykorzystywać formularze wygenerowane zarówno w tym narzędziu, jak i w serwisie Komisji Europejskiej, a także przeglądać elektroniczną wersję JEDZ dołączoną do oferty lub wniosku. Formularz JEDZ w wersji elektronicznej jest również dostępny na Platformie e-Zamówienia.</w:t>
      </w:r>
    </w:p>
    <w:p w14:paraId="24E636F0" w14:textId="49D005C3" w:rsidR="00846CAF" w:rsidRPr="00CA29C7" w:rsidRDefault="00CC2929" w:rsidP="00270CF3">
      <w:pPr>
        <w:pStyle w:val="Nagwek3"/>
      </w:pPr>
      <w:bookmarkStart w:id="310" w:name="_Toc64451876"/>
      <w:bookmarkStart w:id="311" w:name="_Toc233203308"/>
      <w:r>
        <w:t>I</w:t>
      </w:r>
      <w:r w:rsidR="00846CAF" w:rsidRPr="00CA29C7">
        <w:t>II.1.</w:t>
      </w:r>
      <w:r w:rsidR="00DD76E1">
        <w:t>8</w:t>
      </w:r>
      <w:r w:rsidR="00846CAF" w:rsidRPr="00CA29C7">
        <w:t>. Decyzje administracyjne</w:t>
      </w:r>
      <w:bookmarkEnd w:id="310"/>
      <w:bookmarkEnd w:id="311"/>
    </w:p>
    <w:p w14:paraId="5B817B81" w14:textId="77777777" w:rsidR="008C50CD" w:rsidRPr="008C50CD" w:rsidRDefault="008C50CD" w:rsidP="008C50CD">
      <w:pPr>
        <w:spacing w:before="120" w:line="360" w:lineRule="auto"/>
        <w:jc w:val="left"/>
        <w:rPr>
          <w:rFonts w:cs="Arial"/>
        </w:rPr>
      </w:pPr>
      <w:r w:rsidRPr="008C50CD">
        <w:rPr>
          <w:rFonts w:cs="Arial"/>
        </w:rPr>
        <w:t>Prezes Urzędu wydaje dwie kategorie decyzji administracyjnych: decyzje o nałożeniu kary pieniężnej i decyzje dotyczące wpisu na listę organizacji uprawnionych do wnoszenia środków ochrony prawnej.</w:t>
      </w:r>
    </w:p>
    <w:p w14:paraId="6D3EFF86" w14:textId="70AE2716" w:rsidR="008C50CD" w:rsidRPr="00A9161D" w:rsidRDefault="008C50CD" w:rsidP="00852522">
      <w:pPr>
        <w:pStyle w:val="Nagwek4"/>
      </w:pPr>
      <w:r>
        <w:t xml:space="preserve">1. </w:t>
      </w:r>
      <w:r w:rsidRPr="008C50CD">
        <w:t>Decyzje o nałożeniu kar pieniężnych</w:t>
      </w:r>
    </w:p>
    <w:p w14:paraId="627F1158" w14:textId="0DAD9374" w:rsidR="009818F4" w:rsidRPr="009818F4" w:rsidRDefault="009818F4" w:rsidP="009818F4">
      <w:pPr>
        <w:spacing w:before="120" w:line="360" w:lineRule="auto"/>
        <w:jc w:val="left"/>
        <w:rPr>
          <w:rFonts w:cs="Arial"/>
        </w:rPr>
      </w:pPr>
      <w:r w:rsidRPr="009818F4">
        <w:rPr>
          <w:rFonts w:cs="Arial"/>
        </w:rPr>
        <w:t>Kary pieniężne nakładane są przez Prezesa UZP w formie decyzji administracyjnej na podstawie przepisów działu XII ustawy Pzp. Nałożenie kary pieniężnej warunkowane jest spełnieniem przesłanek podmiotowych i przedmiotowych. Wysokość nakładanej przez Prezesa UZP kary pieniężnej zależy od wartości zamówienia, została uregulowana w</w:t>
      </w:r>
      <w:r w:rsidR="007A3276">
        <w:rPr>
          <w:rFonts w:cs="Arial"/>
        </w:rPr>
        <w:t> </w:t>
      </w:r>
      <w:r w:rsidRPr="009818F4">
        <w:rPr>
          <w:rFonts w:cs="Arial"/>
        </w:rPr>
        <w:t xml:space="preserve">ustawowo i nie podlega miarkowaniu. </w:t>
      </w:r>
    </w:p>
    <w:p w14:paraId="4C6C7597" w14:textId="095DF968" w:rsidR="009818F4" w:rsidRPr="009818F4" w:rsidRDefault="009818F4" w:rsidP="00852522">
      <w:pPr>
        <w:pStyle w:val="Nagwek4"/>
      </w:pPr>
      <w:r>
        <w:t xml:space="preserve">1.1. </w:t>
      </w:r>
      <w:r w:rsidRPr="009818F4">
        <w:t>Podmioty, na które może być nałożona kara pieniężna</w:t>
      </w:r>
    </w:p>
    <w:p w14:paraId="179EC522" w14:textId="7F3885F3" w:rsidR="009818F4" w:rsidRPr="009818F4" w:rsidRDefault="009818F4" w:rsidP="009818F4">
      <w:pPr>
        <w:spacing w:before="120" w:line="360" w:lineRule="auto"/>
        <w:jc w:val="left"/>
        <w:rPr>
          <w:rFonts w:cs="Arial"/>
        </w:rPr>
      </w:pPr>
      <w:r w:rsidRPr="009818F4">
        <w:rPr>
          <w:rFonts w:cs="Arial"/>
        </w:rPr>
        <w:t>Przepisy działu XII ustawy Pzp o karach pieniężnych stosuje się do zamawiających, o</w:t>
      </w:r>
      <w:r w:rsidR="007A3276">
        <w:rPr>
          <w:rFonts w:cs="Arial"/>
        </w:rPr>
        <w:t> </w:t>
      </w:r>
      <w:r w:rsidRPr="009818F4">
        <w:rPr>
          <w:rFonts w:cs="Arial"/>
        </w:rPr>
        <w:t xml:space="preserve">których mowa w art. 4 pkt 3, w tym wykonujących działalność sektorową, oraz, o których mowa w art. 5 ust. 1 pkt 2 i 3. Karze pieniężnej podlegają zatem </w:t>
      </w:r>
      <w:r w:rsidRPr="009818F4">
        <w:rPr>
          <w:rFonts w:cs="Arial"/>
          <w:b/>
          <w:bCs/>
        </w:rPr>
        <w:t>cztery kategorie zamawiających</w:t>
      </w:r>
      <w:r w:rsidRPr="009818F4">
        <w:rPr>
          <w:rFonts w:cs="Arial"/>
        </w:rPr>
        <w:t xml:space="preserve">. </w:t>
      </w:r>
    </w:p>
    <w:p w14:paraId="40FD79E6" w14:textId="2B013FC7" w:rsidR="009818F4" w:rsidRPr="009818F4" w:rsidRDefault="009818F4" w:rsidP="009818F4">
      <w:pPr>
        <w:spacing w:before="120" w:line="360" w:lineRule="auto"/>
        <w:jc w:val="left"/>
        <w:rPr>
          <w:rFonts w:cs="Arial"/>
        </w:rPr>
      </w:pPr>
      <w:r w:rsidRPr="009818F4">
        <w:rPr>
          <w:rFonts w:cs="Arial"/>
          <w:b/>
          <w:bCs/>
        </w:rPr>
        <w:t>Pierwszą</w:t>
      </w:r>
      <w:r w:rsidRPr="009818F4">
        <w:rPr>
          <w:rFonts w:cs="Arial"/>
        </w:rPr>
        <w:t xml:space="preserve"> z nich stanowią tzw. podmioty prawa publicznego – czyli inne, niż jednostki sektora finansów publicznych w rozumieniu przepisów ustawy z dnia 27 sierpnia 2009 r. o</w:t>
      </w:r>
      <w:r w:rsidR="007A3276">
        <w:rPr>
          <w:rFonts w:cs="Arial"/>
        </w:rPr>
        <w:t> </w:t>
      </w:r>
      <w:r w:rsidRPr="009818F4">
        <w:rPr>
          <w:rFonts w:cs="Arial"/>
        </w:rPr>
        <w:t>finansach publicznych (</w:t>
      </w:r>
      <w:r w:rsidR="001727BC">
        <w:rPr>
          <w:rFonts w:cs="Arial"/>
        </w:rPr>
        <w:t>Dz.U.</w:t>
      </w:r>
      <w:r w:rsidRPr="009818F4">
        <w:rPr>
          <w:rFonts w:cs="Arial"/>
        </w:rPr>
        <w:t xml:space="preserve"> z </w:t>
      </w:r>
      <w:r w:rsidR="00785EA7" w:rsidRPr="009818F4">
        <w:rPr>
          <w:rFonts w:cs="Arial"/>
        </w:rPr>
        <w:t>202</w:t>
      </w:r>
      <w:r w:rsidR="00785EA7">
        <w:rPr>
          <w:rFonts w:cs="Arial"/>
        </w:rPr>
        <w:t>5</w:t>
      </w:r>
      <w:r w:rsidR="00785EA7" w:rsidRPr="009818F4">
        <w:rPr>
          <w:rFonts w:cs="Arial"/>
        </w:rPr>
        <w:t xml:space="preserve"> </w:t>
      </w:r>
      <w:r w:rsidRPr="009818F4">
        <w:rPr>
          <w:rFonts w:cs="Arial"/>
        </w:rPr>
        <w:t xml:space="preserve">r. poz. </w:t>
      </w:r>
      <w:r w:rsidR="00987C29" w:rsidRPr="009818F4">
        <w:rPr>
          <w:rFonts w:cs="Arial"/>
        </w:rPr>
        <w:t>1</w:t>
      </w:r>
      <w:r w:rsidR="00987C29">
        <w:rPr>
          <w:rFonts w:cs="Arial"/>
        </w:rPr>
        <w:t>483</w:t>
      </w:r>
      <w:r w:rsidRPr="009818F4">
        <w:rPr>
          <w:rFonts w:cs="Arial"/>
        </w:rPr>
        <w:t>, z późn. zm.), osoby prawne, utworzone w</w:t>
      </w:r>
      <w:r w:rsidR="007A3276">
        <w:rPr>
          <w:rFonts w:cs="Arial"/>
        </w:rPr>
        <w:t> </w:t>
      </w:r>
      <w:r w:rsidRPr="009818F4">
        <w:rPr>
          <w:rFonts w:cs="Arial"/>
        </w:rPr>
        <w:t>szczególnym celu zaspokajania potrzeb o charakterze powszechnym, niemających charakteru przemysłowego ani handlowego, jeżeli podmioty, o których mowa w tym przepisie oraz jednostki sektora finansów publicznych i inne, niż jednostki sektora finansów publicznych, państwowe jednostki organizacyjne nieposiadające osobowości prawnej, pojedynczo lub wspólnie, bezpośrednio lub pośrednio przez inny podmiot:</w:t>
      </w:r>
    </w:p>
    <w:p w14:paraId="573A5082" w14:textId="7BC11DBB" w:rsidR="009818F4" w:rsidRPr="00DA2C45" w:rsidRDefault="009818F4" w:rsidP="00565A93">
      <w:pPr>
        <w:pStyle w:val="Akapitzlist"/>
        <w:numPr>
          <w:ilvl w:val="0"/>
          <w:numId w:val="15"/>
        </w:numPr>
        <w:spacing w:line="360" w:lineRule="auto"/>
        <w:jc w:val="left"/>
        <w:rPr>
          <w:rFonts w:cs="Arial"/>
          <w:sz w:val="22"/>
          <w:szCs w:val="22"/>
        </w:rPr>
      </w:pPr>
      <w:r w:rsidRPr="00DA2C45">
        <w:rPr>
          <w:rFonts w:cs="Arial"/>
          <w:sz w:val="22"/>
          <w:szCs w:val="22"/>
        </w:rPr>
        <w:t>finansują je w ponad 50% lub</w:t>
      </w:r>
    </w:p>
    <w:p w14:paraId="732F70E7" w14:textId="65A56B5B" w:rsidR="009818F4" w:rsidRPr="00DA2C45" w:rsidRDefault="009818F4" w:rsidP="00565A93">
      <w:pPr>
        <w:pStyle w:val="Akapitzlist"/>
        <w:numPr>
          <w:ilvl w:val="0"/>
          <w:numId w:val="15"/>
        </w:numPr>
        <w:spacing w:line="360" w:lineRule="auto"/>
        <w:jc w:val="left"/>
        <w:rPr>
          <w:rFonts w:cs="Arial"/>
          <w:sz w:val="22"/>
          <w:szCs w:val="22"/>
        </w:rPr>
      </w:pPr>
      <w:r w:rsidRPr="00DA2C45">
        <w:rPr>
          <w:rFonts w:cs="Arial"/>
          <w:sz w:val="22"/>
          <w:szCs w:val="22"/>
        </w:rPr>
        <w:t>posiadają ponad połowę udziałów albo akcji, lub</w:t>
      </w:r>
    </w:p>
    <w:p w14:paraId="7E0B3A69" w14:textId="08C401ED" w:rsidR="009818F4" w:rsidRPr="00DA2C45" w:rsidRDefault="009818F4" w:rsidP="00565A93">
      <w:pPr>
        <w:pStyle w:val="Akapitzlist"/>
        <w:numPr>
          <w:ilvl w:val="0"/>
          <w:numId w:val="15"/>
        </w:numPr>
        <w:spacing w:line="360" w:lineRule="auto"/>
        <w:jc w:val="left"/>
        <w:rPr>
          <w:rFonts w:cs="Arial"/>
          <w:sz w:val="22"/>
          <w:szCs w:val="22"/>
        </w:rPr>
      </w:pPr>
      <w:r w:rsidRPr="00DA2C45">
        <w:rPr>
          <w:rFonts w:cs="Arial"/>
          <w:sz w:val="22"/>
          <w:szCs w:val="22"/>
        </w:rPr>
        <w:t>sprawują nadzór nad organem zarządzającym, lub</w:t>
      </w:r>
    </w:p>
    <w:p w14:paraId="3F2BFD0B" w14:textId="7F39ECD1" w:rsidR="009818F4" w:rsidRPr="004065CE" w:rsidRDefault="009818F4" w:rsidP="00E56E5E">
      <w:pPr>
        <w:pStyle w:val="Akapitzlist"/>
        <w:numPr>
          <w:ilvl w:val="0"/>
          <w:numId w:val="15"/>
        </w:numPr>
        <w:spacing w:line="360" w:lineRule="auto"/>
        <w:jc w:val="left"/>
        <w:rPr>
          <w:rFonts w:cs="Arial"/>
          <w:sz w:val="22"/>
          <w:szCs w:val="22"/>
        </w:rPr>
      </w:pPr>
      <w:r w:rsidRPr="004065CE">
        <w:rPr>
          <w:rFonts w:cs="Arial"/>
          <w:sz w:val="22"/>
          <w:szCs w:val="22"/>
        </w:rPr>
        <w:t>mają prawo do powoływania ponad połowy składu organu nadzorczego lub</w:t>
      </w:r>
      <w:r w:rsidR="004065CE" w:rsidRPr="004065CE">
        <w:rPr>
          <w:rFonts w:cs="Arial"/>
          <w:sz w:val="22"/>
          <w:szCs w:val="22"/>
          <w:lang w:val="pl-PL"/>
        </w:rPr>
        <w:t xml:space="preserve"> </w:t>
      </w:r>
      <w:r w:rsidRPr="004065CE">
        <w:rPr>
          <w:rFonts w:cs="Arial"/>
          <w:sz w:val="22"/>
          <w:szCs w:val="22"/>
        </w:rPr>
        <w:t>zarządzającego.</w:t>
      </w:r>
    </w:p>
    <w:p w14:paraId="159774C0" w14:textId="77777777" w:rsidR="009818F4" w:rsidRPr="009818F4" w:rsidRDefault="009818F4" w:rsidP="009818F4">
      <w:pPr>
        <w:spacing w:before="120" w:line="360" w:lineRule="auto"/>
        <w:jc w:val="left"/>
        <w:rPr>
          <w:rFonts w:cs="Arial"/>
        </w:rPr>
      </w:pPr>
      <w:r w:rsidRPr="009818F4">
        <w:rPr>
          <w:rFonts w:cs="Arial"/>
          <w:b/>
          <w:bCs/>
        </w:rPr>
        <w:t>Drugą</w:t>
      </w:r>
      <w:r w:rsidRPr="009818F4">
        <w:rPr>
          <w:rFonts w:cs="Arial"/>
        </w:rPr>
        <w:t xml:space="preserve"> kategorię podmiotów stanowią wskazane podmioty prawa publicznego wykonujące działalność sektorową. </w:t>
      </w:r>
    </w:p>
    <w:p w14:paraId="75819F82" w14:textId="77777777" w:rsidR="009818F4" w:rsidRPr="009818F4" w:rsidRDefault="009818F4" w:rsidP="009818F4">
      <w:pPr>
        <w:spacing w:before="120" w:line="360" w:lineRule="auto"/>
        <w:jc w:val="left"/>
        <w:rPr>
          <w:rFonts w:cs="Arial"/>
        </w:rPr>
      </w:pPr>
      <w:r w:rsidRPr="009818F4">
        <w:rPr>
          <w:rFonts w:cs="Arial"/>
          <w:b/>
          <w:bCs/>
        </w:rPr>
        <w:t>Trzecią</w:t>
      </w:r>
      <w:r w:rsidRPr="009818F4">
        <w:rPr>
          <w:rFonts w:cs="Arial"/>
        </w:rPr>
        <w:t xml:space="preserve"> kategorię podlegającą pod zakres podmiotowy przepisów działu XII ustawy Pzp stanowią inne, niż określone w art. 5 pkt 1 ustawy Pzp, podmioty, które wykonują jeden </w:t>
      </w:r>
      <w:r w:rsidRPr="009818F4">
        <w:rPr>
          <w:rFonts w:cs="Arial"/>
        </w:rPr>
        <w:br/>
        <w:t>z rodzajów działalności sektorowej, o której mowa w art. 5 ust. 4 ustawy Pzp, oraz na których zamawiający publiczni, pojedynczo lub wspólnie, bezpośrednio lub pośrednio przez inny podmiot wywierają dominujący wpływ, w szczególności:</w:t>
      </w:r>
    </w:p>
    <w:p w14:paraId="08D14806" w14:textId="4E6A2115" w:rsidR="009818F4" w:rsidRPr="00503D56" w:rsidRDefault="009818F4" w:rsidP="00565A93">
      <w:pPr>
        <w:pStyle w:val="Akapitzlist"/>
        <w:numPr>
          <w:ilvl w:val="0"/>
          <w:numId w:val="16"/>
        </w:numPr>
        <w:spacing w:line="360" w:lineRule="auto"/>
        <w:jc w:val="left"/>
        <w:rPr>
          <w:rFonts w:cs="Arial"/>
          <w:sz w:val="22"/>
          <w:szCs w:val="22"/>
        </w:rPr>
      </w:pPr>
      <w:r w:rsidRPr="00503D56">
        <w:rPr>
          <w:rFonts w:cs="Arial"/>
          <w:sz w:val="22"/>
          <w:szCs w:val="22"/>
        </w:rPr>
        <w:t>posiadają ponad połowę udziałów albo akcji lub</w:t>
      </w:r>
    </w:p>
    <w:p w14:paraId="5FC4C327" w14:textId="6920A9E4" w:rsidR="009818F4" w:rsidRPr="00503D56" w:rsidRDefault="009818F4" w:rsidP="00565A93">
      <w:pPr>
        <w:pStyle w:val="Akapitzlist"/>
        <w:numPr>
          <w:ilvl w:val="0"/>
          <w:numId w:val="16"/>
        </w:numPr>
        <w:spacing w:line="360" w:lineRule="auto"/>
        <w:jc w:val="left"/>
        <w:rPr>
          <w:rFonts w:cs="Arial"/>
          <w:sz w:val="22"/>
          <w:szCs w:val="22"/>
        </w:rPr>
      </w:pPr>
      <w:r w:rsidRPr="00503D56">
        <w:rPr>
          <w:rFonts w:cs="Arial"/>
          <w:sz w:val="22"/>
          <w:szCs w:val="22"/>
        </w:rPr>
        <w:t>posiadają ponad połowę głosów wynikających z udziałów albo akcji, lub</w:t>
      </w:r>
    </w:p>
    <w:p w14:paraId="1A7F991F" w14:textId="0BDF0827" w:rsidR="009818F4" w:rsidRPr="00503D56" w:rsidRDefault="009818F4" w:rsidP="00565A93">
      <w:pPr>
        <w:pStyle w:val="Akapitzlist"/>
        <w:numPr>
          <w:ilvl w:val="0"/>
          <w:numId w:val="16"/>
        </w:numPr>
        <w:spacing w:line="360" w:lineRule="auto"/>
        <w:jc w:val="left"/>
        <w:rPr>
          <w:rFonts w:cs="Arial"/>
          <w:sz w:val="22"/>
          <w:szCs w:val="22"/>
        </w:rPr>
      </w:pPr>
      <w:r w:rsidRPr="00503D56">
        <w:rPr>
          <w:rFonts w:cs="Arial"/>
          <w:sz w:val="22"/>
          <w:szCs w:val="22"/>
        </w:rPr>
        <w:t>mają prawo do powoływania ponad połowy składu organu nadzorczego lub zarządzającego.</w:t>
      </w:r>
    </w:p>
    <w:p w14:paraId="2C21E798" w14:textId="48D8054C" w:rsidR="009818F4" w:rsidRPr="009818F4" w:rsidRDefault="009818F4" w:rsidP="009818F4">
      <w:pPr>
        <w:spacing w:before="120" w:line="360" w:lineRule="auto"/>
        <w:jc w:val="left"/>
        <w:rPr>
          <w:rFonts w:cs="Arial"/>
        </w:rPr>
      </w:pPr>
      <w:r w:rsidRPr="009818F4">
        <w:rPr>
          <w:rFonts w:cs="Arial"/>
          <w:b/>
          <w:bCs/>
        </w:rPr>
        <w:t>Czwartą</w:t>
      </w:r>
      <w:r w:rsidRPr="009818F4">
        <w:rPr>
          <w:rFonts w:cs="Arial"/>
        </w:rPr>
        <w:t xml:space="preserve"> kategorię zamawiających podlegających karze stanowią inne, niż określone w art. 5 pkt 1 i 2 ustawy Pzp, podmioty, które wykonują jeden z rodzajów działalności sektorowej, o</w:t>
      </w:r>
      <w:r w:rsidR="007A3276">
        <w:rPr>
          <w:rFonts w:cs="Arial"/>
        </w:rPr>
        <w:t> </w:t>
      </w:r>
      <w:r w:rsidRPr="009818F4">
        <w:rPr>
          <w:rFonts w:cs="Arial"/>
        </w:rPr>
        <w:t>której mowa w art. 5 ust. 4 ustawy Pzp, jeżeli działalność ta jest wykonywana na podstawie praw szczególnych lub wyłącznych.</w:t>
      </w:r>
    </w:p>
    <w:p w14:paraId="4771D43C" w14:textId="31D75E63" w:rsidR="009818F4" w:rsidRPr="00256B21" w:rsidRDefault="00256B21" w:rsidP="00852522">
      <w:pPr>
        <w:pStyle w:val="Nagwek4"/>
      </w:pPr>
      <w:r>
        <w:t xml:space="preserve">1.2. </w:t>
      </w:r>
      <w:r w:rsidR="009818F4" w:rsidRPr="00256B21">
        <w:t xml:space="preserve">Katalog czynów, za które może być nałożona kara pieniężna </w:t>
      </w:r>
    </w:p>
    <w:p w14:paraId="7D4974BD" w14:textId="69F883D1" w:rsidR="009818F4" w:rsidRPr="009818F4" w:rsidRDefault="009818F4" w:rsidP="00256B21">
      <w:pPr>
        <w:spacing w:before="120" w:line="360" w:lineRule="auto"/>
        <w:jc w:val="left"/>
        <w:rPr>
          <w:rFonts w:cs="Arial"/>
        </w:rPr>
      </w:pPr>
      <w:r w:rsidRPr="009818F4">
        <w:rPr>
          <w:rFonts w:cs="Arial"/>
        </w:rPr>
        <w:t xml:space="preserve">Katalog czynów podlegających karze pieniężnej nakładanej przez </w:t>
      </w:r>
      <w:r w:rsidR="00CF2842">
        <w:rPr>
          <w:rFonts w:cs="Arial"/>
        </w:rPr>
        <w:t>P</w:t>
      </w:r>
      <w:r w:rsidRPr="009818F4">
        <w:rPr>
          <w:rFonts w:cs="Arial"/>
        </w:rPr>
        <w:t xml:space="preserve">rezesa UZP został określony w art. 619 ustawy Pzp, z którego wynika, że kara może zostać nałożona zarówno z powodu działań, jak i zaniechań zamawiającego. </w:t>
      </w:r>
    </w:p>
    <w:p w14:paraId="06106ABA" w14:textId="77777777" w:rsidR="009818F4" w:rsidRPr="009818F4" w:rsidRDefault="009818F4" w:rsidP="00256B21">
      <w:pPr>
        <w:spacing w:before="120" w:line="360" w:lineRule="auto"/>
        <w:jc w:val="left"/>
        <w:rPr>
          <w:rFonts w:cs="Arial"/>
        </w:rPr>
      </w:pPr>
      <w:r w:rsidRPr="009818F4">
        <w:rPr>
          <w:rFonts w:cs="Arial"/>
        </w:rPr>
        <w:t>Zgodnie z art. 619 ust. 1 ustawy Pzp, karze pieniężnej podlega zamawiający, który:</w:t>
      </w:r>
    </w:p>
    <w:p w14:paraId="3EDB22FC" w14:textId="2C92F594" w:rsidR="009818F4" w:rsidRPr="008157AA" w:rsidRDefault="009818F4" w:rsidP="00565A93">
      <w:pPr>
        <w:pStyle w:val="Akapitzlist"/>
        <w:numPr>
          <w:ilvl w:val="0"/>
          <w:numId w:val="19"/>
        </w:numPr>
        <w:spacing w:line="360" w:lineRule="auto"/>
        <w:jc w:val="left"/>
        <w:rPr>
          <w:rFonts w:cs="Arial"/>
          <w:szCs w:val="22"/>
        </w:rPr>
      </w:pPr>
      <w:r w:rsidRPr="008157AA">
        <w:rPr>
          <w:rFonts w:cs="Arial"/>
          <w:szCs w:val="22"/>
        </w:rPr>
        <w:t>udziela zamówienia:</w:t>
      </w:r>
    </w:p>
    <w:p w14:paraId="77D9E6F9" w14:textId="3ED02316" w:rsidR="009818F4" w:rsidRPr="008157AA" w:rsidRDefault="009818F4" w:rsidP="00565A93">
      <w:pPr>
        <w:pStyle w:val="Akapitzlist"/>
        <w:numPr>
          <w:ilvl w:val="1"/>
          <w:numId w:val="17"/>
        </w:numPr>
        <w:spacing w:line="360" w:lineRule="auto"/>
        <w:jc w:val="left"/>
        <w:rPr>
          <w:rFonts w:cs="Arial"/>
          <w:sz w:val="22"/>
          <w:szCs w:val="22"/>
        </w:rPr>
      </w:pPr>
      <w:r w:rsidRPr="008157AA">
        <w:rPr>
          <w:rFonts w:cs="Arial"/>
          <w:sz w:val="22"/>
          <w:szCs w:val="22"/>
        </w:rPr>
        <w:t>z naruszeniem przepisów określających przesłanki stosowania trybu zamówienia z wolnej ręki lub negocjacji bez ogłoszenia,</w:t>
      </w:r>
    </w:p>
    <w:p w14:paraId="7D7EDEF5" w14:textId="325CD726" w:rsidR="009818F4" w:rsidRPr="008157AA" w:rsidRDefault="009818F4" w:rsidP="00565A93">
      <w:pPr>
        <w:pStyle w:val="Akapitzlist"/>
        <w:numPr>
          <w:ilvl w:val="1"/>
          <w:numId w:val="17"/>
        </w:numPr>
        <w:spacing w:line="360" w:lineRule="auto"/>
        <w:jc w:val="left"/>
        <w:rPr>
          <w:rFonts w:cs="Arial"/>
          <w:sz w:val="22"/>
          <w:szCs w:val="22"/>
        </w:rPr>
      </w:pPr>
      <w:r w:rsidRPr="008157AA">
        <w:rPr>
          <w:rFonts w:cs="Arial"/>
          <w:sz w:val="22"/>
          <w:szCs w:val="22"/>
        </w:rPr>
        <w:t>bez wymaganego ogłoszenia wszczynającego postępowanie o udzielenie zamówienia lub bez wymaganego ogłoszenia zmieniającego ogłoszenie wszczynające postępowanie, jeżeli zmiany miały znaczenie dla sporządzenia wniosków o dopuszczenie do udziału w postępowaniu albo ofert,</w:t>
      </w:r>
    </w:p>
    <w:p w14:paraId="073C4AA1" w14:textId="0011EFB8" w:rsidR="009818F4" w:rsidRPr="008157AA" w:rsidRDefault="009818F4" w:rsidP="00565A93">
      <w:pPr>
        <w:pStyle w:val="Akapitzlist"/>
        <w:numPr>
          <w:ilvl w:val="1"/>
          <w:numId w:val="17"/>
        </w:numPr>
        <w:spacing w:line="360" w:lineRule="auto"/>
        <w:jc w:val="left"/>
        <w:rPr>
          <w:rFonts w:cs="Arial"/>
          <w:sz w:val="22"/>
          <w:szCs w:val="22"/>
        </w:rPr>
      </w:pPr>
      <w:r w:rsidRPr="008157AA">
        <w:rPr>
          <w:rFonts w:cs="Arial"/>
          <w:sz w:val="22"/>
          <w:szCs w:val="22"/>
        </w:rPr>
        <w:t>bez zastosowania ustawy</w:t>
      </w:r>
      <w:r w:rsidR="00F21F8D">
        <w:rPr>
          <w:rFonts w:cs="Arial"/>
          <w:sz w:val="22"/>
          <w:szCs w:val="22"/>
        </w:rPr>
        <w:t xml:space="preserve"> Pzp</w:t>
      </w:r>
      <w:r w:rsidRPr="008157AA">
        <w:rPr>
          <w:rFonts w:cs="Arial"/>
          <w:sz w:val="22"/>
          <w:szCs w:val="22"/>
        </w:rPr>
        <w:t>,</w:t>
      </w:r>
    </w:p>
    <w:p w14:paraId="2F07AC13" w14:textId="37A745BA" w:rsidR="009818F4" w:rsidRPr="008157AA" w:rsidRDefault="009818F4" w:rsidP="00565A93">
      <w:pPr>
        <w:pStyle w:val="Akapitzlist"/>
        <w:numPr>
          <w:ilvl w:val="0"/>
          <w:numId w:val="19"/>
        </w:numPr>
        <w:spacing w:line="360" w:lineRule="auto"/>
        <w:jc w:val="left"/>
        <w:rPr>
          <w:rFonts w:cs="Arial"/>
          <w:szCs w:val="22"/>
        </w:rPr>
      </w:pPr>
      <w:r w:rsidRPr="008157AA">
        <w:rPr>
          <w:rFonts w:cs="Arial"/>
          <w:szCs w:val="22"/>
        </w:rPr>
        <w:t>dokonuje zmian w zawartej umowie lub umowie ramowej z naruszeniem art. 454 lub art. 455</w:t>
      </w:r>
      <w:r w:rsidR="00C50F85">
        <w:rPr>
          <w:rFonts w:cs="Arial"/>
          <w:szCs w:val="22"/>
        </w:rPr>
        <w:t xml:space="preserve"> ustawy Pzp</w:t>
      </w:r>
      <w:r w:rsidRPr="008157AA">
        <w:rPr>
          <w:rFonts w:cs="Arial"/>
          <w:szCs w:val="22"/>
        </w:rPr>
        <w:t>.</w:t>
      </w:r>
    </w:p>
    <w:p w14:paraId="54612779" w14:textId="77777777" w:rsidR="009818F4" w:rsidRPr="009818F4" w:rsidRDefault="009818F4" w:rsidP="00256B21">
      <w:pPr>
        <w:spacing w:before="120" w:line="360" w:lineRule="auto"/>
        <w:jc w:val="left"/>
        <w:rPr>
          <w:rFonts w:cs="Arial"/>
        </w:rPr>
      </w:pPr>
      <w:r w:rsidRPr="009818F4">
        <w:rPr>
          <w:rFonts w:cs="Arial"/>
        </w:rPr>
        <w:t xml:space="preserve">Pierwsza grupa deliktów – wyrażona w przywołanym przepisie – charakteryzuje się tym, że już samo ich popełnienie może skutkować nałożeniem kary pieniężnej, bez żadnych dodatkowych obostrzeń ustawowych. Można wśród nich wyróżnić zachowania pozostające </w:t>
      </w:r>
      <w:r w:rsidRPr="009818F4">
        <w:rPr>
          <w:rFonts w:cs="Arial"/>
        </w:rPr>
        <w:br/>
        <w:t>w związku z udzieleniem zamówienia (art. 619 ust. 1 lit. a – lit. c ustawy Pzp), a także mające miejsce po jego udzieleniu, przejawiające się niezgodnymi z ustawą Pzp zmianami umów (art. 619 ust. 1 pkt 2 ustawy Pzp).</w:t>
      </w:r>
    </w:p>
    <w:p w14:paraId="2E342D3E" w14:textId="77777777" w:rsidR="009818F4" w:rsidRPr="009818F4" w:rsidRDefault="009818F4" w:rsidP="00256B21">
      <w:pPr>
        <w:spacing w:before="120" w:line="360" w:lineRule="auto"/>
        <w:jc w:val="left"/>
        <w:rPr>
          <w:rFonts w:cs="Arial"/>
        </w:rPr>
      </w:pPr>
      <w:r w:rsidRPr="009818F4">
        <w:rPr>
          <w:rFonts w:cs="Arial"/>
        </w:rPr>
        <w:t>Stosownie do treści art. 619 ust. 2 ustawy Pzp, karze pieniężnej podlega również zamawiający, który:</w:t>
      </w:r>
    </w:p>
    <w:p w14:paraId="22B866A9" w14:textId="3FEFF139" w:rsidR="009818F4" w:rsidRPr="008157AA" w:rsidRDefault="009818F4" w:rsidP="00565A93">
      <w:pPr>
        <w:pStyle w:val="Akapitzlist"/>
        <w:numPr>
          <w:ilvl w:val="0"/>
          <w:numId w:val="18"/>
        </w:numPr>
        <w:spacing w:line="360" w:lineRule="auto"/>
        <w:jc w:val="left"/>
        <w:rPr>
          <w:rFonts w:cs="Arial"/>
          <w:sz w:val="22"/>
          <w:szCs w:val="22"/>
        </w:rPr>
      </w:pPr>
      <w:r w:rsidRPr="008157AA">
        <w:rPr>
          <w:rFonts w:cs="Arial"/>
          <w:sz w:val="22"/>
          <w:szCs w:val="22"/>
        </w:rPr>
        <w:t>określa warunki udziału w postępowaniu o udzielenie zamówienia w sposób, który utrudnia zachowanie uczciwej konkurencji,</w:t>
      </w:r>
    </w:p>
    <w:p w14:paraId="174731A5" w14:textId="3BDB4F91" w:rsidR="009818F4" w:rsidRPr="008157AA" w:rsidRDefault="009818F4" w:rsidP="00565A93">
      <w:pPr>
        <w:pStyle w:val="Akapitzlist"/>
        <w:numPr>
          <w:ilvl w:val="0"/>
          <w:numId w:val="18"/>
        </w:numPr>
        <w:spacing w:line="360" w:lineRule="auto"/>
        <w:jc w:val="left"/>
        <w:rPr>
          <w:rFonts w:cs="Arial"/>
          <w:sz w:val="22"/>
          <w:szCs w:val="22"/>
        </w:rPr>
      </w:pPr>
      <w:r w:rsidRPr="008157AA">
        <w:rPr>
          <w:rFonts w:cs="Arial"/>
          <w:sz w:val="22"/>
          <w:szCs w:val="22"/>
        </w:rPr>
        <w:t>opisuje przedmiot zamówienia lub przedmiot konkursu w sposób, który utrudnia zachowanie uczciwej konkurencji,</w:t>
      </w:r>
    </w:p>
    <w:p w14:paraId="21484F06" w14:textId="200B9E01" w:rsidR="009818F4" w:rsidRPr="008157AA" w:rsidRDefault="009818F4" w:rsidP="00565A93">
      <w:pPr>
        <w:pStyle w:val="Akapitzlist"/>
        <w:numPr>
          <w:ilvl w:val="0"/>
          <w:numId w:val="18"/>
        </w:numPr>
        <w:spacing w:line="360" w:lineRule="auto"/>
        <w:jc w:val="left"/>
        <w:rPr>
          <w:rFonts w:cs="Arial"/>
          <w:sz w:val="22"/>
          <w:szCs w:val="22"/>
        </w:rPr>
      </w:pPr>
      <w:r w:rsidRPr="008157AA">
        <w:rPr>
          <w:rFonts w:cs="Arial"/>
          <w:sz w:val="22"/>
          <w:szCs w:val="22"/>
        </w:rPr>
        <w:t>prowadzi postępowanie o udzielenie zamówienia z naruszeniem art. 18</w:t>
      </w:r>
      <w:r w:rsidR="00A40078">
        <w:rPr>
          <w:rFonts w:cs="Arial"/>
          <w:sz w:val="22"/>
          <w:szCs w:val="22"/>
        </w:rPr>
        <w:t xml:space="preserve"> us</w:t>
      </w:r>
      <w:r w:rsidR="001E0ECD">
        <w:rPr>
          <w:rFonts w:cs="Arial"/>
          <w:sz w:val="22"/>
          <w:szCs w:val="22"/>
        </w:rPr>
        <w:t>tawy Pzp</w:t>
      </w:r>
      <w:r w:rsidRPr="008157AA">
        <w:rPr>
          <w:rFonts w:cs="Arial"/>
          <w:sz w:val="22"/>
          <w:szCs w:val="22"/>
        </w:rPr>
        <w:t>,</w:t>
      </w:r>
    </w:p>
    <w:p w14:paraId="6E0C68FA" w14:textId="376AC007" w:rsidR="009818F4" w:rsidRPr="008157AA" w:rsidRDefault="009818F4" w:rsidP="00565A93">
      <w:pPr>
        <w:pStyle w:val="Akapitzlist"/>
        <w:numPr>
          <w:ilvl w:val="0"/>
          <w:numId w:val="18"/>
        </w:numPr>
        <w:spacing w:line="360" w:lineRule="auto"/>
        <w:jc w:val="left"/>
        <w:rPr>
          <w:rFonts w:cs="Arial"/>
          <w:sz w:val="22"/>
          <w:szCs w:val="22"/>
        </w:rPr>
      </w:pPr>
      <w:r w:rsidRPr="008157AA">
        <w:rPr>
          <w:rFonts w:cs="Arial"/>
          <w:sz w:val="22"/>
          <w:szCs w:val="22"/>
        </w:rPr>
        <w:t>nie przestrzega terminów określonych w ustawie</w:t>
      </w:r>
      <w:r w:rsidR="00A40078">
        <w:rPr>
          <w:rFonts w:cs="Arial"/>
          <w:sz w:val="22"/>
          <w:szCs w:val="22"/>
        </w:rPr>
        <w:t xml:space="preserve"> Pzp</w:t>
      </w:r>
      <w:r w:rsidRPr="008157AA">
        <w:rPr>
          <w:rFonts w:cs="Arial"/>
          <w:sz w:val="22"/>
          <w:szCs w:val="22"/>
        </w:rPr>
        <w:t>,</w:t>
      </w:r>
    </w:p>
    <w:p w14:paraId="6D2429D1" w14:textId="2268385C" w:rsidR="009818F4" w:rsidRPr="008157AA" w:rsidRDefault="009818F4" w:rsidP="00565A93">
      <w:pPr>
        <w:pStyle w:val="Akapitzlist"/>
        <w:numPr>
          <w:ilvl w:val="0"/>
          <w:numId w:val="18"/>
        </w:numPr>
        <w:spacing w:line="360" w:lineRule="auto"/>
        <w:jc w:val="left"/>
        <w:rPr>
          <w:rFonts w:cs="Arial"/>
          <w:sz w:val="22"/>
          <w:szCs w:val="22"/>
        </w:rPr>
      </w:pPr>
      <w:r w:rsidRPr="008157AA">
        <w:rPr>
          <w:rFonts w:cs="Arial"/>
          <w:sz w:val="22"/>
          <w:szCs w:val="22"/>
        </w:rPr>
        <w:t>odrzuca ofertę, wniosek o dopuszczenie do udziału w postępowaniu lub wniosek o dopuszczenie do udziału w konkursie z naruszeniem przepisów ustawy określających przesłanki odrzucenia oferty lub tych wniosków,</w:t>
      </w:r>
    </w:p>
    <w:p w14:paraId="1F651F74" w14:textId="5F044D3E" w:rsidR="009818F4" w:rsidRPr="008157AA" w:rsidRDefault="009818F4" w:rsidP="00565A93">
      <w:pPr>
        <w:pStyle w:val="Akapitzlist"/>
        <w:numPr>
          <w:ilvl w:val="0"/>
          <w:numId w:val="18"/>
        </w:numPr>
        <w:spacing w:line="360" w:lineRule="auto"/>
        <w:jc w:val="left"/>
        <w:rPr>
          <w:rFonts w:cs="Arial"/>
          <w:sz w:val="22"/>
          <w:szCs w:val="22"/>
        </w:rPr>
      </w:pPr>
      <w:r w:rsidRPr="008157AA">
        <w:rPr>
          <w:rFonts w:cs="Arial"/>
          <w:sz w:val="22"/>
          <w:szCs w:val="22"/>
        </w:rPr>
        <w:t>dokonuje wyboru najkorzystniejszej oferty z naruszeniem przepisów ustawy w sposób inny niż określony w ust. 1 pkt 1 lub pkt 1-5</w:t>
      </w:r>
    </w:p>
    <w:p w14:paraId="0574679B" w14:textId="77777777" w:rsidR="009818F4" w:rsidRPr="009818F4" w:rsidRDefault="009818F4" w:rsidP="008157AA">
      <w:pPr>
        <w:spacing w:before="120" w:line="360" w:lineRule="auto"/>
        <w:jc w:val="left"/>
        <w:rPr>
          <w:rFonts w:cs="Arial"/>
        </w:rPr>
      </w:pPr>
      <w:r w:rsidRPr="009818F4">
        <w:rPr>
          <w:rFonts w:cs="Arial"/>
        </w:rPr>
        <w:t>- jeżeli naruszenie to ma wpływ na wynik postępowania o udzielenie zamówienia.</w:t>
      </w:r>
    </w:p>
    <w:p w14:paraId="5E7F810F" w14:textId="77777777" w:rsidR="009818F4" w:rsidRPr="009818F4" w:rsidRDefault="009818F4" w:rsidP="00256B21">
      <w:pPr>
        <w:spacing w:before="120" w:line="360" w:lineRule="auto"/>
        <w:jc w:val="left"/>
        <w:rPr>
          <w:rFonts w:cs="Arial"/>
        </w:rPr>
      </w:pPr>
      <w:r w:rsidRPr="009818F4">
        <w:rPr>
          <w:rFonts w:cs="Arial"/>
        </w:rPr>
        <w:t xml:space="preserve">Druga grupa ww. deliktów administracyjnych jest natomiast warunkowana wpływem naruszenia na wynik postępowania o udzielenie zamówienia (art. 619 ust. 2 pkt 1 – 6 ustawy Pzp). Na podstawie art. 619 ust. 2 ustawy Pzp na zamawiającego nakładana jest kara jedynie wówczas, gdy naruszenie przez niego przepisów Pzp w sposób wskazany w punktach 1 – 6 ma wpływ na wynik postępowania. </w:t>
      </w:r>
    </w:p>
    <w:p w14:paraId="44607B7D" w14:textId="5B1233BF" w:rsidR="009818F4" w:rsidRPr="0082571A" w:rsidRDefault="0082571A" w:rsidP="00852522">
      <w:pPr>
        <w:pStyle w:val="Nagwek4"/>
      </w:pPr>
      <w:r>
        <w:t xml:space="preserve">1.3. </w:t>
      </w:r>
      <w:r w:rsidR="009818F4" w:rsidRPr="0082571A">
        <w:t xml:space="preserve">Wysokość kary pieniężnej i sposób jej ustalenia </w:t>
      </w:r>
    </w:p>
    <w:p w14:paraId="567C2E91" w14:textId="77777777" w:rsidR="009818F4" w:rsidRPr="009818F4" w:rsidRDefault="009818F4" w:rsidP="0082571A">
      <w:pPr>
        <w:spacing w:before="120" w:line="360" w:lineRule="auto"/>
        <w:jc w:val="left"/>
        <w:rPr>
          <w:rFonts w:cs="Arial"/>
        </w:rPr>
      </w:pPr>
      <w:r w:rsidRPr="009818F4">
        <w:rPr>
          <w:rFonts w:cs="Arial"/>
        </w:rPr>
        <w:t>Wartość zamówienia jest jedynym miernikiem, od którego ustawodawca uzależnił kwotę nakładanej na zamawiającego kary pieniężnej. Podstawą ustalenia wartości zamówienia jest całkowite szacunkowe wynagrodzenie wykonawcy bez podatku od towarów i usług, ustalone z należytą starannością.</w:t>
      </w:r>
    </w:p>
    <w:p w14:paraId="007D575D" w14:textId="77777777" w:rsidR="009818F4" w:rsidRPr="009818F4" w:rsidRDefault="009818F4" w:rsidP="0082571A">
      <w:pPr>
        <w:spacing w:before="120" w:line="360" w:lineRule="auto"/>
        <w:jc w:val="left"/>
        <w:rPr>
          <w:rFonts w:cs="Arial"/>
        </w:rPr>
      </w:pPr>
      <w:r w:rsidRPr="009818F4">
        <w:rPr>
          <w:rFonts w:cs="Arial"/>
        </w:rPr>
        <w:t xml:space="preserve">Przepis art. 620 ust. 2 ustawy Pzp przewiduje trzy wysokości kar pieniężnych: </w:t>
      </w:r>
    </w:p>
    <w:p w14:paraId="638D28FB" w14:textId="77777777" w:rsidR="009818F4" w:rsidRPr="009818F4" w:rsidRDefault="009818F4" w:rsidP="00565A93">
      <w:pPr>
        <w:numPr>
          <w:ilvl w:val="0"/>
          <w:numId w:val="20"/>
        </w:numPr>
        <w:spacing w:line="360" w:lineRule="auto"/>
        <w:jc w:val="left"/>
        <w:rPr>
          <w:rFonts w:cs="Arial"/>
        </w:rPr>
      </w:pPr>
      <w:r w:rsidRPr="009818F4">
        <w:rPr>
          <w:rFonts w:cs="Arial"/>
        </w:rPr>
        <w:t>3 000 zł - jeżeli wartość zamówienia jest mniejsza niż progi unijne;</w:t>
      </w:r>
    </w:p>
    <w:p w14:paraId="396A06BE" w14:textId="77777777" w:rsidR="009818F4" w:rsidRPr="009818F4" w:rsidRDefault="009818F4" w:rsidP="00565A93">
      <w:pPr>
        <w:numPr>
          <w:ilvl w:val="0"/>
          <w:numId w:val="20"/>
        </w:numPr>
        <w:spacing w:line="360" w:lineRule="auto"/>
        <w:jc w:val="left"/>
        <w:rPr>
          <w:rFonts w:cs="Arial"/>
        </w:rPr>
      </w:pPr>
      <w:r w:rsidRPr="009818F4">
        <w:rPr>
          <w:rFonts w:cs="Arial"/>
        </w:rPr>
        <w:t>30 000 zł - jeżeli wartość zamówienia jest równa lub przekracza progi unijne, a jest mniejsza niż wyrażona w złotych równowartość kwoty 10 000 000 euro dla dostaw lub usług oraz 20 000 000 euro dla robót budowlanych;</w:t>
      </w:r>
    </w:p>
    <w:p w14:paraId="339178FF" w14:textId="77777777" w:rsidR="009818F4" w:rsidRPr="009818F4" w:rsidRDefault="009818F4" w:rsidP="00565A93">
      <w:pPr>
        <w:numPr>
          <w:ilvl w:val="0"/>
          <w:numId w:val="20"/>
        </w:numPr>
        <w:spacing w:line="360" w:lineRule="auto"/>
        <w:jc w:val="left"/>
        <w:rPr>
          <w:rFonts w:cs="Arial"/>
        </w:rPr>
      </w:pPr>
      <w:r w:rsidRPr="009818F4">
        <w:rPr>
          <w:rFonts w:cs="Arial"/>
        </w:rPr>
        <w:t>150 000 zł - gdy wartość zamówienia jest równa lub przekracza wyrażoną w złotych równowartość kwoty 10 000 000 euro dla dostaw lub usług oraz 20 000 000 euro dla robót budowlanych.</w:t>
      </w:r>
    </w:p>
    <w:p w14:paraId="7A3774DF" w14:textId="658BCEEF" w:rsidR="009818F4" w:rsidRPr="009818F4" w:rsidRDefault="009818F4" w:rsidP="00395B3F">
      <w:pPr>
        <w:spacing w:before="120" w:line="360" w:lineRule="auto"/>
        <w:jc w:val="left"/>
        <w:rPr>
          <w:rFonts w:cs="Arial"/>
        </w:rPr>
      </w:pPr>
      <w:r w:rsidRPr="009818F4">
        <w:rPr>
          <w:rFonts w:cs="Arial"/>
        </w:rPr>
        <w:t>Termin progów unijnych, stanowiący wyznacznik dla określenia wysokości kar pieniężnych, został zdefiniowany w art. 3 ust. 1 ustawy Pzp. O aktualnych progach unijnych, ich równowartości w złotych oraz o równowartości w złotych kwot wyrażonych w ustawie</w:t>
      </w:r>
      <w:r w:rsidR="00D239F8">
        <w:rPr>
          <w:rFonts w:cs="Arial"/>
        </w:rPr>
        <w:t xml:space="preserve"> Pzp</w:t>
      </w:r>
      <w:r w:rsidRPr="009818F4">
        <w:rPr>
          <w:rFonts w:cs="Arial"/>
        </w:rPr>
        <w:t xml:space="preserve"> w euro oraz o średnim kursie złotego w stosunku do euro, stanowiącym podstawę przeliczania wartości zamówień lub konkursów, Prezes Urzędu informuje w drodze obwieszczenia, publikowanego w Dzienniku Urzędowym Rzeczypospolitej Polskiej „Monitor Polski”, oraz zamieszczanego na stronie internetowej Urzędu Zamówień Publicznych. </w:t>
      </w:r>
    </w:p>
    <w:p w14:paraId="4F1F1874" w14:textId="64AE624D" w:rsidR="009818F4" w:rsidRPr="00395B3F" w:rsidRDefault="00395B3F" w:rsidP="00852522">
      <w:pPr>
        <w:pStyle w:val="Nagwek4"/>
      </w:pPr>
      <w:r>
        <w:t>1.</w:t>
      </w:r>
      <w:r w:rsidR="009818F4" w:rsidRPr="00395B3F">
        <w:t>4</w:t>
      </w:r>
      <w:r>
        <w:t xml:space="preserve">. </w:t>
      </w:r>
      <w:r w:rsidR="009818F4" w:rsidRPr="00395B3F">
        <w:t xml:space="preserve">Kary pieniężne nałożone przez Prezesa UZP w 2025 r. </w:t>
      </w:r>
    </w:p>
    <w:p w14:paraId="6F50C77F" w14:textId="77777777" w:rsidR="009818F4" w:rsidRPr="009818F4" w:rsidRDefault="009818F4" w:rsidP="00395B3F">
      <w:pPr>
        <w:spacing w:before="120" w:line="360" w:lineRule="auto"/>
        <w:jc w:val="left"/>
        <w:rPr>
          <w:rFonts w:cs="Arial"/>
        </w:rPr>
      </w:pPr>
      <w:r w:rsidRPr="009818F4">
        <w:rPr>
          <w:rFonts w:cs="Arial"/>
        </w:rPr>
        <w:t xml:space="preserve">W 2025 r. Prezes UZP wydał </w:t>
      </w:r>
      <w:r w:rsidRPr="009818F4">
        <w:rPr>
          <w:rFonts w:cs="Arial"/>
          <w:b/>
          <w:bCs/>
        </w:rPr>
        <w:t>3</w:t>
      </w:r>
      <w:r w:rsidRPr="009818F4">
        <w:rPr>
          <w:rFonts w:cs="Arial"/>
        </w:rPr>
        <w:t xml:space="preserve"> decyzje nakładające na zamawiających kary pieniężne.</w:t>
      </w:r>
    </w:p>
    <w:p w14:paraId="39A5BDF5" w14:textId="77777777" w:rsidR="009818F4" w:rsidRPr="009818F4" w:rsidRDefault="009818F4" w:rsidP="00395B3F">
      <w:pPr>
        <w:spacing w:before="120" w:line="360" w:lineRule="auto"/>
        <w:jc w:val="left"/>
        <w:rPr>
          <w:rFonts w:cs="Arial"/>
        </w:rPr>
      </w:pPr>
      <w:r w:rsidRPr="009818F4">
        <w:rPr>
          <w:rFonts w:cs="Arial"/>
        </w:rPr>
        <w:t>Decyzje o nałożeniu kar pieniężnych dotyczyły następujących deliktów administracyjnych:</w:t>
      </w:r>
    </w:p>
    <w:p w14:paraId="26752756" w14:textId="77777777" w:rsidR="009818F4" w:rsidRPr="009818F4" w:rsidRDefault="009818F4" w:rsidP="00565A93">
      <w:pPr>
        <w:numPr>
          <w:ilvl w:val="0"/>
          <w:numId w:val="21"/>
        </w:numPr>
        <w:spacing w:line="360" w:lineRule="auto"/>
        <w:jc w:val="left"/>
        <w:rPr>
          <w:rFonts w:cs="Arial"/>
        </w:rPr>
      </w:pPr>
      <w:r w:rsidRPr="009818F4">
        <w:rPr>
          <w:rFonts w:cs="Arial"/>
        </w:rPr>
        <w:t>dokonania wyboru najkorzystniejszej oferty z naruszeniem art. 128 ust. 1, art. 226 ust. 1 pkt 2 lit. c), art. 16 pkt 1 ustawy Pzp, co miało wpływ na wynik postępowania;</w:t>
      </w:r>
    </w:p>
    <w:p w14:paraId="7772E515" w14:textId="77777777" w:rsidR="009818F4" w:rsidRPr="009818F4" w:rsidRDefault="009818F4" w:rsidP="00565A93">
      <w:pPr>
        <w:numPr>
          <w:ilvl w:val="0"/>
          <w:numId w:val="21"/>
        </w:numPr>
        <w:spacing w:line="360" w:lineRule="auto"/>
        <w:jc w:val="left"/>
        <w:rPr>
          <w:rFonts w:cs="Arial"/>
        </w:rPr>
      </w:pPr>
      <w:r w:rsidRPr="009818F4">
        <w:rPr>
          <w:rFonts w:cs="Arial"/>
        </w:rPr>
        <w:t>udzielenia zamówienia publicznego bez zastosowania ustawy Pzp;</w:t>
      </w:r>
    </w:p>
    <w:p w14:paraId="0DCB447A" w14:textId="77777777" w:rsidR="009818F4" w:rsidRPr="009818F4" w:rsidRDefault="009818F4" w:rsidP="00565A93">
      <w:pPr>
        <w:numPr>
          <w:ilvl w:val="0"/>
          <w:numId w:val="21"/>
        </w:numPr>
        <w:spacing w:line="360" w:lineRule="auto"/>
        <w:jc w:val="left"/>
        <w:rPr>
          <w:rFonts w:cs="Arial"/>
        </w:rPr>
      </w:pPr>
      <w:r w:rsidRPr="009818F4">
        <w:rPr>
          <w:rFonts w:cs="Arial"/>
        </w:rPr>
        <w:t xml:space="preserve">udzielenie zamówienia publicznego z naruszeniem art. 305 pkt 2 ustawy Pzp określającego przesłanki stosowania trybu z wolnej ręki. </w:t>
      </w:r>
    </w:p>
    <w:p w14:paraId="322463A4" w14:textId="77777777" w:rsidR="009818F4" w:rsidRPr="009818F4" w:rsidRDefault="009818F4" w:rsidP="00395B3F">
      <w:pPr>
        <w:spacing w:before="120" w:line="360" w:lineRule="auto"/>
        <w:jc w:val="left"/>
        <w:rPr>
          <w:rFonts w:cs="Arial"/>
        </w:rPr>
      </w:pPr>
      <w:r w:rsidRPr="009818F4">
        <w:rPr>
          <w:rFonts w:cs="Arial"/>
        </w:rPr>
        <w:t>W ww. decyzjach Prezes UZP nałożył kary pieniężne w wysokości:</w:t>
      </w:r>
    </w:p>
    <w:p w14:paraId="390F67DD" w14:textId="77777777" w:rsidR="009818F4" w:rsidRPr="009818F4" w:rsidRDefault="009818F4" w:rsidP="00565A93">
      <w:pPr>
        <w:numPr>
          <w:ilvl w:val="0"/>
          <w:numId w:val="22"/>
        </w:numPr>
        <w:spacing w:line="360" w:lineRule="auto"/>
        <w:jc w:val="left"/>
        <w:rPr>
          <w:rFonts w:cs="Arial"/>
        </w:rPr>
      </w:pPr>
      <w:r w:rsidRPr="009818F4">
        <w:rPr>
          <w:rFonts w:cs="Arial"/>
        </w:rPr>
        <w:t>3 000 zł – w 2 sprawach;</w:t>
      </w:r>
    </w:p>
    <w:p w14:paraId="1F106899" w14:textId="77777777" w:rsidR="009818F4" w:rsidRPr="009818F4" w:rsidRDefault="009818F4" w:rsidP="00565A93">
      <w:pPr>
        <w:numPr>
          <w:ilvl w:val="0"/>
          <w:numId w:val="22"/>
        </w:numPr>
        <w:spacing w:line="360" w:lineRule="auto"/>
        <w:jc w:val="left"/>
        <w:rPr>
          <w:rFonts w:cs="Arial"/>
        </w:rPr>
      </w:pPr>
      <w:r w:rsidRPr="009818F4">
        <w:rPr>
          <w:rFonts w:cs="Arial"/>
        </w:rPr>
        <w:t>30 000 zł – w 1 sprawie.</w:t>
      </w:r>
    </w:p>
    <w:p w14:paraId="59D53304" w14:textId="77777777" w:rsidR="009818F4" w:rsidRPr="009818F4" w:rsidRDefault="009818F4" w:rsidP="00422F1C">
      <w:pPr>
        <w:spacing w:before="120" w:line="360" w:lineRule="auto"/>
        <w:jc w:val="left"/>
        <w:rPr>
          <w:rFonts w:cs="Arial"/>
        </w:rPr>
      </w:pPr>
      <w:r w:rsidRPr="009818F4">
        <w:rPr>
          <w:rFonts w:cs="Arial"/>
        </w:rPr>
        <w:t xml:space="preserve">W 2025 r. Prezes UZP wszczął również 6 postępowań administracyjnych w przedmiocie nałożenia kar pieniężnych w wysokości po 3 000 zł każda na zamawiającego z powodu niestosowania ustawy Pzp przy udzielaniu zamówień publicznych. </w:t>
      </w:r>
    </w:p>
    <w:p w14:paraId="6C7485C2" w14:textId="77777777" w:rsidR="009818F4" w:rsidRPr="009818F4" w:rsidRDefault="009818F4" w:rsidP="00422F1C">
      <w:pPr>
        <w:spacing w:before="120" w:line="360" w:lineRule="auto"/>
        <w:jc w:val="left"/>
        <w:rPr>
          <w:rFonts w:cs="Arial"/>
        </w:rPr>
      </w:pPr>
      <w:r w:rsidRPr="009818F4">
        <w:rPr>
          <w:rFonts w:cs="Arial"/>
        </w:rPr>
        <w:t xml:space="preserve">W 2025 r. w sprawach kar pieniężnych nakładanych przez Prezesa UZP pozostawało w toku </w:t>
      </w:r>
      <w:r w:rsidRPr="009818F4">
        <w:rPr>
          <w:rFonts w:cs="Arial"/>
          <w:b/>
          <w:bCs/>
        </w:rPr>
        <w:t>8</w:t>
      </w:r>
      <w:r w:rsidRPr="009818F4">
        <w:rPr>
          <w:rFonts w:cs="Arial"/>
        </w:rPr>
        <w:t xml:space="preserve"> spraw przed sądami administracyjnymi pierwszej i drugiej instancji. </w:t>
      </w:r>
    </w:p>
    <w:p w14:paraId="51129C9D" w14:textId="3EBE6CF2" w:rsidR="00810575" w:rsidRPr="00A9161D" w:rsidRDefault="00E55A48" w:rsidP="00852522">
      <w:pPr>
        <w:pStyle w:val="Nagwek4"/>
      </w:pPr>
      <w:r>
        <w:t xml:space="preserve">2. </w:t>
      </w:r>
      <w:r w:rsidR="00810575" w:rsidRPr="00A9161D">
        <w:t>Decyzje dotyczące wpisu na listę organizacji uprawnionych do wnoszenia środków ochrony prawnej</w:t>
      </w:r>
    </w:p>
    <w:p w14:paraId="4BC95864" w14:textId="77777777" w:rsidR="00AE7A35" w:rsidRPr="00AE7A35" w:rsidRDefault="00AE7A35" w:rsidP="00AE7A35">
      <w:pPr>
        <w:spacing w:before="120" w:line="360" w:lineRule="auto"/>
        <w:jc w:val="left"/>
        <w:rPr>
          <w:rFonts w:cs="Arial"/>
        </w:rPr>
      </w:pPr>
      <w:r w:rsidRPr="00AE7A35">
        <w:rPr>
          <w:rFonts w:cs="Arial"/>
        </w:rPr>
        <w:t xml:space="preserve">Jednym z ustawowych zadań Prezesa UZP jest prowadzenie i ogłaszanie na stronie internetowej UZP listy organizacji uprawnionych do wnoszenia środków ochrony prawnej (art. 469 pkt 15 ustawy Pzp). Wpis na przedmiotową listę poprzedzony jest przeprowadzeniem przez Prezesa UZP postępowania administracyjnego w przedmiocie wpisu i wydaniem decyzji administracyjnej o wpisie. </w:t>
      </w:r>
    </w:p>
    <w:p w14:paraId="62EB7159" w14:textId="77777777" w:rsidR="00AE7A35" w:rsidRPr="00AE7A35" w:rsidRDefault="00AE7A35" w:rsidP="00AE7A35">
      <w:pPr>
        <w:spacing w:before="120" w:line="360" w:lineRule="auto"/>
        <w:jc w:val="left"/>
        <w:rPr>
          <w:rFonts w:cs="Arial"/>
        </w:rPr>
      </w:pPr>
      <w:r w:rsidRPr="00AE7A35">
        <w:rPr>
          <w:rFonts w:cs="Arial"/>
        </w:rPr>
        <w:t>O wpis na listę organizacji uprawnionych do wnoszenia środków ochrony prawnej mogą ubiegać się podmioty działające na podstawie przepisów dotyczących:</w:t>
      </w:r>
    </w:p>
    <w:p w14:paraId="7D683BF8" w14:textId="0DD8D333" w:rsidR="00AE7A35" w:rsidRPr="00AE7A35" w:rsidRDefault="00AE7A35" w:rsidP="00565A93">
      <w:pPr>
        <w:pStyle w:val="Akapitzlist"/>
        <w:numPr>
          <w:ilvl w:val="0"/>
          <w:numId w:val="23"/>
        </w:numPr>
        <w:spacing w:line="360" w:lineRule="auto"/>
        <w:jc w:val="left"/>
        <w:rPr>
          <w:rFonts w:cs="Arial"/>
          <w:sz w:val="22"/>
          <w:szCs w:val="22"/>
        </w:rPr>
      </w:pPr>
      <w:r w:rsidRPr="00AE7A35">
        <w:rPr>
          <w:rFonts w:cs="Arial"/>
          <w:sz w:val="22"/>
          <w:szCs w:val="22"/>
        </w:rPr>
        <w:t>izb gospodarczych;</w:t>
      </w:r>
    </w:p>
    <w:p w14:paraId="22D194BA" w14:textId="7BCDB3EE" w:rsidR="00AE7A35" w:rsidRPr="00AE7A35" w:rsidRDefault="00AE7A35" w:rsidP="00565A93">
      <w:pPr>
        <w:pStyle w:val="Akapitzlist"/>
        <w:numPr>
          <w:ilvl w:val="0"/>
          <w:numId w:val="23"/>
        </w:numPr>
        <w:spacing w:line="360" w:lineRule="auto"/>
        <w:jc w:val="left"/>
        <w:rPr>
          <w:rFonts w:cs="Arial"/>
          <w:sz w:val="22"/>
          <w:szCs w:val="22"/>
        </w:rPr>
      </w:pPr>
      <w:r w:rsidRPr="00AE7A35">
        <w:rPr>
          <w:rFonts w:cs="Arial"/>
          <w:sz w:val="22"/>
          <w:szCs w:val="22"/>
        </w:rPr>
        <w:t>rzemiosła;</w:t>
      </w:r>
    </w:p>
    <w:p w14:paraId="5D437252" w14:textId="54411AF9" w:rsidR="00AE7A35" w:rsidRPr="00AE7A35" w:rsidRDefault="00AE7A35" w:rsidP="00565A93">
      <w:pPr>
        <w:pStyle w:val="Akapitzlist"/>
        <w:numPr>
          <w:ilvl w:val="0"/>
          <w:numId w:val="23"/>
        </w:numPr>
        <w:spacing w:line="360" w:lineRule="auto"/>
        <w:jc w:val="left"/>
        <w:rPr>
          <w:rFonts w:cs="Arial"/>
          <w:sz w:val="22"/>
          <w:szCs w:val="22"/>
        </w:rPr>
      </w:pPr>
      <w:r w:rsidRPr="00AE7A35">
        <w:rPr>
          <w:rFonts w:cs="Arial"/>
          <w:sz w:val="22"/>
          <w:szCs w:val="22"/>
        </w:rPr>
        <w:t>samorządu zawodowego niektórych przedsiębiorców;</w:t>
      </w:r>
    </w:p>
    <w:p w14:paraId="7F8589F4" w14:textId="709FDA14" w:rsidR="00AE7A35" w:rsidRPr="00AE7A35" w:rsidRDefault="00AE7A35" w:rsidP="00565A93">
      <w:pPr>
        <w:pStyle w:val="Akapitzlist"/>
        <w:numPr>
          <w:ilvl w:val="0"/>
          <w:numId w:val="23"/>
        </w:numPr>
        <w:spacing w:line="360" w:lineRule="auto"/>
        <w:jc w:val="left"/>
        <w:rPr>
          <w:rFonts w:cs="Arial"/>
          <w:sz w:val="22"/>
          <w:szCs w:val="22"/>
        </w:rPr>
      </w:pPr>
      <w:r w:rsidRPr="00AE7A35">
        <w:rPr>
          <w:rFonts w:cs="Arial"/>
          <w:sz w:val="22"/>
          <w:szCs w:val="22"/>
        </w:rPr>
        <w:t>organizacji pracodawców;</w:t>
      </w:r>
    </w:p>
    <w:p w14:paraId="410A517F" w14:textId="3633F602" w:rsidR="00AE7A35" w:rsidRPr="00AE7A35" w:rsidRDefault="00AE7A35" w:rsidP="00565A93">
      <w:pPr>
        <w:pStyle w:val="Akapitzlist"/>
        <w:numPr>
          <w:ilvl w:val="0"/>
          <w:numId w:val="23"/>
        </w:numPr>
        <w:spacing w:line="360" w:lineRule="auto"/>
        <w:jc w:val="left"/>
        <w:rPr>
          <w:rFonts w:cs="Arial"/>
          <w:sz w:val="22"/>
          <w:szCs w:val="22"/>
        </w:rPr>
      </w:pPr>
      <w:r w:rsidRPr="00AE7A35">
        <w:rPr>
          <w:rFonts w:cs="Arial"/>
          <w:sz w:val="22"/>
          <w:szCs w:val="22"/>
        </w:rPr>
        <w:t>samorządów zawodowych architektów oraz inżynierów budownictwa;</w:t>
      </w:r>
    </w:p>
    <w:p w14:paraId="43E558B7" w14:textId="403AF308" w:rsidR="00AE7A35" w:rsidRPr="00AE7A35" w:rsidRDefault="00AE7A35" w:rsidP="00565A93">
      <w:pPr>
        <w:pStyle w:val="Akapitzlist"/>
        <w:numPr>
          <w:ilvl w:val="0"/>
          <w:numId w:val="23"/>
        </w:numPr>
        <w:spacing w:line="360" w:lineRule="auto"/>
        <w:jc w:val="left"/>
        <w:rPr>
          <w:rFonts w:cs="Arial"/>
          <w:sz w:val="22"/>
          <w:szCs w:val="22"/>
        </w:rPr>
      </w:pPr>
      <w:r w:rsidRPr="00AE7A35">
        <w:rPr>
          <w:rFonts w:cs="Arial"/>
          <w:sz w:val="22"/>
          <w:szCs w:val="22"/>
        </w:rPr>
        <w:t>związków zawodowych.</w:t>
      </w:r>
    </w:p>
    <w:p w14:paraId="3E75E6F3" w14:textId="77777777" w:rsidR="00AE7A35" w:rsidRPr="00AE7A35" w:rsidRDefault="00AE7A35" w:rsidP="00AE7A35">
      <w:pPr>
        <w:spacing w:before="120" w:line="360" w:lineRule="auto"/>
        <w:jc w:val="left"/>
        <w:rPr>
          <w:rFonts w:cs="Arial"/>
        </w:rPr>
      </w:pPr>
      <w:r w:rsidRPr="00AE7A35">
        <w:rPr>
          <w:rFonts w:cs="Arial"/>
        </w:rPr>
        <w:t xml:space="preserve">Prezes UZP dokonuje wpisu na wskazaną listę w drodze decyzji administracyjnej wydawanej </w:t>
      </w:r>
      <w:r w:rsidRPr="00AE7A35">
        <w:rPr>
          <w:rFonts w:cs="Arial"/>
          <w:b/>
          <w:bCs/>
        </w:rPr>
        <w:t>na wniosek</w:t>
      </w:r>
      <w:r w:rsidRPr="00AE7A35">
        <w:rPr>
          <w:rFonts w:cs="Arial"/>
        </w:rPr>
        <w:t xml:space="preserve">, w którym zainteresowany podmiot winien wykazać, że działa na podstawie ww. przepisów (składając odpowiednie dokumenty, np. statut). Wniosek podlega opłacie skarbowej w wysokości 10 zł. </w:t>
      </w:r>
    </w:p>
    <w:p w14:paraId="7B3DBCC4" w14:textId="77777777" w:rsidR="00AE7A35" w:rsidRPr="00AE7A35" w:rsidRDefault="00AE7A35" w:rsidP="00AE7A35">
      <w:pPr>
        <w:spacing w:before="120" w:line="360" w:lineRule="auto"/>
        <w:jc w:val="left"/>
        <w:rPr>
          <w:rFonts w:cs="Arial"/>
        </w:rPr>
      </w:pPr>
      <w:r w:rsidRPr="00AE7A35">
        <w:rPr>
          <w:rFonts w:cs="Arial"/>
        </w:rPr>
        <w:t xml:space="preserve">W 2025 r. Prezes UZP wydał </w:t>
      </w:r>
      <w:r w:rsidRPr="00AE7A35">
        <w:rPr>
          <w:rFonts w:cs="Arial"/>
          <w:b/>
          <w:bCs/>
        </w:rPr>
        <w:t>3</w:t>
      </w:r>
      <w:r w:rsidRPr="00AE7A35">
        <w:rPr>
          <w:rFonts w:cs="Arial"/>
        </w:rPr>
        <w:t xml:space="preserve"> decyzje o wpisie na listę organizacji uprawnionych do wnoszenia środków ochrony prawnej oraz </w:t>
      </w:r>
      <w:r w:rsidRPr="00AE7A35">
        <w:rPr>
          <w:rFonts w:cs="Arial"/>
          <w:b/>
          <w:bCs/>
        </w:rPr>
        <w:t>1</w:t>
      </w:r>
      <w:r w:rsidRPr="00AE7A35">
        <w:rPr>
          <w:rFonts w:cs="Arial"/>
        </w:rPr>
        <w:t xml:space="preserve"> decyzję o odmowie wpisu na listę organizacji uprawnionych do wnoszenia środków ochrony prawnej. Nie były wydawane decyzje </w:t>
      </w:r>
      <w:r w:rsidRPr="00AE7A35">
        <w:rPr>
          <w:rFonts w:cs="Arial"/>
        </w:rPr>
        <w:br/>
        <w:t>o skreśleniu z ww. listy.</w:t>
      </w:r>
    </w:p>
    <w:p w14:paraId="5DCE72BD" w14:textId="77777777" w:rsidR="00AE7A35" w:rsidRPr="00AE7A35" w:rsidRDefault="00AE7A35" w:rsidP="00AE7A35">
      <w:pPr>
        <w:spacing w:before="120" w:line="360" w:lineRule="auto"/>
        <w:jc w:val="left"/>
        <w:rPr>
          <w:rFonts w:cs="Arial"/>
        </w:rPr>
      </w:pPr>
      <w:r w:rsidRPr="00AE7A35">
        <w:rPr>
          <w:rFonts w:cs="Arial"/>
        </w:rPr>
        <w:t>Lista organizacji uprawnionych do wnoszenia środków ochrony prawnej jest opublikowana na stronie internetowej UZP, w zakładce KIO:</w:t>
      </w:r>
    </w:p>
    <w:p w14:paraId="35FB115F" w14:textId="491CA27C" w:rsidR="00AE7A35" w:rsidRPr="00AE7A35" w:rsidRDefault="00AE7A35" w:rsidP="00AE7A35">
      <w:pPr>
        <w:spacing w:line="360" w:lineRule="auto"/>
        <w:jc w:val="left"/>
        <w:rPr>
          <w:rFonts w:cs="Arial"/>
        </w:rPr>
      </w:pPr>
      <w:hyperlink r:id="rId95" w:history="1">
        <w:r w:rsidRPr="00F16591">
          <w:rPr>
            <w:rStyle w:val="Hipercze"/>
            <w:rFonts w:cs="Arial"/>
          </w:rPr>
          <w:t>https://www.gov.pl/web/uzp/lista-organizacji-uprawnionych-do-wnoszenia-odwolan</w:t>
        </w:r>
      </w:hyperlink>
      <w:r>
        <w:rPr>
          <w:rFonts w:cs="Arial"/>
        </w:rPr>
        <w:t xml:space="preserve"> </w:t>
      </w:r>
    </w:p>
    <w:p w14:paraId="2DF66F25" w14:textId="6380C964" w:rsidR="00846CAF" w:rsidRPr="00CA29C7" w:rsidRDefault="00CC2929" w:rsidP="00270CF3">
      <w:pPr>
        <w:pStyle w:val="Nagwek3"/>
      </w:pPr>
      <w:bookmarkStart w:id="312" w:name="_Toc64451877"/>
      <w:bookmarkStart w:id="313" w:name="_Toc233203309"/>
      <w:r>
        <w:t>I</w:t>
      </w:r>
      <w:r w:rsidR="00846CAF" w:rsidRPr="00CA29C7">
        <w:t>II.1.</w:t>
      </w:r>
      <w:r w:rsidR="00DD76E1">
        <w:t>9</w:t>
      </w:r>
      <w:r w:rsidR="00846CAF" w:rsidRPr="00CA29C7">
        <w:t xml:space="preserve">. </w:t>
      </w:r>
      <w:bookmarkEnd w:id="312"/>
      <w:r w:rsidR="003A1363" w:rsidRPr="003A1363">
        <w:t>Sprawy sądowe prowadzone przez Prezesa UZP</w:t>
      </w:r>
      <w:bookmarkEnd w:id="313"/>
    </w:p>
    <w:p w14:paraId="4899E056" w14:textId="5DB34474" w:rsidR="00E06C48" w:rsidRPr="00417149" w:rsidRDefault="00E06C48" w:rsidP="00852522">
      <w:pPr>
        <w:pStyle w:val="Nagwek4"/>
      </w:pPr>
      <w:r>
        <w:t xml:space="preserve">1. </w:t>
      </w:r>
      <w:r w:rsidRPr="00417149">
        <w:t>Skargi na orzeczenia KIO</w:t>
      </w:r>
      <w:r>
        <w:t xml:space="preserve"> </w:t>
      </w:r>
      <w:r w:rsidRPr="00E06C48">
        <w:t>lub na postanowienie Prezesa Izby o zwrocie odwołania</w:t>
      </w:r>
    </w:p>
    <w:p w14:paraId="55231837" w14:textId="7DE5D08C" w:rsidR="00E06C48" w:rsidRPr="00E06C48" w:rsidRDefault="00E06C48" w:rsidP="00E06C48">
      <w:pPr>
        <w:shd w:val="clear" w:color="auto" w:fill="FFFFFF"/>
        <w:spacing w:before="120" w:line="360" w:lineRule="auto"/>
        <w:jc w:val="left"/>
      </w:pPr>
      <w:r w:rsidRPr="00E06C48">
        <w:t xml:space="preserve">Prezesowi UZP przysługuje uprawnienie do wniesienia skargi na orzeczenie </w:t>
      </w:r>
      <w:r w:rsidR="00447234">
        <w:t>KIO</w:t>
      </w:r>
      <w:r w:rsidRPr="00E06C48">
        <w:t xml:space="preserve"> lub na postanowienie Prezesa Izby o zwrocie odwołania (art. 580 ust. 4 Pzp). W postępowaniu skargowym Prezes UZP nie występuje w interesie żadnej z jego stron, ale w interesie publicznym, wyrażającym się w dbałości o jednolitość stosowania przepisów o zamówieniach publicznych oraz dbałości o usuwanie z obrotu tych orzeczeń, które stoją w rażącej sprzeczności z przepisami ustawy Pzp. </w:t>
      </w:r>
    </w:p>
    <w:p w14:paraId="3E64DFDB" w14:textId="77777777" w:rsidR="00E06C48" w:rsidRPr="00E06C48" w:rsidRDefault="00E06C48" w:rsidP="00E06C48">
      <w:pPr>
        <w:shd w:val="clear" w:color="auto" w:fill="FFFFFF"/>
        <w:spacing w:before="120" w:line="360" w:lineRule="auto"/>
        <w:jc w:val="left"/>
      </w:pPr>
      <w:r w:rsidRPr="00E06C48">
        <w:t xml:space="preserve">W 2025 r. Prezes UZP wniósł </w:t>
      </w:r>
      <w:r w:rsidRPr="00E06C48">
        <w:rPr>
          <w:b/>
          <w:bCs/>
        </w:rPr>
        <w:t>4</w:t>
      </w:r>
      <w:r w:rsidRPr="00E06C48">
        <w:t xml:space="preserve"> skargi. </w:t>
      </w:r>
    </w:p>
    <w:p w14:paraId="3EECA149" w14:textId="5DB06A64" w:rsidR="00E06C48" w:rsidRPr="00E06C48" w:rsidRDefault="00E06C48" w:rsidP="00E06C48">
      <w:pPr>
        <w:shd w:val="clear" w:color="auto" w:fill="FFFFFF"/>
        <w:spacing w:before="120" w:line="360" w:lineRule="auto"/>
        <w:jc w:val="left"/>
      </w:pPr>
      <w:r w:rsidRPr="00E06C48">
        <w:t xml:space="preserve">Jedna ze skarg dotyczyła wyroku Izby z dnia 4 marca 2025 r.(sygn. akt KIO 394/25, KIO 509/25) w którym Izba – uwzględniając odwołanie w okolicznościach zawarcia umowy </w:t>
      </w:r>
      <w:r w:rsidRPr="00E06C48">
        <w:br/>
        <w:t>w sprawie zamówienia publicznego z naruszeniem okresu zawieszenia</w:t>
      </w:r>
      <w:r w:rsidRPr="00E06C48">
        <w:rPr>
          <w:i/>
          <w:iCs/>
        </w:rPr>
        <w:t xml:space="preserve"> </w:t>
      </w:r>
      <w:proofErr w:type="spellStart"/>
      <w:r w:rsidRPr="00E06C48">
        <w:rPr>
          <w:i/>
          <w:iCs/>
        </w:rPr>
        <w:t>standstill</w:t>
      </w:r>
      <w:proofErr w:type="spellEnd"/>
      <w:r w:rsidRPr="00E06C48">
        <w:t xml:space="preserve"> oraz przed ogłoszeniem przez Izbę wyroku – nakazała zamawiającemu unieważnienie umowy </w:t>
      </w:r>
      <w:r w:rsidRPr="00E06C48">
        <w:br/>
        <w:t xml:space="preserve">i dokonanie określonych czynności w postępowaniu o udzielenie zamówienia publicznego. W skardze Prezes UZP wywodził, że w okolicznościach sprawy to Izba winna była umowę unieważnić, gdyż na gruncie ustawy Pzp zamawiający nie jest uprawniony do jej unieważnienia oraz że niegodne z przepisami ustawy Pzp było nakazanie zamawiającemu dokonania czynności w postępowaniu, które zostało już zakończone zawarciem umowy. W wyroku z dnia 12 czerwca 2025 r. (sygn. akt: XXIII </w:t>
      </w:r>
      <w:proofErr w:type="spellStart"/>
      <w:r w:rsidRPr="00E06C48">
        <w:t>Zs</w:t>
      </w:r>
      <w:proofErr w:type="spellEnd"/>
      <w:r w:rsidRPr="00E06C48">
        <w:t xml:space="preserve"> 51/25) uwzględniając skargę Sąd Okręgowy w Warszawie zmienił wyrok w zaskarżonej części ten sposób, że unieważnił umowę, a w pozostałej części – wobec unieważnienia postępowania przez zamawiającego – postępowanie skargowe umorzył. </w:t>
      </w:r>
    </w:p>
    <w:p w14:paraId="16F4475D" w14:textId="77FA0433" w:rsidR="00E06C48" w:rsidRPr="00E06C48" w:rsidRDefault="00E06C48" w:rsidP="00E06C48">
      <w:pPr>
        <w:shd w:val="clear" w:color="auto" w:fill="FFFFFF"/>
        <w:spacing w:before="120" w:line="360" w:lineRule="auto"/>
        <w:jc w:val="left"/>
      </w:pPr>
      <w:r w:rsidRPr="00E06C48">
        <w:t xml:space="preserve">Pozostałe skargi dotyczyły zagadnień formalnych. 3 skargi zostały wniesione na postanowienia o zwrocie </w:t>
      </w:r>
      <w:proofErr w:type="spellStart"/>
      <w:r w:rsidRPr="00E06C48">
        <w:t>odwołań</w:t>
      </w:r>
      <w:proofErr w:type="spellEnd"/>
      <w:r w:rsidRPr="00E06C48">
        <w:t xml:space="preserve"> (tj. na postanowienie Prezesa Izby z dnia 13 stycznia 20</w:t>
      </w:r>
      <w:r>
        <w:t>25 </w:t>
      </w:r>
      <w:r w:rsidRPr="00E06C48">
        <w:t xml:space="preserve">r., sygn. akt KIO 4729/24; na postanowienie Izby z dnia 29 maja 2025 r., sygn. akt KIO 1827/25, na postanowienie Prezesa Izby z dnia 7 listopada 2025 r., sygn. akt KIO 4411/25). Sąd Okręgowy w Warszawie, uznając zasadność skarg Prezesa UZP, uchylił zaskarżone postanowienia (odpowiednio: postanowienie Sądu Okręgowego w Warszawie z dnia 31 marca 2025 r., sygn. akt: XXIII </w:t>
      </w:r>
      <w:proofErr w:type="spellStart"/>
      <w:r w:rsidRPr="00E06C48">
        <w:t>Zs</w:t>
      </w:r>
      <w:proofErr w:type="spellEnd"/>
      <w:r w:rsidRPr="00E06C48">
        <w:t xml:space="preserve"> 19/25; postanowienie Sądu Okręgowego w Warszawie z dnia 6 sierpnia 2025 r., sygn. akt: XXIII </w:t>
      </w:r>
      <w:proofErr w:type="spellStart"/>
      <w:r w:rsidRPr="00E06C48">
        <w:t>Zs</w:t>
      </w:r>
      <w:proofErr w:type="spellEnd"/>
      <w:r w:rsidRPr="00E06C48">
        <w:t xml:space="preserve"> 86/25). Trzecia ze wskazanych spraw nie została rozpoznana w 2025 r. </w:t>
      </w:r>
    </w:p>
    <w:p w14:paraId="34626618" w14:textId="77777777" w:rsidR="00E06C48" w:rsidRPr="00E06C48" w:rsidRDefault="00E06C48" w:rsidP="00E06C48">
      <w:pPr>
        <w:shd w:val="clear" w:color="auto" w:fill="FFFFFF"/>
        <w:spacing w:before="120" w:line="360" w:lineRule="auto"/>
        <w:jc w:val="left"/>
      </w:pPr>
      <w:r w:rsidRPr="00E06C48">
        <w:t>W 2025 r. Prezes UZP nie przystępował do postępowań skargowych.</w:t>
      </w:r>
    </w:p>
    <w:p w14:paraId="3DF3801C" w14:textId="77777777" w:rsidR="00E06C48" w:rsidRPr="00E06C48" w:rsidRDefault="00E06C48" w:rsidP="00E06C48">
      <w:pPr>
        <w:shd w:val="clear" w:color="auto" w:fill="FFFFFF"/>
        <w:spacing w:before="120" w:line="360" w:lineRule="auto"/>
        <w:jc w:val="left"/>
      </w:pPr>
      <w:r w:rsidRPr="00E06C48">
        <w:t xml:space="preserve">W 2025 r. Prezes UZP wniósł </w:t>
      </w:r>
      <w:r w:rsidRPr="00E06C48">
        <w:rPr>
          <w:b/>
          <w:bCs/>
        </w:rPr>
        <w:t>3</w:t>
      </w:r>
      <w:r w:rsidRPr="00E06C48">
        <w:t xml:space="preserve"> skargi kasacyjne od postanowień Sądu Okręgowego </w:t>
      </w:r>
      <w:r w:rsidRPr="00E06C48">
        <w:br/>
        <w:t xml:space="preserve">w Warszawie o uchyleniu zaskarżonych postanowień (Prezesa Izby albo Izby) o charakterze formalnym (tj. od postanowienia z dnia 19 marca 2025 r., sygn. akt: XXIII </w:t>
      </w:r>
      <w:proofErr w:type="spellStart"/>
      <w:r w:rsidRPr="00E06C48">
        <w:t>Zs</w:t>
      </w:r>
      <w:proofErr w:type="spellEnd"/>
      <w:r w:rsidRPr="00E06C48">
        <w:t xml:space="preserve"> 11/25; </w:t>
      </w:r>
      <w:r w:rsidRPr="00E06C48">
        <w:br/>
        <w:t xml:space="preserve">od postanowienia z dnia 31 marca 2025 r., sygn. akt: XXIII </w:t>
      </w:r>
      <w:proofErr w:type="spellStart"/>
      <w:r w:rsidRPr="00E06C48">
        <w:t>Zs</w:t>
      </w:r>
      <w:proofErr w:type="spellEnd"/>
      <w:r w:rsidRPr="00E06C48">
        <w:t xml:space="preserve"> 19/25; od postanowienia </w:t>
      </w:r>
      <w:r w:rsidRPr="00E06C48">
        <w:br/>
        <w:t xml:space="preserve">z dnia 6 sierpnia 2025 r., sygn. akt: XXIII </w:t>
      </w:r>
      <w:proofErr w:type="spellStart"/>
      <w:r w:rsidRPr="00E06C48">
        <w:t>Zs</w:t>
      </w:r>
      <w:proofErr w:type="spellEnd"/>
      <w:r w:rsidRPr="00E06C48">
        <w:t xml:space="preserve"> 86/25). Sprawy te nie zostały rozpoznane </w:t>
      </w:r>
      <w:r w:rsidRPr="00E06C48">
        <w:br/>
        <w:t xml:space="preserve">w 2025 r. </w:t>
      </w:r>
    </w:p>
    <w:p w14:paraId="6E90E9AC" w14:textId="4800FB0D" w:rsidR="00E06C48" w:rsidRDefault="00E06C48" w:rsidP="00746FAF">
      <w:pPr>
        <w:shd w:val="clear" w:color="auto" w:fill="FFFFFF"/>
        <w:spacing w:before="120" w:line="360" w:lineRule="auto"/>
        <w:jc w:val="left"/>
      </w:pPr>
      <w:r w:rsidRPr="00E06C48">
        <w:t xml:space="preserve">W 2025 r. nadal pozostawała zawieszona przed Sądem Najwyższym sprawa ze skargi kasacyjnej Prezesa UZP od postanowienia Sądu Okręgowego w Warszawie z dnia 11 kwietnia 2022 r. (sygn. akt: XXIII </w:t>
      </w:r>
      <w:proofErr w:type="spellStart"/>
      <w:r w:rsidRPr="00E06C48">
        <w:t>Zs</w:t>
      </w:r>
      <w:proofErr w:type="spellEnd"/>
      <w:r w:rsidRPr="00E06C48">
        <w:t xml:space="preserve"> 148/21), przyjętej do rozpoznania przez Sąd Najwyższy w 2023 r. </w:t>
      </w:r>
    </w:p>
    <w:p w14:paraId="499453BE" w14:textId="04C2F992" w:rsidR="00E06C48" w:rsidRPr="00417149" w:rsidRDefault="00746FAF" w:rsidP="00852522">
      <w:pPr>
        <w:pStyle w:val="Nagwek4"/>
      </w:pPr>
      <w:r>
        <w:t>2</w:t>
      </w:r>
      <w:r w:rsidR="00E06C48">
        <w:t xml:space="preserve">. </w:t>
      </w:r>
      <w:r w:rsidR="00E06C48" w:rsidRPr="00AA6F79">
        <w:t>Powództwa o unieważnienie umowy w sprawie udzielenia zamówienia publicznego</w:t>
      </w:r>
    </w:p>
    <w:p w14:paraId="1B4538FE" w14:textId="77777777" w:rsidR="00895778" w:rsidRPr="00895778" w:rsidRDefault="00895778" w:rsidP="00895778">
      <w:pPr>
        <w:shd w:val="clear" w:color="auto" w:fill="FFFFFF"/>
        <w:spacing w:before="120" w:line="360" w:lineRule="auto"/>
        <w:jc w:val="left"/>
      </w:pPr>
      <w:r w:rsidRPr="00895778">
        <w:t>Na podstawie ustawy Pzp Prezes UZP posiada kompetencję do wystąpienia z pozwem o unieważnienie umowy w sprawie zamówienia publicznego, a także o unieważnienie zmiany umowy w sprawie zamówienia publicznego. Katalog przesłanek unieważnienia umowy w sprawie zamówienia publicznego jest określony w art. 457 ust. 1 ustawy Pzp i ma charakter zamknięty (art. 459 Pzp). Zmiana umowy podlega unieważnieniu, jeżeli została dokonana z naruszeniem art. 454 i art. 455 Pzp (art. 458 Pzp).</w:t>
      </w:r>
    </w:p>
    <w:p w14:paraId="49A81D06" w14:textId="63DBDD4E" w:rsidR="00895778" w:rsidRPr="00895778" w:rsidRDefault="00895778" w:rsidP="00895778">
      <w:pPr>
        <w:shd w:val="clear" w:color="auto" w:fill="FFFFFF"/>
        <w:spacing w:before="120" w:line="360" w:lineRule="auto"/>
        <w:jc w:val="left"/>
      </w:pPr>
      <w:r w:rsidRPr="00895778">
        <w:t>Prezes UZP nie wytaczał w 2025 r. powództw o unieważnienie umowy w sprawie udzielenia zamówienia publicznego. W 2024 r. pozostawała w toku 1 sprawa sądowa w przedmiocie unieważnienia umów w sprawie zamówienia publicznego, w której pozew został wniesiony przed 2024 r., tj. w sprawie dotyczącej udzielenia trzech zamówień na dostawy defibrylatorów przenośnych, w sytuacji opisania przedmiotu zamówienia w sposób naruszający uczciwą konkurencję. Wyrokiem z dnia 30 października 2023 r. sygn. akt I C 765/17 Sąd Okręgowy w Olsztynie uwzględnił powództwo i unieważnił umowy. Wyrok na dzień 31 grudnia 2025 r. nie był prawomocny</w:t>
      </w:r>
      <w:r>
        <w:t>.</w:t>
      </w:r>
    </w:p>
    <w:p w14:paraId="49F4E5EC" w14:textId="514F8861" w:rsidR="00DD76E1" w:rsidRPr="00A62791" w:rsidRDefault="00CC2929" w:rsidP="00270CF3">
      <w:pPr>
        <w:pStyle w:val="Nagwek3"/>
      </w:pPr>
      <w:bookmarkStart w:id="314" w:name="_Toc233203310"/>
      <w:r>
        <w:t>I</w:t>
      </w:r>
      <w:r w:rsidR="00DD76E1" w:rsidRPr="009A14DE">
        <w:t xml:space="preserve">II.1.10. </w:t>
      </w:r>
      <w:r w:rsidR="00DD76E1" w:rsidRPr="00DD76E1">
        <w:t>Polskie Przewodnictwo w Radzie Unii Europejskiej</w:t>
      </w:r>
      <w:bookmarkEnd w:id="314"/>
    </w:p>
    <w:p w14:paraId="02E8D6F1" w14:textId="44918FD0" w:rsidR="002C69D4" w:rsidRPr="00292EE8" w:rsidRDefault="002C69D4" w:rsidP="00852522">
      <w:pPr>
        <w:pStyle w:val="Nagwek4"/>
      </w:pPr>
      <w:bookmarkStart w:id="315" w:name="_Toc223156055"/>
      <w:bookmarkStart w:id="316" w:name="_Toc223156275"/>
      <w:bookmarkStart w:id="317" w:name="_Toc223923440"/>
      <w:bookmarkStart w:id="318" w:name="_Toc223924353"/>
      <w:r>
        <w:t xml:space="preserve">1. </w:t>
      </w:r>
      <w:r w:rsidRPr="002C69D4">
        <w:t>Grupa robocza do spraw zamówień publicznych</w:t>
      </w:r>
    </w:p>
    <w:p w14:paraId="2A5BDC7A" w14:textId="77777777" w:rsidR="001F1338" w:rsidRPr="001F1338" w:rsidRDefault="001F1338" w:rsidP="001F1338">
      <w:pPr>
        <w:spacing w:before="120" w:line="360" w:lineRule="auto"/>
        <w:jc w:val="left"/>
        <w:rPr>
          <w:rFonts w:cs="Arial"/>
          <w:bCs/>
          <w:szCs w:val="22"/>
        </w:rPr>
      </w:pPr>
      <w:r w:rsidRPr="001F1338">
        <w:rPr>
          <w:rFonts w:cs="Arial"/>
          <w:bCs/>
          <w:szCs w:val="22"/>
        </w:rPr>
        <w:t>I półrocze 2025 r. to okres przewodnictwa Polski w Radzie Unii Europejskiej. Zgodnie z programem polskiej prezydencji, priorytetami w obszarze zamówień publicznych były:</w:t>
      </w:r>
    </w:p>
    <w:p w14:paraId="2125FA88" w14:textId="77777777" w:rsidR="001F1338" w:rsidRPr="001F1338" w:rsidRDefault="001F1338" w:rsidP="00565A93">
      <w:pPr>
        <w:numPr>
          <w:ilvl w:val="0"/>
          <w:numId w:val="32"/>
        </w:numPr>
        <w:spacing w:line="360" w:lineRule="auto"/>
        <w:jc w:val="left"/>
        <w:rPr>
          <w:rFonts w:cs="Arial"/>
          <w:bCs/>
          <w:szCs w:val="22"/>
        </w:rPr>
      </w:pPr>
      <w:r w:rsidRPr="001F1338">
        <w:rPr>
          <w:rFonts w:cs="Arial"/>
          <w:bCs/>
          <w:szCs w:val="22"/>
        </w:rPr>
        <w:t>monitorowanie i koordynacja przepisów dotyczących zamówień publicznych, poprzez zaangażowanie grupy roboczej właściwej w sprawach zamówień publicznych w prace legislacyjne nad projektami sektorowych aktów prawnych UE, które zawierają przepisy odnoszące się bezpośrednio do zamówień publicznych;</w:t>
      </w:r>
    </w:p>
    <w:p w14:paraId="49090574" w14:textId="77777777" w:rsidR="001F1338" w:rsidRPr="001F1338" w:rsidRDefault="001F1338" w:rsidP="00565A93">
      <w:pPr>
        <w:numPr>
          <w:ilvl w:val="0"/>
          <w:numId w:val="32"/>
        </w:numPr>
        <w:spacing w:line="360" w:lineRule="auto"/>
        <w:jc w:val="left"/>
        <w:rPr>
          <w:rFonts w:cs="Arial"/>
          <w:bCs/>
          <w:szCs w:val="22"/>
        </w:rPr>
      </w:pPr>
      <w:r w:rsidRPr="001F1338">
        <w:rPr>
          <w:rFonts w:cs="Arial"/>
          <w:bCs/>
          <w:szCs w:val="22"/>
        </w:rPr>
        <w:t>zapewnienie przestrzeni dla debaty nad istotnymi inicjatywami dotyczącymi zamówień publicznych, zwłaszcza w kontekście polityki przemysłowej.</w:t>
      </w:r>
    </w:p>
    <w:p w14:paraId="7A230901" w14:textId="77777777" w:rsidR="001F1338" w:rsidRPr="001F1338" w:rsidRDefault="001F1338" w:rsidP="001F1338">
      <w:pPr>
        <w:spacing w:before="120" w:line="360" w:lineRule="auto"/>
        <w:jc w:val="left"/>
        <w:rPr>
          <w:rFonts w:cs="Arial"/>
          <w:bCs/>
          <w:szCs w:val="22"/>
        </w:rPr>
      </w:pPr>
      <w:r w:rsidRPr="001F1338">
        <w:rPr>
          <w:rFonts w:cs="Arial"/>
          <w:bCs/>
          <w:szCs w:val="22"/>
        </w:rPr>
        <w:t>W okresie polskiej prezydencji odbyły się trzy posiedzenia grupy roboczej ds. zamówień publicznych w Radzie UE.</w:t>
      </w:r>
    </w:p>
    <w:p w14:paraId="2D1D71B6" w14:textId="77777777" w:rsidR="001F1338" w:rsidRPr="001F1338" w:rsidRDefault="001F1338" w:rsidP="001F1338">
      <w:pPr>
        <w:spacing w:before="120" w:line="360" w:lineRule="auto"/>
        <w:jc w:val="left"/>
        <w:rPr>
          <w:rFonts w:cs="Arial"/>
          <w:bCs/>
          <w:szCs w:val="22"/>
        </w:rPr>
      </w:pPr>
      <w:r w:rsidRPr="001F1338">
        <w:rPr>
          <w:rFonts w:cs="Arial"/>
          <w:bCs/>
          <w:szCs w:val="22"/>
        </w:rPr>
        <w:t xml:space="preserve">Podczas pierwszego posiedzenia grupy, które odbyło się 30 stycznia 2025 r., poza prezentacją priorytetów polskiej prezydencji i przeglądem aktów sektorowych, omówione zostały skutki wyroku TSUE </w:t>
      </w:r>
      <w:proofErr w:type="spellStart"/>
      <w:r w:rsidRPr="001F1338">
        <w:rPr>
          <w:rFonts w:cs="Arial"/>
          <w:bCs/>
          <w:szCs w:val="22"/>
        </w:rPr>
        <w:t>ws</w:t>
      </w:r>
      <w:proofErr w:type="spellEnd"/>
      <w:r w:rsidRPr="001F1338">
        <w:rPr>
          <w:rFonts w:cs="Arial"/>
          <w:bCs/>
          <w:szCs w:val="22"/>
        </w:rPr>
        <w:t>. Kolin</w:t>
      </w:r>
      <w:r w:rsidRPr="001F1338">
        <w:rPr>
          <w:rFonts w:cs="Arial"/>
          <w:bCs/>
          <w:szCs w:val="22"/>
          <w:vertAlign w:val="superscript"/>
        </w:rPr>
        <w:footnoteReference w:id="19"/>
      </w:r>
      <w:r w:rsidRPr="001F1338">
        <w:rPr>
          <w:rFonts w:cs="Arial"/>
          <w:bCs/>
          <w:szCs w:val="22"/>
        </w:rPr>
        <w:t>. Celem spotkania było również przygotowanie debaty politycznej na poziomie ministrów w Radzie ds. Konkurencyjności.</w:t>
      </w:r>
    </w:p>
    <w:p w14:paraId="5DA020D1" w14:textId="77777777" w:rsidR="001F1338" w:rsidRPr="001F1338" w:rsidRDefault="001F1338" w:rsidP="001F1338">
      <w:pPr>
        <w:spacing w:before="120" w:line="360" w:lineRule="auto"/>
        <w:jc w:val="left"/>
        <w:rPr>
          <w:rFonts w:cs="Arial"/>
          <w:bCs/>
          <w:szCs w:val="22"/>
        </w:rPr>
      </w:pPr>
      <w:r w:rsidRPr="001F1338">
        <w:rPr>
          <w:rFonts w:cs="Arial"/>
          <w:bCs/>
          <w:szCs w:val="22"/>
        </w:rPr>
        <w:t>7 marca 2025 r. odbyło się drugie spotkanie grupy ds. zamówień publicznych, w ramach którego omówione zostały Komunikaty Komisji Europejskiej: Kompas Konkurencyjności i Czysty Ład Przemysłowy, a także kwestia dostępu wykonawców z państw trzecich do unijnych rynków zamówień publicznych i koncesji w świetle najnowszego orzecznictwa Trybunału Sprawiedliwości UE</w:t>
      </w:r>
      <w:r w:rsidRPr="001F1338">
        <w:rPr>
          <w:rFonts w:cs="Arial"/>
          <w:bCs/>
          <w:szCs w:val="22"/>
          <w:vertAlign w:val="superscript"/>
        </w:rPr>
        <w:footnoteReference w:id="20"/>
      </w:r>
      <w:r w:rsidRPr="001F1338">
        <w:rPr>
          <w:rFonts w:cs="Arial"/>
          <w:bCs/>
          <w:szCs w:val="22"/>
        </w:rPr>
        <w:t>. Grupa kontynuowała przygotowania debaty politycznej w zakresie zamówień publicznych na poziomie ministrów w Radzie ds. Konkurencyjności.</w:t>
      </w:r>
    </w:p>
    <w:p w14:paraId="6317D9A0" w14:textId="77777777" w:rsidR="001F1338" w:rsidRPr="001F1338" w:rsidRDefault="001F1338" w:rsidP="001F1338">
      <w:pPr>
        <w:spacing w:before="120" w:line="360" w:lineRule="auto"/>
        <w:jc w:val="left"/>
        <w:rPr>
          <w:rFonts w:cs="Arial"/>
          <w:b/>
          <w:szCs w:val="22"/>
        </w:rPr>
      </w:pPr>
      <w:r w:rsidRPr="001F1338">
        <w:rPr>
          <w:rFonts w:cs="Arial"/>
          <w:bCs/>
          <w:szCs w:val="22"/>
        </w:rPr>
        <w:t>28 maja 2025 r., podczas ostatniego posiedzenia grupy roboczej ds. zamówień publicznych w ramach polskiej prezydencji, podsumowano dyskusję dotyczącą zamówień na posiedzeniu Grupy Wysokiego Szczebla w dniu 29 kwietnia 2025 r. i debaty orientacyjnej na posiedzeniu Rady ds. Konkurencyjności w dniu 22 maja 2025 r. Omówiono także postępy prowadzonej przez Komisję Europejską ewaluacji unijnych regulacji w dziedzinie zamówień publicznych, jak również dokonano przeglądu aktów sektorowych zawierających przepisy w zakresie zamówień, ze szczególnym uwzględnieniem projektu Aktu dotyczącego produktów leczniczych o krytycznym znaczeniu. Na spotkaniu była również mowa o planowanych zmianach w zakresie reżimu udzielania zamówień w dziedzinach obronności i bezpieczeństwa.</w:t>
      </w:r>
    </w:p>
    <w:p w14:paraId="0085F527" w14:textId="1CF23250" w:rsidR="00FA076D" w:rsidRPr="00292EE8" w:rsidRDefault="00FA076D" w:rsidP="00852522">
      <w:pPr>
        <w:pStyle w:val="Nagwek4"/>
      </w:pPr>
      <w:r>
        <w:t xml:space="preserve">2. </w:t>
      </w:r>
      <w:r w:rsidRPr="00FA076D">
        <w:t>Grupa robocza ds. konkurencyjności i wzrostu w formacie Wysokiego Szczebla (HLG)</w:t>
      </w:r>
    </w:p>
    <w:p w14:paraId="1BD4B4BC" w14:textId="0D6EB26A" w:rsidR="00270658" w:rsidRPr="00270658" w:rsidRDefault="00270658" w:rsidP="00270658">
      <w:pPr>
        <w:spacing w:before="120" w:line="360" w:lineRule="auto"/>
        <w:jc w:val="left"/>
        <w:rPr>
          <w:rFonts w:cs="Arial"/>
          <w:szCs w:val="22"/>
        </w:rPr>
      </w:pPr>
      <w:r w:rsidRPr="00270658">
        <w:rPr>
          <w:rFonts w:cs="Arial"/>
          <w:szCs w:val="22"/>
        </w:rPr>
        <w:t xml:space="preserve">29 kwietnia 2025 r. w Radzie UE odbyło się posiedzenie Grupy roboczej ds. konkurencyjności i wzrostu w formacie Wysokiego Szczebla (HLG). Jednym z głównych tematów poruszonych podczas spotkania były ramy prawne zamówień publicznych jako narzędzie konkurencyjności. W trakcie dyskusji państwa członkowskie wymieniły się poglądami w zakresie kryteriów równoważności, odporności i preferencji unijnych w zamówieniach oraz uproszczenia i konsolidacji przepisów. Dyskusja na poziomie HLG poprzedziła debatę dotyczącą </w:t>
      </w:r>
      <w:proofErr w:type="spellStart"/>
      <w:r w:rsidRPr="00270658">
        <w:rPr>
          <w:rFonts w:cs="Arial"/>
          <w:szCs w:val="22"/>
        </w:rPr>
        <w:t>priorytetyzacji</w:t>
      </w:r>
      <w:proofErr w:type="spellEnd"/>
      <w:r w:rsidRPr="00270658">
        <w:rPr>
          <w:rFonts w:cs="Arial"/>
          <w:szCs w:val="22"/>
        </w:rPr>
        <w:t xml:space="preserve"> celów zamówień publicznych na poziomie ministrów na majowym posiedzeniu Rady ds. Konkurencyjności (COMPET). W posiedzeniu HLG wziął udział przedstawiciel UZP.</w:t>
      </w:r>
    </w:p>
    <w:p w14:paraId="508C3587" w14:textId="4C6C9A99" w:rsidR="001D45FA" w:rsidRPr="00292EE8" w:rsidRDefault="001D45FA" w:rsidP="00852522">
      <w:pPr>
        <w:pStyle w:val="Nagwek4"/>
      </w:pPr>
      <w:r>
        <w:t xml:space="preserve">3. </w:t>
      </w:r>
      <w:r w:rsidR="00AF7082" w:rsidRPr="00AF7082">
        <w:t>Debata orientacyjna „Zamówienia publiczne – cele strategiczne i kierunek dalszych działań” na Radzie ds. Konkurencyjności (COMPET)</w:t>
      </w:r>
    </w:p>
    <w:p w14:paraId="1A256DB1" w14:textId="77777777" w:rsidR="002B593C" w:rsidRPr="002B593C" w:rsidRDefault="002B593C" w:rsidP="002B593C">
      <w:pPr>
        <w:spacing w:before="120" w:line="360" w:lineRule="auto"/>
        <w:jc w:val="left"/>
        <w:rPr>
          <w:rFonts w:cs="Arial"/>
          <w:bCs/>
          <w:szCs w:val="22"/>
        </w:rPr>
      </w:pPr>
      <w:r w:rsidRPr="002B593C">
        <w:rPr>
          <w:rFonts w:cs="Arial"/>
          <w:bCs/>
          <w:szCs w:val="22"/>
        </w:rPr>
        <w:t>22 maja 2025 r. na posiedzeniu Rady ds. Konkurencyjności odbyła się debata orientacyjna pt. „Zamówienia publiczne – cele strategiczne i kierunek dalszych działań”, której kierunek ukształtowały pytania przygotowane przez polską prezydencję w Radzie UE. Ministrowie państw członkowskich dyskutowali na temat sposobu, w jaki cele strategiczne UE, takie jak konkurencja, zrównoważony rozwój, odporność, innowacyjność, bezpieczeństwo i konkurencyjność, mają być realizowane poprzez zamówienia publiczne. Wymienili się również opiniami na temat poziomu elastyczności organów krajowych w decydowaniu, jakie cele realizować i w jaki sposób.</w:t>
      </w:r>
    </w:p>
    <w:p w14:paraId="28EDD600" w14:textId="77777777" w:rsidR="002B593C" w:rsidRPr="002B593C" w:rsidRDefault="002B593C" w:rsidP="002B593C">
      <w:pPr>
        <w:spacing w:before="120" w:line="360" w:lineRule="auto"/>
        <w:jc w:val="left"/>
        <w:rPr>
          <w:rFonts w:cs="Arial"/>
          <w:bCs/>
          <w:szCs w:val="22"/>
        </w:rPr>
      </w:pPr>
      <w:r w:rsidRPr="002B593C">
        <w:rPr>
          <w:rFonts w:cs="Arial"/>
          <w:bCs/>
          <w:szCs w:val="22"/>
        </w:rPr>
        <w:t>W spotkaniu, któremu przewodniczył Podsekretarz Stanu w Ministerstwie Rozwoju i Technologii, wzięli udział również przedstawiciele Urzędu Zamówień Publicznych.</w:t>
      </w:r>
    </w:p>
    <w:p w14:paraId="6FA631BA" w14:textId="1464272E" w:rsidR="00362456" w:rsidRPr="00292EE8" w:rsidRDefault="00362456" w:rsidP="00852522">
      <w:pPr>
        <w:pStyle w:val="Nagwek4"/>
      </w:pPr>
      <w:r>
        <w:t xml:space="preserve">4. </w:t>
      </w:r>
      <w:r w:rsidRPr="00362456">
        <w:t>III Spotkanie Grupy Urzędników Publicznych UE ds. BIM</w:t>
      </w:r>
    </w:p>
    <w:p w14:paraId="3E0F0B22" w14:textId="77777777" w:rsidR="00CA1991" w:rsidRPr="00CA1991" w:rsidRDefault="00CA1991" w:rsidP="00CA1991">
      <w:pPr>
        <w:spacing w:before="120" w:line="360" w:lineRule="auto"/>
        <w:jc w:val="left"/>
        <w:rPr>
          <w:rFonts w:cs="Arial"/>
          <w:szCs w:val="22"/>
        </w:rPr>
      </w:pPr>
      <w:r w:rsidRPr="00CA1991">
        <w:rPr>
          <w:rFonts w:cs="Arial"/>
          <w:szCs w:val="22"/>
        </w:rPr>
        <w:t xml:space="preserve">W ramach polskiej prezydencji w Radzie UE, w dniach 24-25 kwietnia 2025 r. w Warszawie odbyło się dwudniowe spotkanie Grupy Urzędników Publicznych UE ds. BIM, które było okazją do wymiany poglądów oraz doświadczeń z różnych etapów wdrażania metodyki BIM w krajach UE. W spotkaniu w udział wzięli przedstawiciele Komisji Europejskiej oraz państw członkowskich. Podczas wydarzenia prezentowane były m.in. najnowsze inicjatywy dotyczące BIM zarówno na szczeblu krajowym, jak i międzynarodowym oraz rozwiązania i strategie dotyczące BIM w zamówieniach publicznych. Uczestnicy wydarzenia mieli możliwość zapoznać się także z praktycznymi przykładami wykorzystania metodologii BIM przy realizacji projektów budowlanych (Muzeum Sztuki Nowoczesnej w Warszawie) i infrastrukturalnych (Port Polska). </w:t>
      </w:r>
    </w:p>
    <w:p w14:paraId="3C8712E2" w14:textId="73DB8816" w:rsidR="00CA1991" w:rsidRPr="00292EE8" w:rsidRDefault="00CA1991" w:rsidP="00852522">
      <w:pPr>
        <w:pStyle w:val="Nagwek4"/>
      </w:pPr>
      <w:r>
        <w:t xml:space="preserve">5. </w:t>
      </w:r>
      <w:r w:rsidRPr="00CA1991">
        <w:t>XVI Spotkanie Sieci Organów Odwoławczych Pierwszej Instancji w zamówieniach publicznych przy Komisji Europejskiej</w:t>
      </w:r>
    </w:p>
    <w:p w14:paraId="216EDF74" w14:textId="77777777" w:rsidR="00E21813" w:rsidRPr="00E21813" w:rsidRDefault="00E21813" w:rsidP="00E21813">
      <w:pPr>
        <w:spacing w:before="120" w:line="360" w:lineRule="auto"/>
        <w:jc w:val="left"/>
        <w:rPr>
          <w:rFonts w:cs="Arial"/>
          <w:szCs w:val="22"/>
        </w:rPr>
      </w:pPr>
      <w:r w:rsidRPr="00E21813">
        <w:rPr>
          <w:rFonts w:cs="Arial"/>
          <w:szCs w:val="22"/>
        </w:rPr>
        <w:t>13 maja 2025 r. w Warszawie w ramach prezydencji Polski w Radzie UE odbyło się 16. Spotkanie Sieci Organów Odwoławczych Pierwszej Instancji w zamówieniach publicznych przy Komisji Europejskiej. Uczestnicy spotkania mieli możliwość zapoznać się z polskim systemem odwoławczym, jak również wymienić poglądy na temat kierunku zmian regulacji w obszarze zamówień publicznych. Podczas wydarzenia omówiono także najnowsze orzecznictwo Trybunału Sprawiedliwości UE w sprawach Kolin i Qingdao</w:t>
      </w:r>
      <w:r w:rsidRPr="00E21813">
        <w:rPr>
          <w:rFonts w:cs="Arial"/>
          <w:szCs w:val="22"/>
          <w:vertAlign w:val="superscript"/>
        </w:rPr>
        <w:footnoteReference w:id="21"/>
      </w:r>
      <w:r w:rsidRPr="00E21813">
        <w:rPr>
          <w:rFonts w:cs="Arial"/>
          <w:szCs w:val="22"/>
        </w:rPr>
        <w:t>.</w:t>
      </w:r>
    </w:p>
    <w:p w14:paraId="159331F8" w14:textId="1D821EAC" w:rsidR="00640718" w:rsidRPr="00292EE8" w:rsidRDefault="00640718" w:rsidP="00852522">
      <w:pPr>
        <w:pStyle w:val="Nagwek4"/>
      </w:pPr>
      <w:r>
        <w:t xml:space="preserve">6. </w:t>
      </w:r>
      <w:r w:rsidRPr="00640718">
        <w:t>Konferencja międzynarodowa „Ewolucja przepisów UE dotyczących zamówień publicznych: od dyrektyw z 2014 r. do podejścia sektorowego”</w:t>
      </w:r>
    </w:p>
    <w:p w14:paraId="2DF8009F" w14:textId="77777777" w:rsidR="004D265D" w:rsidRPr="004D265D" w:rsidRDefault="004D265D" w:rsidP="004D265D">
      <w:pPr>
        <w:spacing w:before="120" w:line="360" w:lineRule="auto"/>
        <w:jc w:val="left"/>
        <w:rPr>
          <w:rFonts w:cs="Arial"/>
          <w:szCs w:val="22"/>
        </w:rPr>
      </w:pPr>
      <w:r w:rsidRPr="004D265D">
        <w:rPr>
          <w:rFonts w:cs="Arial"/>
          <w:szCs w:val="22"/>
        </w:rPr>
        <w:t>12 czerwca 2025 r. w Warszawie odbyła się zorganizowana przez Urząd w ramach polskiej prezydencji w Radzie UE międzynarodowa konferencja pt. „Ewolucja przepisów UE dotyczących zamówień publicznych: od dyrektyw z 2014 r. do podejścia sektorowego”. W wydarzeniu udział wzięli przedstawiciele Europejskiego Trybunału Obrachunkowego, Komisji Europejskiej, Sekretariatu Generalnego Rady UE, reprezentanci urzędów do spraw zamówień publicznych oraz organów odwoławczych z państw członkowskich, jak i międzynarodowego środowiska naukowego. Konferencja zgromadziła przedstawicieli 36 krajów.</w:t>
      </w:r>
    </w:p>
    <w:p w14:paraId="1E3C8D9C" w14:textId="77777777" w:rsidR="004D265D" w:rsidRPr="004D265D" w:rsidRDefault="004D265D" w:rsidP="004D265D">
      <w:pPr>
        <w:spacing w:before="120" w:line="360" w:lineRule="auto"/>
        <w:jc w:val="left"/>
        <w:rPr>
          <w:rFonts w:cs="Arial"/>
          <w:szCs w:val="22"/>
        </w:rPr>
      </w:pPr>
      <w:r w:rsidRPr="004D265D">
        <w:rPr>
          <w:rFonts w:cs="Arial"/>
          <w:szCs w:val="22"/>
        </w:rPr>
        <w:t>Konferencja stanowiła forum do dyskusji na temat najistotniejszych problemów i wyzwań w obszarze zamówień publicznych wskazanych m.in. w kluczowych europejskich raportach, szczególnie w kontekście planowanej reformy regulacji dotyczących zamówień publicznych na szczeblu unijnym. Jej celem była również prezentacja doświadczeń państw członkowskich w realizacji podejścia sektorowego, przede wszystkim w zakresie zapewnienia spójności przyjmowanych unijnych regulacji sektorowych i horyzontalnych z unijnymi przepisami zamówień publicznych. Temat ewolucji prawodawstwa i praktyki w zakresie zamówień publicznych omawiany był również przez pryzmat orzecznictwa Trybunału Sprawiedliwości Unii Europejskiej, w tym dwóch przełomowych wyroków Trybunału w sprawach Kolin oraz Qingdao.</w:t>
      </w:r>
    </w:p>
    <w:p w14:paraId="7A109912" w14:textId="75B15443" w:rsidR="005D6A88" w:rsidRPr="00A62791" w:rsidRDefault="00CC2929" w:rsidP="00270CF3">
      <w:pPr>
        <w:pStyle w:val="Nagwek3"/>
      </w:pPr>
      <w:bookmarkStart w:id="319" w:name="_Toc64451886"/>
      <w:bookmarkStart w:id="320" w:name="_Toc233203311"/>
      <w:r>
        <w:t>I</w:t>
      </w:r>
      <w:r w:rsidR="005D6A88" w:rsidRPr="009A14DE">
        <w:t>II.1.1</w:t>
      </w:r>
      <w:r w:rsidR="00DD76E1">
        <w:t>1</w:t>
      </w:r>
      <w:r w:rsidR="005D6A88" w:rsidRPr="009A14DE">
        <w:t>. Współpraca międzynarodowa</w:t>
      </w:r>
      <w:bookmarkEnd w:id="319"/>
      <w:bookmarkEnd w:id="320"/>
    </w:p>
    <w:p w14:paraId="35333968" w14:textId="2F6103DC" w:rsidR="001E1705" w:rsidRPr="00292EE8" w:rsidRDefault="00A96EC1" w:rsidP="00852522">
      <w:pPr>
        <w:pStyle w:val="Nagwek4"/>
      </w:pPr>
      <w:r>
        <w:t xml:space="preserve">1. </w:t>
      </w:r>
      <w:r w:rsidR="00C34FE6" w:rsidRPr="00C34FE6">
        <w:t>Grupy robocze w Radzie Unii Europejskiej</w:t>
      </w:r>
    </w:p>
    <w:p w14:paraId="29796EB5" w14:textId="231BD52F" w:rsidR="003F593B" w:rsidRPr="00292EE8" w:rsidRDefault="0021019F" w:rsidP="00852522">
      <w:pPr>
        <w:pStyle w:val="Nagwek4"/>
      </w:pPr>
      <w:r>
        <w:t xml:space="preserve">1.1. </w:t>
      </w:r>
      <w:r w:rsidR="003F593B" w:rsidRPr="003F593B">
        <w:t>Grupa Robocza ds. Konkurencyjności i Wzrostu (format Zamówienia Publiczne)</w:t>
      </w:r>
      <w:r w:rsidR="00C34FE6">
        <w:t xml:space="preserve"> </w:t>
      </w:r>
      <w:r w:rsidR="00C34FE6" w:rsidRPr="00C34FE6">
        <w:t>G.01.F</w:t>
      </w:r>
    </w:p>
    <w:p w14:paraId="5275B9D3" w14:textId="77777777" w:rsidR="005223A4" w:rsidRPr="005223A4" w:rsidRDefault="005223A4" w:rsidP="005223A4">
      <w:pPr>
        <w:shd w:val="clear" w:color="auto" w:fill="FFFFFF"/>
        <w:spacing w:before="120" w:line="360" w:lineRule="auto"/>
        <w:jc w:val="left"/>
        <w:rPr>
          <w:rFonts w:cs="Arial"/>
          <w:szCs w:val="22"/>
        </w:rPr>
      </w:pPr>
      <w:r w:rsidRPr="005223A4">
        <w:rPr>
          <w:rFonts w:cs="Arial"/>
          <w:szCs w:val="22"/>
        </w:rPr>
        <w:t xml:space="preserve">W 2025 r. odbyło się 6 spotkań grupy roboczej Rady ds. zamówień publicznych z udziałem przedstawicieli Urzędu. Spotkania w dniach: 30.01., 7.03., 28.05. zostały zorganizowane i przeprowadzone przez Departament Unii Europejskiej i Współpracy Międzynarodowej w ramach prezydencji Polski w Radzie UE. Spotkania grupy G.01.F w dniach: 12.09., 17.10., oraz 24.11. odbyły się pod kierownictwem duńskiej prezydencji w Radzie UE. Istotnym wątkiem prac grupy podczas polskiej prezydencji było przygotowanie do debaty politycznej na temat zamówień publicznych w Radzie ds. Konkurencyjności, która odbyła się w Brukseli, 22 maja 2025 r. </w:t>
      </w:r>
    </w:p>
    <w:p w14:paraId="0966A27B" w14:textId="77777777" w:rsidR="005223A4" w:rsidRPr="005223A4" w:rsidRDefault="005223A4" w:rsidP="005223A4">
      <w:pPr>
        <w:shd w:val="clear" w:color="auto" w:fill="FFFFFF"/>
        <w:spacing w:before="120" w:line="360" w:lineRule="auto"/>
        <w:jc w:val="left"/>
        <w:rPr>
          <w:rFonts w:cs="Arial"/>
          <w:szCs w:val="22"/>
        </w:rPr>
      </w:pPr>
      <w:r w:rsidRPr="005223A4">
        <w:rPr>
          <w:rFonts w:cs="Arial"/>
          <w:szCs w:val="22"/>
        </w:rPr>
        <w:t>Na grupie roboczej prezentowane i omawiane były plany działań Komisji, w zakresie zapowiedzi zmian prawa unijnego dotyczącego zamówień publicznych, zarówno w ramach rewizji unijnych ram prawnych dotyczących zamówień publicznych w 2026 r., jak i przewidzianych dla ustawodawstwa sektorowego, zawartych w:</w:t>
      </w:r>
    </w:p>
    <w:p w14:paraId="4173FF75" w14:textId="77777777" w:rsidR="005223A4" w:rsidRPr="005223A4" w:rsidRDefault="005223A4" w:rsidP="00565A93">
      <w:pPr>
        <w:pStyle w:val="Akapitzlist"/>
        <w:numPr>
          <w:ilvl w:val="0"/>
          <w:numId w:val="33"/>
        </w:numPr>
        <w:shd w:val="clear" w:color="auto" w:fill="FFFFFF"/>
        <w:spacing w:line="360" w:lineRule="auto"/>
        <w:jc w:val="left"/>
        <w:rPr>
          <w:rFonts w:cs="Arial"/>
          <w:sz w:val="22"/>
          <w:szCs w:val="22"/>
        </w:rPr>
      </w:pPr>
      <w:r w:rsidRPr="005223A4">
        <w:rPr>
          <w:rFonts w:cs="Arial"/>
          <w:sz w:val="22"/>
          <w:szCs w:val="22"/>
        </w:rPr>
        <w:t>Kompasie Konkurencyjności (</w:t>
      </w:r>
      <w:r w:rsidRPr="005223A4">
        <w:rPr>
          <w:rFonts w:cs="Arial"/>
          <w:i/>
          <w:iCs/>
          <w:sz w:val="22"/>
          <w:szCs w:val="22"/>
        </w:rPr>
        <w:t xml:space="preserve">A </w:t>
      </w:r>
      <w:proofErr w:type="spellStart"/>
      <w:r w:rsidRPr="005223A4">
        <w:rPr>
          <w:rFonts w:cs="Arial"/>
          <w:i/>
          <w:iCs/>
          <w:sz w:val="22"/>
          <w:szCs w:val="22"/>
        </w:rPr>
        <w:t>Competitiveness</w:t>
      </w:r>
      <w:proofErr w:type="spellEnd"/>
      <w:r w:rsidRPr="005223A4">
        <w:rPr>
          <w:rFonts w:cs="Arial"/>
          <w:i/>
          <w:iCs/>
          <w:sz w:val="22"/>
          <w:szCs w:val="22"/>
        </w:rPr>
        <w:t xml:space="preserve"> </w:t>
      </w:r>
      <w:proofErr w:type="spellStart"/>
      <w:r w:rsidRPr="005223A4">
        <w:rPr>
          <w:rFonts w:cs="Arial"/>
          <w:i/>
          <w:iCs/>
          <w:sz w:val="22"/>
          <w:szCs w:val="22"/>
        </w:rPr>
        <w:t>Compass</w:t>
      </w:r>
      <w:proofErr w:type="spellEnd"/>
      <w:r w:rsidRPr="005223A4">
        <w:rPr>
          <w:rFonts w:cs="Arial"/>
          <w:i/>
          <w:iCs/>
          <w:sz w:val="22"/>
          <w:szCs w:val="22"/>
        </w:rPr>
        <w:t xml:space="preserve"> for the EU</w:t>
      </w:r>
      <w:r w:rsidRPr="005223A4">
        <w:rPr>
          <w:rFonts w:cs="Arial"/>
          <w:sz w:val="22"/>
          <w:szCs w:val="22"/>
        </w:rPr>
        <w:t xml:space="preserve">) COM(2025) 30 </w:t>
      </w:r>
      <w:proofErr w:type="spellStart"/>
      <w:r w:rsidRPr="005223A4">
        <w:rPr>
          <w:rFonts w:cs="Arial"/>
          <w:sz w:val="22"/>
          <w:szCs w:val="22"/>
        </w:rPr>
        <w:t>final</w:t>
      </w:r>
      <w:proofErr w:type="spellEnd"/>
      <w:r w:rsidRPr="005223A4">
        <w:rPr>
          <w:rFonts w:cs="Arial"/>
          <w:sz w:val="22"/>
          <w:szCs w:val="22"/>
        </w:rPr>
        <w:t>, opublikowanym przez Komisję w dniu 29.01.br.,</w:t>
      </w:r>
    </w:p>
    <w:p w14:paraId="1A1BFCE1" w14:textId="77777777" w:rsidR="005223A4" w:rsidRPr="005223A4" w:rsidRDefault="005223A4" w:rsidP="00565A93">
      <w:pPr>
        <w:pStyle w:val="Akapitzlist"/>
        <w:numPr>
          <w:ilvl w:val="0"/>
          <w:numId w:val="33"/>
        </w:numPr>
        <w:shd w:val="clear" w:color="auto" w:fill="FFFFFF"/>
        <w:spacing w:line="360" w:lineRule="auto"/>
        <w:jc w:val="left"/>
        <w:rPr>
          <w:rFonts w:cs="Arial"/>
          <w:sz w:val="22"/>
          <w:szCs w:val="22"/>
        </w:rPr>
      </w:pPr>
      <w:r w:rsidRPr="005223A4">
        <w:rPr>
          <w:rFonts w:cs="Arial"/>
          <w:sz w:val="22"/>
          <w:szCs w:val="22"/>
        </w:rPr>
        <w:t>Pakcie dla czystego przemysłu (</w:t>
      </w:r>
      <w:r w:rsidRPr="005223A4">
        <w:rPr>
          <w:rFonts w:cs="Arial"/>
          <w:i/>
          <w:iCs/>
          <w:sz w:val="22"/>
          <w:szCs w:val="22"/>
        </w:rPr>
        <w:t xml:space="preserve">The </w:t>
      </w:r>
      <w:proofErr w:type="spellStart"/>
      <w:r w:rsidRPr="005223A4">
        <w:rPr>
          <w:rFonts w:cs="Arial"/>
          <w:i/>
          <w:iCs/>
          <w:sz w:val="22"/>
          <w:szCs w:val="22"/>
        </w:rPr>
        <w:t>Clean</w:t>
      </w:r>
      <w:proofErr w:type="spellEnd"/>
      <w:r w:rsidRPr="005223A4">
        <w:rPr>
          <w:rFonts w:cs="Arial"/>
          <w:i/>
          <w:iCs/>
          <w:sz w:val="22"/>
          <w:szCs w:val="22"/>
        </w:rPr>
        <w:t xml:space="preserve"> </w:t>
      </w:r>
      <w:proofErr w:type="spellStart"/>
      <w:r w:rsidRPr="005223A4">
        <w:rPr>
          <w:rFonts w:cs="Arial"/>
          <w:i/>
          <w:iCs/>
          <w:sz w:val="22"/>
          <w:szCs w:val="22"/>
        </w:rPr>
        <w:t>Industrial</w:t>
      </w:r>
      <w:proofErr w:type="spellEnd"/>
      <w:r w:rsidRPr="005223A4">
        <w:rPr>
          <w:rFonts w:cs="Arial"/>
          <w:i/>
          <w:iCs/>
          <w:sz w:val="22"/>
          <w:szCs w:val="22"/>
        </w:rPr>
        <w:t xml:space="preserve"> Deal</w:t>
      </w:r>
      <w:r w:rsidRPr="005223A4">
        <w:rPr>
          <w:rFonts w:cs="Arial"/>
          <w:sz w:val="22"/>
          <w:szCs w:val="22"/>
        </w:rPr>
        <w:t xml:space="preserve">) COM(2025) 85 </w:t>
      </w:r>
      <w:proofErr w:type="spellStart"/>
      <w:r w:rsidRPr="005223A4">
        <w:rPr>
          <w:rFonts w:cs="Arial"/>
          <w:sz w:val="22"/>
          <w:szCs w:val="22"/>
        </w:rPr>
        <w:t>final</w:t>
      </w:r>
      <w:proofErr w:type="spellEnd"/>
      <w:r w:rsidRPr="005223A4">
        <w:rPr>
          <w:rFonts w:cs="Arial"/>
          <w:sz w:val="22"/>
          <w:szCs w:val="22"/>
        </w:rPr>
        <w:t>, opublikowanym przez Komisję w dniu 26 lutym 2025 r.,</w:t>
      </w:r>
    </w:p>
    <w:p w14:paraId="3EC10141" w14:textId="77777777" w:rsidR="005223A4" w:rsidRPr="005223A4" w:rsidRDefault="005223A4" w:rsidP="00565A93">
      <w:pPr>
        <w:pStyle w:val="Akapitzlist"/>
        <w:numPr>
          <w:ilvl w:val="0"/>
          <w:numId w:val="33"/>
        </w:numPr>
        <w:shd w:val="clear" w:color="auto" w:fill="FFFFFF"/>
        <w:spacing w:line="360" w:lineRule="auto"/>
        <w:jc w:val="left"/>
        <w:rPr>
          <w:rFonts w:cs="Arial"/>
          <w:sz w:val="22"/>
          <w:szCs w:val="22"/>
        </w:rPr>
      </w:pPr>
      <w:r w:rsidRPr="005223A4">
        <w:rPr>
          <w:rFonts w:cs="Arial"/>
          <w:sz w:val="22"/>
          <w:szCs w:val="22"/>
        </w:rPr>
        <w:t>Programie prac Komisji w 2025 r. „</w:t>
      </w:r>
      <w:r w:rsidRPr="005223A4">
        <w:rPr>
          <w:rFonts w:cs="Arial"/>
          <w:i/>
          <w:iCs/>
          <w:sz w:val="22"/>
          <w:szCs w:val="22"/>
        </w:rPr>
        <w:t>Razem ku odważniejszej, prostszej, szybszej Unii</w:t>
      </w:r>
      <w:r w:rsidRPr="005223A4">
        <w:rPr>
          <w:rFonts w:cs="Arial"/>
          <w:sz w:val="22"/>
          <w:szCs w:val="22"/>
        </w:rPr>
        <w:t xml:space="preserve">” COM(2025) 45 </w:t>
      </w:r>
      <w:proofErr w:type="spellStart"/>
      <w:r w:rsidRPr="005223A4">
        <w:rPr>
          <w:rFonts w:cs="Arial"/>
          <w:sz w:val="22"/>
          <w:szCs w:val="22"/>
        </w:rPr>
        <w:t>final</w:t>
      </w:r>
      <w:proofErr w:type="spellEnd"/>
      <w:r w:rsidRPr="005223A4">
        <w:rPr>
          <w:rFonts w:cs="Arial"/>
          <w:sz w:val="22"/>
          <w:szCs w:val="22"/>
        </w:rPr>
        <w:t>, opublikowanym w dniu 11 lutego 2025 r.,</w:t>
      </w:r>
    </w:p>
    <w:p w14:paraId="0D59F953" w14:textId="77777777" w:rsidR="005223A4" w:rsidRPr="005223A4" w:rsidRDefault="005223A4" w:rsidP="00565A93">
      <w:pPr>
        <w:pStyle w:val="Akapitzlist"/>
        <w:numPr>
          <w:ilvl w:val="0"/>
          <w:numId w:val="33"/>
        </w:numPr>
        <w:shd w:val="clear" w:color="auto" w:fill="FFFFFF"/>
        <w:spacing w:line="360" w:lineRule="auto"/>
        <w:jc w:val="left"/>
        <w:rPr>
          <w:rFonts w:cs="Arial"/>
          <w:sz w:val="22"/>
          <w:szCs w:val="22"/>
        </w:rPr>
      </w:pPr>
      <w:r w:rsidRPr="005223A4">
        <w:rPr>
          <w:rFonts w:cs="Arial"/>
          <w:sz w:val="22"/>
          <w:szCs w:val="22"/>
        </w:rPr>
        <w:t>Wspólnej białej księdze w sprawie obronności europejskiej – Gotowość 2030 Komisji i Wysokiego Przedstawiciela do spraw zagranicznych i polityki bezpieczeństwa, opublikowanej w dniu 19 marca 2025 r.,</w:t>
      </w:r>
    </w:p>
    <w:p w14:paraId="4FBEAF68" w14:textId="77777777" w:rsidR="005223A4" w:rsidRPr="005223A4" w:rsidRDefault="005223A4" w:rsidP="00565A93">
      <w:pPr>
        <w:pStyle w:val="Akapitzlist"/>
        <w:numPr>
          <w:ilvl w:val="0"/>
          <w:numId w:val="33"/>
        </w:numPr>
        <w:shd w:val="clear" w:color="auto" w:fill="FFFFFF"/>
        <w:spacing w:line="360" w:lineRule="auto"/>
        <w:jc w:val="left"/>
        <w:rPr>
          <w:rFonts w:cs="Arial"/>
          <w:sz w:val="22"/>
          <w:szCs w:val="22"/>
        </w:rPr>
      </w:pPr>
      <w:r w:rsidRPr="005223A4">
        <w:rPr>
          <w:rFonts w:cs="Arial"/>
          <w:sz w:val="22"/>
          <w:szCs w:val="22"/>
        </w:rPr>
        <w:t xml:space="preserve">Komunikacie Komisji Strategia Jednolitego Rynku COM(2025) 500 </w:t>
      </w:r>
      <w:proofErr w:type="spellStart"/>
      <w:r w:rsidRPr="005223A4">
        <w:rPr>
          <w:rFonts w:cs="Arial"/>
          <w:sz w:val="22"/>
          <w:szCs w:val="22"/>
        </w:rPr>
        <w:t>final</w:t>
      </w:r>
      <w:proofErr w:type="spellEnd"/>
      <w:r w:rsidRPr="005223A4">
        <w:rPr>
          <w:rFonts w:cs="Arial"/>
          <w:sz w:val="22"/>
          <w:szCs w:val="22"/>
        </w:rPr>
        <w:t>, ogłoszonym 21.05.2025 r.,</w:t>
      </w:r>
    </w:p>
    <w:p w14:paraId="615C02D8" w14:textId="77777777" w:rsidR="005223A4" w:rsidRPr="005223A4" w:rsidRDefault="005223A4" w:rsidP="00565A93">
      <w:pPr>
        <w:pStyle w:val="Akapitzlist"/>
        <w:numPr>
          <w:ilvl w:val="0"/>
          <w:numId w:val="33"/>
        </w:numPr>
        <w:shd w:val="clear" w:color="auto" w:fill="FFFFFF"/>
        <w:spacing w:line="360" w:lineRule="auto"/>
        <w:jc w:val="left"/>
        <w:rPr>
          <w:rFonts w:cs="Arial"/>
          <w:sz w:val="22"/>
          <w:szCs w:val="22"/>
        </w:rPr>
      </w:pPr>
      <w:r w:rsidRPr="005223A4">
        <w:rPr>
          <w:rFonts w:cs="Arial"/>
          <w:sz w:val="22"/>
          <w:szCs w:val="22"/>
        </w:rPr>
        <w:t>Programie prac Komisji na 2026 r. „</w:t>
      </w:r>
      <w:r w:rsidRPr="005223A4">
        <w:rPr>
          <w:rFonts w:cs="Arial"/>
          <w:i/>
          <w:iCs/>
          <w:sz w:val="22"/>
          <w:szCs w:val="22"/>
        </w:rPr>
        <w:t>Decydujący moment niezależności Europy</w:t>
      </w:r>
      <w:r w:rsidRPr="005223A4">
        <w:rPr>
          <w:rFonts w:cs="Arial"/>
          <w:sz w:val="22"/>
          <w:szCs w:val="22"/>
        </w:rPr>
        <w:t xml:space="preserve">” (COM(2025) 870 </w:t>
      </w:r>
      <w:proofErr w:type="spellStart"/>
      <w:r w:rsidRPr="005223A4">
        <w:rPr>
          <w:rFonts w:cs="Arial"/>
          <w:sz w:val="22"/>
          <w:szCs w:val="22"/>
        </w:rPr>
        <w:t>final</w:t>
      </w:r>
      <w:proofErr w:type="spellEnd"/>
      <w:r w:rsidRPr="005223A4">
        <w:rPr>
          <w:rFonts w:cs="Arial"/>
          <w:sz w:val="22"/>
          <w:szCs w:val="22"/>
        </w:rPr>
        <w:t>, opublikowanym 21 października 2025 r.</w:t>
      </w:r>
    </w:p>
    <w:p w14:paraId="21E5FF0C" w14:textId="77777777" w:rsidR="005223A4" w:rsidRPr="005223A4" w:rsidRDefault="005223A4" w:rsidP="004878E3">
      <w:pPr>
        <w:shd w:val="clear" w:color="auto" w:fill="FFFFFF"/>
        <w:spacing w:before="120" w:line="360" w:lineRule="auto"/>
        <w:jc w:val="left"/>
        <w:rPr>
          <w:rFonts w:cs="Arial"/>
          <w:szCs w:val="22"/>
        </w:rPr>
      </w:pPr>
      <w:r w:rsidRPr="005223A4">
        <w:rPr>
          <w:rFonts w:cs="Arial"/>
          <w:szCs w:val="22"/>
        </w:rPr>
        <w:t>Szereg tematów było omawianych w 2025 r. przez grupę roboczą formatu zamówienia publiczne w perspektywie kierunków zapowiedzianej przez Komisję rewizji unijnych ram prawnych dotyczących zamówień publicznych, w tym w szczególności jej celów i kierunków. Poruszane na forum grupy roboczej tematy dotyczyły takich kwestii jak: kwestie bezpieczeństwa w zamówieniach publicznych, sposobów integracji celów strategicznych z procedurami zamówień publicznych i wzajemnych oddziaływań dyrektyw dotyczących zamówień publicznych i aktów sektorowych, koordynacji legislacji unijnej dotyczącej zamówień publicznych, dostępu państw trzecich do zamówień publicznych w UE. Omawiane były propozycje dotyczące usprawnienia i uproszczenia unijnych zamówień publicznych, w tym regulacji sektorowych, wzmocnienia konkurencji w zamówieniach, wprowadzenia preferencji unijnej w zamówieniach publicznych oraz służące odporności w zamówieniach.</w:t>
      </w:r>
    </w:p>
    <w:p w14:paraId="0F763C64" w14:textId="77777777" w:rsidR="005223A4" w:rsidRPr="005223A4" w:rsidRDefault="005223A4" w:rsidP="004878E3">
      <w:pPr>
        <w:shd w:val="clear" w:color="auto" w:fill="FFFFFF"/>
        <w:spacing w:before="120" w:line="360" w:lineRule="auto"/>
        <w:jc w:val="left"/>
        <w:rPr>
          <w:rFonts w:cs="Arial"/>
          <w:szCs w:val="22"/>
        </w:rPr>
      </w:pPr>
      <w:r w:rsidRPr="005223A4">
        <w:rPr>
          <w:rFonts w:cs="Arial"/>
          <w:szCs w:val="22"/>
        </w:rPr>
        <w:t xml:space="preserve">Na spotkaniach w 2025 r. Komisja na bieżąco prezentowała grupie roboczej działania podejmowane m.in. w związku z prowadzoną ewaluacją ram prawnych dotyczących zamówień publicznych, w perspektywie zapowiedzianej rewizji tych ram oraz ich wyniki, w tym w szczególności: </w:t>
      </w:r>
    </w:p>
    <w:p w14:paraId="45F77150" w14:textId="77777777" w:rsidR="005223A4" w:rsidRPr="004878E3" w:rsidRDefault="005223A4" w:rsidP="00565A93">
      <w:pPr>
        <w:pStyle w:val="Akapitzlist"/>
        <w:numPr>
          <w:ilvl w:val="0"/>
          <w:numId w:val="34"/>
        </w:numPr>
        <w:shd w:val="clear" w:color="auto" w:fill="FFFFFF"/>
        <w:spacing w:line="360" w:lineRule="auto"/>
        <w:jc w:val="left"/>
        <w:rPr>
          <w:rFonts w:cs="Arial"/>
          <w:sz w:val="22"/>
          <w:szCs w:val="22"/>
        </w:rPr>
      </w:pPr>
      <w:r w:rsidRPr="004878E3">
        <w:rPr>
          <w:rFonts w:cs="Arial"/>
          <w:sz w:val="22"/>
          <w:szCs w:val="22"/>
        </w:rPr>
        <w:t xml:space="preserve">działania następcze w związku z przyjętymi przez Radę UE konkluzjami dotyczącymi specjalnego sprawozdania Europejskiego Trybunału Obrachunkowego nr 23/2023: Zamówienia publiczne w UE: </w:t>
      </w:r>
      <w:r w:rsidRPr="004878E3">
        <w:rPr>
          <w:rFonts w:cs="Arial"/>
          <w:i/>
          <w:iCs/>
          <w:sz w:val="22"/>
          <w:szCs w:val="22"/>
        </w:rPr>
        <w:t>Mniejsza konkurencja w przetargach na roboty budowlane, towary i usługi w ciągu 10 lat do 2021 r.</w:t>
      </w:r>
    </w:p>
    <w:p w14:paraId="40C2F19D" w14:textId="77777777" w:rsidR="005223A4" w:rsidRPr="004878E3" w:rsidRDefault="005223A4" w:rsidP="00565A93">
      <w:pPr>
        <w:pStyle w:val="Akapitzlist"/>
        <w:numPr>
          <w:ilvl w:val="0"/>
          <w:numId w:val="34"/>
        </w:numPr>
        <w:shd w:val="clear" w:color="auto" w:fill="FFFFFF"/>
        <w:spacing w:line="360" w:lineRule="auto"/>
        <w:jc w:val="left"/>
        <w:rPr>
          <w:rFonts w:cs="Arial"/>
          <w:sz w:val="22"/>
          <w:szCs w:val="22"/>
        </w:rPr>
      </w:pPr>
      <w:r w:rsidRPr="004878E3">
        <w:rPr>
          <w:rFonts w:cs="Arial"/>
          <w:sz w:val="22"/>
          <w:szCs w:val="22"/>
        </w:rPr>
        <w:t>wyniki i wnioski z przeprowadzonych otwartych konsultacji publicznych w sprawie ewaluacji dyrektyw dotyczących zamówień publicznych,</w:t>
      </w:r>
    </w:p>
    <w:p w14:paraId="11BBEEED" w14:textId="77777777" w:rsidR="005223A4" w:rsidRPr="004878E3" w:rsidRDefault="005223A4" w:rsidP="00565A93">
      <w:pPr>
        <w:pStyle w:val="Akapitzlist"/>
        <w:numPr>
          <w:ilvl w:val="0"/>
          <w:numId w:val="34"/>
        </w:numPr>
        <w:shd w:val="clear" w:color="auto" w:fill="FFFFFF"/>
        <w:spacing w:line="360" w:lineRule="auto"/>
        <w:jc w:val="left"/>
        <w:rPr>
          <w:rFonts w:cs="Arial"/>
          <w:sz w:val="22"/>
          <w:szCs w:val="22"/>
        </w:rPr>
      </w:pPr>
      <w:r w:rsidRPr="004878E3">
        <w:rPr>
          <w:rFonts w:cs="Arial"/>
          <w:sz w:val="22"/>
          <w:szCs w:val="22"/>
        </w:rPr>
        <w:t>zlecone zewnętrzne badania dotyczące: 1) konkurencji unijnych rynków zamówień publicznych; 2) analizy kosztów-korzyści jakości i wydajności procedur udzielania zamówień publicznych; 3) wewnętrznej i zewnętrznej spójności regulacji unijnych dot. zamówień publicznych; 4) adekwatności i wartości dodanej unijnych dyrektyw z 2014 r. dot. zamówień publicznych; oraz 5) przejrzystości i integralności informacji o zamówieniach,</w:t>
      </w:r>
    </w:p>
    <w:p w14:paraId="71C9BA3C" w14:textId="77777777" w:rsidR="005223A4" w:rsidRPr="004878E3" w:rsidRDefault="005223A4" w:rsidP="00565A93">
      <w:pPr>
        <w:pStyle w:val="Akapitzlist"/>
        <w:numPr>
          <w:ilvl w:val="0"/>
          <w:numId w:val="34"/>
        </w:numPr>
        <w:shd w:val="clear" w:color="auto" w:fill="FFFFFF"/>
        <w:spacing w:line="360" w:lineRule="auto"/>
        <w:jc w:val="left"/>
        <w:rPr>
          <w:rFonts w:cs="Arial"/>
          <w:sz w:val="22"/>
          <w:szCs w:val="22"/>
        </w:rPr>
      </w:pPr>
      <w:r w:rsidRPr="004878E3">
        <w:rPr>
          <w:rFonts w:cs="Arial"/>
          <w:sz w:val="22"/>
          <w:szCs w:val="22"/>
        </w:rPr>
        <w:t xml:space="preserve">Raport z ewaluacji dyrektywy 2014/23/UE w sprawie koncesji, dyrektywy 2014/24/UE w sprawie zamówień publicznych oraz dyrektywy 2014/25/UE w sprawie usług użyteczności publicznej SWD(2025) 332 </w:t>
      </w:r>
      <w:proofErr w:type="spellStart"/>
      <w:r w:rsidRPr="004878E3">
        <w:rPr>
          <w:rFonts w:cs="Arial"/>
          <w:sz w:val="22"/>
          <w:szCs w:val="22"/>
        </w:rPr>
        <w:t>final</w:t>
      </w:r>
      <w:proofErr w:type="spellEnd"/>
      <w:r w:rsidRPr="004878E3">
        <w:rPr>
          <w:rFonts w:cs="Arial"/>
          <w:sz w:val="22"/>
          <w:szCs w:val="22"/>
        </w:rPr>
        <w:t>, opublikowany w dniu 14 października 2025 r.</w:t>
      </w:r>
    </w:p>
    <w:p w14:paraId="62FA7C37" w14:textId="77777777" w:rsidR="005223A4" w:rsidRPr="005223A4" w:rsidRDefault="005223A4" w:rsidP="005B2D45">
      <w:pPr>
        <w:shd w:val="clear" w:color="auto" w:fill="FFFFFF"/>
        <w:spacing w:before="120" w:line="360" w:lineRule="auto"/>
        <w:jc w:val="left"/>
        <w:rPr>
          <w:rFonts w:cs="Arial"/>
          <w:szCs w:val="22"/>
        </w:rPr>
      </w:pPr>
      <w:r w:rsidRPr="005223A4">
        <w:rPr>
          <w:rFonts w:cs="Arial"/>
          <w:szCs w:val="22"/>
        </w:rPr>
        <w:t xml:space="preserve">Obie prezydencje kontynuowały zapoczątkowany w 2022 r. monitoring unijnej legislacji sektorowej poprzez prowadzenie listy zawierającej przepisy dotyczące zamówień publicznych. Na koniec 2025 r. lista zawierała 59 aktów przyjętych (w tym 32 rozporządzenia, 22 dyrektywy, 5 aktów wykonawczych lub delegowanych Komisji), a także 14 sektorowych wniosków legislacyjnych na różnym etapie procesu legislacyjnego oraz 8 zapowiedzi różnych aktów sektorowych, które miały dotyczyć zamówień publicznych. W samym 2025 r. zostało ogłoszonych 5 nowych sektorowych wniosków legislacyjnych (4 projekty rozporządzeń i 1 dyrektywy) oraz zostały przyjęte 2 rozporządzenia sektorowe. Z kolei w procedurze </w:t>
      </w:r>
      <w:proofErr w:type="spellStart"/>
      <w:r w:rsidRPr="005223A4">
        <w:rPr>
          <w:rFonts w:cs="Arial"/>
          <w:szCs w:val="22"/>
        </w:rPr>
        <w:t>komitologii</w:t>
      </w:r>
      <w:proofErr w:type="spellEnd"/>
      <w:r w:rsidRPr="005223A4">
        <w:rPr>
          <w:rFonts w:cs="Arial"/>
          <w:szCs w:val="22"/>
        </w:rPr>
        <w:t xml:space="preserve"> Komisja Europejska przyjęła 2 akty wykonawcze (na podstawie rozporządzeń NZIA</w:t>
      </w:r>
      <w:r w:rsidRPr="005223A4">
        <w:rPr>
          <w:rFonts w:cs="Arial"/>
          <w:szCs w:val="22"/>
          <w:vertAlign w:val="superscript"/>
        </w:rPr>
        <w:footnoteReference w:id="22"/>
      </w:r>
      <w:r w:rsidRPr="005223A4">
        <w:rPr>
          <w:rFonts w:cs="Arial"/>
          <w:szCs w:val="22"/>
        </w:rPr>
        <w:t xml:space="preserve"> i IZM</w:t>
      </w:r>
      <w:r w:rsidRPr="005223A4">
        <w:rPr>
          <w:rFonts w:cs="Arial"/>
          <w:szCs w:val="22"/>
          <w:vertAlign w:val="superscript"/>
        </w:rPr>
        <w:footnoteReference w:id="23"/>
      </w:r>
      <w:r w:rsidRPr="005223A4">
        <w:rPr>
          <w:rFonts w:cs="Arial"/>
          <w:szCs w:val="22"/>
        </w:rPr>
        <w:t>) oraz 2 akty delegowane (na podstawie rozporządzenia NZIA).</w:t>
      </w:r>
    </w:p>
    <w:p w14:paraId="3E7C43E4" w14:textId="77777777" w:rsidR="005223A4" w:rsidRPr="005223A4" w:rsidRDefault="005223A4" w:rsidP="005B2D45">
      <w:pPr>
        <w:shd w:val="clear" w:color="auto" w:fill="FFFFFF"/>
        <w:spacing w:before="120" w:line="360" w:lineRule="auto"/>
        <w:jc w:val="left"/>
        <w:rPr>
          <w:rFonts w:cs="Arial"/>
          <w:szCs w:val="22"/>
        </w:rPr>
      </w:pPr>
      <w:r w:rsidRPr="005223A4">
        <w:rPr>
          <w:rFonts w:cs="Arial"/>
          <w:szCs w:val="22"/>
        </w:rPr>
        <w:t>W trakcie polskiej prezydencji prowadzona lista przyjętych aktów, poza aktualizacją, została m.in. uzupełniona o dodatkowe informacje dot. przyjętych aktów, tj. o: daty wejścia w życie lub wdrożenia, wskazanie przepisów dotyczących zamówień publicznych, wskazanie podstaw do wydawania aktów wykonawczych lub delegowanych. Z inicjatywy duńskiej prezydencji lista została rozszerzona o zapowiedzi unijnych aktów sektorowych oraz wydzielona została podlista z wydanymi przez Komisję sektorowymi aktami delegowanymi lub wykonawczymi, dotyczącymi zamówień publicznych.</w:t>
      </w:r>
    </w:p>
    <w:p w14:paraId="4045499C" w14:textId="77777777" w:rsidR="005223A4" w:rsidRPr="005223A4" w:rsidRDefault="005223A4" w:rsidP="005B2D45">
      <w:pPr>
        <w:shd w:val="clear" w:color="auto" w:fill="FFFFFF"/>
        <w:spacing w:before="120" w:line="360" w:lineRule="auto"/>
        <w:jc w:val="left"/>
        <w:rPr>
          <w:rFonts w:cs="Arial"/>
          <w:szCs w:val="22"/>
        </w:rPr>
      </w:pPr>
      <w:r w:rsidRPr="005223A4">
        <w:rPr>
          <w:rFonts w:cs="Arial"/>
          <w:szCs w:val="22"/>
        </w:rPr>
        <w:t xml:space="preserve">W ramach prac grupy Komisja przedstawiła wybrane sektorowe projekty aktów prawnych UE mające znaczenie dla unijnego systemu zamówień publicznych, tj. Akt </w:t>
      </w:r>
      <w:proofErr w:type="spellStart"/>
      <w:r w:rsidRPr="005223A4">
        <w:rPr>
          <w:rFonts w:cs="Arial"/>
          <w:szCs w:val="22"/>
        </w:rPr>
        <w:t>ws</w:t>
      </w:r>
      <w:proofErr w:type="spellEnd"/>
      <w:r w:rsidRPr="005223A4">
        <w:rPr>
          <w:rFonts w:cs="Arial"/>
          <w:szCs w:val="22"/>
        </w:rPr>
        <w:t xml:space="preserve">. leków krytycznych, projekt aktu wykonawczego wydawanego na podstawie NZIA. Przedstawione zostały przez Komisję także stan prac i założenia zapowiedzi projektu rozporządzenia UE </w:t>
      </w:r>
      <w:proofErr w:type="spellStart"/>
      <w:r w:rsidRPr="005223A4">
        <w:rPr>
          <w:rFonts w:cs="Arial"/>
          <w:szCs w:val="22"/>
        </w:rPr>
        <w:t>ws</w:t>
      </w:r>
      <w:proofErr w:type="spellEnd"/>
      <w:r w:rsidRPr="005223A4">
        <w:rPr>
          <w:rFonts w:cs="Arial"/>
          <w:szCs w:val="22"/>
        </w:rPr>
        <w:t xml:space="preserve">. rozwoju sztucznej inteligencji i technologii chmurowej w kontekście rozważanych propozycji dot. zamówień publicznych. </w:t>
      </w:r>
    </w:p>
    <w:p w14:paraId="3D25BFF6" w14:textId="0DAAD82E" w:rsidR="005223A4" w:rsidRDefault="005223A4" w:rsidP="005B2D45">
      <w:pPr>
        <w:shd w:val="clear" w:color="auto" w:fill="FFFFFF"/>
        <w:spacing w:before="120" w:line="360" w:lineRule="auto"/>
        <w:jc w:val="left"/>
        <w:rPr>
          <w:rFonts w:cs="Arial"/>
          <w:szCs w:val="22"/>
        </w:rPr>
      </w:pPr>
      <w:r w:rsidRPr="005223A4">
        <w:rPr>
          <w:rFonts w:cs="Arial"/>
          <w:szCs w:val="22"/>
        </w:rPr>
        <w:t>Grupa omówiła także z Komisją skutki orzecznictwa Trybunału Sprawiedliwości UE w sprawach Kolin i Qingdao, dotyczące dostępu wykonawców z państw trzecich oraz towarów, usług i robót budowlanych z państw trzecich do rynków zamówień publicznych i koncesji państw członkowskich UE. Na podstawie pytań zebranych w trakcie prac grupy Komisja opracowała w 2025 r. odpowiedzi Q&amp;A dotyczące skutków wyroku TSUE w tych sprawach.</w:t>
      </w:r>
    </w:p>
    <w:p w14:paraId="2B77C79D" w14:textId="629C07F6" w:rsidR="005B2D45" w:rsidRPr="00292EE8" w:rsidRDefault="005B2D45" w:rsidP="00852522">
      <w:pPr>
        <w:pStyle w:val="Nagwek4"/>
      </w:pPr>
      <w:r>
        <w:t xml:space="preserve">1.2. </w:t>
      </w:r>
      <w:r w:rsidRPr="005B2D45">
        <w:t>Grupa robocza Rady UE ds. konkurencyjności i wzrostu (wysoki szczebel)</w:t>
      </w:r>
    </w:p>
    <w:p w14:paraId="45054B51" w14:textId="77777777" w:rsidR="009912BA" w:rsidRPr="009912BA" w:rsidRDefault="009912BA" w:rsidP="009912BA">
      <w:pPr>
        <w:shd w:val="clear" w:color="auto" w:fill="FFFFFF"/>
        <w:spacing w:before="120" w:line="360" w:lineRule="auto"/>
        <w:jc w:val="left"/>
        <w:rPr>
          <w:rFonts w:cs="Arial"/>
          <w:szCs w:val="22"/>
        </w:rPr>
      </w:pPr>
      <w:r w:rsidRPr="009912BA">
        <w:rPr>
          <w:rFonts w:cs="Arial"/>
          <w:szCs w:val="22"/>
        </w:rPr>
        <w:t xml:space="preserve">Departament UE i Współpracy Międzynarodowej UZP uczestniczył w przygotowaniach do formalnego posiedzenia grupy wysokiego szczebla w dniu 29 kwietnia 2025 r., która w ramach punktu </w:t>
      </w:r>
      <w:r w:rsidRPr="009912BA">
        <w:rPr>
          <w:rFonts w:cs="Arial"/>
          <w:i/>
          <w:iCs/>
          <w:szCs w:val="22"/>
        </w:rPr>
        <w:t>Ramy prawne zamówień publicznych jako narzędzie konkurencyjności</w:t>
      </w:r>
      <w:r w:rsidRPr="009912BA">
        <w:rPr>
          <w:rFonts w:cs="Arial"/>
          <w:szCs w:val="22"/>
        </w:rPr>
        <w:t xml:space="preserve"> przeprowadziła debatę przygotowującą do debaty orientacyjnej na posiedzenie Rady ds. Konkurencyjności w dniu 22 maja 2025 r. w ramach punktu </w:t>
      </w:r>
      <w:r w:rsidRPr="009912BA">
        <w:rPr>
          <w:rFonts w:cs="Arial"/>
          <w:i/>
          <w:iCs/>
          <w:szCs w:val="22"/>
        </w:rPr>
        <w:t>Zamówienia publiczne – cele strategiczne i kierunek dalszych działań</w:t>
      </w:r>
      <w:r w:rsidRPr="009912BA">
        <w:rPr>
          <w:rFonts w:cs="Arial"/>
          <w:szCs w:val="22"/>
        </w:rPr>
        <w:t>, którego celem było wysłuchanie i zebranie opinii ministrów na temat określenia unijnych celów strategicznych i ustalenie priorytetów ich realizacji za pomocą zamówień publicznych. Z kolei spotkanie w dn. 11 listopada 2025 r. dotyczyło m.in. kwestii związanych z wprowadzaniem wymagań „</w:t>
      </w:r>
      <w:proofErr w:type="spellStart"/>
      <w:r w:rsidRPr="009912BA">
        <w:rPr>
          <w:rFonts w:cs="Arial"/>
          <w:i/>
          <w:iCs/>
          <w:szCs w:val="22"/>
        </w:rPr>
        <w:t>Made</w:t>
      </w:r>
      <w:proofErr w:type="spellEnd"/>
      <w:r w:rsidRPr="009912BA">
        <w:rPr>
          <w:rFonts w:cs="Arial"/>
          <w:i/>
          <w:iCs/>
          <w:szCs w:val="22"/>
        </w:rPr>
        <w:t xml:space="preserve"> in Europe</w:t>
      </w:r>
      <w:r w:rsidRPr="009912BA">
        <w:rPr>
          <w:rFonts w:cs="Arial"/>
          <w:szCs w:val="22"/>
        </w:rPr>
        <w:t>” i „</w:t>
      </w:r>
      <w:proofErr w:type="spellStart"/>
      <w:r w:rsidRPr="009912BA">
        <w:rPr>
          <w:rFonts w:cs="Arial"/>
          <w:i/>
          <w:iCs/>
          <w:szCs w:val="22"/>
        </w:rPr>
        <w:t>local</w:t>
      </w:r>
      <w:proofErr w:type="spellEnd"/>
      <w:r w:rsidRPr="009912BA">
        <w:rPr>
          <w:rFonts w:cs="Arial"/>
          <w:i/>
          <w:iCs/>
          <w:szCs w:val="22"/>
        </w:rPr>
        <w:t xml:space="preserve"> </w:t>
      </w:r>
      <w:proofErr w:type="spellStart"/>
      <w:r w:rsidRPr="009912BA">
        <w:rPr>
          <w:rFonts w:cs="Arial"/>
          <w:i/>
          <w:iCs/>
          <w:szCs w:val="22"/>
        </w:rPr>
        <w:t>content</w:t>
      </w:r>
      <w:proofErr w:type="spellEnd"/>
      <w:r w:rsidRPr="009912BA">
        <w:rPr>
          <w:rFonts w:cs="Arial"/>
          <w:szCs w:val="22"/>
        </w:rPr>
        <w:t>” w zamówieniach publicznych w UE.</w:t>
      </w:r>
    </w:p>
    <w:p w14:paraId="77273C69" w14:textId="77777777" w:rsidR="009912BA" w:rsidRPr="009912BA" w:rsidRDefault="009912BA" w:rsidP="009912BA">
      <w:pPr>
        <w:shd w:val="clear" w:color="auto" w:fill="FFFFFF"/>
        <w:spacing w:before="120" w:line="360" w:lineRule="auto"/>
        <w:jc w:val="left"/>
        <w:rPr>
          <w:rFonts w:cs="Arial"/>
          <w:szCs w:val="22"/>
        </w:rPr>
      </w:pPr>
      <w:r w:rsidRPr="009912BA">
        <w:rPr>
          <w:rFonts w:cs="Arial"/>
          <w:szCs w:val="22"/>
        </w:rPr>
        <w:t xml:space="preserve">UZP w 2025 r. brał udział w konsultacjach towarzyszących opracowywaniu stanowiska RP w trakcie prac również innych formacji grup roboczych Rady ds. konkurencyjności i wzrostu, tj. przemysł i rynek wewnętrzny, w zakresie propozycji zapisów dotyczących zamówień publicznych dokumentów legislacyjnych i </w:t>
      </w:r>
      <w:proofErr w:type="spellStart"/>
      <w:r w:rsidRPr="009912BA">
        <w:rPr>
          <w:rFonts w:cs="Arial"/>
          <w:szCs w:val="22"/>
        </w:rPr>
        <w:t>nielegislacyjnych</w:t>
      </w:r>
      <w:proofErr w:type="spellEnd"/>
      <w:r w:rsidRPr="009912BA">
        <w:rPr>
          <w:rFonts w:cs="Arial"/>
          <w:szCs w:val="22"/>
        </w:rPr>
        <w:t>.</w:t>
      </w:r>
    </w:p>
    <w:p w14:paraId="2D99AD59" w14:textId="1554C918" w:rsidR="009912BA" w:rsidRPr="00292EE8" w:rsidRDefault="009912BA" w:rsidP="00852522">
      <w:pPr>
        <w:pStyle w:val="Nagwek4"/>
      </w:pPr>
      <w:r>
        <w:t xml:space="preserve">1.3. </w:t>
      </w:r>
      <w:r w:rsidRPr="009912BA">
        <w:t>Grupa robocza Rady UE ds. konkurencyjności i wzrostu (format przemysł)</w:t>
      </w:r>
    </w:p>
    <w:p w14:paraId="3B817273" w14:textId="77777777" w:rsidR="00653420" w:rsidRPr="00653420" w:rsidRDefault="00653420" w:rsidP="00653420">
      <w:pPr>
        <w:shd w:val="clear" w:color="auto" w:fill="FFFFFF"/>
        <w:spacing w:before="120" w:line="360" w:lineRule="auto"/>
        <w:jc w:val="left"/>
        <w:rPr>
          <w:rFonts w:cs="Arial"/>
          <w:szCs w:val="22"/>
        </w:rPr>
      </w:pPr>
      <w:r w:rsidRPr="00653420">
        <w:rPr>
          <w:rFonts w:cs="Arial"/>
          <w:szCs w:val="22"/>
        </w:rPr>
        <w:t xml:space="preserve">W dniach 3 lipca oraz 11 grudnia 2025 r. w tym formacie omawiane były kwestie związane z zapowiadanym projektem aktu UE </w:t>
      </w:r>
      <w:proofErr w:type="spellStart"/>
      <w:r w:rsidRPr="00653420">
        <w:rPr>
          <w:rFonts w:cs="Arial"/>
          <w:szCs w:val="22"/>
        </w:rPr>
        <w:t>ws</w:t>
      </w:r>
      <w:proofErr w:type="spellEnd"/>
      <w:r w:rsidRPr="00653420">
        <w:rPr>
          <w:rFonts w:cs="Arial"/>
          <w:szCs w:val="22"/>
        </w:rPr>
        <w:t>. przyspieszenia przemysłowego (IAA), który ma wprowadzić w prawie UE preferencje unijne w zamówieniach publicznych. Z kolei w dniu 28.11.2025 r. omawiane były kwestie wprowadzania w prawie unijnym inicjatyw rynków wiodących oraz stymulowania popytu w kontekście roli polityki przemysłowej w zielonej transformacji, odporności i konkurencyjności.</w:t>
      </w:r>
    </w:p>
    <w:p w14:paraId="117E837F" w14:textId="7D3BA2F4" w:rsidR="006A3FA4" w:rsidRPr="00292EE8" w:rsidRDefault="006A3FA4" w:rsidP="00852522">
      <w:pPr>
        <w:pStyle w:val="Nagwek4"/>
      </w:pPr>
      <w:r>
        <w:t xml:space="preserve">1.4. </w:t>
      </w:r>
      <w:r w:rsidRPr="006A3FA4">
        <w:t>Grupa robocza Rady ds. konkurencyjności i wzrostu (rynek wewnętrzny)</w:t>
      </w:r>
    </w:p>
    <w:p w14:paraId="53336270" w14:textId="77777777" w:rsidR="009631BA" w:rsidRPr="009631BA" w:rsidRDefault="009631BA" w:rsidP="009631BA">
      <w:pPr>
        <w:shd w:val="clear" w:color="auto" w:fill="FFFFFF"/>
        <w:spacing w:before="120" w:line="360" w:lineRule="auto"/>
        <w:jc w:val="left"/>
        <w:rPr>
          <w:rFonts w:cs="Arial"/>
          <w:szCs w:val="22"/>
        </w:rPr>
      </w:pPr>
      <w:r w:rsidRPr="009631BA">
        <w:rPr>
          <w:rFonts w:cs="Arial"/>
          <w:szCs w:val="22"/>
        </w:rPr>
        <w:t xml:space="preserve">Grupa robocza formatu rynek wewnętrzny, na posiedzeniu w dniu 9 lipca 2025 r. omawiała Komunikat Komisji </w:t>
      </w:r>
      <w:r w:rsidRPr="009631BA">
        <w:rPr>
          <w:rFonts w:cs="Arial"/>
          <w:i/>
          <w:iCs/>
          <w:szCs w:val="22"/>
        </w:rPr>
        <w:t>Jednolity rynek: nasz europejski rynek wewnętrzny w niepewnym świecie. Strategia na rzecz prostszego, płynniejszego i silniejszego jednolitego rynku</w:t>
      </w:r>
      <w:r w:rsidRPr="009631BA">
        <w:rPr>
          <w:rFonts w:cs="Arial"/>
          <w:szCs w:val="22"/>
        </w:rPr>
        <w:t>, którego Rozdział IV dotyczy cyfryzacji jednolitego rynku. Ponadto punkt agendy spotkania w dn. 25.11. był poświęcony kwestiom stosowania rozporządzenia UE z 27 listopada 2024 r. nr 2024/3015 w sprawie zakazu wprowadzania do obrotu na rynku unijnym produktów wytwarzanych z wykorzystaniem pracy przymusowej oraz zmiany dyrektywy 2019/1937.</w:t>
      </w:r>
    </w:p>
    <w:p w14:paraId="786F99EC" w14:textId="37DAF680" w:rsidR="0080585C" w:rsidRPr="00292EE8" w:rsidRDefault="0080585C" w:rsidP="00852522">
      <w:pPr>
        <w:pStyle w:val="Nagwek4"/>
      </w:pPr>
      <w:r>
        <w:t xml:space="preserve">1.5. </w:t>
      </w:r>
      <w:r w:rsidRPr="0080585C">
        <w:t>Grupa Robocza Rady ds. Produktów Farmaceutycznych i Wyrobów Medycznych</w:t>
      </w:r>
    </w:p>
    <w:p w14:paraId="6B4A4DE6" w14:textId="77777777" w:rsidR="0080585C" w:rsidRPr="0080585C" w:rsidRDefault="0080585C" w:rsidP="0080585C">
      <w:pPr>
        <w:shd w:val="clear" w:color="auto" w:fill="FFFFFF"/>
        <w:spacing w:before="120" w:line="360" w:lineRule="auto"/>
        <w:jc w:val="left"/>
        <w:rPr>
          <w:rFonts w:cs="Arial"/>
          <w:szCs w:val="22"/>
        </w:rPr>
      </w:pPr>
      <w:r w:rsidRPr="0080585C">
        <w:rPr>
          <w:rFonts w:cs="Arial"/>
          <w:szCs w:val="22"/>
        </w:rPr>
        <w:t xml:space="preserve">W 2025 r. UZP zapewniał wsparcie merytoryczne w pracach tej grupy roboczej nad przepisami dotyczącymi zamówień publicznych, zawartymi w projekcie rozporządzania sektorowego UE </w:t>
      </w:r>
      <w:proofErr w:type="spellStart"/>
      <w:r w:rsidRPr="0080585C">
        <w:rPr>
          <w:rFonts w:cs="Arial"/>
          <w:szCs w:val="22"/>
        </w:rPr>
        <w:t>ws</w:t>
      </w:r>
      <w:proofErr w:type="spellEnd"/>
      <w:r w:rsidRPr="0080585C">
        <w:rPr>
          <w:rFonts w:cs="Arial"/>
          <w:szCs w:val="22"/>
        </w:rPr>
        <w:t xml:space="preserve">. krytycznych leków (CMA). Posiedzenia grupy, na których omawiane były przepisy dot. zamówień publicznych odbyły się w terminach: 3-4.07., 3-4.09., 8.10., 28-29.10., 3.11. Poza tym uwagi były przekazywane również w zw. z posiedzeniami </w:t>
      </w:r>
      <w:proofErr w:type="spellStart"/>
      <w:r w:rsidRPr="0080585C">
        <w:rPr>
          <w:rFonts w:cs="Arial"/>
          <w:szCs w:val="22"/>
        </w:rPr>
        <w:t>Coreper</w:t>
      </w:r>
      <w:proofErr w:type="spellEnd"/>
      <w:r w:rsidRPr="0080585C">
        <w:rPr>
          <w:rFonts w:cs="Arial"/>
          <w:szCs w:val="22"/>
        </w:rPr>
        <w:t xml:space="preserve"> I dotyczącymi CMA w dn. 15.10. i 14.11.2025 r.</w:t>
      </w:r>
    </w:p>
    <w:p w14:paraId="73198C41" w14:textId="5B8607D1" w:rsidR="007D6644" w:rsidRPr="00292EE8" w:rsidRDefault="007D6644" w:rsidP="00852522">
      <w:pPr>
        <w:pStyle w:val="Nagwek4"/>
      </w:pPr>
      <w:r>
        <w:t xml:space="preserve">1.6. </w:t>
      </w:r>
      <w:r w:rsidRPr="007D6644">
        <w:t xml:space="preserve">Grupy </w:t>
      </w:r>
      <w:proofErr w:type="spellStart"/>
      <w:r w:rsidRPr="007D6644">
        <w:t>Antici</w:t>
      </w:r>
      <w:proofErr w:type="spellEnd"/>
      <w:r w:rsidRPr="007D6644">
        <w:t xml:space="preserve"> ds. uproszczeń (AGS)</w:t>
      </w:r>
    </w:p>
    <w:p w14:paraId="57E249D2" w14:textId="48DD8198" w:rsidR="00B25DB0" w:rsidRPr="00B25DB0" w:rsidRDefault="00B25DB0" w:rsidP="00B25DB0">
      <w:pPr>
        <w:shd w:val="clear" w:color="auto" w:fill="FFFFFF"/>
        <w:spacing w:before="120" w:line="360" w:lineRule="auto"/>
        <w:jc w:val="left"/>
        <w:rPr>
          <w:rFonts w:cs="Arial"/>
          <w:szCs w:val="22"/>
        </w:rPr>
      </w:pPr>
      <w:r w:rsidRPr="00B25DB0">
        <w:rPr>
          <w:rFonts w:cs="Arial"/>
          <w:szCs w:val="22"/>
        </w:rPr>
        <w:t xml:space="preserve">W 2025 r. toczyły się prace w grupie roboczej Rady </w:t>
      </w:r>
      <w:proofErr w:type="spellStart"/>
      <w:r w:rsidRPr="00B25DB0">
        <w:rPr>
          <w:rFonts w:cs="Arial"/>
          <w:szCs w:val="22"/>
        </w:rPr>
        <w:t>Antici</w:t>
      </w:r>
      <w:proofErr w:type="spellEnd"/>
      <w:r w:rsidRPr="00B25DB0">
        <w:rPr>
          <w:rFonts w:cs="Arial"/>
          <w:szCs w:val="22"/>
        </w:rPr>
        <w:t xml:space="preserve"> ds. uproszczeń (AGS) nad przepisami </w:t>
      </w:r>
      <w:proofErr w:type="spellStart"/>
      <w:r w:rsidRPr="00B25DB0">
        <w:rPr>
          <w:rFonts w:cs="Arial"/>
          <w:i/>
          <w:iCs/>
          <w:szCs w:val="22"/>
        </w:rPr>
        <w:t>Defence</w:t>
      </w:r>
      <w:proofErr w:type="spellEnd"/>
      <w:r w:rsidRPr="00B25DB0">
        <w:rPr>
          <w:rFonts w:cs="Arial"/>
          <w:i/>
          <w:iCs/>
          <w:szCs w:val="22"/>
        </w:rPr>
        <w:t xml:space="preserve"> Omnibus V</w:t>
      </w:r>
      <w:r w:rsidRPr="00B25DB0">
        <w:rPr>
          <w:rFonts w:cs="Arial"/>
          <w:szCs w:val="22"/>
        </w:rPr>
        <w:t xml:space="preserve"> zawierającymi m.in. propozycje zmiany dyrektywy 2009/81/WE. UZP uczestniczył w konsultacjach międzyresortowych dotyczących </w:t>
      </w:r>
      <w:r w:rsidR="00C5456A" w:rsidRPr="00B25DB0">
        <w:rPr>
          <w:rFonts w:cs="Arial"/>
          <w:szCs w:val="22"/>
        </w:rPr>
        <w:t>zmiany</w:t>
      </w:r>
      <w:r w:rsidRPr="00B25DB0">
        <w:rPr>
          <w:rFonts w:cs="Arial"/>
          <w:szCs w:val="22"/>
        </w:rPr>
        <w:t xml:space="preserve"> przepisów dyrektywy 2009/81/WE w zakresie uzgodnienia z zamówieniami cywilnymi dyrektywy 2014/24/UE, podniesienia wysokości progów zastosowania unijnych procedur udzielania zamówień w obszarach obronności i bezpieczeństwa, wspierania wspólnych zamówień oraz zamówień zawieranych w drodze umów ramowych, zamówień udzielanych na podstawie konkurencyjnych projektów badawczych, ustanawiania partnerstw innowacyjnych, zamówień udzielanych wspólnie przez instytucje zamawiające z różnych państw członkowskich UE oraz </w:t>
      </w:r>
      <w:proofErr w:type="spellStart"/>
      <w:r w:rsidRPr="00B25DB0">
        <w:rPr>
          <w:rFonts w:cs="Arial"/>
          <w:szCs w:val="22"/>
        </w:rPr>
        <w:t>wyłączeń</w:t>
      </w:r>
      <w:proofErr w:type="spellEnd"/>
      <w:r w:rsidRPr="00B25DB0">
        <w:rPr>
          <w:rFonts w:cs="Arial"/>
          <w:szCs w:val="22"/>
        </w:rPr>
        <w:t>.</w:t>
      </w:r>
    </w:p>
    <w:p w14:paraId="1B4FB1CA" w14:textId="7439C65C" w:rsidR="009A516A" w:rsidRPr="00292EE8" w:rsidRDefault="009A516A" w:rsidP="00852522">
      <w:pPr>
        <w:pStyle w:val="Nagwek4"/>
      </w:pPr>
      <w:r>
        <w:t xml:space="preserve">1.7. </w:t>
      </w:r>
      <w:r w:rsidRPr="009A516A">
        <w:t>Komitet Polityki Handlowej</w:t>
      </w:r>
    </w:p>
    <w:p w14:paraId="3B20A561" w14:textId="77777777" w:rsidR="00554856" w:rsidRPr="00554856" w:rsidRDefault="00554856" w:rsidP="00554856">
      <w:pPr>
        <w:shd w:val="clear" w:color="auto" w:fill="FFFFFF"/>
        <w:spacing w:before="120" w:line="360" w:lineRule="auto"/>
        <w:jc w:val="left"/>
        <w:rPr>
          <w:rFonts w:cs="Arial"/>
          <w:szCs w:val="22"/>
        </w:rPr>
      </w:pPr>
      <w:r w:rsidRPr="00554856">
        <w:rPr>
          <w:rFonts w:cs="Arial"/>
          <w:szCs w:val="22"/>
        </w:rPr>
        <w:t>W 2025 r. Urząd Zamówień Publicznych brał udział w konsultacjach prowadzonych przez Ministerstwo Rozwoju i Technologii dotyczących tematów omawianych przez Komitet Polityki Handlowej (TPC) w zakresie zamówień publicznych. Temat zamówień publicznych pojawiał się głównie w kontekście negocjowanych i zawartych umów handlowych UE z państwami trzecimi, zawierających rozdziały dotyczące zasad wzajemnego dostępu do zamówień publicznych, a także w kontekście stosowania środków ochrony handlu przez UE (środek IZM ustanowiony rozporządzeniem wykonawczym Komisji (UE) 2025/1197 z dnia 19 czerwca 2025 r. wobec wykonawców i wyrobów medycznych pochodzących z Chińskiej Republiki Ludowej).</w:t>
      </w:r>
    </w:p>
    <w:p w14:paraId="1D85B95B" w14:textId="6A1013E3" w:rsidR="00554856" w:rsidRPr="00292EE8" w:rsidRDefault="00554856" w:rsidP="00852522">
      <w:pPr>
        <w:pStyle w:val="Nagwek4"/>
      </w:pPr>
      <w:r>
        <w:t>1.</w:t>
      </w:r>
      <w:r w:rsidR="00140AFE">
        <w:t>8</w:t>
      </w:r>
      <w:r>
        <w:t xml:space="preserve">. </w:t>
      </w:r>
      <w:r w:rsidR="00140AFE" w:rsidRPr="00140AFE">
        <w:t>Komitet Polityki Gospodarczej</w:t>
      </w:r>
    </w:p>
    <w:p w14:paraId="11FA7B70" w14:textId="77777777" w:rsidR="00EA1B52" w:rsidRPr="00EA1B52" w:rsidRDefault="00EA1B52" w:rsidP="00EA1B52">
      <w:pPr>
        <w:shd w:val="clear" w:color="auto" w:fill="FFFFFF"/>
        <w:spacing w:before="120" w:line="360" w:lineRule="auto"/>
        <w:jc w:val="left"/>
        <w:rPr>
          <w:rFonts w:cs="Arial"/>
          <w:szCs w:val="22"/>
        </w:rPr>
      </w:pPr>
      <w:r w:rsidRPr="00EA1B52">
        <w:rPr>
          <w:rFonts w:cs="Arial"/>
          <w:szCs w:val="22"/>
        </w:rPr>
        <w:t xml:space="preserve">Na posiedzeniu w dniu 25 listopada 2025 r. Komitet Polityki Gospodarczej (EPC) pełniący funkcję kluczowego organu doradczego Rady i Komisji, omawiał wyniki ewaluacji dyrektyw 2014/24/UE dot. zamówień „klasycznych”, 2014/25/UE dot. zamówień w sektorach użyteczności publicznej i 2014/23/UE dot. koncesji, zawarte w Raporcie SWD(2025) 332 </w:t>
      </w:r>
      <w:proofErr w:type="spellStart"/>
      <w:r w:rsidRPr="00EA1B52">
        <w:rPr>
          <w:rFonts w:cs="Arial"/>
          <w:szCs w:val="22"/>
        </w:rPr>
        <w:t>final</w:t>
      </w:r>
      <w:proofErr w:type="spellEnd"/>
      <w:r w:rsidRPr="00EA1B52">
        <w:rPr>
          <w:rFonts w:cs="Arial"/>
          <w:szCs w:val="22"/>
        </w:rPr>
        <w:t xml:space="preserve"> oraz w podsumowaniu ewaluacji SWD(2025) 333 </w:t>
      </w:r>
      <w:proofErr w:type="spellStart"/>
      <w:r w:rsidRPr="00EA1B52">
        <w:rPr>
          <w:rFonts w:cs="Arial"/>
          <w:szCs w:val="22"/>
        </w:rPr>
        <w:t>final</w:t>
      </w:r>
      <w:proofErr w:type="spellEnd"/>
      <w:r w:rsidRPr="00EA1B52">
        <w:rPr>
          <w:rFonts w:cs="Arial"/>
          <w:szCs w:val="22"/>
        </w:rPr>
        <w:t>.</w:t>
      </w:r>
    </w:p>
    <w:p w14:paraId="682BC9BA" w14:textId="04E83C2E" w:rsidR="007406E7" w:rsidRPr="00292EE8" w:rsidRDefault="007406E7" w:rsidP="00852522">
      <w:pPr>
        <w:pStyle w:val="Nagwek4"/>
      </w:pPr>
      <w:r>
        <w:t xml:space="preserve">2. </w:t>
      </w:r>
      <w:r w:rsidRPr="007406E7">
        <w:t>Komitety doradcze i grupy eksperckie działające przy Komisji Europejskiej</w:t>
      </w:r>
    </w:p>
    <w:p w14:paraId="6E8757C1" w14:textId="038C9F0D" w:rsidR="007406E7" w:rsidRPr="008E269E" w:rsidRDefault="007406E7" w:rsidP="00852522">
      <w:pPr>
        <w:pStyle w:val="Nagwek4"/>
        <w:rPr>
          <w:lang w:val="en-US"/>
        </w:rPr>
      </w:pPr>
      <w:r>
        <w:t xml:space="preserve">2.1. </w:t>
      </w:r>
      <w:r w:rsidR="008E269E" w:rsidRPr="008E269E">
        <w:t xml:space="preserve">Komitet Doradczy ds. Zamówień Publicznych (ang. </w:t>
      </w:r>
      <w:r w:rsidR="008E269E" w:rsidRPr="008E269E">
        <w:rPr>
          <w:lang w:val="en-US"/>
        </w:rPr>
        <w:t>Advisory Committee for Public Contracts)</w:t>
      </w:r>
    </w:p>
    <w:p w14:paraId="037F191E" w14:textId="57148133" w:rsidR="002C27E9" w:rsidRPr="002C27E9" w:rsidRDefault="002C27E9" w:rsidP="002C27E9">
      <w:pPr>
        <w:shd w:val="clear" w:color="auto" w:fill="FFFFFF"/>
        <w:spacing w:before="120" w:line="360" w:lineRule="auto"/>
        <w:jc w:val="left"/>
        <w:rPr>
          <w:rFonts w:cs="Arial"/>
          <w:szCs w:val="22"/>
        </w:rPr>
      </w:pPr>
      <w:r w:rsidRPr="002C27E9">
        <w:rPr>
          <w:rFonts w:cs="Arial"/>
          <w:szCs w:val="22"/>
        </w:rPr>
        <w:t xml:space="preserve">W dniu 10 października 2025 r. odbyło się w formule online posiedzenie Komitetu Doradczego ds. Zamówień Publicznych zorganizowane przez Dyrekcję Generalną Rynek Wewnętrzny, Przemysł, Przedsiębiorczość i MŚP (DG GROW) w Komisji Europejskiej. W spotkaniu uczestniczył również przedstawiciel UZP. </w:t>
      </w:r>
      <w:r w:rsidRPr="002C27E9">
        <w:rPr>
          <w:rFonts w:cs="Arial"/>
          <w:szCs w:val="22"/>
          <w:lang w:val="es-ES"/>
        </w:rPr>
        <w:t xml:space="preserve">Spotkanie służyło omówieniu projektu aktu wykonawczego do rozporządzenia NZIA określającego minimalne wymogi zrównoważenia środowiskowego </w:t>
      </w:r>
      <w:r w:rsidRPr="002C27E9">
        <w:rPr>
          <w:rFonts w:cs="Arial"/>
          <w:szCs w:val="22"/>
        </w:rPr>
        <w:t>na potrzeby postępowań o udzielenie zamówienia publicznego na wybrane technologie neutralne emisyjnie oraz zamówień i koncesji na roboty budowalne takie technologie wykorzystujące. Z</w:t>
      </w:r>
      <w:r w:rsidRPr="002C27E9">
        <w:rPr>
          <w:rFonts w:cs="Arial"/>
          <w:szCs w:val="22"/>
          <w:lang w:val="es-ES"/>
        </w:rPr>
        <w:t xml:space="preserve">godnie z art. 25 ust. 5 </w:t>
      </w:r>
      <w:r w:rsidRPr="002C27E9">
        <w:rPr>
          <w:rFonts w:cs="Arial"/>
          <w:i/>
          <w:iCs/>
          <w:szCs w:val="22"/>
        </w:rPr>
        <w:t xml:space="preserve">rozporządzenia Parlamentu Europejskiego i Rady (UE) 2024/1735 z dnia 13 czerwca 2024 r. w sprawie ustanowienia ram środków na rzecz wzmocnienia europejskiego ekosystemu produkcji technologii neutralnych emisyjnie i zmieniające rozporządzenie (UE) 2018/1724 (tzw. Rozporządzenie NZIA), </w:t>
      </w:r>
      <w:r w:rsidRPr="002C27E9">
        <w:rPr>
          <w:rFonts w:cs="Arial"/>
          <w:szCs w:val="22"/>
          <w:lang w:val="es-ES"/>
        </w:rPr>
        <w:t>Komisja Europejska była zobowiązana przyjąć taki akt do 30 marca 2025 r., jednak rzeczywisty termin jego opracowani i procedowania sie opóźnił.</w:t>
      </w:r>
      <w:r w:rsidR="00990AEA">
        <w:rPr>
          <w:rFonts w:cs="Arial"/>
          <w:szCs w:val="22"/>
          <w:lang w:val="es-ES"/>
        </w:rPr>
        <w:t xml:space="preserve"> </w:t>
      </w:r>
      <w:r w:rsidRPr="002C27E9">
        <w:rPr>
          <w:rFonts w:cs="Arial"/>
          <w:szCs w:val="22"/>
        </w:rPr>
        <w:t xml:space="preserve">Minimalne obowiązkowe wymogi, w świetle art. 25 ust. 4 rozporządzenia NZIA, mogą przyjąć formę specyfikacji technicznych lub klauzul dotyczących realizacji zamówienia. </w:t>
      </w:r>
    </w:p>
    <w:p w14:paraId="3DF33BB0" w14:textId="77777777" w:rsidR="002C27E9" w:rsidRPr="002C27E9" w:rsidRDefault="002C27E9" w:rsidP="002C27E9">
      <w:pPr>
        <w:shd w:val="clear" w:color="auto" w:fill="FFFFFF"/>
        <w:spacing w:before="120" w:line="360" w:lineRule="auto"/>
        <w:jc w:val="left"/>
        <w:rPr>
          <w:rFonts w:cs="Arial"/>
          <w:szCs w:val="22"/>
        </w:rPr>
      </w:pPr>
      <w:r w:rsidRPr="002C27E9">
        <w:rPr>
          <w:rFonts w:cs="Arial"/>
          <w:szCs w:val="22"/>
        </w:rPr>
        <w:t>Projekt został jedocześnie opublikowany na portalu „</w:t>
      </w:r>
      <w:proofErr w:type="spellStart"/>
      <w:r w:rsidRPr="002C27E9">
        <w:rPr>
          <w:rFonts w:cs="Arial"/>
          <w:szCs w:val="22"/>
        </w:rPr>
        <w:t>Have</w:t>
      </w:r>
      <w:proofErr w:type="spellEnd"/>
      <w:r w:rsidRPr="002C27E9">
        <w:rPr>
          <w:rFonts w:cs="Arial"/>
          <w:szCs w:val="22"/>
        </w:rPr>
        <w:t xml:space="preserve"> </w:t>
      </w:r>
      <w:proofErr w:type="spellStart"/>
      <w:r w:rsidRPr="002C27E9">
        <w:rPr>
          <w:rFonts w:cs="Arial"/>
          <w:szCs w:val="22"/>
        </w:rPr>
        <w:t>Your</w:t>
      </w:r>
      <w:proofErr w:type="spellEnd"/>
      <w:r w:rsidRPr="002C27E9">
        <w:rPr>
          <w:rFonts w:cs="Arial"/>
          <w:szCs w:val="22"/>
        </w:rPr>
        <w:t xml:space="preserve"> </w:t>
      </w:r>
      <w:proofErr w:type="spellStart"/>
      <w:r w:rsidRPr="002C27E9">
        <w:rPr>
          <w:rFonts w:cs="Arial"/>
          <w:szCs w:val="22"/>
        </w:rPr>
        <w:t>Say</w:t>
      </w:r>
      <w:proofErr w:type="spellEnd"/>
      <w:r w:rsidRPr="002C27E9">
        <w:rPr>
          <w:rFonts w:cs="Arial"/>
          <w:szCs w:val="22"/>
        </w:rPr>
        <w:t xml:space="preserve">” w celu przeprowadzenia czterotygodniowych konsultacji społecznych. W następstwie spotkania, strona polska przekazała uwagi do projektu rozporządzenia wykonawczego, które skutkowały zmianami w projekcie aktu. </w:t>
      </w:r>
    </w:p>
    <w:p w14:paraId="374593B9" w14:textId="77777777" w:rsidR="002C27E9" w:rsidRPr="002C27E9" w:rsidRDefault="002C27E9" w:rsidP="002C27E9">
      <w:pPr>
        <w:shd w:val="clear" w:color="auto" w:fill="FFFFFF"/>
        <w:spacing w:before="120" w:line="360" w:lineRule="auto"/>
        <w:jc w:val="left"/>
        <w:rPr>
          <w:rFonts w:cs="Arial"/>
          <w:szCs w:val="22"/>
        </w:rPr>
      </w:pPr>
      <w:r w:rsidRPr="002C27E9">
        <w:rPr>
          <w:rFonts w:cs="Arial"/>
          <w:szCs w:val="22"/>
        </w:rPr>
        <w:t>Ostatecznie rozporządzenie wykonawcze Komisji (UE) 2026/718 z dnia 20 marca 2026 r. ustanawiające zasady stosowania rozporządzenia Parlamentu Europejskiego i Rady (UE) 2024/1735 w odniesieniu do minimalnych wymogów dotyczących zrównoważenia środowiskowego w postępowaniach o udzielenie zamówienia publicznego obejmujących niektóre technologie neutralne emisyjnie zostało opublikowane 23 marca 2026 r.</w:t>
      </w:r>
    </w:p>
    <w:p w14:paraId="0340F04F" w14:textId="77777777" w:rsidR="002C27E9" w:rsidRPr="002C27E9" w:rsidRDefault="002C27E9" w:rsidP="002C27E9">
      <w:pPr>
        <w:shd w:val="clear" w:color="auto" w:fill="FFFFFF"/>
        <w:spacing w:before="120" w:line="360" w:lineRule="auto"/>
        <w:jc w:val="left"/>
        <w:rPr>
          <w:rFonts w:cs="Arial"/>
          <w:szCs w:val="22"/>
        </w:rPr>
      </w:pPr>
      <w:r w:rsidRPr="002C27E9">
        <w:rPr>
          <w:rFonts w:cs="Arial"/>
          <w:szCs w:val="22"/>
        </w:rPr>
        <w:t xml:space="preserve">Tekst dostępny pod </w:t>
      </w:r>
      <w:hyperlink r:id="rId96" w:history="1">
        <w:r w:rsidRPr="002C27E9">
          <w:rPr>
            <w:rStyle w:val="Hipercze"/>
            <w:rFonts w:cs="Arial"/>
            <w:szCs w:val="22"/>
          </w:rPr>
          <w:t>linkiem</w:t>
        </w:r>
      </w:hyperlink>
    </w:p>
    <w:p w14:paraId="3EF16C23" w14:textId="46866DC1" w:rsidR="003365CA" w:rsidRPr="009C5BF8" w:rsidRDefault="003365CA" w:rsidP="00852522">
      <w:pPr>
        <w:pStyle w:val="Nagwek4"/>
      </w:pPr>
      <w:r>
        <w:t xml:space="preserve">2.2. </w:t>
      </w:r>
      <w:r w:rsidRPr="003365CA">
        <w:t>Grupa ekspercka ds. zamówień publicznych (</w:t>
      </w:r>
      <w:proofErr w:type="spellStart"/>
      <w:r w:rsidRPr="003365CA">
        <w:t>Expert</w:t>
      </w:r>
      <w:proofErr w:type="spellEnd"/>
      <w:r w:rsidRPr="003365CA">
        <w:t xml:space="preserve"> </w:t>
      </w:r>
      <w:proofErr w:type="spellStart"/>
      <w:r w:rsidRPr="003365CA">
        <w:t>Group</w:t>
      </w:r>
      <w:proofErr w:type="spellEnd"/>
      <w:r w:rsidRPr="003365CA">
        <w:t xml:space="preserve"> on Public </w:t>
      </w:r>
      <w:proofErr w:type="spellStart"/>
      <w:r w:rsidRPr="003365CA">
        <w:t>Procurement</w:t>
      </w:r>
      <w:proofErr w:type="spellEnd"/>
      <w:r w:rsidRPr="003365CA">
        <w:t>, EXPP)</w:t>
      </w:r>
    </w:p>
    <w:p w14:paraId="10AA53F5" w14:textId="77777777" w:rsidR="009C5BF8" w:rsidRPr="009C5BF8" w:rsidRDefault="009C5BF8" w:rsidP="009C5BF8">
      <w:pPr>
        <w:shd w:val="clear" w:color="auto" w:fill="FFFFFF"/>
        <w:spacing w:before="120" w:line="360" w:lineRule="auto"/>
        <w:jc w:val="left"/>
        <w:rPr>
          <w:rFonts w:cs="Arial"/>
          <w:szCs w:val="22"/>
        </w:rPr>
      </w:pPr>
      <w:r w:rsidRPr="009C5BF8">
        <w:rPr>
          <w:rFonts w:cs="Arial"/>
          <w:szCs w:val="22"/>
        </w:rPr>
        <w:t xml:space="preserve">W 2025 r. przedstawiciele Urzędu uczestniczyli w 4 spotkaniach zorganizowanych w ramach Grupy eksperckiej ds. zamówień publicznych. Spotkania odbyły się w terminach 27 marca, </w:t>
      </w:r>
      <w:r w:rsidRPr="009C5BF8">
        <w:rPr>
          <w:rFonts w:cs="Arial"/>
          <w:szCs w:val="22"/>
        </w:rPr>
        <w:br/>
        <w:t>11 czerwca, 10 września oraz 3-4 listopada ub.r.</w:t>
      </w:r>
    </w:p>
    <w:p w14:paraId="7163A482" w14:textId="3096486B" w:rsidR="009C5BF8" w:rsidRPr="009C5BF8" w:rsidRDefault="009C5BF8" w:rsidP="009C5BF8">
      <w:pPr>
        <w:shd w:val="clear" w:color="auto" w:fill="FFFFFF"/>
        <w:spacing w:before="120" w:line="360" w:lineRule="auto"/>
        <w:jc w:val="left"/>
        <w:rPr>
          <w:rFonts w:cs="Arial"/>
          <w:szCs w:val="22"/>
        </w:rPr>
      </w:pPr>
      <w:r w:rsidRPr="009C5BF8">
        <w:rPr>
          <w:rFonts w:cs="Arial"/>
          <w:szCs w:val="22"/>
        </w:rPr>
        <w:t xml:space="preserve">W trakcie polskiej prezydencji w Radzie UE w I połowie 2025 r., Urząd Zamówień Publicznych we współpracy z Ministerstwem Rozwoju i Technologii pomógł w organizacji czerwcowego spotkania EXPP w Warszawie. Wydarzenie odbyło się w siedzibie </w:t>
      </w:r>
      <w:proofErr w:type="spellStart"/>
      <w:r w:rsidRPr="009C5BF8">
        <w:rPr>
          <w:rFonts w:cs="Arial"/>
          <w:szCs w:val="22"/>
        </w:rPr>
        <w:t>MRiT</w:t>
      </w:r>
      <w:proofErr w:type="spellEnd"/>
      <w:r w:rsidRPr="009C5BF8">
        <w:rPr>
          <w:rFonts w:cs="Arial"/>
          <w:szCs w:val="22"/>
        </w:rPr>
        <w:t>.</w:t>
      </w:r>
      <w:r w:rsidR="00990AEA">
        <w:rPr>
          <w:rFonts w:cs="Arial"/>
          <w:szCs w:val="22"/>
        </w:rPr>
        <w:t xml:space="preserve"> </w:t>
      </w:r>
    </w:p>
    <w:p w14:paraId="16AB0C82" w14:textId="77777777" w:rsidR="009C5BF8" w:rsidRPr="009C5BF8" w:rsidRDefault="009C5BF8" w:rsidP="009C5BF8">
      <w:pPr>
        <w:shd w:val="clear" w:color="auto" w:fill="FFFFFF"/>
        <w:spacing w:before="120" w:line="360" w:lineRule="auto"/>
        <w:jc w:val="left"/>
        <w:rPr>
          <w:rFonts w:cs="Arial"/>
          <w:szCs w:val="22"/>
        </w:rPr>
      </w:pPr>
      <w:r w:rsidRPr="009C5BF8">
        <w:rPr>
          <w:rFonts w:cs="Arial"/>
          <w:szCs w:val="22"/>
        </w:rPr>
        <w:t xml:space="preserve">Spotkania w ramach Grupy eksperckiej ds. zamówień publicznych służyły w 2025 r. przede wszystkim prezentacji ewaluacji dyrektyw </w:t>
      </w:r>
      <w:proofErr w:type="spellStart"/>
      <w:r w:rsidRPr="009C5BF8">
        <w:rPr>
          <w:rFonts w:cs="Arial"/>
          <w:szCs w:val="22"/>
        </w:rPr>
        <w:t>ws</w:t>
      </w:r>
      <w:proofErr w:type="spellEnd"/>
      <w:r w:rsidRPr="009C5BF8">
        <w:rPr>
          <w:rFonts w:cs="Arial"/>
          <w:szCs w:val="22"/>
        </w:rPr>
        <w:t xml:space="preserve">. zamówień z 2014 r., w tym wniosków z trwających do 7 marca 2025 r. otwartych konsultacji publicznych, a także informowaniu o postępach i wstępnych wnioskach kierunkowych analiz zleconych przez Komisję Europejską. Analizy na zlecenie KE obejmowały badanie na temat wewnętrznej i zewnętrznej spójności (ang. </w:t>
      </w:r>
      <w:proofErr w:type="spellStart"/>
      <w:r w:rsidRPr="009C5BF8">
        <w:rPr>
          <w:rFonts w:cs="Arial"/>
          <w:szCs w:val="22"/>
        </w:rPr>
        <w:t>Internal</w:t>
      </w:r>
      <w:proofErr w:type="spellEnd"/>
      <w:r w:rsidRPr="009C5BF8">
        <w:rPr>
          <w:rFonts w:cs="Arial"/>
          <w:szCs w:val="22"/>
        </w:rPr>
        <w:t xml:space="preserve"> and </w:t>
      </w:r>
      <w:proofErr w:type="spellStart"/>
      <w:r w:rsidRPr="009C5BF8">
        <w:rPr>
          <w:rFonts w:cs="Arial"/>
          <w:szCs w:val="22"/>
        </w:rPr>
        <w:t>External</w:t>
      </w:r>
      <w:proofErr w:type="spellEnd"/>
      <w:r w:rsidRPr="009C5BF8">
        <w:rPr>
          <w:rFonts w:cs="Arial"/>
          <w:szCs w:val="22"/>
        </w:rPr>
        <w:t xml:space="preserve"> </w:t>
      </w:r>
      <w:proofErr w:type="spellStart"/>
      <w:r w:rsidRPr="009C5BF8">
        <w:rPr>
          <w:rFonts w:cs="Arial"/>
          <w:szCs w:val="22"/>
        </w:rPr>
        <w:t>Coherence</w:t>
      </w:r>
      <w:proofErr w:type="spellEnd"/>
      <w:r w:rsidRPr="009C5BF8">
        <w:rPr>
          <w:rFonts w:cs="Arial"/>
          <w:szCs w:val="22"/>
        </w:rPr>
        <w:t xml:space="preserve"> </w:t>
      </w:r>
      <w:proofErr w:type="spellStart"/>
      <w:r w:rsidRPr="009C5BF8">
        <w:rPr>
          <w:rFonts w:cs="Arial"/>
          <w:szCs w:val="22"/>
        </w:rPr>
        <w:t>Study</w:t>
      </w:r>
      <w:proofErr w:type="spellEnd"/>
      <w:r w:rsidRPr="009C5BF8">
        <w:rPr>
          <w:rFonts w:cs="Arial"/>
          <w:szCs w:val="22"/>
        </w:rPr>
        <w:t xml:space="preserve">), badanie nt. relewantności i unijnej wartości dodanej (ang. </w:t>
      </w:r>
      <w:proofErr w:type="spellStart"/>
      <w:r w:rsidRPr="009C5BF8">
        <w:rPr>
          <w:rFonts w:cs="Arial"/>
          <w:szCs w:val="22"/>
        </w:rPr>
        <w:t>Relevance</w:t>
      </w:r>
      <w:proofErr w:type="spellEnd"/>
      <w:r w:rsidRPr="009C5BF8">
        <w:rPr>
          <w:rFonts w:cs="Arial"/>
          <w:szCs w:val="22"/>
        </w:rPr>
        <w:t xml:space="preserve"> and EU </w:t>
      </w:r>
      <w:proofErr w:type="spellStart"/>
      <w:r w:rsidRPr="009C5BF8">
        <w:rPr>
          <w:rFonts w:cs="Arial"/>
          <w:szCs w:val="22"/>
        </w:rPr>
        <w:t>Added</w:t>
      </w:r>
      <w:proofErr w:type="spellEnd"/>
      <w:r w:rsidRPr="009C5BF8">
        <w:rPr>
          <w:rFonts w:cs="Arial"/>
          <w:szCs w:val="22"/>
        </w:rPr>
        <w:t xml:space="preserve"> Value </w:t>
      </w:r>
      <w:proofErr w:type="spellStart"/>
      <w:r w:rsidRPr="009C5BF8">
        <w:rPr>
          <w:rFonts w:cs="Arial"/>
          <w:szCs w:val="22"/>
        </w:rPr>
        <w:t>Study</w:t>
      </w:r>
      <w:proofErr w:type="spellEnd"/>
      <w:r w:rsidRPr="009C5BF8">
        <w:rPr>
          <w:rFonts w:cs="Arial"/>
          <w:szCs w:val="22"/>
        </w:rPr>
        <w:t xml:space="preserve">), badanie w zakresie przejrzystości i integralności (ang. </w:t>
      </w:r>
      <w:proofErr w:type="spellStart"/>
      <w:r w:rsidRPr="009C5BF8">
        <w:rPr>
          <w:rFonts w:cs="Arial"/>
          <w:szCs w:val="22"/>
        </w:rPr>
        <w:t>Transparency</w:t>
      </w:r>
      <w:proofErr w:type="spellEnd"/>
      <w:r w:rsidRPr="009C5BF8">
        <w:rPr>
          <w:rFonts w:cs="Arial"/>
          <w:szCs w:val="22"/>
        </w:rPr>
        <w:t xml:space="preserve"> and </w:t>
      </w:r>
      <w:proofErr w:type="spellStart"/>
      <w:r w:rsidRPr="009C5BF8">
        <w:rPr>
          <w:rFonts w:cs="Arial"/>
          <w:szCs w:val="22"/>
        </w:rPr>
        <w:t>Integrity</w:t>
      </w:r>
      <w:proofErr w:type="spellEnd"/>
      <w:r w:rsidRPr="009C5BF8">
        <w:rPr>
          <w:rFonts w:cs="Arial"/>
          <w:szCs w:val="22"/>
        </w:rPr>
        <w:t xml:space="preserve"> </w:t>
      </w:r>
      <w:proofErr w:type="spellStart"/>
      <w:r w:rsidRPr="009C5BF8">
        <w:rPr>
          <w:rFonts w:cs="Arial"/>
          <w:szCs w:val="22"/>
        </w:rPr>
        <w:t>Study</w:t>
      </w:r>
      <w:proofErr w:type="spellEnd"/>
      <w:r w:rsidRPr="009C5BF8">
        <w:rPr>
          <w:rFonts w:cs="Arial"/>
          <w:szCs w:val="22"/>
        </w:rPr>
        <w:t xml:space="preserve">) oraz badanie w zakresie kosztów i korzyści (ang. </w:t>
      </w:r>
      <w:proofErr w:type="spellStart"/>
      <w:r w:rsidRPr="009C5BF8">
        <w:rPr>
          <w:rFonts w:cs="Arial"/>
          <w:szCs w:val="22"/>
        </w:rPr>
        <w:t>Cost</w:t>
      </w:r>
      <w:proofErr w:type="spellEnd"/>
      <w:r w:rsidRPr="009C5BF8">
        <w:rPr>
          <w:rFonts w:cs="Arial"/>
          <w:szCs w:val="22"/>
        </w:rPr>
        <w:t xml:space="preserve">-benefit </w:t>
      </w:r>
      <w:proofErr w:type="spellStart"/>
      <w:r w:rsidRPr="009C5BF8">
        <w:rPr>
          <w:rFonts w:cs="Arial"/>
          <w:szCs w:val="22"/>
        </w:rPr>
        <w:t>study</w:t>
      </w:r>
      <w:proofErr w:type="spellEnd"/>
      <w:r w:rsidRPr="009C5BF8">
        <w:rPr>
          <w:rFonts w:cs="Arial"/>
          <w:szCs w:val="22"/>
        </w:rPr>
        <w:t xml:space="preserve">). </w:t>
      </w:r>
    </w:p>
    <w:p w14:paraId="3B0BA5AD" w14:textId="77777777" w:rsidR="009C5BF8" w:rsidRPr="009C5BF8" w:rsidRDefault="009C5BF8" w:rsidP="009C5BF8">
      <w:pPr>
        <w:shd w:val="clear" w:color="auto" w:fill="FFFFFF"/>
        <w:spacing w:before="120" w:line="360" w:lineRule="auto"/>
        <w:jc w:val="left"/>
        <w:rPr>
          <w:rFonts w:cs="Arial"/>
          <w:b/>
          <w:bCs/>
          <w:szCs w:val="22"/>
          <w:u w:val="single"/>
        </w:rPr>
      </w:pPr>
      <w:r w:rsidRPr="009C5BF8">
        <w:rPr>
          <w:rFonts w:cs="Arial"/>
          <w:szCs w:val="22"/>
        </w:rPr>
        <w:t>Spotkania dały również możliwość podjęcia dyskusji na forum na temat potrzeby i ewentualnych kierunków zmian przepisów obowiązujących regulacji prawnych w obszarze koncesji, partnerstwa publiczno-publicznego, społecznych zamówień publicznych, zielonych zamówień publicznych oraz zamówień publicznych na innowacje.</w:t>
      </w:r>
    </w:p>
    <w:p w14:paraId="48DFBE81" w14:textId="77777777" w:rsidR="009C5BF8" w:rsidRPr="009C5BF8" w:rsidRDefault="009C5BF8" w:rsidP="009C5BF8">
      <w:pPr>
        <w:shd w:val="clear" w:color="auto" w:fill="FFFFFF"/>
        <w:spacing w:before="120" w:line="360" w:lineRule="auto"/>
        <w:jc w:val="left"/>
        <w:rPr>
          <w:rFonts w:cs="Arial"/>
          <w:szCs w:val="22"/>
        </w:rPr>
      </w:pPr>
      <w:r w:rsidRPr="009C5BF8">
        <w:rPr>
          <w:rFonts w:cs="Arial"/>
          <w:szCs w:val="22"/>
        </w:rPr>
        <w:t xml:space="preserve">Na listopadowym spotkaniu EXPP, Komisja Europejska zaprezentowała główne wnioski z opublikowanego w dniu 29 października 2025 r. kompleksowego </w:t>
      </w:r>
      <w:hyperlink r:id="rId97" w:history="1">
        <w:r w:rsidRPr="009C5BF8">
          <w:rPr>
            <w:rStyle w:val="Hipercze"/>
            <w:rFonts w:cs="Arial"/>
            <w:szCs w:val="22"/>
            <w:lang w:val="es-ES"/>
          </w:rPr>
          <w:t>Raportu ewaluacyjnego dyrektyw</w:t>
        </w:r>
      </w:hyperlink>
      <w:r w:rsidRPr="009C5BF8">
        <w:rPr>
          <w:rFonts w:cs="Arial"/>
          <w:szCs w:val="22"/>
          <w:lang w:val="es-ES"/>
        </w:rPr>
        <w:t xml:space="preserve"> (dostępna jedynie wersja EN), w którym ujęto również wyniki prowadzonych na zlecenie KE analiz. Poinformowała także o o</w:t>
      </w:r>
      <w:r w:rsidRPr="009C5BF8">
        <w:rPr>
          <w:rFonts w:cs="Arial"/>
          <w:szCs w:val="22"/>
        </w:rPr>
        <w:t xml:space="preserve">publikowaniu podsumowania najważniejszych wniosków z Raportu ewaluacyjnego w 3 językach narodowych, które dostępne są pod </w:t>
      </w:r>
      <w:hyperlink r:id="rId98" w:history="1">
        <w:r w:rsidRPr="009C5BF8">
          <w:rPr>
            <w:rStyle w:val="Hipercze"/>
            <w:rFonts w:cs="Arial"/>
            <w:szCs w:val="22"/>
          </w:rPr>
          <w:t>linkiem</w:t>
        </w:r>
      </w:hyperlink>
      <w:r w:rsidRPr="009C5BF8">
        <w:rPr>
          <w:rFonts w:cs="Arial"/>
          <w:szCs w:val="22"/>
        </w:rPr>
        <w:t>.</w:t>
      </w:r>
    </w:p>
    <w:p w14:paraId="4A9C40D7" w14:textId="77777777" w:rsidR="009C5BF8" w:rsidRPr="009C5BF8" w:rsidRDefault="009C5BF8" w:rsidP="009C5BF8">
      <w:pPr>
        <w:shd w:val="clear" w:color="auto" w:fill="FFFFFF"/>
        <w:spacing w:before="120" w:line="360" w:lineRule="auto"/>
        <w:jc w:val="left"/>
        <w:rPr>
          <w:rFonts w:cs="Arial"/>
          <w:szCs w:val="22"/>
        </w:rPr>
      </w:pPr>
      <w:r w:rsidRPr="009C5BF8">
        <w:rPr>
          <w:rFonts w:cs="Arial"/>
          <w:szCs w:val="22"/>
        </w:rPr>
        <w:t>Listopadowe spotkanie EXPP częściowo połączone było ze spotkaniem grupy eksperckiej ds. e-zamówień EXEP, co pozwoliło podjąć dyskusję w ramach szerszego forum na temat rozwiązań elektronicznych w zamówieniach oraz zasadności integracji krajowych platform e-zamówień.</w:t>
      </w:r>
    </w:p>
    <w:p w14:paraId="288B7BB3" w14:textId="2A878DB8" w:rsidR="00B74FD8" w:rsidRPr="009C5BF8" w:rsidRDefault="00B74FD8" w:rsidP="00852522">
      <w:pPr>
        <w:pStyle w:val="Nagwek4"/>
      </w:pPr>
      <w:r>
        <w:t xml:space="preserve">2.3. </w:t>
      </w:r>
      <w:r w:rsidR="00C5216D" w:rsidRPr="00C5216D">
        <w:t>Grupa doradcza ds. zielonych zamówień publicznych (</w:t>
      </w:r>
      <w:proofErr w:type="spellStart"/>
      <w:r w:rsidR="00C5216D" w:rsidRPr="00C5216D">
        <w:t>Advisory</w:t>
      </w:r>
      <w:proofErr w:type="spellEnd"/>
      <w:r w:rsidR="00C5216D" w:rsidRPr="00C5216D">
        <w:t xml:space="preserve"> </w:t>
      </w:r>
      <w:proofErr w:type="spellStart"/>
      <w:r w:rsidR="00C5216D" w:rsidRPr="00C5216D">
        <w:t>Group</w:t>
      </w:r>
      <w:proofErr w:type="spellEnd"/>
      <w:r w:rsidR="00C5216D" w:rsidRPr="00C5216D">
        <w:t xml:space="preserve"> on Green Public </w:t>
      </w:r>
      <w:proofErr w:type="spellStart"/>
      <w:r w:rsidR="00C5216D" w:rsidRPr="00C5216D">
        <w:t>Procurement</w:t>
      </w:r>
      <w:proofErr w:type="spellEnd"/>
      <w:r w:rsidR="00C5216D" w:rsidRPr="00C5216D">
        <w:t>)</w:t>
      </w:r>
    </w:p>
    <w:p w14:paraId="2C916056" w14:textId="77777777" w:rsidR="00DD4635" w:rsidRPr="00DD4635" w:rsidRDefault="00DD4635" w:rsidP="00DD4635">
      <w:pPr>
        <w:shd w:val="clear" w:color="auto" w:fill="FFFFFF"/>
        <w:spacing w:before="120" w:line="360" w:lineRule="auto"/>
        <w:jc w:val="left"/>
        <w:rPr>
          <w:rFonts w:cs="Arial"/>
          <w:szCs w:val="22"/>
        </w:rPr>
      </w:pPr>
      <w:r w:rsidRPr="00DD4635">
        <w:rPr>
          <w:rFonts w:cs="Arial"/>
          <w:szCs w:val="22"/>
        </w:rPr>
        <w:t>10 lipca 2025 r. przedstawiciel Urzędu uczestniczył w spotkaniu online zorganizowanym przez Komisję Europejską (DG Środowisko) w ramach Grupy doradczej ds. zielonych zamówień publicznych. Spotkanie służyło przede wszystkim prezentacji prowadzonych przez KE działań ewaluacyjnych w odniesieniu do dyrektyw w sprawie zamówień z 2014 r. W następstwie spotkania, Urząd przekazał Komisji Europejskiej propozycje ewentualnych kierunków interwencji legislacyjnej w obszarze zielonych zamówień.</w:t>
      </w:r>
    </w:p>
    <w:p w14:paraId="25C9ADA6" w14:textId="49F41C14" w:rsidR="00DD4635" w:rsidRPr="009C5BF8" w:rsidRDefault="00DD4635" w:rsidP="00852522">
      <w:pPr>
        <w:pStyle w:val="Nagwek4"/>
      </w:pPr>
      <w:r>
        <w:t xml:space="preserve">2.4. </w:t>
      </w:r>
      <w:r w:rsidRPr="00DD4635">
        <w:t>Komitet ds. Barier w Handlu</w:t>
      </w:r>
    </w:p>
    <w:p w14:paraId="5892EEB5" w14:textId="77777777" w:rsidR="00DF711C" w:rsidRPr="00DF711C" w:rsidRDefault="00DF711C" w:rsidP="00DF711C">
      <w:pPr>
        <w:shd w:val="clear" w:color="auto" w:fill="FFFFFF"/>
        <w:spacing w:before="120" w:line="360" w:lineRule="auto"/>
        <w:jc w:val="left"/>
        <w:rPr>
          <w:rFonts w:cs="Arial"/>
          <w:bCs/>
          <w:szCs w:val="22"/>
        </w:rPr>
      </w:pPr>
      <w:r w:rsidRPr="00DF711C">
        <w:rPr>
          <w:rFonts w:cs="Arial"/>
          <w:bCs/>
          <w:szCs w:val="22"/>
        </w:rPr>
        <w:t xml:space="preserve">W 2025 r. Komitet ds. Barier w Handlu dwukrotnie spotykał się </w:t>
      </w:r>
      <w:proofErr w:type="spellStart"/>
      <w:r w:rsidRPr="00DF711C">
        <w:rPr>
          <w:rFonts w:cs="Arial"/>
          <w:bCs/>
          <w:szCs w:val="22"/>
        </w:rPr>
        <w:t>ws</w:t>
      </w:r>
      <w:proofErr w:type="spellEnd"/>
      <w:r w:rsidRPr="00DF711C">
        <w:rPr>
          <w:rFonts w:cs="Arial"/>
          <w:bCs/>
          <w:szCs w:val="22"/>
        </w:rPr>
        <w:t xml:space="preserve">. wszczętego w 2024 przez Komisję postępowania w ramach Instrumentu Zamówień Międzynarodowych (IZM) wobec Chin w sprawie stosowanych środków ograniczających dostęp do rynku zamówień publicznych w Chinach na wyroby medyczne. Na posiedzeniu w dniu 2 czerwca 2025 r. Komitet ds. Barier w Handlu zagłosował za przyjęciem przedstawionego przez Komisję projektu aktu wykonawczego. Rozporządzenie wykonawcze (UE) 2025/1197 nakładające środek Instrumentu Zamówień Międzynarodowych ograniczający dostęp wykonawców i wyrobów medycznych pochodzących z Chińskiej Republiki Ludowej do unijnego rynku zamówień publicznych dla wyrobów medycznych zgodnie z rozporządzeniem Parlamentu Europejskiego i Rady (UE) 2022/1031 Komisja przyjęła 19 czerwca 2025 r. </w:t>
      </w:r>
    </w:p>
    <w:p w14:paraId="70F82C39" w14:textId="1B67D3FE" w:rsidR="00DF711C" w:rsidRPr="009C5BF8" w:rsidRDefault="00DF711C" w:rsidP="00852522">
      <w:pPr>
        <w:pStyle w:val="Nagwek4"/>
      </w:pPr>
      <w:r>
        <w:t xml:space="preserve">2.5. </w:t>
      </w:r>
      <w:r w:rsidRPr="00DD4635">
        <w:t>Komitet ds. Barier w Handlu</w:t>
      </w:r>
    </w:p>
    <w:p w14:paraId="6A87F1DA" w14:textId="77777777" w:rsidR="00DF711C" w:rsidRPr="00DF711C" w:rsidRDefault="00DF711C" w:rsidP="00DF711C">
      <w:pPr>
        <w:shd w:val="clear" w:color="auto" w:fill="FFFFFF"/>
        <w:spacing w:before="120" w:line="360" w:lineRule="auto"/>
        <w:jc w:val="left"/>
        <w:rPr>
          <w:rFonts w:cs="Arial"/>
          <w:szCs w:val="22"/>
        </w:rPr>
      </w:pPr>
      <w:r w:rsidRPr="00DF711C">
        <w:rPr>
          <w:rFonts w:cs="Arial"/>
          <w:szCs w:val="22"/>
        </w:rPr>
        <w:t>W dniu 4 grudnia 2025 r. na spotkaniu Komitetu Doradczego Komisji ds. Subsydiów Zagranicznych (FSAC) został omówiony przedstawiony przez Komisję projekt wytycznych Komisji dotyczących stosowania niektórych przepisów rozporządzenia Parlamentu Europejskiego i Rady (UE) 2022/2560 w sprawie subsydiów zagranicznych (FSR) zakłócających rynek wewnętrzny. Członkowie Komitetu zgodzili się z ogólną propozycją Komisji dotyczącą wytycznych do FSR.</w:t>
      </w:r>
    </w:p>
    <w:p w14:paraId="2F882BB2" w14:textId="1A4BABD7" w:rsidR="00DF711C" w:rsidRPr="009C5BF8" w:rsidRDefault="00DF711C" w:rsidP="00852522">
      <w:pPr>
        <w:pStyle w:val="Nagwek4"/>
      </w:pPr>
      <w:r>
        <w:t xml:space="preserve">2.6. </w:t>
      </w:r>
      <w:r w:rsidR="004B261A" w:rsidRPr="004B261A">
        <w:t>Grupa Robocza ds. Zjednoczonego Królestwa i Specjalny Komitet Handlowej ds. Zamówień Publicznych</w:t>
      </w:r>
    </w:p>
    <w:p w14:paraId="0A3E6EBB" w14:textId="77777777" w:rsidR="004B261A" w:rsidRPr="004B261A" w:rsidRDefault="004B261A" w:rsidP="004B261A">
      <w:pPr>
        <w:shd w:val="clear" w:color="auto" w:fill="FFFFFF"/>
        <w:spacing w:before="120" w:line="360" w:lineRule="auto"/>
        <w:jc w:val="left"/>
        <w:rPr>
          <w:rFonts w:cs="Arial"/>
          <w:szCs w:val="22"/>
        </w:rPr>
      </w:pPr>
      <w:r w:rsidRPr="004B261A">
        <w:rPr>
          <w:rFonts w:cs="Arial"/>
          <w:szCs w:val="22"/>
        </w:rPr>
        <w:t>Na spotkaniu Grupy Roboczej ds. Zjednoczonego Królestwa w 2024 r. 13 października 2025 r. przedstawione zostały informacje z przebiegu piątego spotkania Specjalnego Komitetu Handlowego ds. Zamówień Publicznych (STCPP), działającej na podstawie Umowy o handlu i współpracy (TCA) zawartej między UE a Zjednoczonym Królestwem (ZK), które odbyło się w Londynie w dniu 8 października 2025 r. Celem TSCPP jest monitorowanie wdrażania przepisów dotyczących równego traktowania i niedyskryminacji wykonawców obu stron w zamówieniach publicznych, wymiana informacji na temat zmian w przepisach o zamówieniach publicznych w UE i Wielkiej Brytanii oraz identyfikacja i rozwiązywanie ewentualnych problemów technicznych lub spornych związanych z dostępem do zamówień publicznych.</w:t>
      </w:r>
    </w:p>
    <w:p w14:paraId="182AAB11" w14:textId="77777777" w:rsidR="004B261A" w:rsidRPr="004B261A" w:rsidRDefault="004B261A" w:rsidP="004B261A">
      <w:pPr>
        <w:shd w:val="clear" w:color="auto" w:fill="FFFFFF"/>
        <w:spacing w:before="120" w:line="360" w:lineRule="auto"/>
        <w:jc w:val="left"/>
        <w:rPr>
          <w:rFonts w:cs="Arial"/>
          <w:szCs w:val="22"/>
        </w:rPr>
      </w:pPr>
      <w:r w:rsidRPr="004B261A">
        <w:rPr>
          <w:rFonts w:cs="Arial"/>
          <w:szCs w:val="22"/>
        </w:rPr>
        <w:t xml:space="preserve">Na spotkaniu TSCPP strona brytyjska przekazała informacje m.in. o wejściu w życie 24.02.2025 r. przepisów brytyjskiego </w:t>
      </w:r>
      <w:proofErr w:type="spellStart"/>
      <w:r w:rsidRPr="004B261A">
        <w:rPr>
          <w:rFonts w:cs="Arial"/>
          <w:i/>
          <w:iCs/>
          <w:szCs w:val="22"/>
        </w:rPr>
        <w:t>Procurement</w:t>
      </w:r>
      <w:proofErr w:type="spellEnd"/>
      <w:r w:rsidRPr="004B261A">
        <w:rPr>
          <w:rFonts w:cs="Arial"/>
          <w:i/>
          <w:iCs/>
          <w:szCs w:val="22"/>
        </w:rPr>
        <w:t xml:space="preserve"> </w:t>
      </w:r>
      <w:proofErr w:type="spellStart"/>
      <w:r w:rsidRPr="004B261A">
        <w:rPr>
          <w:rFonts w:cs="Arial"/>
          <w:i/>
          <w:iCs/>
          <w:szCs w:val="22"/>
        </w:rPr>
        <w:t>Act</w:t>
      </w:r>
      <w:proofErr w:type="spellEnd"/>
      <w:r w:rsidRPr="004B261A">
        <w:rPr>
          <w:rFonts w:cs="Arial"/>
          <w:szCs w:val="22"/>
        </w:rPr>
        <w:t xml:space="preserve"> z 2023 r. zasadniczo zmieniających procedury zamówieniowe w ZK. Legislacja ZK w obszarze zamówień ma służyć realizacji celów polityki przemysłowej i rozwojowi brytyjskich przedsiębiorstw. Ze strony UE Komisja przekazała informacje dot. wejścia w życie i kwestii związanych ze stosowaniem środka IZM przyjętego 19 czerwca 2025 r. w rozporządzeniu wykonawczym Komisji nr 2025/1197.a także planów w UE rewizji ram prawnych unijnych zamówień publicznych, podejmowanych w tym kierunku działań i ich wynikach.</w:t>
      </w:r>
    </w:p>
    <w:p w14:paraId="58D7883B" w14:textId="3FD8871A" w:rsidR="00BC0FFD" w:rsidRPr="00292EE8" w:rsidRDefault="00BC0FFD" w:rsidP="00852522">
      <w:pPr>
        <w:pStyle w:val="Nagwek4"/>
      </w:pPr>
      <w:r>
        <w:t xml:space="preserve">3. </w:t>
      </w:r>
      <w:r w:rsidRPr="00BC0FFD">
        <w:t>Udział w badaniach instytucji europejskich</w:t>
      </w:r>
    </w:p>
    <w:p w14:paraId="60CA6D27" w14:textId="77777777" w:rsidR="00254D79" w:rsidRPr="00254D79" w:rsidRDefault="00254D79" w:rsidP="00254D79">
      <w:pPr>
        <w:shd w:val="clear" w:color="auto" w:fill="FFFFFF"/>
        <w:spacing w:before="120" w:line="360" w:lineRule="auto"/>
        <w:jc w:val="left"/>
        <w:rPr>
          <w:rFonts w:cs="Arial"/>
          <w:szCs w:val="22"/>
        </w:rPr>
      </w:pPr>
      <w:r w:rsidRPr="00254D79">
        <w:rPr>
          <w:rFonts w:cs="Arial"/>
          <w:bCs/>
          <w:szCs w:val="22"/>
        </w:rPr>
        <w:t xml:space="preserve">W dniu 28 marca 2025 r. UZP przekazał wkład do odpowiedzi kwestionariusza Komisji </w:t>
      </w:r>
      <w:proofErr w:type="spellStart"/>
      <w:r w:rsidRPr="00254D79">
        <w:rPr>
          <w:rFonts w:cs="Arial"/>
          <w:i/>
          <w:iCs/>
          <w:szCs w:val="22"/>
        </w:rPr>
        <w:t>Targeted</w:t>
      </w:r>
      <w:proofErr w:type="spellEnd"/>
      <w:r w:rsidRPr="00254D79">
        <w:rPr>
          <w:rFonts w:cs="Arial"/>
          <w:i/>
          <w:iCs/>
          <w:szCs w:val="22"/>
        </w:rPr>
        <w:t xml:space="preserve"> </w:t>
      </w:r>
      <w:proofErr w:type="spellStart"/>
      <w:r w:rsidRPr="00254D79">
        <w:rPr>
          <w:rFonts w:cs="Arial"/>
          <w:i/>
          <w:iCs/>
          <w:szCs w:val="22"/>
        </w:rPr>
        <w:t>consultation</w:t>
      </w:r>
      <w:proofErr w:type="spellEnd"/>
      <w:r w:rsidRPr="00254D79">
        <w:rPr>
          <w:rFonts w:cs="Arial"/>
          <w:i/>
          <w:iCs/>
          <w:szCs w:val="22"/>
        </w:rPr>
        <w:t xml:space="preserve"> on the FSR </w:t>
      </w:r>
      <w:proofErr w:type="spellStart"/>
      <w:r w:rsidRPr="00254D79">
        <w:rPr>
          <w:rFonts w:cs="Arial"/>
          <w:i/>
          <w:iCs/>
          <w:szCs w:val="22"/>
        </w:rPr>
        <w:t>guidelines</w:t>
      </w:r>
      <w:proofErr w:type="spellEnd"/>
      <w:r w:rsidRPr="00254D79">
        <w:rPr>
          <w:rFonts w:cs="Arial"/>
          <w:i/>
          <w:iCs/>
          <w:szCs w:val="22"/>
        </w:rPr>
        <w:t xml:space="preserve">, </w:t>
      </w:r>
      <w:r w:rsidRPr="00254D79">
        <w:rPr>
          <w:rFonts w:cs="Arial"/>
          <w:szCs w:val="22"/>
        </w:rPr>
        <w:t>przekazane ostatecznie do Komisji w dn. 2 kwietnia 2025 r.</w:t>
      </w:r>
    </w:p>
    <w:p w14:paraId="54F69845" w14:textId="38839ED8" w:rsidR="00254D79" w:rsidRPr="00292EE8" w:rsidRDefault="00254D79" w:rsidP="00852522">
      <w:pPr>
        <w:pStyle w:val="Nagwek4"/>
      </w:pPr>
      <w:r>
        <w:t xml:space="preserve">4. </w:t>
      </w:r>
      <w:r w:rsidRPr="00254D79">
        <w:t>Współpraca z instytucjami międzynarodowymi</w:t>
      </w:r>
    </w:p>
    <w:p w14:paraId="6BB319BF" w14:textId="1E13F9FD" w:rsidR="005563D5" w:rsidRPr="00292EE8" w:rsidRDefault="005563D5" w:rsidP="00852522">
      <w:pPr>
        <w:pStyle w:val="Nagwek4"/>
      </w:pPr>
      <w:r>
        <w:t xml:space="preserve">4.1. </w:t>
      </w:r>
      <w:r w:rsidR="007F3952" w:rsidRPr="007F3952">
        <w:t xml:space="preserve">Komitet GPA </w:t>
      </w:r>
      <w:proofErr w:type="spellStart"/>
      <w:r w:rsidR="007F3952" w:rsidRPr="007F3952">
        <w:t>ws</w:t>
      </w:r>
      <w:proofErr w:type="spellEnd"/>
      <w:r w:rsidR="007F3952" w:rsidRPr="007F3952">
        <w:t>. Zamówień Rządowych</w:t>
      </w:r>
    </w:p>
    <w:p w14:paraId="0D7A368A" w14:textId="77777777" w:rsidR="001C42DB" w:rsidRPr="001C42DB" w:rsidRDefault="001C42DB" w:rsidP="001C42DB">
      <w:pPr>
        <w:shd w:val="clear" w:color="auto" w:fill="FFFFFF"/>
        <w:spacing w:before="120" w:line="360" w:lineRule="auto"/>
        <w:jc w:val="left"/>
        <w:rPr>
          <w:rFonts w:cs="Arial"/>
          <w:szCs w:val="22"/>
        </w:rPr>
      </w:pPr>
      <w:r w:rsidRPr="001C42DB">
        <w:rPr>
          <w:rFonts w:cs="Arial"/>
          <w:szCs w:val="22"/>
        </w:rPr>
        <w:t xml:space="preserve">Działający na podstawie Porozumienia GPA Komitet </w:t>
      </w:r>
      <w:proofErr w:type="spellStart"/>
      <w:r w:rsidRPr="001C42DB">
        <w:rPr>
          <w:rFonts w:cs="Arial"/>
          <w:szCs w:val="22"/>
        </w:rPr>
        <w:t>ws</w:t>
      </w:r>
      <w:proofErr w:type="spellEnd"/>
      <w:r w:rsidRPr="001C42DB">
        <w:rPr>
          <w:rFonts w:cs="Arial"/>
          <w:szCs w:val="22"/>
        </w:rPr>
        <w:t xml:space="preserve">. Zamówień Rządowych (Komitet GPA), w 2025 r. odbył w sumie trzy formalne posiedzenia w dniach 26 marca, 15 października i 26 listopada. Nieformalne posiedzenie odbyło się 18 czerwca. W 2025 r. funkcję przewodniczącego Komitetu GPA pełnił pan Martin </w:t>
      </w:r>
      <w:proofErr w:type="spellStart"/>
      <w:r w:rsidRPr="001C42DB">
        <w:rPr>
          <w:rFonts w:cs="Arial"/>
          <w:szCs w:val="22"/>
        </w:rPr>
        <w:t>Zbinden</w:t>
      </w:r>
      <w:proofErr w:type="spellEnd"/>
      <w:r w:rsidRPr="001C42DB">
        <w:rPr>
          <w:rFonts w:cs="Arial"/>
          <w:szCs w:val="22"/>
        </w:rPr>
        <w:t xml:space="preserve"> ze Szwajcarii, przy czym nowym przewodniczącym zostanie pan William </w:t>
      </w:r>
      <w:proofErr w:type="spellStart"/>
      <w:r w:rsidRPr="001C42DB">
        <w:rPr>
          <w:rFonts w:cs="Arial"/>
          <w:szCs w:val="22"/>
        </w:rPr>
        <w:t>Westerveld</w:t>
      </w:r>
      <w:proofErr w:type="spellEnd"/>
      <w:r w:rsidRPr="001C42DB">
        <w:rPr>
          <w:rFonts w:cs="Arial"/>
          <w:szCs w:val="22"/>
        </w:rPr>
        <w:t xml:space="preserve"> JENSEN z Norwegii, począwszy od pierwszego spotkania Komitetu GPA w 2026 r. W październiku 2025 r. Komitet odnotował swoje setne formalne posiedzenie od czasu przyjęcia w kwietniu 1994 r. pierwszego Porozumienia WTO w sprawie zamówień rządowych, czyli GPA z 1994 r.</w:t>
      </w:r>
    </w:p>
    <w:p w14:paraId="248AFC63" w14:textId="77777777" w:rsidR="001C42DB" w:rsidRPr="001C42DB" w:rsidRDefault="001C42DB" w:rsidP="001C42DB">
      <w:pPr>
        <w:shd w:val="clear" w:color="auto" w:fill="FFFFFF"/>
        <w:spacing w:before="120" w:line="360" w:lineRule="auto"/>
        <w:jc w:val="left"/>
        <w:rPr>
          <w:rFonts w:cs="Arial"/>
          <w:szCs w:val="22"/>
        </w:rPr>
      </w:pPr>
      <w:r w:rsidRPr="001C42DB">
        <w:rPr>
          <w:rFonts w:cs="Arial"/>
          <w:szCs w:val="22"/>
        </w:rPr>
        <w:t>Prace Komitetu GPA w 2025 r. koncentrowały się przede wszystkim na kontynuowaniu trwających negocjacji akcesyjnych z Albanią i Kostaryką oraz prowadzeniu istniejących programów pracy dotyczących zrównoważonych zamówień publicznych. Program prac dotyczący MŚP został tymczasowo wstrzymany od połowy 2025 r., w zw. z tym, że Komitet formalnie przyjął już Sprawozdanie w sprawie najlepszych praktyk w zakresie promowania i ułatwiania udziału MŚP w zamówieniach publicznych. Na posiedzeniu w listopadzie Komitet GPA przyjął decyzję, w której zgodził się na poszerzenie zakresu materiałów, które w przyszłości będą udostępniane członkom niebiorącym udziału w Komitecie jako strony lub obserwatorzy GPA, a także ogółowi społeczeństwa, a także trzy decyzje znoszące ograniczenia dotyczące list historycznych dokumentów GPA, które już zostały rozpowszechnione. Ponadto, została zapewniona nowa funkcja e-GPA Gateway (Systemu Przesyłania Powiadomień e-GPA (NSS)), która umożliwia elektroniczne przesyłanie powiadomień wymaganych na mocy GPA 2012 do Komitetu.</w:t>
      </w:r>
    </w:p>
    <w:p w14:paraId="4BD5D668" w14:textId="6CA07BF0" w:rsidR="001C42DB" w:rsidRPr="00292EE8" w:rsidRDefault="001C42DB" w:rsidP="00852522">
      <w:pPr>
        <w:pStyle w:val="Nagwek4"/>
      </w:pPr>
      <w:r>
        <w:t xml:space="preserve">4.2. </w:t>
      </w:r>
      <w:r w:rsidRPr="001C42DB">
        <w:t>Współpraca z UNEP</w:t>
      </w:r>
    </w:p>
    <w:p w14:paraId="77165A0E" w14:textId="77777777" w:rsidR="00146BD3" w:rsidRPr="00146BD3" w:rsidRDefault="00146BD3" w:rsidP="00146BD3">
      <w:pPr>
        <w:shd w:val="clear" w:color="auto" w:fill="FFFFFF"/>
        <w:spacing w:before="120" w:line="360" w:lineRule="auto"/>
        <w:jc w:val="left"/>
        <w:rPr>
          <w:rFonts w:cs="Arial"/>
          <w:szCs w:val="22"/>
        </w:rPr>
      </w:pPr>
      <w:r w:rsidRPr="00146BD3">
        <w:rPr>
          <w:rFonts w:cs="Arial"/>
          <w:szCs w:val="22"/>
        </w:rPr>
        <w:t xml:space="preserve">W lipcu 2025 r. przedstawiciele Urzędu wzięli udział w okresowym badaniu prowadzonym przez Sekretariat 10-letnich ram programowych dotyczących zrównoważonej konsumpcji i produkcji (10YFP), działający w ramach Programu Środowiskowego Organizacji Narodów Zjednoczonych. Prowadzone badanie dotyczyło informacji oraz danych statystycznych za 2025 r. w odniesieniu do wskaźnika 12.7.1 Celu Zrównoważonego Rozwoju (SDG): „Liczba krajów wdrażających politykę i plany działania w zakresie zrównoważonych zamówień publicznych”. </w:t>
      </w:r>
    </w:p>
    <w:p w14:paraId="2F89C406" w14:textId="4675E691" w:rsidR="00146BD3" w:rsidRPr="00146BD3" w:rsidRDefault="00146BD3" w:rsidP="00146BD3">
      <w:pPr>
        <w:shd w:val="clear" w:color="auto" w:fill="FFFFFF"/>
        <w:spacing w:before="120" w:line="360" w:lineRule="auto"/>
        <w:jc w:val="left"/>
        <w:rPr>
          <w:rFonts w:cs="Arial"/>
          <w:szCs w:val="22"/>
        </w:rPr>
      </w:pPr>
      <w:r w:rsidRPr="00146BD3">
        <w:rPr>
          <w:rFonts w:cs="Arial"/>
          <w:szCs w:val="22"/>
        </w:rPr>
        <w:t>W dniu 22 października 2025 r. przedstawiciel Urzędu wziął udział w spotkaniu online zorganizowanym przez Ministerstwo Rozwoju i Technologii z inicjatywy przedstawiciela UNEP. Spotkanie dotyczyło omówienia zrealizowanych przez Urząd działań oraz inicjatyw wspierających rozwój zrównoważonego budownictwa w Polsce w ramach przeglądu prowadzonego przez Międzyrządową Radę ds. Budownictwa i Klimatu (ICBC).</w:t>
      </w:r>
      <w:r w:rsidR="00990AEA">
        <w:rPr>
          <w:rFonts w:cs="Arial"/>
          <w:szCs w:val="22"/>
        </w:rPr>
        <w:t xml:space="preserve"> </w:t>
      </w:r>
    </w:p>
    <w:p w14:paraId="5331D440" w14:textId="77777777" w:rsidR="00146BD3" w:rsidRPr="00146BD3" w:rsidRDefault="00146BD3" w:rsidP="00146BD3">
      <w:pPr>
        <w:shd w:val="clear" w:color="auto" w:fill="FFFFFF"/>
        <w:spacing w:before="120" w:line="360" w:lineRule="auto"/>
        <w:jc w:val="left"/>
        <w:rPr>
          <w:rFonts w:cs="Arial"/>
          <w:szCs w:val="22"/>
        </w:rPr>
      </w:pPr>
      <w:r w:rsidRPr="00146BD3">
        <w:rPr>
          <w:rFonts w:cs="Arial"/>
          <w:szCs w:val="22"/>
        </w:rPr>
        <w:t xml:space="preserve">Międzyrządowa Radę ds. Budownictwa i Klimatu (ICBC) została ustanowiona na podstawie Deklaracji z </w:t>
      </w:r>
      <w:proofErr w:type="spellStart"/>
      <w:r w:rsidRPr="00146BD3">
        <w:rPr>
          <w:rFonts w:cs="Arial"/>
          <w:szCs w:val="22"/>
        </w:rPr>
        <w:t>Chaillot</w:t>
      </w:r>
      <w:proofErr w:type="spellEnd"/>
      <w:r w:rsidRPr="00146BD3">
        <w:rPr>
          <w:rFonts w:cs="Arial"/>
          <w:szCs w:val="22"/>
        </w:rPr>
        <w:t xml:space="preserve">, przyjętej na Światowym Forum Budownictwa i Klimatu w Paryżu w marcu 2024 r. Rada ta skupia przedstawicieli rządów w celu współpracy na rzecz przyspieszenia dekarbonizacji i zwiększenia odporności sektora budowlanego, dostosowując działania krajowe do międzynarodowych celów klimatycznych. </w:t>
      </w:r>
    </w:p>
    <w:p w14:paraId="00418CFB" w14:textId="7D56DCEB" w:rsidR="00146BD3" w:rsidRPr="00292EE8" w:rsidRDefault="00146BD3" w:rsidP="00852522">
      <w:pPr>
        <w:pStyle w:val="Nagwek4"/>
      </w:pPr>
      <w:r>
        <w:t xml:space="preserve">4.3. </w:t>
      </w:r>
      <w:r w:rsidRPr="00146BD3">
        <w:t>Współpraca z innymi państwami i podmiotami</w:t>
      </w:r>
    </w:p>
    <w:p w14:paraId="3525B855" w14:textId="77777777" w:rsidR="00F50E37" w:rsidRPr="00F50E37" w:rsidRDefault="00F50E37" w:rsidP="00F50E37">
      <w:pPr>
        <w:shd w:val="clear" w:color="auto" w:fill="FFFFFF"/>
        <w:spacing w:before="120" w:line="360" w:lineRule="auto"/>
        <w:jc w:val="left"/>
        <w:rPr>
          <w:rFonts w:cs="Arial"/>
          <w:szCs w:val="22"/>
        </w:rPr>
      </w:pPr>
      <w:r w:rsidRPr="00F50E37">
        <w:rPr>
          <w:rFonts w:cs="Arial"/>
          <w:szCs w:val="22"/>
        </w:rPr>
        <w:t>W dniu 25 marca 2025 r. w Pradze (Czechy) odbyła się międzynarodowa konferencja pn. „</w:t>
      </w:r>
      <w:r w:rsidRPr="00F50E37">
        <w:rPr>
          <w:rFonts w:cs="Arial"/>
          <w:i/>
          <w:iCs/>
          <w:szCs w:val="22"/>
        </w:rPr>
        <w:t xml:space="preserve">Wizje, trendy i szanse w zamówieniach publicznych” zorganizowana przez </w:t>
      </w:r>
      <w:r w:rsidRPr="00F50E37">
        <w:rPr>
          <w:rFonts w:cs="Arial"/>
          <w:szCs w:val="22"/>
        </w:rPr>
        <w:t xml:space="preserve">czeskie Ministerstwo ds. Rozwoju Regionalnego. W wydarzeniu ze strony Urzędu uczestniczył Wiceprezes Urzędu – p. Przemysław Grosfeld, który wziął udział w dyskusji panelowej na temat kierunków możliwych zmian prawnych w obszarze zamówień publicznych w związku z ewaluacja dyrektyw </w:t>
      </w:r>
      <w:proofErr w:type="spellStart"/>
      <w:r w:rsidRPr="00F50E37">
        <w:rPr>
          <w:rFonts w:cs="Arial"/>
          <w:szCs w:val="22"/>
        </w:rPr>
        <w:t>ws</w:t>
      </w:r>
      <w:proofErr w:type="spellEnd"/>
      <w:r w:rsidRPr="00F50E37">
        <w:rPr>
          <w:rFonts w:cs="Arial"/>
          <w:szCs w:val="22"/>
        </w:rPr>
        <w:t xml:space="preserve">. zamówień z 2014 r. W dyskusji uczestniczyły również p. Maja </w:t>
      </w:r>
      <w:proofErr w:type="spellStart"/>
      <w:r w:rsidRPr="00F50E37">
        <w:rPr>
          <w:rFonts w:cs="Arial"/>
          <w:szCs w:val="22"/>
        </w:rPr>
        <w:t>Kuhar</w:t>
      </w:r>
      <w:proofErr w:type="spellEnd"/>
      <w:r w:rsidRPr="00F50E37">
        <w:rPr>
          <w:rFonts w:cs="Arial"/>
          <w:szCs w:val="22"/>
        </w:rPr>
        <w:t xml:space="preserve"> - Szefowa Państwowej Komisji Nadzoru nad Procedurą Zamówień Publicznych w Chorwacji oraz p. </w:t>
      </w:r>
      <w:proofErr w:type="spellStart"/>
      <w:r w:rsidRPr="00F50E37">
        <w:rPr>
          <w:rFonts w:cs="Arial"/>
          <w:szCs w:val="22"/>
        </w:rPr>
        <w:t>Zuzana</w:t>
      </w:r>
      <w:proofErr w:type="spellEnd"/>
      <w:r w:rsidRPr="00F50E37">
        <w:rPr>
          <w:rFonts w:cs="Arial"/>
          <w:szCs w:val="22"/>
        </w:rPr>
        <w:t> </w:t>
      </w:r>
      <w:proofErr w:type="spellStart"/>
      <w:r w:rsidRPr="00F50E37">
        <w:rPr>
          <w:rFonts w:cs="Arial"/>
          <w:szCs w:val="22"/>
        </w:rPr>
        <w:t>Krajcovicova</w:t>
      </w:r>
      <w:proofErr w:type="spellEnd"/>
      <w:r w:rsidRPr="00F50E37">
        <w:rPr>
          <w:rFonts w:cs="Arial"/>
          <w:szCs w:val="22"/>
        </w:rPr>
        <w:t> reprezentująca słowacki Urząd Zamówień Publicznych</w:t>
      </w:r>
    </w:p>
    <w:p w14:paraId="031D60DC" w14:textId="07D85C71" w:rsidR="00F50E37" w:rsidRPr="00F50E37" w:rsidRDefault="00F50E37" w:rsidP="00F50E37">
      <w:pPr>
        <w:shd w:val="clear" w:color="auto" w:fill="FFFFFF"/>
        <w:spacing w:before="120" w:line="360" w:lineRule="auto"/>
        <w:jc w:val="left"/>
        <w:rPr>
          <w:rFonts w:cs="Arial"/>
          <w:szCs w:val="22"/>
        </w:rPr>
      </w:pPr>
      <w:r w:rsidRPr="00F50E37">
        <w:rPr>
          <w:rFonts w:cs="Arial"/>
          <w:szCs w:val="22"/>
        </w:rPr>
        <w:t xml:space="preserve">W dniu 2 grudnia 2025 r. w Brukseli (Belgia) odbyła się konferencja międzynarodowa pn. „The EU </w:t>
      </w:r>
      <w:proofErr w:type="spellStart"/>
      <w:r w:rsidRPr="00F50E37">
        <w:rPr>
          <w:rFonts w:cs="Arial"/>
          <w:szCs w:val="22"/>
        </w:rPr>
        <w:t>Procurement</w:t>
      </w:r>
      <w:proofErr w:type="spellEnd"/>
      <w:r w:rsidRPr="00F50E37">
        <w:rPr>
          <w:rFonts w:cs="Arial"/>
          <w:szCs w:val="22"/>
        </w:rPr>
        <w:t xml:space="preserve"> Reform: </w:t>
      </w:r>
      <w:proofErr w:type="spellStart"/>
      <w:r w:rsidRPr="00F50E37">
        <w:rPr>
          <w:rFonts w:cs="Arial"/>
          <w:szCs w:val="22"/>
        </w:rPr>
        <w:t>Options</w:t>
      </w:r>
      <w:proofErr w:type="spellEnd"/>
      <w:r w:rsidRPr="00F50E37">
        <w:rPr>
          <w:rFonts w:cs="Arial"/>
          <w:szCs w:val="22"/>
        </w:rPr>
        <w:t xml:space="preserve"> for a </w:t>
      </w:r>
      <w:proofErr w:type="spellStart"/>
      <w:r w:rsidRPr="00F50E37">
        <w:rPr>
          <w:rFonts w:cs="Arial"/>
          <w:szCs w:val="22"/>
        </w:rPr>
        <w:t>Greener</w:t>
      </w:r>
      <w:proofErr w:type="spellEnd"/>
      <w:r w:rsidRPr="00F50E37">
        <w:rPr>
          <w:rFonts w:cs="Arial"/>
          <w:szCs w:val="22"/>
        </w:rPr>
        <w:t xml:space="preserve">, </w:t>
      </w:r>
      <w:proofErr w:type="spellStart"/>
      <w:r w:rsidRPr="00F50E37">
        <w:rPr>
          <w:rFonts w:cs="Arial"/>
          <w:szCs w:val="22"/>
        </w:rPr>
        <w:t>More</w:t>
      </w:r>
      <w:proofErr w:type="spellEnd"/>
      <w:r w:rsidRPr="00F50E37">
        <w:rPr>
          <w:rFonts w:cs="Arial"/>
          <w:szCs w:val="22"/>
        </w:rPr>
        <w:t xml:space="preserve"> </w:t>
      </w:r>
      <w:proofErr w:type="spellStart"/>
      <w:r w:rsidRPr="00F50E37">
        <w:rPr>
          <w:rFonts w:cs="Arial"/>
          <w:szCs w:val="22"/>
        </w:rPr>
        <w:t>Competitive</w:t>
      </w:r>
      <w:proofErr w:type="spellEnd"/>
      <w:r w:rsidRPr="00F50E37">
        <w:rPr>
          <w:rFonts w:cs="Arial"/>
          <w:szCs w:val="22"/>
        </w:rPr>
        <w:t xml:space="preserve"> Europe” („Reforma zamówień publicznych w UE: możliwości stworzenia bardziej ekologicznej i konkurencyjnej Europy”) zorganizowana przez Międzynarodowy Instytut Zrównoważonego Rozwoju (International </w:t>
      </w:r>
      <w:proofErr w:type="spellStart"/>
      <w:r w:rsidRPr="00F50E37">
        <w:rPr>
          <w:rFonts w:cs="Arial"/>
          <w:szCs w:val="22"/>
        </w:rPr>
        <w:t>Institute</w:t>
      </w:r>
      <w:proofErr w:type="spellEnd"/>
      <w:r w:rsidRPr="00F50E37">
        <w:rPr>
          <w:rFonts w:cs="Arial"/>
          <w:szCs w:val="22"/>
        </w:rPr>
        <w:t xml:space="preserve"> for </w:t>
      </w:r>
      <w:proofErr w:type="spellStart"/>
      <w:r w:rsidRPr="00F50E37">
        <w:rPr>
          <w:rFonts w:cs="Arial"/>
          <w:szCs w:val="22"/>
        </w:rPr>
        <w:t>Sustainable</w:t>
      </w:r>
      <w:proofErr w:type="spellEnd"/>
      <w:r w:rsidRPr="00F50E37">
        <w:rPr>
          <w:rFonts w:cs="Arial"/>
          <w:szCs w:val="22"/>
        </w:rPr>
        <w:t xml:space="preserve"> Development – IISD). W wydarzeniu ze strony Urzędu uczestniczył Wiceprezes Urzędu – p. Przemysław Grosfeld, który wziął udział w dyskusji panelowej koncentrującej się na reformie systemu zamówień publicznych oraz rozwiązań, w ramach których może ona wspierać europejską transformację ekologiczną i przemysłową.</w:t>
      </w:r>
      <w:r w:rsidR="00990AEA">
        <w:rPr>
          <w:rFonts w:cs="Arial"/>
          <w:szCs w:val="22"/>
        </w:rPr>
        <w:t xml:space="preserve"> </w:t>
      </w:r>
    </w:p>
    <w:p w14:paraId="1BF041C6" w14:textId="1EEDCF2F" w:rsidR="00960B3E" w:rsidRPr="00292EE8" w:rsidRDefault="00960B3E" w:rsidP="00852522">
      <w:pPr>
        <w:pStyle w:val="Nagwek4"/>
      </w:pPr>
      <w:r>
        <w:t xml:space="preserve">5. </w:t>
      </w:r>
      <w:r w:rsidR="00B13C64" w:rsidRPr="00B13C64">
        <w:t>Współpraca dwustronna i wielostronna</w:t>
      </w:r>
    </w:p>
    <w:p w14:paraId="5BA7740E" w14:textId="610964AA" w:rsidR="007C6AE2" w:rsidRPr="00292EE8" w:rsidRDefault="007C6AE2" w:rsidP="00852522">
      <w:pPr>
        <w:pStyle w:val="Nagwek4"/>
      </w:pPr>
      <w:r>
        <w:t xml:space="preserve">5.1. </w:t>
      </w:r>
      <w:r w:rsidRPr="007C6AE2">
        <w:t>X Posiedzenie Polsko-Ukraińskiej Komisji Międzyrządowej ds. Współpracy Gospodarczej</w:t>
      </w:r>
    </w:p>
    <w:p w14:paraId="75C14060" w14:textId="77777777" w:rsidR="007C6AE2" w:rsidRPr="007C6AE2" w:rsidRDefault="007C6AE2" w:rsidP="007C6AE2">
      <w:pPr>
        <w:shd w:val="clear" w:color="auto" w:fill="FFFFFF"/>
        <w:spacing w:before="120" w:line="360" w:lineRule="auto"/>
        <w:jc w:val="left"/>
        <w:rPr>
          <w:rFonts w:cs="Arial"/>
          <w:bCs/>
          <w:szCs w:val="22"/>
        </w:rPr>
      </w:pPr>
      <w:r w:rsidRPr="007C6AE2">
        <w:rPr>
          <w:rFonts w:cs="Arial"/>
          <w:bCs/>
          <w:szCs w:val="22"/>
        </w:rPr>
        <w:t xml:space="preserve">W dniu 13 marca 2025 r. odbyło się X posiedzenie Polsko-Ukraińskiej Komisji Międzyrządowej ds. Współpracy Gospodarczej, w którym uczestniczyli przedstawiciele administracji rządowej obu państw odpowiedzialni za współpracę gospodarczą. Urząd Zamówień Publicznych był reprezentowany przez Wiceprezesa Urzędu, który brał udział w wydarzeniu w formule hybrydowej. W zakresie zamówień publicznych spotkanie stanowiło platformę do przedstawienia działań Urzędu ukierunkowanych na wsparcie polskich wykonawców w dostępie do rynku ukraińskiego, jak również do zadeklarowania gotowości do dalszej współpracy i wymiany doświadczeń z partnerami ukraińskimi w procesie dostosowywania krajowego systemu zamówień publicznych do </w:t>
      </w:r>
      <w:proofErr w:type="spellStart"/>
      <w:r w:rsidRPr="007C6AE2">
        <w:rPr>
          <w:rFonts w:cs="Arial"/>
          <w:bCs/>
          <w:szCs w:val="22"/>
        </w:rPr>
        <w:t>acquis</w:t>
      </w:r>
      <w:proofErr w:type="spellEnd"/>
      <w:r w:rsidRPr="007C6AE2">
        <w:rPr>
          <w:rFonts w:cs="Arial"/>
          <w:bCs/>
          <w:szCs w:val="22"/>
        </w:rPr>
        <w:t xml:space="preserve"> Unii Europejskiej. Działania te pozostają spójne z zaangażowaniem Urzędu w prace zespołu ds. rozszerzenia UE, w ramach którego wspierany jest proces akcesyjny Ukrainy.</w:t>
      </w:r>
    </w:p>
    <w:p w14:paraId="36909A5E" w14:textId="57F46AAE" w:rsidR="007C6AE2" w:rsidRPr="00292EE8" w:rsidRDefault="007C6AE2" w:rsidP="00852522">
      <w:pPr>
        <w:pStyle w:val="Nagwek4"/>
      </w:pPr>
      <w:r>
        <w:t xml:space="preserve">5.2. </w:t>
      </w:r>
      <w:r w:rsidRPr="007C6AE2">
        <w:t xml:space="preserve">Warsztaty Komisji </w:t>
      </w:r>
      <w:proofErr w:type="spellStart"/>
      <w:r w:rsidRPr="007C6AE2">
        <w:t>ws</w:t>
      </w:r>
      <w:proofErr w:type="spellEnd"/>
      <w:r w:rsidRPr="007C6AE2">
        <w:t>. wdrażania i transpozycji rozporządzenia UE IMERA</w:t>
      </w:r>
    </w:p>
    <w:p w14:paraId="05885981" w14:textId="77777777" w:rsidR="007C6AE2" w:rsidRPr="007C6AE2" w:rsidRDefault="007C6AE2" w:rsidP="007C6AE2">
      <w:pPr>
        <w:shd w:val="clear" w:color="auto" w:fill="FFFFFF"/>
        <w:spacing w:before="120" w:line="360" w:lineRule="auto"/>
        <w:jc w:val="left"/>
        <w:rPr>
          <w:rFonts w:cs="Arial"/>
          <w:bCs/>
          <w:szCs w:val="22"/>
        </w:rPr>
      </w:pPr>
      <w:r w:rsidRPr="007C6AE2">
        <w:rPr>
          <w:rFonts w:cs="Arial"/>
          <w:bCs/>
          <w:szCs w:val="22"/>
        </w:rPr>
        <w:t>W 2025 r. Komisja przeprowadziła w trybie wideokonferencji serię warsztatów tematycznych (20.01., 13.02., 24.09., 29.10., 19.11.) dotyczących różnych aspektów związanych z wdrożeniem i transpozycją przepisów rozporządzania UE Akt o sytuacji nadzwyczajnej na rynku wewnętrznym i odporności rynku wewnętrznego (IMERA). W dniu 13.02.2025 r. warsztaty dotyczyły np. procedur zamówień publicznych przewidzianych w rozporządzaniu IMERA i zostały przygotowane w celu przygotowania organów krajowych do odpowiedniego stosowania nowych przepisów.</w:t>
      </w:r>
    </w:p>
    <w:p w14:paraId="06CCD0F4" w14:textId="7A87DB61" w:rsidR="005172CA" w:rsidRPr="00292EE8" w:rsidRDefault="005172CA" w:rsidP="00852522">
      <w:pPr>
        <w:pStyle w:val="Nagwek4"/>
      </w:pPr>
      <w:r>
        <w:t xml:space="preserve">5.3. </w:t>
      </w:r>
      <w:r w:rsidRPr="005172CA">
        <w:t>Konferencja międzynarodowa pt. „Koncepcja „</w:t>
      </w:r>
      <w:proofErr w:type="spellStart"/>
      <w:r w:rsidRPr="005172CA">
        <w:t>local</w:t>
      </w:r>
      <w:proofErr w:type="spellEnd"/>
      <w:r w:rsidRPr="005172CA">
        <w:t xml:space="preserve"> </w:t>
      </w:r>
      <w:proofErr w:type="spellStart"/>
      <w:r w:rsidRPr="005172CA">
        <w:t>content</w:t>
      </w:r>
      <w:proofErr w:type="spellEnd"/>
      <w:r w:rsidRPr="005172CA">
        <w:t>” w zamówieniach publicznych – trendy, prawo i praktyka”</w:t>
      </w:r>
    </w:p>
    <w:p w14:paraId="0B7DA1D4" w14:textId="77777777" w:rsidR="005172CA" w:rsidRPr="005172CA" w:rsidRDefault="005172CA" w:rsidP="005172CA">
      <w:pPr>
        <w:shd w:val="clear" w:color="auto" w:fill="FFFFFF"/>
        <w:spacing w:before="120" w:line="360" w:lineRule="auto"/>
        <w:jc w:val="left"/>
        <w:rPr>
          <w:rFonts w:cs="Arial"/>
          <w:bCs/>
          <w:szCs w:val="22"/>
        </w:rPr>
      </w:pPr>
      <w:r w:rsidRPr="005172CA">
        <w:rPr>
          <w:rFonts w:cs="Arial"/>
          <w:bCs/>
          <w:szCs w:val="22"/>
        </w:rPr>
        <w:t>W dniu 24 października 2025 r. w Uniwersytecie Warszawskim odbyła się Konferencja międzynarodowa zorganizowana przez Stowarzyszenie Prawa Zamówień Publicznych oraz Katedrę Prawa Europejskiego Wydziału Prawa i Administracji Uniwersytetu Warszawskiego pt. „</w:t>
      </w:r>
      <w:r w:rsidRPr="005172CA">
        <w:rPr>
          <w:rFonts w:cs="Arial"/>
          <w:bCs/>
          <w:i/>
          <w:iCs/>
          <w:szCs w:val="22"/>
        </w:rPr>
        <w:t>Koncepcja „</w:t>
      </w:r>
      <w:proofErr w:type="spellStart"/>
      <w:r w:rsidRPr="005172CA">
        <w:rPr>
          <w:rFonts w:cs="Arial"/>
          <w:bCs/>
          <w:i/>
          <w:iCs/>
          <w:szCs w:val="22"/>
        </w:rPr>
        <w:t>local</w:t>
      </w:r>
      <w:proofErr w:type="spellEnd"/>
      <w:r w:rsidRPr="005172CA">
        <w:rPr>
          <w:rFonts w:cs="Arial"/>
          <w:bCs/>
          <w:i/>
          <w:iCs/>
          <w:szCs w:val="22"/>
        </w:rPr>
        <w:t xml:space="preserve"> </w:t>
      </w:r>
      <w:proofErr w:type="spellStart"/>
      <w:r w:rsidRPr="005172CA">
        <w:rPr>
          <w:rFonts w:cs="Arial"/>
          <w:bCs/>
          <w:i/>
          <w:iCs/>
          <w:szCs w:val="22"/>
        </w:rPr>
        <w:t>content</w:t>
      </w:r>
      <w:proofErr w:type="spellEnd"/>
      <w:r w:rsidRPr="005172CA">
        <w:rPr>
          <w:rFonts w:cs="Arial"/>
          <w:bCs/>
          <w:i/>
          <w:iCs/>
          <w:szCs w:val="22"/>
        </w:rPr>
        <w:t>” w zamówieniach publicznych – trendy, prawo i praktyka</w:t>
      </w:r>
      <w:r w:rsidRPr="005172CA">
        <w:rPr>
          <w:rFonts w:cs="Arial"/>
          <w:bCs/>
          <w:szCs w:val="22"/>
        </w:rPr>
        <w:t>”</w:t>
      </w:r>
      <w:r w:rsidRPr="005172CA">
        <w:rPr>
          <w:rFonts w:cs="Arial"/>
          <w:szCs w:val="22"/>
        </w:rPr>
        <w:t xml:space="preserve"> </w:t>
      </w:r>
      <w:r w:rsidRPr="005172CA">
        <w:rPr>
          <w:rFonts w:cs="Arial"/>
          <w:bCs/>
          <w:szCs w:val="22"/>
        </w:rPr>
        <w:t>poświęcona analizie koncepcji „</w:t>
      </w:r>
      <w:proofErr w:type="spellStart"/>
      <w:r w:rsidRPr="005172CA">
        <w:rPr>
          <w:rFonts w:cs="Arial"/>
          <w:bCs/>
          <w:i/>
          <w:iCs/>
          <w:szCs w:val="22"/>
        </w:rPr>
        <w:t>local</w:t>
      </w:r>
      <w:proofErr w:type="spellEnd"/>
      <w:r w:rsidRPr="005172CA">
        <w:rPr>
          <w:rFonts w:cs="Arial"/>
          <w:bCs/>
          <w:i/>
          <w:iCs/>
          <w:szCs w:val="22"/>
        </w:rPr>
        <w:t xml:space="preserve"> </w:t>
      </w:r>
      <w:proofErr w:type="spellStart"/>
      <w:r w:rsidRPr="005172CA">
        <w:rPr>
          <w:rFonts w:cs="Arial"/>
          <w:bCs/>
          <w:i/>
          <w:iCs/>
          <w:szCs w:val="22"/>
        </w:rPr>
        <w:t>content</w:t>
      </w:r>
      <w:proofErr w:type="spellEnd"/>
      <w:r w:rsidRPr="005172CA">
        <w:rPr>
          <w:rFonts w:cs="Arial"/>
          <w:bCs/>
          <w:szCs w:val="22"/>
        </w:rPr>
        <w:t>” w zamówieniach publicznych.</w:t>
      </w:r>
      <w:r w:rsidRPr="005172CA">
        <w:rPr>
          <w:rFonts w:cs="Arial"/>
          <w:szCs w:val="22"/>
        </w:rPr>
        <w:t xml:space="preserve"> </w:t>
      </w:r>
      <w:r w:rsidRPr="005172CA">
        <w:rPr>
          <w:rFonts w:cs="Arial"/>
          <w:bCs/>
          <w:szCs w:val="22"/>
        </w:rPr>
        <w:t>Wydarzenie było okazją wymiany informacji oraz perspektyw dotyczących lokalnego komponentu w zamówieniach publicznych między przedstawicielami środowiska akademickiego, instytucji publicznych, sektora prywatnego oraz praktyków prawa zamówień publicznych z Polski i zagranicy. W dyskusji wskazywano m.in. na konieczność precyzyjnego definiowania wymogów „</w:t>
      </w:r>
      <w:proofErr w:type="spellStart"/>
      <w:r w:rsidRPr="005172CA">
        <w:rPr>
          <w:rFonts w:cs="Arial"/>
          <w:bCs/>
          <w:i/>
          <w:iCs/>
          <w:szCs w:val="22"/>
        </w:rPr>
        <w:t>local</w:t>
      </w:r>
      <w:proofErr w:type="spellEnd"/>
      <w:r w:rsidRPr="005172CA">
        <w:rPr>
          <w:rFonts w:cs="Arial"/>
          <w:bCs/>
          <w:i/>
          <w:iCs/>
          <w:szCs w:val="22"/>
        </w:rPr>
        <w:t xml:space="preserve"> </w:t>
      </w:r>
      <w:proofErr w:type="spellStart"/>
      <w:r w:rsidRPr="005172CA">
        <w:rPr>
          <w:rFonts w:cs="Arial"/>
          <w:bCs/>
          <w:i/>
          <w:iCs/>
          <w:szCs w:val="22"/>
        </w:rPr>
        <w:t>content</w:t>
      </w:r>
      <w:proofErr w:type="spellEnd"/>
      <w:r w:rsidRPr="005172CA">
        <w:rPr>
          <w:rFonts w:cs="Arial"/>
          <w:bCs/>
          <w:szCs w:val="22"/>
        </w:rPr>
        <w:t>” oraz ich dostosowania do konkretnego kontekstu oraz na potrzebę dalszej debaty w tym obszarze.</w:t>
      </w:r>
    </w:p>
    <w:p w14:paraId="55745FB9" w14:textId="5D6F44B7" w:rsidR="005172CA" w:rsidRPr="00292EE8" w:rsidRDefault="005172CA" w:rsidP="00852522">
      <w:pPr>
        <w:pStyle w:val="Nagwek4"/>
      </w:pPr>
      <w:r>
        <w:t xml:space="preserve">5.4. </w:t>
      </w:r>
      <w:r w:rsidRPr="005172CA">
        <w:t>Konferencja Przyjaciół Przemysłu - Deklaracja Berlińska Przyjaciół Przemysłu</w:t>
      </w:r>
    </w:p>
    <w:p w14:paraId="05BB27CD" w14:textId="77777777" w:rsidR="00B00378" w:rsidRPr="00B00378" w:rsidRDefault="00B00378" w:rsidP="00B00378">
      <w:pPr>
        <w:shd w:val="clear" w:color="auto" w:fill="FFFFFF"/>
        <w:spacing w:before="120" w:line="360" w:lineRule="auto"/>
        <w:jc w:val="left"/>
        <w:rPr>
          <w:rFonts w:cs="Arial"/>
          <w:bCs/>
          <w:szCs w:val="22"/>
        </w:rPr>
      </w:pPr>
      <w:r w:rsidRPr="00B00378">
        <w:rPr>
          <w:rFonts w:cs="Arial"/>
          <w:bCs/>
          <w:szCs w:val="22"/>
        </w:rPr>
        <w:t xml:space="preserve">3 listopada 2025 r. ministrowie przemysłu i wysocy rangą urzędnicy z 19 państw członkowskich, wraz z komisarzem </w:t>
      </w:r>
      <w:proofErr w:type="spellStart"/>
      <w:r w:rsidRPr="00B00378">
        <w:rPr>
          <w:rFonts w:cs="Arial"/>
          <w:bCs/>
          <w:szCs w:val="22"/>
        </w:rPr>
        <w:t>Stéphane’em</w:t>
      </w:r>
      <w:proofErr w:type="spellEnd"/>
      <w:r w:rsidRPr="00B00378">
        <w:rPr>
          <w:rFonts w:cs="Arial"/>
          <w:bCs/>
          <w:szCs w:val="22"/>
        </w:rPr>
        <w:t xml:space="preserve"> </w:t>
      </w:r>
      <w:proofErr w:type="spellStart"/>
      <w:r w:rsidRPr="00B00378">
        <w:rPr>
          <w:rFonts w:cs="Arial"/>
          <w:bCs/>
          <w:szCs w:val="22"/>
        </w:rPr>
        <w:t>Séjourné</w:t>
      </w:r>
      <w:proofErr w:type="spellEnd"/>
      <w:r w:rsidRPr="00B00378">
        <w:rPr>
          <w:rFonts w:cs="Arial"/>
          <w:bCs/>
          <w:szCs w:val="22"/>
        </w:rPr>
        <w:t>, zebrali się w Berlinie, aby wziąć udział w 8. Konferencji Przyjaciół Przemysłu.</w:t>
      </w:r>
      <w:r w:rsidRPr="00B00378">
        <w:rPr>
          <w:rFonts w:cs="Arial"/>
          <w:szCs w:val="22"/>
        </w:rPr>
        <w:t xml:space="preserve"> </w:t>
      </w:r>
      <w:r w:rsidRPr="00B00378">
        <w:rPr>
          <w:rFonts w:cs="Arial"/>
          <w:bCs/>
          <w:szCs w:val="22"/>
        </w:rPr>
        <w:t>Konferencję zwieńczyło podpisanie Deklaracji Berlińskiej przez 18 państw członkowskich, w tym przez Polskę, w której zawarte zostało m.in. wezwanie do kreowania europejskich rynków wiodących dla dekarbonizacji przemysłu i przyjęcia środków wzmacniających odporność, szczególnie w obszarze surowców krytycznych i ekosystemu cyfrowego, inwestycji w obronność oraz wzmocnienia europejskiego tworzenia wartości i innowacji, w tym w przemyśle motoryzacyjnym. Mające temu służyć środki mają polegać na stymulowaniu bezpiecznego popytu na przyjazne dla klimatu materiały i produkty podstawowe oraz wspieranie tworzenia rynku w innych sektorach strategicznych (takich jak biotechnologia, gospodarka o obiegu zamkniętym i półprzewodniki). Wezwano do zachęcania do stosowania dobrowolnych i zatwierdzonych przez UE etykiet produktów określających „ślad węglowy”. W wybranych kluczowych i strategicznych obszarach produkcji przemysłowej, gdzie inne instrumenty nie przynoszą wystarczających rezultatów, Komisja Europejska powinna dążyć do wprowadzenia wykonalnych, ukierunkowanych i łagodzących administracyjnie unijnych systemów preferencji, po przeprowadzeniu dogłębnej analizy kosztów i korzyści, uwzględniającej również interesy polityki handlowej.</w:t>
      </w:r>
    </w:p>
    <w:p w14:paraId="7857BBFC" w14:textId="47D476BA" w:rsidR="005D6A88" w:rsidRPr="00237DD8" w:rsidRDefault="005D6A88" w:rsidP="00D06180">
      <w:pPr>
        <w:pStyle w:val="Nagwek2"/>
        <w:rPr>
          <w:noProof/>
        </w:rPr>
      </w:pPr>
      <w:bookmarkStart w:id="321" w:name="_Toc233203312"/>
      <w:bookmarkStart w:id="322" w:name="_Hlk36729493"/>
      <w:bookmarkEnd w:id="315"/>
      <w:bookmarkEnd w:id="316"/>
      <w:bookmarkEnd w:id="317"/>
      <w:bookmarkEnd w:id="318"/>
      <w:r w:rsidRPr="00B90126">
        <w:rPr>
          <w:noProof/>
        </w:rPr>
        <w:t>I</w:t>
      </w:r>
      <w:r w:rsidR="00CC2929">
        <w:rPr>
          <w:noProof/>
        </w:rPr>
        <w:t>I</w:t>
      </w:r>
      <w:r w:rsidRPr="00B90126">
        <w:rPr>
          <w:noProof/>
        </w:rPr>
        <w:t>I.2. Rada Zamówień Publicznych</w:t>
      </w:r>
      <w:bookmarkEnd w:id="321"/>
    </w:p>
    <w:bookmarkEnd w:id="322"/>
    <w:p w14:paraId="02C303FB" w14:textId="747E9313" w:rsidR="00442645" w:rsidRPr="00442645" w:rsidRDefault="00442645" w:rsidP="00442645">
      <w:pPr>
        <w:spacing w:before="120" w:line="360" w:lineRule="auto"/>
        <w:jc w:val="left"/>
        <w:rPr>
          <w:rFonts w:cs="Calibri"/>
          <w:szCs w:val="22"/>
        </w:rPr>
      </w:pPr>
      <w:r w:rsidRPr="00442645">
        <w:rPr>
          <w:rFonts w:cs="Calibri"/>
          <w:szCs w:val="22"/>
        </w:rPr>
        <w:t>Rada Zamówień Publicznych</w:t>
      </w:r>
      <w:r w:rsidR="008369C4">
        <w:rPr>
          <w:rFonts w:cs="Calibri"/>
          <w:szCs w:val="22"/>
        </w:rPr>
        <w:t>, zwana dalej „Radą”</w:t>
      </w:r>
      <w:r w:rsidRPr="00442645">
        <w:rPr>
          <w:rFonts w:cs="Calibri"/>
          <w:szCs w:val="22"/>
        </w:rPr>
        <w:t xml:space="preserve"> jest organem opiniodawczo-doradczym Prezesa Urzędu działającym na podstawie art. 500 ustawy Pzp.</w:t>
      </w:r>
    </w:p>
    <w:p w14:paraId="0E7C6DCF" w14:textId="623E8E8D" w:rsidR="00442645" w:rsidRPr="00442645" w:rsidRDefault="00442645" w:rsidP="00442645">
      <w:pPr>
        <w:spacing w:before="120" w:line="360" w:lineRule="auto"/>
        <w:jc w:val="left"/>
        <w:rPr>
          <w:rFonts w:cs="Calibri"/>
          <w:szCs w:val="22"/>
        </w:rPr>
      </w:pPr>
      <w:r w:rsidRPr="00442645">
        <w:rPr>
          <w:rFonts w:cs="Calibri"/>
          <w:szCs w:val="22"/>
        </w:rPr>
        <w:t>Członkowie Rady są powoływani na podstawie art. 501 ustawy Pzp przez ministra właściwego do spraw gospodarki spośród kandydatów, którzy mogą być zgłoszeni przez Prezesa Urzędu, inne organy administracji rządowej, Komisję Wspólną Rządu i Samorządu Terytorialnego oraz Radę Dialogu Społecznego, których posiadana wiedza i autorytet dają rękojmię prawidłowej realizacji zadań Rady.</w:t>
      </w:r>
    </w:p>
    <w:p w14:paraId="568D4577" w14:textId="77777777" w:rsidR="00442645" w:rsidRPr="00442645" w:rsidRDefault="00442645" w:rsidP="00442645">
      <w:pPr>
        <w:spacing w:before="120" w:line="360" w:lineRule="auto"/>
        <w:jc w:val="left"/>
        <w:rPr>
          <w:rFonts w:cs="Calibri"/>
          <w:szCs w:val="22"/>
        </w:rPr>
      </w:pPr>
      <w:r w:rsidRPr="00442645">
        <w:rPr>
          <w:rFonts w:cs="Calibri"/>
          <w:szCs w:val="22"/>
        </w:rPr>
        <w:t xml:space="preserve">Do zadań Rady należy: </w:t>
      </w:r>
    </w:p>
    <w:p w14:paraId="04AEB79B" w14:textId="77777777" w:rsidR="00442645" w:rsidRPr="00442645" w:rsidRDefault="00442645" w:rsidP="00565A93">
      <w:pPr>
        <w:numPr>
          <w:ilvl w:val="0"/>
          <w:numId w:val="7"/>
        </w:numPr>
        <w:spacing w:line="360" w:lineRule="auto"/>
        <w:jc w:val="left"/>
        <w:rPr>
          <w:rFonts w:cs="Calibri"/>
          <w:szCs w:val="22"/>
        </w:rPr>
      </w:pPr>
      <w:r w:rsidRPr="00442645">
        <w:rPr>
          <w:rFonts w:cs="Calibri"/>
          <w:szCs w:val="22"/>
        </w:rPr>
        <w:t>Wyrażanie opinii w szczególnie istotnych sprawach systemu zamówień publicznych, przedstawionych jej przez Prezesa Urzędu;</w:t>
      </w:r>
    </w:p>
    <w:p w14:paraId="3DC672D3" w14:textId="77777777" w:rsidR="00442645" w:rsidRPr="00442645" w:rsidRDefault="00442645" w:rsidP="00565A93">
      <w:pPr>
        <w:numPr>
          <w:ilvl w:val="0"/>
          <w:numId w:val="7"/>
        </w:numPr>
        <w:spacing w:line="360" w:lineRule="auto"/>
        <w:jc w:val="left"/>
        <w:rPr>
          <w:rFonts w:cs="Calibri"/>
          <w:szCs w:val="22"/>
        </w:rPr>
      </w:pPr>
      <w:r w:rsidRPr="00442645">
        <w:rPr>
          <w:rFonts w:cs="Calibri"/>
          <w:szCs w:val="22"/>
        </w:rPr>
        <w:t>Opiniowanie projektów aktów normatywnych dotyczących zamówień publicznych, przedstawionych jej przez Prezesa Urzędu;</w:t>
      </w:r>
    </w:p>
    <w:p w14:paraId="012FE75E" w14:textId="14EFAC43" w:rsidR="00442645" w:rsidRPr="00442645" w:rsidRDefault="00442645" w:rsidP="00565A93">
      <w:pPr>
        <w:numPr>
          <w:ilvl w:val="0"/>
          <w:numId w:val="7"/>
        </w:numPr>
        <w:spacing w:line="360" w:lineRule="auto"/>
        <w:jc w:val="left"/>
        <w:rPr>
          <w:rFonts w:cs="Calibri"/>
          <w:szCs w:val="22"/>
        </w:rPr>
      </w:pPr>
      <w:r w:rsidRPr="00442645">
        <w:rPr>
          <w:rFonts w:cs="Calibri"/>
          <w:szCs w:val="22"/>
        </w:rPr>
        <w:t xml:space="preserve">Opiniowanie corocznego sprawozdania Prezesa Urzędu </w:t>
      </w:r>
      <w:r w:rsidRPr="00442645">
        <w:rPr>
          <w:rFonts w:cs="Calibri"/>
          <w:szCs w:val="22"/>
        </w:rPr>
        <w:br/>
        <w:t>z funkcjonowania systemu zamówień publicznych;</w:t>
      </w:r>
    </w:p>
    <w:p w14:paraId="25CBA50B" w14:textId="77777777" w:rsidR="00442645" w:rsidRPr="00442645" w:rsidRDefault="00442645" w:rsidP="00565A93">
      <w:pPr>
        <w:numPr>
          <w:ilvl w:val="0"/>
          <w:numId w:val="7"/>
        </w:numPr>
        <w:spacing w:line="360" w:lineRule="auto"/>
        <w:jc w:val="left"/>
        <w:rPr>
          <w:rFonts w:cs="Calibri"/>
          <w:szCs w:val="22"/>
        </w:rPr>
      </w:pPr>
      <w:r w:rsidRPr="00442645">
        <w:rPr>
          <w:rFonts w:cs="Calibri"/>
          <w:szCs w:val="22"/>
        </w:rPr>
        <w:t>Ustalanie zasad etyki zawodowej osób wykonujących określone w ustawie Pzp zadania w systemie zamówień publicznych;</w:t>
      </w:r>
    </w:p>
    <w:p w14:paraId="10874AB3" w14:textId="49B0558A" w:rsidR="00442645" w:rsidRPr="00442645" w:rsidRDefault="00442645" w:rsidP="00565A93">
      <w:pPr>
        <w:numPr>
          <w:ilvl w:val="0"/>
          <w:numId w:val="7"/>
        </w:numPr>
        <w:spacing w:line="360" w:lineRule="auto"/>
        <w:jc w:val="left"/>
        <w:rPr>
          <w:rFonts w:cs="Calibri"/>
          <w:szCs w:val="22"/>
        </w:rPr>
      </w:pPr>
      <w:r w:rsidRPr="00442645">
        <w:rPr>
          <w:rFonts w:cs="Calibri"/>
          <w:szCs w:val="22"/>
        </w:rPr>
        <w:t>Wykonywanie innych zadań zleconych przez Prezesa Urzędu.</w:t>
      </w:r>
    </w:p>
    <w:p w14:paraId="6BDCD4B2" w14:textId="0CCE68C0" w:rsidR="00442645" w:rsidRPr="00442645" w:rsidRDefault="00442645" w:rsidP="00437DBF">
      <w:pPr>
        <w:spacing w:before="120" w:line="360" w:lineRule="auto"/>
        <w:jc w:val="left"/>
        <w:rPr>
          <w:rFonts w:cs="Calibri"/>
          <w:szCs w:val="22"/>
        </w:rPr>
      </w:pPr>
      <w:r w:rsidRPr="00442645">
        <w:rPr>
          <w:rFonts w:cs="Calibri"/>
          <w:szCs w:val="22"/>
        </w:rPr>
        <w:t>W 2025 roku został powołany nowy skład Rady. W dniu 9 lipca 2025 r. Minister Rozwoju i Technologii wręczył akty powołania członkom nowej Rady, w skład której weszło 15 członków.</w:t>
      </w:r>
    </w:p>
    <w:p w14:paraId="161D13EB" w14:textId="77777777" w:rsidR="00437DBF" w:rsidRDefault="00442645" w:rsidP="00437DBF">
      <w:pPr>
        <w:spacing w:before="120" w:line="360" w:lineRule="auto"/>
        <w:jc w:val="left"/>
        <w:rPr>
          <w:rFonts w:cs="Calibri"/>
          <w:szCs w:val="22"/>
        </w:rPr>
      </w:pPr>
      <w:r w:rsidRPr="00442645">
        <w:rPr>
          <w:rFonts w:cs="Calibri"/>
          <w:szCs w:val="22"/>
        </w:rPr>
        <w:t xml:space="preserve">W 2025 r. odbyły się trzy posiedzenia stałe Rady w dniach: 28 lipca, 28 października i 17 grudnia. </w:t>
      </w:r>
    </w:p>
    <w:p w14:paraId="11D8A6CB" w14:textId="3468088F" w:rsidR="00442645" w:rsidRPr="00442645" w:rsidRDefault="00442645" w:rsidP="00437DBF">
      <w:pPr>
        <w:spacing w:before="120" w:line="360" w:lineRule="auto"/>
        <w:jc w:val="left"/>
        <w:rPr>
          <w:rFonts w:cs="Calibri"/>
          <w:szCs w:val="22"/>
        </w:rPr>
      </w:pPr>
      <w:r w:rsidRPr="00442645">
        <w:rPr>
          <w:rFonts w:cs="Calibri"/>
          <w:szCs w:val="22"/>
        </w:rPr>
        <w:t>Rada, zgodnie z Regulaminem pracy Rady Zamówień Publicznych, pracowała też w trybie obiegowym (korespondencyjnym). W 2025 r. Rada podjęła 4 uchwały, w tym 2 w trybie obiegowym, w sprawie:</w:t>
      </w:r>
    </w:p>
    <w:p w14:paraId="3F8367D4" w14:textId="77777777" w:rsidR="00442645" w:rsidRPr="00442645" w:rsidRDefault="00442645" w:rsidP="00442645">
      <w:pPr>
        <w:numPr>
          <w:ilvl w:val="0"/>
          <w:numId w:val="6"/>
        </w:numPr>
        <w:spacing w:line="360" w:lineRule="auto"/>
        <w:jc w:val="left"/>
        <w:rPr>
          <w:rFonts w:cs="Calibri"/>
          <w:szCs w:val="22"/>
        </w:rPr>
      </w:pPr>
      <w:r w:rsidRPr="00442645">
        <w:rPr>
          <w:rFonts w:cs="Calibri"/>
          <w:szCs w:val="22"/>
        </w:rPr>
        <w:t>Sprawozdania Prezesa Urzędu Zamówień Publicznych z funkcjonowania systemu zamówień publicznych w 2024 r. – uchwała z dnia 17 lipca 2025 r.;</w:t>
      </w:r>
    </w:p>
    <w:p w14:paraId="2F32FEB1" w14:textId="77777777" w:rsidR="00442645" w:rsidRPr="00442645" w:rsidRDefault="00442645" w:rsidP="00442645">
      <w:pPr>
        <w:numPr>
          <w:ilvl w:val="0"/>
          <w:numId w:val="6"/>
        </w:numPr>
        <w:spacing w:line="360" w:lineRule="auto"/>
        <w:jc w:val="left"/>
        <w:rPr>
          <w:rFonts w:cs="Calibri"/>
          <w:szCs w:val="22"/>
        </w:rPr>
      </w:pPr>
      <w:r w:rsidRPr="00442645">
        <w:rPr>
          <w:rFonts w:cs="Calibri"/>
          <w:szCs w:val="22"/>
        </w:rPr>
        <w:t>Wyboru Wiceprzewodniczącego Rady Zamówień Publicznych – uchwała z dnia 28 lipca 2025 r.;</w:t>
      </w:r>
    </w:p>
    <w:p w14:paraId="52619B80" w14:textId="77777777" w:rsidR="00442645" w:rsidRPr="00442645" w:rsidRDefault="00442645" w:rsidP="00442645">
      <w:pPr>
        <w:numPr>
          <w:ilvl w:val="0"/>
          <w:numId w:val="6"/>
        </w:numPr>
        <w:spacing w:line="360" w:lineRule="auto"/>
        <w:jc w:val="left"/>
        <w:rPr>
          <w:rFonts w:cs="Calibri"/>
          <w:szCs w:val="22"/>
        </w:rPr>
      </w:pPr>
      <w:r w:rsidRPr="00442645">
        <w:rPr>
          <w:rFonts w:cs="Calibri"/>
          <w:szCs w:val="22"/>
        </w:rPr>
        <w:t>Rozpoczęcia prac nad opracowaniem Zasad Etyki Zawodowej Członków Krajowej Izby Odwoławczej – uchwała z dnia 28 października 2025 r.;</w:t>
      </w:r>
    </w:p>
    <w:p w14:paraId="0597571E" w14:textId="77777777" w:rsidR="00442645" w:rsidRPr="00442645" w:rsidRDefault="00442645" w:rsidP="00442645">
      <w:pPr>
        <w:numPr>
          <w:ilvl w:val="0"/>
          <w:numId w:val="6"/>
        </w:numPr>
        <w:spacing w:line="360" w:lineRule="auto"/>
        <w:jc w:val="left"/>
        <w:rPr>
          <w:rFonts w:cs="Calibri"/>
          <w:szCs w:val="22"/>
        </w:rPr>
      </w:pPr>
      <w:r w:rsidRPr="00442645">
        <w:rPr>
          <w:rFonts w:cs="Calibri"/>
          <w:szCs w:val="22"/>
        </w:rPr>
        <w:t>Zaopiniowania projektu Uchwały Rady Ministrów dotyczącej przyjęcia Polityki zakupowej państwa na lata 2026-2029 – uchwała z dnia 5 grudnia 2025 r.</w:t>
      </w:r>
    </w:p>
    <w:p w14:paraId="07391D84" w14:textId="77777777" w:rsidR="00442645" w:rsidRPr="00442645" w:rsidRDefault="00442645" w:rsidP="005C7833">
      <w:pPr>
        <w:spacing w:before="120" w:line="360" w:lineRule="auto"/>
        <w:jc w:val="left"/>
        <w:rPr>
          <w:rFonts w:cs="Calibri"/>
          <w:szCs w:val="22"/>
        </w:rPr>
      </w:pPr>
      <w:r w:rsidRPr="00442645">
        <w:rPr>
          <w:rFonts w:cs="Calibri"/>
          <w:szCs w:val="22"/>
        </w:rPr>
        <w:t xml:space="preserve">Ponadto Rada na posiedzeniach dyskutowała nad zagadnieniami dotyczącymi: </w:t>
      </w:r>
    </w:p>
    <w:p w14:paraId="352DF7B1" w14:textId="6FB18CBD" w:rsidR="00442645" w:rsidRPr="00442645" w:rsidRDefault="00442645" w:rsidP="00565A93">
      <w:pPr>
        <w:numPr>
          <w:ilvl w:val="0"/>
          <w:numId w:val="8"/>
        </w:numPr>
        <w:spacing w:line="360" w:lineRule="auto"/>
        <w:jc w:val="left"/>
        <w:rPr>
          <w:rFonts w:cs="Calibri"/>
          <w:szCs w:val="22"/>
        </w:rPr>
      </w:pPr>
      <w:r w:rsidRPr="00442645">
        <w:rPr>
          <w:rFonts w:cs="Calibri"/>
          <w:szCs w:val="22"/>
        </w:rPr>
        <w:t>kierunków działań Urzędu Z</w:t>
      </w:r>
      <w:r w:rsidR="00C5456A">
        <w:rPr>
          <w:rFonts w:cs="Calibri"/>
          <w:szCs w:val="22"/>
        </w:rPr>
        <w:t>amówień Publicznych na 2025 rok</w:t>
      </w:r>
      <w:r w:rsidRPr="00442645">
        <w:rPr>
          <w:rFonts w:cs="Calibri"/>
          <w:szCs w:val="22"/>
        </w:rPr>
        <w:t>,</w:t>
      </w:r>
    </w:p>
    <w:p w14:paraId="3F84179E" w14:textId="77777777" w:rsidR="00442645" w:rsidRPr="00442645" w:rsidRDefault="00442645" w:rsidP="00565A93">
      <w:pPr>
        <w:numPr>
          <w:ilvl w:val="0"/>
          <w:numId w:val="8"/>
        </w:numPr>
        <w:spacing w:line="360" w:lineRule="auto"/>
        <w:jc w:val="left"/>
        <w:rPr>
          <w:rFonts w:cs="Calibri"/>
          <w:szCs w:val="22"/>
        </w:rPr>
      </w:pPr>
      <w:r w:rsidRPr="00442645">
        <w:rPr>
          <w:rFonts w:cs="Calibri"/>
          <w:szCs w:val="22"/>
        </w:rPr>
        <w:t>kierunków prac Rady w 2025 roku,</w:t>
      </w:r>
    </w:p>
    <w:p w14:paraId="498AEBD4" w14:textId="7F8DDFDA" w:rsidR="00442645" w:rsidRPr="00442645" w:rsidRDefault="00442645" w:rsidP="00565A93">
      <w:pPr>
        <w:numPr>
          <w:ilvl w:val="0"/>
          <w:numId w:val="8"/>
        </w:numPr>
        <w:spacing w:line="360" w:lineRule="auto"/>
        <w:jc w:val="left"/>
        <w:rPr>
          <w:rFonts w:cs="Calibri"/>
          <w:szCs w:val="22"/>
        </w:rPr>
      </w:pPr>
      <w:r w:rsidRPr="00442645">
        <w:rPr>
          <w:rFonts w:cs="Calibri"/>
          <w:szCs w:val="22"/>
        </w:rPr>
        <w:t xml:space="preserve">bieżącej sytuacji KIO – o potrzebach, wyzwaniach i zagrożeniach przed którymi aktualnie stoi </w:t>
      </w:r>
      <w:r w:rsidR="000A7E2B">
        <w:rPr>
          <w:rFonts w:cs="Calibri"/>
          <w:szCs w:val="22"/>
        </w:rPr>
        <w:t>KIO</w:t>
      </w:r>
      <w:r w:rsidRPr="00442645">
        <w:rPr>
          <w:rFonts w:cs="Calibri"/>
          <w:szCs w:val="22"/>
        </w:rPr>
        <w:t>,</w:t>
      </w:r>
    </w:p>
    <w:p w14:paraId="7185FF47" w14:textId="77777777" w:rsidR="00442645" w:rsidRPr="00442645" w:rsidRDefault="00442645" w:rsidP="00565A93">
      <w:pPr>
        <w:numPr>
          <w:ilvl w:val="0"/>
          <w:numId w:val="8"/>
        </w:numPr>
        <w:spacing w:line="360" w:lineRule="auto"/>
        <w:jc w:val="left"/>
        <w:rPr>
          <w:rFonts w:cs="Calibri"/>
          <w:szCs w:val="22"/>
        </w:rPr>
      </w:pPr>
      <w:r w:rsidRPr="00442645">
        <w:rPr>
          <w:rFonts w:cs="Calibri"/>
          <w:szCs w:val="22"/>
        </w:rPr>
        <w:t xml:space="preserve">podejmowanych przez Urząd Zamówień Publicznych działań organizacyjnych mający na celu przyspieszenie rozpatrywania </w:t>
      </w:r>
      <w:proofErr w:type="spellStart"/>
      <w:r w:rsidRPr="00442645">
        <w:rPr>
          <w:rFonts w:cs="Calibri"/>
          <w:szCs w:val="22"/>
        </w:rPr>
        <w:t>odwołań</w:t>
      </w:r>
      <w:proofErr w:type="spellEnd"/>
      <w:r w:rsidRPr="00442645">
        <w:rPr>
          <w:rFonts w:cs="Calibri"/>
          <w:szCs w:val="22"/>
        </w:rPr>
        <w:t xml:space="preserve"> przez KIO,</w:t>
      </w:r>
    </w:p>
    <w:p w14:paraId="3C9F29C6" w14:textId="7164C085" w:rsidR="00442645" w:rsidRPr="00442645" w:rsidRDefault="00442645" w:rsidP="00565A93">
      <w:pPr>
        <w:numPr>
          <w:ilvl w:val="0"/>
          <w:numId w:val="8"/>
        </w:numPr>
        <w:spacing w:line="360" w:lineRule="auto"/>
        <w:jc w:val="left"/>
        <w:rPr>
          <w:rFonts w:cs="Calibri"/>
          <w:szCs w:val="22"/>
        </w:rPr>
      </w:pPr>
      <w:r w:rsidRPr="00442645">
        <w:rPr>
          <w:rFonts w:cs="Calibri"/>
          <w:szCs w:val="22"/>
        </w:rPr>
        <w:t>informacji na temat planowanych przez Urząd Zamówień Publicznych zmian legislacyjnych, mając na</w:t>
      </w:r>
      <w:r w:rsidR="00990AEA">
        <w:rPr>
          <w:rFonts w:cs="Calibri"/>
          <w:szCs w:val="22"/>
        </w:rPr>
        <w:t xml:space="preserve"> </w:t>
      </w:r>
      <w:r w:rsidRPr="00442645">
        <w:rPr>
          <w:rFonts w:cs="Calibri"/>
          <w:szCs w:val="22"/>
        </w:rPr>
        <w:t>uwadze racjonalizację i efektywność funkcjonowania polskiego systemu środków ochrony prawnej,</w:t>
      </w:r>
    </w:p>
    <w:p w14:paraId="411268D2" w14:textId="19F24D15" w:rsidR="00442645" w:rsidRPr="00442645" w:rsidRDefault="00442645" w:rsidP="00565A93">
      <w:pPr>
        <w:numPr>
          <w:ilvl w:val="0"/>
          <w:numId w:val="8"/>
        </w:numPr>
        <w:spacing w:line="360" w:lineRule="auto"/>
        <w:jc w:val="left"/>
        <w:rPr>
          <w:rFonts w:cs="Calibri"/>
          <w:szCs w:val="22"/>
        </w:rPr>
      </w:pPr>
      <w:r w:rsidRPr="00442645">
        <w:rPr>
          <w:rFonts w:cs="Calibri"/>
          <w:szCs w:val="22"/>
        </w:rPr>
        <w:t xml:space="preserve">podjęcia przez Radę prac nad realizacją jej kompetencji wynikającej z art. 500 ust. 2 pkt 4 </w:t>
      </w:r>
      <w:r w:rsidR="008D55E0">
        <w:rPr>
          <w:rFonts w:cs="Calibri"/>
          <w:szCs w:val="22"/>
        </w:rPr>
        <w:t xml:space="preserve">ustawy </w:t>
      </w:r>
      <w:r w:rsidRPr="00442645">
        <w:rPr>
          <w:rFonts w:cs="Calibri"/>
          <w:szCs w:val="22"/>
        </w:rPr>
        <w:t>Pzp,</w:t>
      </w:r>
      <w:r w:rsidR="00326395">
        <w:rPr>
          <w:rFonts w:cs="Calibri"/>
          <w:szCs w:val="22"/>
        </w:rPr>
        <w:t xml:space="preserve"> </w:t>
      </w:r>
      <w:r w:rsidRPr="00442645">
        <w:rPr>
          <w:rFonts w:cs="Calibri"/>
          <w:szCs w:val="22"/>
        </w:rPr>
        <w:t>tj. określenia zasad etyki zawodowej osób wykonujących określone w ustawie Pzp zadania w systemie zamówień publicznych,</w:t>
      </w:r>
    </w:p>
    <w:p w14:paraId="7A4C1C99" w14:textId="00D1AAE1" w:rsidR="00442645" w:rsidRPr="00442645" w:rsidRDefault="00442645" w:rsidP="00565A93">
      <w:pPr>
        <w:numPr>
          <w:ilvl w:val="0"/>
          <w:numId w:val="8"/>
        </w:numPr>
        <w:spacing w:line="360" w:lineRule="auto"/>
        <w:jc w:val="left"/>
        <w:rPr>
          <w:rFonts w:cs="Calibri"/>
          <w:szCs w:val="22"/>
        </w:rPr>
      </w:pPr>
      <w:r w:rsidRPr="00442645">
        <w:rPr>
          <w:rFonts w:cs="Calibri"/>
          <w:szCs w:val="22"/>
        </w:rPr>
        <w:t xml:space="preserve">informacji Prezesa </w:t>
      </w:r>
      <w:r w:rsidR="000A7E2B" w:rsidRPr="00442645">
        <w:rPr>
          <w:rFonts w:cs="Calibri"/>
          <w:szCs w:val="22"/>
        </w:rPr>
        <w:t>U</w:t>
      </w:r>
      <w:r w:rsidR="000A7E2B">
        <w:rPr>
          <w:rFonts w:cs="Calibri"/>
          <w:szCs w:val="22"/>
        </w:rPr>
        <w:t>rzędu</w:t>
      </w:r>
      <w:r w:rsidR="000A7E2B" w:rsidRPr="00442645">
        <w:rPr>
          <w:rFonts w:cs="Calibri"/>
          <w:szCs w:val="22"/>
        </w:rPr>
        <w:t xml:space="preserve"> </w:t>
      </w:r>
      <w:r w:rsidRPr="00442645">
        <w:rPr>
          <w:rFonts w:cs="Calibri"/>
          <w:szCs w:val="22"/>
        </w:rPr>
        <w:t>podsumowujących funkcjonowanie systemu zamówień publicznych w 2025 r.</w:t>
      </w:r>
    </w:p>
    <w:p w14:paraId="62D9151D" w14:textId="70E10288" w:rsidR="005D6A88" w:rsidRPr="00B37C0B" w:rsidRDefault="00CC2929" w:rsidP="00D06180">
      <w:pPr>
        <w:pStyle w:val="Nagwek2"/>
        <w:rPr>
          <w:noProof/>
        </w:rPr>
      </w:pPr>
      <w:bookmarkStart w:id="323" w:name="_Toc233203313"/>
      <w:r>
        <w:rPr>
          <w:noProof/>
        </w:rPr>
        <w:t>I</w:t>
      </w:r>
      <w:r w:rsidR="005D6A88" w:rsidRPr="00F8373A">
        <w:rPr>
          <w:noProof/>
        </w:rPr>
        <w:t>II.</w:t>
      </w:r>
      <w:r w:rsidR="00A95C1D">
        <w:rPr>
          <w:noProof/>
        </w:rPr>
        <w:t>3</w:t>
      </w:r>
      <w:r w:rsidR="005D6A88" w:rsidRPr="00F8373A">
        <w:rPr>
          <w:noProof/>
        </w:rPr>
        <w:t>. Struktura organizacyjna i budżet Urzędu Zamówień Publicznych</w:t>
      </w:r>
      <w:bookmarkEnd w:id="323"/>
    </w:p>
    <w:p w14:paraId="62C43863" w14:textId="10581198" w:rsidR="001B188E" w:rsidRPr="00920214" w:rsidRDefault="00CC2929" w:rsidP="00270CF3">
      <w:pPr>
        <w:pStyle w:val="Nagwek3"/>
      </w:pPr>
      <w:bookmarkStart w:id="324" w:name="_Toc233203314"/>
      <w:r>
        <w:t>I</w:t>
      </w:r>
      <w:r w:rsidR="00920214" w:rsidRPr="00F8373A">
        <w:t>II.</w:t>
      </w:r>
      <w:r w:rsidR="00A95C1D">
        <w:t>3</w:t>
      </w:r>
      <w:r w:rsidR="00920214" w:rsidRPr="00F8373A">
        <w:t xml:space="preserve">.1. </w:t>
      </w:r>
      <w:r w:rsidR="001B188E" w:rsidRPr="00F8373A">
        <w:t>Struktura organizacyjna</w:t>
      </w:r>
      <w:bookmarkEnd w:id="324"/>
    </w:p>
    <w:p w14:paraId="791FD351" w14:textId="069536CF" w:rsidR="008D55E0" w:rsidRDefault="00007A21" w:rsidP="00007A21">
      <w:pPr>
        <w:spacing w:before="120" w:line="360" w:lineRule="auto"/>
        <w:jc w:val="left"/>
        <w:rPr>
          <w:rFonts w:cs="Arial"/>
        </w:rPr>
      </w:pPr>
      <w:r w:rsidRPr="00007A21">
        <w:rPr>
          <w:rFonts w:cs="Arial"/>
        </w:rPr>
        <w:t xml:space="preserve">Urząd Zamówień Publicznych zapewnia obsługę Prezesa Urzędu </w:t>
      </w:r>
    </w:p>
    <w:p w14:paraId="0E761B76" w14:textId="2564581A" w:rsidR="00007A21" w:rsidRPr="00007A21" w:rsidRDefault="00007A21" w:rsidP="00007A21">
      <w:pPr>
        <w:spacing w:before="120" w:line="360" w:lineRule="auto"/>
        <w:jc w:val="left"/>
        <w:rPr>
          <w:rFonts w:cs="Arial"/>
        </w:rPr>
      </w:pPr>
      <w:r w:rsidRPr="00007A21">
        <w:rPr>
          <w:rFonts w:cs="Arial"/>
        </w:rPr>
        <w:t xml:space="preserve">oraz obsługę organizacyjno-techniczną i księgową </w:t>
      </w:r>
      <w:r w:rsidR="008D55E0">
        <w:rPr>
          <w:rFonts w:cs="Arial"/>
        </w:rPr>
        <w:t>KIO</w:t>
      </w:r>
      <w:r w:rsidRPr="00007A21">
        <w:rPr>
          <w:rFonts w:cs="Arial"/>
        </w:rPr>
        <w:t>.</w:t>
      </w:r>
    </w:p>
    <w:p w14:paraId="2BDAD1CD" w14:textId="77777777" w:rsidR="00007A21" w:rsidRPr="00007A21" w:rsidRDefault="00007A21" w:rsidP="00007A21">
      <w:pPr>
        <w:spacing w:before="120" w:line="360" w:lineRule="auto"/>
        <w:jc w:val="left"/>
        <w:rPr>
          <w:rFonts w:cs="Arial"/>
        </w:rPr>
      </w:pPr>
      <w:r w:rsidRPr="00007A21">
        <w:rPr>
          <w:rFonts w:cs="Arial"/>
        </w:rPr>
        <w:t xml:space="preserve">W skład Urzędu Zamówień Publicznych wchodzi osiem komórek organizacyjnych: Departament Prawny, Departament Kontroli Zamówień Publicznych, Departament Unii Europejskiej i Współpracy Międzynarodowej, Departament Danych i Informatyzacji, Departament Informacji, Edukacji i Wydawnictw, Biuro </w:t>
      </w:r>
      <w:proofErr w:type="spellStart"/>
      <w:r w:rsidRPr="00007A21">
        <w:rPr>
          <w:rFonts w:cs="Arial"/>
        </w:rPr>
        <w:t>Odwołań</w:t>
      </w:r>
      <w:proofErr w:type="spellEnd"/>
      <w:r w:rsidRPr="00007A21">
        <w:rPr>
          <w:rFonts w:cs="Arial"/>
        </w:rPr>
        <w:t>, Biuro Dyrektora Generalnego, Pion Ochrony Informacji Niejawnych oraz samodzielne stanowiska pracy: Audytor Wewnętrzny, Inspektor Ochrony Danych, Rzecznik Prasowy.</w:t>
      </w:r>
    </w:p>
    <w:p w14:paraId="5BE4CF89" w14:textId="1594A590" w:rsidR="00007A21" w:rsidRPr="00007A21" w:rsidRDefault="00007A21" w:rsidP="00007A21">
      <w:pPr>
        <w:spacing w:before="120" w:line="360" w:lineRule="auto"/>
        <w:jc w:val="left"/>
        <w:rPr>
          <w:rFonts w:cs="Arial"/>
        </w:rPr>
      </w:pPr>
      <w:r w:rsidRPr="00007A21">
        <w:rPr>
          <w:rFonts w:cs="Arial"/>
        </w:rPr>
        <w:t xml:space="preserve">W 2025 roku średnioroczne, przeciętne zatrudnienie w Urzędzie Zamówień Publicznych wyniosło 199 etaty, w tym w </w:t>
      </w:r>
      <w:r w:rsidR="008D55E0">
        <w:rPr>
          <w:rFonts w:cs="Arial"/>
        </w:rPr>
        <w:t>KIO</w:t>
      </w:r>
      <w:r w:rsidRPr="00007A21">
        <w:rPr>
          <w:rFonts w:cs="Arial"/>
        </w:rPr>
        <w:t xml:space="preserve"> – 49 etatów. </w:t>
      </w:r>
    </w:p>
    <w:p w14:paraId="70128B9B" w14:textId="77777777" w:rsidR="00007A21" w:rsidRPr="00007A21" w:rsidRDefault="00007A21" w:rsidP="00007A21">
      <w:pPr>
        <w:spacing w:before="120" w:line="360" w:lineRule="auto"/>
        <w:jc w:val="left"/>
        <w:rPr>
          <w:rFonts w:cs="Arial"/>
        </w:rPr>
      </w:pPr>
      <w:r w:rsidRPr="00007A21">
        <w:rPr>
          <w:rFonts w:cs="Arial"/>
        </w:rPr>
        <w:t xml:space="preserve">W Urzędzie Zamówień Publicznych w roku 2025 przeprowadzono: </w:t>
      </w:r>
    </w:p>
    <w:p w14:paraId="1282BC5C" w14:textId="77777777" w:rsidR="00007A21" w:rsidRPr="00007A21" w:rsidRDefault="00007A21" w:rsidP="00565A93">
      <w:pPr>
        <w:numPr>
          <w:ilvl w:val="0"/>
          <w:numId w:val="9"/>
        </w:numPr>
        <w:spacing w:line="360" w:lineRule="auto"/>
        <w:jc w:val="left"/>
        <w:rPr>
          <w:rFonts w:cs="Arial"/>
        </w:rPr>
      </w:pPr>
      <w:r w:rsidRPr="00007A21">
        <w:rPr>
          <w:rFonts w:cs="Arial"/>
        </w:rPr>
        <w:t>25 naborów w korpusie służby cywilnej, z czego 6 naborów zakończyło się bez wyłonienia kandydata do zatrudnienia,</w:t>
      </w:r>
    </w:p>
    <w:p w14:paraId="3C80E36C" w14:textId="02A03DC6" w:rsidR="00007A21" w:rsidRPr="00007A21" w:rsidRDefault="00007A21" w:rsidP="00565A93">
      <w:pPr>
        <w:numPr>
          <w:ilvl w:val="0"/>
          <w:numId w:val="9"/>
        </w:numPr>
        <w:spacing w:line="360" w:lineRule="auto"/>
        <w:jc w:val="left"/>
        <w:rPr>
          <w:rFonts w:cs="Arial"/>
        </w:rPr>
      </w:pPr>
      <w:r w:rsidRPr="00007A21">
        <w:rPr>
          <w:rFonts w:cs="Arial"/>
        </w:rPr>
        <w:t xml:space="preserve">1 nabór na stanowisko pomocnicze poza korpusem służby cywilnej w obszarze dotyczącym obsługi protokolarnej rozpraw w </w:t>
      </w:r>
      <w:r w:rsidR="008D55E0">
        <w:rPr>
          <w:rFonts w:cs="Arial"/>
        </w:rPr>
        <w:t>KIO</w:t>
      </w:r>
      <w:r w:rsidRPr="00007A21">
        <w:rPr>
          <w:rFonts w:cs="Arial"/>
        </w:rPr>
        <w:t xml:space="preserve">, </w:t>
      </w:r>
    </w:p>
    <w:p w14:paraId="37A18372" w14:textId="586E9674" w:rsidR="00007A21" w:rsidRPr="00007A21" w:rsidRDefault="00007A21" w:rsidP="00565A93">
      <w:pPr>
        <w:numPr>
          <w:ilvl w:val="0"/>
          <w:numId w:val="9"/>
        </w:numPr>
        <w:spacing w:line="360" w:lineRule="auto"/>
        <w:jc w:val="left"/>
        <w:rPr>
          <w:rFonts w:cs="Arial"/>
        </w:rPr>
      </w:pPr>
      <w:r w:rsidRPr="00007A21">
        <w:rPr>
          <w:rFonts w:cs="Arial"/>
        </w:rPr>
        <w:t xml:space="preserve">postępowanie kwalifikacyjne na członków </w:t>
      </w:r>
      <w:r w:rsidR="008D55E0">
        <w:rPr>
          <w:rFonts w:cs="Arial"/>
        </w:rPr>
        <w:t>KIO</w:t>
      </w:r>
      <w:r w:rsidRPr="00007A21">
        <w:rPr>
          <w:rFonts w:cs="Arial"/>
        </w:rPr>
        <w:t>;</w:t>
      </w:r>
    </w:p>
    <w:p w14:paraId="2076AD19" w14:textId="717D13FE" w:rsidR="00007A21" w:rsidRPr="00007A21" w:rsidRDefault="00007A21" w:rsidP="00170523">
      <w:pPr>
        <w:spacing w:before="120" w:line="360" w:lineRule="auto"/>
        <w:jc w:val="left"/>
        <w:rPr>
          <w:rFonts w:cs="Arial"/>
        </w:rPr>
      </w:pPr>
      <w:r w:rsidRPr="00007A21">
        <w:rPr>
          <w:rFonts w:cs="Arial"/>
        </w:rPr>
        <w:t xml:space="preserve">W wyniku przeprowadzonego postępowania kwalifikacyjnego na członków </w:t>
      </w:r>
      <w:r w:rsidR="008D55E0">
        <w:rPr>
          <w:rFonts w:cs="Arial"/>
        </w:rPr>
        <w:t>KIO</w:t>
      </w:r>
      <w:r w:rsidRPr="00007A21">
        <w:rPr>
          <w:rFonts w:cs="Arial"/>
        </w:rPr>
        <w:t xml:space="preserve"> w 2025 roku na 13 wolnych stanowisk, wyłoniono 6 kandydatów do zatrudnienia. Z terminem objęcia funkcji orzeczniczej w okresie od sierpnia 2025 roku do września 2025 roku powołanych zostało 6 nowych członków </w:t>
      </w:r>
      <w:r w:rsidR="008D55E0">
        <w:rPr>
          <w:rFonts w:cs="Arial"/>
        </w:rPr>
        <w:t>KIO</w:t>
      </w:r>
      <w:r w:rsidRPr="00007A21">
        <w:rPr>
          <w:rFonts w:cs="Arial"/>
        </w:rPr>
        <w:t>.</w:t>
      </w:r>
    </w:p>
    <w:p w14:paraId="4E02B3C3" w14:textId="6C4AB74A" w:rsidR="00027B63" w:rsidRPr="00920214" w:rsidRDefault="00CC2929" w:rsidP="00270CF3">
      <w:pPr>
        <w:pStyle w:val="Nagwek3"/>
      </w:pPr>
      <w:bookmarkStart w:id="325" w:name="_Toc233203315"/>
      <w:r>
        <w:t>I</w:t>
      </w:r>
      <w:r w:rsidR="00A95C1D">
        <w:t>II.3</w:t>
      </w:r>
      <w:r w:rsidR="00920214" w:rsidRPr="008E1987">
        <w:t xml:space="preserve">.2. </w:t>
      </w:r>
      <w:r w:rsidR="00027B63" w:rsidRPr="008E1987">
        <w:t>Wykonan</w:t>
      </w:r>
      <w:r w:rsidR="00D517D8" w:rsidRPr="008E1987">
        <w:t>ie budżetu</w:t>
      </w:r>
      <w:bookmarkEnd w:id="325"/>
    </w:p>
    <w:p w14:paraId="63C1B6CC" w14:textId="77777777" w:rsidR="00312C1B" w:rsidRPr="00312C1B" w:rsidRDefault="00312C1B" w:rsidP="00312C1B">
      <w:pPr>
        <w:spacing w:before="120" w:line="360" w:lineRule="auto"/>
        <w:jc w:val="left"/>
        <w:rPr>
          <w:rFonts w:cs="Arial"/>
        </w:rPr>
      </w:pPr>
      <w:r w:rsidRPr="00312C1B">
        <w:rPr>
          <w:rFonts w:cs="Arial"/>
        </w:rPr>
        <w:t xml:space="preserve">Dochody budżetowe w części 49 w 2025 r. zostały wykonane w kwocie 43.493 tys. zł, tj. 145% kwoty określonej w ustawie budżetowej (30.018 tys. zł) oraz 121% kwoty dochodów wykonanych w 2024 r. (36.050 tys. zł). </w:t>
      </w:r>
    </w:p>
    <w:p w14:paraId="198EA334" w14:textId="77777777" w:rsidR="00312C1B" w:rsidRPr="00312C1B" w:rsidRDefault="00312C1B" w:rsidP="00312C1B">
      <w:pPr>
        <w:spacing w:before="120" w:line="360" w:lineRule="auto"/>
        <w:jc w:val="left"/>
        <w:rPr>
          <w:rFonts w:cs="Arial"/>
        </w:rPr>
      </w:pPr>
      <w:r w:rsidRPr="00312C1B">
        <w:rPr>
          <w:rFonts w:cs="Arial"/>
        </w:rPr>
        <w:t xml:space="preserve">Urząd Zamówień Publicznych w 2025 r. zrealizował wydatki w części 49 działu 750 rozdziału 75001 i rozdziału 75076 na ogólną kwotę 62.635 tys. zł., tj. w wysokości 108% kwoty wydatków określonych w ustawie budżetowej na rok 2025 (57.877 tys. zł) i w wysokości 97% budżetu UZP po zmianach na 2025 r. (64.620 tys. zł). Wydatki które nie wygasły z końcem 2024 roku nie wystąpiły. W porównaniu do wydatków zrealizowanych w 2024 r. (62.352 tys. zł) wydatki zrealizowane w 2025 r. stanowiły 100,5%. </w:t>
      </w:r>
    </w:p>
    <w:p w14:paraId="1017B55F" w14:textId="77777777" w:rsidR="00312C1B" w:rsidRPr="00312C1B" w:rsidRDefault="00312C1B" w:rsidP="00312C1B">
      <w:pPr>
        <w:spacing w:before="120" w:line="360" w:lineRule="auto"/>
        <w:jc w:val="left"/>
        <w:rPr>
          <w:rFonts w:cs="Arial"/>
        </w:rPr>
      </w:pPr>
      <w:r w:rsidRPr="00312C1B">
        <w:rPr>
          <w:rFonts w:cs="Arial"/>
        </w:rPr>
        <w:t>W 2025 roku Urząd nie posiadał wydatków budżetu środków europejskich</w:t>
      </w:r>
    </w:p>
    <w:p w14:paraId="5FEA88D8" w14:textId="4FDBA208" w:rsidR="00746982" w:rsidRPr="00CA29C7" w:rsidRDefault="00CC2929" w:rsidP="00D06180">
      <w:pPr>
        <w:pStyle w:val="Nagwek2"/>
        <w:rPr>
          <w:noProof/>
        </w:rPr>
      </w:pPr>
      <w:bookmarkStart w:id="326" w:name="_Toc16598653"/>
      <w:bookmarkStart w:id="327" w:name="_Toc64451892"/>
      <w:bookmarkStart w:id="328" w:name="_Toc233203316"/>
      <w:r>
        <w:rPr>
          <w:noProof/>
        </w:rPr>
        <w:t>I</w:t>
      </w:r>
      <w:r w:rsidR="00746982" w:rsidRPr="003A349C">
        <w:rPr>
          <w:noProof/>
        </w:rPr>
        <w:t>II.</w:t>
      </w:r>
      <w:r w:rsidR="00A95C1D">
        <w:rPr>
          <w:noProof/>
        </w:rPr>
        <w:t>4</w:t>
      </w:r>
      <w:r w:rsidR="00746982" w:rsidRPr="003A349C">
        <w:rPr>
          <w:noProof/>
        </w:rPr>
        <w:t>. Zamówienia publiczne w mediach</w:t>
      </w:r>
      <w:bookmarkEnd w:id="326"/>
      <w:bookmarkEnd w:id="327"/>
      <w:bookmarkEnd w:id="328"/>
    </w:p>
    <w:p w14:paraId="02421596" w14:textId="77777777" w:rsidR="00925E1B" w:rsidRPr="00925E1B" w:rsidRDefault="00925E1B" w:rsidP="00925E1B">
      <w:pPr>
        <w:shd w:val="clear" w:color="auto" w:fill="FFFFFF"/>
        <w:spacing w:before="120" w:line="360" w:lineRule="auto"/>
        <w:jc w:val="left"/>
        <w:rPr>
          <w:rFonts w:cs="Arial"/>
          <w:bCs/>
          <w:szCs w:val="22"/>
        </w:rPr>
      </w:pPr>
      <w:r w:rsidRPr="00925E1B">
        <w:rPr>
          <w:rFonts w:cs="Arial"/>
          <w:bCs/>
          <w:szCs w:val="22"/>
        </w:rPr>
        <w:t>W 2025 roku zarówno tradycyjne kanały informacyjne, jak i platformy cyfrowe aktywnie śledziły i komentowały kluczowe wydarzenia na rynku zamówień publicznych. Wiodącą rolę w tym zakresie utrzymały prestiżowe dzienniki ogólnopolskie, takie jak Rzeczpospolita, Dziennik Gazeta Prawna oraz Puls Biznesu. Gazety te nie ograniczały się jedynie do relacjonowania faktów, ale regularnie stawały się forum wymiany myśli, publikując pogłębione analizy przygotowywane przez czołowych ekspertów i praktyków rynkowych.</w:t>
      </w:r>
    </w:p>
    <w:p w14:paraId="3C42D0C4" w14:textId="77777777" w:rsidR="00925E1B" w:rsidRPr="00925E1B" w:rsidRDefault="00925E1B" w:rsidP="00925E1B">
      <w:pPr>
        <w:shd w:val="clear" w:color="auto" w:fill="FFFFFF"/>
        <w:spacing w:before="120" w:line="360" w:lineRule="auto"/>
        <w:jc w:val="left"/>
        <w:rPr>
          <w:rFonts w:cs="Arial"/>
          <w:bCs/>
          <w:szCs w:val="22"/>
        </w:rPr>
      </w:pPr>
      <w:r w:rsidRPr="00925E1B">
        <w:rPr>
          <w:rFonts w:cs="Arial"/>
          <w:bCs/>
          <w:szCs w:val="22"/>
        </w:rPr>
        <w:t xml:space="preserve">Podkreślić należy, że od kwietnia 2025 roku w ramach współpracy UZP oraz Dziennika Rzeczpospolita publikowany jest comiesięczny dodatek pn. Akademia Zakupów Publicznych, na łamach którego publikowane są artykuły. Ich przygotowaniem zajmują się zewnętrzni eksperci oraz pracownicy Urzędu. </w:t>
      </w:r>
    </w:p>
    <w:p w14:paraId="6A4FCEA9" w14:textId="77777777" w:rsidR="00925E1B" w:rsidRPr="00925E1B" w:rsidRDefault="00925E1B" w:rsidP="00925E1B">
      <w:pPr>
        <w:shd w:val="clear" w:color="auto" w:fill="FFFFFF"/>
        <w:spacing w:before="120" w:line="360" w:lineRule="auto"/>
        <w:jc w:val="left"/>
        <w:rPr>
          <w:rFonts w:cs="Arial"/>
          <w:bCs/>
          <w:szCs w:val="22"/>
        </w:rPr>
      </w:pPr>
      <w:r w:rsidRPr="00925E1B">
        <w:rPr>
          <w:rFonts w:cs="Arial"/>
          <w:bCs/>
          <w:szCs w:val="22"/>
        </w:rPr>
        <w:t>Równie istotne dla kształtowania opinii publicznej były portale internetowe. Z jednej strony mowa o serwisach biznesowo-prawnych, które brały pod lupę globalne wyzwania sektora, z drugiej zaś o mediach lokalnych. Te ostatnie skupiały się na konkretnych, regionalnych inwestycjach, które mają bezpośrednie przełożenie na komfort życia mieszkańców poszczególnych miejscowości czy regionów.</w:t>
      </w:r>
    </w:p>
    <w:p w14:paraId="12B829F9" w14:textId="47F1EC0B" w:rsidR="00925E1B" w:rsidRPr="00925E1B" w:rsidRDefault="00925E1B" w:rsidP="00925E1B">
      <w:pPr>
        <w:shd w:val="clear" w:color="auto" w:fill="FFFFFF"/>
        <w:spacing w:before="120" w:line="360" w:lineRule="auto"/>
        <w:jc w:val="left"/>
        <w:rPr>
          <w:rFonts w:cs="Arial"/>
          <w:bCs/>
          <w:szCs w:val="22"/>
        </w:rPr>
      </w:pPr>
      <w:r w:rsidRPr="00925E1B">
        <w:rPr>
          <w:rFonts w:cs="Arial"/>
          <w:bCs/>
          <w:szCs w:val="22"/>
        </w:rPr>
        <w:t>Nie sposób pominąć roli prasy specjalistycznej. Tytuły takie jak „Przetargi Publiczne”, „Zamówienia Publiczne. Doradca”, „Monitor Zamówień Publicznych” pozostają istotnym wsparciem edukacyjnym dla uczestników rynku. Dzięki swojej eksperckiej formule dostarczały one w 2025 roku szczegółowej wiedzy, trafiając precyzyjnie do profesjonalistów zajmujących się zamówieniami publicznymi na co dzień.</w:t>
      </w:r>
    </w:p>
    <w:p w14:paraId="3E2F039C" w14:textId="46BBAFDA" w:rsidR="00925E1B" w:rsidRPr="00925E1B" w:rsidRDefault="00413ABB" w:rsidP="00925E1B">
      <w:pPr>
        <w:shd w:val="clear" w:color="auto" w:fill="FFFFFF"/>
        <w:spacing w:before="120" w:line="360" w:lineRule="auto"/>
        <w:jc w:val="left"/>
        <w:rPr>
          <w:rFonts w:cs="Arial"/>
          <w:bCs/>
          <w:szCs w:val="22"/>
        </w:rPr>
      </w:pPr>
      <w:r w:rsidRPr="00413ABB">
        <w:rPr>
          <w:rFonts w:cs="Arial"/>
          <w:bCs/>
          <w:noProof/>
          <w:szCs w:val="22"/>
        </w:rPr>
        <w:drawing>
          <wp:anchor distT="0" distB="0" distL="114300" distR="114300" simplePos="0" relativeHeight="251674624" behindDoc="0" locked="0" layoutInCell="1" allowOverlap="1" wp14:anchorId="1DB1C67A" wp14:editId="61496EAE">
            <wp:simplePos x="0" y="0"/>
            <wp:positionH relativeFrom="column">
              <wp:posOffset>2180616</wp:posOffset>
            </wp:positionH>
            <wp:positionV relativeFrom="paragraph">
              <wp:posOffset>135255</wp:posOffset>
            </wp:positionV>
            <wp:extent cx="4215600" cy="1778400"/>
            <wp:effectExtent l="0" t="0" r="0" b="0"/>
            <wp:wrapSquare wrapText="left"/>
            <wp:docPr id="21" name="Obraz 21" descr="Obraz. Mikrofon loga, tekst" title="Obraz. Mikrofon loga,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michals\Desktop\1460x616.jf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15600" cy="177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5E1B" w:rsidRPr="00925E1B">
        <w:rPr>
          <w:rFonts w:cs="Arial"/>
          <w:bCs/>
          <w:szCs w:val="22"/>
        </w:rPr>
        <w:t>Jesienią 2025 roku rozpoczęła się również publikacja podcastów przygotowywanych we współpracy UZP, Polskiego Radia oraz Ogólnopolskiego Stowarzyszenia Konsultantów Zamówień Publicznych. Przygotowanych zostało łączn</w:t>
      </w:r>
      <w:r w:rsidR="00600BB9">
        <w:rPr>
          <w:rFonts w:cs="Arial"/>
          <w:bCs/>
          <w:szCs w:val="22"/>
        </w:rPr>
        <w:t>i</w:t>
      </w:r>
      <w:r w:rsidR="00925E1B" w:rsidRPr="00925E1B">
        <w:rPr>
          <w:rFonts w:cs="Arial"/>
          <w:bCs/>
          <w:szCs w:val="22"/>
        </w:rPr>
        <w:t xml:space="preserve">e 20 odcinków, w których eksperci dyskutowali na temat najważniejszych zagadnień dotyczących </w:t>
      </w:r>
      <w:r w:rsidR="009967CD" w:rsidRPr="00925E1B">
        <w:rPr>
          <w:rFonts w:cs="Arial"/>
          <w:bCs/>
          <w:szCs w:val="22"/>
        </w:rPr>
        <w:t>procedury</w:t>
      </w:r>
      <w:r w:rsidR="00925E1B" w:rsidRPr="00925E1B">
        <w:rPr>
          <w:rFonts w:cs="Arial"/>
          <w:bCs/>
          <w:szCs w:val="22"/>
        </w:rPr>
        <w:t xml:space="preserve"> udzielania zamówień publicznych, a także tematów „</w:t>
      </w:r>
      <w:proofErr w:type="spellStart"/>
      <w:r w:rsidR="00925E1B" w:rsidRPr="00925E1B">
        <w:rPr>
          <w:rFonts w:cs="Arial"/>
          <w:bCs/>
          <w:szCs w:val="22"/>
        </w:rPr>
        <w:t>okołozamówieniowych</w:t>
      </w:r>
      <w:proofErr w:type="spellEnd"/>
      <w:r w:rsidR="00925E1B" w:rsidRPr="00925E1B">
        <w:rPr>
          <w:rFonts w:cs="Arial"/>
          <w:bCs/>
          <w:szCs w:val="22"/>
        </w:rPr>
        <w:t xml:space="preserve">”, które mogą pomóc Zamawiającym w ich codziennej pracy. </w:t>
      </w:r>
    </w:p>
    <w:p w14:paraId="19DE249B" w14:textId="6D6EEF3C" w:rsidR="00925E1B" w:rsidRPr="00925E1B" w:rsidRDefault="00A66781" w:rsidP="00270CF3">
      <w:pPr>
        <w:pStyle w:val="Nagwek3"/>
      </w:pPr>
      <w:bookmarkStart w:id="329" w:name="_Toc233203317"/>
      <w:r>
        <w:t>III.</w:t>
      </w:r>
      <w:r w:rsidR="00A95C1D">
        <w:t>4</w:t>
      </w:r>
      <w:r>
        <w:t xml:space="preserve">.1. </w:t>
      </w:r>
      <w:r w:rsidR="00925E1B" w:rsidRPr="00925E1B">
        <w:t>Kluczowe obszary zainteresowania mediów w 2025 roku</w:t>
      </w:r>
      <w:bookmarkEnd w:id="329"/>
    </w:p>
    <w:p w14:paraId="7A2F0873" w14:textId="2CF7B90A" w:rsidR="00925E1B" w:rsidRPr="00925E1B" w:rsidRDefault="00A66781" w:rsidP="00852522">
      <w:pPr>
        <w:pStyle w:val="Nagwek4"/>
      </w:pPr>
      <w:r>
        <w:t xml:space="preserve">1. </w:t>
      </w:r>
      <w:r w:rsidR="00925E1B" w:rsidRPr="00925E1B">
        <w:t>Udział wykonawców z państw trzecich w świetle wyroków TSUE</w:t>
      </w:r>
    </w:p>
    <w:p w14:paraId="7964222E" w14:textId="77777777" w:rsidR="00925E1B" w:rsidRPr="00925E1B" w:rsidRDefault="00925E1B" w:rsidP="00F13960">
      <w:pPr>
        <w:shd w:val="clear" w:color="auto" w:fill="FFFFFF"/>
        <w:spacing w:before="120" w:line="360" w:lineRule="auto"/>
        <w:jc w:val="left"/>
        <w:rPr>
          <w:rFonts w:cs="Arial"/>
          <w:bCs/>
          <w:szCs w:val="22"/>
        </w:rPr>
      </w:pPr>
      <w:r w:rsidRPr="00925E1B">
        <w:rPr>
          <w:rFonts w:cs="Arial"/>
          <w:bCs/>
          <w:szCs w:val="22"/>
        </w:rPr>
        <w:t>Dużo uwagi media zainteresowane tematyką zamówień publicznych poświęciły analizie wyroków Trybunału Sprawiedliwości Unii Europejskiej oraz nowelizacji Prawa zamówień publicznych, która wprowadziła do polskiego porządku prawnego regulacje uwzględniające tezy wyroków w tzw. sprawach „Kolin” i „Qingdao”. W myśl tych wyroków wykonawcy z państw trzecich niezwiązanych z Unią Europejską żadną umową międzynarodową gwarantującą na zasadzie wzajemności i równości dostęp do rynku zamówień publicznych, nie mają zapewnionego dostępu do unijnego rynku zamówień publicznych, a decyzja w zakresie dopuszczenia i zasad udziału w postępowaniu należy do zamawiającego.</w:t>
      </w:r>
    </w:p>
    <w:p w14:paraId="1180290A" w14:textId="087B4A34" w:rsidR="00925E1B" w:rsidRPr="00F13960" w:rsidRDefault="00610ED3" w:rsidP="00852522">
      <w:pPr>
        <w:pStyle w:val="Nagwek4"/>
      </w:pPr>
      <w:r>
        <w:t xml:space="preserve">2. </w:t>
      </w:r>
      <w:r w:rsidR="00925E1B" w:rsidRPr="00F13960">
        <w:t xml:space="preserve">Bieżący monitoring kontroli prowadzonych przez UZP i orzecznictwa KIO </w:t>
      </w:r>
    </w:p>
    <w:p w14:paraId="7CB30E84" w14:textId="6674EC02" w:rsidR="00925E1B" w:rsidRPr="00925E1B" w:rsidRDefault="00925E1B" w:rsidP="00F13960">
      <w:pPr>
        <w:shd w:val="clear" w:color="auto" w:fill="FFFFFF"/>
        <w:spacing w:before="120" w:line="360" w:lineRule="auto"/>
        <w:jc w:val="left"/>
        <w:rPr>
          <w:rFonts w:cs="Arial"/>
          <w:bCs/>
          <w:szCs w:val="22"/>
        </w:rPr>
      </w:pPr>
      <w:r w:rsidRPr="00925E1B">
        <w:rPr>
          <w:rFonts w:cs="Arial"/>
          <w:bCs/>
          <w:szCs w:val="22"/>
        </w:rPr>
        <w:t xml:space="preserve">Media ze szczególną uwagą śledziły największe projekty inwestycyjne. Dziennikarze regularnie raportowali o wynikach kontroli prowadzonych przez Urząd Zamówień Publicznych oraz szczegółowo analizowali najciekawsze wyroki </w:t>
      </w:r>
      <w:r w:rsidR="00EC5AED">
        <w:rPr>
          <w:rFonts w:cs="Arial"/>
          <w:bCs/>
          <w:szCs w:val="22"/>
        </w:rPr>
        <w:t>KIO</w:t>
      </w:r>
      <w:r w:rsidRPr="00925E1B">
        <w:rPr>
          <w:rFonts w:cs="Arial"/>
          <w:bCs/>
          <w:szCs w:val="22"/>
        </w:rPr>
        <w:t>.</w:t>
      </w:r>
    </w:p>
    <w:p w14:paraId="7C40CC65" w14:textId="3E3AB329" w:rsidR="00925E1B" w:rsidRPr="00F13960" w:rsidRDefault="00610ED3" w:rsidP="00852522">
      <w:pPr>
        <w:pStyle w:val="Nagwek4"/>
      </w:pPr>
      <w:r>
        <w:t xml:space="preserve">3. </w:t>
      </w:r>
      <w:r w:rsidR="00925E1B" w:rsidRPr="00F13960">
        <w:t xml:space="preserve">Analiza funkcjonowania przepisów Prawa zamówień publicznych </w:t>
      </w:r>
    </w:p>
    <w:p w14:paraId="5CEE3500" w14:textId="77777777" w:rsidR="00925E1B" w:rsidRPr="00925E1B" w:rsidRDefault="00925E1B" w:rsidP="00F13960">
      <w:pPr>
        <w:shd w:val="clear" w:color="auto" w:fill="FFFFFF"/>
        <w:spacing w:before="120" w:line="360" w:lineRule="auto"/>
        <w:jc w:val="left"/>
        <w:rPr>
          <w:rFonts w:cs="Arial"/>
          <w:bCs/>
          <w:szCs w:val="22"/>
        </w:rPr>
      </w:pPr>
      <w:r w:rsidRPr="00925E1B">
        <w:rPr>
          <w:rFonts w:cs="Arial"/>
          <w:bCs/>
          <w:szCs w:val="22"/>
        </w:rPr>
        <w:t>W 2025 roku uwaga publicystów koncentrowała się na praktycznych aspektach stosowania ustawy. W mediach dominowały komentarze ekspertów, którzy oceniali skuteczność przyjętych rozwiązań. Zarówno teoretycy, jak i praktycy chwalili elastyczność obecnych przepisów, wskazując, że nowoczesne ramy prawne sprzyjają budowaniu partnerskich i sprawnych relacji między zamawiającymi a wykonawcami.</w:t>
      </w:r>
    </w:p>
    <w:p w14:paraId="39743A03" w14:textId="5FDDC610" w:rsidR="00925E1B" w:rsidRPr="00F13960" w:rsidRDefault="00610ED3" w:rsidP="00852522">
      <w:pPr>
        <w:pStyle w:val="Nagwek4"/>
      </w:pPr>
      <w:r>
        <w:t xml:space="preserve">4. </w:t>
      </w:r>
      <w:r w:rsidR="00925E1B" w:rsidRPr="00F13960">
        <w:t xml:space="preserve">Dalsza cyfryzacja procesów zakupowych </w:t>
      </w:r>
    </w:p>
    <w:p w14:paraId="3AE245FA" w14:textId="2E8F08EE" w:rsidR="00925E1B" w:rsidRPr="00925E1B" w:rsidRDefault="00925E1B" w:rsidP="00F13960">
      <w:pPr>
        <w:shd w:val="clear" w:color="auto" w:fill="FFFFFF"/>
        <w:spacing w:before="120" w:line="360" w:lineRule="auto"/>
        <w:jc w:val="left"/>
        <w:rPr>
          <w:rFonts w:cs="Arial"/>
          <w:bCs/>
          <w:szCs w:val="22"/>
        </w:rPr>
      </w:pPr>
      <w:r w:rsidRPr="00925E1B">
        <w:rPr>
          <w:rFonts w:cs="Arial"/>
          <w:bCs/>
          <w:szCs w:val="22"/>
        </w:rPr>
        <w:t xml:space="preserve">Temat elektronizacji nie tracił na aktualności. Debata medialna w 2025 roku skupiała się na optymalizacji już istniejących narzędzi cyfrowych oraz postulatach dotyczących pełnego przejścia na tryb online w kolejnych obszarach. Szczególny nacisk kładziono na potrzebę pełnej elektronizacji procedur przed </w:t>
      </w:r>
      <w:r w:rsidR="00EC5AED">
        <w:rPr>
          <w:rFonts w:cs="Arial"/>
          <w:bCs/>
          <w:szCs w:val="22"/>
        </w:rPr>
        <w:t>KIO</w:t>
      </w:r>
      <w:r w:rsidRPr="00925E1B">
        <w:rPr>
          <w:rFonts w:cs="Arial"/>
          <w:bCs/>
          <w:szCs w:val="22"/>
        </w:rPr>
        <w:t>.</w:t>
      </w:r>
    </w:p>
    <w:p w14:paraId="15A36D34" w14:textId="4FAEBB5C" w:rsidR="00925E1B" w:rsidRPr="00F13960" w:rsidRDefault="00610ED3" w:rsidP="00852522">
      <w:pPr>
        <w:pStyle w:val="Nagwek4"/>
      </w:pPr>
      <w:r>
        <w:t xml:space="preserve">5. </w:t>
      </w:r>
      <w:r w:rsidR="00925E1B" w:rsidRPr="00F13960">
        <w:t xml:space="preserve">Promocja zasobów edukacyjnych Urzędu </w:t>
      </w:r>
    </w:p>
    <w:p w14:paraId="39A10E27" w14:textId="77777777" w:rsidR="00925E1B" w:rsidRPr="00925E1B" w:rsidRDefault="00925E1B" w:rsidP="00F13960">
      <w:pPr>
        <w:shd w:val="clear" w:color="auto" w:fill="FFFFFF"/>
        <w:spacing w:before="120" w:line="360" w:lineRule="auto"/>
        <w:jc w:val="left"/>
        <w:rPr>
          <w:rFonts w:cs="Arial"/>
          <w:bCs/>
          <w:szCs w:val="22"/>
        </w:rPr>
      </w:pPr>
      <w:r w:rsidRPr="00925E1B">
        <w:rPr>
          <w:rFonts w:cs="Arial"/>
          <w:bCs/>
          <w:szCs w:val="22"/>
        </w:rPr>
        <w:t xml:space="preserve">W 2025 roku media chętnie informowały o nowych materiałach publikowanych na stronie internetowej UZP, a także na działania realizowane w ramach Akademii Zakupów Publicznych. Zwracano uwagę na bogatą ofertę merytoryczną: od oficjalnych opinii prawnych, przez praktyczne przewodniki, aż po opracowania dotyczące różnych aspektów </w:t>
      </w:r>
    </w:p>
    <w:p w14:paraId="72A8B2B9" w14:textId="1615D275" w:rsidR="00925E1B" w:rsidRPr="00F13960" w:rsidRDefault="00610ED3" w:rsidP="00270CF3">
      <w:pPr>
        <w:pStyle w:val="Nagwek3"/>
      </w:pPr>
      <w:bookmarkStart w:id="330" w:name="_Toc233203318"/>
      <w:r>
        <w:t>III.</w:t>
      </w:r>
      <w:r w:rsidR="00A95C1D">
        <w:t>4</w:t>
      </w:r>
      <w:r>
        <w:t xml:space="preserve">.2. </w:t>
      </w:r>
      <w:r w:rsidR="00925E1B" w:rsidRPr="00F13960">
        <w:t>Komunikacja w mediach społecznościowych</w:t>
      </w:r>
      <w:bookmarkEnd w:id="330"/>
    </w:p>
    <w:p w14:paraId="4CDD6B20" w14:textId="28849DAE" w:rsidR="00925E1B" w:rsidRDefault="00925E1B" w:rsidP="00A66781">
      <w:pPr>
        <w:shd w:val="clear" w:color="auto" w:fill="FFFFFF"/>
        <w:spacing w:before="120" w:line="360" w:lineRule="auto"/>
        <w:jc w:val="left"/>
        <w:rPr>
          <w:rFonts w:cs="Arial"/>
          <w:bCs/>
          <w:szCs w:val="22"/>
        </w:rPr>
      </w:pPr>
      <w:r w:rsidRPr="00925E1B">
        <w:rPr>
          <w:rFonts w:cs="Arial"/>
          <w:bCs/>
          <w:szCs w:val="22"/>
        </w:rPr>
        <w:t>Warto zaznaczyć, że w 2025 roku Urząd Zamówień Publicznych wykorzystywał potencjał mediów społecznościowych (LinkedIn, X, YouTube). Dzięki temu eksperckie treści, i bieżące aktualności docierały do coraz szerszego grona odbiorców. Profile UZP są miejscem wymiany informacji oraz inspirują do debaty profesjonalistów z wielu różnych gałęzi gospodarki.</w:t>
      </w:r>
    </w:p>
    <w:p w14:paraId="4F50F445" w14:textId="15313AA1" w:rsidR="00A04EC2" w:rsidRDefault="00A04EC2" w:rsidP="00A66781">
      <w:pPr>
        <w:shd w:val="clear" w:color="auto" w:fill="FFFFFF"/>
        <w:spacing w:before="120" w:line="360" w:lineRule="auto"/>
        <w:jc w:val="left"/>
        <w:rPr>
          <w:rFonts w:cs="Arial"/>
          <w:bCs/>
          <w:szCs w:val="22"/>
        </w:rPr>
      </w:pPr>
    </w:p>
    <w:p w14:paraId="166AAF32" w14:textId="77777777" w:rsidR="00A04EC2" w:rsidRDefault="00A04EC2" w:rsidP="00A66781">
      <w:pPr>
        <w:shd w:val="clear" w:color="auto" w:fill="FFFFFF"/>
        <w:spacing w:before="120" w:line="360" w:lineRule="auto"/>
        <w:jc w:val="left"/>
        <w:rPr>
          <w:rFonts w:cs="Arial"/>
          <w:bCs/>
          <w:szCs w:val="22"/>
        </w:rPr>
        <w:sectPr w:rsidR="00A04EC2" w:rsidSect="0057598F">
          <w:pgSz w:w="11906" w:h="16838"/>
          <w:pgMar w:top="1418" w:right="1418" w:bottom="1418" w:left="1418" w:header="709" w:footer="709" w:gutter="0"/>
          <w:cols w:space="708"/>
          <w:docGrid w:linePitch="299"/>
        </w:sectPr>
      </w:pPr>
    </w:p>
    <w:p w14:paraId="5A7FBDB9" w14:textId="433E37E3" w:rsidR="00E33597" w:rsidRPr="002C794D" w:rsidRDefault="000C7724" w:rsidP="005B3FFE">
      <w:pPr>
        <w:pStyle w:val="Nagwek1"/>
      </w:pPr>
      <w:bookmarkStart w:id="331" w:name="_Toc223154376"/>
      <w:bookmarkStart w:id="332" w:name="_Ref99524658"/>
      <w:bookmarkStart w:id="333" w:name="_Toc233203319"/>
      <w:bookmarkStart w:id="334" w:name="_Toc223156058"/>
      <w:bookmarkStart w:id="335" w:name="_Toc223156278"/>
      <w:bookmarkStart w:id="336" w:name="_Toc223923443"/>
      <w:bookmarkStart w:id="337" w:name="_Toc223924356"/>
      <w:bookmarkEnd w:id="331"/>
      <w:r>
        <w:t>I</w:t>
      </w:r>
      <w:r w:rsidR="005128F0" w:rsidRPr="00022E26">
        <w:t>V. SPIS RYSUNKÓW</w:t>
      </w:r>
      <w:bookmarkEnd w:id="332"/>
      <w:bookmarkEnd w:id="333"/>
    </w:p>
    <w:p w14:paraId="612EB59D" w14:textId="2BD3141A" w:rsidR="008870AA" w:rsidRDefault="005F556C">
      <w:pPr>
        <w:pStyle w:val="Spisilustracji"/>
        <w:tabs>
          <w:tab w:val="right" w:leader="dot" w:pos="9060"/>
        </w:tabs>
        <w:rPr>
          <w:rFonts w:asciiTheme="minorHAnsi" w:eastAsiaTheme="minorEastAsia" w:hAnsiTheme="minorHAnsi" w:cstheme="minorBidi"/>
          <w:noProof/>
          <w:sz w:val="22"/>
          <w:szCs w:val="22"/>
        </w:rPr>
      </w:pPr>
      <w:r>
        <w:rPr>
          <w:rFonts w:cs="Arial"/>
          <w:color w:val="000000" w:themeColor="text1"/>
        </w:rPr>
        <w:fldChar w:fldCharType="begin"/>
      </w:r>
      <w:r>
        <w:rPr>
          <w:rFonts w:cs="Arial"/>
          <w:color w:val="000000" w:themeColor="text1"/>
        </w:rPr>
        <w:instrText xml:space="preserve"> TOC \h \z \c "Rys." </w:instrText>
      </w:r>
      <w:r>
        <w:rPr>
          <w:rFonts w:cs="Arial"/>
          <w:color w:val="000000" w:themeColor="text1"/>
        </w:rPr>
        <w:fldChar w:fldCharType="separate"/>
      </w:r>
      <w:hyperlink w:anchor="_Toc233203322" w:history="1">
        <w:r w:rsidR="008870AA" w:rsidRPr="00137E15">
          <w:rPr>
            <w:rStyle w:val="Hipercze"/>
            <w:noProof/>
          </w:rPr>
          <w:t>Rys. 1. Liczba i wartość zamówień publicznych udzielonych z zastosowaniem przepisów ustawy Pzp w latach 2014 – 2025</w:t>
        </w:r>
        <w:r w:rsidR="008870AA">
          <w:rPr>
            <w:noProof/>
            <w:webHidden/>
          </w:rPr>
          <w:tab/>
        </w:r>
        <w:r w:rsidR="008870AA">
          <w:rPr>
            <w:noProof/>
            <w:webHidden/>
          </w:rPr>
          <w:fldChar w:fldCharType="begin"/>
        </w:r>
        <w:r w:rsidR="008870AA">
          <w:rPr>
            <w:noProof/>
            <w:webHidden/>
          </w:rPr>
          <w:instrText xml:space="preserve"> PAGEREF _Toc233203322 \h </w:instrText>
        </w:r>
        <w:r w:rsidR="008870AA">
          <w:rPr>
            <w:noProof/>
            <w:webHidden/>
          </w:rPr>
        </w:r>
        <w:r w:rsidR="008870AA">
          <w:rPr>
            <w:noProof/>
            <w:webHidden/>
          </w:rPr>
          <w:fldChar w:fldCharType="separate"/>
        </w:r>
        <w:r w:rsidR="008870AA">
          <w:rPr>
            <w:noProof/>
            <w:webHidden/>
          </w:rPr>
          <w:t>10</w:t>
        </w:r>
        <w:r w:rsidR="008870AA">
          <w:rPr>
            <w:noProof/>
            <w:webHidden/>
          </w:rPr>
          <w:fldChar w:fldCharType="end"/>
        </w:r>
      </w:hyperlink>
    </w:p>
    <w:p w14:paraId="57FA1FB3" w14:textId="49F33A29"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23" w:history="1">
        <w:r w:rsidRPr="00137E15">
          <w:rPr>
            <w:rStyle w:val="Hipercze"/>
            <w:noProof/>
          </w:rPr>
          <w:t>Rys. 2. Struktura wartości udzielonych zamówień w podziale na rodzaj zamówienia</w:t>
        </w:r>
        <w:r>
          <w:rPr>
            <w:noProof/>
            <w:webHidden/>
          </w:rPr>
          <w:tab/>
        </w:r>
        <w:r>
          <w:rPr>
            <w:noProof/>
            <w:webHidden/>
          </w:rPr>
          <w:fldChar w:fldCharType="begin"/>
        </w:r>
        <w:r>
          <w:rPr>
            <w:noProof/>
            <w:webHidden/>
          </w:rPr>
          <w:instrText xml:space="preserve"> PAGEREF _Toc233203323 \h </w:instrText>
        </w:r>
        <w:r>
          <w:rPr>
            <w:noProof/>
            <w:webHidden/>
          </w:rPr>
        </w:r>
        <w:r>
          <w:rPr>
            <w:noProof/>
            <w:webHidden/>
          </w:rPr>
          <w:fldChar w:fldCharType="separate"/>
        </w:r>
        <w:r>
          <w:rPr>
            <w:noProof/>
            <w:webHidden/>
          </w:rPr>
          <w:t>12</w:t>
        </w:r>
        <w:r>
          <w:rPr>
            <w:noProof/>
            <w:webHidden/>
          </w:rPr>
          <w:fldChar w:fldCharType="end"/>
        </w:r>
      </w:hyperlink>
    </w:p>
    <w:p w14:paraId="319F03CC" w14:textId="5B00CE06"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24" w:history="1">
        <w:r w:rsidRPr="00137E15">
          <w:rPr>
            <w:rStyle w:val="Hipercze"/>
            <w:noProof/>
          </w:rPr>
          <w:t>Rys. 3. Struktura liczby udzielonych zamówień w podziale na rodzaj zamówienia</w:t>
        </w:r>
        <w:r>
          <w:rPr>
            <w:noProof/>
            <w:webHidden/>
          </w:rPr>
          <w:tab/>
        </w:r>
        <w:r>
          <w:rPr>
            <w:noProof/>
            <w:webHidden/>
          </w:rPr>
          <w:fldChar w:fldCharType="begin"/>
        </w:r>
        <w:r>
          <w:rPr>
            <w:noProof/>
            <w:webHidden/>
          </w:rPr>
          <w:instrText xml:space="preserve"> PAGEREF _Toc233203324 \h </w:instrText>
        </w:r>
        <w:r>
          <w:rPr>
            <w:noProof/>
            <w:webHidden/>
          </w:rPr>
        </w:r>
        <w:r>
          <w:rPr>
            <w:noProof/>
            <w:webHidden/>
          </w:rPr>
          <w:fldChar w:fldCharType="separate"/>
        </w:r>
        <w:r>
          <w:rPr>
            <w:noProof/>
            <w:webHidden/>
          </w:rPr>
          <w:t>12</w:t>
        </w:r>
        <w:r>
          <w:rPr>
            <w:noProof/>
            <w:webHidden/>
          </w:rPr>
          <w:fldChar w:fldCharType="end"/>
        </w:r>
      </w:hyperlink>
    </w:p>
    <w:p w14:paraId="3C6186EC" w14:textId="2890826E"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25" w:history="1">
        <w:r w:rsidRPr="00137E15">
          <w:rPr>
            <w:rStyle w:val="Hipercze"/>
            <w:noProof/>
          </w:rPr>
          <w:t>Rys. 4. Liczba i wartość udzielonych zamówień sektorowych</w:t>
        </w:r>
        <w:r>
          <w:rPr>
            <w:noProof/>
            <w:webHidden/>
          </w:rPr>
          <w:tab/>
        </w:r>
        <w:r>
          <w:rPr>
            <w:noProof/>
            <w:webHidden/>
          </w:rPr>
          <w:fldChar w:fldCharType="begin"/>
        </w:r>
        <w:r>
          <w:rPr>
            <w:noProof/>
            <w:webHidden/>
          </w:rPr>
          <w:instrText xml:space="preserve"> PAGEREF _Toc233203325 \h </w:instrText>
        </w:r>
        <w:r>
          <w:rPr>
            <w:noProof/>
            <w:webHidden/>
          </w:rPr>
        </w:r>
        <w:r>
          <w:rPr>
            <w:noProof/>
            <w:webHidden/>
          </w:rPr>
          <w:fldChar w:fldCharType="separate"/>
        </w:r>
        <w:r>
          <w:rPr>
            <w:noProof/>
            <w:webHidden/>
          </w:rPr>
          <w:t>13</w:t>
        </w:r>
        <w:r>
          <w:rPr>
            <w:noProof/>
            <w:webHidden/>
          </w:rPr>
          <w:fldChar w:fldCharType="end"/>
        </w:r>
      </w:hyperlink>
    </w:p>
    <w:p w14:paraId="0481CF19" w14:textId="22A317A3"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26" w:history="1">
        <w:r w:rsidRPr="00137E15">
          <w:rPr>
            <w:rStyle w:val="Hipercze"/>
            <w:noProof/>
          </w:rPr>
          <w:t>Rys. 5. Struktura ogłoszeń dot. wyłączeń stosowania ustawy Pzp na podstawie ustawy z dnia 11 września 2011 r. o szczególnych rozwiązaniach związanych z usuwaniem skutków powodzi (Dz. U. z 2025 r. poz. 1402, z późn. zm.) opublikowanych w BZP w 2025 r.</w:t>
        </w:r>
        <w:r>
          <w:rPr>
            <w:noProof/>
            <w:webHidden/>
          </w:rPr>
          <w:tab/>
        </w:r>
        <w:r>
          <w:rPr>
            <w:noProof/>
            <w:webHidden/>
          </w:rPr>
          <w:fldChar w:fldCharType="begin"/>
        </w:r>
        <w:r>
          <w:rPr>
            <w:noProof/>
            <w:webHidden/>
          </w:rPr>
          <w:instrText xml:space="preserve"> PAGEREF _Toc233203326 \h </w:instrText>
        </w:r>
        <w:r>
          <w:rPr>
            <w:noProof/>
            <w:webHidden/>
          </w:rPr>
        </w:r>
        <w:r>
          <w:rPr>
            <w:noProof/>
            <w:webHidden/>
          </w:rPr>
          <w:fldChar w:fldCharType="separate"/>
        </w:r>
        <w:r>
          <w:rPr>
            <w:noProof/>
            <w:webHidden/>
          </w:rPr>
          <w:t>16</w:t>
        </w:r>
        <w:r>
          <w:rPr>
            <w:noProof/>
            <w:webHidden/>
          </w:rPr>
          <w:fldChar w:fldCharType="end"/>
        </w:r>
      </w:hyperlink>
    </w:p>
    <w:p w14:paraId="02F2B0E0" w14:textId="5BF08570"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27" w:history="1">
        <w:r w:rsidRPr="00137E15">
          <w:rPr>
            <w:rStyle w:val="Hipercze"/>
            <w:noProof/>
          </w:rPr>
          <w:t>Rys. 6. Struktura ogłoszeń dot. wyłączeń stosowania ustawy Pzp związanych z COVID-19 opublikowanych w BZP w 2025 r.</w:t>
        </w:r>
        <w:r>
          <w:rPr>
            <w:noProof/>
            <w:webHidden/>
          </w:rPr>
          <w:tab/>
        </w:r>
        <w:r>
          <w:rPr>
            <w:noProof/>
            <w:webHidden/>
          </w:rPr>
          <w:fldChar w:fldCharType="begin"/>
        </w:r>
        <w:r>
          <w:rPr>
            <w:noProof/>
            <w:webHidden/>
          </w:rPr>
          <w:instrText xml:space="preserve"> PAGEREF _Toc233203327 \h </w:instrText>
        </w:r>
        <w:r>
          <w:rPr>
            <w:noProof/>
            <w:webHidden/>
          </w:rPr>
        </w:r>
        <w:r>
          <w:rPr>
            <w:noProof/>
            <w:webHidden/>
          </w:rPr>
          <w:fldChar w:fldCharType="separate"/>
        </w:r>
        <w:r>
          <w:rPr>
            <w:noProof/>
            <w:webHidden/>
          </w:rPr>
          <w:t>17</w:t>
        </w:r>
        <w:r>
          <w:rPr>
            <w:noProof/>
            <w:webHidden/>
          </w:rPr>
          <w:fldChar w:fldCharType="end"/>
        </w:r>
      </w:hyperlink>
    </w:p>
    <w:p w14:paraId="33783D18" w14:textId="2C24CE64"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28" w:history="1">
        <w:r w:rsidRPr="00137E15">
          <w:rPr>
            <w:rStyle w:val="Hipercze"/>
            <w:noProof/>
          </w:rPr>
          <w:t>Rys. 7. Struktura ogłoszeń dot. wyłączeń stosowania ustawy Pzp na podstawie ustawy z dnia 12 marca 2022 r.  o pomocy obywatelom Ukrainy w związku z konfliktem zbrojnym na terytorium tego państwa opublikowanych w BZP w 2025 r.</w:t>
        </w:r>
        <w:r>
          <w:rPr>
            <w:noProof/>
            <w:webHidden/>
          </w:rPr>
          <w:tab/>
        </w:r>
        <w:r>
          <w:rPr>
            <w:noProof/>
            <w:webHidden/>
          </w:rPr>
          <w:fldChar w:fldCharType="begin"/>
        </w:r>
        <w:r>
          <w:rPr>
            <w:noProof/>
            <w:webHidden/>
          </w:rPr>
          <w:instrText xml:space="preserve"> PAGEREF _Toc233203328 \h </w:instrText>
        </w:r>
        <w:r>
          <w:rPr>
            <w:noProof/>
            <w:webHidden/>
          </w:rPr>
        </w:r>
        <w:r>
          <w:rPr>
            <w:noProof/>
            <w:webHidden/>
          </w:rPr>
          <w:fldChar w:fldCharType="separate"/>
        </w:r>
        <w:r>
          <w:rPr>
            <w:noProof/>
            <w:webHidden/>
          </w:rPr>
          <w:t>18</w:t>
        </w:r>
        <w:r>
          <w:rPr>
            <w:noProof/>
            <w:webHidden/>
          </w:rPr>
          <w:fldChar w:fldCharType="end"/>
        </w:r>
      </w:hyperlink>
    </w:p>
    <w:p w14:paraId="26CC92A5" w14:textId="7F78977E"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29" w:history="1">
        <w:r w:rsidRPr="00137E15">
          <w:rPr>
            <w:rStyle w:val="Hipercze"/>
            <w:noProof/>
          </w:rPr>
          <w:t>Rys. 8. Odsetek liczby zamówień w podziale na tryb udzielenia zamówienia (zamówienia o wartości mniejszej niż progi unijne)</w:t>
        </w:r>
        <w:r>
          <w:rPr>
            <w:noProof/>
            <w:webHidden/>
          </w:rPr>
          <w:tab/>
        </w:r>
        <w:r>
          <w:rPr>
            <w:noProof/>
            <w:webHidden/>
          </w:rPr>
          <w:fldChar w:fldCharType="begin"/>
        </w:r>
        <w:r>
          <w:rPr>
            <w:noProof/>
            <w:webHidden/>
          </w:rPr>
          <w:instrText xml:space="preserve"> PAGEREF _Toc233203329 \h </w:instrText>
        </w:r>
        <w:r>
          <w:rPr>
            <w:noProof/>
            <w:webHidden/>
          </w:rPr>
        </w:r>
        <w:r>
          <w:rPr>
            <w:noProof/>
            <w:webHidden/>
          </w:rPr>
          <w:fldChar w:fldCharType="separate"/>
        </w:r>
        <w:r>
          <w:rPr>
            <w:noProof/>
            <w:webHidden/>
          </w:rPr>
          <w:t>20</w:t>
        </w:r>
        <w:r>
          <w:rPr>
            <w:noProof/>
            <w:webHidden/>
          </w:rPr>
          <w:fldChar w:fldCharType="end"/>
        </w:r>
      </w:hyperlink>
    </w:p>
    <w:p w14:paraId="11229504" w14:textId="27CFC5CB"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30" w:history="1">
        <w:r w:rsidRPr="00137E15">
          <w:rPr>
            <w:rStyle w:val="Hipercze"/>
            <w:noProof/>
          </w:rPr>
          <w:t>Rys. 9. Odsetek wartości zamówień w podziale na tryb udzielenia zamówienia (zamówienia o wartości mniejszej niż progi unijne)</w:t>
        </w:r>
        <w:r>
          <w:rPr>
            <w:noProof/>
            <w:webHidden/>
          </w:rPr>
          <w:tab/>
        </w:r>
        <w:r>
          <w:rPr>
            <w:noProof/>
            <w:webHidden/>
          </w:rPr>
          <w:fldChar w:fldCharType="begin"/>
        </w:r>
        <w:r>
          <w:rPr>
            <w:noProof/>
            <w:webHidden/>
          </w:rPr>
          <w:instrText xml:space="preserve"> PAGEREF _Toc233203330 \h </w:instrText>
        </w:r>
        <w:r>
          <w:rPr>
            <w:noProof/>
            <w:webHidden/>
          </w:rPr>
        </w:r>
        <w:r>
          <w:rPr>
            <w:noProof/>
            <w:webHidden/>
          </w:rPr>
          <w:fldChar w:fldCharType="separate"/>
        </w:r>
        <w:r>
          <w:rPr>
            <w:noProof/>
            <w:webHidden/>
          </w:rPr>
          <w:t>20</w:t>
        </w:r>
        <w:r>
          <w:rPr>
            <w:noProof/>
            <w:webHidden/>
          </w:rPr>
          <w:fldChar w:fldCharType="end"/>
        </w:r>
      </w:hyperlink>
    </w:p>
    <w:p w14:paraId="76BB8275" w14:textId="283DBC7F"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31" w:history="1">
        <w:r w:rsidRPr="00137E15">
          <w:rPr>
            <w:rStyle w:val="Hipercze"/>
            <w:noProof/>
          </w:rPr>
          <w:t>Rys. 10. Odsetek liczby zamówień w podziale na tryb udzielenia zamówienia (zamówienia o wartości równej lub przekraczającej progi unijne)</w:t>
        </w:r>
        <w:r>
          <w:rPr>
            <w:noProof/>
            <w:webHidden/>
          </w:rPr>
          <w:tab/>
        </w:r>
        <w:r>
          <w:rPr>
            <w:noProof/>
            <w:webHidden/>
          </w:rPr>
          <w:fldChar w:fldCharType="begin"/>
        </w:r>
        <w:r>
          <w:rPr>
            <w:noProof/>
            <w:webHidden/>
          </w:rPr>
          <w:instrText xml:space="preserve"> PAGEREF _Toc233203331 \h </w:instrText>
        </w:r>
        <w:r>
          <w:rPr>
            <w:noProof/>
            <w:webHidden/>
          </w:rPr>
        </w:r>
        <w:r>
          <w:rPr>
            <w:noProof/>
            <w:webHidden/>
          </w:rPr>
          <w:fldChar w:fldCharType="separate"/>
        </w:r>
        <w:r>
          <w:rPr>
            <w:noProof/>
            <w:webHidden/>
          </w:rPr>
          <w:t>21</w:t>
        </w:r>
        <w:r>
          <w:rPr>
            <w:noProof/>
            <w:webHidden/>
          </w:rPr>
          <w:fldChar w:fldCharType="end"/>
        </w:r>
      </w:hyperlink>
    </w:p>
    <w:p w14:paraId="1288B1B3" w14:textId="63A4714B"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32" w:history="1">
        <w:r w:rsidRPr="00137E15">
          <w:rPr>
            <w:rStyle w:val="Hipercze"/>
            <w:noProof/>
          </w:rPr>
          <w:t>Rys. 11. Odsetek wartości zamówień w podziale na tryb udzielenia zamówienia (zamówienia o wartości równej lub przekraczającej progi unijne)</w:t>
        </w:r>
        <w:r>
          <w:rPr>
            <w:noProof/>
            <w:webHidden/>
          </w:rPr>
          <w:tab/>
        </w:r>
        <w:r>
          <w:rPr>
            <w:noProof/>
            <w:webHidden/>
          </w:rPr>
          <w:fldChar w:fldCharType="begin"/>
        </w:r>
        <w:r>
          <w:rPr>
            <w:noProof/>
            <w:webHidden/>
          </w:rPr>
          <w:instrText xml:space="preserve"> PAGEREF _Toc233203332 \h </w:instrText>
        </w:r>
        <w:r>
          <w:rPr>
            <w:noProof/>
            <w:webHidden/>
          </w:rPr>
        </w:r>
        <w:r>
          <w:rPr>
            <w:noProof/>
            <w:webHidden/>
          </w:rPr>
          <w:fldChar w:fldCharType="separate"/>
        </w:r>
        <w:r>
          <w:rPr>
            <w:noProof/>
            <w:webHidden/>
          </w:rPr>
          <w:t>21</w:t>
        </w:r>
        <w:r>
          <w:rPr>
            <w:noProof/>
            <w:webHidden/>
          </w:rPr>
          <w:fldChar w:fldCharType="end"/>
        </w:r>
      </w:hyperlink>
    </w:p>
    <w:p w14:paraId="2115E8C9" w14:textId="216446AF"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33" w:history="1">
        <w:r w:rsidRPr="00137E15">
          <w:rPr>
            <w:rStyle w:val="Hipercze"/>
            <w:noProof/>
          </w:rPr>
          <w:t>Rys. 12. Czas podejmowania decyzji w krajach Europejskiego Obszaru Gospodarczego, krajach tzw. „Starej Unii”  i krajach Europy Środkowo-Wschodniej (zamówienia o wartości równej lub przekraczającej progi unijne)</w:t>
        </w:r>
        <w:r>
          <w:rPr>
            <w:noProof/>
            <w:webHidden/>
          </w:rPr>
          <w:tab/>
        </w:r>
        <w:r>
          <w:rPr>
            <w:noProof/>
            <w:webHidden/>
          </w:rPr>
          <w:fldChar w:fldCharType="begin"/>
        </w:r>
        <w:r>
          <w:rPr>
            <w:noProof/>
            <w:webHidden/>
          </w:rPr>
          <w:instrText xml:space="preserve"> PAGEREF _Toc233203333 \h </w:instrText>
        </w:r>
        <w:r>
          <w:rPr>
            <w:noProof/>
            <w:webHidden/>
          </w:rPr>
        </w:r>
        <w:r>
          <w:rPr>
            <w:noProof/>
            <w:webHidden/>
          </w:rPr>
          <w:fldChar w:fldCharType="separate"/>
        </w:r>
        <w:r>
          <w:rPr>
            <w:noProof/>
            <w:webHidden/>
          </w:rPr>
          <w:t>23</w:t>
        </w:r>
        <w:r>
          <w:rPr>
            <w:noProof/>
            <w:webHidden/>
          </w:rPr>
          <w:fldChar w:fldCharType="end"/>
        </w:r>
      </w:hyperlink>
    </w:p>
    <w:p w14:paraId="609028CE" w14:textId="36353A08"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34" w:history="1">
        <w:r w:rsidRPr="00137E15">
          <w:rPr>
            <w:rStyle w:val="Hipercze"/>
            <w:noProof/>
          </w:rPr>
          <w:t>Rys. 13. Czas podejmowania decyzji w krajach Europejskiego Obszaru Gospodarczego, krajach tzw. „Starej Unii”  i krajach Europy Środkowo-Wschodniej w podziale na rodzaj zamówienia (zamówienia o wartości równej lub przekraczającej progi unijne)</w:t>
        </w:r>
        <w:r>
          <w:rPr>
            <w:noProof/>
            <w:webHidden/>
          </w:rPr>
          <w:tab/>
        </w:r>
        <w:r>
          <w:rPr>
            <w:noProof/>
            <w:webHidden/>
          </w:rPr>
          <w:fldChar w:fldCharType="begin"/>
        </w:r>
        <w:r>
          <w:rPr>
            <w:noProof/>
            <w:webHidden/>
          </w:rPr>
          <w:instrText xml:space="preserve"> PAGEREF _Toc233203334 \h </w:instrText>
        </w:r>
        <w:r>
          <w:rPr>
            <w:noProof/>
            <w:webHidden/>
          </w:rPr>
        </w:r>
        <w:r>
          <w:rPr>
            <w:noProof/>
            <w:webHidden/>
          </w:rPr>
          <w:fldChar w:fldCharType="separate"/>
        </w:r>
        <w:r>
          <w:rPr>
            <w:noProof/>
            <w:webHidden/>
          </w:rPr>
          <w:t>23</w:t>
        </w:r>
        <w:r>
          <w:rPr>
            <w:noProof/>
            <w:webHidden/>
          </w:rPr>
          <w:fldChar w:fldCharType="end"/>
        </w:r>
      </w:hyperlink>
    </w:p>
    <w:p w14:paraId="157A531C" w14:textId="3A965215"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35" w:history="1">
        <w:r w:rsidRPr="00137E15">
          <w:rPr>
            <w:rStyle w:val="Hipercze"/>
            <w:noProof/>
          </w:rPr>
          <w:t>Rys. 14. Odsetek zamówień udzielanych w oparciu o cenę i inne kryteria oceny ofert</w:t>
        </w:r>
        <w:r>
          <w:rPr>
            <w:noProof/>
            <w:webHidden/>
          </w:rPr>
          <w:tab/>
        </w:r>
        <w:r>
          <w:rPr>
            <w:noProof/>
            <w:webHidden/>
          </w:rPr>
          <w:fldChar w:fldCharType="begin"/>
        </w:r>
        <w:r>
          <w:rPr>
            <w:noProof/>
            <w:webHidden/>
          </w:rPr>
          <w:instrText xml:space="preserve"> PAGEREF _Toc233203335 \h </w:instrText>
        </w:r>
        <w:r>
          <w:rPr>
            <w:noProof/>
            <w:webHidden/>
          </w:rPr>
        </w:r>
        <w:r>
          <w:rPr>
            <w:noProof/>
            <w:webHidden/>
          </w:rPr>
          <w:fldChar w:fldCharType="separate"/>
        </w:r>
        <w:r>
          <w:rPr>
            <w:noProof/>
            <w:webHidden/>
          </w:rPr>
          <w:t>24</w:t>
        </w:r>
        <w:r>
          <w:rPr>
            <w:noProof/>
            <w:webHidden/>
          </w:rPr>
          <w:fldChar w:fldCharType="end"/>
        </w:r>
      </w:hyperlink>
    </w:p>
    <w:p w14:paraId="10D31EB5" w14:textId="10D76F74"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36" w:history="1">
        <w:r w:rsidRPr="00137E15">
          <w:rPr>
            <w:rStyle w:val="Hipercze"/>
            <w:noProof/>
          </w:rPr>
          <w:t>Rys. 15. Odsetek najczęściej stosowanych kryteriów pozacenowych</w:t>
        </w:r>
        <w:r>
          <w:rPr>
            <w:noProof/>
            <w:webHidden/>
          </w:rPr>
          <w:tab/>
        </w:r>
        <w:r>
          <w:rPr>
            <w:noProof/>
            <w:webHidden/>
          </w:rPr>
          <w:fldChar w:fldCharType="begin"/>
        </w:r>
        <w:r>
          <w:rPr>
            <w:noProof/>
            <w:webHidden/>
          </w:rPr>
          <w:instrText xml:space="preserve"> PAGEREF _Toc233203336 \h </w:instrText>
        </w:r>
        <w:r>
          <w:rPr>
            <w:noProof/>
            <w:webHidden/>
          </w:rPr>
        </w:r>
        <w:r>
          <w:rPr>
            <w:noProof/>
            <w:webHidden/>
          </w:rPr>
          <w:fldChar w:fldCharType="separate"/>
        </w:r>
        <w:r>
          <w:rPr>
            <w:noProof/>
            <w:webHidden/>
          </w:rPr>
          <w:t>25</w:t>
        </w:r>
        <w:r>
          <w:rPr>
            <w:noProof/>
            <w:webHidden/>
          </w:rPr>
          <w:fldChar w:fldCharType="end"/>
        </w:r>
      </w:hyperlink>
    </w:p>
    <w:p w14:paraId="0E4DCED0" w14:textId="021ECBD0"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37" w:history="1">
        <w:r w:rsidRPr="00137E15">
          <w:rPr>
            <w:rStyle w:val="Hipercze"/>
            <w:noProof/>
          </w:rPr>
          <w:t>Rys. 16. Średnia liczba składanych ofert (postępowania o wartości mniejszej niż progi unijne i równej lub przekraczającej progi unijne)</w:t>
        </w:r>
        <w:r>
          <w:rPr>
            <w:noProof/>
            <w:webHidden/>
          </w:rPr>
          <w:tab/>
        </w:r>
        <w:r>
          <w:rPr>
            <w:noProof/>
            <w:webHidden/>
          </w:rPr>
          <w:fldChar w:fldCharType="begin"/>
        </w:r>
        <w:r>
          <w:rPr>
            <w:noProof/>
            <w:webHidden/>
          </w:rPr>
          <w:instrText xml:space="preserve"> PAGEREF _Toc233203337 \h </w:instrText>
        </w:r>
        <w:r>
          <w:rPr>
            <w:noProof/>
            <w:webHidden/>
          </w:rPr>
        </w:r>
        <w:r>
          <w:rPr>
            <w:noProof/>
            <w:webHidden/>
          </w:rPr>
          <w:fldChar w:fldCharType="separate"/>
        </w:r>
        <w:r>
          <w:rPr>
            <w:noProof/>
            <w:webHidden/>
          </w:rPr>
          <w:t>26</w:t>
        </w:r>
        <w:r>
          <w:rPr>
            <w:noProof/>
            <w:webHidden/>
          </w:rPr>
          <w:fldChar w:fldCharType="end"/>
        </w:r>
      </w:hyperlink>
    </w:p>
    <w:p w14:paraId="5A03B8DC" w14:textId="3CFCC8B8"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38" w:history="1">
        <w:r w:rsidRPr="00137E15">
          <w:rPr>
            <w:rStyle w:val="Hipercze"/>
            <w:noProof/>
          </w:rPr>
          <w:t>Rys. 17. Średnia liczba składanych ofert (postępowania o wartości mniejszej niż progi unijne)</w:t>
        </w:r>
        <w:r>
          <w:rPr>
            <w:noProof/>
            <w:webHidden/>
          </w:rPr>
          <w:tab/>
        </w:r>
        <w:r>
          <w:rPr>
            <w:noProof/>
            <w:webHidden/>
          </w:rPr>
          <w:fldChar w:fldCharType="begin"/>
        </w:r>
        <w:r>
          <w:rPr>
            <w:noProof/>
            <w:webHidden/>
          </w:rPr>
          <w:instrText xml:space="preserve"> PAGEREF _Toc233203338 \h </w:instrText>
        </w:r>
        <w:r>
          <w:rPr>
            <w:noProof/>
            <w:webHidden/>
          </w:rPr>
        </w:r>
        <w:r>
          <w:rPr>
            <w:noProof/>
            <w:webHidden/>
          </w:rPr>
          <w:fldChar w:fldCharType="separate"/>
        </w:r>
        <w:r>
          <w:rPr>
            <w:noProof/>
            <w:webHidden/>
          </w:rPr>
          <w:t>27</w:t>
        </w:r>
        <w:r>
          <w:rPr>
            <w:noProof/>
            <w:webHidden/>
          </w:rPr>
          <w:fldChar w:fldCharType="end"/>
        </w:r>
      </w:hyperlink>
    </w:p>
    <w:p w14:paraId="5BD7ABB5" w14:textId="7BE31FB0"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39" w:history="1">
        <w:r w:rsidRPr="00137E15">
          <w:rPr>
            <w:rStyle w:val="Hipercze"/>
            <w:noProof/>
          </w:rPr>
          <w:t>Rys. 18. Średnia liczba składanych ofert (postępowania o wartości równej lub przekraczającej progi unijne)</w:t>
        </w:r>
        <w:r>
          <w:rPr>
            <w:noProof/>
            <w:webHidden/>
          </w:rPr>
          <w:tab/>
        </w:r>
        <w:r>
          <w:rPr>
            <w:noProof/>
            <w:webHidden/>
          </w:rPr>
          <w:fldChar w:fldCharType="begin"/>
        </w:r>
        <w:r>
          <w:rPr>
            <w:noProof/>
            <w:webHidden/>
          </w:rPr>
          <w:instrText xml:space="preserve"> PAGEREF _Toc233203339 \h </w:instrText>
        </w:r>
        <w:r>
          <w:rPr>
            <w:noProof/>
            <w:webHidden/>
          </w:rPr>
        </w:r>
        <w:r>
          <w:rPr>
            <w:noProof/>
            <w:webHidden/>
          </w:rPr>
          <w:fldChar w:fldCharType="separate"/>
        </w:r>
        <w:r>
          <w:rPr>
            <w:noProof/>
            <w:webHidden/>
          </w:rPr>
          <w:t>28</w:t>
        </w:r>
        <w:r>
          <w:rPr>
            <w:noProof/>
            <w:webHidden/>
          </w:rPr>
          <w:fldChar w:fldCharType="end"/>
        </w:r>
      </w:hyperlink>
    </w:p>
    <w:p w14:paraId="7BE32C25" w14:textId="6F30C3F3"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40" w:history="1">
        <w:r w:rsidRPr="00137E15">
          <w:rPr>
            <w:rStyle w:val="Hipercze"/>
            <w:noProof/>
          </w:rPr>
          <w:t>Rys. 19. Odsetek unieważnionych postępowań o udzielenie zamówienia publicznego (postępowania o wartości mniejszej niż progi unijne)</w:t>
        </w:r>
        <w:r>
          <w:rPr>
            <w:noProof/>
            <w:webHidden/>
          </w:rPr>
          <w:tab/>
        </w:r>
        <w:r>
          <w:rPr>
            <w:noProof/>
            <w:webHidden/>
          </w:rPr>
          <w:fldChar w:fldCharType="begin"/>
        </w:r>
        <w:r>
          <w:rPr>
            <w:noProof/>
            <w:webHidden/>
          </w:rPr>
          <w:instrText xml:space="preserve"> PAGEREF _Toc233203340 \h </w:instrText>
        </w:r>
        <w:r>
          <w:rPr>
            <w:noProof/>
            <w:webHidden/>
          </w:rPr>
        </w:r>
        <w:r>
          <w:rPr>
            <w:noProof/>
            <w:webHidden/>
          </w:rPr>
          <w:fldChar w:fldCharType="separate"/>
        </w:r>
        <w:r>
          <w:rPr>
            <w:noProof/>
            <w:webHidden/>
          </w:rPr>
          <w:t>29</w:t>
        </w:r>
        <w:r>
          <w:rPr>
            <w:noProof/>
            <w:webHidden/>
          </w:rPr>
          <w:fldChar w:fldCharType="end"/>
        </w:r>
      </w:hyperlink>
    </w:p>
    <w:p w14:paraId="55218F23" w14:textId="712F9412"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41" w:history="1">
        <w:r w:rsidRPr="00137E15">
          <w:rPr>
            <w:rStyle w:val="Hipercze"/>
            <w:noProof/>
          </w:rPr>
          <w:t>Rys. 20. Struktura zastosowanych podstaw unieważnienia postępowania o udzielenie zamówienia (postępowania o wartości mniejszej niż progi unijne)</w:t>
        </w:r>
        <w:r>
          <w:rPr>
            <w:noProof/>
            <w:webHidden/>
          </w:rPr>
          <w:tab/>
        </w:r>
        <w:r>
          <w:rPr>
            <w:noProof/>
            <w:webHidden/>
          </w:rPr>
          <w:fldChar w:fldCharType="begin"/>
        </w:r>
        <w:r>
          <w:rPr>
            <w:noProof/>
            <w:webHidden/>
          </w:rPr>
          <w:instrText xml:space="preserve"> PAGEREF _Toc233203341 \h </w:instrText>
        </w:r>
        <w:r>
          <w:rPr>
            <w:noProof/>
            <w:webHidden/>
          </w:rPr>
        </w:r>
        <w:r>
          <w:rPr>
            <w:noProof/>
            <w:webHidden/>
          </w:rPr>
          <w:fldChar w:fldCharType="separate"/>
        </w:r>
        <w:r>
          <w:rPr>
            <w:noProof/>
            <w:webHidden/>
          </w:rPr>
          <w:t>30</w:t>
        </w:r>
        <w:r>
          <w:rPr>
            <w:noProof/>
            <w:webHidden/>
          </w:rPr>
          <w:fldChar w:fldCharType="end"/>
        </w:r>
      </w:hyperlink>
    </w:p>
    <w:p w14:paraId="037D09C2" w14:textId="1DFEC4F3"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42" w:history="1">
        <w:r w:rsidRPr="00137E15">
          <w:rPr>
            <w:rStyle w:val="Hipercze"/>
            <w:noProof/>
          </w:rPr>
          <w:t>Rys. 21. Przesłanki unieważnienia postępowania w zależności od rodzaju zamówienia (postępowania o wartości mniejszej niż progi unijne)</w:t>
        </w:r>
        <w:r>
          <w:rPr>
            <w:noProof/>
            <w:webHidden/>
          </w:rPr>
          <w:tab/>
        </w:r>
        <w:r>
          <w:rPr>
            <w:noProof/>
            <w:webHidden/>
          </w:rPr>
          <w:fldChar w:fldCharType="begin"/>
        </w:r>
        <w:r>
          <w:rPr>
            <w:noProof/>
            <w:webHidden/>
          </w:rPr>
          <w:instrText xml:space="preserve"> PAGEREF _Toc233203342 \h </w:instrText>
        </w:r>
        <w:r>
          <w:rPr>
            <w:noProof/>
            <w:webHidden/>
          </w:rPr>
        </w:r>
        <w:r>
          <w:rPr>
            <w:noProof/>
            <w:webHidden/>
          </w:rPr>
          <w:fldChar w:fldCharType="separate"/>
        </w:r>
        <w:r>
          <w:rPr>
            <w:noProof/>
            <w:webHidden/>
          </w:rPr>
          <w:t>31</w:t>
        </w:r>
        <w:r>
          <w:rPr>
            <w:noProof/>
            <w:webHidden/>
          </w:rPr>
          <w:fldChar w:fldCharType="end"/>
        </w:r>
      </w:hyperlink>
    </w:p>
    <w:p w14:paraId="6EEC1B5C" w14:textId="296FBDB9"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43" w:history="1">
        <w:r w:rsidRPr="00137E15">
          <w:rPr>
            <w:rStyle w:val="Hipercze"/>
            <w:noProof/>
          </w:rPr>
          <w:t>Rys. 22. Odsetek liczby ofert składanych przez wykonawców z sektora MŚP (postępowania o wartości mniejszej niż progi unijne)</w:t>
        </w:r>
        <w:r>
          <w:rPr>
            <w:noProof/>
            <w:webHidden/>
          </w:rPr>
          <w:tab/>
        </w:r>
        <w:r>
          <w:rPr>
            <w:noProof/>
            <w:webHidden/>
          </w:rPr>
          <w:fldChar w:fldCharType="begin"/>
        </w:r>
        <w:r>
          <w:rPr>
            <w:noProof/>
            <w:webHidden/>
          </w:rPr>
          <w:instrText xml:space="preserve"> PAGEREF _Toc233203343 \h </w:instrText>
        </w:r>
        <w:r>
          <w:rPr>
            <w:noProof/>
            <w:webHidden/>
          </w:rPr>
        </w:r>
        <w:r>
          <w:rPr>
            <w:noProof/>
            <w:webHidden/>
          </w:rPr>
          <w:fldChar w:fldCharType="separate"/>
        </w:r>
        <w:r>
          <w:rPr>
            <w:noProof/>
            <w:webHidden/>
          </w:rPr>
          <w:t>32</w:t>
        </w:r>
        <w:r>
          <w:rPr>
            <w:noProof/>
            <w:webHidden/>
          </w:rPr>
          <w:fldChar w:fldCharType="end"/>
        </w:r>
      </w:hyperlink>
    </w:p>
    <w:p w14:paraId="72E287FD" w14:textId="5145698E"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44" w:history="1">
        <w:r w:rsidRPr="00137E15">
          <w:rPr>
            <w:rStyle w:val="Hipercze"/>
            <w:noProof/>
          </w:rPr>
          <w:t>Rys. 23. Odsetek liczby ofert składanych przez wykonawców z sektora MŚP w podziale na rodzaj zamówienia (postępowania o wartości mniejszej niż progi unijne)</w:t>
        </w:r>
        <w:r>
          <w:rPr>
            <w:noProof/>
            <w:webHidden/>
          </w:rPr>
          <w:tab/>
        </w:r>
        <w:r>
          <w:rPr>
            <w:noProof/>
            <w:webHidden/>
          </w:rPr>
          <w:fldChar w:fldCharType="begin"/>
        </w:r>
        <w:r>
          <w:rPr>
            <w:noProof/>
            <w:webHidden/>
          </w:rPr>
          <w:instrText xml:space="preserve"> PAGEREF _Toc233203344 \h </w:instrText>
        </w:r>
        <w:r>
          <w:rPr>
            <w:noProof/>
            <w:webHidden/>
          </w:rPr>
        </w:r>
        <w:r>
          <w:rPr>
            <w:noProof/>
            <w:webHidden/>
          </w:rPr>
          <w:fldChar w:fldCharType="separate"/>
        </w:r>
        <w:r>
          <w:rPr>
            <w:noProof/>
            <w:webHidden/>
          </w:rPr>
          <w:t>32</w:t>
        </w:r>
        <w:r>
          <w:rPr>
            <w:noProof/>
            <w:webHidden/>
          </w:rPr>
          <w:fldChar w:fldCharType="end"/>
        </w:r>
      </w:hyperlink>
    </w:p>
    <w:p w14:paraId="7787E094" w14:textId="20716FA3"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45" w:history="1">
        <w:r w:rsidRPr="00137E15">
          <w:rPr>
            <w:rStyle w:val="Hipercze"/>
            <w:noProof/>
          </w:rPr>
          <w:t>Rys. 24. Odsetek liczby i wartości zamówień udzielonych wykonawcom z sektora MŚP (postępowania o wartości mniejszej niż progi unijne)</w:t>
        </w:r>
        <w:r>
          <w:rPr>
            <w:noProof/>
            <w:webHidden/>
          </w:rPr>
          <w:tab/>
        </w:r>
        <w:r>
          <w:rPr>
            <w:noProof/>
            <w:webHidden/>
          </w:rPr>
          <w:fldChar w:fldCharType="begin"/>
        </w:r>
        <w:r>
          <w:rPr>
            <w:noProof/>
            <w:webHidden/>
          </w:rPr>
          <w:instrText xml:space="preserve"> PAGEREF _Toc233203345 \h </w:instrText>
        </w:r>
        <w:r>
          <w:rPr>
            <w:noProof/>
            <w:webHidden/>
          </w:rPr>
        </w:r>
        <w:r>
          <w:rPr>
            <w:noProof/>
            <w:webHidden/>
          </w:rPr>
          <w:fldChar w:fldCharType="separate"/>
        </w:r>
        <w:r>
          <w:rPr>
            <w:noProof/>
            <w:webHidden/>
          </w:rPr>
          <w:t>33</w:t>
        </w:r>
        <w:r>
          <w:rPr>
            <w:noProof/>
            <w:webHidden/>
          </w:rPr>
          <w:fldChar w:fldCharType="end"/>
        </w:r>
      </w:hyperlink>
    </w:p>
    <w:p w14:paraId="32BF8EB8" w14:textId="2ECBF673"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46" w:history="1">
        <w:r w:rsidRPr="00137E15">
          <w:rPr>
            <w:rStyle w:val="Hipercze"/>
            <w:noProof/>
          </w:rPr>
          <w:t>Rys. 25. Odsetek liczby ofert składanych przez wykonawców z sektora MŚP (postępowania o wartości równej lub przekraczającej progi unijne)</w:t>
        </w:r>
        <w:r>
          <w:rPr>
            <w:noProof/>
            <w:webHidden/>
          </w:rPr>
          <w:tab/>
        </w:r>
        <w:r>
          <w:rPr>
            <w:noProof/>
            <w:webHidden/>
          </w:rPr>
          <w:fldChar w:fldCharType="begin"/>
        </w:r>
        <w:r>
          <w:rPr>
            <w:noProof/>
            <w:webHidden/>
          </w:rPr>
          <w:instrText xml:space="preserve"> PAGEREF _Toc233203346 \h </w:instrText>
        </w:r>
        <w:r>
          <w:rPr>
            <w:noProof/>
            <w:webHidden/>
          </w:rPr>
        </w:r>
        <w:r>
          <w:rPr>
            <w:noProof/>
            <w:webHidden/>
          </w:rPr>
          <w:fldChar w:fldCharType="separate"/>
        </w:r>
        <w:r>
          <w:rPr>
            <w:noProof/>
            <w:webHidden/>
          </w:rPr>
          <w:t>34</w:t>
        </w:r>
        <w:r>
          <w:rPr>
            <w:noProof/>
            <w:webHidden/>
          </w:rPr>
          <w:fldChar w:fldCharType="end"/>
        </w:r>
      </w:hyperlink>
    </w:p>
    <w:p w14:paraId="79D2F38B" w14:textId="024C8843"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47" w:history="1">
        <w:r w:rsidRPr="00137E15">
          <w:rPr>
            <w:rStyle w:val="Hipercze"/>
            <w:noProof/>
          </w:rPr>
          <w:t>Rys. 26. Odsetek liczby ofert składanych przez wykonawców z sektora MŚP w podziale na rodzaj zamówienia (postępowania o wartości równej lub przekraczającej progi unijne)</w:t>
        </w:r>
        <w:r>
          <w:rPr>
            <w:noProof/>
            <w:webHidden/>
          </w:rPr>
          <w:tab/>
        </w:r>
        <w:r>
          <w:rPr>
            <w:noProof/>
            <w:webHidden/>
          </w:rPr>
          <w:fldChar w:fldCharType="begin"/>
        </w:r>
        <w:r>
          <w:rPr>
            <w:noProof/>
            <w:webHidden/>
          </w:rPr>
          <w:instrText xml:space="preserve"> PAGEREF _Toc233203347 \h </w:instrText>
        </w:r>
        <w:r>
          <w:rPr>
            <w:noProof/>
            <w:webHidden/>
          </w:rPr>
        </w:r>
        <w:r>
          <w:rPr>
            <w:noProof/>
            <w:webHidden/>
          </w:rPr>
          <w:fldChar w:fldCharType="separate"/>
        </w:r>
        <w:r>
          <w:rPr>
            <w:noProof/>
            <w:webHidden/>
          </w:rPr>
          <w:t>34</w:t>
        </w:r>
        <w:r>
          <w:rPr>
            <w:noProof/>
            <w:webHidden/>
          </w:rPr>
          <w:fldChar w:fldCharType="end"/>
        </w:r>
      </w:hyperlink>
    </w:p>
    <w:p w14:paraId="2CD61F5F" w14:textId="241F45C0"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48" w:history="1">
        <w:r w:rsidRPr="00137E15">
          <w:rPr>
            <w:rStyle w:val="Hipercze"/>
            <w:noProof/>
          </w:rPr>
          <w:t>Rys. 27. Odsetek liczby i wartości zamówień udzielonych wykonawcom z sektora MŚP (postępowania o wartości równej lub przekraczającej progi unijne)</w:t>
        </w:r>
        <w:r>
          <w:rPr>
            <w:noProof/>
            <w:webHidden/>
          </w:rPr>
          <w:tab/>
        </w:r>
        <w:r>
          <w:rPr>
            <w:noProof/>
            <w:webHidden/>
          </w:rPr>
          <w:fldChar w:fldCharType="begin"/>
        </w:r>
        <w:r>
          <w:rPr>
            <w:noProof/>
            <w:webHidden/>
          </w:rPr>
          <w:instrText xml:space="preserve"> PAGEREF _Toc233203348 \h </w:instrText>
        </w:r>
        <w:r>
          <w:rPr>
            <w:noProof/>
            <w:webHidden/>
          </w:rPr>
        </w:r>
        <w:r>
          <w:rPr>
            <w:noProof/>
            <w:webHidden/>
          </w:rPr>
          <w:fldChar w:fldCharType="separate"/>
        </w:r>
        <w:r>
          <w:rPr>
            <w:noProof/>
            <w:webHidden/>
          </w:rPr>
          <w:t>35</w:t>
        </w:r>
        <w:r>
          <w:rPr>
            <w:noProof/>
            <w:webHidden/>
          </w:rPr>
          <w:fldChar w:fldCharType="end"/>
        </w:r>
      </w:hyperlink>
    </w:p>
    <w:p w14:paraId="2D7E4D5D" w14:textId="27A01617"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49" w:history="1">
        <w:r w:rsidRPr="00137E15">
          <w:rPr>
            <w:rStyle w:val="Hipercze"/>
            <w:noProof/>
          </w:rPr>
          <w:t>Rys. 28. Liczba wniesionych odwołań w latach 2021–2025 w podziale na rodzaj zamówienia oraz ogółem</w:t>
        </w:r>
        <w:r>
          <w:rPr>
            <w:noProof/>
            <w:webHidden/>
          </w:rPr>
          <w:tab/>
        </w:r>
        <w:r>
          <w:rPr>
            <w:noProof/>
            <w:webHidden/>
          </w:rPr>
          <w:fldChar w:fldCharType="begin"/>
        </w:r>
        <w:r>
          <w:rPr>
            <w:noProof/>
            <w:webHidden/>
          </w:rPr>
          <w:instrText xml:space="preserve"> PAGEREF _Toc233203349 \h </w:instrText>
        </w:r>
        <w:r>
          <w:rPr>
            <w:noProof/>
            <w:webHidden/>
          </w:rPr>
        </w:r>
        <w:r>
          <w:rPr>
            <w:noProof/>
            <w:webHidden/>
          </w:rPr>
          <w:fldChar w:fldCharType="separate"/>
        </w:r>
        <w:r>
          <w:rPr>
            <w:noProof/>
            <w:webHidden/>
          </w:rPr>
          <w:t>36</w:t>
        </w:r>
        <w:r>
          <w:rPr>
            <w:noProof/>
            <w:webHidden/>
          </w:rPr>
          <w:fldChar w:fldCharType="end"/>
        </w:r>
      </w:hyperlink>
    </w:p>
    <w:p w14:paraId="616AB80F" w14:textId="72B683E5"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50" w:history="1">
        <w:r w:rsidRPr="00137E15">
          <w:rPr>
            <w:rStyle w:val="Hipercze"/>
            <w:noProof/>
          </w:rPr>
          <w:t>Rys. 29. Liczba zamówień, w których zastosowano odpowiednie aspekty społeczne</w:t>
        </w:r>
        <w:r>
          <w:rPr>
            <w:noProof/>
            <w:webHidden/>
          </w:rPr>
          <w:tab/>
        </w:r>
        <w:r>
          <w:rPr>
            <w:noProof/>
            <w:webHidden/>
          </w:rPr>
          <w:fldChar w:fldCharType="begin"/>
        </w:r>
        <w:r>
          <w:rPr>
            <w:noProof/>
            <w:webHidden/>
          </w:rPr>
          <w:instrText xml:space="preserve"> PAGEREF _Toc233203350 \h </w:instrText>
        </w:r>
        <w:r>
          <w:rPr>
            <w:noProof/>
            <w:webHidden/>
          </w:rPr>
        </w:r>
        <w:r>
          <w:rPr>
            <w:noProof/>
            <w:webHidden/>
          </w:rPr>
          <w:fldChar w:fldCharType="separate"/>
        </w:r>
        <w:r>
          <w:rPr>
            <w:noProof/>
            <w:webHidden/>
          </w:rPr>
          <w:t>44</w:t>
        </w:r>
        <w:r>
          <w:rPr>
            <w:noProof/>
            <w:webHidden/>
          </w:rPr>
          <w:fldChar w:fldCharType="end"/>
        </w:r>
      </w:hyperlink>
    </w:p>
    <w:p w14:paraId="5623F808" w14:textId="0B7266F0"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51" w:history="1">
        <w:r w:rsidRPr="00137E15">
          <w:rPr>
            <w:rStyle w:val="Hipercze"/>
            <w:noProof/>
          </w:rPr>
          <w:t>Rys. 30. Wartość zamówień, w których zastosowano odpowiednie aspekty społeczne</w:t>
        </w:r>
        <w:r>
          <w:rPr>
            <w:noProof/>
            <w:webHidden/>
          </w:rPr>
          <w:tab/>
        </w:r>
        <w:r>
          <w:rPr>
            <w:noProof/>
            <w:webHidden/>
          </w:rPr>
          <w:fldChar w:fldCharType="begin"/>
        </w:r>
        <w:r>
          <w:rPr>
            <w:noProof/>
            <w:webHidden/>
          </w:rPr>
          <w:instrText xml:space="preserve"> PAGEREF _Toc233203351 \h </w:instrText>
        </w:r>
        <w:r>
          <w:rPr>
            <w:noProof/>
            <w:webHidden/>
          </w:rPr>
        </w:r>
        <w:r>
          <w:rPr>
            <w:noProof/>
            <w:webHidden/>
          </w:rPr>
          <w:fldChar w:fldCharType="separate"/>
        </w:r>
        <w:r>
          <w:rPr>
            <w:noProof/>
            <w:webHidden/>
          </w:rPr>
          <w:t>45</w:t>
        </w:r>
        <w:r>
          <w:rPr>
            <w:noProof/>
            <w:webHidden/>
          </w:rPr>
          <w:fldChar w:fldCharType="end"/>
        </w:r>
      </w:hyperlink>
    </w:p>
    <w:p w14:paraId="3CEF29EA" w14:textId="3C061AC0"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52" w:history="1">
        <w:r w:rsidRPr="00137E15">
          <w:rPr>
            <w:rStyle w:val="Hipercze"/>
            <w:noProof/>
          </w:rPr>
          <w:t>Rys. 31. Liczba zamówień, w których zastosowano odpowiednie aspekty środowiskowe</w:t>
        </w:r>
        <w:r>
          <w:rPr>
            <w:noProof/>
            <w:webHidden/>
          </w:rPr>
          <w:tab/>
        </w:r>
        <w:r>
          <w:rPr>
            <w:noProof/>
            <w:webHidden/>
          </w:rPr>
          <w:fldChar w:fldCharType="begin"/>
        </w:r>
        <w:r>
          <w:rPr>
            <w:noProof/>
            <w:webHidden/>
          </w:rPr>
          <w:instrText xml:space="preserve"> PAGEREF _Toc233203352 \h </w:instrText>
        </w:r>
        <w:r>
          <w:rPr>
            <w:noProof/>
            <w:webHidden/>
          </w:rPr>
        </w:r>
        <w:r>
          <w:rPr>
            <w:noProof/>
            <w:webHidden/>
          </w:rPr>
          <w:fldChar w:fldCharType="separate"/>
        </w:r>
        <w:r>
          <w:rPr>
            <w:noProof/>
            <w:webHidden/>
          </w:rPr>
          <w:t>50</w:t>
        </w:r>
        <w:r>
          <w:rPr>
            <w:noProof/>
            <w:webHidden/>
          </w:rPr>
          <w:fldChar w:fldCharType="end"/>
        </w:r>
      </w:hyperlink>
    </w:p>
    <w:p w14:paraId="3E27DC23" w14:textId="4B9933A2"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53" w:history="1">
        <w:r w:rsidRPr="00137E15">
          <w:rPr>
            <w:rStyle w:val="Hipercze"/>
            <w:noProof/>
          </w:rPr>
          <w:t>Rys. 32. Wartość zamówień, w których zastosowano odpowiednie aspekty środowiskowe</w:t>
        </w:r>
        <w:r>
          <w:rPr>
            <w:noProof/>
            <w:webHidden/>
          </w:rPr>
          <w:tab/>
        </w:r>
        <w:r>
          <w:rPr>
            <w:noProof/>
            <w:webHidden/>
          </w:rPr>
          <w:fldChar w:fldCharType="begin"/>
        </w:r>
        <w:r>
          <w:rPr>
            <w:noProof/>
            <w:webHidden/>
          </w:rPr>
          <w:instrText xml:space="preserve"> PAGEREF _Toc233203353 \h </w:instrText>
        </w:r>
        <w:r>
          <w:rPr>
            <w:noProof/>
            <w:webHidden/>
          </w:rPr>
        </w:r>
        <w:r>
          <w:rPr>
            <w:noProof/>
            <w:webHidden/>
          </w:rPr>
          <w:fldChar w:fldCharType="separate"/>
        </w:r>
        <w:r>
          <w:rPr>
            <w:noProof/>
            <w:webHidden/>
          </w:rPr>
          <w:t>51</w:t>
        </w:r>
        <w:r>
          <w:rPr>
            <w:noProof/>
            <w:webHidden/>
          </w:rPr>
          <w:fldChar w:fldCharType="end"/>
        </w:r>
      </w:hyperlink>
    </w:p>
    <w:p w14:paraId="1A34F44C" w14:textId="3DD97416"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54" w:history="1">
        <w:r w:rsidRPr="00137E15">
          <w:rPr>
            <w:rStyle w:val="Hipercze"/>
            <w:noProof/>
          </w:rPr>
          <w:t>Rys. 33. Liczba zamówień, w których zastosowano odpowiednie aspekty innowacyjne</w:t>
        </w:r>
        <w:r>
          <w:rPr>
            <w:noProof/>
            <w:webHidden/>
          </w:rPr>
          <w:tab/>
        </w:r>
        <w:r>
          <w:rPr>
            <w:noProof/>
            <w:webHidden/>
          </w:rPr>
          <w:fldChar w:fldCharType="begin"/>
        </w:r>
        <w:r>
          <w:rPr>
            <w:noProof/>
            <w:webHidden/>
          </w:rPr>
          <w:instrText xml:space="preserve"> PAGEREF _Toc233203354 \h </w:instrText>
        </w:r>
        <w:r>
          <w:rPr>
            <w:noProof/>
            <w:webHidden/>
          </w:rPr>
        </w:r>
        <w:r>
          <w:rPr>
            <w:noProof/>
            <w:webHidden/>
          </w:rPr>
          <w:fldChar w:fldCharType="separate"/>
        </w:r>
        <w:r>
          <w:rPr>
            <w:noProof/>
            <w:webHidden/>
          </w:rPr>
          <w:t>54</w:t>
        </w:r>
        <w:r>
          <w:rPr>
            <w:noProof/>
            <w:webHidden/>
          </w:rPr>
          <w:fldChar w:fldCharType="end"/>
        </w:r>
      </w:hyperlink>
    </w:p>
    <w:p w14:paraId="7C8CC951" w14:textId="03A7D20F"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55" w:history="1">
        <w:r w:rsidRPr="00137E15">
          <w:rPr>
            <w:rStyle w:val="Hipercze"/>
            <w:noProof/>
          </w:rPr>
          <w:t>Rys. 34. Wartość zamówień, w których zastosowano odpowiednie aspekty innowacyjne</w:t>
        </w:r>
        <w:r>
          <w:rPr>
            <w:noProof/>
            <w:webHidden/>
          </w:rPr>
          <w:tab/>
        </w:r>
        <w:r>
          <w:rPr>
            <w:noProof/>
            <w:webHidden/>
          </w:rPr>
          <w:fldChar w:fldCharType="begin"/>
        </w:r>
        <w:r>
          <w:rPr>
            <w:noProof/>
            <w:webHidden/>
          </w:rPr>
          <w:instrText xml:space="preserve"> PAGEREF _Toc233203355 \h </w:instrText>
        </w:r>
        <w:r>
          <w:rPr>
            <w:noProof/>
            <w:webHidden/>
          </w:rPr>
        </w:r>
        <w:r>
          <w:rPr>
            <w:noProof/>
            <w:webHidden/>
          </w:rPr>
          <w:fldChar w:fldCharType="separate"/>
        </w:r>
        <w:r>
          <w:rPr>
            <w:noProof/>
            <w:webHidden/>
          </w:rPr>
          <w:t>54</w:t>
        </w:r>
        <w:r>
          <w:rPr>
            <w:noProof/>
            <w:webHidden/>
          </w:rPr>
          <w:fldChar w:fldCharType="end"/>
        </w:r>
      </w:hyperlink>
    </w:p>
    <w:p w14:paraId="40143418" w14:textId="24B908F9"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56" w:history="1">
        <w:r w:rsidRPr="00137E15">
          <w:rPr>
            <w:rStyle w:val="Hipercze"/>
            <w:noProof/>
          </w:rPr>
          <w:t>Rys. 35. Liczba zamówień udzielonych przez jednostki administracji rządowej, w których zastosowano odpowiednie aspekty społeczne</w:t>
        </w:r>
        <w:r>
          <w:rPr>
            <w:noProof/>
            <w:webHidden/>
          </w:rPr>
          <w:tab/>
        </w:r>
        <w:r>
          <w:rPr>
            <w:noProof/>
            <w:webHidden/>
          </w:rPr>
          <w:fldChar w:fldCharType="begin"/>
        </w:r>
        <w:r>
          <w:rPr>
            <w:noProof/>
            <w:webHidden/>
          </w:rPr>
          <w:instrText xml:space="preserve"> PAGEREF _Toc233203356 \h </w:instrText>
        </w:r>
        <w:r>
          <w:rPr>
            <w:noProof/>
            <w:webHidden/>
          </w:rPr>
        </w:r>
        <w:r>
          <w:rPr>
            <w:noProof/>
            <w:webHidden/>
          </w:rPr>
          <w:fldChar w:fldCharType="separate"/>
        </w:r>
        <w:r>
          <w:rPr>
            <w:noProof/>
            <w:webHidden/>
          </w:rPr>
          <w:t>60</w:t>
        </w:r>
        <w:r>
          <w:rPr>
            <w:noProof/>
            <w:webHidden/>
          </w:rPr>
          <w:fldChar w:fldCharType="end"/>
        </w:r>
      </w:hyperlink>
    </w:p>
    <w:p w14:paraId="621F465F" w14:textId="1F0CA4CC"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57" w:history="1">
        <w:r w:rsidRPr="00137E15">
          <w:rPr>
            <w:rStyle w:val="Hipercze"/>
            <w:noProof/>
          </w:rPr>
          <w:t>Rys. 36. Wartość zamówień udzielonych przez jednostki administracji rządowej, w których zastosowano odpowiednie aspekty społeczne</w:t>
        </w:r>
        <w:r>
          <w:rPr>
            <w:noProof/>
            <w:webHidden/>
          </w:rPr>
          <w:tab/>
        </w:r>
        <w:r>
          <w:rPr>
            <w:noProof/>
            <w:webHidden/>
          </w:rPr>
          <w:fldChar w:fldCharType="begin"/>
        </w:r>
        <w:r>
          <w:rPr>
            <w:noProof/>
            <w:webHidden/>
          </w:rPr>
          <w:instrText xml:space="preserve"> PAGEREF _Toc233203357 \h </w:instrText>
        </w:r>
        <w:r>
          <w:rPr>
            <w:noProof/>
            <w:webHidden/>
          </w:rPr>
        </w:r>
        <w:r>
          <w:rPr>
            <w:noProof/>
            <w:webHidden/>
          </w:rPr>
          <w:fldChar w:fldCharType="separate"/>
        </w:r>
        <w:r>
          <w:rPr>
            <w:noProof/>
            <w:webHidden/>
          </w:rPr>
          <w:t>61</w:t>
        </w:r>
        <w:r>
          <w:rPr>
            <w:noProof/>
            <w:webHidden/>
          </w:rPr>
          <w:fldChar w:fldCharType="end"/>
        </w:r>
      </w:hyperlink>
    </w:p>
    <w:p w14:paraId="64DB998E" w14:textId="12E6F77B"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58" w:history="1">
        <w:r w:rsidRPr="00137E15">
          <w:rPr>
            <w:rStyle w:val="Hipercze"/>
            <w:noProof/>
          </w:rPr>
          <w:t>Rys. 37. Liczba zamówień udzielonych przez jednostki administracji rządowej, w których zastosowano odpowiednie aspekty środowiskowe</w:t>
        </w:r>
        <w:r>
          <w:rPr>
            <w:noProof/>
            <w:webHidden/>
          </w:rPr>
          <w:tab/>
        </w:r>
        <w:r>
          <w:rPr>
            <w:noProof/>
            <w:webHidden/>
          </w:rPr>
          <w:fldChar w:fldCharType="begin"/>
        </w:r>
        <w:r>
          <w:rPr>
            <w:noProof/>
            <w:webHidden/>
          </w:rPr>
          <w:instrText xml:space="preserve"> PAGEREF _Toc233203358 \h </w:instrText>
        </w:r>
        <w:r>
          <w:rPr>
            <w:noProof/>
            <w:webHidden/>
          </w:rPr>
        </w:r>
        <w:r>
          <w:rPr>
            <w:noProof/>
            <w:webHidden/>
          </w:rPr>
          <w:fldChar w:fldCharType="separate"/>
        </w:r>
        <w:r>
          <w:rPr>
            <w:noProof/>
            <w:webHidden/>
          </w:rPr>
          <w:t>66</w:t>
        </w:r>
        <w:r>
          <w:rPr>
            <w:noProof/>
            <w:webHidden/>
          </w:rPr>
          <w:fldChar w:fldCharType="end"/>
        </w:r>
      </w:hyperlink>
    </w:p>
    <w:p w14:paraId="579EBDC4" w14:textId="32FA4FB6"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59" w:history="1">
        <w:r w:rsidRPr="00137E15">
          <w:rPr>
            <w:rStyle w:val="Hipercze"/>
            <w:noProof/>
          </w:rPr>
          <w:t>Rys. 38. Wartość zamówień udzielonych przez jednostki administracji rządowej, w których zastosowano odpowiednie aspekty środowiskowe</w:t>
        </w:r>
        <w:r>
          <w:rPr>
            <w:noProof/>
            <w:webHidden/>
          </w:rPr>
          <w:tab/>
        </w:r>
        <w:r>
          <w:rPr>
            <w:noProof/>
            <w:webHidden/>
          </w:rPr>
          <w:fldChar w:fldCharType="begin"/>
        </w:r>
        <w:r>
          <w:rPr>
            <w:noProof/>
            <w:webHidden/>
          </w:rPr>
          <w:instrText xml:space="preserve"> PAGEREF _Toc233203359 \h </w:instrText>
        </w:r>
        <w:r>
          <w:rPr>
            <w:noProof/>
            <w:webHidden/>
          </w:rPr>
        </w:r>
        <w:r>
          <w:rPr>
            <w:noProof/>
            <w:webHidden/>
          </w:rPr>
          <w:fldChar w:fldCharType="separate"/>
        </w:r>
        <w:r>
          <w:rPr>
            <w:noProof/>
            <w:webHidden/>
          </w:rPr>
          <w:t>67</w:t>
        </w:r>
        <w:r>
          <w:rPr>
            <w:noProof/>
            <w:webHidden/>
          </w:rPr>
          <w:fldChar w:fldCharType="end"/>
        </w:r>
      </w:hyperlink>
    </w:p>
    <w:p w14:paraId="7FE2F898" w14:textId="1B0F8CE5"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60" w:history="1">
        <w:r w:rsidRPr="00137E15">
          <w:rPr>
            <w:rStyle w:val="Hipercze"/>
            <w:noProof/>
          </w:rPr>
          <w:t>Rys. 39. Liczba zamówień udzielonych przez jednostki administracji rządowej, w których zastosowano odpowiednie aspekty innowacyjne</w:t>
        </w:r>
        <w:r>
          <w:rPr>
            <w:noProof/>
            <w:webHidden/>
          </w:rPr>
          <w:tab/>
        </w:r>
        <w:r>
          <w:rPr>
            <w:noProof/>
            <w:webHidden/>
          </w:rPr>
          <w:fldChar w:fldCharType="begin"/>
        </w:r>
        <w:r>
          <w:rPr>
            <w:noProof/>
            <w:webHidden/>
          </w:rPr>
          <w:instrText xml:space="preserve"> PAGEREF _Toc233203360 \h </w:instrText>
        </w:r>
        <w:r>
          <w:rPr>
            <w:noProof/>
            <w:webHidden/>
          </w:rPr>
        </w:r>
        <w:r>
          <w:rPr>
            <w:noProof/>
            <w:webHidden/>
          </w:rPr>
          <w:fldChar w:fldCharType="separate"/>
        </w:r>
        <w:r>
          <w:rPr>
            <w:noProof/>
            <w:webHidden/>
          </w:rPr>
          <w:t>70</w:t>
        </w:r>
        <w:r>
          <w:rPr>
            <w:noProof/>
            <w:webHidden/>
          </w:rPr>
          <w:fldChar w:fldCharType="end"/>
        </w:r>
      </w:hyperlink>
    </w:p>
    <w:p w14:paraId="4167CABE" w14:textId="7F64CD17"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61" w:history="1">
        <w:r w:rsidRPr="00137E15">
          <w:rPr>
            <w:rStyle w:val="Hipercze"/>
            <w:noProof/>
          </w:rPr>
          <w:t>Rys. 40. Wartość zamówień udzielonych przez jednostki administracji rządowej, w których zastosowano odpowiednie aspekty innowacyjne</w:t>
        </w:r>
        <w:r>
          <w:rPr>
            <w:noProof/>
            <w:webHidden/>
          </w:rPr>
          <w:tab/>
        </w:r>
        <w:r>
          <w:rPr>
            <w:noProof/>
            <w:webHidden/>
          </w:rPr>
          <w:fldChar w:fldCharType="begin"/>
        </w:r>
        <w:r>
          <w:rPr>
            <w:noProof/>
            <w:webHidden/>
          </w:rPr>
          <w:instrText xml:space="preserve"> PAGEREF _Toc233203361 \h </w:instrText>
        </w:r>
        <w:r>
          <w:rPr>
            <w:noProof/>
            <w:webHidden/>
          </w:rPr>
        </w:r>
        <w:r>
          <w:rPr>
            <w:noProof/>
            <w:webHidden/>
          </w:rPr>
          <w:fldChar w:fldCharType="separate"/>
        </w:r>
        <w:r>
          <w:rPr>
            <w:noProof/>
            <w:webHidden/>
          </w:rPr>
          <w:t>70</w:t>
        </w:r>
        <w:r>
          <w:rPr>
            <w:noProof/>
            <w:webHidden/>
          </w:rPr>
          <w:fldChar w:fldCharType="end"/>
        </w:r>
      </w:hyperlink>
    </w:p>
    <w:p w14:paraId="45D9A7AD" w14:textId="7E6A726C"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62" w:history="1">
        <w:r w:rsidRPr="00137E15">
          <w:rPr>
            <w:rStyle w:val="Hipercze"/>
            <w:noProof/>
          </w:rPr>
          <w:t>Rys. 41. Odsetek postępowań na roboty budowlane, w których przewidziano zaliczkowanie wynikające z obowiązku określonego w ustawie Pzp</w:t>
        </w:r>
        <w:r>
          <w:rPr>
            <w:noProof/>
            <w:webHidden/>
          </w:rPr>
          <w:tab/>
        </w:r>
        <w:r>
          <w:rPr>
            <w:noProof/>
            <w:webHidden/>
          </w:rPr>
          <w:fldChar w:fldCharType="begin"/>
        </w:r>
        <w:r>
          <w:rPr>
            <w:noProof/>
            <w:webHidden/>
          </w:rPr>
          <w:instrText xml:space="preserve"> PAGEREF _Toc233203362 \h </w:instrText>
        </w:r>
        <w:r>
          <w:rPr>
            <w:noProof/>
            <w:webHidden/>
          </w:rPr>
        </w:r>
        <w:r>
          <w:rPr>
            <w:noProof/>
            <w:webHidden/>
          </w:rPr>
          <w:fldChar w:fldCharType="separate"/>
        </w:r>
        <w:r>
          <w:rPr>
            <w:noProof/>
            <w:webHidden/>
          </w:rPr>
          <w:t>74</w:t>
        </w:r>
        <w:r>
          <w:rPr>
            <w:noProof/>
            <w:webHidden/>
          </w:rPr>
          <w:fldChar w:fldCharType="end"/>
        </w:r>
      </w:hyperlink>
    </w:p>
    <w:p w14:paraId="4A026AB8" w14:textId="24040ADB"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63" w:history="1">
        <w:r w:rsidRPr="00137E15">
          <w:rPr>
            <w:rStyle w:val="Hipercze"/>
            <w:noProof/>
          </w:rPr>
          <w:t>Rys. 42. Odsetek postępowań, w których przed wszczęciem postępowania o udzielenie zamówienia przeprowadzono wstępne konsultacje rynkowe</w:t>
        </w:r>
        <w:r>
          <w:rPr>
            <w:noProof/>
            <w:webHidden/>
          </w:rPr>
          <w:tab/>
        </w:r>
        <w:r>
          <w:rPr>
            <w:noProof/>
            <w:webHidden/>
          </w:rPr>
          <w:fldChar w:fldCharType="begin"/>
        </w:r>
        <w:r>
          <w:rPr>
            <w:noProof/>
            <w:webHidden/>
          </w:rPr>
          <w:instrText xml:space="preserve"> PAGEREF _Toc233203363 \h </w:instrText>
        </w:r>
        <w:r>
          <w:rPr>
            <w:noProof/>
            <w:webHidden/>
          </w:rPr>
        </w:r>
        <w:r>
          <w:rPr>
            <w:noProof/>
            <w:webHidden/>
          </w:rPr>
          <w:fldChar w:fldCharType="separate"/>
        </w:r>
        <w:r>
          <w:rPr>
            <w:noProof/>
            <w:webHidden/>
          </w:rPr>
          <w:t>76</w:t>
        </w:r>
        <w:r>
          <w:rPr>
            <w:noProof/>
            <w:webHidden/>
          </w:rPr>
          <w:fldChar w:fldCharType="end"/>
        </w:r>
      </w:hyperlink>
    </w:p>
    <w:p w14:paraId="59C4EAA3" w14:textId="23F0F6B6"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64" w:history="1">
        <w:r w:rsidRPr="00137E15">
          <w:rPr>
            <w:rStyle w:val="Hipercze"/>
            <w:noProof/>
          </w:rPr>
          <w:t>Rys. 43. Średnia liczba składanych ofert w postępowaniach, w których przeprowadzono wstępne konsultacje rynkowe na tle danych ogólnych</w:t>
        </w:r>
        <w:r>
          <w:rPr>
            <w:noProof/>
            <w:webHidden/>
          </w:rPr>
          <w:tab/>
        </w:r>
        <w:r>
          <w:rPr>
            <w:noProof/>
            <w:webHidden/>
          </w:rPr>
          <w:fldChar w:fldCharType="begin"/>
        </w:r>
        <w:r>
          <w:rPr>
            <w:noProof/>
            <w:webHidden/>
          </w:rPr>
          <w:instrText xml:space="preserve"> PAGEREF _Toc233203364 \h </w:instrText>
        </w:r>
        <w:r>
          <w:rPr>
            <w:noProof/>
            <w:webHidden/>
          </w:rPr>
        </w:r>
        <w:r>
          <w:rPr>
            <w:noProof/>
            <w:webHidden/>
          </w:rPr>
          <w:fldChar w:fldCharType="separate"/>
        </w:r>
        <w:r>
          <w:rPr>
            <w:noProof/>
            <w:webHidden/>
          </w:rPr>
          <w:t>77</w:t>
        </w:r>
        <w:r>
          <w:rPr>
            <w:noProof/>
            <w:webHidden/>
          </w:rPr>
          <w:fldChar w:fldCharType="end"/>
        </w:r>
      </w:hyperlink>
    </w:p>
    <w:p w14:paraId="726A483A" w14:textId="6AA15568"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65" w:history="1">
        <w:r w:rsidRPr="00137E15">
          <w:rPr>
            <w:rStyle w:val="Hipercze"/>
            <w:noProof/>
          </w:rPr>
          <w:t>Rys. 44. Odsetek zamówień udzielanych w oparciu o cenę i inne kryteria oceny ofert w postępowaniach, w których przeprowadzono wstępne konsultacje rynkowe na tle danych ogólnych</w:t>
        </w:r>
        <w:r>
          <w:rPr>
            <w:noProof/>
            <w:webHidden/>
          </w:rPr>
          <w:tab/>
        </w:r>
        <w:r>
          <w:rPr>
            <w:noProof/>
            <w:webHidden/>
          </w:rPr>
          <w:fldChar w:fldCharType="begin"/>
        </w:r>
        <w:r>
          <w:rPr>
            <w:noProof/>
            <w:webHidden/>
          </w:rPr>
          <w:instrText xml:space="preserve"> PAGEREF _Toc233203365 \h </w:instrText>
        </w:r>
        <w:r>
          <w:rPr>
            <w:noProof/>
            <w:webHidden/>
          </w:rPr>
        </w:r>
        <w:r>
          <w:rPr>
            <w:noProof/>
            <w:webHidden/>
          </w:rPr>
          <w:fldChar w:fldCharType="separate"/>
        </w:r>
        <w:r>
          <w:rPr>
            <w:noProof/>
            <w:webHidden/>
          </w:rPr>
          <w:t>77</w:t>
        </w:r>
        <w:r>
          <w:rPr>
            <w:noProof/>
            <w:webHidden/>
          </w:rPr>
          <w:fldChar w:fldCharType="end"/>
        </w:r>
      </w:hyperlink>
    </w:p>
    <w:p w14:paraId="7261D12D" w14:textId="3F101691"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66" w:history="1">
        <w:r w:rsidRPr="00137E15">
          <w:rPr>
            <w:rStyle w:val="Hipercze"/>
            <w:noProof/>
          </w:rPr>
          <w:t>Rys. 45. Liczba wniosków o kontrolę doraźną w podziale na miesiące 2025 roku</w:t>
        </w:r>
        <w:r>
          <w:rPr>
            <w:noProof/>
            <w:webHidden/>
          </w:rPr>
          <w:tab/>
        </w:r>
        <w:r>
          <w:rPr>
            <w:noProof/>
            <w:webHidden/>
          </w:rPr>
          <w:fldChar w:fldCharType="begin"/>
        </w:r>
        <w:r>
          <w:rPr>
            <w:noProof/>
            <w:webHidden/>
          </w:rPr>
          <w:instrText xml:space="preserve"> PAGEREF _Toc233203366 \h </w:instrText>
        </w:r>
        <w:r>
          <w:rPr>
            <w:noProof/>
            <w:webHidden/>
          </w:rPr>
        </w:r>
        <w:r>
          <w:rPr>
            <w:noProof/>
            <w:webHidden/>
          </w:rPr>
          <w:fldChar w:fldCharType="separate"/>
        </w:r>
        <w:r>
          <w:rPr>
            <w:noProof/>
            <w:webHidden/>
          </w:rPr>
          <w:t>102</w:t>
        </w:r>
        <w:r>
          <w:rPr>
            <w:noProof/>
            <w:webHidden/>
          </w:rPr>
          <w:fldChar w:fldCharType="end"/>
        </w:r>
      </w:hyperlink>
    </w:p>
    <w:p w14:paraId="2DA2B225" w14:textId="0C39E2D7"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67" w:history="1">
        <w:r w:rsidRPr="00137E15">
          <w:rPr>
            <w:rStyle w:val="Hipercze"/>
            <w:noProof/>
          </w:rPr>
          <w:t>Rys. 46. Liczba i wartość szacunkowa skontrolowanych zamówień w 2025 roku w podziale na rodzaj zamówienia (kontrola doraźna)</w:t>
        </w:r>
        <w:r>
          <w:rPr>
            <w:noProof/>
            <w:webHidden/>
          </w:rPr>
          <w:tab/>
        </w:r>
        <w:r>
          <w:rPr>
            <w:noProof/>
            <w:webHidden/>
          </w:rPr>
          <w:fldChar w:fldCharType="begin"/>
        </w:r>
        <w:r>
          <w:rPr>
            <w:noProof/>
            <w:webHidden/>
          </w:rPr>
          <w:instrText xml:space="preserve"> PAGEREF _Toc233203367 \h </w:instrText>
        </w:r>
        <w:r>
          <w:rPr>
            <w:noProof/>
            <w:webHidden/>
          </w:rPr>
        </w:r>
        <w:r>
          <w:rPr>
            <w:noProof/>
            <w:webHidden/>
          </w:rPr>
          <w:fldChar w:fldCharType="separate"/>
        </w:r>
        <w:r>
          <w:rPr>
            <w:noProof/>
            <w:webHidden/>
          </w:rPr>
          <w:t>104</w:t>
        </w:r>
        <w:r>
          <w:rPr>
            <w:noProof/>
            <w:webHidden/>
          </w:rPr>
          <w:fldChar w:fldCharType="end"/>
        </w:r>
      </w:hyperlink>
    </w:p>
    <w:p w14:paraId="55990696" w14:textId="7F8496C4"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68" w:history="1">
        <w:r w:rsidRPr="00137E15">
          <w:rPr>
            <w:rStyle w:val="Hipercze"/>
            <w:noProof/>
          </w:rPr>
          <w:t>Rys. 47. Wartość szacunkowa skontrolowanych zamówień w 2025 roku w podziale na rodzaj administracji (kontrola doraźna)</w:t>
        </w:r>
        <w:r>
          <w:rPr>
            <w:noProof/>
            <w:webHidden/>
          </w:rPr>
          <w:tab/>
        </w:r>
        <w:r>
          <w:rPr>
            <w:noProof/>
            <w:webHidden/>
          </w:rPr>
          <w:fldChar w:fldCharType="begin"/>
        </w:r>
        <w:r>
          <w:rPr>
            <w:noProof/>
            <w:webHidden/>
          </w:rPr>
          <w:instrText xml:space="preserve"> PAGEREF _Toc233203368 \h </w:instrText>
        </w:r>
        <w:r>
          <w:rPr>
            <w:noProof/>
            <w:webHidden/>
          </w:rPr>
        </w:r>
        <w:r>
          <w:rPr>
            <w:noProof/>
            <w:webHidden/>
          </w:rPr>
          <w:fldChar w:fldCharType="separate"/>
        </w:r>
        <w:r>
          <w:rPr>
            <w:noProof/>
            <w:webHidden/>
          </w:rPr>
          <w:t>105</w:t>
        </w:r>
        <w:r>
          <w:rPr>
            <w:noProof/>
            <w:webHidden/>
          </w:rPr>
          <w:fldChar w:fldCharType="end"/>
        </w:r>
      </w:hyperlink>
    </w:p>
    <w:p w14:paraId="6A9E9DD4" w14:textId="40640F70"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69" w:history="1">
        <w:r w:rsidRPr="00137E15">
          <w:rPr>
            <w:rStyle w:val="Hipercze"/>
            <w:noProof/>
          </w:rPr>
          <w:t>Rys. 48. Wartość szacunkowa zamówień objętych kontrolą doraźną, w których stwierdzono naruszenia mające lub mogące mieć wpływ na wynik postępowania w podziale na tryb udzielenia zamówienia</w:t>
        </w:r>
        <w:r>
          <w:rPr>
            <w:noProof/>
            <w:webHidden/>
          </w:rPr>
          <w:tab/>
        </w:r>
        <w:r>
          <w:rPr>
            <w:noProof/>
            <w:webHidden/>
          </w:rPr>
          <w:fldChar w:fldCharType="begin"/>
        </w:r>
        <w:r>
          <w:rPr>
            <w:noProof/>
            <w:webHidden/>
          </w:rPr>
          <w:instrText xml:space="preserve"> PAGEREF _Toc233203369 \h </w:instrText>
        </w:r>
        <w:r>
          <w:rPr>
            <w:noProof/>
            <w:webHidden/>
          </w:rPr>
        </w:r>
        <w:r>
          <w:rPr>
            <w:noProof/>
            <w:webHidden/>
          </w:rPr>
          <w:fldChar w:fldCharType="separate"/>
        </w:r>
        <w:r>
          <w:rPr>
            <w:noProof/>
            <w:webHidden/>
          </w:rPr>
          <w:t>106</w:t>
        </w:r>
        <w:r>
          <w:rPr>
            <w:noProof/>
            <w:webHidden/>
          </w:rPr>
          <w:fldChar w:fldCharType="end"/>
        </w:r>
      </w:hyperlink>
    </w:p>
    <w:p w14:paraId="6219B916" w14:textId="64A5CCBF"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70" w:history="1">
        <w:r w:rsidRPr="00137E15">
          <w:rPr>
            <w:rStyle w:val="Hipercze"/>
            <w:noProof/>
          </w:rPr>
          <w:t>Rys. 49. Wartość szacunkowa zamówień objętych kontrolą uprzednią w podziale na tryb udzielenia zamówienia</w:t>
        </w:r>
        <w:r>
          <w:rPr>
            <w:noProof/>
            <w:webHidden/>
          </w:rPr>
          <w:tab/>
        </w:r>
        <w:r>
          <w:rPr>
            <w:noProof/>
            <w:webHidden/>
          </w:rPr>
          <w:fldChar w:fldCharType="begin"/>
        </w:r>
        <w:r>
          <w:rPr>
            <w:noProof/>
            <w:webHidden/>
          </w:rPr>
          <w:instrText xml:space="preserve"> PAGEREF _Toc233203370 \h </w:instrText>
        </w:r>
        <w:r>
          <w:rPr>
            <w:noProof/>
            <w:webHidden/>
          </w:rPr>
        </w:r>
        <w:r>
          <w:rPr>
            <w:noProof/>
            <w:webHidden/>
          </w:rPr>
          <w:fldChar w:fldCharType="separate"/>
        </w:r>
        <w:r>
          <w:rPr>
            <w:noProof/>
            <w:webHidden/>
          </w:rPr>
          <w:t>114</w:t>
        </w:r>
        <w:r>
          <w:rPr>
            <w:noProof/>
            <w:webHidden/>
          </w:rPr>
          <w:fldChar w:fldCharType="end"/>
        </w:r>
      </w:hyperlink>
    </w:p>
    <w:p w14:paraId="0FDE707D" w14:textId="0D00DBC0"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71" w:history="1">
        <w:r w:rsidRPr="00137E15">
          <w:rPr>
            <w:rStyle w:val="Hipercze"/>
            <w:noProof/>
          </w:rPr>
          <w:t>Rys. 50. Liczba i wartość szacunkowa skontrolowanych zamówień w 2025 roku w podziale na rodzaj zamówienia (kontrola uprzednia)</w:t>
        </w:r>
        <w:r>
          <w:rPr>
            <w:noProof/>
            <w:webHidden/>
          </w:rPr>
          <w:tab/>
        </w:r>
        <w:r>
          <w:rPr>
            <w:noProof/>
            <w:webHidden/>
          </w:rPr>
          <w:fldChar w:fldCharType="begin"/>
        </w:r>
        <w:r>
          <w:rPr>
            <w:noProof/>
            <w:webHidden/>
          </w:rPr>
          <w:instrText xml:space="preserve"> PAGEREF _Toc233203371 \h </w:instrText>
        </w:r>
        <w:r>
          <w:rPr>
            <w:noProof/>
            <w:webHidden/>
          </w:rPr>
        </w:r>
        <w:r>
          <w:rPr>
            <w:noProof/>
            <w:webHidden/>
          </w:rPr>
          <w:fldChar w:fldCharType="separate"/>
        </w:r>
        <w:r>
          <w:rPr>
            <w:noProof/>
            <w:webHidden/>
          </w:rPr>
          <w:t>114</w:t>
        </w:r>
        <w:r>
          <w:rPr>
            <w:noProof/>
            <w:webHidden/>
          </w:rPr>
          <w:fldChar w:fldCharType="end"/>
        </w:r>
      </w:hyperlink>
    </w:p>
    <w:p w14:paraId="638E29AC" w14:textId="58D5AA82" w:rsidR="008870AA" w:rsidRDefault="008870AA">
      <w:pPr>
        <w:pStyle w:val="Spisilustracji"/>
        <w:tabs>
          <w:tab w:val="right" w:leader="dot" w:pos="9060"/>
        </w:tabs>
        <w:rPr>
          <w:rFonts w:asciiTheme="minorHAnsi" w:eastAsiaTheme="minorEastAsia" w:hAnsiTheme="minorHAnsi" w:cstheme="minorBidi"/>
          <w:noProof/>
          <w:sz w:val="22"/>
          <w:szCs w:val="22"/>
        </w:rPr>
      </w:pPr>
      <w:hyperlink w:anchor="_Toc233203372" w:history="1">
        <w:r w:rsidRPr="00137E15">
          <w:rPr>
            <w:rStyle w:val="Hipercze"/>
            <w:noProof/>
          </w:rPr>
          <w:t>Rys. 51. Wartość szacunkowa skontrolowanych zamówień w 2025 roku w podziale na rodzaj administracji (kontrola uprzednia)</w:t>
        </w:r>
        <w:r>
          <w:rPr>
            <w:noProof/>
            <w:webHidden/>
          </w:rPr>
          <w:tab/>
        </w:r>
        <w:r>
          <w:rPr>
            <w:noProof/>
            <w:webHidden/>
          </w:rPr>
          <w:fldChar w:fldCharType="begin"/>
        </w:r>
        <w:r>
          <w:rPr>
            <w:noProof/>
            <w:webHidden/>
          </w:rPr>
          <w:instrText xml:space="preserve"> PAGEREF _Toc233203372 \h </w:instrText>
        </w:r>
        <w:r>
          <w:rPr>
            <w:noProof/>
            <w:webHidden/>
          </w:rPr>
        </w:r>
        <w:r>
          <w:rPr>
            <w:noProof/>
            <w:webHidden/>
          </w:rPr>
          <w:fldChar w:fldCharType="separate"/>
        </w:r>
        <w:r>
          <w:rPr>
            <w:noProof/>
            <w:webHidden/>
          </w:rPr>
          <w:t>115</w:t>
        </w:r>
        <w:r>
          <w:rPr>
            <w:noProof/>
            <w:webHidden/>
          </w:rPr>
          <w:fldChar w:fldCharType="end"/>
        </w:r>
      </w:hyperlink>
    </w:p>
    <w:p w14:paraId="35CBFD91" w14:textId="31428D2D" w:rsidR="00CC204D" w:rsidRDefault="005F556C" w:rsidP="008F2675">
      <w:pPr>
        <w:shd w:val="clear" w:color="auto" w:fill="FFFFFF"/>
        <w:spacing w:line="360" w:lineRule="auto"/>
        <w:ind w:right="423"/>
        <w:jc w:val="left"/>
        <w:rPr>
          <w:rFonts w:cs="Arial"/>
        </w:rPr>
      </w:pPr>
      <w:r>
        <w:rPr>
          <w:rFonts w:cs="Arial"/>
          <w:color w:val="000000" w:themeColor="text1"/>
          <w:sz w:val="20"/>
        </w:rPr>
        <w:fldChar w:fldCharType="end"/>
      </w:r>
    </w:p>
    <w:p w14:paraId="3A5C0437" w14:textId="77777777" w:rsidR="00865D5C" w:rsidRDefault="00865D5C" w:rsidP="008F2675">
      <w:pPr>
        <w:shd w:val="clear" w:color="auto" w:fill="FFFFFF"/>
        <w:spacing w:line="360" w:lineRule="auto"/>
        <w:ind w:right="423"/>
        <w:jc w:val="left"/>
        <w:rPr>
          <w:rFonts w:cs="Arial"/>
        </w:rPr>
        <w:sectPr w:rsidR="00865D5C" w:rsidSect="00E71851">
          <w:pgSz w:w="11906" w:h="16838"/>
          <w:pgMar w:top="1418" w:right="1418" w:bottom="1418" w:left="1418" w:header="709" w:footer="709" w:gutter="0"/>
          <w:cols w:space="708"/>
          <w:docGrid w:linePitch="299"/>
        </w:sectPr>
      </w:pPr>
    </w:p>
    <w:p w14:paraId="17E53DC3" w14:textId="6131B1EB" w:rsidR="00007B80" w:rsidRPr="000C79C6" w:rsidRDefault="003E49E4" w:rsidP="005B3FFE">
      <w:pPr>
        <w:pStyle w:val="Nagwek1"/>
      </w:pPr>
      <w:bookmarkStart w:id="338" w:name="_Ref99524731"/>
      <w:bookmarkStart w:id="339" w:name="_Toc233203320"/>
      <w:r w:rsidRPr="00E77261">
        <w:t>V. SPIS TABEL</w:t>
      </w:r>
      <w:bookmarkEnd w:id="338"/>
      <w:bookmarkEnd w:id="339"/>
    </w:p>
    <w:p w14:paraId="2D9E8A9D" w14:textId="1A5ED00D" w:rsidR="00515945" w:rsidRDefault="005F556C">
      <w:pPr>
        <w:pStyle w:val="Spisilustracji"/>
        <w:tabs>
          <w:tab w:val="right" w:leader="dot" w:pos="9060"/>
        </w:tabs>
        <w:rPr>
          <w:rFonts w:asciiTheme="minorHAnsi" w:eastAsiaTheme="minorEastAsia" w:hAnsiTheme="minorHAnsi" w:cstheme="minorBidi"/>
          <w:noProof/>
          <w:sz w:val="22"/>
          <w:szCs w:val="22"/>
        </w:rPr>
      </w:pPr>
      <w:r>
        <w:rPr>
          <w:rFonts w:cs="Arial"/>
          <w:szCs w:val="18"/>
        </w:rPr>
        <w:fldChar w:fldCharType="begin"/>
      </w:r>
      <w:r>
        <w:rPr>
          <w:rFonts w:cs="Arial"/>
          <w:szCs w:val="18"/>
        </w:rPr>
        <w:instrText xml:space="preserve"> TOC \h \z \c "Tab." </w:instrText>
      </w:r>
      <w:r>
        <w:rPr>
          <w:rFonts w:cs="Arial"/>
          <w:szCs w:val="18"/>
        </w:rPr>
        <w:fldChar w:fldCharType="separate"/>
      </w:r>
      <w:hyperlink w:anchor="_Toc233203373" w:history="1">
        <w:r w:rsidR="00515945" w:rsidRPr="00897D3A">
          <w:rPr>
            <w:rStyle w:val="Hipercze"/>
            <w:noProof/>
          </w:rPr>
          <w:t>Tab. 1. Struktura udzielonych zamówień sektorowych w podziale na rodzaj zamówienia</w:t>
        </w:r>
        <w:r w:rsidR="00515945">
          <w:rPr>
            <w:noProof/>
            <w:webHidden/>
          </w:rPr>
          <w:tab/>
        </w:r>
        <w:r w:rsidR="00515945">
          <w:rPr>
            <w:noProof/>
            <w:webHidden/>
          </w:rPr>
          <w:fldChar w:fldCharType="begin"/>
        </w:r>
        <w:r w:rsidR="00515945">
          <w:rPr>
            <w:noProof/>
            <w:webHidden/>
          </w:rPr>
          <w:instrText xml:space="preserve"> PAGEREF _Toc233203373 \h </w:instrText>
        </w:r>
        <w:r w:rsidR="00515945">
          <w:rPr>
            <w:noProof/>
            <w:webHidden/>
          </w:rPr>
        </w:r>
        <w:r w:rsidR="00515945">
          <w:rPr>
            <w:noProof/>
            <w:webHidden/>
          </w:rPr>
          <w:fldChar w:fldCharType="separate"/>
        </w:r>
        <w:r w:rsidR="00515945">
          <w:rPr>
            <w:noProof/>
            <w:webHidden/>
          </w:rPr>
          <w:t>13</w:t>
        </w:r>
        <w:r w:rsidR="00515945">
          <w:rPr>
            <w:noProof/>
            <w:webHidden/>
          </w:rPr>
          <w:fldChar w:fldCharType="end"/>
        </w:r>
      </w:hyperlink>
    </w:p>
    <w:p w14:paraId="3638795C" w14:textId="7FDC705C"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74" w:history="1">
        <w:r w:rsidRPr="00897D3A">
          <w:rPr>
            <w:rStyle w:val="Hipercze"/>
            <w:noProof/>
          </w:rPr>
          <w:t>Tab. 2. Struktura udzielonych zamówień w dziedzinach obronności i bezpieczeństwa w podziale na rodzaj zamówienia</w:t>
        </w:r>
        <w:r>
          <w:rPr>
            <w:noProof/>
            <w:webHidden/>
          </w:rPr>
          <w:tab/>
        </w:r>
        <w:r>
          <w:rPr>
            <w:noProof/>
            <w:webHidden/>
          </w:rPr>
          <w:fldChar w:fldCharType="begin"/>
        </w:r>
        <w:r>
          <w:rPr>
            <w:noProof/>
            <w:webHidden/>
          </w:rPr>
          <w:instrText xml:space="preserve"> PAGEREF _Toc233203374 \h </w:instrText>
        </w:r>
        <w:r>
          <w:rPr>
            <w:noProof/>
            <w:webHidden/>
          </w:rPr>
        </w:r>
        <w:r>
          <w:rPr>
            <w:noProof/>
            <w:webHidden/>
          </w:rPr>
          <w:fldChar w:fldCharType="separate"/>
        </w:r>
        <w:r>
          <w:rPr>
            <w:noProof/>
            <w:webHidden/>
          </w:rPr>
          <w:t>14</w:t>
        </w:r>
        <w:r>
          <w:rPr>
            <w:noProof/>
            <w:webHidden/>
          </w:rPr>
          <w:fldChar w:fldCharType="end"/>
        </w:r>
      </w:hyperlink>
    </w:p>
    <w:p w14:paraId="2F948D79" w14:textId="301E34D2"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75" w:history="1">
        <w:r w:rsidRPr="00897D3A">
          <w:rPr>
            <w:rStyle w:val="Hipercze"/>
            <w:noProof/>
          </w:rPr>
          <w:t>Tab. 3. Liczba ogłoszeń dotyczących koncesji na roboty budowlane lub usługi (lata 2021-2025)</w:t>
        </w:r>
        <w:r>
          <w:rPr>
            <w:noProof/>
            <w:webHidden/>
          </w:rPr>
          <w:tab/>
        </w:r>
        <w:r>
          <w:rPr>
            <w:noProof/>
            <w:webHidden/>
          </w:rPr>
          <w:fldChar w:fldCharType="begin"/>
        </w:r>
        <w:r>
          <w:rPr>
            <w:noProof/>
            <w:webHidden/>
          </w:rPr>
          <w:instrText xml:space="preserve"> PAGEREF _Toc233203375 \h </w:instrText>
        </w:r>
        <w:r>
          <w:rPr>
            <w:noProof/>
            <w:webHidden/>
          </w:rPr>
        </w:r>
        <w:r>
          <w:rPr>
            <w:noProof/>
            <w:webHidden/>
          </w:rPr>
          <w:fldChar w:fldCharType="separate"/>
        </w:r>
        <w:r>
          <w:rPr>
            <w:noProof/>
            <w:webHidden/>
          </w:rPr>
          <w:t>14</w:t>
        </w:r>
        <w:r>
          <w:rPr>
            <w:noProof/>
            <w:webHidden/>
          </w:rPr>
          <w:fldChar w:fldCharType="end"/>
        </w:r>
      </w:hyperlink>
    </w:p>
    <w:p w14:paraId="710426A2" w14:textId="4FF77C9D"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76" w:history="1">
        <w:r w:rsidRPr="00897D3A">
          <w:rPr>
            <w:rStyle w:val="Hipercze"/>
            <w:iCs/>
            <w:noProof/>
          </w:rPr>
          <w:t>Tab. 4. Odsetek zamówień z ceną jako jedynym kryterium oceny ofert</w:t>
        </w:r>
        <w:r>
          <w:rPr>
            <w:noProof/>
            <w:webHidden/>
          </w:rPr>
          <w:tab/>
        </w:r>
        <w:r>
          <w:rPr>
            <w:noProof/>
            <w:webHidden/>
          </w:rPr>
          <w:fldChar w:fldCharType="begin"/>
        </w:r>
        <w:r>
          <w:rPr>
            <w:noProof/>
            <w:webHidden/>
          </w:rPr>
          <w:instrText xml:space="preserve"> PAGEREF _Toc233203376 \h </w:instrText>
        </w:r>
        <w:r>
          <w:rPr>
            <w:noProof/>
            <w:webHidden/>
          </w:rPr>
        </w:r>
        <w:r>
          <w:rPr>
            <w:noProof/>
            <w:webHidden/>
          </w:rPr>
          <w:fldChar w:fldCharType="separate"/>
        </w:r>
        <w:r>
          <w:rPr>
            <w:noProof/>
            <w:webHidden/>
          </w:rPr>
          <w:t>25</w:t>
        </w:r>
        <w:r>
          <w:rPr>
            <w:noProof/>
            <w:webHidden/>
          </w:rPr>
          <w:fldChar w:fldCharType="end"/>
        </w:r>
      </w:hyperlink>
    </w:p>
    <w:p w14:paraId="474B0039" w14:textId="0041A3FA"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77" w:history="1">
        <w:r w:rsidRPr="00897D3A">
          <w:rPr>
            <w:rStyle w:val="Hipercze"/>
            <w:noProof/>
          </w:rPr>
          <w:t>Tab. 5. Odsetek zamówień według liczby złożonych ofert (postępowania o wartości mniejszej niż progi unijne)</w:t>
        </w:r>
        <w:r>
          <w:rPr>
            <w:noProof/>
            <w:webHidden/>
          </w:rPr>
          <w:tab/>
        </w:r>
        <w:r>
          <w:rPr>
            <w:noProof/>
            <w:webHidden/>
          </w:rPr>
          <w:fldChar w:fldCharType="begin"/>
        </w:r>
        <w:r>
          <w:rPr>
            <w:noProof/>
            <w:webHidden/>
          </w:rPr>
          <w:instrText xml:space="preserve"> PAGEREF _Toc233203377 \h </w:instrText>
        </w:r>
        <w:r>
          <w:rPr>
            <w:noProof/>
            <w:webHidden/>
          </w:rPr>
        </w:r>
        <w:r>
          <w:rPr>
            <w:noProof/>
            <w:webHidden/>
          </w:rPr>
          <w:fldChar w:fldCharType="separate"/>
        </w:r>
        <w:r>
          <w:rPr>
            <w:noProof/>
            <w:webHidden/>
          </w:rPr>
          <w:t>27</w:t>
        </w:r>
        <w:r>
          <w:rPr>
            <w:noProof/>
            <w:webHidden/>
          </w:rPr>
          <w:fldChar w:fldCharType="end"/>
        </w:r>
      </w:hyperlink>
    </w:p>
    <w:p w14:paraId="23546FCA" w14:textId="49C4879D"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78" w:history="1">
        <w:r w:rsidRPr="00897D3A">
          <w:rPr>
            <w:rStyle w:val="Hipercze"/>
            <w:noProof/>
          </w:rPr>
          <w:t>Tab. 6. Odsetek postępowań o udzielenie zamówienia publicznego z jedną złożoną ofertą (postępowania o wartości równej lub przekraczającej progi unijne)</w:t>
        </w:r>
        <w:r>
          <w:rPr>
            <w:noProof/>
            <w:webHidden/>
          </w:rPr>
          <w:tab/>
        </w:r>
        <w:r>
          <w:rPr>
            <w:noProof/>
            <w:webHidden/>
          </w:rPr>
          <w:fldChar w:fldCharType="begin"/>
        </w:r>
        <w:r>
          <w:rPr>
            <w:noProof/>
            <w:webHidden/>
          </w:rPr>
          <w:instrText xml:space="preserve"> PAGEREF _Toc233203378 \h </w:instrText>
        </w:r>
        <w:r>
          <w:rPr>
            <w:noProof/>
            <w:webHidden/>
          </w:rPr>
        </w:r>
        <w:r>
          <w:rPr>
            <w:noProof/>
            <w:webHidden/>
          </w:rPr>
          <w:fldChar w:fldCharType="separate"/>
        </w:r>
        <w:r>
          <w:rPr>
            <w:noProof/>
            <w:webHidden/>
          </w:rPr>
          <w:t>28</w:t>
        </w:r>
        <w:r>
          <w:rPr>
            <w:noProof/>
            <w:webHidden/>
          </w:rPr>
          <w:fldChar w:fldCharType="end"/>
        </w:r>
      </w:hyperlink>
    </w:p>
    <w:p w14:paraId="79514D21" w14:textId="3C64B5E9"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79" w:history="1">
        <w:r w:rsidRPr="00897D3A">
          <w:rPr>
            <w:rStyle w:val="Hipercze"/>
            <w:noProof/>
          </w:rPr>
          <w:t>Tab. 7. Struktura rozpatrzonych odwołań – 2025 r.</w:t>
        </w:r>
        <w:r>
          <w:rPr>
            <w:noProof/>
            <w:webHidden/>
          </w:rPr>
          <w:tab/>
        </w:r>
        <w:r>
          <w:rPr>
            <w:noProof/>
            <w:webHidden/>
          </w:rPr>
          <w:fldChar w:fldCharType="begin"/>
        </w:r>
        <w:r>
          <w:rPr>
            <w:noProof/>
            <w:webHidden/>
          </w:rPr>
          <w:instrText xml:space="preserve"> PAGEREF _Toc233203379 \h </w:instrText>
        </w:r>
        <w:r>
          <w:rPr>
            <w:noProof/>
            <w:webHidden/>
          </w:rPr>
        </w:r>
        <w:r>
          <w:rPr>
            <w:noProof/>
            <w:webHidden/>
          </w:rPr>
          <w:fldChar w:fldCharType="separate"/>
        </w:r>
        <w:r>
          <w:rPr>
            <w:noProof/>
            <w:webHidden/>
          </w:rPr>
          <w:t>37</w:t>
        </w:r>
        <w:r>
          <w:rPr>
            <w:noProof/>
            <w:webHidden/>
          </w:rPr>
          <w:fldChar w:fldCharType="end"/>
        </w:r>
      </w:hyperlink>
    </w:p>
    <w:p w14:paraId="3F08E665" w14:textId="730F25D9"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80" w:history="1">
        <w:r w:rsidRPr="00897D3A">
          <w:rPr>
            <w:rStyle w:val="Hipercze"/>
            <w:noProof/>
          </w:rPr>
          <w:t>Tab. 8. Struktura rozpatrzonych odwołań – 2024 r.</w:t>
        </w:r>
        <w:r>
          <w:rPr>
            <w:noProof/>
            <w:webHidden/>
          </w:rPr>
          <w:tab/>
        </w:r>
        <w:r>
          <w:rPr>
            <w:noProof/>
            <w:webHidden/>
          </w:rPr>
          <w:fldChar w:fldCharType="begin"/>
        </w:r>
        <w:r>
          <w:rPr>
            <w:noProof/>
            <w:webHidden/>
          </w:rPr>
          <w:instrText xml:space="preserve"> PAGEREF _Toc233203380 \h </w:instrText>
        </w:r>
        <w:r>
          <w:rPr>
            <w:noProof/>
            <w:webHidden/>
          </w:rPr>
        </w:r>
        <w:r>
          <w:rPr>
            <w:noProof/>
            <w:webHidden/>
          </w:rPr>
          <w:fldChar w:fldCharType="separate"/>
        </w:r>
        <w:r>
          <w:rPr>
            <w:noProof/>
            <w:webHidden/>
          </w:rPr>
          <w:t>37</w:t>
        </w:r>
        <w:r>
          <w:rPr>
            <w:noProof/>
            <w:webHidden/>
          </w:rPr>
          <w:fldChar w:fldCharType="end"/>
        </w:r>
      </w:hyperlink>
    </w:p>
    <w:p w14:paraId="537B90D3" w14:textId="524E8087"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81" w:history="1">
        <w:r w:rsidRPr="00897D3A">
          <w:rPr>
            <w:rStyle w:val="Hipercze"/>
            <w:noProof/>
          </w:rPr>
          <w:t>Tab. 9. Struktura odwołań w podziale na sektor/branżę</w:t>
        </w:r>
        <w:r>
          <w:rPr>
            <w:noProof/>
            <w:webHidden/>
          </w:rPr>
          <w:tab/>
        </w:r>
        <w:r>
          <w:rPr>
            <w:noProof/>
            <w:webHidden/>
          </w:rPr>
          <w:fldChar w:fldCharType="begin"/>
        </w:r>
        <w:r>
          <w:rPr>
            <w:noProof/>
            <w:webHidden/>
          </w:rPr>
          <w:instrText xml:space="preserve"> PAGEREF _Toc233203381 \h </w:instrText>
        </w:r>
        <w:r>
          <w:rPr>
            <w:noProof/>
            <w:webHidden/>
          </w:rPr>
        </w:r>
        <w:r>
          <w:rPr>
            <w:noProof/>
            <w:webHidden/>
          </w:rPr>
          <w:fldChar w:fldCharType="separate"/>
        </w:r>
        <w:r>
          <w:rPr>
            <w:noProof/>
            <w:webHidden/>
          </w:rPr>
          <w:t>38</w:t>
        </w:r>
        <w:r>
          <w:rPr>
            <w:noProof/>
            <w:webHidden/>
          </w:rPr>
          <w:fldChar w:fldCharType="end"/>
        </w:r>
      </w:hyperlink>
    </w:p>
    <w:p w14:paraId="466FCA37" w14:textId="58735412"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82" w:history="1">
        <w:r w:rsidRPr="00897D3A">
          <w:rPr>
            <w:rStyle w:val="Hipercze"/>
            <w:noProof/>
          </w:rPr>
          <w:t>Tab. 10. Społeczne zamówienia publiczne w 2025 r. – dane ogólne</w:t>
        </w:r>
        <w:r>
          <w:rPr>
            <w:noProof/>
            <w:webHidden/>
          </w:rPr>
          <w:tab/>
        </w:r>
        <w:r>
          <w:rPr>
            <w:noProof/>
            <w:webHidden/>
          </w:rPr>
          <w:fldChar w:fldCharType="begin"/>
        </w:r>
        <w:r>
          <w:rPr>
            <w:noProof/>
            <w:webHidden/>
          </w:rPr>
          <w:instrText xml:space="preserve"> PAGEREF _Toc233203382 \h </w:instrText>
        </w:r>
        <w:r>
          <w:rPr>
            <w:noProof/>
            <w:webHidden/>
          </w:rPr>
        </w:r>
        <w:r>
          <w:rPr>
            <w:noProof/>
            <w:webHidden/>
          </w:rPr>
          <w:fldChar w:fldCharType="separate"/>
        </w:r>
        <w:r>
          <w:rPr>
            <w:noProof/>
            <w:webHidden/>
          </w:rPr>
          <w:t>40</w:t>
        </w:r>
        <w:r>
          <w:rPr>
            <w:noProof/>
            <w:webHidden/>
          </w:rPr>
          <w:fldChar w:fldCharType="end"/>
        </w:r>
      </w:hyperlink>
    </w:p>
    <w:p w14:paraId="49AD7878" w14:textId="77C80F1D"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83" w:history="1">
        <w:r w:rsidRPr="00897D3A">
          <w:rPr>
            <w:rStyle w:val="Hipercze"/>
            <w:noProof/>
          </w:rPr>
          <w:t>Tab. 11. Zamówienia publiczne z zastosowaniem art. 94 ust. 1 ustawy Pzp</w:t>
        </w:r>
        <w:r>
          <w:rPr>
            <w:noProof/>
            <w:webHidden/>
          </w:rPr>
          <w:tab/>
        </w:r>
        <w:r>
          <w:rPr>
            <w:noProof/>
            <w:webHidden/>
          </w:rPr>
          <w:fldChar w:fldCharType="begin"/>
        </w:r>
        <w:r>
          <w:rPr>
            <w:noProof/>
            <w:webHidden/>
          </w:rPr>
          <w:instrText xml:space="preserve"> PAGEREF _Toc233203383 \h </w:instrText>
        </w:r>
        <w:r>
          <w:rPr>
            <w:noProof/>
            <w:webHidden/>
          </w:rPr>
        </w:r>
        <w:r>
          <w:rPr>
            <w:noProof/>
            <w:webHidden/>
          </w:rPr>
          <w:fldChar w:fldCharType="separate"/>
        </w:r>
        <w:r>
          <w:rPr>
            <w:noProof/>
            <w:webHidden/>
          </w:rPr>
          <w:t>41</w:t>
        </w:r>
        <w:r>
          <w:rPr>
            <w:noProof/>
            <w:webHidden/>
          </w:rPr>
          <w:fldChar w:fldCharType="end"/>
        </w:r>
      </w:hyperlink>
    </w:p>
    <w:p w14:paraId="1EF3814B" w14:textId="62A7A0F9"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84" w:history="1">
        <w:r w:rsidRPr="00897D3A">
          <w:rPr>
            <w:rStyle w:val="Hipercze"/>
            <w:noProof/>
          </w:rPr>
          <w:t>Tab. 12. Zamówienia publiczne z zastosowaniem art. 100 ust. 1 ustawy Pzp</w:t>
        </w:r>
        <w:r>
          <w:rPr>
            <w:noProof/>
            <w:webHidden/>
          </w:rPr>
          <w:tab/>
        </w:r>
        <w:r>
          <w:rPr>
            <w:noProof/>
            <w:webHidden/>
          </w:rPr>
          <w:fldChar w:fldCharType="begin"/>
        </w:r>
        <w:r>
          <w:rPr>
            <w:noProof/>
            <w:webHidden/>
          </w:rPr>
          <w:instrText xml:space="preserve"> PAGEREF _Toc233203384 \h </w:instrText>
        </w:r>
        <w:r>
          <w:rPr>
            <w:noProof/>
            <w:webHidden/>
          </w:rPr>
        </w:r>
        <w:r>
          <w:rPr>
            <w:noProof/>
            <w:webHidden/>
          </w:rPr>
          <w:fldChar w:fldCharType="separate"/>
        </w:r>
        <w:r>
          <w:rPr>
            <w:noProof/>
            <w:webHidden/>
          </w:rPr>
          <w:t>41</w:t>
        </w:r>
        <w:r>
          <w:rPr>
            <w:noProof/>
            <w:webHidden/>
          </w:rPr>
          <w:fldChar w:fldCharType="end"/>
        </w:r>
      </w:hyperlink>
    </w:p>
    <w:p w14:paraId="7EB3CAB9" w14:textId="65218EFB"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85" w:history="1">
        <w:r w:rsidRPr="00897D3A">
          <w:rPr>
            <w:rStyle w:val="Hipercze"/>
            <w:noProof/>
          </w:rPr>
          <w:t>Tab. 13. Społeczne zamówienia publiczne z zastosowaniem art. 242 ust. 2 ustawy Pzp</w:t>
        </w:r>
        <w:r>
          <w:rPr>
            <w:noProof/>
            <w:webHidden/>
          </w:rPr>
          <w:tab/>
        </w:r>
        <w:r>
          <w:rPr>
            <w:noProof/>
            <w:webHidden/>
          </w:rPr>
          <w:fldChar w:fldCharType="begin"/>
        </w:r>
        <w:r>
          <w:rPr>
            <w:noProof/>
            <w:webHidden/>
          </w:rPr>
          <w:instrText xml:space="preserve"> PAGEREF _Toc233203385 \h </w:instrText>
        </w:r>
        <w:r>
          <w:rPr>
            <w:noProof/>
            <w:webHidden/>
          </w:rPr>
        </w:r>
        <w:r>
          <w:rPr>
            <w:noProof/>
            <w:webHidden/>
          </w:rPr>
          <w:fldChar w:fldCharType="separate"/>
        </w:r>
        <w:r>
          <w:rPr>
            <w:noProof/>
            <w:webHidden/>
          </w:rPr>
          <w:t>42</w:t>
        </w:r>
        <w:r>
          <w:rPr>
            <w:noProof/>
            <w:webHidden/>
          </w:rPr>
          <w:fldChar w:fldCharType="end"/>
        </w:r>
      </w:hyperlink>
    </w:p>
    <w:p w14:paraId="5275090D" w14:textId="7265E0B3"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86" w:history="1">
        <w:r w:rsidRPr="00897D3A">
          <w:rPr>
            <w:rStyle w:val="Hipercze"/>
            <w:noProof/>
          </w:rPr>
          <w:t>Tab. 14. Zamówienia publiczne z zastosowaniem art. 95 ust. 1 ustawy Pzp</w:t>
        </w:r>
        <w:r>
          <w:rPr>
            <w:noProof/>
            <w:webHidden/>
          </w:rPr>
          <w:tab/>
        </w:r>
        <w:r>
          <w:rPr>
            <w:noProof/>
            <w:webHidden/>
          </w:rPr>
          <w:fldChar w:fldCharType="begin"/>
        </w:r>
        <w:r>
          <w:rPr>
            <w:noProof/>
            <w:webHidden/>
          </w:rPr>
          <w:instrText xml:space="preserve"> PAGEREF _Toc233203386 \h </w:instrText>
        </w:r>
        <w:r>
          <w:rPr>
            <w:noProof/>
            <w:webHidden/>
          </w:rPr>
        </w:r>
        <w:r>
          <w:rPr>
            <w:noProof/>
            <w:webHidden/>
          </w:rPr>
          <w:fldChar w:fldCharType="separate"/>
        </w:r>
        <w:r>
          <w:rPr>
            <w:noProof/>
            <w:webHidden/>
          </w:rPr>
          <w:t>42</w:t>
        </w:r>
        <w:r>
          <w:rPr>
            <w:noProof/>
            <w:webHidden/>
          </w:rPr>
          <w:fldChar w:fldCharType="end"/>
        </w:r>
      </w:hyperlink>
    </w:p>
    <w:p w14:paraId="6EE91CA6" w14:textId="379CF63C"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87" w:history="1">
        <w:r w:rsidRPr="00897D3A">
          <w:rPr>
            <w:rStyle w:val="Hipercze"/>
            <w:noProof/>
          </w:rPr>
          <w:t>Tab. 15. Społeczne zamówienia publiczne z zastosowaniem art. 96 ust. 1 ustawy Pzp</w:t>
        </w:r>
        <w:r>
          <w:rPr>
            <w:noProof/>
            <w:webHidden/>
          </w:rPr>
          <w:tab/>
        </w:r>
        <w:r>
          <w:rPr>
            <w:noProof/>
            <w:webHidden/>
          </w:rPr>
          <w:fldChar w:fldCharType="begin"/>
        </w:r>
        <w:r>
          <w:rPr>
            <w:noProof/>
            <w:webHidden/>
          </w:rPr>
          <w:instrText xml:space="preserve"> PAGEREF _Toc233203387 \h </w:instrText>
        </w:r>
        <w:r>
          <w:rPr>
            <w:noProof/>
            <w:webHidden/>
          </w:rPr>
        </w:r>
        <w:r>
          <w:rPr>
            <w:noProof/>
            <w:webHidden/>
          </w:rPr>
          <w:fldChar w:fldCharType="separate"/>
        </w:r>
        <w:r>
          <w:rPr>
            <w:noProof/>
            <w:webHidden/>
          </w:rPr>
          <w:t>42</w:t>
        </w:r>
        <w:r>
          <w:rPr>
            <w:noProof/>
            <w:webHidden/>
          </w:rPr>
          <w:fldChar w:fldCharType="end"/>
        </w:r>
      </w:hyperlink>
    </w:p>
    <w:p w14:paraId="7FFCFFD7" w14:textId="668F74F0"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88" w:history="1">
        <w:r w:rsidRPr="00897D3A">
          <w:rPr>
            <w:rStyle w:val="Hipercze"/>
            <w:noProof/>
          </w:rPr>
          <w:t>Tab. 16. Społeczne zamówienia publiczne z zastosowaniem art. 104 ustawy Pzp</w:t>
        </w:r>
        <w:r>
          <w:rPr>
            <w:noProof/>
            <w:webHidden/>
          </w:rPr>
          <w:tab/>
        </w:r>
        <w:r>
          <w:rPr>
            <w:noProof/>
            <w:webHidden/>
          </w:rPr>
          <w:fldChar w:fldCharType="begin"/>
        </w:r>
        <w:r>
          <w:rPr>
            <w:noProof/>
            <w:webHidden/>
          </w:rPr>
          <w:instrText xml:space="preserve"> PAGEREF _Toc233203388 \h </w:instrText>
        </w:r>
        <w:r>
          <w:rPr>
            <w:noProof/>
            <w:webHidden/>
          </w:rPr>
        </w:r>
        <w:r>
          <w:rPr>
            <w:noProof/>
            <w:webHidden/>
          </w:rPr>
          <w:fldChar w:fldCharType="separate"/>
        </w:r>
        <w:r>
          <w:rPr>
            <w:noProof/>
            <w:webHidden/>
          </w:rPr>
          <w:t>43</w:t>
        </w:r>
        <w:r>
          <w:rPr>
            <w:noProof/>
            <w:webHidden/>
          </w:rPr>
          <w:fldChar w:fldCharType="end"/>
        </w:r>
      </w:hyperlink>
    </w:p>
    <w:p w14:paraId="27EFDEE8" w14:textId="7BFA7BEB"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89" w:history="1">
        <w:r w:rsidRPr="00897D3A">
          <w:rPr>
            <w:rStyle w:val="Hipercze"/>
            <w:noProof/>
          </w:rPr>
          <w:t>Tab. 17. Zamówienia publiczne z zastosowaniem art. 361 ust. 1 lub art. 392 ust. 3 ustawy Pzp</w:t>
        </w:r>
        <w:r>
          <w:rPr>
            <w:noProof/>
            <w:webHidden/>
          </w:rPr>
          <w:tab/>
        </w:r>
        <w:r>
          <w:rPr>
            <w:noProof/>
            <w:webHidden/>
          </w:rPr>
          <w:fldChar w:fldCharType="begin"/>
        </w:r>
        <w:r>
          <w:rPr>
            <w:noProof/>
            <w:webHidden/>
          </w:rPr>
          <w:instrText xml:space="preserve"> PAGEREF _Toc233203389 \h </w:instrText>
        </w:r>
        <w:r>
          <w:rPr>
            <w:noProof/>
            <w:webHidden/>
          </w:rPr>
        </w:r>
        <w:r>
          <w:rPr>
            <w:noProof/>
            <w:webHidden/>
          </w:rPr>
          <w:fldChar w:fldCharType="separate"/>
        </w:r>
        <w:r>
          <w:rPr>
            <w:noProof/>
            <w:webHidden/>
          </w:rPr>
          <w:t>43</w:t>
        </w:r>
        <w:r>
          <w:rPr>
            <w:noProof/>
            <w:webHidden/>
          </w:rPr>
          <w:fldChar w:fldCharType="end"/>
        </w:r>
      </w:hyperlink>
    </w:p>
    <w:p w14:paraId="3847313D" w14:textId="6B3C2A4B"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90" w:history="1">
        <w:r w:rsidRPr="00897D3A">
          <w:rPr>
            <w:rStyle w:val="Hipercze"/>
            <w:noProof/>
          </w:rPr>
          <w:t>Tab. 18. Zielone zamówienia publiczne w 2025 r. – dane ogólne</w:t>
        </w:r>
        <w:r>
          <w:rPr>
            <w:noProof/>
            <w:webHidden/>
          </w:rPr>
          <w:tab/>
        </w:r>
        <w:r>
          <w:rPr>
            <w:noProof/>
            <w:webHidden/>
          </w:rPr>
          <w:fldChar w:fldCharType="begin"/>
        </w:r>
        <w:r>
          <w:rPr>
            <w:noProof/>
            <w:webHidden/>
          </w:rPr>
          <w:instrText xml:space="preserve"> PAGEREF _Toc233203390 \h </w:instrText>
        </w:r>
        <w:r>
          <w:rPr>
            <w:noProof/>
            <w:webHidden/>
          </w:rPr>
        </w:r>
        <w:r>
          <w:rPr>
            <w:noProof/>
            <w:webHidden/>
          </w:rPr>
          <w:fldChar w:fldCharType="separate"/>
        </w:r>
        <w:r>
          <w:rPr>
            <w:noProof/>
            <w:webHidden/>
          </w:rPr>
          <w:t>47</w:t>
        </w:r>
        <w:r>
          <w:rPr>
            <w:noProof/>
            <w:webHidden/>
          </w:rPr>
          <w:fldChar w:fldCharType="end"/>
        </w:r>
      </w:hyperlink>
    </w:p>
    <w:p w14:paraId="1E38CB87" w14:textId="19B693CB"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91" w:history="1">
        <w:r w:rsidRPr="00897D3A">
          <w:rPr>
            <w:rStyle w:val="Hipercze"/>
            <w:noProof/>
          </w:rPr>
          <w:t>Tab. 19. Zielone zamówienia publiczne z zastosowaniem art. 101 ustawy Pzp</w:t>
        </w:r>
        <w:r>
          <w:rPr>
            <w:noProof/>
            <w:webHidden/>
          </w:rPr>
          <w:tab/>
        </w:r>
        <w:r>
          <w:rPr>
            <w:noProof/>
            <w:webHidden/>
          </w:rPr>
          <w:fldChar w:fldCharType="begin"/>
        </w:r>
        <w:r>
          <w:rPr>
            <w:noProof/>
            <w:webHidden/>
          </w:rPr>
          <w:instrText xml:space="preserve"> PAGEREF _Toc233203391 \h </w:instrText>
        </w:r>
        <w:r>
          <w:rPr>
            <w:noProof/>
            <w:webHidden/>
          </w:rPr>
        </w:r>
        <w:r>
          <w:rPr>
            <w:noProof/>
            <w:webHidden/>
          </w:rPr>
          <w:fldChar w:fldCharType="separate"/>
        </w:r>
        <w:r>
          <w:rPr>
            <w:noProof/>
            <w:webHidden/>
          </w:rPr>
          <w:t>48</w:t>
        </w:r>
        <w:r>
          <w:rPr>
            <w:noProof/>
            <w:webHidden/>
          </w:rPr>
          <w:fldChar w:fldCharType="end"/>
        </w:r>
      </w:hyperlink>
    </w:p>
    <w:p w14:paraId="03E4AFC5" w14:textId="6E5637AF"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92" w:history="1">
        <w:r w:rsidRPr="00897D3A">
          <w:rPr>
            <w:rStyle w:val="Hipercze"/>
            <w:noProof/>
          </w:rPr>
          <w:t>Tab. 20. Zielone zamówienia publiczne z zastosowaniem art. 116 ust. 1 ustawy Pzp</w:t>
        </w:r>
        <w:r>
          <w:rPr>
            <w:noProof/>
            <w:webHidden/>
          </w:rPr>
          <w:tab/>
        </w:r>
        <w:r>
          <w:rPr>
            <w:noProof/>
            <w:webHidden/>
          </w:rPr>
          <w:fldChar w:fldCharType="begin"/>
        </w:r>
        <w:r>
          <w:rPr>
            <w:noProof/>
            <w:webHidden/>
          </w:rPr>
          <w:instrText xml:space="preserve"> PAGEREF _Toc233203392 \h </w:instrText>
        </w:r>
        <w:r>
          <w:rPr>
            <w:noProof/>
            <w:webHidden/>
          </w:rPr>
        </w:r>
        <w:r>
          <w:rPr>
            <w:noProof/>
            <w:webHidden/>
          </w:rPr>
          <w:fldChar w:fldCharType="separate"/>
        </w:r>
        <w:r>
          <w:rPr>
            <w:noProof/>
            <w:webHidden/>
          </w:rPr>
          <w:t>48</w:t>
        </w:r>
        <w:r>
          <w:rPr>
            <w:noProof/>
            <w:webHidden/>
          </w:rPr>
          <w:fldChar w:fldCharType="end"/>
        </w:r>
      </w:hyperlink>
    </w:p>
    <w:p w14:paraId="7737D51B" w14:textId="4C69F862"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93" w:history="1">
        <w:r w:rsidRPr="00897D3A">
          <w:rPr>
            <w:rStyle w:val="Hipercze"/>
            <w:noProof/>
          </w:rPr>
          <w:t>Tab. 21. Zielone zamówienia publiczne z zastosowaniem art. 242 ust. 2 ustawy Pzp</w:t>
        </w:r>
        <w:r>
          <w:rPr>
            <w:noProof/>
            <w:webHidden/>
          </w:rPr>
          <w:tab/>
        </w:r>
        <w:r>
          <w:rPr>
            <w:noProof/>
            <w:webHidden/>
          </w:rPr>
          <w:fldChar w:fldCharType="begin"/>
        </w:r>
        <w:r>
          <w:rPr>
            <w:noProof/>
            <w:webHidden/>
          </w:rPr>
          <w:instrText xml:space="preserve"> PAGEREF _Toc233203393 \h </w:instrText>
        </w:r>
        <w:r>
          <w:rPr>
            <w:noProof/>
            <w:webHidden/>
          </w:rPr>
        </w:r>
        <w:r>
          <w:rPr>
            <w:noProof/>
            <w:webHidden/>
          </w:rPr>
          <w:fldChar w:fldCharType="separate"/>
        </w:r>
        <w:r>
          <w:rPr>
            <w:noProof/>
            <w:webHidden/>
          </w:rPr>
          <w:t>48</w:t>
        </w:r>
        <w:r>
          <w:rPr>
            <w:noProof/>
            <w:webHidden/>
          </w:rPr>
          <w:fldChar w:fldCharType="end"/>
        </w:r>
      </w:hyperlink>
    </w:p>
    <w:p w14:paraId="33F76405" w14:textId="57A58FB4"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94" w:history="1">
        <w:r w:rsidRPr="00897D3A">
          <w:rPr>
            <w:rStyle w:val="Hipercze"/>
            <w:noProof/>
          </w:rPr>
          <w:t>Tab. 22. Zielone zamówienia publiczne z zastosowaniem art. 245 ust. 1 ustawy Pzp</w:t>
        </w:r>
        <w:r>
          <w:rPr>
            <w:noProof/>
            <w:webHidden/>
          </w:rPr>
          <w:tab/>
        </w:r>
        <w:r>
          <w:rPr>
            <w:noProof/>
            <w:webHidden/>
          </w:rPr>
          <w:fldChar w:fldCharType="begin"/>
        </w:r>
        <w:r>
          <w:rPr>
            <w:noProof/>
            <w:webHidden/>
          </w:rPr>
          <w:instrText xml:space="preserve"> PAGEREF _Toc233203394 \h </w:instrText>
        </w:r>
        <w:r>
          <w:rPr>
            <w:noProof/>
            <w:webHidden/>
          </w:rPr>
        </w:r>
        <w:r>
          <w:rPr>
            <w:noProof/>
            <w:webHidden/>
          </w:rPr>
          <w:fldChar w:fldCharType="separate"/>
        </w:r>
        <w:r>
          <w:rPr>
            <w:noProof/>
            <w:webHidden/>
          </w:rPr>
          <w:t>49</w:t>
        </w:r>
        <w:r>
          <w:rPr>
            <w:noProof/>
            <w:webHidden/>
          </w:rPr>
          <w:fldChar w:fldCharType="end"/>
        </w:r>
      </w:hyperlink>
    </w:p>
    <w:p w14:paraId="34C4ED5B" w14:textId="3A3B63BD"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95" w:history="1">
        <w:r w:rsidRPr="00897D3A">
          <w:rPr>
            <w:rStyle w:val="Hipercze"/>
            <w:noProof/>
          </w:rPr>
          <w:t>Tab. 23. Zamówienia publiczne z zastosowaniem art. 96 ust. 1 ustawy Pzp</w:t>
        </w:r>
        <w:r>
          <w:rPr>
            <w:noProof/>
            <w:webHidden/>
          </w:rPr>
          <w:tab/>
        </w:r>
        <w:r>
          <w:rPr>
            <w:noProof/>
            <w:webHidden/>
          </w:rPr>
          <w:fldChar w:fldCharType="begin"/>
        </w:r>
        <w:r>
          <w:rPr>
            <w:noProof/>
            <w:webHidden/>
          </w:rPr>
          <w:instrText xml:space="preserve"> PAGEREF _Toc233203395 \h </w:instrText>
        </w:r>
        <w:r>
          <w:rPr>
            <w:noProof/>
            <w:webHidden/>
          </w:rPr>
        </w:r>
        <w:r>
          <w:rPr>
            <w:noProof/>
            <w:webHidden/>
          </w:rPr>
          <w:fldChar w:fldCharType="separate"/>
        </w:r>
        <w:r>
          <w:rPr>
            <w:noProof/>
            <w:webHidden/>
          </w:rPr>
          <w:t>49</w:t>
        </w:r>
        <w:r>
          <w:rPr>
            <w:noProof/>
            <w:webHidden/>
          </w:rPr>
          <w:fldChar w:fldCharType="end"/>
        </w:r>
      </w:hyperlink>
    </w:p>
    <w:p w14:paraId="01D29839" w14:textId="7C357387"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96" w:history="1">
        <w:r w:rsidRPr="00897D3A">
          <w:rPr>
            <w:rStyle w:val="Hipercze"/>
            <w:noProof/>
          </w:rPr>
          <w:t>Tab. 24. Zamówienia publiczne z zastosowaniem art. 104 ustawy Pzp</w:t>
        </w:r>
        <w:r>
          <w:rPr>
            <w:noProof/>
            <w:webHidden/>
          </w:rPr>
          <w:tab/>
        </w:r>
        <w:r>
          <w:rPr>
            <w:noProof/>
            <w:webHidden/>
          </w:rPr>
          <w:fldChar w:fldCharType="begin"/>
        </w:r>
        <w:r>
          <w:rPr>
            <w:noProof/>
            <w:webHidden/>
          </w:rPr>
          <w:instrText xml:space="preserve"> PAGEREF _Toc233203396 \h </w:instrText>
        </w:r>
        <w:r>
          <w:rPr>
            <w:noProof/>
            <w:webHidden/>
          </w:rPr>
        </w:r>
        <w:r>
          <w:rPr>
            <w:noProof/>
            <w:webHidden/>
          </w:rPr>
          <w:fldChar w:fldCharType="separate"/>
        </w:r>
        <w:r>
          <w:rPr>
            <w:noProof/>
            <w:webHidden/>
          </w:rPr>
          <w:t>49</w:t>
        </w:r>
        <w:r>
          <w:rPr>
            <w:noProof/>
            <w:webHidden/>
          </w:rPr>
          <w:fldChar w:fldCharType="end"/>
        </w:r>
      </w:hyperlink>
    </w:p>
    <w:p w14:paraId="07268639" w14:textId="6B318F73"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97" w:history="1">
        <w:r w:rsidRPr="00897D3A">
          <w:rPr>
            <w:rStyle w:val="Hipercze"/>
            <w:noProof/>
          </w:rPr>
          <w:t>Tab. 25. Zamówienia publiczne na innowacje w 2025 r. – dane ogólne</w:t>
        </w:r>
        <w:r>
          <w:rPr>
            <w:noProof/>
            <w:webHidden/>
          </w:rPr>
          <w:tab/>
        </w:r>
        <w:r>
          <w:rPr>
            <w:noProof/>
            <w:webHidden/>
          </w:rPr>
          <w:fldChar w:fldCharType="begin"/>
        </w:r>
        <w:r>
          <w:rPr>
            <w:noProof/>
            <w:webHidden/>
          </w:rPr>
          <w:instrText xml:space="preserve"> PAGEREF _Toc233203397 \h </w:instrText>
        </w:r>
        <w:r>
          <w:rPr>
            <w:noProof/>
            <w:webHidden/>
          </w:rPr>
        </w:r>
        <w:r>
          <w:rPr>
            <w:noProof/>
            <w:webHidden/>
          </w:rPr>
          <w:fldChar w:fldCharType="separate"/>
        </w:r>
        <w:r>
          <w:rPr>
            <w:noProof/>
            <w:webHidden/>
          </w:rPr>
          <w:t>53</w:t>
        </w:r>
        <w:r>
          <w:rPr>
            <w:noProof/>
            <w:webHidden/>
          </w:rPr>
          <w:fldChar w:fldCharType="end"/>
        </w:r>
      </w:hyperlink>
    </w:p>
    <w:p w14:paraId="6BF7DF12" w14:textId="3BA2E5F3"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98" w:history="1">
        <w:r w:rsidRPr="00897D3A">
          <w:rPr>
            <w:rStyle w:val="Hipercze"/>
            <w:noProof/>
          </w:rPr>
          <w:t>Tab. 26. Innowacyjne zamówienia publiczne z zastosowaniem art. 242 ust. 2 ustawy Pzp</w:t>
        </w:r>
        <w:r>
          <w:rPr>
            <w:noProof/>
            <w:webHidden/>
          </w:rPr>
          <w:tab/>
        </w:r>
        <w:r>
          <w:rPr>
            <w:noProof/>
            <w:webHidden/>
          </w:rPr>
          <w:fldChar w:fldCharType="begin"/>
        </w:r>
        <w:r>
          <w:rPr>
            <w:noProof/>
            <w:webHidden/>
          </w:rPr>
          <w:instrText xml:space="preserve"> PAGEREF _Toc233203398 \h </w:instrText>
        </w:r>
        <w:r>
          <w:rPr>
            <w:noProof/>
            <w:webHidden/>
          </w:rPr>
        </w:r>
        <w:r>
          <w:rPr>
            <w:noProof/>
            <w:webHidden/>
          </w:rPr>
          <w:fldChar w:fldCharType="separate"/>
        </w:r>
        <w:r>
          <w:rPr>
            <w:noProof/>
            <w:webHidden/>
          </w:rPr>
          <w:t>53</w:t>
        </w:r>
        <w:r>
          <w:rPr>
            <w:noProof/>
            <w:webHidden/>
          </w:rPr>
          <w:fldChar w:fldCharType="end"/>
        </w:r>
      </w:hyperlink>
    </w:p>
    <w:p w14:paraId="1F35A660" w14:textId="64854C4E"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399" w:history="1">
        <w:r w:rsidRPr="00897D3A">
          <w:rPr>
            <w:rStyle w:val="Hipercze"/>
            <w:noProof/>
          </w:rPr>
          <w:t>Tab. 27. Innowacyjne zamówienia publiczne z zastosowaniem art. 96 ust. 1 ustawy Pzp</w:t>
        </w:r>
        <w:r>
          <w:rPr>
            <w:noProof/>
            <w:webHidden/>
          </w:rPr>
          <w:tab/>
        </w:r>
        <w:r>
          <w:rPr>
            <w:noProof/>
            <w:webHidden/>
          </w:rPr>
          <w:fldChar w:fldCharType="begin"/>
        </w:r>
        <w:r>
          <w:rPr>
            <w:noProof/>
            <w:webHidden/>
          </w:rPr>
          <w:instrText xml:space="preserve"> PAGEREF _Toc233203399 \h </w:instrText>
        </w:r>
        <w:r>
          <w:rPr>
            <w:noProof/>
            <w:webHidden/>
          </w:rPr>
        </w:r>
        <w:r>
          <w:rPr>
            <w:noProof/>
            <w:webHidden/>
          </w:rPr>
          <w:fldChar w:fldCharType="separate"/>
        </w:r>
        <w:r>
          <w:rPr>
            <w:noProof/>
            <w:webHidden/>
          </w:rPr>
          <w:t>53</w:t>
        </w:r>
        <w:r>
          <w:rPr>
            <w:noProof/>
            <w:webHidden/>
          </w:rPr>
          <w:fldChar w:fldCharType="end"/>
        </w:r>
      </w:hyperlink>
    </w:p>
    <w:p w14:paraId="683C6A58" w14:textId="784599A8"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00" w:history="1">
        <w:r w:rsidRPr="00897D3A">
          <w:rPr>
            <w:rStyle w:val="Hipercze"/>
            <w:noProof/>
          </w:rPr>
          <w:t>Tab. 28. Społeczne zamówienia publiczne udzielane przez jednostki administracji rządowej w 2025 r. – dane ogólne</w:t>
        </w:r>
        <w:r>
          <w:rPr>
            <w:noProof/>
            <w:webHidden/>
          </w:rPr>
          <w:tab/>
        </w:r>
        <w:r>
          <w:rPr>
            <w:noProof/>
            <w:webHidden/>
          </w:rPr>
          <w:fldChar w:fldCharType="begin"/>
        </w:r>
        <w:r>
          <w:rPr>
            <w:noProof/>
            <w:webHidden/>
          </w:rPr>
          <w:instrText xml:space="preserve"> PAGEREF _Toc233203400 \h </w:instrText>
        </w:r>
        <w:r>
          <w:rPr>
            <w:noProof/>
            <w:webHidden/>
          </w:rPr>
        </w:r>
        <w:r>
          <w:rPr>
            <w:noProof/>
            <w:webHidden/>
          </w:rPr>
          <w:fldChar w:fldCharType="separate"/>
        </w:r>
        <w:r>
          <w:rPr>
            <w:noProof/>
            <w:webHidden/>
          </w:rPr>
          <w:t>56</w:t>
        </w:r>
        <w:r>
          <w:rPr>
            <w:noProof/>
            <w:webHidden/>
          </w:rPr>
          <w:fldChar w:fldCharType="end"/>
        </w:r>
      </w:hyperlink>
    </w:p>
    <w:p w14:paraId="70C89805" w14:textId="7060BDC6"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01" w:history="1">
        <w:r w:rsidRPr="00897D3A">
          <w:rPr>
            <w:rStyle w:val="Hipercze"/>
            <w:noProof/>
          </w:rPr>
          <w:t>Tab. 29. Zamówienia publiczne udzielane przez jednostki administracji rządowej z zastosowaniem art. 94 ust. 1 ustawy Pzp</w:t>
        </w:r>
        <w:r>
          <w:rPr>
            <w:noProof/>
            <w:webHidden/>
          </w:rPr>
          <w:tab/>
        </w:r>
        <w:r>
          <w:rPr>
            <w:noProof/>
            <w:webHidden/>
          </w:rPr>
          <w:fldChar w:fldCharType="begin"/>
        </w:r>
        <w:r>
          <w:rPr>
            <w:noProof/>
            <w:webHidden/>
          </w:rPr>
          <w:instrText xml:space="preserve"> PAGEREF _Toc233203401 \h </w:instrText>
        </w:r>
        <w:r>
          <w:rPr>
            <w:noProof/>
            <w:webHidden/>
          </w:rPr>
        </w:r>
        <w:r>
          <w:rPr>
            <w:noProof/>
            <w:webHidden/>
          </w:rPr>
          <w:fldChar w:fldCharType="separate"/>
        </w:r>
        <w:r>
          <w:rPr>
            <w:noProof/>
            <w:webHidden/>
          </w:rPr>
          <w:t>57</w:t>
        </w:r>
        <w:r>
          <w:rPr>
            <w:noProof/>
            <w:webHidden/>
          </w:rPr>
          <w:fldChar w:fldCharType="end"/>
        </w:r>
      </w:hyperlink>
    </w:p>
    <w:p w14:paraId="5A7CE0CA" w14:textId="7B0C475D"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02" w:history="1">
        <w:r w:rsidRPr="00897D3A">
          <w:rPr>
            <w:rStyle w:val="Hipercze"/>
            <w:noProof/>
          </w:rPr>
          <w:t>Tab. 30. Zamówienia publiczne udzielane przez jednostki administracji rządowej z zastosowaniem art. 100 ust. 1 ustawy Pzp</w:t>
        </w:r>
        <w:r>
          <w:rPr>
            <w:noProof/>
            <w:webHidden/>
          </w:rPr>
          <w:tab/>
        </w:r>
        <w:r>
          <w:rPr>
            <w:noProof/>
            <w:webHidden/>
          </w:rPr>
          <w:fldChar w:fldCharType="begin"/>
        </w:r>
        <w:r>
          <w:rPr>
            <w:noProof/>
            <w:webHidden/>
          </w:rPr>
          <w:instrText xml:space="preserve"> PAGEREF _Toc233203402 \h </w:instrText>
        </w:r>
        <w:r>
          <w:rPr>
            <w:noProof/>
            <w:webHidden/>
          </w:rPr>
        </w:r>
        <w:r>
          <w:rPr>
            <w:noProof/>
            <w:webHidden/>
          </w:rPr>
          <w:fldChar w:fldCharType="separate"/>
        </w:r>
        <w:r>
          <w:rPr>
            <w:noProof/>
            <w:webHidden/>
          </w:rPr>
          <w:t>58</w:t>
        </w:r>
        <w:r>
          <w:rPr>
            <w:noProof/>
            <w:webHidden/>
          </w:rPr>
          <w:fldChar w:fldCharType="end"/>
        </w:r>
      </w:hyperlink>
    </w:p>
    <w:p w14:paraId="03C891A8" w14:textId="6086E896"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03" w:history="1">
        <w:r w:rsidRPr="00897D3A">
          <w:rPr>
            <w:rStyle w:val="Hipercze"/>
            <w:noProof/>
          </w:rPr>
          <w:t>Tab. 31. Społeczne zamówienia publiczne udzielane przez jednostki administracji rządowej z zastosowaniem art. 242 ust. 2 ustawy Pzp</w:t>
        </w:r>
        <w:r>
          <w:rPr>
            <w:noProof/>
            <w:webHidden/>
          </w:rPr>
          <w:tab/>
        </w:r>
        <w:r>
          <w:rPr>
            <w:noProof/>
            <w:webHidden/>
          </w:rPr>
          <w:fldChar w:fldCharType="begin"/>
        </w:r>
        <w:r>
          <w:rPr>
            <w:noProof/>
            <w:webHidden/>
          </w:rPr>
          <w:instrText xml:space="preserve"> PAGEREF _Toc233203403 \h </w:instrText>
        </w:r>
        <w:r>
          <w:rPr>
            <w:noProof/>
            <w:webHidden/>
          </w:rPr>
        </w:r>
        <w:r>
          <w:rPr>
            <w:noProof/>
            <w:webHidden/>
          </w:rPr>
          <w:fldChar w:fldCharType="separate"/>
        </w:r>
        <w:r>
          <w:rPr>
            <w:noProof/>
            <w:webHidden/>
          </w:rPr>
          <w:t>58</w:t>
        </w:r>
        <w:r>
          <w:rPr>
            <w:noProof/>
            <w:webHidden/>
          </w:rPr>
          <w:fldChar w:fldCharType="end"/>
        </w:r>
      </w:hyperlink>
    </w:p>
    <w:p w14:paraId="40889F91" w14:textId="6F94F2BA"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04" w:history="1">
        <w:r w:rsidRPr="00897D3A">
          <w:rPr>
            <w:rStyle w:val="Hipercze"/>
            <w:noProof/>
          </w:rPr>
          <w:t>Tab. 32. Zamówienia publiczne udzielane przez jednostki administracji rządowej z zastosowaniem art. 95 ust. 1 ustawy Pzp</w:t>
        </w:r>
        <w:r>
          <w:rPr>
            <w:noProof/>
            <w:webHidden/>
          </w:rPr>
          <w:tab/>
        </w:r>
        <w:r>
          <w:rPr>
            <w:noProof/>
            <w:webHidden/>
          </w:rPr>
          <w:fldChar w:fldCharType="begin"/>
        </w:r>
        <w:r>
          <w:rPr>
            <w:noProof/>
            <w:webHidden/>
          </w:rPr>
          <w:instrText xml:space="preserve"> PAGEREF _Toc233203404 \h </w:instrText>
        </w:r>
        <w:r>
          <w:rPr>
            <w:noProof/>
            <w:webHidden/>
          </w:rPr>
        </w:r>
        <w:r>
          <w:rPr>
            <w:noProof/>
            <w:webHidden/>
          </w:rPr>
          <w:fldChar w:fldCharType="separate"/>
        </w:r>
        <w:r>
          <w:rPr>
            <w:noProof/>
            <w:webHidden/>
          </w:rPr>
          <w:t>58</w:t>
        </w:r>
        <w:r>
          <w:rPr>
            <w:noProof/>
            <w:webHidden/>
          </w:rPr>
          <w:fldChar w:fldCharType="end"/>
        </w:r>
      </w:hyperlink>
    </w:p>
    <w:p w14:paraId="545E46BB" w14:textId="63F89AAB"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05" w:history="1">
        <w:r w:rsidRPr="00897D3A">
          <w:rPr>
            <w:rStyle w:val="Hipercze"/>
            <w:noProof/>
          </w:rPr>
          <w:t>Tab. 33. Społeczne zamówienia publiczne udzielane przez jednostki administracji rządowej z zastosowaniem art. 96 ust. 1 ustawy Pzp</w:t>
        </w:r>
        <w:r>
          <w:rPr>
            <w:noProof/>
            <w:webHidden/>
          </w:rPr>
          <w:tab/>
        </w:r>
        <w:r>
          <w:rPr>
            <w:noProof/>
            <w:webHidden/>
          </w:rPr>
          <w:fldChar w:fldCharType="begin"/>
        </w:r>
        <w:r>
          <w:rPr>
            <w:noProof/>
            <w:webHidden/>
          </w:rPr>
          <w:instrText xml:space="preserve"> PAGEREF _Toc233203405 \h </w:instrText>
        </w:r>
        <w:r>
          <w:rPr>
            <w:noProof/>
            <w:webHidden/>
          </w:rPr>
        </w:r>
        <w:r>
          <w:rPr>
            <w:noProof/>
            <w:webHidden/>
          </w:rPr>
          <w:fldChar w:fldCharType="separate"/>
        </w:r>
        <w:r>
          <w:rPr>
            <w:noProof/>
            <w:webHidden/>
          </w:rPr>
          <w:t>59</w:t>
        </w:r>
        <w:r>
          <w:rPr>
            <w:noProof/>
            <w:webHidden/>
          </w:rPr>
          <w:fldChar w:fldCharType="end"/>
        </w:r>
      </w:hyperlink>
    </w:p>
    <w:p w14:paraId="3FCC5198" w14:textId="125B82B4"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06" w:history="1">
        <w:r w:rsidRPr="00897D3A">
          <w:rPr>
            <w:rStyle w:val="Hipercze"/>
            <w:noProof/>
          </w:rPr>
          <w:t>Tab. 34. Społeczne zamówienia publiczne udzielane przez jednostki administracji rządowej z zastosowaniem art. 104 ustawy Pzp</w:t>
        </w:r>
        <w:r>
          <w:rPr>
            <w:noProof/>
            <w:webHidden/>
          </w:rPr>
          <w:tab/>
        </w:r>
        <w:r>
          <w:rPr>
            <w:noProof/>
            <w:webHidden/>
          </w:rPr>
          <w:fldChar w:fldCharType="begin"/>
        </w:r>
        <w:r>
          <w:rPr>
            <w:noProof/>
            <w:webHidden/>
          </w:rPr>
          <w:instrText xml:space="preserve"> PAGEREF _Toc233203406 \h </w:instrText>
        </w:r>
        <w:r>
          <w:rPr>
            <w:noProof/>
            <w:webHidden/>
          </w:rPr>
        </w:r>
        <w:r>
          <w:rPr>
            <w:noProof/>
            <w:webHidden/>
          </w:rPr>
          <w:fldChar w:fldCharType="separate"/>
        </w:r>
        <w:r>
          <w:rPr>
            <w:noProof/>
            <w:webHidden/>
          </w:rPr>
          <w:t>59</w:t>
        </w:r>
        <w:r>
          <w:rPr>
            <w:noProof/>
            <w:webHidden/>
          </w:rPr>
          <w:fldChar w:fldCharType="end"/>
        </w:r>
      </w:hyperlink>
    </w:p>
    <w:p w14:paraId="1C631002" w14:textId="536AF38E"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07" w:history="1">
        <w:r w:rsidRPr="00897D3A">
          <w:rPr>
            <w:rStyle w:val="Hipercze"/>
            <w:noProof/>
          </w:rPr>
          <w:t>Tab. 35. Zamówienia publiczne udzielane przez jednostki administracji rządowej z zastosowaniem art. 361 ust. 1 lub art. 392 ust. 3 ustawy Pzp</w:t>
        </w:r>
        <w:r>
          <w:rPr>
            <w:noProof/>
            <w:webHidden/>
          </w:rPr>
          <w:tab/>
        </w:r>
        <w:r>
          <w:rPr>
            <w:noProof/>
            <w:webHidden/>
          </w:rPr>
          <w:fldChar w:fldCharType="begin"/>
        </w:r>
        <w:r>
          <w:rPr>
            <w:noProof/>
            <w:webHidden/>
          </w:rPr>
          <w:instrText xml:space="preserve"> PAGEREF _Toc233203407 \h </w:instrText>
        </w:r>
        <w:r>
          <w:rPr>
            <w:noProof/>
            <w:webHidden/>
          </w:rPr>
        </w:r>
        <w:r>
          <w:rPr>
            <w:noProof/>
            <w:webHidden/>
          </w:rPr>
          <w:fldChar w:fldCharType="separate"/>
        </w:r>
        <w:r>
          <w:rPr>
            <w:noProof/>
            <w:webHidden/>
          </w:rPr>
          <w:t>59</w:t>
        </w:r>
        <w:r>
          <w:rPr>
            <w:noProof/>
            <w:webHidden/>
          </w:rPr>
          <w:fldChar w:fldCharType="end"/>
        </w:r>
      </w:hyperlink>
    </w:p>
    <w:p w14:paraId="1F69E3C3" w14:textId="0C0CFD81"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08" w:history="1">
        <w:r w:rsidRPr="00897D3A">
          <w:rPr>
            <w:rStyle w:val="Hipercze"/>
            <w:noProof/>
          </w:rPr>
          <w:t>Tab. 36. Zielone zamówienia publiczne udzielane przez jednostki administracji rządowej w 2025 r. – dane ogólne</w:t>
        </w:r>
        <w:r>
          <w:rPr>
            <w:noProof/>
            <w:webHidden/>
          </w:rPr>
          <w:tab/>
        </w:r>
        <w:r>
          <w:rPr>
            <w:noProof/>
            <w:webHidden/>
          </w:rPr>
          <w:fldChar w:fldCharType="begin"/>
        </w:r>
        <w:r>
          <w:rPr>
            <w:noProof/>
            <w:webHidden/>
          </w:rPr>
          <w:instrText xml:space="preserve"> PAGEREF _Toc233203408 \h </w:instrText>
        </w:r>
        <w:r>
          <w:rPr>
            <w:noProof/>
            <w:webHidden/>
          </w:rPr>
        </w:r>
        <w:r>
          <w:rPr>
            <w:noProof/>
            <w:webHidden/>
          </w:rPr>
          <w:fldChar w:fldCharType="separate"/>
        </w:r>
        <w:r>
          <w:rPr>
            <w:noProof/>
            <w:webHidden/>
          </w:rPr>
          <w:t>63</w:t>
        </w:r>
        <w:r>
          <w:rPr>
            <w:noProof/>
            <w:webHidden/>
          </w:rPr>
          <w:fldChar w:fldCharType="end"/>
        </w:r>
      </w:hyperlink>
    </w:p>
    <w:p w14:paraId="3C536ACF" w14:textId="71C18CD0"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09" w:history="1">
        <w:r w:rsidRPr="00897D3A">
          <w:rPr>
            <w:rStyle w:val="Hipercze"/>
            <w:noProof/>
          </w:rPr>
          <w:t>Tab. 37. Zielone zamówienia publiczne udzielane przez jednostki administracji rządowej z zastosowaniem art. 101 ustawy Pzp</w:t>
        </w:r>
        <w:r>
          <w:rPr>
            <w:noProof/>
            <w:webHidden/>
          </w:rPr>
          <w:tab/>
        </w:r>
        <w:r>
          <w:rPr>
            <w:noProof/>
            <w:webHidden/>
          </w:rPr>
          <w:fldChar w:fldCharType="begin"/>
        </w:r>
        <w:r>
          <w:rPr>
            <w:noProof/>
            <w:webHidden/>
          </w:rPr>
          <w:instrText xml:space="preserve"> PAGEREF _Toc233203409 \h </w:instrText>
        </w:r>
        <w:r>
          <w:rPr>
            <w:noProof/>
            <w:webHidden/>
          </w:rPr>
        </w:r>
        <w:r>
          <w:rPr>
            <w:noProof/>
            <w:webHidden/>
          </w:rPr>
          <w:fldChar w:fldCharType="separate"/>
        </w:r>
        <w:r>
          <w:rPr>
            <w:noProof/>
            <w:webHidden/>
          </w:rPr>
          <w:t>64</w:t>
        </w:r>
        <w:r>
          <w:rPr>
            <w:noProof/>
            <w:webHidden/>
          </w:rPr>
          <w:fldChar w:fldCharType="end"/>
        </w:r>
      </w:hyperlink>
    </w:p>
    <w:p w14:paraId="67355F2A" w14:textId="7828C4F6"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10" w:history="1">
        <w:r w:rsidRPr="00897D3A">
          <w:rPr>
            <w:rStyle w:val="Hipercze"/>
            <w:noProof/>
          </w:rPr>
          <w:t>Tab. 38. Zielone zamówienia publiczne udzielane przez jednostki administracji rządowej z zastosowaniem art. 116 ust. 1 ustawy Pzp</w:t>
        </w:r>
        <w:r>
          <w:rPr>
            <w:noProof/>
            <w:webHidden/>
          </w:rPr>
          <w:tab/>
        </w:r>
        <w:r>
          <w:rPr>
            <w:noProof/>
            <w:webHidden/>
          </w:rPr>
          <w:fldChar w:fldCharType="begin"/>
        </w:r>
        <w:r>
          <w:rPr>
            <w:noProof/>
            <w:webHidden/>
          </w:rPr>
          <w:instrText xml:space="preserve"> PAGEREF _Toc233203410 \h </w:instrText>
        </w:r>
        <w:r>
          <w:rPr>
            <w:noProof/>
            <w:webHidden/>
          </w:rPr>
        </w:r>
        <w:r>
          <w:rPr>
            <w:noProof/>
            <w:webHidden/>
          </w:rPr>
          <w:fldChar w:fldCharType="separate"/>
        </w:r>
        <w:r>
          <w:rPr>
            <w:noProof/>
            <w:webHidden/>
          </w:rPr>
          <w:t>64</w:t>
        </w:r>
        <w:r>
          <w:rPr>
            <w:noProof/>
            <w:webHidden/>
          </w:rPr>
          <w:fldChar w:fldCharType="end"/>
        </w:r>
      </w:hyperlink>
    </w:p>
    <w:p w14:paraId="0590B18B" w14:textId="3B62D4DD"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11" w:history="1">
        <w:r w:rsidRPr="00897D3A">
          <w:rPr>
            <w:rStyle w:val="Hipercze"/>
            <w:noProof/>
          </w:rPr>
          <w:t>Tab. 39. Zielone zamówienia publiczne udzielane przez jednostki administracji rządowej z zastosowaniem art. 242 ust. 2 ustawy Pzp</w:t>
        </w:r>
        <w:r>
          <w:rPr>
            <w:noProof/>
            <w:webHidden/>
          </w:rPr>
          <w:tab/>
        </w:r>
        <w:r>
          <w:rPr>
            <w:noProof/>
            <w:webHidden/>
          </w:rPr>
          <w:fldChar w:fldCharType="begin"/>
        </w:r>
        <w:r>
          <w:rPr>
            <w:noProof/>
            <w:webHidden/>
          </w:rPr>
          <w:instrText xml:space="preserve"> PAGEREF _Toc233203411 \h </w:instrText>
        </w:r>
        <w:r>
          <w:rPr>
            <w:noProof/>
            <w:webHidden/>
          </w:rPr>
        </w:r>
        <w:r>
          <w:rPr>
            <w:noProof/>
            <w:webHidden/>
          </w:rPr>
          <w:fldChar w:fldCharType="separate"/>
        </w:r>
        <w:r>
          <w:rPr>
            <w:noProof/>
            <w:webHidden/>
          </w:rPr>
          <w:t>64</w:t>
        </w:r>
        <w:r>
          <w:rPr>
            <w:noProof/>
            <w:webHidden/>
          </w:rPr>
          <w:fldChar w:fldCharType="end"/>
        </w:r>
      </w:hyperlink>
    </w:p>
    <w:p w14:paraId="1AF7C876" w14:textId="1E0E6150"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12" w:history="1">
        <w:r w:rsidRPr="00897D3A">
          <w:rPr>
            <w:rStyle w:val="Hipercze"/>
            <w:noProof/>
          </w:rPr>
          <w:t>Tab. 40. Zielone zamówienia publiczne udzielane przez jednostki administracji rządowej z zastosowaniem art. 245 ust. 1 ustawy Pzp</w:t>
        </w:r>
        <w:r>
          <w:rPr>
            <w:noProof/>
            <w:webHidden/>
          </w:rPr>
          <w:tab/>
        </w:r>
        <w:r>
          <w:rPr>
            <w:noProof/>
            <w:webHidden/>
          </w:rPr>
          <w:fldChar w:fldCharType="begin"/>
        </w:r>
        <w:r>
          <w:rPr>
            <w:noProof/>
            <w:webHidden/>
          </w:rPr>
          <w:instrText xml:space="preserve"> PAGEREF _Toc233203412 \h </w:instrText>
        </w:r>
        <w:r>
          <w:rPr>
            <w:noProof/>
            <w:webHidden/>
          </w:rPr>
        </w:r>
        <w:r>
          <w:rPr>
            <w:noProof/>
            <w:webHidden/>
          </w:rPr>
          <w:fldChar w:fldCharType="separate"/>
        </w:r>
        <w:r>
          <w:rPr>
            <w:noProof/>
            <w:webHidden/>
          </w:rPr>
          <w:t>65</w:t>
        </w:r>
        <w:r>
          <w:rPr>
            <w:noProof/>
            <w:webHidden/>
          </w:rPr>
          <w:fldChar w:fldCharType="end"/>
        </w:r>
      </w:hyperlink>
    </w:p>
    <w:p w14:paraId="2ED21BBA" w14:textId="6E1A5A66"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13" w:history="1">
        <w:r w:rsidRPr="00897D3A">
          <w:rPr>
            <w:rStyle w:val="Hipercze"/>
            <w:noProof/>
          </w:rPr>
          <w:t>Tab. 41. Zielone zamówienia publiczne udzielane przez jednostki administracji rządowej z zastosowaniem art. 96 ust. 1 ustawy Pzp</w:t>
        </w:r>
        <w:r>
          <w:rPr>
            <w:noProof/>
            <w:webHidden/>
          </w:rPr>
          <w:tab/>
        </w:r>
        <w:r>
          <w:rPr>
            <w:noProof/>
            <w:webHidden/>
          </w:rPr>
          <w:fldChar w:fldCharType="begin"/>
        </w:r>
        <w:r>
          <w:rPr>
            <w:noProof/>
            <w:webHidden/>
          </w:rPr>
          <w:instrText xml:space="preserve"> PAGEREF _Toc233203413 \h </w:instrText>
        </w:r>
        <w:r>
          <w:rPr>
            <w:noProof/>
            <w:webHidden/>
          </w:rPr>
        </w:r>
        <w:r>
          <w:rPr>
            <w:noProof/>
            <w:webHidden/>
          </w:rPr>
          <w:fldChar w:fldCharType="separate"/>
        </w:r>
        <w:r>
          <w:rPr>
            <w:noProof/>
            <w:webHidden/>
          </w:rPr>
          <w:t>65</w:t>
        </w:r>
        <w:r>
          <w:rPr>
            <w:noProof/>
            <w:webHidden/>
          </w:rPr>
          <w:fldChar w:fldCharType="end"/>
        </w:r>
      </w:hyperlink>
    </w:p>
    <w:p w14:paraId="4D7E85A3" w14:textId="3DBED22A"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14" w:history="1">
        <w:r w:rsidRPr="00897D3A">
          <w:rPr>
            <w:rStyle w:val="Hipercze"/>
            <w:noProof/>
          </w:rPr>
          <w:t>Tab. 42. Zielone zamówienia publiczne udzielane przez jednostki administracji rządowej z art. 104 ustawy Pzp</w:t>
        </w:r>
        <w:r>
          <w:rPr>
            <w:noProof/>
            <w:webHidden/>
          </w:rPr>
          <w:tab/>
        </w:r>
        <w:r>
          <w:rPr>
            <w:noProof/>
            <w:webHidden/>
          </w:rPr>
          <w:fldChar w:fldCharType="begin"/>
        </w:r>
        <w:r>
          <w:rPr>
            <w:noProof/>
            <w:webHidden/>
          </w:rPr>
          <w:instrText xml:space="preserve"> PAGEREF _Toc233203414 \h </w:instrText>
        </w:r>
        <w:r>
          <w:rPr>
            <w:noProof/>
            <w:webHidden/>
          </w:rPr>
        </w:r>
        <w:r>
          <w:rPr>
            <w:noProof/>
            <w:webHidden/>
          </w:rPr>
          <w:fldChar w:fldCharType="separate"/>
        </w:r>
        <w:r>
          <w:rPr>
            <w:noProof/>
            <w:webHidden/>
          </w:rPr>
          <w:t>65</w:t>
        </w:r>
        <w:r>
          <w:rPr>
            <w:noProof/>
            <w:webHidden/>
          </w:rPr>
          <w:fldChar w:fldCharType="end"/>
        </w:r>
      </w:hyperlink>
    </w:p>
    <w:p w14:paraId="09D99A9B" w14:textId="678EF035"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15" w:history="1">
        <w:r w:rsidRPr="00897D3A">
          <w:rPr>
            <w:rStyle w:val="Hipercze"/>
            <w:noProof/>
          </w:rPr>
          <w:t>Tab. 43. Zamówienia publiczne na innowacje udzielone przez jednostki administracji rządowej w 2025 r. – dane ogólne</w:t>
        </w:r>
        <w:r>
          <w:rPr>
            <w:noProof/>
            <w:webHidden/>
          </w:rPr>
          <w:tab/>
        </w:r>
        <w:r>
          <w:rPr>
            <w:noProof/>
            <w:webHidden/>
          </w:rPr>
          <w:fldChar w:fldCharType="begin"/>
        </w:r>
        <w:r>
          <w:rPr>
            <w:noProof/>
            <w:webHidden/>
          </w:rPr>
          <w:instrText xml:space="preserve"> PAGEREF _Toc233203415 \h </w:instrText>
        </w:r>
        <w:r>
          <w:rPr>
            <w:noProof/>
            <w:webHidden/>
          </w:rPr>
        </w:r>
        <w:r>
          <w:rPr>
            <w:noProof/>
            <w:webHidden/>
          </w:rPr>
          <w:fldChar w:fldCharType="separate"/>
        </w:r>
        <w:r>
          <w:rPr>
            <w:noProof/>
            <w:webHidden/>
          </w:rPr>
          <w:t>68</w:t>
        </w:r>
        <w:r>
          <w:rPr>
            <w:noProof/>
            <w:webHidden/>
          </w:rPr>
          <w:fldChar w:fldCharType="end"/>
        </w:r>
      </w:hyperlink>
    </w:p>
    <w:p w14:paraId="7C0CDE5B" w14:textId="5158D61A"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16" w:history="1">
        <w:r w:rsidRPr="00897D3A">
          <w:rPr>
            <w:rStyle w:val="Hipercze"/>
            <w:noProof/>
          </w:rPr>
          <w:t>Tab. 44. Innowacyjne zamówienia publiczne udzielane przez jednostki administracji rządowej z zastosowaniem art. 242 ust. 2 ustawy Pzp</w:t>
        </w:r>
        <w:r>
          <w:rPr>
            <w:noProof/>
            <w:webHidden/>
          </w:rPr>
          <w:tab/>
        </w:r>
        <w:r>
          <w:rPr>
            <w:noProof/>
            <w:webHidden/>
          </w:rPr>
          <w:fldChar w:fldCharType="begin"/>
        </w:r>
        <w:r>
          <w:rPr>
            <w:noProof/>
            <w:webHidden/>
          </w:rPr>
          <w:instrText xml:space="preserve"> PAGEREF _Toc233203416 \h </w:instrText>
        </w:r>
        <w:r>
          <w:rPr>
            <w:noProof/>
            <w:webHidden/>
          </w:rPr>
        </w:r>
        <w:r>
          <w:rPr>
            <w:noProof/>
            <w:webHidden/>
          </w:rPr>
          <w:fldChar w:fldCharType="separate"/>
        </w:r>
        <w:r>
          <w:rPr>
            <w:noProof/>
            <w:webHidden/>
          </w:rPr>
          <w:t>69</w:t>
        </w:r>
        <w:r>
          <w:rPr>
            <w:noProof/>
            <w:webHidden/>
          </w:rPr>
          <w:fldChar w:fldCharType="end"/>
        </w:r>
      </w:hyperlink>
    </w:p>
    <w:p w14:paraId="14BB5627" w14:textId="24289593"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17" w:history="1">
        <w:r w:rsidRPr="00897D3A">
          <w:rPr>
            <w:rStyle w:val="Hipercze"/>
            <w:noProof/>
          </w:rPr>
          <w:t>Tab. 45. Innowacyjne zamówienia publiczne udzielane przez jednostki administracji rządowej z zastosowaniem art. 96 ust. 1 ustawy Pzp</w:t>
        </w:r>
        <w:r>
          <w:rPr>
            <w:noProof/>
            <w:webHidden/>
          </w:rPr>
          <w:tab/>
        </w:r>
        <w:r>
          <w:rPr>
            <w:noProof/>
            <w:webHidden/>
          </w:rPr>
          <w:fldChar w:fldCharType="begin"/>
        </w:r>
        <w:r>
          <w:rPr>
            <w:noProof/>
            <w:webHidden/>
          </w:rPr>
          <w:instrText xml:space="preserve"> PAGEREF _Toc233203417 \h </w:instrText>
        </w:r>
        <w:r>
          <w:rPr>
            <w:noProof/>
            <w:webHidden/>
          </w:rPr>
        </w:r>
        <w:r>
          <w:rPr>
            <w:noProof/>
            <w:webHidden/>
          </w:rPr>
          <w:fldChar w:fldCharType="separate"/>
        </w:r>
        <w:r>
          <w:rPr>
            <w:noProof/>
            <w:webHidden/>
          </w:rPr>
          <w:t>69</w:t>
        </w:r>
        <w:r>
          <w:rPr>
            <w:noProof/>
            <w:webHidden/>
          </w:rPr>
          <w:fldChar w:fldCharType="end"/>
        </w:r>
      </w:hyperlink>
    </w:p>
    <w:p w14:paraId="71E4CAD7" w14:textId="1A7ACA4F" w:rsidR="00515945" w:rsidRDefault="00515945">
      <w:pPr>
        <w:pStyle w:val="Spisilustracji"/>
        <w:tabs>
          <w:tab w:val="right" w:leader="dot" w:pos="9060"/>
        </w:tabs>
        <w:rPr>
          <w:rFonts w:asciiTheme="minorHAnsi" w:eastAsiaTheme="minorEastAsia" w:hAnsiTheme="minorHAnsi" w:cstheme="minorBidi"/>
          <w:noProof/>
          <w:sz w:val="22"/>
          <w:szCs w:val="22"/>
        </w:rPr>
      </w:pPr>
      <w:hyperlink w:anchor="_Toc233203418" w:history="1">
        <w:r w:rsidRPr="00897D3A">
          <w:rPr>
            <w:rStyle w:val="Hipercze"/>
            <w:noProof/>
          </w:rPr>
          <w:t>Tab. 46. Liczba ogłoszeń publikowanych w BZP w latach 2023-2024 według rodzaju ogłoszenia</w:t>
        </w:r>
        <w:r>
          <w:rPr>
            <w:noProof/>
            <w:webHidden/>
          </w:rPr>
          <w:tab/>
        </w:r>
        <w:r>
          <w:rPr>
            <w:noProof/>
            <w:webHidden/>
          </w:rPr>
          <w:fldChar w:fldCharType="begin"/>
        </w:r>
        <w:r>
          <w:rPr>
            <w:noProof/>
            <w:webHidden/>
          </w:rPr>
          <w:instrText xml:space="preserve"> PAGEREF _Toc233203418 \h </w:instrText>
        </w:r>
        <w:r>
          <w:rPr>
            <w:noProof/>
            <w:webHidden/>
          </w:rPr>
        </w:r>
        <w:r>
          <w:rPr>
            <w:noProof/>
            <w:webHidden/>
          </w:rPr>
          <w:fldChar w:fldCharType="separate"/>
        </w:r>
        <w:r>
          <w:rPr>
            <w:noProof/>
            <w:webHidden/>
          </w:rPr>
          <w:t>148</w:t>
        </w:r>
        <w:r>
          <w:rPr>
            <w:noProof/>
            <w:webHidden/>
          </w:rPr>
          <w:fldChar w:fldCharType="end"/>
        </w:r>
      </w:hyperlink>
    </w:p>
    <w:p w14:paraId="685A3A3A" w14:textId="221C2AB1" w:rsidR="00007B80" w:rsidRDefault="005F556C" w:rsidP="008F2675">
      <w:pPr>
        <w:shd w:val="clear" w:color="auto" w:fill="FFFFFF"/>
        <w:spacing w:line="360" w:lineRule="auto"/>
        <w:ind w:right="423"/>
        <w:jc w:val="left"/>
        <w:rPr>
          <w:rFonts w:cs="Arial"/>
        </w:rPr>
      </w:pPr>
      <w:r>
        <w:rPr>
          <w:rFonts w:cs="Arial"/>
          <w:sz w:val="18"/>
          <w:szCs w:val="18"/>
        </w:rPr>
        <w:fldChar w:fldCharType="end"/>
      </w:r>
    </w:p>
    <w:p w14:paraId="767FAD4F" w14:textId="77777777" w:rsidR="00202BF0" w:rsidRDefault="00202BF0" w:rsidP="008F2675">
      <w:pPr>
        <w:shd w:val="clear" w:color="auto" w:fill="FFFFFF"/>
        <w:spacing w:line="360" w:lineRule="auto"/>
        <w:jc w:val="left"/>
        <w:rPr>
          <w:rFonts w:cs="Arial"/>
        </w:rPr>
        <w:sectPr w:rsidR="00202BF0" w:rsidSect="00E71851">
          <w:pgSz w:w="11906" w:h="16838"/>
          <w:pgMar w:top="1418" w:right="1418" w:bottom="1418" w:left="1418" w:header="709" w:footer="709" w:gutter="0"/>
          <w:cols w:space="708"/>
          <w:docGrid w:linePitch="299"/>
        </w:sectPr>
      </w:pPr>
    </w:p>
    <w:p w14:paraId="0FB244AE" w14:textId="0C3F160B" w:rsidR="00F0373D" w:rsidRPr="00632B51" w:rsidRDefault="00F0373D" w:rsidP="005B3FFE">
      <w:pPr>
        <w:pStyle w:val="Nagwek1"/>
      </w:pPr>
      <w:bookmarkStart w:id="340" w:name="_Toc64451898"/>
      <w:bookmarkStart w:id="341" w:name="_Ref99031317"/>
      <w:bookmarkStart w:id="342" w:name="_Toc233203321"/>
      <w:bookmarkEnd w:id="334"/>
      <w:bookmarkEnd w:id="335"/>
      <w:bookmarkEnd w:id="336"/>
      <w:bookmarkEnd w:id="337"/>
      <w:r w:rsidRPr="0056062C">
        <w:t>VI. ZAŁĄCZNIKI</w:t>
      </w:r>
      <w:bookmarkEnd w:id="340"/>
      <w:bookmarkEnd w:id="341"/>
      <w:bookmarkEnd w:id="342"/>
    </w:p>
    <w:p w14:paraId="093CD332" w14:textId="77777777" w:rsidR="005E5DFF" w:rsidRPr="002C3799" w:rsidRDefault="005E5DFF" w:rsidP="00852522">
      <w:pPr>
        <w:pStyle w:val="Nagwek4"/>
      </w:pPr>
      <w:r w:rsidRPr="002C3799">
        <w:t>Spis załączników</w:t>
      </w:r>
    </w:p>
    <w:p w14:paraId="475A258F" w14:textId="4E7D7FF4" w:rsidR="00D25FB3" w:rsidRPr="002A06BF" w:rsidRDefault="00D25FB3" w:rsidP="008F2675">
      <w:pPr>
        <w:numPr>
          <w:ilvl w:val="0"/>
          <w:numId w:val="1"/>
        </w:numPr>
        <w:shd w:val="clear" w:color="auto" w:fill="FFFFFF"/>
        <w:spacing w:after="60" w:line="360" w:lineRule="auto"/>
        <w:jc w:val="left"/>
        <w:rPr>
          <w:rStyle w:val="Hipercze"/>
          <w:rFonts w:cs="Arial"/>
          <w:color w:val="auto"/>
          <w:sz w:val="20"/>
          <w:szCs w:val="20"/>
          <w:u w:val="none"/>
        </w:rPr>
      </w:pPr>
      <w:hyperlink w:anchor="_Załącznik_nr_2." w:history="1">
        <w:r w:rsidRPr="002A06BF">
          <w:rPr>
            <w:rStyle w:val="Hipercze"/>
            <w:rFonts w:cs="Arial"/>
            <w:color w:val="auto"/>
            <w:sz w:val="20"/>
            <w:szCs w:val="20"/>
            <w:u w:val="none"/>
          </w:rPr>
          <w:t>Dane dotyczące zamówień</w:t>
        </w:r>
        <w:r w:rsidR="00B52968" w:rsidRPr="002A06BF">
          <w:rPr>
            <w:rStyle w:val="Hipercze"/>
            <w:rFonts w:cs="Arial"/>
            <w:color w:val="auto"/>
            <w:sz w:val="20"/>
            <w:szCs w:val="20"/>
            <w:u w:val="none"/>
          </w:rPr>
          <w:t xml:space="preserve"> publicznych</w:t>
        </w:r>
        <w:r w:rsidRPr="002A06BF">
          <w:rPr>
            <w:rStyle w:val="Hipercze"/>
            <w:rFonts w:cs="Arial"/>
            <w:color w:val="auto"/>
            <w:sz w:val="20"/>
            <w:szCs w:val="20"/>
            <w:u w:val="none"/>
          </w:rPr>
          <w:t xml:space="preserve">, w których </w:t>
        </w:r>
        <w:r w:rsidR="00B52968" w:rsidRPr="002A06BF">
          <w:rPr>
            <w:rStyle w:val="Hipercze"/>
            <w:rFonts w:cs="Arial"/>
            <w:color w:val="auto"/>
            <w:sz w:val="20"/>
            <w:szCs w:val="20"/>
            <w:u w:val="none"/>
          </w:rPr>
          <w:t>odwołano się do</w:t>
        </w:r>
        <w:r w:rsidRPr="002A06BF">
          <w:rPr>
            <w:rStyle w:val="Hipercze"/>
            <w:rFonts w:cs="Arial"/>
            <w:color w:val="auto"/>
            <w:sz w:val="20"/>
            <w:szCs w:val="20"/>
            <w:u w:val="none"/>
          </w:rPr>
          <w:t xml:space="preserve"> odpowiedni</w:t>
        </w:r>
        <w:r w:rsidR="00B52968" w:rsidRPr="002A06BF">
          <w:rPr>
            <w:rStyle w:val="Hipercze"/>
            <w:rFonts w:cs="Arial"/>
            <w:color w:val="auto"/>
            <w:sz w:val="20"/>
            <w:szCs w:val="20"/>
            <w:u w:val="none"/>
          </w:rPr>
          <w:t>ch</w:t>
        </w:r>
        <w:r w:rsidRPr="002A06BF">
          <w:rPr>
            <w:rStyle w:val="Hipercze"/>
            <w:rFonts w:cs="Arial"/>
            <w:color w:val="auto"/>
            <w:sz w:val="20"/>
            <w:szCs w:val="20"/>
            <w:u w:val="none"/>
          </w:rPr>
          <w:t xml:space="preserve"> instrument</w:t>
        </w:r>
        <w:r w:rsidR="00B52968" w:rsidRPr="002A06BF">
          <w:rPr>
            <w:rStyle w:val="Hipercze"/>
            <w:rFonts w:cs="Arial"/>
            <w:color w:val="auto"/>
            <w:sz w:val="20"/>
            <w:szCs w:val="20"/>
            <w:u w:val="none"/>
          </w:rPr>
          <w:t>ów</w:t>
        </w:r>
        <w:r w:rsidRPr="002A06BF">
          <w:rPr>
            <w:rStyle w:val="Hipercze"/>
            <w:rFonts w:cs="Arial"/>
            <w:color w:val="auto"/>
            <w:sz w:val="20"/>
            <w:szCs w:val="20"/>
            <w:u w:val="none"/>
          </w:rPr>
          <w:t xml:space="preserve"> prospołeczn</w:t>
        </w:r>
      </w:hyperlink>
      <w:r w:rsidR="00B52968" w:rsidRPr="002A06BF">
        <w:rPr>
          <w:rStyle w:val="Hipercze"/>
          <w:rFonts w:cs="Arial"/>
          <w:color w:val="auto"/>
          <w:sz w:val="20"/>
          <w:szCs w:val="20"/>
          <w:u w:val="none"/>
        </w:rPr>
        <w:t>ych</w:t>
      </w:r>
    </w:p>
    <w:p w14:paraId="34DF8567" w14:textId="5B968675" w:rsidR="00D25FB3" w:rsidRPr="002A06BF" w:rsidRDefault="00D25FB3" w:rsidP="008F2675">
      <w:pPr>
        <w:numPr>
          <w:ilvl w:val="0"/>
          <w:numId w:val="1"/>
        </w:numPr>
        <w:shd w:val="clear" w:color="auto" w:fill="FFFFFF"/>
        <w:spacing w:after="60" w:line="360" w:lineRule="auto"/>
        <w:jc w:val="left"/>
        <w:rPr>
          <w:rStyle w:val="Hipercze"/>
          <w:rFonts w:cs="Arial"/>
          <w:color w:val="auto"/>
          <w:sz w:val="20"/>
          <w:szCs w:val="20"/>
          <w:u w:val="none"/>
        </w:rPr>
      </w:pPr>
      <w:hyperlink w:anchor="_Załącznik_nr_3." w:history="1">
        <w:r w:rsidRPr="002A06BF">
          <w:rPr>
            <w:rStyle w:val="Hipercze"/>
            <w:rFonts w:cs="Arial"/>
            <w:color w:val="auto"/>
            <w:sz w:val="20"/>
            <w:szCs w:val="20"/>
            <w:u w:val="none"/>
          </w:rPr>
          <w:t>Dane dotyczące zamówień</w:t>
        </w:r>
        <w:r w:rsidR="00B50204" w:rsidRPr="002A06BF">
          <w:rPr>
            <w:rStyle w:val="Hipercze"/>
            <w:rFonts w:cs="Arial"/>
            <w:color w:val="auto"/>
            <w:sz w:val="20"/>
            <w:szCs w:val="20"/>
            <w:u w:val="none"/>
          </w:rPr>
          <w:t xml:space="preserve"> publicznych</w:t>
        </w:r>
        <w:r w:rsidRPr="002A06BF">
          <w:rPr>
            <w:rStyle w:val="Hipercze"/>
            <w:rFonts w:cs="Arial"/>
            <w:color w:val="auto"/>
            <w:sz w:val="20"/>
            <w:szCs w:val="20"/>
            <w:u w:val="none"/>
          </w:rPr>
          <w:t>, w których odwołano się do odpowiednich instrumentów środowiskowych</w:t>
        </w:r>
      </w:hyperlink>
    </w:p>
    <w:p w14:paraId="49632F40" w14:textId="2306F443" w:rsidR="00D25FB3" w:rsidRPr="002A06BF" w:rsidRDefault="00D25FB3" w:rsidP="00B50204">
      <w:pPr>
        <w:numPr>
          <w:ilvl w:val="0"/>
          <w:numId w:val="1"/>
        </w:numPr>
        <w:shd w:val="clear" w:color="auto" w:fill="FFFFFF"/>
        <w:spacing w:after="60" w:line="360" w:lineRule="auto"/>
        <w:jc w:val="left"/>
        <w:rPr>
          <w:rStyle w:val="Hipercze"/>
          <w:rFonts w:cs="Arial"/>
          <w:color w:val="auto"/>
          <w:sz w:val="20"/>
          <w:szCs w:val="20"/>
          <w:u w:val="none"/>
        </w:rPr>
      </w:pPr>
      <w:hyperlink w:anchor="_Załącznik_nr_4." w:history="1">
        <w:r w:rsidRPr="002A06BF">
          <w:rPr>
            <w:rStyle w:val="Hipercze"/>
            <w:rFonts w:cs="Arial"/>
            <w:color w:val="auto"/>
            <w:sz w:val="20"/>
            <w:szCs w:val="20"/>
            <w:u w:val="none"/>
          </w:rPr>
          <w:t>Dane dotyczące zamówień</w:t>
        </w:r>
        <w:r w:rsidR="00B50204" w:rsidRPr="002A06BF">
          <w:rPr>
            <w:rStyle w:val="Hipercze"/>
            <w:rFonts w:cs="Arial"/>
            <w:color w:val="auto"/>
            <w:sz w:val="20"/>
            <w:szCs w:val="20"/>
            <w:u w:val="none"/>
          </w:rPr>
          <w:t xml:space="preserve"> publicznych, w których odwołano się do odpowiednich instrumentów wspierających innowacje</w:t>
        </w:r>
      </w:hyperlink>
    </w:p>
    <w:p w14:paraId="2E725F7D" w14:textId="0560D043" w:rsidR="00D25FB3" w:rsidRPr="002A06BF" w:rsidRDefault="00D25FB3" w:rsidP="00B50204">
      <w:pPr>
        <w:numPr>
          <w:ilvl w:val="0"/>
          <w:numId w:val="1"/>
        </w:numPr>
        <w:shd w:val="clear" w:color="auto" w:fill="FFFFFF"/>
        <w:spacing w:after="60" w:line="360" w:lineRule="auto"/>
        <w:jc w:val="left"/>
        <w:rPr>
          <w:rStyle w:val="Hipercze"/>
          <w:rFonts w:cs="Arial"/>
          <w:color w:val="auto"/>
          <w:sz w:val="20"/>
          <w:szCs w:val="20"/>
          <w:u w:val="none"/>
        </w:rPr>
      </w:pPr>
      <w:hyperlink w:anchor="_Załącznik_nr_5." w:history="1">
        <w:r w:rsidRPr="002A06BF">
          <w:rPr>
            <w:rStyle w:val="Hipercze"/>
            <w:rFonts w:cs="Arial"/>
            <w:color w:val="auto"/>
            <w:sz w:val="20"/>
            <w:szCs w:val="20"/>
            <w:u w:val="none"/>
          </w:rPr>
          <w:t xml:space="preserve">Dane dotyczące zamówień udzielonych przez jednostki administracji rządowej, </w:t>
        </w:r>
        <w:r w:rsidR="00B50204" w:rsidRPr="002A06BF">
          <w:rPr>
            <w:rStyle w:val="Hipercze"/>
            <w:rFonts w:cs="Arial"/>
            <w:color w:val="auto"/>
            <w:sz w:val="20"/>
            <w:szCs w:val="20"/>
            <w:u w:val="none"/>
          </w:rPr>
          <w:t xml:space="preserve">w których odwołano się do odpowiednich instrumentów prospołecznych </w:t>
        </w:r>
      </w:hyperlink>
    </w:p>
    <w:p w14:paraId="2FD568ED" w14:textId="7E501ACA" w:rsidR="00D25FB3" w:rsidRPr="002A06BF" w:rsidRDefault="00D25FB3" w:rsidP="008F2675">
      <w:pPr>
        <w:numPr>
          <w:ilvl w:val="0"/>
          <w:numId w:val="1"/>
        </w:numPr>
        <w:shd w:val="clear" w:color="auto" w:fill="FFFFFF"/>
        <w:spacing w:after="60" w:line="360" w:lineRule="auto"/>
        <w:jc w:val="left"/>
        <w:rPr>
          <w:rStyle w:val="Hipercze"/>
          <w:rFonts w:cs="Arial"/>
          <w:color w:val="auto"/>
          <w:sz w:val="20"/>
          <w:szCs w:val="20"/>
          <w:u w:val="none"/>
        </w:rPr>
      </w:pPr>
      <w:hyperlink w:anchor="_Załącznik_nr_6." w:history="1">
        <w:r w:rsidRPr="002A06BF">
          <w:rPr>
            <w:rStyle w:val="Hipercze"/>
            <w:rFonts w:cs="Arial"/>
            <w:color w:val="auto"/>
            <w:sz w:val="20"/>
            <w:szCs w:val="20"/>
            <w:u w:val="none"/>
          </w:rPr>
          <w:t>Dane dotyczące zamówień udzielonych przez jednostki administracji rządowej, w których odwołano się do odpowiednich instrumentów środowiskowych</w:t>
        </w:r>
      </w:hyperlink>
    </w:p>
    <w:p w14:paraId="5BB5E948" w14:textId="6921823A" w:rsidR="002F41A1" w:rsidRPr="002A06BF" w:rsidRDefault="002F41A1" w:rsidP="00B50204">
      <w:pPr>
        <w:numPr>
          <w:ilvl w:val="0"/>
          <w:numId w:val="1"/>
        </w:numPr>
        <w:shd w:val="clear" w:color="auto" w:fill="FFFFFF"/>
        <w:spacing w:after="60" w:line="360" w:lineRule="auto"/>
        <w:jc w:val="left"/>
        <w:rPr>
          <w:rStyle w:val="Hipercze"/>
          <w:rFonts w:cs="Arial"/>
          <w:color w:val="auto"/>
          <w:sz w:val="20"/>
          <w:szCs w:val="20"/>
          <w:u w:val="none"/>
        </w:rPr>
      </w:pPr>
      <w:hyperlink w:anchor="_Załącznik_nr_7." w:history="1">
        <w:r w:rsidRPr="002A06BF">
          <w:rPr>
            <w:rStyle w:val="Hipercze"/>
            <w:rFonts w:cs="Arial"/>
            <w:color w:val="auto"/>
            <w:sz w:val="20"/>
            <w:szCs w:val="20"/>
            <w:u w:val="none"/>
          </w:rPr>
          <w:t xml:space="preserve">Dane dotyczące zamówień udzielonych przez jednostki administracji rządowej, </w:t>
        </w:r>
        <w:r w:rsidR="00B50204" w:rsidRPr="002A06BF">
          <w:rPr>
            <w:rStyle w:val="Hipercze"/>
            <w:rFonts w:cs="Arial"/>
            <w:color w:val="auto"/>
            <w:sz w:val="20"/>
            <w:szCs w:val="20"/>
            <w:u w:val="none"/>
          </w:rPr>
          <w:t xml:space="preserve">w których odwołano się do odpowiednich instrumentów wspierających innowacje </w:t>
        </w:r>
      </w:hyperlink>
    </w:p>
    <w:p w14:paraId="16918F5B" w14:textId="4C8AF529" w:rsidR="00422FFF" w:rsidRPr="002A06BF" w:rsidRDefault="00422FFF" w:rsidP="00422FFF">
      <w:pPr>
        <w:numPr>
          <w:ilvl w:val="0"/>
          <w:numId w:val="1"/>
        </w:numPr>
        <w:shd w:val="clear" w:color="auto" w:fill="FFFFFF"/>
        <w:spacing w:after="60" w:line="360" w:lineRule="auto"/>
        <w:ind w:left="357" w:hanging="357"/>
        <w:jc w:val="left"/>
        <w:rPr>
          <w:rFonts w:cs="Arial"/>
          <w:sz w:val="20"/>
          <w:szCs w:val="20"/>
        </w:rPr>
      </w:pPr>
      <w:hyperlink w:anchor="_Załącznik_nr_9." w:history="1">
        <w:r w:rsidRPr="002A06BF">
          <w:rPr>
            <w:rStyle w:val="Hipercze"/>
            <w:rFonts w:cs="Arial"/>
            <w:color w:val="auto"/>
            <w:sz w:val="20"/>
            <w:szCs w:val="20"/>
            <w:u w:val="none"/>
          </w:rPr>
          <w:t>Wykaz aktów prawnych obowiązujących w 202</w:t>
        </w:r>
        <w:r w:rsidR="00550FE9" w:rsidRPr="002A06BF">
          <w:rPr>
            <w:rStyle w:val="Hipercze"/>
            <w:rFonts w:cs="Arial"/>
            <w:color w:val="auto"/>
            <w:sz w:val="20"/>
            <w:szCs w:val="20"/>
            <w:u w:val="none"/>
          </w:rPr>
          <w:t>5</w:t>
        </w:r>
        <w:r w:rsidRPr="002A06BF">
          <w:rPr>
            <w:rStyle w:val="Hipercze"/>
            <w:rFonts w:cs="Arial"/>
            <w:color w:val="auto"/>
            <w:sz w:val="20"/>
            <w:szCs w:val="20"/>
            <w:u w:val="none"/>
          </w:rPr>
          <w:t xml:space="preserve"> r. regulujących zagadnienia z dziedziny zamówień publicznych na szczeblu unijnym</w:t>
        </w:r>
      </w:hyperlink>
    </w:p>
    <w:p w14:paraId="66A9F782" w14:textId="14BC230F" w:rsidR="00422FFF" w:rsidRPr="002A06BF" w:rsidRDefault="00422FFF" w:rsidP="00422FFF">
      <w:pPr>
        <w:numPr>
          <w:ilvl w:val="0"/>
          <w:numId w:val="1"/>
        </w:numPr>
        <w:shd w:val="clear" w:color="auto" w:fill="FFFFFF"/>
        <w:spacing w:after="60" w:line="360" w:lineRule="auto"/>
        <w:ind w:left="357" w:hanging="357"/>
        <w:jc w:val="left"/>
        <w:rPr>
          <w:rStyle w:val="Hipercze"/>
          <w:rFonts w:cs="Arial"/>
          <w:color w:val="auto"/>
          <w:sz w:val="20"/>
          <w:szCs w:val="20"/>
          <w:u w:val="none"/>
        </w:rPr>
      </w:pPr>
      <w:hyperlink w:anchor="_Załącznik_nr_10." w:history="1">
        <w:r w:rsidRPr="002A06BF">
          <w:rPr>
            <w:rStyle w:val="Hipercze"/>
            <w:rFonts w:cs="Arial"/>
            <w:color w:val="auto"/>
            <w:sz w:val="20"/>
            <w:szCs w:val="20"/>
            <w:u w:val="none"/>
          </w:rPr>
          <w:t>Krótkie omówienie orzeczeń Trybunału Sprawiedliwości Unii Europejskiej wydanych w 202</w:t>
        </w:r>
        <w:r w:rsidR="009C486E" w:rsidRPr="002A06BF">
          <w:rPr>
            <w:rStyle w:val="Hipercze"/>
            <w:rFonts w:cs="Arial"/>
            <w:color w:val="auto"/>
            <w:sz w:val="20"/>
            <w:szCs w:val="20"/>
            <w:u w:val="none"/>
          </w:rPr>
          <w:t>5</w:t>
        </w:r>
        <w:r w:rsidRPr="002A06BF">
          <w:rPr>
            <w:rStyle w:val="Hipercze"/>
            <w:rFonts w:cs="Arial"/>
            <w:color w:val="auto"/>
            <w:sz w:val="20"/>
            <w:szCs w:val="20"/>
            <w:u w:val="none"/>
          </w:rPr>
          <w:t xml:space="preserve"> r.</w:t>
        </w:r>
      </w:hyperlink>
    </w:p>
    <w:p w14:paraId="1099C1C1" w14:textId="54118E97" w:rsidR="000C3AEE" w:rsidRPr="002A06BF" w:rsidRDefault="000C3AEE" w:rsidP="002A06BF">
      <w:pPr>
        <w:numPr>
          <w:ilvl w:val="0"/>
          <w:numId w:val="1"/>
        </w:numPr>
        <w:shd w:val="clear" w:color="auto" w:fill="FFFFFF"/>
        <w:spacing w:after="60" w:line="360" w:lineRule="auto"/>
        <w:ind w:left="357" w:hanging="357"/>
        <w:jc w:val="left"/>
        <w:rPr>
          <w:rStyle w:val="Hipercze"/>
          <w:color w:val="auto"/>
          <w:sz w:val="20"/>
          <w:szCs w:val="20"/>
          <w:u w:val="none"/>
        </w:rPr>
      </w:pPr>
      <w:hyperlink w:anchor="_Załącznik_nr_11._1" w:history="1">
        <w:r w:rsidRPr="002A06BF">
          <w:rPr>
            <w:rStyle w:val="Hipercze"/>
            <w:rFonts w:cs="Arial"/>
            <w:color w:val="auto"/>
            <w:sz w:val="20"/>
            <w:szCs w:val="20"/>
            <w:u w:val="none"/>
          </w:rPr>
          <w:t>Informacja o wydarzeniach edukacyjno-informacyjnych organizowanych przez podmioty zewnętrzne z udziałem UZP</w:t>
        </w:r>
      </w:hyperlink>
    </w:p>
    <w:p w14:paraId="65534EE8" w14:textId="77777777" w:rsidR="00DC70C0" w:rsidRDefault="00DC70C0" w:rsidP="00DC70C0">
      <w:pPr>
        <w:shd w:val="clear" w:color="auto" w:fill="FFFFFF"/>
        <w:spacing w:line="360" w:lineRule="auto"/>
        <w:jc w:val="left"/>
        <w:rPr>
          <w:szCs w:val="22"/>
        </w:rPr>
      </w:pPr>
      <w:bookmarkStart w:id="343" w:name="_Załącznik_nr_1."/>
      <w:bookmarkStart w:id="344" w:name="_Załącznik_nr_1._1"/>
      <w:bookmarkStart w:id="345" w:name="_Załącznik_nr_2._1"/>
      <w:bookmarkEnd w:id="343"/>
      <w:bookmarkEnd w:id="344"/>
      <w:bookmarkEnd w:id="345"/>
    </w:p>
    <w:p w14:paraId="41C866FA" w14:textId="77777777" w:rsidR="0050231F" w:rsidRDefault="0050231F" w:rsidP="00B27C43">
      <w:pPr>
        <w:jc w:val="left"/>
        <w:rPr>
          <w:szCs w:val="22"/>
        </w:rPr>
      </w:pPr>
    </w:p>
    <w:p w14:paraId="6FA3F82A" w14:textId="77777777" w:rsidR="00B27C43" w:rsidRDefault="00B27C43" w:rsidP="00B27C43">
      <w:pPr>
        <w:jc w:val="left"/>
        <w:rPr>
          <w:szCs w:val="22"/>
        </w:rPr>
        <w:sectPr w:rsidR="00B27C43" w:rsidSect="00E82FD3">
          <w:headerReference w:type="even" r:id="rId100"/>
          <w:headerReference w:type="default" r:id="rId101"/>
          <w:headerReference w:type="first" r:id="rId102"/>
          <w:pgSz w:w="11906" w:h="16838"/>
          <w:pgMar w:top="1418" w:right="1418" w:bottom="1418" w:left="1418" w:header="709" w:footer="709" w:gutter="0"/>
          <w:cols w:space="708"/>
          <w:docGrid w:linePitch="299"/>
        </w:sectPr>
      </w:pPr>
    </w:p>
    <w:p w14:paraId="39E894A3" w14:textId="56EC0191" w:rsidR="00B27C43" w:rsidRPr="00371F95" w:rsidRDefault="00D32E43" w:rsidP="00852522">
      <w:pPr>
        <w:pStyle w:val="Nagwek4"/>
      </w:pPr>
      <w:bookmarkStart w:id="346" w:name="_Załącznik_nr_2."/>
      <w:bookmarkEnd w:id="346"/>
      <w:r w:rsidRPr="00D32E43">
        <w:t xml:space="preserve">Załącznik nr </w:t>
      </w:r>
      <w:r w:rsidR="002972A1">
        <w:t>1</w:t>
      </w:r>
      <w:r>
        <w:t xml:space="preserve">. </w:t>
      </w:r>
      <w:r w:rsidR="00B27C43" w:rsidRPr="004D21D3">
        <w:t>Dane dotyczące zamówień</w:t>
      </w:r>
      <w:r w:rsidR="00B51B44" w:rsidRPr="00B51B44">
        <w:t xml:space="preserve"> publicznych, w których odwołano się do odpowiednich instrumentów prospołecznych</w:t>
      </w:r>
    </w:p>
    <w:p w14:paraId="1896AEAD" w14:textId="77777777" w:rsidR="00B27C43" w:rsidRPr="002A72A4" w:rsidRDefault="00B27C43" w:rsidP="008B0094">
      <w:pPr>
        <w:shd w:val="clear" w:color="auto" w:fill="FFFFFF"/>
        <w:spacing w:before="240" w:after="120"/>
        <w:jc w:val="center"/>
        <w:rPr>
          <w:rFonts w:cs="Arial"/>
          <w:b/>
        </w:rPr>
      </w:pPr>
      <w:r w:rsidRPr="004D21D3">
        <w:rPr>
          <w:rFonts w:cs="Arial"/>
          <w:b/>
        </w:rPr>
        <w:t>Liczba i wartość zamówień publicznych z danym aspektem społecznym w poszczególnych latach</w:t>
      </w:r>
      <w:r w:rsidRPr="002A72A4">
        <w:rPr>
          <w:rFonts w:cs="Arial"/>
          <w:b/>
        </w:rPr>
        <w:t xml:space="preserve"> </w:t>
      </w:r>
    </w:p>
    <w:tbl>
      <w:tblPr>
        <w:tblW w:w="1523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006"/>
        <w:gridCol w:w="1843"/>
        <w:gridCol w:w="2126"/>
        <w:gridCol w:w="1843"/>
        <w:gridCol w:w="2126"/>
        <w:gridCol w:w="1701"/>
        <w:gridCol w:w="2021"/>
      </w:tblGrid>
      <w:tr w:rsidR="00B27C43" w:rsidRPr="001D752F" w14:paraId="76F74BDB" w14:textId="77777777" w:rsidTr="00BA6D3E">
        <w:trPr>
          <w:tblHeader/>
        </w:trPr>
        <w:tc>
          <w:tcPr>
            <w:tcW w:w="567" w:type="dxa"/>
            <w:tcBorders>
              <w:top w:val="single" w:sz="4" w:space="0" w:color="auto"/>
              <w:left w:val="single" w:sz="4" w:space="0" w:color="auto"/>
              <w:bottom w:val="nil"/>
              <w:right w:val="single" w:sz="4" w:space="0" w:color="auto"/>
            </w:tcBorders>
            <w:shd w:val="clear" w:color="auto" w:fill="DEEAF6"/>
            <w:vAlign w:val="center"/>
          </w:tcPr>
          <w:p w14:paraId="130D7B2C" w14:textId="77777777" w:rsidR="00B27C43" w:rsidRPr="001D752F" w:rsidRDefault="00B27C43" w:rsidP="00C866A1">
            <w:pPr>
              <w:jc w:val="center"/>
              <w:rPr>
                <w:rFonts w:cs="Arial"/>
                <w:b/>
                <w:sz w:val="16"/>
                <w:szCs w:val="16"/>
              </w:rPr>
            </w:pPr>
          </w:p>
        </w:tc>
        <w:tc>
          <w:tcPr>
            <w:tcW w:w="3006" w:type="dxa"/>
            <w:tcBorders>
              <w:top w:val="single" w:sz="4" w:space="0" w:color="auto"/>
              <w:left w:val="single" w:sz="4" w:space="0" w:color="auto"/>
              <w:bottom w:val="nil"/>
              <w:right w:val="single" w:sz="4" w:space="0" w:color="auto"/>
            </w:tcBorders>
            <w:shd w:val="clear" w:color="auto" w:fill="DEEAF6"/>
            <w:vAlign w:val="center"/>
          </w:tcPr>
          <w:p w14:paraId="073AFF1C" w14:textId="460AA7F2" w:rsidR="00B27C43" w:rsidRPr="001D752F" w:rsidRDefault="00B27C43" w:rsidP="00C866A1">
            <w:pPr>
              <w:jc w:val="center"/>
              <w:rPr>
                <w:rFonts w:cs="Arial"/>
                <w:b/>
                <w:sz w:val="16"/>
                <w:szCs w:val="16"/>
              </w:rPr>
            </w:pPr>
          </w:p>
        </w:tc>
        <w:tc>
          <w:tcPr>
            <w:tcW w:w="3969" w:type="dxa"/>
            <w:gridSpan w:val="2"/>
            <w:tcBorders>
              <w:top w:val="single" w:sz="4" w:space="0" w:color="auto"/>
              <w:left w:val="single" w:sz="4" w:space="0" w:color="auto"/>
              <w:bottom w:val="single" w:sz="4" w:space="0" w:color="auto"/>
              <w:right w:val="single" w:sz="4" w:space="0" w:color="auto"/>
            </w:tcBorders>
            <w:shd w:val="clear" w:color="auto" w:fill="DEEAF6"/>
          </w:tcPr>
          <w:p w14:paraId="7D598A84" w14:textId="3270DB82" w:rsidR="00B27C43" w:rsidRPr="001D752F" w:rsidRDefault="00B27C43" w:rsidP="002F4165">
            <w:pPr>
              <w:jc w:val="center"/>
              <w:rPr>
                <w:rFonts w:cs="Arial"/>
                <w:b/>
                <w:bCs/>
                <w:sz w:val="16"/>
                <w:szCs w:val="16"/>
              </w:rPr>
            </w:pPr>
            <w:r w:rsidRPr="001D752F">
              <w:rPr>
                <w:rFonts w:cs="Arial"/>
                <w:b/>
                <w:bCs/>
                <w:sz w:val="16"/>
                <w:szCs w:val="16"/>
              </w:rPr>
              <w:t>202</w:t>
            </w:r>
            <w:r w:rsidR="002F4165">
              <w:rPr>
                <w:rFonts w:cs="Arial"/>
                <w:b/>
                <w:bCs/>
                <w:sz w:val="16"/>
                <w:szCs w:val="16"/>
              </w:rPr>
              <w:t>3</w:t>
            </w:r>
            <w:r w:rsidRPr="001D752F">
              <w:rPr>
                <w:rFonts w:cs="Arial"/>
                <w:b/>
                <w:bCs/>
                <w:sz w:val="16"/>
                <w:szCs w:val="16"/>
              </w:rPr>
              <w:t xml:space="preserve"> r.</w:t>
            </w:r>
          </w:p>
        </w:tc>
        <w:tc>
          <w:tcPr>
            <w:tcW w:w="3969" w:type="dxa"/>
            <w:gridSpan w:val="2"/>
            <w:tcBorders>
              <w:top w:val="single" w:sz="4" w:space="0" w:color="auto"/>
              <w:left w:val="single" w:sz="4" w:space="0" w:color="auto"/>
              <w:bottom w:val="single" w:sz="4" w:space="0" w:color="auto"/>
              <w:right w:val="single" w:sz="4" w:space="0" w:color="auto"/>
            </w:tcBorders>
            <w:shd w:val="clear" w:color="auto" w:fill="DEEAF6"/>
          </w:tcPr>
          <w:p w14:paraId="6F23F6BE" w14:textId="6557147A" w:rsidR="00B27C43" w:rsidRPr="001D752F" w:rsidRDefault="00B27C43" w:rsidP="002F4165">
            <w:pPr>
              <w:jc w:val="center"/>
              <w:rPr>
                <w:rFonts w:cs="Arial"/>
                <w:b/>
                <w:bCs/>
                <w:sz w:val="16"/>
                <w:szCs w:val="16"/>
              </w:rPr>
            </w:pPr>
            <w:r w:rsidRPr="001D752F">
              <w:rPr>
                <w:rFonts w:cs="Arial"/>
                <w:b/>
                <w:bCs/>
                <w:sz w:val="16"/>
                <w:szCs w:val="16"/>
              </w:rPr>
              <w:t>202</w:t>
            </w:r>
            <w:r w:rsidR="002F4165">
              <w:rPr>
                <w:rFonts w:cs="Arial"/>
                <w:b/>
                <w:bCs/>
                <w:sz w:val="16"/>
                <w:szCs w:val="16"/>
              </w:rPr>
              <w:t>4</w:t>
            </w:r>
            <w:r w:rsidRPr="001D752F">
              <w:rPr>
                <w:rFonts w:cs="Arial"/>
                <w:b/>
                <w:bCs/>
                <w:sz w:val="16"/>
                <w:szCs w:val="16"/>
              </w:rPr>
              <w:t xml:space="preserve"> r.</w:t>
            </w:r>
          </w:p>
        </w:tc>
        <w:tc>
          <w:tcPr>
            <w:tcW w:w="3722" w:type="dxa"/>
            <w:gridSpan w:val="2"/>
            <w:tcBorders>
              <w:top w:val="single" w:sz="4" w:space="0" w:color="auto"/>
              <w:left w:val="single" w:sz="4" w:space="0" w:color="auto"/>
              <w:bottom w:val="single" w:sz="4" w:space="0" w:color="auto"/>
              <w:right w:val="single" w:sz="4" w:space="0" w:color="auto"/>
            </w:tcBorders>
            <w:shd w:val="clear" w:color="auto" w:fill="DEEAF6"/>
          </w:tcPr>
          <w:p w14:paraId="51BDBC8D" w14:textId="487EA010" w:rsidR="00B27C43" w:rsidRPr="001D752F" w:rsidRDefault="00B27C43" w:rsidP="008515D8">
            <w:pPr>
              <w:tabs>
                <w:tab w:val="left" w:pos="948"/>
              </w:tabs>
              <w:jc w:val="center"/>
              <w:rPr>
                <w:rFonts w:cs="Arial"/>
                <w:b/>
                <w:bCs/>
                <w:sz w:val="16"/>
                <w:szCs w:val="16"/>
              </w:rPr>
            </w:pPr>
            <w:r>
              <w:rPr>
                <w:rFonts w:cs="Arial"/>
                <w:b/>
                <w:bCs/>
                <w:sz w:val="16"/>
                <w:szCs w:val="16"/>
              </w:rPr>
              <w:t>202</w:t>
            </w:r>
            <w:r w:rsidR="008515D8">
              <w:rPr>
                <w:rFonts w:cs="Arial"/>
                <w:b/>
                <w:bCs/>
                <w:sz w:val="16"/>
                <w:szCs w:val="16"/>
              </w:rPr>
              <w:t>5</w:t>
            </w:r>
            <w:r>
              <w:rPr>
                <w:rFonts w:cs="Arial"/>
                <w:b/>
                <w:bCs/>
                <w:sz w:val="16"/>
                <w:szCs w:val="16"/>
              </w:rPr>
              <w:t xml:space="preserve"> r.</w:t>
            </w:r>
          </w:p>
        </w:tc>
      </w:tr>
      <w:tr w:rsidR="00B27C43" w:rsidRPr="001D752F" w14:paraId="1470D722" w14:textId="77777777" w:rsidTr="00BA6D3E">
        <w:trPr>
          <w:tblHeader/>
        </w:trPr>
        <w:tc>
          <w:tcPr>
            <w:tcW w:w="567" w:type="dxa"/>
            <w:tcBorders>
              <w:top w:val="nil"/>
              <w:left w:val="single" w:sz="4" w:space="0" w:color="auto"/>
              <w:bottom w:val="single" w:sz="4" w:space="0" w:color="auto"/>
              <w:right w:val="single" w:sz="4" w:space="0" w:color="auto"/>
            </w:tcBorders>
            <w:shd w:val="clear" w:color="auto" w:fill="DEEAF6"/>
            <w:vAlign w:val="center"/>
          </w:tcPr>
          <w:p w14:paraId="0825FA36" w14:textId="77777777" w:rsidR="00B27C43" w:rsidRPr="001D752F" w:rsidRDefault="00B27C43" w:rsidP="00C866A1">
            <w:pPr>
              <w:jc w:val="center"/>
              <w:rPr>
                <w:rFonts w:cs="Arial"/>
                <w:b/>
                <w:sz w:val="16"/>
                <w:szCs w:val="16"/>
              </w:rPr>
            </w:pPr>
            <w:r w:rsidRPr="001D752F">
              <w:rPr>
                <w:rFonts w:cs="Arial"/>
                <w:b/>
                <w:sz w:val="16"/>
                <w:szCs w:val="16"/>
              </w:rPr>
              <w:t>Lp.</w:t>
            </w:r>
          </w:p>
        </w:tc>
        <w:tc>
          <w:tcPr>
            <w:tcW w:w="3006" w:type="dxa"/>
            <w:tcBorders>
              <w:top w:val="nil"/>
              <w:left w:val="single" w:sz="4" w:space="0" w:color="auto"/>
              <w:bottom w:val="single" w:sz="4" w:space="0" w:color="auto"/>
              <w:right w:val="single" w:sz="4" w:space="0" w:color="auto"/>
            </w:tcBorders>
            <w:shd w:val="clear" w:color="auto" w:fill="DEEAF6"/>
            <w:vAlign w:val="center"/>
          </w:tcPr>
          <w:p w14:paraId="33FCA197" w14:textId="77777777" w:rsidR="00B27C43" w:rsidRPr="001D752F" w:rsidRDefault="00B27C43" w:rsidP="00C866A1">
            <w:pPr>
              <w:jc w:val="center"/>
              <w:rPr>
                <w:rFonts w:cs="Arial"/>
                <w:b/>
                <w:sz w:val="16"/>
                <w:szCs w:val="16"/>
              </w:rPr>
            </w:pPr>
            <w:r w:rsidRPr="001D752F">
              <w:rPr>
                <w:rFonts w:cs="Arial"/>
                <w:b/>
                <w:sz w:val="16"/>
                <w:szCs w:val="16"/>
              </w:rPr>
              <w:t>Aspekt społeczny</w:t>
            </w:r>
          </w:p>
        </w:tc>
        <w:tc>
          <w:tcPr>
            <w:tcW w:w="1843" w:type="dxa"/>
            <w:tcBorders>
              <w:top w:val="single" w:sz="4" w:space="0" w:color="auto"/>
              <w:left w:val="single" w:sz="4" w:space="0" w:color="auto"/>
              <w:bottom w:val="single" w:sz="4" w:space="0" w:color="auto"/>
              <w:right w:val="single" w:sz="4" w:space="0" w:color="auto"/>
            </w:tcBorders>
            <w:shd w:val="clear" w:color="auto" w:fill="DEEAF6"/>
          </w:tcPr>
          <w:p w14:paraId="7DCFEBA1" w14:textId="77777777" w:rsidR="00B27C43" w:rsidRPr="001D752F" w:rsidRDefault="00B27C43" w:rsidP="00C866A1">
            <w:pPr>
              <w:jc w:val="center"/>
              <w:rPr>
                <w:rFonts w:cs="Arial"/>
                <w:b/>
                <w:bCs/>
                <w:sz w:val="16"/>
                <w:szCs w:val="16"/>
              </w:rPr>
            </w:pPr>
            <w:r w:rsidRPr="001D752F">
              <w:rPr>
                <w:rFonts w:cs="Arial"/>
                <w:b/>
                <w:bCs/>
                <w:sz w:val="16"/>
                <w:szCs w:val="16"/>
              </w:rPr>
              <w:t>Liczba zamówień społecznych z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DEEAF6"/>
          </w:tcPr>
          <w:p w14:paraId="2C8F6E29" w14:textId="77777777" w:rsidR="00B27C43" w:rsidRPr="001D752F" w:rsidRDefault="00B27C43" w:rsidP="00C866A1">
            <w:pPr>
              <w:jc w:val="center"/>
              <w:rPr>
                <w:rFonts w:cs="Arial"/>
                <w:b/>
                <w:bCs/>
                <w:sz w:val="16"/>
                <w:szCs w:val="16"/>
              </w:rPr>
            </w:pPr>
            <w:r w:rsidRPr="001D752F">
              <w:rPr>
                <w:rFonts w:cs="Arial"/>
                <w:b/>
                <w:bCs/>
                <w:sz w:val="16"/>
                <w:szCs w:val="16"/>
              </w:rPr>
              <w:t>Wartość zamówień społecznych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DEEAF6"/>
          </w:tcPr>
          <w:p w14:paraId="1581D950" w14:textId="77777777" w:rsidR="00B27C43" w:rsidRPr="001D752F" w:rsidRDefault="00B27C43" w:rsidP="00C866A1">
            <w:pPr>
              <w:jc w:val="center"/>
              <w:rPr>
                <w:rFonts w:cs="Arial"/>
                <w:b/>
                <w:bCs/>
                <w:sz w:val="16"/>
                <w:szCs w:val="16"/>
              </w:rPr>
            </w:pPr>
            <w:r w:rsidRPr="001D752F">
              <w:rPr>
                <w:rFonts w:cs="Arial"/>
                <w:b/>
                <w:bCs/>
                <w:sz w:val="16"/>
                <w:szCs w:val="16"/>
              </w:rPr>
              <w:t>Liczba zamówień społecznych z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DEEAF6"/>
          </w:tcPr>
          <w:p w14:paraId="317A914E" w14:textId="77777777" w:rsidR="00B27C43" w:rsidRPr="001D752F" w:rsidRDefault="00B27C43" w:rsidP="00C866A1">
            <w:pPr>
              <w:jc w:val="center"/>
              <w:rPr>
                <w:rFonts w:cs="Arial"/>
                <w:b/>
                <w:bCs/>
                <w:sz w:val="16"/>
                <w:szCs w:val="16"/>
              </w:rPr>
            </w:pPr>
            <w:r w:rsidRPr="001D752F">
              <w:rPr>
                <w:rFonts w:cs="Arial"/>
                <w:b/>
                <w:bCs/>
                <w:sz w:val="16"/>
                <w:szCs w:val="16"/>
              </w:rPr>
              <w:t>Wartość zamówień społecznych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Pr>
          <w:p w14:paraId="46251C80" w14:textId="77777777" w:rsidR="00B27C43" w:rsidRPr="001D752F" w:rsidRDefault="00B27C43" w:rsidP="00C866A1">
            <w:pPr>
              <w:jc w:val="center"/>
              <w:rPr>
                <w:rFonts w:cs="Arial"/>
                <w:b/>
                <w:bCs/>
                <w:sz w:val="16"/>
                <w:szCs w:val="16"/>
              </w:rPr>
            </w:pPr>
            <w:r w:rsidRPr="001D752F">
              <w:rPr>
                <w:rFonts w:cs="Arial"/>
                <w:b/>
                <w:bCs/>
                <w:sz w:val="16"/>
                <w:szCs w:val="16"/>
              </w:rPr>
              <w:t>Liczba zamówień społecznych z zastosowaniem danego aspektu</w:t>
            </w:r>
          </w:p>
        </w:tc>
        <w:tc>
          <w:tcPr>
            <w:tcW w:w="2021" w:type="dxa"/>
            <w:tcBorders>
              <w:top w:val="single" w:sz="4" w:space="0" w:color="auto"/>
              <w:left w:val="single" w:sz="4" w:space="0" w:color="auto"/>
              <w:bottom w:val="single" w:sz="4" w:space="0" w:color="auto"/>
              <w:right w:val="single" w:sz="4" w:space="0" w:color="auto"/>
            </w:tcBorders>
            <w:shd w:val="clear" w:color="auto" w:fill="DEEAF6"/>
          </w:tcPr>
          <w:p w14:paraId="18C33910" w14:textId="77777777" w:rsidR="00B27C43" w:rsidRPr="001D752F" w:rsidRDefault="00B27C43" w:rsidP="00C866A1">
            <w:pPr>
              <w:jc w:val="center"/>
              <w:rPr>
                <w:rFonts w:cs="Arial"/>
                <w:b/>
                <w:bCs/>
                <w:sz w:val="16"/>
                <w:szCs w:val="16"/>
              </w:rPr>
            </w:pPr>
            <w:r w:rsidRPr="001D752F">
              <w:rPr>
                <w:rFonts w:cs="Arial"/>
                <w:b/>
                <w:bCs/>
                <w:sz w:val="16"/>
                <w:szCs w:val="16"/>
              </w:rPr>
              <w:t>Wartość zamówień społecznych z zastosowaniem danego aspektu</w:t>
            </w:r>
          </w:p>
        </w:tc>
      </w:tr>
      <w:tr w:rsidR="00DB1BEF" w:rsidRPr="001D752F" w14:paraId="3B667B2B"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47F9EF4B" w14:textId="77777777" w:rsidR="00DB1BEF" w:rsidRPr="001D752F" w:rsidRDefault="00DB1BEF" w:rsidP="00DB1BEF">
            <w:pPr>
              <w:rPr>
                <w:rFonts w:cs="Arial"/>
                <w:sz w:val="16"/>
                <w:szCs w:val="16"/>
              </w:rPr>
            </w:pPr>
            <w:r w:rsidRPr="001D752F">
              <w:rPr>
                <w:rFonts w:cs="Arial"/>
                <w:sz w:val="16"/>
                <w:szCs w:val="16"/>
              </w:rPr>
              <w:t>1.</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5A5DF613" w14:textId="77777777" w:rsidR="00DB1BEF" w:rsidRPr="001D752F" w:rsidRDefault="00DB1BEF" w:rsidP="00DB1BEF">
            <w:pPr>
              <w:jc w:val="left"/>
              <w:rPr>
                <w:rFonts w:cs="Arial"/>
                <w:b/>
                <w:sz w:val="16"/>
                <w:szCs w:val="16"/>
              </w:rPr>
            </w:pPr>
            <w:r w:rsidRPr="001D752F">
              <w:rPr>
                <w:rFonts w:cs="Arial"/>
                <w:b/>
                <w:sz w:val="16"/>
                <w:szCs w:val="16"/>
              </w:rPr>
              <w:t>Określenie wymagań związanych z realizacją zamówienia w zakresie zatrudnienia na podstawie stosunku pracy</w:t>
            </w:r>
          </w:p>
        </w:tc>
        <w:tc>
          <w:tcPr>
            <w:tcW w:w="1843" w:type="dxa"/>
            <w:tcBorders>
              <w:top w:val="single" w:sz="4" w:space="0" w:color="auto"/>
              <w:left w:val="single" w:sz="4" w:space="0" w:color="auto"/>
              <w:bottom w:val="single" w:sz="4" w:space="0" w:color="auto"/>
              <w:right w:val="single" w:sz="4" w:space="0" w:color="auto"/>
            </w:tcBorders>
            <w:vAlign w:val="center"/>
          </w:tcPr>
          <w:p w14:paraId="61B60AF8" w14:textId="509F4113" w:rsidR="00DB1BEF" w:rsidRPr="00573407" w:rsidRDefault="00DB1BEF" w:rsidP="00DB1BEF">
            <w:pPr>
              <w:jc w:val="center"/>
              <w:rPr>
                <w:rFonts w:eastAsia="Calibri" w:cs="Arial"/>
                <w:sz w:val="18"/>
                <w:szCs w:val="18"/>
              </w:rPr>
            </w:pPr>
            <w:r w:rsidRPr="00573407">
              <w:rPr>
                <w:rFonts w:eastAsia="Calibri" w:cs="Arial"/>
                <w:sz w:val="18"/>
                <w:szCs w:val="18"/>
              </w:rPr>
              <w:t>37 584</w:t>
            </w:r>
          </w:p>
        </w:tc>
        <w:tc>
          <w:tcPr>
            <w:tcW w:w="2126" w:type="dxa"/>
            <w:tcBorders>
              <w:top w:val="single" w:sz="4" w:space="0" w:color="auto"/>
              <w:left w:val="single" w:sz="4" w:space="0" w:color="auto"/>
              <w:bottom w:val="single" w:sz="4" w:space="0" w:color="auto"/>
              <w:right w:val="single" w:sz="4" w:space="0" w:color="auto"/>
            </w:tcBorders>
            <w:vAlign w:val="center"/>
          </w:tcPr>
          <w:p w14:paraId="1FCFC4A8" w14:textId="089059C9" w:rsidR="00DB1BEF" w:rsidRPr="00573407" w:rsidRDefault="00DB1BEF" w:rsidP="00DB1BEF">
            <w:pPr>
              <w:jc w:val="center"/>
              <w:rPr>
                <w:rFonts w:eastAsia="Calibri" w:cs="Arial"/>
                <w:sz w:val="18"/>
                <w:szCs w:val="18"/>
              </w:rPr>
            </w:pPr>
            <w:r w:rsidRPr="00573407">
              <w:rPr>
                <w:rFonts w:eastAsia="Calibri" w:cs="Arial"/>
                <w:sz w:val="18"/>
                <w:szCs w:val="18"/>
              </w:rPr>
              <w:t>95</w:t>
            </w:r>
            <w:r>
              <w:rPr>
                <w:rFonts w:eastAsia="Calibri" w:cs="Arial"/>
                <w:sz w:val="18"/>
                <w:szCs w:val="18"/>
              </w:rPr>
              <w:t xml:space="preserve"> </w:t>
            </w:r>
            <w:r w:rsidRPr="00573407">
              <w:rPr>
                <w:rFonts w:eastAsia="Calibri" w:cs="Arial"/>
                <w:sz w:val="18"/>
                <w:szCs w:val="18"/>
              </w:rPr>
              <w:t>523</w:t>
            </w:r>
            <w:r>
              <w:rPr>
                <w:rFonts w:eastAsia="Calibri" w:cs="Arial"/>
                <w:sz w:val="18"/>
                <w:szCs w:val="18"/>
              </w:rPr>
              <w:t xml:space="preserve"> </w:t>
            </w:r>
            <w:r w:rsidRPr="00573407">
              <w:rPr>
                <w:rFonts w:eastAsia="Calibri" w:cs="Arial"/>
                <w:sz w:val="18"/>
                <w:szCs w:val="18"/>
              </w:rPr>
              <w:t>046</w:t>
            </w:r>
            <w:r>
              <w:rPr>
                <w:rFonts w:eastAsia="Calibri" w:cs="Arial"/>
                <w:sz w:val="18"/>
                <w:szCs w:val="18"/>
              </w:rPr>
              <w:t xml:space="preserve"> </w:t>
            </w:r>
            <w:r w:rsidRPr="00573407">
              <w:rPr>
                <w:rFonts w:eastAsia="Calibri" w:cs="Arial"/>
                <w:sz w:val="18"/>
                <w:szCs w:val="18"/>
              </w:rPr>
              <w:t>134,30 zł</w:t>
            </w:r>
          </w:p>
        </w:tc>
        <w:tc>
          <w:tcPr>
            <w:tcW w:w="1843" w:type="dxa"/>
            <w:tcBorders>
              <w:top w:val="single" w:sz="4" w:space="0" w:color="auto"/>
              <w:left w:val="single" w:sz="4" w:space="0" w:color="auto"/>
              <w:bottom w:val="single" w:sz="4" w:space="0" w:color="auto"/>
              <w:right w:val="single" w:sz="4" w:space="0" w:color="auto"/>
            </w:tcBorders>
            <w:vAlign w:val="center"/>
          </w:tcPr>
          <w:p w14:paraId="00B81E7A" w14:textId="24D12C5E" w:rsidR="00DB1BEF" w:rsidRPr="00573407" w:rsidRDefault="00DB1BEF" w:rsidP="00DB1BEF">
            <w:pPr>
              <w:jc w:val="center"/>
              <w:rPr>
                <w:rFonts w:eastAsia="Calibri" w:cs="Arial"/>
                <w:sz w:val="18"/>
                <w:szCs w:val="18"/>
              </w:rPr>
            </w:pPr>
            <w:r>
              <w:rPr>
                <w:rFonts w:eastAsia="Calibri" w:cs="Arial"/>
                <w:sz w:val="18"/>
                <w:szCs w:val="18"/>
              </w:rPr>
              <w:t>39 029</w:t>
            </w:r>
          </w:p>
        </w:tc>
        <w:tc>
          <w:tcPr>
            <w:tcW w:w="2126" w:type="dxa"/>
            <w:tcBorders>
              <w:top w:val="single" w:sz="4" w:space="0" w:color="auto"/>
              <w:left w:val="single" w:sz="4" w:space="0" w:color="auto"/>
              <w:bottom w:val="single" w:sz="4" w:space="0" w:color="auto"/>
              <w:right w:val="single" w:sz="4" w:space="0" w:color="auto"/>
            </w:tcBorders>
            <w:vAlign w:val="center"/>
          </w:tcPr>
          <w:p w14:paraId="3275DFB3" w14:textId="079FDC68" w:rsidR="00DB1BEF" w:rsidRPr="00573407" w:rsidRDefault="00DB1BEF" w:rsidP="00DB1BEF">
            <w:pPr>
              <w:jc w:val="center"/>
              <w:rPr>
                <w:rFonts w:eastAsia="Calibri" w:cs="Arial"/>
                <w:sz w:val="18"/>
                <w:szCs w:val="18"/>
              </w:rPr>
            </w:pPr>
            <w:r>
              <w:rPr>
                <w:rFonts w:eastAsia="Calibri" w:cs="Arial"/>
                <w:sz w:val="18"/>
                <w:szCs w:val="18"/>
              </w:rPr>
              <w:t>124 607 725 533,44 zł</w:t>
            </w:r>
          </w:p>
        </w:tc>
        <w:tc>
          <w:tcPr>
            <w:tcW w:w="1701" w:type="dxa"/>
            <w:tcBorders>
              <w:top w:val="single" w:sz="4" w:space="0" w:color="auto"/>
              <w:left w:val="single" w:sz="4" w:space="0" w:color="auto"/>
              <w:bottom w:val="single" w:sz="4" w:space="0" w:color="auto"/>
              <w:right w:val="single" w:sz="4" w:space="0" w:color="auto"/>
            </w:tcBorders>
            <w:vAlign w:val="center"/>
          </w:tcPr>
          <w:p w14:paraId="6F13A467" w14:textId="5D0A5EED" w:rsidR="00DB1BEF" w:rsidRPr="00573407" w:rsidRDefault="00DB1BEF" w:rsidP="00DB1BEF">
            <w:pPr>
              <w:jc w:val="center"/>
              <w:rPr>
                <w:rFonts w:eastAsia="Calibri" w:cs="Arial"/>
                <w:sz w:val="18"/>
                <w:szCs w:val="18"/>
              </w:rPr>
            </w:pPr>
            <w:r>
              <w:rPr>
                <w:rFonts w:eastAsia="Calibri" w:cs="Arial"/>
                <w:sz w:val="18"/>
                <w:szCs w:val="18"/>
              </w:rPr>
              <w:t>40 478</w:t>
            </w:r>
          </w:p>
        </w:tc>
        <w:tc>
          <w:tcPr>
            <w:tcW w:w="2021" w:type="dxa"/>
            <w:tcBorders>
              <w:top w:val="single" w:sz="4" w:space="0" w:color="auto"/>
              <w:left w:val="single" w:sz="4" w:space="0" w:color="auto"/>
              <w:bottom w:val="single" w:sz="4" w:space="0" w:color="auto"/>
              <w:right w:val="single" w:sz="4" w:space="0" w:color="auto"/>
            </w:tcBorders>
            <w:vAlign w:val="center"/>
          </w:tcPr>
          <w:p w14:paraId="5F96E89B" w14:textId="71E89EC2" w:rsidR="00DB1BEF" w:rsidRPr="00573407" w:rsidRDefault="00DB1BEF" w:rsidP="00DB1BEF">
            <w:pPr>
              <w:jc w:val="center"/>
              <w:rPr>
                <w:rFonts w:eastAsia="Calibri" w:cs="Arial"/>
                <w:sz w:val="18"/>
                <w:szCs w:val="18"/>
              </w:rPr>
            </w:pPr>
            <w:r w:rsidRPr="00C8338F">
              <w:rPr>
                <w:rFonts w:eastAsia="Calibri" w:cs="Arial"/>
                <w:sz w:val="18"/>
                <w:szCs w:val="18"/>
              </w:rPr>
              <w:t>105 059 561 367,71</w:t>
            </w:r>
            <w:r>
              <w:rPr>
                <w:rFonts w:eastAsia="Calibri" w:cs="Arial"/>
                <w:sz w:val="18"/>
                <w:szCs w:val="18"/>
              </w:rPr>
              <w:t xml:space="preserve"> zł</w:t>
            </w:r>
          </w:p>
        </w:tc>
      </w:tr>
      <w:tr w:rsidR="00DB1BEF" w:rsidRPr="001D752F" w14:paraId="7B66900C"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658FF9EF" w14:textId="77777777" w:rsidR="00DB1BEF" w:rsidRPr="001D752F" w:rsidRDefault="00DB1BEF" w:rsidP="00DB1BEF">
            <w:pPr>
              <w:rPr>
                <w:rFonts w:cs="Arial"/>
                <w:sz w:val="16"/>
                <w:szCs w:val="16"/>
              </w:rPr>
            </w:pPr>
            <w:r w:rsidRPr="001D752F">
              <w:rPr>
                <w:rFonts w:cs="Arial"/>
                <w:sz w:val="16"/>
                <w:szCs w:val="16"/>
              </w:rPr>
              <w:t>2.</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5F743371" w14:textId="77777777" w:rsidR="00DB1BEF" w:rsidRPr="001D752F" w:rsidRDefault="00DB1BEF" w:rsidP="00DB1BEF">
            <w:pPr>
              <w:jc w:val="left"/>
              <w:rPr>
                <w:rFonts w:cs="Arial"/>
                <w:b/>
                <w:sz w:val="16"/>
                <w:szCs w:val="16"/>
              </w:rPr>
            </w:pPr>
            <w:r w:rsidRPr="001D752F">
              <w:rPr>
                <w:rFonts w:cs="Arial"/>
                <w:b/>
                <w:sz w:val="16"/>
                <w:szCs w:val="16"/>
              </w:rPr>
              <w:t xml:space="preserve">Określenie w opisie przedmiotu zamówienia wymagań w zakresie dostępności dla osób niepełnosprawnych lub projektowania z przeznaczeniem dla wszystkich </w:t>
            </w:r>
          </w:p>
        </w:tc>
        <w:tc>
          <w:tcPr>
            <w:tcW w:w="1843" w:type="dxa"/>
            <w:tcBorders>
              <w:top w:val="single" w:sz="4" w:space="0" w:color="auto"/>
              <w:left w:val="single" w:sz="4" w:space="0" w:color="auto"/>
              <w:bottom w:val="single" w:sz="4" w:space="0" w:color="auto"/>
              <w:right w:val="single" w:sz="4" w:space="0" w:color="auto"/>
            </w:tcBorders>
            <w:vAlign w:val="center"/>
          </w:tcPr>
          <w:p w14:paraId="07E66C4B" w14:textId="1AD7357C" w:rsidR="00DB1BEF" w:rsidRPr="00573407" w:rsidRDefault="00DB1BEF" w:rsidP="00DB1BEF">
            <w:pPr>
              <w:jc w:val="center"/>
              <w:rPr>
                <w:rFonts w:eastAsia="Calibri" w:cs="Arial"/>
                <w:sz w:val="18"/>
                <w:szCs w:val="18"/>
              </w:rPr>
            </w:pPr>
            <w:r w:rsidRPr="00573407">
              <w:rPr>
                <w:rFonts w:eastAsia="Calibri" w:cs="Arial"/>
                <w:sz w:val="18"/>
                <w:szCs w:val="18"/>
              </w:rPr>
              <w:t>7 741</w:t>
            </w:r>
          </w:p>
        </w:tc>
        <w:tc>
          <w:tcPr>
            <w:tcW w:w="2126" w:type="dxa"/>
            <w:tcBorders>
              <w:top w:val="single" w:sz="4" w:space="0" w:color="auto"/>
              <w:left w:val="single" w:sz="4" w:space="0" w:color="auto"/>
              <w:bottom w:val="single" w:sz="4" w:space="0" w:color="auto"/>
              <w:right w:val="single" w:sz="4" w:space="0" w:color="auto"/>
            </w:tcBorders>
            <w:vAlign w:val="center"/>
          </w:tcPr>
          <w:p w14:paraId="2DD51E7D" w14:textId="4D2B9643" w:rsidR="00DB1BEF" w:rsidRPr="00573407" w:rsidRDefault="00DB1BEF" w:rsidP="00DB1BEF">
            <w:pPr>
              <w:jc w:val="center"/>
              <w:rPr>
                <w:rFonts w:eastAsia="Calibri" w:cs="Arial"/>
                <w:sz w:val="18"/>
                <w:szCs w:val="18"/>
              </w:rPr>
            </w:pPr>
            <w:r w:rsidRPr="00573407">
              <w:rPr>
                <w:rFonts w:eastAsia="Calibri" w:cs="Arial"/>
                <w:sz w:val="18"/>
                <w:szCs w:val="18"/>
              </w:rPr>
              <w:t>21</w:t>
            </w:r>
            <w:r>
              <w:rPr>
                <w:rFonts w:eastAsia="Calibri" w:cs="Arial"/>
                <w:sz w:val="18"/>
                <w:szCs w:val="18"/>
              </w:rPr>
              <w:t xml:space="preserve"> </w:t>
            </w:r>
            <w:r w:rsidRPr="00573407">
              <w:rPr>
                <w:rFonts w:eastAsia="Calibri" w:cs="Arial"/>
                <w:sz w:val="18"/>
                <w:szCs w:val="18"/>
              </w:rPr>
              <w:t>992</w:t>
            </w:r>
            <w:r>
              <w:rPr>
                <w:rFonts w:eastAsia="Calibri" w:cs="Arial"/>
                <w:sz w:val="18"/>
                <w:szCs w:val="18"/>
              </w:rPr>
              <w:t xml:space="preserve"> </w:t>
            </w:r>
            <w:r w:rsidRPr="00573407">
              <w:rPr>
                <w:rFonts w:eastAsia="Calibri" w:cs="Arial"/>
                <w:sz w:val="18"/>
                <w:szCs w:val="18"/>
              </w:rPr>
              <w:t>771 776,29 zł</w:t>
            </w:r>
          </w:p>
        </w:tc>
        <w:tc>
          <w:tcPr>
            <w:tcW w:w="1843" w:type="dxa"/>
            <w:tcBorders>
              <w:top w:val="single" w:sz="4" w:space="0" w:color="auto"/>
              <w:left w:val="single" w:sz="4" w:space="0" w:color="auto"/>
              <w:bottom w:val="single" w:sz="4" w:space="0" w:color="auto"/>
              <w:right w:val="single" w:sz="4" w:space="0" w:color="auto"/>
            </w:tcBorders>
            <w:vAlign w:val="center"/>
          </w:tcPr>
          <w:p w14:paraId="63FF5F73" w14:textId="1C30555E" w:rsidR="00DB1BEF" w:rsidRPr="00573407" w:rsidRDefault="00DB1BEF" w:rsidP="00DB1BEF">
            <w:pPr>
              <w:jc w:val="center"/>
              <w:rPr>
                <w:rFonts w:eastAsia="Calibri" w:cs="Arial"/>
                <w:sz w:val="18"/>
                <w:szCs w:val="18"/>
              </w:rPr>
            </w:pPr>
            <w:r>
              <w:rPr>
                <w:rFonts w:eastAsia="Calibri" w:cs="Arial"/>
                <w:sz w:val="18"/>
                <w:szCs w:val="18"/>
              </w:rPr>
              <w:t>8 177</w:t>
            </w:r>
          </w:p>
        </w:tc>
        <w:tc>
          <w:tcPr>
            <w:tcW w:w="2126" w:type="dxa"/>
            <w:tcBorders>
              <w:top w:val="single" w:sz="4" w:space="0" w:color="auto"/>
              <w:left w:val="single" w:sz="4" w:space="0" w:color="auto"/>
              <w:bottom w:val="single" w:sz="4" w:space="0" w:color="auto"/>
              <w:right w:val="single" w:sz="4" w:space="0" w:color="auto"/>
            </w:tcBorders>
            <w:vAlign w:val="center"/>
          </w:tcPr>
          <w:p w14:paraId="56FDA7E7" w14:textId="0547C680" w:rsidR="00DB1BEF" w:rsidRPr="00573407" w:rsidRDefault="00DB1BEF" w:rsidP="00DB1BEF">
            <w:pPr>
              <w:jc w:val="center"/>
              <w:rPr>
                <w:rFonts w:eastAsia="Calibri" w:cs="Arial"/>
                <w:sz w:val="18"/>
                <w:szCs w:val="18"/>
              </w:rPr>
            </w:pPr>
            <w:r>
              <w:rPr>
                <w:rFonts w:eastAsia="Calibri" w:cs="Arial"/>
                <w:sz w:val="18"/>
                <w:szCs w:val="18"/>
              </w:rPr>
              <w:t>46 612 257 491,42 zł</w:t>
            </w:r>
          </w:p>
        </w:tc>
        <w:tc>
          <w:tcPr>
            <w:tcW w:w="1701" w:type="dxa"/>
            <w:tcBorders>
              <w:top w:val="single" w:sz="4" w:space="0" w:color="auto"/>
              <w:left w:val="single" w:sz="4" w:space="0" w:color="auto"/>
              <w:bottom w:val="single" w:sz="4" w:space="0" w:color="auto"/>
              <w:right w:val="single" w:sz="4" w:space="0" w:color="auto"/>
            </w:tcBorders>
            <w:vAlign w:val="center"/>
          </w:tcPr>
          <w:p w14:paraId="5C1F1CB0" w14:textId="041F7191" w:rsidR="00DB1BEF" w:rsidRPr="00573407" w:rsidRDefault="00DB1BEF" w:rsidP="00DB1BEF">
            <w:pPr>
              <w:jc w:val="center"/>
              <w:rPr>
                <w:rFonts w:eastAsia="Calibri" w:cs="Arial"/>
                <w:sz w:val="18"/>
                <w:szCs w:val="18"/>
              </w:rPr>
            </w:pPr>
            <w:r>
              <w:rPr>
                <w:rFonts w:eastAsia="Calibri" w:cs="Arial"/>
                <w:sz w:val="18"/>
                <w:szCs w:val="18"/>
              </w:rPr>
              <w:t>9 888</w:t>
            </w:r>
          </w:p>
        </w:tc>
        <w:tc>
          <w:tcPr>
            <w:tcW w:w="2021" w:type="dxa"/>
            <w:tcBorders>
              <w:top w:val="single" w:sz="4" w:space="0" w:color="auto"/>
              <w:left w:val="single" w:sz="4" w:space="0" w:color="auto"/>
              <w:bottom w:val="single" w:sz="4" w:space="0" w:color="auto"/>
              <w:right w:val="single" w:sz="4" w:space="0" w:color="auto"/>
            </w:tcBorders>
            <w:vAlign w:val="center"/>
          </w:tcPr>
          <w:p w14:paraId="309C68A0" w14:textId="4554692B" w:rsidR="00DB1BEF" w:rsidRPr="00573407" w:rsidRDefault="00DB1BEF" w:rsidP="00DB1BEF">
            <w:pPr>
              <w:jc w:val="center"/>
              <w:rPr>
                <w:rFonts w:eastAsia="Calibri" w:cs="Arial"/>
                <w:sz w:val="18"/>
                <w:szCs w:val="18"/>
              </w:rPr>
            </w:pPr>
            <w:r w:rsidRPr="00C8338F">
              <w:rPr>
                <w:rFonts w:eastAsia="Calibri" w:cs="Arial"/>
                <w:sz w:val="18"/>
                <w:szCs w:val="18"/>
              </w:rPr>
              <w:t>35 078 949 760,32</w:t>
            </w:r>
            <w:r>
              <w:rPr>
                <w:rFonts w:eastAsia="Calibri" w:cs="Arial"/>
                <w:sz w:val="18"/>
                <w:szCs w:val="18"/>
              </w:rPr>
              <w:t xml:space="preserve"> zł</w:t>
            </w:r>
          </w:p>
        </w:tc>
      </w:tr>
      <w:tr w:rsidR="00DB1BEF" w:rsidRPr="001D752F" w14:paraId="13DCA8FC"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28B118F8" w14:textId="77777777" w:rsidR="00DB1BEF" w:rsidRPr="001D752F" w:rsidRDefault="00DB1BEF" w:rsidP="00DB1BEF">
            <w:pPr>
              <w:rPr>
                <w:rFonts w:cs="Arial"/>
                <w:sz w:val="16"/>
                <w:szCs w:val="16"/>
              </w:rPr>
            </w:pPr>
            <w:r w:rsidRPr="001D752F">
              <w:rPr>
                <w:rFonts w:cs="Arial"/>
                <w:sz w:val="16"/>
                <w:szCs w:val="16"/>
              </w:rPr>
              <w:t>3.</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2D179845" w14:textId="77777777" w:rsidR="00DB1BEF" w:rsidRPr="001D752F" w:rsidRDefault="00DB1BEF" w:rsidP="00DB1BEF">
            <w:pPr>
              <w:jc w:val="left"/>
              <w:rPr>
                <w:rFonts w:cs="Arial"/>
                <w:b/>
                <w:sz w:val="16"/>
                <w:szCs w:val="16"/>
              </w:rPr>
            </w:pPr>
            <w:r w:rsidRPr="001D752F">
              <w:rPr>
                <w:rFonts w:cs="Arial"/>
                <w:b/>
                <w:sz w:val="16"/>
                <w:szCs w:val="16"/>
              </w:rPr>
              <w:t>Określenie aspektów społecznych w kryteriach oceny ofert</w:t>
            </w:r>
          </w:p>
        </w:tc>
        <w:tc>
          <w:tcPr>
            <w:tcW w:w="1843" w:type="dxa"/>
            <w:tcBorders>
              <w:top w:val="single" w:sz="4" w:space="0" w:color="auto"/>
              <w:left w:val="single" w:sz="4" w:space="0" w:color="auto"/>
              <w:bottom w:val="single" w:sz="4" w:space="0" w:color="auto"/>
              <w:right w:val="single" w:sz="4" w:space="0" w:color="auto"/>
            </w:tcBorders>
            <w:vAlign w:val="center"/>
          </w:tcPr>
          <w:p w14:paraId="7D394F0D" w14:textId="2D96DDB0" w:rsidR="00DB1BEF" w:rsidRPr="00573407" w:rsidRDefault="00DB1BEF" w:rsidP="00DB1BEF">
            <w:pPr>
              <w:jc w:val="center"/>
              <w:rPr>
                <w:rFonts w:cs="Arial"/>
                <w:sz w:val="18"/>
                <w:szCs w:val="18"/>
              </w:rPr>
            </w:pPr>
            <w:r w:rsidRPr="00573407">
              <w:rPr>
                <w:rFonts w:cs="Arial"/>
                <w:sz w:val="18"/>
                <w:szCs w:val="18"/>
              </w:rPr>
              <w:t>1 753</w:t>
            </w:r>
          </w:p>
        </w:tc>
        <w:tc>
          <w:tcPr>
            <w:tcW w:w="2126" w:type="dxa"/>
            <w:tcBorders>
              <w:top w:val="single" w:sz="4" w:space="0" w:color="auto"/>
              <w:left w:val="single" w:sz="4" w:space="0" w:color="auto"/>
              <w:bottom w:val="single" w:sz="4" w:space="0" w:color="auto"/>
              <w:right w:val="single" w:sz="4" w:space="0" w:color="auto"/>
            </w:tcBorders>
            <w:vAlign w:val="center"/>
          </w:tcPr>
          <w:p w14:paraId="1A9AAA93" w14:textId="0FC383D4" w:rsidR="00DB1BEF" w:rsidRPr="00573407" w:rsidRDefault="00DB1BEF" w:rsidP="00DB1BEF">
            <w:pPr>
              <w:jc w:val="center"/>
              <w:rPr>
                <w:rFonts w:cs="Arial"/>
                <w:sz w:val="18"/>
                <w:szCs w:val="18"/>
              </w:rPr>
            </w:pPr>
            <w:r w:rsidRPr="00573407">
              <w:rPr>
                <w:rFonts w:cs="Arial"/>
                <w:sz w:val="18"/>
                <w:szCs w:val="18"/>
              </w:rPr>
              <w:t>3</w:t>
            </w:r>
            <w:r>
              <w:rPr>
                <w:rFonts w:cs="Arial"/>
                <w:sz w:val="18"/>
                <w:szCs w:val="18"/>
              </w:rPr>
              <w:t xml:space="preserve"> </w:t>
            </w:r>
            <w:r w:rsidRPr="00573407">
              <w:rPr>
                <w:rFonts w:cs="Arial"/>
                <w:sz w:val="18"/>
                <w:szCs w:val="18"/>
              </w:rPr>
              <w:t>757</w:t>
            </w:r>
            <w:r>
              <w:rPr>
                <w:rFonts w:cs="Arial"/>
                <w:sz w:val="18"/>
                <w:szCs w:val="18"/>
              </w:rPr>
              <w:t xml:space="preserve"> </w:t>
            </w:r>
            <w:r w:rsidRPr="00573407">
              <w:rPr>
                <w:rFonts w:cs="Arial"/>
                <w:sz w:val="18"/>
                <w:szCs w:val="18"/>
              </w:rPr>
              <w:t>856</w:t>
            </w:r>
            <w:r>
              <w:rPr>
                <w:rFonts w:cs="Arial"/>
                <w:sz w:val="18"/>
                <w:szCs w:val="18"/>
              </w:rPr>
              <w:t xml:space="preserve"> </w:t>
            </w:r>
            <w:r w:rsidRPr="00573407">
              <w:rPr>
                <w:rFonts w:cs="Arial"/>
                <w:sz w:val="18"/>
                <w:szCs w:val="18"/>
              </w:rPr>
              <w:t>271,93 zł</w:t>
            </w:r>
          </w:p>
        </w:tc>
        <w:tc>
          <w:tcPr>
            <w:tcW w:w="1843" w:type="dxa"/>
            <w:tcBorders>
              <w:top w:val="single" w:sz="4" w:space="0" w:color="auto"/>
              <w:left w:val="single" w:sz="4" w:space="0" w:color="auto"/>
              <w:bottom w:val="single" w:sz="4" w:space="0" w:color="auto"/>
              <w:right w:val="single" w:sz="4" w:space="0" w:color="auto"/>
            </w:tcBorders>
            <w:vAlign w:val="center"/>
          </w:tcPr>
          <w:p w14:paraId="3A8E7ED4" w14:textId="5AA51C27" w:rsidR="00DB1BEF" w:rsidRPr="00573407" w:rsidRDefault="00DB1BEF" w:rsidP="00DB1BEF">
            <w:pPr>
              <w:jc w:val="center"/>
              <w:rPr>
                <w:rFonts w:cs="Arial"/>
                <w:sz w:val="18"/>
                <w:szCs w:val="18"/>
              </w:rPr>
            </w:pPr>
            <w:r>
              <w:rPr>
                <w:rFonts w:cs="Arial"/>
                <w:sz w:val="18"/>
                <w:szCs w:val="18"/>
              </w:rPr>
              <w:t>1 968</w:t>
            </w:r>
          </w:p>
        </w:tc>
        <w:tc>
          <w:tcPr>
            <w:tcW w:w="2126" w:type="dxa"/>
            <w:tcBorders>
              <w:top w:val="single" w:sz="4" w:space="0" w:color="auto"/>
              <w:left w:val="single" w:sz="4" w:space="0" w:color="auto"/>
              <w:bottom w:val="single" w:sz="4" w:space="0" w:color="auto"/>
              <w:right w:val="single" w:sz="4" w:space="0" w:color="auto"/>
            </w:tcBorders>
            <w:vAlign w:val="center"/>
          </w:tcPr>
          <w:p w14:paraId="07A4520D" w14:textId="0B35F098" w:rsidR="00DB1BEF" w:rsidRPr="00573407" w:rsidRDefault="00DB1BEF" w:rsidP="00DB1BEF">
            <w:pPr>
              <w:jc w:val="center"/>
              <w:rPr>
                <w:rFonts w:cs="Arial"/>
                <w:sz w:val="18"/>
                <w:szCs w:val="18"/>
              </w:rPr>
            </w:pPr>
            <w:r>
              <w:rPr>
                <w:rFonts w:cs="Arial"/>
                <w:sz w:val="18"/>
                <w:szCs w:val="18"/>
              </w:rPr>
              <w:t>2 677 641 680,41 zł</w:t>
            </w:r>
          </w:p>
        </w:tc>
        <w:tc>
          <w:tcPr>
            <w:tcW w:w="1701" w:type="dxa"/>
            <w:tcBorders>
              <w:top w:val="single" w:sz="4" w:space="0" w:color="auto"/>
              <w:left w:val="single" w:sz="4" w:space="0" w:color="auto"/>
              <w:bottom w:val="single" w:sz="4" w:space="0" w:color="auto"/>
              <w:right w:val="single" w:sz="4" w:space="0" w:color="auto"/>
            </w:tcBorders>
            <w:vAlign w:val="center"/>
          </w:tcPr>
          <w:p w14:paraId="45EC77B1" w14:textId="525377E1" w:rsidR="00DB1BEF" w:rsidRPr="00573407" w:rsidRDefault="00DB1BEF" w:rsidP="00DB1BEF">
            <w:pPr>
              <w:jc w:val="center"/>
              <w:rPr>
                <w:rFonts w:cs="Arial"/>
                <w:sz w:val="18"/>
                <w:szCs w:val="18"/>
              </w:rPr>
            </w:pPr>
            <w:r>
              <w:rPr>
                <w:rFonts w:cs="Arial"/>
                <w:sz w:val="18"/>
                <w:szCs w:val="18"/>
              </w:rPr>
              <w:t>2 464</w:t>
            </w:r>
          </w:p>
        </w:tc>
        <w:tc>
          <w:tcPr>
            <w:tcW w:w="2021" w:type="dxa"/>
            <w:tcBorders>
              <w:top w:val="single" w:sz="4" w:space="0" w:color="auto"/>
              <w:left w:val="single" w:sz="4" w:space="0" w:color="auto"/>
              <w:bottom w:val="single" w:sz="4" w:space="0" w:color="auto"/>
              <w:right w:val="single" w:sz="4" w:space="0" w:color="auto"/>
            </w:tcBorders>
            <w:vAlign w:val="center"/>
          </w:tcPr>
          <w:p w14:paraId="1BB89945" w14:textId="672AC3BC" w:rsidR="00DB1BEF" w:rsidRPr="00573407" w:rsidRDefault="00DB1BEF" w:rsidP="00DB1BEF">
            <w:pPr>
              <w:jc w:val="center"/>
              <w:rPr>
                <w:rFonts w:cs="Arial"/>
                <w:sz w:val="18"/>
                <w:szCs w:val="18"/>
              </w:rPr>
            </w:pPr>
            <w:r w:rsidRPr="00C8338F">
              <w:rPr>
                <w:rFonts w:cs="Arial"/>
                <w:sz w:val="18"/>
                <w:szCs w:val="18"/>
              </w:rPr>
              <w:t>2 753 384 141,25</w:t>
            </w:r>
            <w:r>
              <w:rPr>
                <w:rFonts w:cs="Arial"/>
                <w:sz w:val="18"/>
                <w:szCs w:val="18"/>
              </w:rPr>
              <w:t xml:space="preserve"> zł</w:t>
            </w:r>
          </w:p>
        </w:tc>
      </w:tr>
      <w:tr w:rsidR="00DB1BEF" w:rsidRPr="001D752F" w14:paraId="7BFA6772"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134B98E0" w14:textId="77777777" w:rsidR="00DB1BEF" w:rsidRPr="001D752F" w:rsidRDefault="00DB1BEF" w:rsidP="00DB1BEF">
            <w:pPr>
              <w:rPr>
                <w:rFonts w:cs="Arial"/>
                <w:sz w:val="16"/>
                <w:szCs w:val="16"/>
              </w:rPr>
            </w:pPr>
            <w:r w:rsidRPr="001D752F">
              <w:rPr>
                <w:rFonts w:cs="Arial"/>
                <w:sz w:val="16"/>
                <w:szCs w:val="16"/>
              </w:rPr>
              <w:t>4.</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56348E3C" w14:textId="77777777" w:rsidR="00DB1BEF" w:rsidRPr="001D752F" w:rsidRDefault="00DB1BEF" w:rsidP="00DB1BEF">
            <w:pPr>
              <w:jc w:val="left"/>
              <w:rPr>
                <w:rFonts w:cs="Arial"/>
                <w:b/>
                <w:sz w:val="16"/>
                <w:szCs w:val="16"/>
              </w:rPr>
            </w:pPr>
            <w:r w:rsidRPr="001D752F">
              <w:rPr>
                <w:rFonts w:cs="Arial"/>
                <w:b/>
                <w:sz w:val="16"/>
                <w:szCs w:val="16"/>
              </w:rPr>
              <w:t>Określenie wymagań związanych z realizacją zamówienia obejmujących aspekty społeczne związane z zatrudnieniem</w:t>
            </w:r>
          </w:p>
        </w:tc>
        <w:tc>
          <w:tcPr>
            <w:tcW w:w="1843" w:type="dxa"/>
            <w:tcBorders>
              <w:top w:val="single" w:sz="4" w:space="0" w:color="auto"/>
              <w:left w:val="single" w:sz="4" w:space="0" w:color="auto"/>
              <w:bottom w:val="single" w:sz="4" w:space="0" w:color="auto"/>
              <w:right w:val="single" w:sz="4" w:space="0" w:color="auto"/>
            </w:tcBorders>
            <w:vAlign w:val="center"/>
          </w:tcPr>
          <w:p w14:paraId="39416ADD" w14:textId="2F5BA454" w:rsidR="00DB1BEF" w:rsidRPr="00573407" w:rsidRDefault="00DB1BEF" w:rsidP="00DB1BEF">
            <w:pPr>
              <w:jc w:val="center"/>
              <w:rPr>
                <w:rFonts w:eastAsia="Calibri" w:cs="Arial"/>
                <w:sz w:val="18"/>
                <w:szCs w:val="18"/>
              </w:rPr>
            </w:pPr>
            <w:r w:rsidRPr="00573407">
              <w:rPr>
                <w:rFonts w:eastAsia="Calibri" w:cs="Arial"/>
                <w:sz w:val="18"/>
                <w:szCs w:val="18"/>
              </w:rPr>
              <w:t>1 178</w:t>
            </w:r>
          </w:p>
        </w:tc>
        <w:tc>
          <w:tcPr>
            <w:tcW w:w="2126" w:type="dxa"/>
            <w:tcBorders>
              <w:top w:val="single" w:sz="4" w:space="0" w:color="auto"/>
              <w:left w:val="single" w:sz="4" w:space="0" w:color="auto"/>
              <w:bottom w:val="single" w:sz="4" w:space="0" w:color="auto"/>
              <w:right w:val="single" w:sz="4" w:space="0" w:color="auto"/>
            </w:tcBorders>
            <w:vAlign w:val="center"/>
          </w:tcPr>
          <w:p w14:paraId="1DAD7CAD" w14:textId="69BBEB54" w:rsidR="00DB1BEF" w:rsidRPr="00573407" w:rsidRDefault="00DB1BEF" w:rsidP="00DB1BEF">
            <w:pPr>
              <w:jc w:val="center"/>
              <w:rPr>
                <w:rFonts w:eastAsia="Calibri" w:cs="Arial"/>
                <w:sz w:val="18"/>
                <w:szCs w:val="18"/>
              </w:rPr>
            </w:pPr>
            <w:r w:rsidRPr="00573407">
              <w:rPr>
                <w:rFonts w:eastAsia="Calibri" w:cs="Arial"/>
                <w:sz w:val="18"/>
                <w:szCs w:val="18"/>
              </w:rPr>
              <w:t>2</w:t>
            </w:r>
            <w:r>
              <w:rPr>
                <w:rFonts w:eastAsia="Calibri" w:cs="Arial"/>
                <w:sz w:val="18"/>
                <w:szCs w:val="18"/>
              </w:rPr>
              <w:t xml:space="preserve"> </w:t>
            </w:r>
            <w:r w:rsidRPr="00573407">
              <w:rPr>
                <w:rFonts w:eastAsia="Calibri" w:cs="Arial"/>
                <w:sz w:val="18"/>
                <w:szCs w:val="18"/>
              </w:rPr>
              <w:t>476</w:t>
            </w:r>
            <w:r>
              <w:rPr>
                <w:rFonts w:eastAsia="Calibri" w:cs="Arial"/>
                <w:sz w:val="18"/>
                <w:szCs w:val="18"/>
              </w:rPr>
              <w:t xml:space="preserve"> </w:t>
            </w:r>
            <w:r w:rsidRPr="00573407">
              <w:rPr>
                <w:rFonts w:eastAsia="Calibri" w:cs="Arial"/>
                <w:sz w:val="18"/>
                <w:szCs w:val="18"/>
              </w:rPr>
              <w:t>404</w:t>
            </w:r>
            <w:r>
              <w:rPr>
                <w:rFonts w:eastAsia="Calibri" w:cs="Arial"/>
                <w:sz w:val="18"/>
                <w:szCs w:val="18"/>
              </w:rPr>
              <w:t xml:space="preserve"> </w:t>
            </w:r>
            <w:r w:rsidRPr="00573407">
              <w:rPr>
                <w:rFonts w:eastAsia="Calibri" w:cs="Arial"/>
                <w:sz w:val="18"/>
                <w:szCs w:val="18"/>
              </w:rPr>
              <w:t>451,77 zł</w:t>
            </w:r>
          </w:p>
        </w:tc>
        <w:tc>
          <w:tcPr>
            <w:tcW w:w="1843" w:type="dxa"/>
            <w:tcBorders>
              <w:top w:val="single" w:sz="4" w:space="0" w:color="auto"/>
              <w:left w:val="single" w:sz="4" w:space="0" w:color="auto"/>
              <w:bottom w:val="single" w:sz="4" w:space="0" w:color="auto"/>
              <w:right w:val="single" w:sz="4" w:space="0" w:color="auto"/>
            </w:tcBorders>
            <w:vAlign w:val="center"/>
          </w:tcPr>
          <w:p w14:paraId="2394AAE7" w14:textId="693FD3EC" w:rsidR="00DB1BEF" w:rsidRPr="00573407" w:rsidRDefault="00DB1BEF" w:rsidP="00DB1BEF">
            <w:pPr>
              <w:jc w:val="center"/>
              <w:rPr>
                <w:rFonts w:eastAsia="Calibri" w:cs="Arial"/>
                <w:sz w:val="18"/>
                <w:szCs w:val="18"/>
              </w:rPr>
            </w:pPr>
            <w:r>
              <w:rPr>
                <w:rFonts w:eastAsia="Calibri" w:cs="Arial"/>
                <w:sz w:val="18"/>
                <w:szCs w:val="18"/>
              </w:rPr>
              <w:t>1 269</w:t>
            </w:r>
          </w:p>
        </w:tc>
        <w:tc>
          <w:tcPr>
            <w:tcW w:w="2126" w:type="dxa"/>
            <w:tcBorders>
              <w:top w:val="single" w:sz="4" w:space="0" w:color="auto"/>
              <w:left w:val="single" w:sz="4" w:space="0" w:color="auto"/>
              <w:bottom w:val="single" w:sz="4" w:space="0" w:color="auto"/>
              <w:right w:val="single" w:sz="4" w:space="0" w:color="auto"/>
            </w:tcBorders>
            <w:vAlign w:val="center"/>
          </w:tcPr>
          <w:p w14:paraId="196D2049" w14:textId="50B1FFD7" w:rsidR="00DB1BEF" w:rsidRPr="00573407" w:rsidRDefault="00DB1BEF" w:rsidP="00DB1BEF">
            <w:pPr>
              <w:jc w:val="center"/>
              <w:rPr>
                <w:rFonts w:eastAsia="Calibri" w:cs="Arial"/>
                <w:sz w:val="18"/>
                <w:szCs w:val="18"/>
              </w:rPr>
            </w:pPr>
            <w:r>
              <w:rPr>
                <w:rFonts w:eastAsia="Calibri" w:cs="Arial"/>
                <w:sz w:val="18"/>
                <w:szCs w:val="18"/>
              </w:rPr>
              <w:t>2 461 714 312,33 zł</w:t>
            </w:r>
          </w:p>
        </w:tc>
        <w:tc>
          <w:tcPr>
            <w:tcW w:w="1701" w:type="dxa"/>
            <w:tcBorders>
              <w:top w:val="single" w:sz="4" w:space="0" w:color="auto"/>
              <w:left w:val="single" w:sz="4" w:space="0" w:color="auto"/>
              <w:bottom w:val="single" w:sz="4" w:space="0" w:color="auto"/>
              <w:right w:val="single" w:sz="4" w:space="0" w:color="auto"/>
            </w:tcBorders>
            <w:vAlign w:val="center"/>
          </w:tcPr>
          <w:p w14:paraId="0A7C451F" w14:textId="6EA3EAB2" w:rsidR="00DB1BEF" w:rsidRPr="00573407" w:rsidRDefault="00DB1BEF" w:rsidP="00DB1BEF">
            <w:pPr>
              <w:jc w:val="center"/>
              <w:rPr>
                <w:rFonts w:eastAsia="Calibri" w:cs="Arial"/>
                <w:sz w:val="18"/>
                <w:szCs w:val="18"/>
              </w:rPr>
            </w:pPr>
            <w:r>
              <w:rPr>
                <w:rFonts w:eastAsia="Calibri" w:cs="Arial"/>
                <w:sz w:val="18"/>
                <w:szCs w:val="18"/>
              </w:rPr>
              <w:t>1 502</w:t>
            </w:r>
          </w:p>
        </w:tc>
        <w:tc>
          <w:tcPr>
            <w:tcW w:w="2021" w:type="dxa"/>
            <w:tcBorders>
              <w:top w:val="single" w:sz="4" w:space="0" w:color="auto"/>
              <w:left w:val="single" w:sz="4" w:space="0" w:color="auto"/>
              <w:bottom w:val="single" w:sz="4" w:space="0" w:color="auto"/>
              <w:right w:val="single" w:sz="4" w:space="0" w:color="auto"/>
            </w:tcBorders>
            <w:vAlign w:val="center"/>
          </w:tcPr>
          <w:p w14:paraId="5C747D5E" w14:textId="216FA1FB" w:rsidR="00DB1BEF" w:rsidRPr="00573407" w:rsidRDefault="00DB1BEF" w:rsidP="00DB1BEF">
            <w:pPr>
              <w:jc w:val="center"/>
              <w:rPr>
                <w:rFonts w:eastAsia="Calibri" w:cs="Arial"/>
                <w:sz w:val="18"/>
                <w:szCs w:val="18"/>
              </w:rPr>
            </w:pPr>
            <w:r w:rsidRPr="00C8338F">
              <w:rPr>
                <w:rFonts w:eastAsia="Calibri" w:cs="Arial"/>
                <w:sz w:val="18"/>
                <w:szCs w:val="18"/>
              </w:rPr>
              <w:t>3 513 085 812,97</w:t>
            </w:r>
            <w:r>
              <w:rPr>
                <w:rFonts w:eastAsia="Calibri" w:cs="Arial"/>
                <w:sz w:val="18"/>
                <w:szCs w:val="18"/>
              </w:rPr>
              <w:t xml:space="preserve"> zł</w:t>
            </w:r>
          </w:p>
        </w:tc>
      </w:tr>
      <w:tr w:rsidR="00DB1BEF" w:rsidRPr="001D752F" w14:paraId="26625AB4"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505F7A9F" w14:textId="77777777" w:rsidR="00DB1BEF" w:rsidRPr="001D752F" w:rsidRDefault="00DB1BEF" w:rsidP="00DB1BEF">
            <w:pPr>
              <w:rPr>
                <w:rFonts w:cs="Arial"/>
                <w:sz w:val="16"/>
                <w:szCs w:val="16"/>
              </w:rPr>
            </w:pPr>
            <w:r w:rsidRPr="001D752F">
              <w:rPr>
                <w:rFonts w:cs="Arial"/>
                <w:sz w:val="16"/>
                <w:szCs w:val="16"/>
              </w:rPr>
              <w:t>5.</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79F0097D" w14:textId="77777777" w:rsidR="00DB1BEF" w:rsidRPr="001D752F" w:rsidRDefault="00DB1BEF" w:rsidP="00DB1BEF">
            <w:pPr>
              <w:jc w:val="left"/>
              <w:rPr>
                <w:rFonts w:cs="Arial"/>
                <w:b/>
                <w:sz w:val="16"/>
                <w:szCs w:val="16"/>
              </w:rPr>
            </w:pPr>
            <w:r w:rsidRPr="001D752F">
              <w:rPr>
                <w:rFonts w:cs="Arial"/>
                <w:b/>
                <w:sz w:val="16"/>
                <w:szCs w:val="16"/>
              </w:rPr>
              <w:t>Zamówienia zastrzeżone na usługi zdrowotne, społeczne lub kulturalne</w:t>
            </w:r>
          </w:p>
        </w:tc>
        <w:tc>
          <w:tcPr>
            <w:tcW w:w="1843" w:type="dxa"/>
            <w:tcBorders>
              <w:top w:val="single" w:sz="4" w:space="0" w:color="auto"/>
              <w:left w:val="single" w:sz="4" w:space="0" w:color="auto"/>
              <w:bottom w:val="single" w:sz="4" w:space="0" w:color="auto"/>
              <w:right w:val="single" w:sz="4" w:space="0" w:color="auto"/>
            </w:tcBorders>
            <w:vAlign w:val="center"/>
          </w:tcPr>
          <w:p w14:paraId="08A8F78D" w14:textId="57B0C5A7" w:rsidR="00DB1BEF" w:rsidRPr="00573407" w:rsidRDefault="00DB1BEF" w:rsidP="00DB1BEF">
            <w:pPr>
              <w:jc w:val="center"/>
              <w:rPr>
                <w:rFonts w:cs="Arial"/>
                <w:sz w:val="18"/>
                <w:szCs w:val="18"/>
              </w:rPr>
            </w:pPr>
            <w:r w:rsidRPr="00573407">
              <w:rPr>
                <w:rFonts w:cs="Arial"/>
                <w:sz w:val="18"/>
                <w:szCs w:val="18"/>
              </w:rPr>
              <w:t>552</w:t>
            </w:r>
          </w:p>
        </w:tc>
        <w:tc>
          <w:tcPr>
            <w:tcW w:w="2126" w:type="dxa"/>
            <w:tcBorders>
              <w:top w:val="single" w:sz="4" w:space="0" w:color="auto"/>
              <w:left w:val="single" w:sz="4" w:space="0" w:color="auto"/>
              <w:bottom w:val="single" w:sz="4" w:space="0" w:color="auto"/>
              <w:right w:val="single" w:sz="4" w:space="0" w:color="auto"/>
            </w:tcBorders>
            <w:vAlign w:val="center"/>
          </w:tcPr>
          <w:p w14:paraId="552D8881" w14:textId="339B7CBF" w:rsidR="00DB1BEF" w:rsidRPr="00573407" w:rsidRDefault="00DB1BEF" w:rsidP="00DB1BEF">
            <w:pPr>
              <w:jc w:val="center"/>
              <w:rPr>
                <w:rFonts w:cs="Arial"/>
                <w:sz w:val="18"/>
                <w:szCs w:val="18"/>
              </w:rPr>
            </w:pPr>
            <w:r w:rsidRPr="00573407">
              <w:rPr>
                <w:rFonts w:cs="Arial"/>
                <w:sz w:val="18"/>
                <w:szCs w:val="18"/>
              </w:rPr>
              <w:t>619</w:t>
            </w:r>
            <w:r>
              <w:rPr>
                <w:rFonts w:cs="Arial"/>
                <w:sz w:val="18"/>
                <w:szCs w:val="18"/>
              </w:rPr>
              <w:t xml:space="preserve"> </w:t>
            </w:r>
            <w:r w:rsidRPr="00573407">
              <w:rPr>
                <w:rFonts w:cs="Arial"/>
                <w:sz w:val="18"/>
                <w:szCs w:val="18"/>
              </w:rPr>
              <w:t>270</w:t>
            </w:r>
            <w:r>
              <w:rPr>
                <w:rFonts w:cs="Arial"/>
                <w:sz w:val="18"/>
                <w:szCs w:val="18"/>
              </w:rPr>
              <w:t xml:space="preserve"> </w:t>
            </w:r>
            <w:r w:rsidRPr="00573407">
              <w:rPr>
                <w:rFonts w:cs="Arial"/>
                <w:sz w:val="18"/>
                <w:szCs w:val="18"/>
              </w:rPr>
              <w:t>452,61 zł</w:t>
            </w:r>
          </w:p>
        </w:tc>
        <w:tc>
          <w:tcPr>
            <w:tcW w:w="1843" w:type="dxa"/>
            <w:tcBorders>
              <w:top w:val="single" w:sz="4" w:space="0" w:color="auto"/>
              <w:left w:val="single" w:sz="4" w:space="0" w:color="auto"/>
              <w:bottom w:val="single" w:sz="4" w:space="0" w:color="auto"/>
              <w:right w:val="single" w:sz="4" w:space="0" w:color="auto"/>
            </w:tcBorders>
            <w:vAlign w:val="center"/>
          </w:tcPr>
          <w:p w14:paraId="4EDAA41D" w14:textId="6F0D867F" w:rsidR="00DB1BEF" w:rsidRPr="00573407" w:rsidRDefault="00DB1BEF" w:rsidP="00DB1BEF">
            <w:pPr>
              <w:jc w:val="center"/>
              <w:rPr>
                <w:rFonts w:cs="Arial"/>
                <w:sz w:val="18"/>
                <w:szCs w:val="18"/>
              </w:rPr>
            </w:pPr>
            <w:r>
              <w:rPr>
                <w:rFonts w:cs="Arial"/>
                <w:sz w:val="18"/>
                <w:szCs w:val="18"/>
              </w:rPr>
              <w:t>576</w:t>
            </w:r>
          </w:p>
        </w:tc>
        <w:tc>
          <w:tcPr>
            <w:tcW w:w="2126" w:type="dxa"/>
            <w:tcBorders>
              <w:top w:val="single" w:sz="4" w:space="0" w:color="auto"/>
              <w:left w:val="single" w:sz="4" w:space="0" w:color="auto"/>
              <w:bottom w:val="single" w:sz="4" w:space="0" w:color="auto"/>
              <w:right w:val="single" w:sz="4" w:space="0" w:color="auto"/>
            </w:tcBorders>
            <w:vAlign w:val="center"/>
          </w:tcPr>
          <w:p w14:paraId="34D6D1EA" w14:textId="74EDB18A" w:rsidR="00DB1BEF" w:rsidRPr="00573407" w:rsidRDefault="00DB1BEF" w:rsidP="00DB1BEF">
            <w:pPr>
              <w:jc w:val="center"/>
              <w:rPr>
                <w:rFonts w:cs="Arial"/>
                <w:sz w:val="18"/>
                <w:szCs w:val="18"/>
              </w:rPr>
            </w:pPr>
            <w:r>
              <w:rPr>
                <w:rFonts w:cs="Arial"/>
                <w:sz w:val="18"/>
                <w:szCs w:val="18"/>
              </w:rPr>
              <w:t>478 043 514,09 zł</w:t>
            </w:r>
          </w:p>
        </w:tc>
        <w:tc>
          <w:tcPr>
            <w:tcW w:w="1701" w:type="dxa"/>
            <w:tcBorders>
              <w:top w:val="single" w:sz="4" w:space="0" w:color="auto"/>
              <w:left w:val="single" w:sz="4" w:space="0" w:color="auto"/>
              <w:bottom w:val="single" w:sz="4" w:space="0" w:color="auto"/>
              <w:right w:val="single" w:sz="4" w:space="0" w:color="auto"/>
            </w:tcBorders>
            <w:vAlign w:val="center"/>
          </w:tcPr>
          <w:p w14:paraId="303FCEA2" w14:textId="52A5E2A3" w:rsidR="00DB1BEF" w:rsidRPr="00573407" w:rsidRDefault="00DB1BEF" w:rsidP="00DB1BEF">
            <w:pPr>
              <w:jc w:val="center"/>
              <w:rPr>
                <w:rFonts w:cs="Arial"/>
                <w:sz w:val="18"/>
                <w:szCs w:val="18"/>
              </w:rPr>
            </w:pPr>
            <w:r>
              <w:rPr>
                <w:rFonts w:cs="Arial"/>
                <w:sz w:val="18"/>
                <w:szCs w:val="18"/>
              </w:rPr>
              <w:t>667</w:t>
            </w:r>
          </w:p>
        </w:tc>
        <w:tc>
          <w:tcPr>
            <w:tcW w:w="2021" w:type="dxa"/>
            <w:tcBorders>
              <w:top w:val="single" w:sz="4" w:space="0" w:color="auto"/>
              <w:left w:val="single" w:sz="4" w:space="0" w:color="auto"/>
              <w:bottom w:val="single" w:sz="4" w:space="0" w:color="auto"/>
              <w:right w:val="single" w:sz="4" w:space="0" w:color="auto"/>
            </w:tcBorders>
            <w:vAlign w:val="center"/>
          </w:tcPr>
          <w:p w14:paraId="1AE6E16A" w14:textId="40F479DB" w:rsidR="00DB1BEF" w:rsidRPr="00573407" w:rsidRDefault="00DB1BEF" w:rsidP="00DB1BEF">
            <w:pPr>
              <w:jc w:val="center"/>
              <w:rPr>
                <w:rFonts w:cs="Arial"/>
                <w:sz w:val="18"/>
                <w:szCs w:val="18"/>
              </w:rPr>
            </w:pPr>
            <w:r w:rsidRPr="00C8338F">
              <w:rPr>
                <w:rFonts w:cs="Arial"/>
                <w:sz w:val="18"/>
                <w:szCs w:val="18"/>
              </w:rPr>
              <w:t>608 925 460,49</w:t>
            </w:r>
            <w:r>
              <w:rPr>
                <w:rFonts w:cs="Arial"/>
                <w:sz w:val="18"/>
                <w:szCs w:val="18"/>
              </w:rPr>
              <w:t xml:space="preserve"> zł</w:t>
            </w:r>
          </w:p>
        </w:tc>
      </w:tr>
      <w:tr w:rsidR="00DB1BEF" w:rsidRPr="001D752F" w14:paraId="31EB6D6E"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263E71E6" w14:textId="77777777" w:rsidR="00DB1BEF" w:rsidRPr="001D752F" w:rsidRDefault="00DB1BEF" w:rsidP="00DB1BEF">
            <w:pPr>
              <w:rPr>
                <w:rFonts w:cs="Arial"/>
                <w:sz w:val="16"/>
                <w:szCs w:val="16"/>
              </w:rPr>
            </w:pPr>
            <w:r w:rsidRPr="001D752F">
              <w:rPr>
                <w:rFonts w:cs="Arial"/>
                <w:sz w:val="16"/>
                <w:szCs w:val="16"/>
              </w:rPr>
              <w:t>6.</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44A45B79" w14:textId="77777777" w:rsidR="00DB1BEF" w:rsidRPr="001D752F" w:rsidRDefault="00DB1BEF" w:rsidP="00DB1BEF">
            <w:pPr>
              <w:jc w:val="left"/>
              <w:rPr>
                <w:rFonts w:cs="Arial"/>
                <w:b/>
                <w:sz w:val="16"/>
                <w:szCs w:val="16"/>
              </w:rPr>
            </w:pPr>
            <w:r w:rsidRPr="001D752F">
              <w:rPr>
                <w:rFonts w:cs="Arial"/>
                <w:b/>
                <w:sz w:val="16"/>
                <w:szCs w:val="16"/>
              </w:rPr>
              <w:t>Zamówienie udzielone jako zamówienie zastrzeżone</w:t>
            </w:r>
          </w:p>
        </w:tc>
        <w:tc>
          <w:tcPr>
            <w:tcW w:w="1843" w:type="dxa"/>
            <w:tcBorders>
              <w:top w:val="single" w:sz="4" w:space="0" w:color="auto"/>
              <w:left w:val="single" w:sz="4" w:space="0" w:color="auto"/>
              <w:bottom w:val="single" w:sz="4" w:space="0" w:color="auto"/>
              <w:right w:val="single" w:sz="4" w:space="0" w:color="auto"/>
            </w:tcBorders>
            <w:vAlign w:val="center"/>
          </w:tcPr>
          <w:p w14:paraId="7055FF68" w14:textId="5DC101A1" w:rsidR="00DB1BEF" w:rsidRPr="00573407" w:rsidRDefault="00DB1BEF" w:rsidP="00DB1BEF">
            <w:pPr>
              <w:jc w:val="center"/>
              <w:rPr>
                <w:rFonts w:cs="Arial"/>
                <w:sz w:val="18"/>
                <w:szCs w:val="18"/>
              </w:rPr>
            </w:pPr>
            <w:r w:rsidRPr="00573407">
              <w:rPr>
                <w:rFonts w:cs="Arial"/>
                <w:sz w:val="18"/>
                <w:szCs w:val="18"/>
              </w:rPr>
              <w:t>193</w:t>
            </w:r>
          </w:p>
        </w:tc>
        <w:tc>
          <w:tcPr>
            <w:tcW w:w="2126" w:type="dxa"/>
            <w:tcBorders>
              <w:top w:val="single" w:sz="4" w:space="0" w:color="auto"/>
              <w:left w:val="single" w:sz="4" w:space="0" w:color="auto"/>
              <w:bottom w:val="single" w:sz="4" w:space="0" w:color="auto"/>
              <w:right w:val="single" w:sz="4" w:space="0" w:color="auto"/>
            </w:tcBorders>
            <w:vAlign w:val="center"/>
          </w:tcPr>
          <w:p w14:paraId="2E341971" w14:textId="50685920" w:rsidR="00DB1BEF" w:rsidRPr="00573407" w:rsidRDefault="00DB1BEF" w:rsidP="00DB1BEF">
            <w:pPr>
              <w:jc w:val="center"/>
              <w:rPr>
                <w:rFonts w:cs="Arial"/>
                <w:sz w:val="18"/>
                <w:szCs w:val="18"/>
              </w:rPr>
            </w:pPr>
            <w:r w:rsidRPr="00573407">
              <w:rPr>
                <w:rFonts w:cs="Arial"/>
                <w:sz w:val="18"/>
                <w:szCs w:val="18"/>
              </w:rPr>
              <w:t>384</w:t>
            </w:r>
            <w:r>
              <w:rPr>
                <w:rFonts w:cs="Arial"/>
                <w:sz w:val="18"/>
                <w:szCs w:val="18"/>
              </w:rPr>
              <w:t xml:space="preserve"> </w:t>
            </w:r>
            <w:r w:rsidRPr="00573407">
              <w:rPr>
                <w:rFonts w:cs="Arial"/>
                <w:sz w:val="18"/>
                <w:szCs w:val="18"/>
              </w:rPr>
              <w:t>975</w:t>
            </w:r>
            <w:r>
              <w:rPr>
                <w:rFonts w:cs="Arial"/>
                <w:sz w:val="18"/>
                <w:szCs w:val="18"/>
              </w:rPr>
              <w:t xml:space="preserve"> </w:t>
            </w:r>
            <w:r w:rsidRPr="00573407">
              <w:rPr>
                <w:rFonts w:cs="Arial"/>
                <w:sz w:val="18"/>
                <w:szCs w:val="18"/>
              </w:rPr>
              <w:t>221,58 zł</w:t>
            </w:r>
          </w:p>
        </w:tc>
        <w:tc>
          <w:tcPr>
            <w:tcW w:w="1843" w:type="dxa"/>
            <w:tcBorders>
              <w:top w:val="single" w:sz="4" w:space="0" w:color="auto"/>
              <w:left w:val="single" w:sz="4" w:space="0" w:color="auto"/>
              <w:bottom w:val="single" w:sz="4" w:space="0" w:color="auto"/>
              <w:right w:val="single" w:sz="4" w:space="0" w:color="auto"/>
            </w:tcBorders>
            <w:vAlign w:val="center"/>
          </w:tcPr>
          <w:p w14:paraId="1FC0C3D1" w14:textId="4E300015" w:rsidR="00DB1BEF" w:rsidRPr="00573407" w:rsidRDefault="00DB1BEF" w:rsidP="00DB1BEF">
            <w:pPr>
              <w:jc w:val="center"/>
              <w:rPr>
                <w:rFonts w:cs="Arial"/>
                <w:sz w:val="18"/>
                <w:szCs w:val="18"/>
              </w:rPr>
            </w:pPr>
            <w:r>
              <w:rPr>
                <w:rFonts w:cs="Arial"/>
                <w:sz w:val="18"/>
                <w:szCs w:val="18"/>
              </w:rPr>
              <w:t>221</w:t>
            </w:r>
          </w:p>
        </w:tc>
        <w:tc>
          <w:tcPr>
            <w:tcW w:w="2126" w:type="dxa"/>
            <w:tcBorders>
              <w:top w:val="single" w:sz="4" w:space="0" w:color="auto"/>
              <w:left w:val="single" w:sz="4" w:space="0" w:color="auto"/>
              <w:bottom w:val="single" w:sz="4" w:space="0" w:color="auto"/>
              <w:right w:val="single" w:sz="4" w:space="0" w:color="auto"/>
            </w:tcBorders>
            <w:vAlign w:val="center"/>
          </w:tcPr>
          <w:p w14:paraId="4124F281" w14:textId="22800F34" w:rsidR="00DB1BEF" w:rsidRPr="00573407" w:rsidRDefault="00DB1BEF" w:rsidP="00DB1BEF">
            <w:pPr>
              <w:jc w:val="center"/>
              <w:rPr>
                <w:rFonts w:cs="Arial"/>
                <w:sz w:val="18"/>
                <w:szCs w:val="18"/>
              </w:rPr>
            </w:pPr>
            <w:r>
              <w:rPr>
                <w:rFonts w:cs="Arial"/>
                <w:sz w:val="18"/>
                <w:szCs w:val="18"/>
              </w:rPr>
              <w:t>259 717 153,09 zł</w:t>
            </w:r>
          </w:p>
        </w:tc>
        <w:tc>
          <w:tcPr>
            <w:tcW w:w="1701" w:type="dxa"/>
            <w:tcBorders>
              <w:top w:val="single" w:sz="4" w:space="0" w:color="auto"/>
              <w:left w:val="single" w:sz="4" w:space="0" w:color="auto"/>
              <w:bottom w:val="single" w:sz="4" w:space="0" w:color="auto"/>
              <w:right w:val="single" w:sz="4" w:space="0" w:color="auto"/>
            </w:tcBorders>
            <w:vAlign w:val="center"/>
          </w:tcPr>
          <w:p w14:paraId="417826F0" w14:textId="7DF39CF3" w:rsidR="00DB1BEF" w:rsidRPr="00573407" w:rsidRDefault="00DB1BEF" w:rsidP="00DB1BEF">
            <w:pPr>
              <w:jc w:val="center"/>
              <w:rPr>
                <w:rFonts w:cs="Arial"/>
                <w:sz w:val="18"/>
                <w:szCs w:val="18"/>
              </w:rPr>
            </w:pPr>
            <w:r>
              <w:rPr>
                <w:rFonts w:cs="Arial"/>
                <w:sz w:val="18"/>
                <w:szCs w:val="18"/>
              </w:rPr>
              <w:t>321</w:t>
            </w:r>
          </w:p>
        </w:tc>
        <w:tc>
          <w:tcPr>
            <w:tcW w:w="2021" w:type="dxa"/>
            <w:tcBorders>
              <w:top w:val="single" w:sz="4" w:space="0" w:color="auto"/>
              <w:left w:val="single" w:sz="4" w:space="0" w:color="auto"/>
              <w:bottom w:val="single" w:sz="4" w:space="0" w:color="auto"/>
              <w:right w:val="single" w:sz="4" w:space="0" w:color="auto"/>
            </w:tcBorders>
            <w:vAlign w:val="center"/>
          </w:tcPr>
          <w:p w14:paraId="397AAA7E" w14:textId="05D900AE" w:rsidR="00DB1BEF" w:rsidRPr="00573407" w:rsidRDefault="00DB1BEF" w:rsidP="00DB1BEF">
            <w:pPr>
              <w:jc w:val="center"/>
              <w:rPr>
                <w:rFonts w:cs="Arial"/>
                <w:sz w:val="18"/>
                <w:szCs w:val="18"/>
              </w:rPr>
            </w:pPr>
            <w:r w:rsidRPr="00C8338F">
              <w:rPr>
                <w:rFonts w:cs="Arial"/>
                <w:sz w:val="18"/>
                <w:szCs w:val="18"/>
              </w:rPr>
              <w:t>387 141 112,16</w:t>
            </w:r>
            <w:r>
              <w:rPr>
                <w:rFonts w:cs="Arial"/>
                <w:sz w:val="18"/>
                <w:szCs w:val="18"/>
              </w:rPr>
              <w:t xml:space="preserve"> zł</w:t>
            </w:r>
          </w:p>
        </w:tc>
      </w:tr>
      <w:tr w:rsidR="00DB1BEF" w:rsidRPr="001D752F" w14:paraId="2FBA5BA6" w14:textId="77777777" w:rsidTr="00C866A1">
        <w:trPr>
          <w:trHeight w:val="399"/>
        </w:trPr>
        <w:tc>
          <w:tcPr>
            <w:tcW w:w="567" w:type="dxa"/>
            <w:tcBorders>
              <w:top w:val="single" w:sz="4" w:space="0" w:color="auto"/>
              <w:left w:val="single" w:sz="4" w:space="0" w:color="auto"/>
              <w:right w:val="single" w:sz="4" w:space="0" w:color="auto"/>
            </w:tcBorders>
            <w:shd w:val="clear" w:color="auto" w:fill="DEEAF6"/>
            <w:hideMark/>
          </w:tcPr>
          <w:p w14:paraId="2FD1DDA5" w14:textId="77777777" w:rsidR="00DB1BEF" w:rsidRPr="001D752F" w:rsidRDefault="00DB1BEF" w:rsidP="00DB1BEF">
            <w:pPr>
              <w:rPr>
                <w:rFonts w:cs="Arial"/>
                <w:sz w:val="16"/>
                <w:szCs w:val="16"/>
              </w:rPr>
            </w:pPr>
            <w:r w:rsidRPr="001D752F">
              <w:rPr>
                <w:rFonts w:cs="Arial"/>
                <w:sz w:val="16"/>
                <w:szCs w:val="16"/>
              </w:rPr>
              <w:t>7.</w:t>
            </w:r>
          </w:p>
        </w:tc>
        <w:tc>
          <w:tcPr>
            <w:tcW w:w="3006" w:type="dxa"/>
            <w:tcBorders>
              <w:top w:val="single" w:sz="4" w:space="0" w:color="auto"/>
              <w:left w:val="single" w:sz="4" w:space="0" w:color="auto"/>
              <w:right w:val="single" w:sz="4" w:space="0" w:color="auto"/>
            </w:tcBorders>
            <w:shd w:val="clear" w:color="auto" w:fill="DEEAF6"/>
            <w:hideMark/>
          </w:tcPr>
          <w:p w14:paraId="2130BDC3" w14:textId="77777777" w:rsidR="00DB1BEF" w:rsidRPr="001D752F" w:rsidRDefault="00DB1BEF" w:rsidP="00DB1BEF">
            <w:pPr>
              <w:jc w:val="left"/>
              <w:rPr>
                <w:rFonts w:cs="Arial"/>
                <w:b/>
                <w:sz w:val="16"/>
                <w:szCs w:val="16"/>
              </w:rPr>
            </w:pPr>
            <w:r w:rsidRPr="001D752F">
              <w:rPr>
                <w:rFonts w:cs="Arial"/>
                <w:b/>
                <w:sz w:val="16"/>
                <w:szCs w:val="16"/>
              </w:rPr>
              <w:t>Określenie etykiety związanej z aspektami społecznymi</w:t>
            </w:r>
          </w:p>
        </w:tc>
        <w:tc>
          <w:tcPr>
            <w:tcW w:w="1843" w:type="dxa"/>
            <w:tcBorders>
              <w:top w:val="single" w:sz="4" w:space="0" w:color="auto"/>
              <w:left w:val="single" w:sz="4" w:space="0" w:color="auto"/>
              <w:right w:val="single" w:sz="4" w:space="0" w:color="auto"/>
            </w:tcBorders>
            <w:vAlign w:val="center"/>
          </w:tcPr>
          <w:p w14:paraId="65ECABDE" w14:textId="25D4151C" w:rsidR="00DB1BEF" w:rsidRPr="00573407" w:rsidRDefault="00DB1BEF" w:rsidP="00DB1BEF">
            <w:pPr>
              <w:jc w:val="center"/>
              <w:rPr>
                <w:rFonts w:cs="Arial"/>
                <w:sz w:val="18"/>
                <w:szCs w:val="18"/>
              </w:rPr>
            </w:pPr>
            <w:r w:rsidRPr="00573407">
              <w:rPr>
                <w:rFonts w:cs="Arial"/>
                <w:sz w:val="18"/>
                <w:szCs w:val="18"/>
              </w:rPr>
              <w:t>207</w:t>
            </w:r>
          </w:p>
        </w:tc>
        <w:tc>
          <w:tcPr>
            <w:tcW w:w="2126" w:type="dxa"/>
            <w:tcBorders>
              <w:top w:val="single" w:sz="4" w:space="0" w:color="auto"/>
              <w:left w:val="single" w:sz="4" w:space="0" w:color="auto"/>
              <w:right w:val="single" w:sz="4" w:space="0" w:color="auto"/>
            </w:tcBorders>
            <w:vAlign w:val="center"/>
          </w:tcPr>
          <w:p w14:paraId="438A4F2C" w14:textId="543A9722" w:rsidR="00DB1BEF" w:rsidRPr="00573407" w:rsidRDefault="00DB1BEF" w:rsidP="00DB1BEF">
            <w:pPr>
              <w:jc w:val="center"/>
              <w:rPr>
                <w:rFonts w:cs="Arial"/>
                <w:sz w:val="18"/>
                <w:szCs w:val="18"/>
              </w:rPr>
            </w:pPr>
            <w:r w:rsidRPr="00573407">
              <w:rPr>
                <w:rFonts w:cs="Arial"/>
                <w:sz w:val="18"/>
                <w:szCs w:val="18"/>
              </w:rPr>
              <w:t>450</w:t>
            </w:r>
            <w:r>
              <w:rPr>
                <w:rFonts w:cs="Arial"/>
                <w:sz w:val="18"/>
                <w:szCs w:val="18"/>
              </w:rPr>
              <w:t xml:space="preserve"> </w:t>
            </w:r>
            <w:r w:rsidRPr="00573407">
              <w:rPr>
                <w:rFonts w:cs="Arial"/>
                <w:sz w:val="18"/>
                <w:szCs w:val="18"/>
              </w:rPr>
              <w:t>015</w:t>
            </w:r>
            <w:r>
              <w:rPr>
                <w:rFonts w:cs="Arial"/>
                <w:sz w:val="18"/>
                <w:szCs w:val="18"/>
              </w:rPr>
              <w:t xml:space="preserve"> </w:t>
            </w:r>
            <w:r w:rsidRPr="00573407">
              <w:rPr>
                <w:rFonts w:cs="Arial"/>
                <w:sz w:val="18"/>
                <w:szCs w:val="18"/>
              </w:rPr>
              <w:t>164,80 zł</w:t>
            </w:r>
          </w:p>
        </w:tc>
        <w:tc>
          <w:tcPr>
            <w:tcW w:w="1843" w:type="dxa"/>
            <w:tcBorders>
              <w:top w:val="single" w:sz="4" w:space="0" w:color="auto"/>
              <w:left w:val="single" w:sz="4" w:space="0" w:color="auto"/>
              <w:right w:val="single" w:sz="4" w:space="0" w:color="auto"/>
            </w:tcBorders>
            <w:vAlign w:val="center"/>
          </w:tcPr>
          <w:p w14:paraId="2C0C1790" w14:textId="66C4C386" w:rsidR="00DB1BEF" w:rsidRPr="00573407" w:rsidRDefault="00DB1BEF" w:rsidP="00DB1BEF">
            <w:pPr>
              <w:jc w:val="center"/>
              <w:rPr>
                <w:rFonts w:cs="Arial"/>
                <w:sz w:val="18"/>
                <w:szCs w:val="18"/>
              </w:rPr>
            </w:pPr>
            <w:r>
              <w:rPr>
                <w:rFonts w:cs="Arial"/>
                <w:sz w:val="18"/>
                <w:szCs w:val="18"/>
              </w:rPr>
              <w:t>254</w:t>
            </w:r>
          </w:p>
        </w:tc>
        <w:tc>
          <w:tcPr>
            <w:tcW w:w="2126" w:type="dxa"/>
            <w:tcBorders>
              <w:top w:val="single" w:sz="4" w:space="0" w:color="auto"/>
              <w:left w:val="single" w:sz="4" w:space="0" w:color="auto"/>
              <w:right w:val="single" w:sz="4" w:space="0" w:color="auto"/>
            </w:tcBorders>
            <w:vAlign w:val="center"/>
          </w:tcPr>
          <w:p w14:paraId="66F0BB36" w14:textId="258DD328" w:rsidR="00DB1BEF" w:rsidRPr="00573407" w:rsidRDefault="00DB1BEF" w:rsidP="00DB1BEF">
            <w:pPr>
              <w:jc w:val="center"/>
              <w:rPr>
                <w:rFonts w:cs="Arial"/>
                <w:sz w:val="18"/>
                <w:szCs w:val="18"/>
              </w:rPr>
            </w:pPr>
            <w:r>
              <w:rPr>
                <w:rFonts w:cs="Arial"/>
                <w:sz w:val="18"/>
                <w:szCs w:val="18"/>
              </w:rPr>
              <w:t>375 974 342,79 zł</w:t>
            </w:r>
          </w:p>
        </w:tc>
        <w:tc>
          <w:tcPr>
            <w:tcW w:w="1701" w:type="dxa"/>
            <w:tcBorders>
              <w:top w:val="single" w:sz="4" w:space="0" w:color="auto"/>
              <w:left w:val="single" w:sz="4" w:space="0" w:color="auto"/>
              <w:right w:val="single" w:sz="4" w:space="0" w:color="auto"/>
            </w:tcBorders>
            <w:vAlign w:val="center"/>
          </w:tcPr>
          <w:p w14:paraId="3C4B06E5" w14:textId="70FBC3FD" w:rsidR="00DB1BEF" w:rsidRPr="00573407" w:rsidRDefault="00DB1BEF" w:rsidP="00DB1BEF">
            <w:pPr>
              <w:jc w:val="center"/>
              <w:rPr>
                <w:rFonts w:cs="Arial"/>
                <w:sz w:val="18"/>
                <w:szCs w:val="18"/>
              </w:rPr>
            </w:pPr>
            <w:r>
              <w:rPr>
                <w:rFonts w:cs="Arial"/>
                <w:sz w:val="18"/>
                <w:szCs w:val="18"/>
              </w:rPr>
              <w:t>279</w:t>
            </w:r>
          </w:p>
        </w:tc>
        <w:tc>
          <w:tcPr>
            <w:tcW w:w="2021" w:type="dxa"/>
            <w:tcBorders>
              <w:top w:val="single" w:sz="4" w:space="0" w:color="auto"/>
              <w:left w:val="single" w:sz="4" w:space="0" w:color="auto"/>
              <w:right w:val="single" w:sz="4" w:space="0" w:color="auto"/>
            </w:tcBorders>
            <w:vAlign w:val="center"/>
          </w:tcPr>
          <w:p w14:paraId="255457D5" w14:textId="059AA445" w:rsidR="00DB1BEF" w:rsidRPr="00573407" w:rsidRDefault="00DB1BEF" w:rsidP="00DB1BEF">
            <w:pPr>
              <w:jc w:val="center"/>
              <w:rPr>
                <w:rFonts w:cs="Arial"/>
                <w:sz w:val="18"/>
                <w:szCs w:val="18"/>
              </w:rPr>
            </w:pPr>
            <w:r w:rsidRPr="00C8338F">
              <w:rPr>
                <w:rFonts w:cs="Arial"/>
                <w:sz w:val="18"/>
                <w:szCs w:val="18"/>
              </w:rPr>
              <w:t>1 068 945 818,76</w:t>
            </w:r>
            <w:r>
              <w:rPr>
                <w:rFonts w:cs="Arial"/>
                <w:sz w:val="18"/>
                <w:szCs w:val="18"/>
              </w:rPr>
              <w:t xml:space="preserve"> zł</w:t>
            </w:r>
          </w:p>
        </w:tc>
      </w:tr>
    </w:tbl>
    <w:p w14:paraId="03343584" w14:textId="77777777" w:rsidR="00B27C43" w:rsidRPr="00805E2A" w:rsidRDefault="00B27C43" w:rsidP="003D5E3F">
      <w:pPr>
        <w:shd w:val="clear" w:color="auto" w:fill="FFFFFF"/>
        <w:spacing w:before="120"/>
        <w:jc w:val="left"/>
        <w:rPr>
          <w:rFonts w:cs="Arial"/>
          <w:sz w:val="16"/>
          <w:szCs w:val="16"/>
        </w:rPr>
      </w:pPr>
      <w:r w:rsidRPr="00805E2A">
        <w:rPr>
          <w:rFonts w:cs="Arial"/>
          <w:b/>
          <w:sz w:val="16"/>
          <w:szCs w:val="16"/>
          <w:u w:val="single"/>
        </w:rPr>
        <w:t>UWAGA</w:t>
      </w:r>
      <w:r w:rsidRPr="00805E2A">
        <w:rPr>
          <w:rFonts w:cs="Arial"/>
          <w:sz w:val="16"/>
          <w:szCs w:val="16"/>
        </w:rPr>
        <w:t xml:space="preserve">: Łączna liczba i wartość zamówień publicznych z zastosowaniem poszczególnych aspektów społecznych jest większa niż łączna liczba i wartość społecznych zamówień publicznych ze względu na przypadki zastosowania więcej niż jednego aspektu społecznego w jednym zamówieniu. </w:t>
      </w:r>
    </w:p>
    <w:p w14:paraId="62E012E9" w14:textId="77777777" w:rsidR="00B27C43" w:rsidRDefault="00B27C43" w:rsidP="00B27C43">
      <w:pPr>
        <w:jc w:val="left"/>
        <w:rPr>
          <w:szCs w:val="22"/>
        </w:rPr>
      </w:pPr>
      <w:r>
        <w:rPr>
          <w:szCs w:val="22"/>
        </w:rPr>
        <w:br w:type="page"/>
      </w:r>
    </w:p>
    <w:p w14:paraId="23C10BC0" w14:textId="77777777" w:rsidR="00203BA8" w:rsidRDefault="00203BA8" w:rsidP="002470B0">
      <w:pPr>
        <w:shd w:val="clear" w:color="auto" w:fill="FFFFFF"/>
        <w:spacing w:before="240" w:after="120"/>
        <w:jc w:val="center"/>
        <w:rPr>
          <w:rFonts w:cs="Arial"/>
          <w:b/>
        </w:rPr>
      </w:pPr>
    </w:p>
    <w:p w14:paraId="619A04E8" w14:textId="77777777" w:rsidR="00203BA8" w:rsidRDefault="00203BA8" w:rsidP="002470B0">
      <w:pPr>
        <w:shd w:val="clear" w:color="auto" w:fill="FFFFFF"/>
        <w:spacing w:before="240" w:after="120"/>
        <w:jc w:val="center"/>
        <w:rPr>
          <w:rFonts w:cs="Arial"/>
          <w:b/>
        </w:rPr>
      </w:pPr>
    </w:p>
    <w:p w14:paraId="0FCC4095" w14:textId="4C6BE0C0" w:rsidR="00B27C43" w:rsidRPr="002A72A4" w:rsidRDefault="00B27C43" w:rsidP="002470B0">
      <w:pPr>
        <w:shd w:val="clear" w:color="auto" w:fill="FFFFFF"/>
        <w:spacing w:before="240" w:after="120"/>
        <w:jc w:val="center"/>
        <w:rPr>
          <w:rFonts w:cs="Arial"/>
          <w:b/>
        </w:rPr>
      </w:pPr>
      <w:r w:rsidRPr="00647E2B">
        <w:rPr>
          <w:rFonts w:cs="Arial"/>
          <w:b/>
        </w:rPr>
        <w:t>Udział zamówień z danym aspektem społecznym w ogólnej liczbie oraz w ogólnej wartości społecznych zamówień publicznych w</w:t>
      </w:r>
      <w:r>
        <w:rPr>
          <w:rFonts w:cs="Arial"/>
          <w:b/>
        </w:rPr>
        <w:t xml:space="preserve"> </w:t>
      </w:r>
      <w:r w:rsidRPr="002A72A4">
        <w:rPr>
          <w:rFonts w:cs="Arial"/>
          <w:b/>
        </w:rPr>
        <w:t xml:space="preserve">poszczególnych latach </w:t>
      </w:r>
    </w:p>
    <w:tbl>
      <w:tblPr>
        <w:tblW w:w="13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2814"/>
        <w:gridCol w:w="1753"/>
        <w:gridCol w:w="1925"/>
        <w:gridCol w:w="1771"/>
        <w:gridCol w:w="1771"/>
        <w:gridCol w:w="1735"/>
        <w:gridCol w:w="1736"/>
      </w:tblGrid>
      <w:tr w:rsidR="00B27C43" w:rsidRPr="00742720" w14:paraId="378492AD" w14:textId="77777777" w:rsidTr="00C866A1">
        <w:trPr>
          <w:tblHeader/>
          <w:jc w:val="center"/>
        </w:trPr>
        <w:tc>
          <w:tcPr>
            <w:tcW w:w="487" w:type="dxa"/>
            <w:shd w:val="clear" w:color="auto" w:fill="DEEAF6"/>
            <w:vAlign w:val="center"/>
          </w:tcPr>
          <w:p w14:paraId="1B86027E" w14:textId="77777777" w:rsidR="00B27C43" w:rsidRPr="00742720" w:rsidRDefault="00B27C43" w:rsidP="00C866A1">
            <w:pPr>
              <w:jc w:val="center"/>
              <w:rPr>
                <w:rFonts w:cs="Arial"/>
                <w:b/>
                <w:sz w:val="16"/>
                <w:szCs w:val="16"/>
              </w:rPr>
            </w:pPr>
          </w:p>
        </w:tc>
        <w:tc>
          <w:tcPr>
            <w:tcW w:w="2814" w:type="dxa"/>
            <w:shd w:val="clear" w:color="auto" w:fill="DEEAF6"/>
            <w:vAlign w:val="center"/>
          </w:tcPr>
          <w:p w14:paraId="7F1A644D" w14:textId="77777777" w:rsidR="00B27C43" w:rsidRPr="00742720" w:rsidRDefault="00B27C43" w:rsidP="00C866A1">
            <w:pPr>
              <w:jc w:val="center"/>
              <w:rPr>
                <w:rFonts w:cs="Arial"/>
                <w:b/>
                <w:sz w:val="16"/>
                <w:szCs w:val="16"/>
              </w:rPr>
            </w:pPr>
            <w:r w:rsidRPr="00742720">
              <w:rPr>
                <w:rFonts w:cs="Arial"/>
                <w:b/>
                <w:sz w:val="16"/>
                <w:szCs w:val="16"/>
              </w:rPr>
              <w:t>Rok referencyjny</w:t>
            </w:r>
          </w:p>
        </w:tc>
        <w:tc>
          <w:tcPr>
            <w:tcW w:w="3678" w:type="dxa"/>
            <w:gridSpan w:val="2"/>
            <w:shd w:val="clear" w:color="auto" w:fill="DEEAF6"/>
          </w:tcPr>
          <w:p w14:paraId="3286D795" w14:textId="3471BAE4" w:rsidR="00B27C43" w:rsidRPr="00742720" w:rsidRDefault="00B27C43" w:rsidP="009F4D1B">
            <w:pPr>
              <w:jc w:val="center"/>
              <w:rPr>
                <w:rFonts w:cs="Arial"/>
                <w:b/>
                <w:bCs/>
                <w:sz w:val="16"/>
                <w:szCs w:val="16"/>
              </w:rPr>
            </w:pPr>
            <w:r w:rsidRPr="00742720">
              <w:rPr>
                <w:rFonts w:cs="Arial"/>
                <w:b/>
                <w:bCs/>
                <w:sz w:val="16"/>
                <w:szCs w:val="16"/>
              </w:rPr>
              <w:t>202</w:t>
            </w:r>
            <w:r w:rsidR="009F4D1B">
              <w:rPr>
                <w:rFonts w:cs="Arial"/>
                <w:b/>
                <w:bCs/>
                <w:sz w:val="16"/>
                <w:szCs w:val="16"/>
              </w:rPr>
              <w:t>3</w:t>
            </w:r>
            <w:r w:rsidRPr="00742720">
              <w:rPr>
                <w:rFonts w:cs="Arial"/>
                <w:b/>
                <w:bCs/>
                <w:sz w:val="16"/>
                <w:szCs w:val="16"/>
              </w:rPr>
              <w:t xml:space="preserve"> r.</w:t>
            </w:r>
          </w:p>
        </w:tc>
        <w:tc>
          <w:tcPr>
            <w:tcW w:w="3542" w:type="dxa"/>
            <w:gridSpan w:val="2"/>
            <w:shd w:val="clear" w:color="auto" w:fill="DEEAF6"/>
          </w:tcPr>
          <w:p w14:paraId="7A094179" w14:textId="43C2F92E" w:rsidR="00B27C43" w:rsidRPr="00742720" w:rsidRDefault="00B27C43" w:rsidP="009F4D1B">
            <w:pPr>
              <w:jc w:val="center"/>
              <w:rPr>
                <w:rFonts w:cs="Arial"/>
                <w:b/>
                <w:bCs/>
                <w:sz w:val="16"/>
                <w:szCs w:val="16"/>
              </w:rPr>
            </w:pPr>
            <w:r>
              <w:rPr>
                <w:rFonts w:cs="Arial"/>
                <w:b/>
                <w:bCs/>
                <w:sz w:val="16"/>
                <w:szCs w:val="16"/>
              </w:rPr>
              <w:t>202</w:t>
            </w:r>
            <w:r w:rsidR="009F4D1B">
              <w:rPr>
                <w:rFonts w:cs="Arial"/>
                <w:b/>
                <w:bCs/>
                <w:sz w:val="16"/>
                <w:szCs w:val="16"/>
              </w:rPr>
              <w:t>4</w:t>
            </w:r>
            <w:r>
              <w:rPr>
                <w:rFonts w:cs="Arial"/>
                <w:b/>
                <w:bCs/>
                <w:sz w:val="16"/>
                <w:szCs w:val="16"/>
              </w:rPr>
              <w:t xml:space="preserve"> r.</w:t>
            </w:r>
          </w:p>
        </w:tc>
        <w:tc>
          <w:tcPr>
            <w:tcW w:w="3471" w:type="dxa"/>
            <w:gridSpan w:val="2"/>
            <w:shd w:val="clear" w:color="auto" w:fill="DEEAF6"/>
          </w:tcPr>
          <w:p w14:paraId="5021B0B3" w14:textId="68AFA005" w:rsidR="00B27C43" w:rsidRPr="00742720" w:rsidRDefault="00B27C43" w:rsidP="009F4D1B">
            <w:pPr>
              <w:jc w:val="center"/>
              <w:rPr>
                <w:rFonts w:cs="Arial"/>
                <w:b/>
                <w:bCs/>
                <w:sz w:val="16"/>
                <w:szCs w:val="16"/>
              </w:rPr>
            </w:pPr>
            <w:r>
              <w:rPr>
                <w:rFonts w:cs="Arial"/>
                <w:b/>
                <w:bCs/>
                <w:sz w:val="16"/>
                <w:szCs w:val="16"/>
              </w:rPr>
              <w:t>202</w:t>
            </w:r>
            <w:r w:rsidR="009F4D1B">
              <w:rPr>
                <w:rFonts w:cs="Arial"/>
                <w:b/>
                <w:bCs/>
                <w:sz w:val="16"/>
                <w:szCs w:val="16"/>
              </w:rPr>
              <w:t>5</w:t>
            </w:r>
            <w:r>
              <w:rPr>
                <w:rFonts w:cs="Arial"/>
                <w:b/>
                <w:bCs/>
                <w:sz w:val="16"/>
                <w:szCs w:val="16"/>
              </w:rPr>
              <w:t xml:space="preserve"> r.</w:t>
            </w:r>
          </w:p>
        </w:tc>
      </w:tr>
      <w:tr w:rsidR="00B27C43" w:rsidRPr="00742720" w14:paraId="475CDC93" w14:textId="77777777" w:rsidTr="00C866A1">
        <w:trPr>
          <w:tblHeader/>
          <w:jc w:val="center"/>
        </w:trPr>
        <w:tc>
          <w:tcPr>
            <w:tcW w:w="487" w:type="dxa"/>
            <w:shd w:val="clear" w:color="auto" w:fill="DEEAF6"/>
            <w:vAlign w:val="center"/>
          </w:tcPr>
          <w:p w14:paraId="73FBD3E8" w14:textId="77777777" w:rsidR="00B27C43" w:rsidRPr="00742720" w:rsidRDefault="00B27C43" w:rsidP="00C866A1">
            <w:pPr>
              <w:jc w:val="center"/>
              <w:rPr>
                <w:rFonts w:cs="Arial"/>
                <w:b/>
                <w:sz w:val="16"/>
                <w:szCs w:val="16"/>
              </w:rPr>
            </w:pPr>
            <w:r w:rsidRPr="00742720">
              <w:rPr>
                <w:rFonts w:cs="Arial"/>
                <w:b/>
                <w:sz w:val="16"/>
                <w:szCs w:val="16"/>
              </w:rPr>
              <w:t>Lp.</w:t>
            </w:r>
          </w:p>
        </w:tc>
        <w:tc>
          <w:tcPr>
            <w:tcW w:w="2814" w:type="dxa"/>
            <w:shd w:val="clear" w:color="auto" w:fill="DEEAF6"/>
            <w:vAlign w:val="center"/>
          </w:tcPr>
          <w:p w14:paraId="1EFD5C0D" w14:textId="77777777" w:rsidR="00B27C43" w:rsidRPr="00742720" w:rsidRDefault="00B27C43" w:rsidP="00C866A1">
            <w:pPr>
              <w:jc w:val="center"/>
              <w:rPr>
                <w:rFonts w:cs="Arial"/>
                <w:b/>
                <w:sz w:val="16"/>
                <w:szCs w:val="16"/>
              </w:rPr>
            </w:pPr>
            <w:r w:rsidRPr="00742720">
              <w:rPr>
                <w:rFonts w:cs="Arial"/>
                <w:b/>
                <w:sz w:val="16"/>
                <w:szCs w:val="16"/>
              </w:rPr>
              <w:t>Aspekt społeczny</w:t>
            </w:r>
          </w:p>
        </w:tc>
        <w:tc>
          <w:tcPr>
            <w:tcW w:w="1753" w:type="dxa"/>
            <w:shd w:val="clear" w:color="auto" w:fill="DEEAF6"/>
            <w:vAlign w:val="center"/>
          </w:tcPr>
          <w:p w14:paraId="78C1206E" w14:textId="77777777" w:rsidR="00B27C43" w:rsidRPr="00742720" w:rsidRDefault="00B27C43" w:rsidP="00C866A1">
            <w:pPr>
              <w:jc w:val="center"/>
              <w:rPr>
                <w:rFonts w:cs="Arial"/>
                <w:b/>
                <w:bCs/>
                <w:sz w:val="16"/>
                <w:szCs w:val="16"/>
              </w:rPr>
            </w:pPr>
            <w:r w:rsidRPr="00742720">
              <w:rPr>
                <w:rFonts w:cs="Arial"/>
                <w:b/>
                <w:bCs/>
                <w:sz w:val="16"/>
                <w:szCs w:val="16"/>
              </w:rPr>
              <w:t>Udział zamówień z danym aspektem w ogólnej liczbie zamówień społecznych</w:t>
            </w:r>
          </w:p>
        </w:tc>
        <w:tc>
          <w:tcPr>
            <w:tcW w:w="1925" w:type="dxa"/>
            <w:shd w:val="clear" w:color="auto" w:fill="DEEAF6"/>
            <w:vAlign w:val="center"/>
          </w:tcPr>
          <w:p w14:paraId="240627A1" w14:textId="77777777" w:rsidR="00B27C43" w:rsidRPr="00742720" w:rsidRDefault="00B27C43" w:rsidP="00C866A1">
            <w:pPr>
              <w:jc w:val="center"/>
              <w:rPr>
                <w:rFonts w:cs="Arial"/>
                <w:b/>
                <w:bCs/>
                <w:sz w:val="16"/>
                <w:szCs w:val="16"/>
              </w:rPr>
            </w:pPr>
            <w:r w:rsidRPr="00742720">
              <w:rPr>
                <w:rFonts w:cs="Arial"/>
                <w:b/>
                <w:bCs/>
                <w:sz w:val="16"/>
                <w:szCs w:val="16"/>
              </w:rPr>
              <w:t>Udział zamówień z danym aspektem w ogólnej wartości zamówień społecznych</w:t>
            </w:r>
          </w:p>
        </w:tc>
        <w:tc>
          <w:tcPr>
            <w:tcW w:w="1771" w:type="dxa"/>
            <w:shd w:val="clear" w:color="auto" w:fill="DEEAF6"/>
            <w:vAlign w:val="center"/>
          </w:tcPr>
          <w:p w14:paraId="1B2B1525" w14:textId="77777777" w:rsidR="00B27C43" w:rsidRPr="00742720" w:rsidRDefault="00B27C43" w:rsidP="00C866A1">
            <w:pPr>
              <w:jc w:val="center"/>
              <w:rPr>
                <w:rFonts w:cs="Arial"/>
                <w:b/>
                <w:bCs/>
                <w:sz w:val="16"/>
                <w:szCs w:val="16"/>
              </w:rPr>
            </w:pPr>
            <w:r w:rsidRPr="00742720">
              <w:rPr>
                <w:rFonts w:cs="Arial"/>
                <w:b/>
                <w:bCs/>
                <w:sz w:val="16"/>
                <w:szCs w:val="16"/>
              </w:rPr>
              <w:t>Udział zamówień z danym aspektem w ogólnej liczbie zamówień społecznych</w:t>
            </w:r>
          </w:p>
        </w:tc>
        <w:tc>
          <w:tcPr>
            <w:tcW w:w="1771" w:type="dxa"/>
            <w:shd w:val="clear" w:color="auto" w:fill="DEEAF6"/>
            <w:vAlign w:val="center"/>
          </w:tcPr>
          <w:p w14:paraId="5ED6F51F" w14:textId="77777777" w:rsidR="00B27C43" w:rsidRPr="00742720" w:rsidRDefault="00B27C43" w:rsidP="00C866A1">
            <w:pPr>
              <w:jc w:val="center"/>
              <w:rPr>
                <w:rFonts w:cs="Arial"/>
                <w:b/>
                <w:bCs/>
                <w:sz w:val="16"/>
                <w:szCs w:val="16"/>
              </w:rPr>
            </w:pPr>
            <w:r w:rsidRPr="00742720">
              <w:rPr>
                <w:rFonts w:cs="Arial"/>
                <w:b/>
                <w:bCs/>
                <w:sz w:val="16"/>
                <w:szCs w:val="16"/>
              </w:rPr>
              <w:t>Udział zamówień z danym aspektem w ogólnej wartości zamówień społecznych</w:t>
            </w:r>
          </w:p>
        </w:tc>
        <w:tc>
          <w:tcPr>
            <w:tcW w:w="1735" w:type="dxa"/>
            <w:shd w:val="clear" w:color="auto" w:fill="DEEAF6"/>
          </w:tcPr>
          <w:p w14:paraId="77868771" w14:textId="77777777" w:rsidR="00B27C43" w:rsidRPr="00742720" w:rsidRDefault="00B27C43" w:rsidP="00C866A1">
            <w:pPr>
              <w:jc w:val="center"/>
              <w:rPr>
                <w:rFonts w:cs="Arial"/>
                <w:b/>
                <w:bCs/>
                <w:sz w:val="16"/>
                <w:szCs w:val="16"/>
              </w:rPr>
            </w:pPr>
            <w:r w:rsidRPr="00742720">
              <w:rPr>
                <w:rFonts w:cs="Arial"/>
                <w:b/>
                <w:bCs/>
                <w:sz w:val="16"/>
                <w:szCs w:val="16"/>
              </w:rPr>
              <w:t>Udział zamówień z danym aspektem w ogólnej liczbie zamówień społecznych</w:t>
            </w:r>
          </w:p>
        </w:tc>
        <w:tc>
          <w:tcPr>
            <w:tcW w:w="1736" w:type="dxa"/>
            <w:shd w:val="clear" w:color="auto" w:fill="DEEAF6"/>
          </w:tcPr>
          <w:p w14:paraId="7F06EA71" w14:textId="77777777" w:rsidR="00B27C43" w:rsidRPr="00742720" w:rsidRDefault="00B27C43" w:rsidP="00C866A1">
            <w:pPr>
              <w:jc w:val="center"/>
              <w:rPr>
                <w:rFonts w:cs="Arial"/>
                <w:b/>
                <w:bCs/>
                <w:sz w:val="16"/>
                <w:szCs w:val="16"/>
              </w:rPr>
            </w:pPr>
            <w:r w:rsidRPr="00742720">
              <w:rPr>
                <w:rFonts w:cs="Arial"/>
                <w:b/>
                <w:bCs/>
                <w:sz w:val="16"/>
                <w:szCs w:val="16"/>
              </w:rPr>
              <w:t>Udział zamówień z danym aspektem w ogólnej wartości zamówień społecznych</w:t>
            </w:r>
          </w:p>
        </w:tc>
      </w:tr>
      <w:tr w:rsidR="009F4D1B" w:rsidRPr="00742720" w14:paraId="6CAE2BFF" w14:textId="77777777" w:rsidTr="00C866A1">
        <w:trPr>
          <w:jc w:val="center"/>
        </w:trPr>
        <w:tc>
          <w:tcPr>
            <w:tcW w:w="487" w:type="dxa"/>
            <w:shd w:val="clear" w:color="auto" w:fill="DEEAF6"/>
          </w:tcPr>
          <w:p w14:paraId="5086C00E" w14:textId="77777777" w:rsidR="009F4D1B" w:rsidRPr="00742720" w:rsidRDefault="009F4D1B" w:rsidP="009F4D1B">
            <w:pPr>
              <w:rPr>
                <w:rFonts w:cs="Arial"/>
                <w:sz w:val="16"/>
                <w:szCs w:val="16"/>
              </w:rPr>
            </w:pPr>
            <w:r w:rsidRPr="00742720">
              <w:rPr>
                <w:rFonts w:cs="Arial"/>
                <w:sz w:val="16"/>
                <w:szCs w:val="16"/>
              </w:rPr>
              <w:t>1.</w:t>
            </w:r>
          </w:p>
        </w:tc>
        <w:tc>
          <w:tcPr>
            <w:tcW w:w="2814" w:type="dxa"/>
            <w:shd w:val="clear" w:color="auto" w:fill="DEEAF6"/>
          </w:tcPr>
          <w:p w14:paraId="5C82ABF5" w14:textId="77777777" w:rsidR="009F4D1B" w:rsidRPr="00742720" w:rsidRDefault="009F4D1B" w:rsidP="009F4D1B">
            <w:pPr>
              <w:jc w:val="left"/>
              <w:rPr>
                <w:rFonts w:cs="Arial"/>
                <w:b/>
                <w:sz w:val="16"/>
                <w:szCs w:val="16"/>
              </w:rPr>
            </w:pPr>
            <w:r w:rsidRPr="00742720">
              <w:rPr>
                <w:rFonts w:cs="Arial"/>
                <w:b/>
                <w:sz w:val="16"/>
                <w:szCs w:val="16"/>
              </w:rPr>
              <w:t>Określenie wymagań związanych z realizacją zamówienia w zakresie zatrudnienia na podstawie stosunku pracy</w:t>
            </w:r>
          </w:p>
        </w:tc>
        <w:tc>
          <w:tcPr>
            <w:tcW w:w="1753" w:type="dxa"/>
            <w:vAlign w:val="center"/>
          </w:tcPr>
          <w:p w14:paraId="1C0BABCD" w14:textId="3CA8EDCF" w:rsidR="009F4D1B" w:rsidRPr="00B312CB" w:rsidRDefault="009F4D1B" w:rsidP="009F4D1B">
            <w:pPr>
              <w:jc w:val="center"/>
              <w:rPr>
                <w:rFonts w:eastAsia="Calibri" w:cs="Arial"/>
                <w:sz w:val="18"/>
                <w:szCs w:val="18"/>
              </w:rPr>
            </w:pPr>
            <w:r w:rsidRPr="00B312CB">
              <w:rPr>
                <w:rFonts w:eastAsia="Calibri" w:cs="Arial"/>
                <w:sz w:val="18"/>
                <w:szCs w:val="18"/>
              </w:rPr>
              <w:t>92,64%</w:t>
            </w:r>
          </w:p>
        </w:tc>
        <w:tc>
          <w:tcPr>
            <w:tcW w:w="1925" w:type="dxa"/>
            <w:vAlign w:val="center"/>
          </w:tcPr>
          <w:p w14:paraId="06CA8A21" w14:textId="37B7EE26" w:rsidR="009F4D1B" w:rsidRPr="00B312CB" w:rsidRDefault="009F4D1B" w:rsidP="009F4D1B">
            <w:pPr>
              <w:jc w:val="center"/>
              <w:rPr>
                <w:rFonts w:eastAsia="Calibri" w:cs="Arial"/>
                <w:sz w:val="18"/>
                <w:szCs w:val="18"/>
              </w:rPr>
            </w:pPr>
            <w:r w:rsidRPr="00B312CB">
              <w:rPr>
                <w:rFonts w:eastAsia="Calibri" w:cs="Arial"/>
                <w:sz w:val="18"/>
                <w:szCs w:val="18"/>
              </w:rPr>
              <w:t>96,4%</w:t>
            </w:r>
          </w:p>
        </w:tc>
        <w:tc>
          <w:tcPr>
            <w:tcW w:w="1771" w:type="dxa"/>
            <w:vAlign w:val="center"/>
          </w:tcPr>
          <w:p w14:paraId="2321BF60" w14:textId="2637FA61" w:rsidR="009F4D1B" w:rsidRPr="00B312CB" w:rsidRDefault="009F4D1B" w:rsidP="009F4D1B">
            <w:pPr>
              <w:jc w:val="center"/>
              <w:rPr>
                <w:rFonts w:eastAsia="Calibri" w:cs="Arial"/>
                <w:sz w:val="18"/>
                <w:szCs w:val="18"/>
              </w:rPr>
            </w:pPr>
            <w:r>
              <w:rPr>
                <w:rFonts w:eastAsia="Calibri" w:cs="Arial"/>
                <w:sz w:val="18"/>
                <w:szCs w:val="18"/>
              </w:rPr>
              <w:t>92,13%</w:t>
            </w:r>
          </w:p>
        </w:tc>
        <w:tc>
          <w:tcPr>
            <w:tcW w:w="1771" w:type="dxa"/>
            <w:vAlign w:val="center"/>
          </w:tcPr>
          <w:p w14:paraId="60B77FDE" w14:textId="4C8D1528" w:rsidR="009F4D1B" w:rsidRPr="00B312CB" w:rsidRDefault="009F4D1B" w:rsidP="009F4D1B">
            <w:pPr>
              <w:jc w:val="center"/>
              <w:rPr>
                <w:rFonts w:eastAsia="Calibri" w:cs="Arial"/>
                <w:sz w:val="18"/>
                <w:szCs w:val="18"/>
              </w:rPr>
            </w:pPr>
            <w:r>
              <w:rPr>
                <w:rFonts w:eastAsia="Calibri" w:cs="Arial"/>
                <w:sz w:val="18"/>
                <w:szCs w:val="18"/>
              </w:rPr>
              <w:t>93,7%</w:t>
            </w:r>
          </w:p>
        </w:tc>
        <w:tc>
          <w:tcPr>
            <w:tcW w:w="1735" w:type="dxa"/>
            <w:vAlign w:val="center"/>
          </w:tcPr>
          <w:p w14:paraId="7AB1581D" w14:textId="7037E4BE" w:rsidR="009F4D1B" w:rsidRPr="00B312CB" w:rsidRDefault="009F4D1B" w:rsidP="009F4D1B">
            <w:pPr>
              <w:jc w:val="center"/>
              <w:rPr>
                <w:rFonts w:eastAsia="Calibri" w:cs="Arial"/>
                <w:sz w:val="18"/>
                <w:szCs w:val="18"/>
              </w:rPr>
            </w:pPr>
            <w:r>
              <w:rPr>
                <w:rFonts w:eastAsia="Calibri" w:cs="Arial"/>
                <w:sz w:val="18"/>
                <w:szCs w:val="18"/>
              </w:rPr>
              <w:t>86%</w:t>
            </w:r>
          </w:p>
        </w:tc>
        <w:tc>
          <w:tcPr>
            <w:tcW w:w="1736" w:type="dxa"/>
            <w:vAlign w:val="center"/>
          </w:tcPr>
          <w:p w14:paraId="008E4308" w14:textId="2B4F3374" w:rsidR="009F4D1B" w:rsidRPr="00B312CB" w:rsidRDefault="009F4D1B" w:rsidP="009F4D1B">
            <w:pPr>
              <w:jc w:val="center"/>
              <w:rPr>
                <w:rFonts w:eastAsia="Calibri" w:cs="Arial"/>
                <w:sz w:val="18"/>
                <w:szCs w:val="18"/>
              </w:rPr>
            </w:pPr>
            <w:r>
              <w:rPr>
                <w:rFonts w:eastAsia="Calibri" w:cs="Arial"/>
                <w:sz w:val="18"/>
                <w:szCs w:val="18"/>
              </w:rPr>
              <w:t>92,7%</w:t>
            </w:r>
          </w:p>
        </w:tc>
      </w:tr>
      <w:tr w:rsidR="009F4D1B" w:rsidRPr="00742720" w14:paraId="55ABF5B2" w14:textId="77777777" w:rsidTr="00C866A1">
        <w:trPr>
          <w:jc w:val="center"/>
        </w:trPr>
        <w:tc>
          <w:tcPr>
            <w:tcW w:w="487" w:type="dxa"/>
            <w:shd w:val="clear" w:color="auto" w:fill="DEEAF6"/>
          </w:tcPr>
          <w:p w14:paraId="70DAC847" w14:textId="77777777" w:rsidR="009F4D1B" w:rsidRPr="00742720" w:rsidRDefault="009F4D1B" w:rsidP="009F4D1B">
            <w:pPr>
              <w:rPr>
                <w:rFonts w:cs="Arial"/>
                <w:sz w:val="16"/>
                <w:szCs w:val="16"/>
              </w:rPr>
            </w:pPr>
            <w:r w:rsidRPr="00742720">
              <w:rPr>
                <w:rFonts w:cs="Arial"/>
                <w:sz w:val="16"/>
                <w:szCs w:val="16"/>
              </w:rPr>
              <w:t>2.</w:t>
            </w:r>
          </w:p>
        </w:tc>
        <w:tc>
          <w:tcPr>
            <w:tcW w:w="2814" w:type="dxa"/>
            <w:shd w:val="clear" w:color="auto" w:fill="DEEAF6"/>
          </w:tcPr>
          <w:p w14:paraId="14422DBA" w14:textId="77777777" w:rsidR="009F4D1B" w:rsidRPr="00742720" w:rsidRDefault="009F4D1B" w:rsidP="009F4D1B">
            <w:pPr>
              <w:jc w:val="left"/>
              <w:rPr>
                <w:rFonts w:cs="Arial"/>
                <w:b/>
                <w:sz w:val="16"/>
                <w:szCs w:val="16"/>
              </w:rPr>
            </w:pPr>
            <w:r w:rsidRPr="00742720">
              <w:rPr>
                <w:rFonts w:cs="Arial"/>
                <w:b/>
                <w:sz w:val="16"/>
                <w:szCs w:val="16"/>
              </w:rPr>
              <w:t xml:space="preserve">Określenie w opisie przedmiotu zamówienia wymagań w zakresie dostępności dla osób niepełnosprawnych lub projektowania z przeznaczeniem dla wszystkich </w:t>
            </w:r>
          </w:p>
        </w:tc>
        <w:tc>
          <w:tcPr>
            <w:tcW w:w="1753" w:type="dxa"/>
            <w:vAlign w:val="center"/>
          </w:tcPr>
          <w:p w14:paraId="49E0FBA1" w14:textId="5B718907" w:rsidR="009F4D1B" w:rsidRPr="00B312CB" w:rsidRDefault="009F4D1B" w:rsidP="009F4D1B">
            <w:pPr>
              <w:jc w:val="center"/>
              <w:rPr>
                <w:rFonts w:eastAsia="Calibri" w:cs="Arial"/>
                <w:sz w:val="18"/>
                <w:szCs w:val="18"/>
              </w:rPr>
            </w:pPr>
            <w:r w:rsidRPr="00B312CB">
              <w:rPr>
                <w:rFonts w:eastAsia="Calibri" w:cs="Arial"/>
                <w:sz w:val="18"/>
                <w:szCs w:val="18"/>
              </w:rPr>
              <w:t>13,1%</w:t>
            </w:r>
          </w:p>
        </w:tc>
        <w:tc>
          <w:tcPr>
            <w:tcW w:w="1925" w:type="dxa"/>
            <w:vAlign w:val="center"/>
          </w:tcPr>
          <w:p w14:paraId="57223F21" w14:textId="2DA2C828" w:rsidR="009F4D1B" w:rsidRPr="00B312CB" w:rsidRDefault="009F4D1B" w:rsidP="009F4D1B">
            <w:pPr>
              <w:jc w:val="center"/>
              <w:rPr>
                <w:rFonts w:eastAsia="Calibri" w:cs="Arial"/>
                <w:sz w:val="18"/>
                <w:szCs w:val="18"/>
              </w:rPr>
            </w:pPr>
            <w:r w:rsidRPr="00B312CB">
              <w:rPr>
                <w:rFonts w:eastAsia="Calibri" w:cs="Arial"/>
                <w:sz w:val="18"/>
                <w:szCs w:val="18"/>
              </w:rPr>
              <w:t>22,2%</w:t>
            </w:r>
          </w:p>
        </w:tc>
        <w:tc>
          <w:tcPr>
            <w:tcW w:w="1771" w:type="dxa"/>
            <w:vAlign w:val="center"/>
          </w:tcPr>
          <w:p w14:paraId="57DCC78D" w14:textId="58E56E9C" w:rsidR="009F4D1B" w:rsidRPr="00B312CB" w:rsidRDefault="009F4D1B" w:rsidP="009F4D1B">
            <w:pPr>
              <w:jc w:val="center"/>
              <w:rPr>
                <w:rFonts w:eastAsia="Calibri" w:cs="Arial"/>
                <w:sz w:val="18"/>
                <w:szCs w:val="18"/>
              </w:rPr>
            </w:pPr>
            <w:r>
              <w:rPr>
                <w:rFonts w:eastAsia="Calibri" w:cs="Arial"/>
                <w:sz w:val="18"/>
                <w:szCs w:val="18"/>
              </w:rPr>
              <w:t>19,3%</w:t>
            </w:r>
          </w:p>
        </w:tc>
        <w:tc>
          <w:tcPr>
            <w:tcW w:w="1771" w:type="dxa"/>
            <w:vAlign w:val="center"/>
          </w:tcPr>
          <w:p w14:paraId="4BE06202" w14:textId="74D14CD5" w:rsidR="009F4D1B" w:rsidRPr="00B312CB" w:rsidRDefault="009F4D1B" w:rsidP="009F4D1B">
            <w:pPr>
              <w:jc w:val="center"/>
              <w:rPr>
                <w:rFonts w:eastAsia="Calibri" w:cs="Arial"/>
                <w:sz w:val="18"/>
                <w:szCs w:val="18"/>
              </w:rPr>
            </w:pPr>
            <w:r>
              <w:rPr>
                <w:rFonts w:eastAsia="Calibri" w:cs="Arial"/>
                <w:sz w:val="18"/>
                <w:szCs w:val="18"/>
              </w:rPr>
              <w:t>35%</w:t>
            </w:r>
          </w:p>
        </w:tc>
        <w:tc>
          <w:tcPr>
            <w:tcW w:w="1735" w:type="dxa"/>
            <w:vAlign w:val="center"/>
          </w:tcPr>
          <w:p w14:paraId="7A1CD53E" w14:textId="1875A84F" w:rsidR="009F4D1B" w:rsidRPr="00B312CB" w:rsidRDefault="009F4D1B" w:rsidP="009F4D1B">
            <w:pPr>
              <w:jc w:val="center"/>
              <w:rPr>
                <w:rFonts w:eastAsia="Calibri" w:cs="Arial"/>
                <w:sz w:val="18"/>
                <w:szCs w:val="18"/>
              </w:rPr>
            </w:pPr>
            <w:r>
              <w:rPr>
                <w:rFonts w:eastAsia="Calibri" w:cs="Arial"/>
                <w:sz w:val="18"/>
                <w:szCs w:val="18"/>
              </w:rPr>
              <w:t>21%</w:t>
            </w:r>
          </w:p>
        </w:tc>
        <w:tc>
          <w:tcPr>
            <w:tcW w:w="1736" w:type="dxa"/>
            <w:vAlign w:val="center"/>
          </w:tcPr>
          <w:p w14:paraId="3F2DA8A7" w14:textId="74C696E4" w:rsidR="009F4D1B" w:rsidRPr="00B312CB" w:rsidRDefault="009F4D1B" w:rsidP="009F4D1B">
            <w:pPr>
              <w:jc w:val="center"/>
              <w:rPr>
                <w:rFonts w:eastAsia="Calibri" w:cs="Arial"/>
                <w:sz w:val="18"/>
                <w:szCs w:val="18"/>
              </w:rPr>
            </w:pPr>
            <w:r>
              <w:rPr>
                <w:rFonts w:eastAsia="Calibri" w:cs="Arial"/>
                <w:sz w:val="18"/>
                <w:szCs w:val="18"/>
              </w:rPr>
              <w:t>30,95%</w:t>
            </w:r>
          </w:p>
        </w:tc>
      </w:tr>
      <w:tr w:rsidR="009F4D1B" w:rsidRPr="00742720" w14:paraId="0D4E9FD4" w14:textId="77777777" w:rsidTr="00C866A1">
        <w:trPr>
          <w:jc w:val="center"/>
        </w:trPr>
        <w:tc>
          <w:tcPr>
            <w:tcW w:w="487" w:type="dxa"/>
            <w:shd w:val="clear" w:color="auto" w:fill="DEEAF6"/>
          </w:tcPr>
          <w:p w14:paraId="40FD7E23" w14:textId="77777777" w:rsidR="009F4D1B" w:rsidRPr="00742720" w:rsidRDefault="009F4D1B" w:rsidP="009F4D1B">
            <w:pPr>
              <w:rPr>
                <w:rFonts w:cs="Arial"/>
                <w:sz w:val="16"/>
                <w:szCs w:val="16"/>
              </w:rPr>
            </w:pPr>
            <w:r w:rsidRPr="00742720">
              <w:rPr>
                <w:rFonts w:cs="Arial"/>
                <w:sz w:val="16"/>
                <w:szCs w:val="16"/>
              </w:rPr>
              <w:t>3.</w:t>
            </w:r>
          </w:p>
        </w:tc>
        <w:tc>
          <w:tcPr>
            <w:tcW w:w="2814" w:type="dxa"/>
            <w:shd w:val="clear" w:color="auto" w:fill="DEEAF6"/>
          </w:tcPr>
          <w:p w14:paraId="57DCE1B3" w14:textId="77777777" w:rsidR="009F4D1B" w:rsidRPr="00742720" w:rsidRDefault="009F4D1B" w:rsidP="009F4D1B">
            <w:pPr>
              <w:jc w:val="left"/>
              <w:rPr>
                <w:rFonts w:cs="Arial"/>
                <w:b/>
                <w:sz w:val="16"/>
                <w:szCs w:val="16"/>
              </w:rPr>
            </w:pPr>
            <w:r w:rsidRPr="00742720">
              <w:rPr>
                <w:rFonts w:cs="Arial"/>
                <w:b/>
                <w:sz w:val="16"/>
                <w:szCs w:val="16"/>
              </w:rPr>
              <w:t>Określenie aspektów społecznych w kryteriach oceny ofert</w:t>
            </w:r>
          </w:p>
        </w:tc>
        <w:tc>
          <w:tcPr>
            <w:tcW w:w="1753" w:type="dxa"/>
            <w:vAlign w:val="center"/>
          </w:tcPr>
          <w:p w14:paraId="4FCB79D3" w14:textId="1C7D7261" w:rsidR="009F4D1B" w:rsidRPr="00B312CB" w:rsidRDefault="009F4D1B" w:rsidP="009F4D1B">
            <w:pPr>
              <w:jc w:val="center"/>
              <w:rPr>
                <w:rFonts w:cs="Arial"/>
                <w:sz w:val="18"/>
                <w:szCs w:val="18"/>
              </w:rPr>
            </w:pPr>
            <w:r w:rsidRPr="00B312CB">
              <w:rPr>
                <w:rFonts w:cs="Arial"/>
                <w:sz w:val="18"/>
                <w:szCs w:val="18"/>
              </w:rPr>
              <w:t>4,32%</w:t>
            </w:r>
          </w:p>
        </w:tc>
        <w:tc>
          <w:tcPr>
            <w:tcW w:w="1925" w:type="dxa"/>
            <w:vAlign w:val="center"/>
          </w:tcPr>
          <w:p w14:paraId="4C0D7FC6" w14:textId="1399B567" w:rsidR="009F4D1B" w:rsidRPr="00B312CB" w:rsidRDefault="009F4D1B" w:rsidP="009F4D1B">
            <w:pPr>
              <w:jc w:val="center"/>
              <w:rPr>
                <w:rFonts w:cs="Arial"/>
                <w:sz w:val="18"/>
                <w:szCs w:val="18"/>
              </w:rPr>
            </w:pPr>
            <w:r w:rsidRPr="00B312CB">
              <w:rPr>
                <w:rFonts w:cs="Arial"/>
                <w:sz w:val="18"/>
                <w:szCs w:val="18"/>
              </w:rPr>
              <w:t>3,8%</w:t>
            </w:r>
          </w:p>
        </w:tc>
        <w:tc>
          <w:tcPr>
            <w:tcW w:w="1771" w:type="dxa"/>
            <w:vAlign w:val="center"/>
          </w:tcPr>
          <w:p w14:paraId="3CEBACE4" w14:textId="0AD0F2CF" w:rsidR="009F4D1B" w:rsidRPr="00B312CB" w:rsidRDefault="009F4D1B" w:rsidP="009F4D1B">
            <w:pPr>
              <w:jc w:val="center"/>
              <w:rPr>
                <w:rFonts w:cs="Arial"/>
                <w:sz w:val="18"/>
                <w:szCs w:val="18"/>
              </w:rPr>
            </w:pPr>
            <w:r>
              <w:rPr>
                <w:rFonts w:cs="Arial"/>
                <w:sz w:val="18"/>
                <w:szCs w:val="18"/>
              </w:rPr>
              <w:t>4,65%</w:t>
            </w:r>
          </w:p>
        </w:tc>
        <w:tc>
          <w:tcPr>
            <w:tcW w:w="1771" w:type="dxa"/>
            <w:vAlign w:val="center"/>
          </w:tcPr>
          <w:p w14:paraId="38547820" w14:textId="0CFFA021" w:rsidR="009F4D1B" w:rsidRPr="00B312CB" w:rsidRDefault="009F4D1B" w:rsidP="009F4D1B">
            <w:pPr>
              <w:jc w:val="center"/>
              <w:rPr>
                <w:rFonts w:cs="Arial"/>
                <w:sz w:val="18"/>
                <w:szCs w:val="18"/>
              </w:rPr>
            </w:pPr>
            <w:r>
              <w:rPr>
                <w:rFonts w:cs="Arial"/>
                <w:sz w:val="18"/>
                <w:szCs w:val="18"/>
              </w:rPr>
              <w:t>2,01%</w:t>
            </w:r>
          </w:p>
        </w:tc>
        <w:tc>
          <w:tcPr>
            <w:tcW w:w="1735" w:type="dxa"/>
            <w:vAlign w:val="center"/>
          </w:tcPr>
          <w:p w14:paraId="1B91408A" w14:textId="0197B1E0" w:rsidR="009F4D1B" w:rsidRPr="00B312CB" w:rsidRDefault="009F4D1B" w:rsidP="009F4D1B">
            <w:pPr>
              <w:jc w:val="center"/>
              <w:rPr>
                <w:rFonts w:cs="Arial"/>
                <w:sz w:val="18"/>
                <w:szCs w:val="18"/>
              </w:rPr>
            </w:pPr>
            <w:r>
              <w:rPr>
                <w:rFonts w:cs="Arial"/>
                <w:sz w:val="18"/>
                <w:szCs w:val="18"/>
              </w:rPr>
              <w:t>5,23%</w:t>
            </w:r>
          </w:p>
        </w:tc>
        <w:tc>
          <w:tcPr>
            <w:tcW w:w="1736" w:type="dxa"/>
            <w:vAlign w:val="center"/>
          </w:tcPr>
          <w:p w14:paraId="2E65AA9A" w14:textId="338F9A65" w:rsidR="009F4D1B" w:rsidRPr="00B312CB" w:rsidRDefault="009F4D1B" w:rsidP="009F4D1B">
            <w:pPr>
              <w:jc w:val="center"/>
              <w:rPr>
                <w:rFonts w:cs="Arial"/>
                <w:sz w:val="18"/>
                <w:szCs w:val="18"/>
              </w:rPr>
            </w:pPr>
            <w:r>
              <w:rPr>
                <w:rFonts w:cs="Arial"/>
                <w:sz w:val="18"/>
                <w:szCs w:val="18"/>
              </w:rPr>
              <w:t>2,43%</w:t>
            </w:r>
          </w:p>
        </w:tc>
      </w:tr>
      <w:tr w:rsidR="009F4D1B" w:rsidRPr="00742720" w14:paraId="356E406E" w14:textId="77777777" w:rsidTr="00C866A1">
        <w:trPr>
          <w:jc w:val="center"/>
        </w:trPr>
        <w:tc>
          <w:tcPr>
            <w:tcW w:w="487" w:type="dxa"/>
            <w:shd w:val="clear" w:color="auto" w:fill="DEEAF6"/>
          </w:tcPr>
          <w:p w14:paraId="1C563F3E" w14:textId="77777777" w:rsidR="009F4D1B" w:rsidRPr="00742720" w:rsidRDefault="009F4D1B" w:rsidP="009F4D1B">
            <w:pPr>
              <w:rPr>
                <w:rFonts w:cs="Arial"/>
                <w:sz w:val="16"/>
                <w:szCs w:val="16"/>
              </w:rPr>
            </w:pPr>
            <w:r w:rsidRPr="00742720">
              <w:rPr>
                <w:rFonts w:cs="Arial"/>
                <w:sz w:val="16"/>
                <w:szCs w:val="16"/>
              </w:rPr>
              <w:t>4.</w:t>
            </w:r>
          </w:p>
        </w:tc>
        <w:tc>
          <w:tcPr>
            <w:tcW w:w="2814" w:type="dxa"/>
            <w:shd w:val="clear" w:color="auto" w:fill="DEEAF6"/>
          </w:tcPr>
          <w:p w14:paraId="33C4DBFB" w14:textId="77777777" w:rsidR="009F4D1B" w:rsidRPr="00742720" w:rsidRDefault="009F4D1B" w:rsidP="009F4D1B">
            <w:pPr>
              <w:jc w:val="left"/>
              <w:rPr>
                <w:rFonts w:cs="Arial"/>
                <w:b/>
                <w:sz w:val="16"/>
                <w:szCs w:val="16"/>
              </w:rPr>
            </w:pPr>
            <w:r w:rsidRPr="00742720">
              <w:rPr>
                <w:rFonts w:cs="Arial"/>
                <w:b/>
                <w:sz w:val="16"/>
                <w:szCs w:val="16"/>
              </w:rPr>
              <w:t>Określenie wymagań związanych z realizacją zamówienia obejmujących aspekty społeczne związane z zatrudnieniem</w:t>
            </w:r>
          </w:p>
        </w:tc>
        <w:tc>
          <w:tcPr>
            <w:tcW w:w="1753" w:type="dxa"/>
            <w:vAlign w:val="center"/>
          </w:tcPr>
          <w:p w14:paraId="2237F757" w14:textId="45AEDCEB" w:rsidR="009F4D1B" w:rsidRPr="00B312CB" w:rsidRDefault="009F4D1B" w:rsidP="009F4D1B">
            <w:pPr>
              <w:jc w:val="center"/>
              <w:rPr>
                <w:rFonts w:eastAsia="Calibri" w:cs="Arial"/>
                <w:sz w:val="18"/>
                <w:szCs w:val="18"/>
              </w:rPr>
            </w:pPr>
            <w:r w:rsidRPr="00B312CB">
              <w:rPr>
                <w:rFonts w:eastAsia="Calibri" w:cs="Arial"/>
                <w:sz w:val="18"/>
                <w:szCs w:val="18"/>
              </w:rPr>
              <w:t>2,9%</w:t>
            </w:r>
          </w:p>
        </w:tc>
        <w:tc>
          <w:tcPr>
            <w:tcW w:w="1925" w:type="dxa"/>
            <w:vAlign w:val="center"/>
          </w:tcPr>
          <w:p w14:paraId="58187F33" w14:textId="605DEF6C" w:rsidR="009F4D1B" w:rsidRPr="00B312CB" w:rsidRDefault="009F4D1B" w:rsidP="009F4D1B">
            <w:pPr>
              <w:jc w:val="center"/>
              <w:rPr>
                <w:rFonts w:eastAsia="Calibri" w:cs="Arial"/>
                <w:sz w:val="18"/>
                <w:szCs w:val="18"/>
              </w:rPr>
            </w:pPr>
            <w:r w:rsidRPr="00B312CB">
              <w:rPr>
                <w:rFonts w:eastAsia="Calibri" w:cs="Arial"/>
                <w:sz w:val="18"/>
                <w:szCs w:val="18"/>
              </w:rPr>
              <w:t>2,5%</w:t>
            </w:r>
          </w:p>
        </w:tc>
        <w:tc>
          <w:tcPr>
            <w:tcW w:w="1771" w:type="dxa"/>
            <w:vAlign w:val="center"/>
          </w:tcPr>
          <w:p w14:paraId="3ED4A304" w14:textId="0EB6EA17" w:rsidR="009F4D1B" w:rsidRPr="00B312CB" w:rsidRDefault="009F4D1B" w:rsidP="009F4D1B">
            <w:pPr>
              <w:jc w:val="center"/>
              <w:rPr>
                <w:rFonts w:eastAsia="Calibri" w:cs="Arial"/>
                <w:sz w:val="18"/>
                <w:szCs w:val="18"/>
              </w:rPr>
            </w:pPr>
            <w:r>
              <w:rPr>
                <w:rFonts w:eastAsia="Calibri" w:cs="Arial"/>
                <w:sz w:val="18"/>
                <w:szCs w:val="18"/>
              </w:rPr>
              <w:t>3%</w:t>
            </w:r>
          </w:p>
        </w:tc>
        <w:tc>
          <w:tcPr>
            <w:tcW w:w="1771" w:type="dxa"/>
            <w:vAlign w:val="center"/>
          </w:tcPr>
          <w:p w14:paraId="7E7EA1F9" w14:textId="1A3F1E65" w:rsidR="009F4D1B" w:rsidRPr="00B312CB" w:rsidRDefault="009F4D1B" w:rsidP="009F4D1B">
            <w:pPr>
              <w:jc w:val="center"/>
              <w:rPr>
                <w:rFonts w:eastAsia="Calibri" w:cs="Arial"/>
                <w:sz w:val="18"/>
                <w:szCs w:val="18"/>
              </w:rPr>
            </w:pPr>
            <w:r>
              <w:rPr>
                <w:rFonts w:eastAsia="Calibri" w:cs="Arial"/>
                <w:sz w:val="18"/>
                <w:szCs w:val="18"/>
              </w:rPr>
              <w:t>1,9%</w:t>
            </w:r>
          </w:p>
        </w:tc>
        <w:tc>
          <w:tcPr>
            <w:tcW w:w="1735" w:type="dxa"/>
            <w:vAlign w:val="center"/>
          </w:tcPr>
          <w:p w14:paraId="5B18BF46" w14:textId="2722DB21" w:rsidR="009F4D1B" w:rsidRPr="00B312CB" w:rsidRDefault="009F4D1B" w:rsidP="009F4D1B">
            <w:pPr>
              <w:jc w:val="center"/>
              <w:rPr>
                <w:rFonts w:eastAsia="Calibri" w:cs="Arial"/>
                <w:sz w:val="18"/>
                <w:szCs w:val="18"/>
              </w:rPr>
            </w:pPr>
            <w:r>
              <w:rPr>
                <w:rFonts w:eastAsia="Calibri" w:cs="Arial"/>
                <w:sz w:val="18"/>
                <w:szCs w:val="18"/>
              </w:rPr>
              <w:t>3,19%</w:t>
            </w:r>
          </w:p>
        </w:tc>
        <w:tc>
          <w:tcPr>
            <w:tcW w:w="1736" w:type="dxa"/>
            <w:vAlign w:val="center"/>
          </w:tcPr>
          <w:p w14:paraId="5F6EB6F8" w14:textId="7F3D3612" w:rsidR="009F4D1B" w:rsidRPr="00B312CB" w:rsidRDefault="009F4D1B" w:rsidP="009F4D1B">
            <w:pPr>
              <w:jc w:val="center"/>
              <w:rPr>
                <w:rFonts w:eastAsia="Calibri" w:cs="Arial"/>
                <w:sz w:val="18"/>
                <w:szCs w:val="18"/>
              </w:rPr>
            </w:pPr>
            <w:r>
              <w:rPr>
                <w:rFonts w:eastAsia="Calibri" w:cs="Arial"/>
                <w:sz w:val="18"/>
                <w:szCs w:val="18"/>
              </w:rPr>
              <w:t>3,1%</w:t>
            </w:r>
          </w:p>
        </w:tc>
      </w:tr>
      <w:tr w:rsidR="009F4D1B" w:rsidRPr="00742720" w14:paraId="4B01E3DE" w14:textId="77777777" w:rsidTr="00C866A1">
        <w:trPr>
          <w:jc w:val="center"/>
        </w:trPr>
        <w:tc>
          <w:tcPr>
            <w:tcW w:w="487" w:type="dxa"/>
            <w:shd w:val="clear" w:color="auto" w:fill="DEEAF6"/>
          </w:tcPr>
          <w:p w14:paraId="61AA8ADC" w14:textId="77777777" w:rsidR="009F4D1B" w:rsidRPr="00742720" w:rsidRDefault="009F4D1B" w:rsidP="009F4D1B">
            <w:pPr>
              <w:rPr>
                <w:rFonts w:cs="Arial"/>
                <w:sz w:val="16"/>
                <w:szCs w:val="16"/>
              </w:rPr>
            </w:pPr>
            <w:r w:rsidRPr="00742720">
              <w:rPr>
                <w:rFonts w:cs="Arial"/>
                <w:sz w:val="16"/>
                <w:szCs w:val="16"/>
              </w:rPr>
              <w:t>5.</w:t>
            </w:r>
          </w:p>
        </w:tc>
        <w:tc>
          <w:tcPr>
            <w:tcW w:w="2814" w:type="dxa"/>
            <w:shd w:val="clear" w:color="auto" w:fill="DEEAF6"/>
          </w:tcPr>
          <w:p w14:paraId="669DFE06" w14:textId="77777777" w:rsidR="009F4D1B" w:rsidRPr="00742720" w:rsidRDefault="009F4D1B" w:rsidP="009F4D1B">
            <w:pPr>
              <w:jc w:val="left"/>
              <w:rPr>
                <w:rFonts w:cs="Arial"/>
                <w:b/>
                <w:sz w:val="16"/>
                <w:szCs w:val="16"/>
              </w:rPr>
            </w:pPr>
            <w:r w:rsidRPr="00742720">
              <w:rPr>
                <w:rFonts w:cs="Arial"/>
                <w:b/>
                <w:sz w:val="16"/>
                <w:szCs w:val="16"/>
              </w:rPr>
              <w:t>Zamówienia zastrzeżone na usługi zdrowotne, społeczne lub kulturalne</w:t>
            </w:r>
          </w:p>
        </w:tc>
        <w:tc>
          <w:tcPr>
            <w:tcW w:w="1753" w:type="dxa"/>
            <w:vAlign w:val="center"/>
          </w:tcPr>
          <w:p w14:paraId="56271FCB" w14:textId="027DB85A" w:rsidR="009F4D1B" w:rsidRPr="00B312CB" w:rsidRDefault="009F4D1B" w:rsidP="009F4D1B">
            <w:pPr>
              <w:jc w:val="center"/>
              <w:rPr>
                <w:rFonts w:cs="Arial"/>
                <w:sz w:val="18"/>
                <w:szCs w:val="18"/>
              </w:rPr>
            </w:pPr>
            <w:r w:rsidRPr="00B312CB">
              <w:rPr>
                <w:rFonts w:cs="Arial"/>
                <w:sz w:val="18"/>
                <w:szCs w:val="18"/>
              </w:rPr>
              <w:t>1,36%</w:t>
            </w:r>
          </w:p>
        </w:tc>
        <w:tc>
          <w:tcPr>
            <w:tcW w:w="1925" w:type="dxa"/>
            <w:vAlign w:val="center"/>
          </w:tcPr>
          <w:p w14:paraId="35FB9300" w14:textId="2C15F5E4" w:rsidR="009F4D1B" w:rsidRPr="00B312CB" w:rsidRDefault="009F4D1B" w:rsidP="009F4D1B">
            <w:pPr>
              <w:jc w:val="center"/>
              <w:rPr>
                <w:rFonts w:cs="Arial"/>
                <w:sz w:val="18"/>
                <w:szCs w:val="18"/>
              </w:rPr>
            </w:pPr>
            <w:r w:rsidRPr="00B312CB">
              <w:rPr>
                <w:rFonts w:cs="Arial"/>
                <w:sz w:val="18"/>
                <w:szCs w:val="18"/>
              </w:rPr>
              <w:t>0,62%</w:t>
            </w:r>
          </w:p>
        </w:tc>
        <w:tc>
          <w:tcPr>
            <w:tcW w:w="1771" w:type="dxa"/>
            <w:vAlign w:val="center"/>
          </w:tcPr>
          <w:p w14:paraId="0F434231" w14:textId="6186F136" w:rsidR="009F4D1B" w:rsidRPr="00B312CB" w:rsidRDefault="009F4D1B" w:rsidP="009F4D1B">
            <w:pPr>
              <w:jc w:val="center"/>
              <w:rPr>
                <w:rFonts w:cs="Arial"/>
                <w:sz w:val="18"/>
                <w:szCs w:val="18"/>
              </w:rPr>
            </w:pPr>
            <w:r>
              <w:rPr>
                <w:rFonts w:cs="Arial"/>
                <w:sz w:val="18"/>
                <w:szCs w:val="18"/>
              </w:rPr>
              <w:t>1,36%</w:t>
            </w:r>
          </w:p>
        </w:tc>
        <w:tc>
          <w:tcPr>
            <w:tcW w:w="1771" w:type="dxa"/>
            <w:vAlign w:val="center"/>
          </w:tcPr>
          <w:p w14:paraId="224F0774" w14:textId="10E09D1B" w:rsidR="009F4D1B" w:rsidRPr="00B312CB" w:rsidRDefault="009F4D1B" w:rsidP="009F4D1B">
            <w:pPr>
              <w:jc w:val="center"/>
              <w:rPr>
                <w:rFonts w:cs="Arial"/>
                <w:sz w:val="18"/>
                <w:szCs w:val="18"/>
              </w:rPr>
            </w:pPr>
            <w:r>
              <w:rPr>
                <w:rFonts w:cs="Arial"/>
                <w:sz w:val="18"/>
                <w:szCs w:val="18"/>
              </w:rPr>
              <w:t>0,36%</w:t>
            </w:r>
          </w:p>
        </w:tc>
        <w:tc>
          <w:tcPr>
            <w:tcW w:w="1735" w:type="dxa"/>
            <w:vAlign w:val="center"/>
          </w:tcPr>
          <w:p w14:paraId="4CDDA2B7" w14:textId="6A50581F" w:rsidR="009F4D1B" w:rsidRPr="00B312CB" w:rsidRDefault="009F4D1B" w:rsidP="009F4D1B">
            <w:pPr>
              <w:jc w:val="center"/>
              <w:rPr>
                <w:rFonts w:cs="Arial"/>
                <w:sz w:val="18"/>
                <w:szCs w:val="18"/>
              </w:rPr>
            </w:pPr>
            <w:r>
              <w:rPr>
                <w:rFonts w:cs="Arial"/>
                <w:sz w:val="18"/>
                <w:szCs w:val="18"/>
              </w:rPr>
              <w:t>1,42%</w:t>
            </w:r>
          </w:p>
        </w:tc>
        <w:tc>
          <w:tcPr>
            <w:tcW w:w="1736" w:type="dxa"/>
            <w:vAlign w:val="center"/>
          </w:tcPr>
          <w:p w14:paraId="6DB81B72" w14:textId="27517DFF" w:rsidR="009F4D1B" w:rsidRPr="00B312CB" w:rsidRDefault="009F4D1B" w:rsidP="009F4D1B">
            <w:pPr>
              <w:jc w:val="center"/>
              <w:rPr>
                <w:rFonts w:cs="Arial"/>
                <w:sz w:val="18"/>
                <w:szCs w:val="18"/>
              </w:rPr>
            </w:pPr>
            <w:r>
              <w:rPr>
                <w:rFonts w:cs="Arial"/>
                <w:sz w:val="18"/>
                <w:szCs w:val="18"/>
              </w:rPr>
              <w:t>0,54%</w:t>
            </w:r>
          </w:p>
        </w:tc>
      </w:tr>
      <w:tr w:rsidR="009F4D1B" w:rsidRPr="00742720" w14:paraId="65E0C924" w14:textId="77777777" w:rsidTr="00C866A1">
        <w:trPr>
          <w:jc w:val="center"/>
        </w:trPr>
        <w:tc>
          <w:tcPr>
            <w:tcW w:w="487" w:type="dxa"/>
            <w:shd w:val="clear" w:color="auto" w:fill="DEEAF6"/>
          </w:tcPr>
          <w:p w14:paraId="228F9471" w14:textId="77777777" w:rsidR="009F4D1B" w:rsidRPr="00742720" w:rsidRDefault="009F4D1B" w:rsidP="009F4D1B">
            <w:pPr>
              <w:rPr>
                <w:rFonts w:cs="Arial"/>
                <w:sz w:val="16"/>
                <w:szCs w:val="16"/>
              </w:rPr>
            </w:pPr>
            <w:r w:rsidRPr="00742720">
              <w:rPr>
                <w:rFonts w:cs="Arial"/>
                <w:sz w:val="16"/>
                <w:szCs w:val="16"/>
              </w:rPr>
              <w:t>6.</w:t>
            </w:r>
          </w:p>
        </w:tc>
        <w:tc>
          <w:tcPr>
            <w:tcW w:w="2814" w:type="dxa"/>
            <w:shd w:val="clear" w:color="auto" w:fill="DEEAF6"/>
          </w:tcPr>
          <w:p w14:paraId="793E6FE4" w14:textId="77777777" w:rsidR="009F4D1B" w:rsidRPr="00742720" w:rsidRDefault="009F4D1B" w:rsidP="009F4D1B">
            <w:pPr>
              <w:jc w:val="left"/>
              <w:rPr>
                <w:rFonts w:cs="Arial"/>
                <w:b/>
                <w:sz w:val="16"/>
                <w:szCs w:val="16"/>
              </w:rPr>
            </w:pPr>
            <w:r w:rsidRPr="00742720">
              <w:rPr>
                <w:rFonts w:cs="Arial"/>
                <w:b/>
                <w:sz w:val="16"/>
                <w:szCs w:val="16"/>
              </w:rPr>
              <w:t>Zamówienie udzielone jako zamówienie zastrzeżone</w:t>
            </w:r>
          </w:p>
        </w:tc>
        <w:tc>
          <w:tcPr>
            <w:tcW w:w="1753" w:type="dxa"/>
            <w:vAlign w:val="center"/>
          </w:tcPr>
          <w:p w14:paraId="6B576A8C" w14:textId="13F7CB49" w:rsidR="009F4D1B" w:rsidRPr="00B312CB" w:rsidRDefault="009F4D1B" w:rsidP="009F4D1B">
            <w:pPr>
              <w:jc w:val="center"/>
              <w:rPr>
                <w:rFonts w:cs="Arial"/>
                <w:sz w:val="18"/>
                <w:szCs w:val="18"/>
              </w:rPr>
            </w:pPr>
            <w:r w:rsidRPr="00B312CB">
              <w:rPr>
                <w:rFonts w:cs="Arial"/>
                <w:sz w:val="18"/>
                <w:szCs w:val="18"/>
              </w:rPr>
              <w:t>0,17%</w:t>
            </w:r>
          </w:p>
        </w:tc>
        <w:tc>
          <w:tcPr>
            <w:tcW w:w="1925" w:type="dxa"/>
            <w:vAlign w:val="center"/>
          </w:tcPr>
          <w:p w14:paraId="139F6C48" w14:textId="243E6505" w:rsidR="009F4D1B" w:rsidRPr="00B312CB" w:rsidRDefault="009F4D1B" w:rsidP="009F4D1B">
            <w:pPr>
              <w:jc w:val="center"/>
              <w:rPr>
                <w:rFonts w:cs="Arial"/>
                <w:sz w:val="18"/>
                <w:szCs w:val="18"/>
              </w:rPr>
            </w:pPr>
            <w:r w:rsidRPr="00B312CB">
              <w:rPr>
                <w:rFonts w:cs="Arial"/>
                <w:sz w:val="18"/>
                <w:szCs w:val="18"/>
              </w:rPr>
              <w:t>0,39%</w:t>
            </w:r>
          </w:p>
        </w:tc>
        <w:tc>
          <w:tcPr>
            <w:tcW w:w="1771" w:type="dxa"/>
            <w:vAlign w:val="center"/>
          </w:tcPr>
          <w:p w14:paraId="6609BD87" w14:textId="08B63ED2" w:rsidR="009F4D1B" w:rsidRPr="00B312CB" w:rsidRDefault="009F4D1B" w:rsidP="009F4D1B">
            <w:pPr>
              <w:jc w:val="center"/>
              <w:rPr>
                <w:rFonts w:cs="Arial"/>
                <w:sz w:val="18"/>
                <w:szCs w:val="18"/>
              </w:rPr>
            </w:pPr>
            <w:r>
              <w:rPr>
                <w:rFonts w:cs="Arial"/>
                <w:sz w:val="18"/>
                <w:szCs w:val="18"/>
              </w:rPr>
              <w:t>0,52%</w:t>
            </w:r>
          </w:p>
        </w:tc>
        <w:tc>
          <w:tcPr>
            <w:tcW w:w="1771" w:type="dxa"/>
            <w:vAlign w:val="center"/>
          </w:tcPr>
          <w:p w14:paraId="1EB8C6CD" w14:textId="5294B523" w:rsidR="009F4D1B" w:rsidRPr="00B312CB" w:rsidRDefault="009F4D1B" w:rsidP="009F4D1B">
            <w:pPr>
              <w:jc w:val="center"/>
              <w:rPr>
                <w:rFonts w:cs="Arial"/>
                <w:sz w:val="18"/>
                <w:szCs w:val="18"/>
              </w:rPr>
            </w:pPr>
            <w:r>
              <w:rPr>
                <w:rFonts w:cs="Arial"/>
                <w:sz w:val="18"/>
                <w:szCs w:val="18"/>
              </w:rPr>
              <w:t>0,2%</w:t>
            </w:r>
          </w:p>
        </w:tc>
        <w:tc>
          <w:tcPr>
            <w:tcW w:w="1735" w:type="dxa"/>
            <w:vAlign w:val="center"/>
          </w:tcPr>
          <w:p w14:paraId="31AF6963" w14:textId="7C5B6637" w:rsidR="009F4D1B" w:rsidRPr="00B312CB" w:rsidRDefault="009F4D1B" w:rsidP="009F4D1B">
            <w:pPr>
              <w:jc w:val="center"/>
              <w:rPr>
                <w:rFonts w:cs="Arial"/>
                <w:sz w:val="18"/>
                <w:szCs w:val="18"/>
              </w:rPr>
            </w:pPr>
            <w:r>
              <w:rPr>
                <w:rFonts w:cs="Arial"/>
                <w:sz w:val="18"/>
                <w:szCs w:val="18"/>
              </w:rPr>
              <w:t>0,68%</w:t>
            </w:r>
          </w:p>
        </w:tc>
        <w:tc>
          <w:tcPr>
            <w:tcW w:w="1736" w:type="dxa"/>
            <w:vAlign w:val="center"/>
          </w:tcPr>
          <w:p w14:paraId="316AB64F" w14:textId="596D503A" w:rsidR="009F4D1B" w:rsidRPr="00B312CB" w:rsidRDefault="009F4D1B" w:rsidP="009F4D1B">
            <w:pPr>
              <w:jc w:val="center"/>
              <w:rPr>
                <w:rFonts w:cs="Arial"/>
                <w:sz w:val="18"/>
                <w:szCs w:val="18"/>
              </w:rPr>
            </w:pPr>
            <w:r>
              <w:rPr>
                <w:rFonts w:cs="Arial"/>
                <w:sz w:val="18"/>
                <w:szCs w:val="18"/>
              </w:rPr>
              <w:t>0,34%</w:t>
            </w:r>
          </w:p>
        </w:tc>
      </w:tr>
      <w:tr w:rsidR="009F4D1B" w:rsidRPr="00742720" w14:paraId="4E393BDB" w14:textId="77777777" w:rsidTr="00C866A1">
        <w:trPr>
          <w:jc w:val="center"/>
        </w:trPr>
        <w:tc>
          <w:tcPr>
            <w:tcW w:w="487" w:type="dxa"/>
            <w:shd w:val="clear" w:color="auto" w:fill="DEEAF6"/>
          </w:tcPr>
          <w:p w14:paraId="7B915F1D" w14:textId="77777777" w:rsidR="009F4D1B" w:rsidRPr="00742720" w:rsidRDefault="009F4D1B" w:rsidP="009F4D1B">
            <w:pPr>
              <w:rPr>
                <w:rFonts w:cs="Arial"/>
                <w:sz w:val="16"/>
                <w:szCs w:val="16"/>
              </w:rPr>
            </w:pPr>
            <w:r>
              <w:rPr>
                <w:rFonts w:cs="Arial"/>
                <w:sz w:val="16"/>
                <w:szCs w:val="16"/>
              </w:rPr>
              <w:t>7</w:t>
            </w:r>
            <w:r w:rsidRPr="00742720">
              <w:rPr>
                <w:rFonts w:cs="Arial"/>
                <w:sz w:val="16"/>
                <w:szCs w:val="16"/>
              </w:rPr>
              <w:t>.</w:t>
            </w:r>
          </w:p>
        </w:tc>
        <w:tc>
          <w:tcPr>
            <w:tcW w:w="2814" w:type="dxa"/>
            <w:shd w:val="clear" w:color="auto" w:fill="DEEAF6"/>
          </w:tcPr>
          <w:p w14:paraId="12FAD11A" w14:textId="77777777" w:rsidR="009F4D1B" w:rsidRPr="00742720" w:rsidRDefault="009F4D1B" w:rsidP="009F4D1B">
            <w:pPr>
              <w:jc w:val="left"/>
              <w:rPr>
                <w:rFonts w:cs="Arial"/>
                <w:b/>
                <w:sz w:val="16"/>
                <w:szCs w:val="16"/>
              </w:rPr>
            </w:pPr>
            <w:r w:rsidRPr="001D752F">
              <w:rPr>
                <w:rFonts w:cs="Arial"/>
                <w:b/>
                <w:sz w:val="16"/>
                <w:szCs w:val="16"/>
              </w:rPr>
              <w:t>Określenie etykiety związanej z aspektami społecznymi</w:t>
            </w:r>
          </w:p>
        </w:tc>
        <w:tc>
          <w:tcPr>
            <w:tcW w:w="1753" w:type="dxa"/>
            <w:vAlign w:val="center"/>
          </w:tcPr>
          <w:p w14:paraId="3B3485C6" w14:textId="2DF5D80F" w:rsidR="009F4D1B" w:rsidRPr="00B312CB" w:rsidRDefault="009F4D1B" w:rsidP="009F4D1B">
            <w:pPr>
              <w:jc w:val="center"/>
              <w:rPr>
                <w:rFonts w:cs="Arial"/>
                <w:sz w:val="18"/>
                <w:szCs w:val="18"/>
                <w:highlight w:val="yellow"/>
              </w:rPr>
            </w:pPr>
            <w:r w:rsidRPr="00B312CB">
              <w:rPr>
                <w:rFonts w:cs="Arial"/>
                <w:sz w:val="18"/>
                <w:szCs w:val="18"/>
              </w:rPr>
              <w:t>0,5%</w:t>
            </w:r>
          </w:p>
        </w:tc>
        <w:tc>
          <w:tcPr>
            <w:tcW w:w="1925" w:type="dxa"/>
            <w:vAlign w:val="center"/>
          </w:tcPr>
          <w:p w14:paraId="68FCC0AA" w14:textId="4B6E70D8" w:rsidR="009F4D1B" w:rsidRPr="00B312CB" w:rsidRDefault="009F4D1B" w:rsidP="009F4D1B">
            <w:pPr>
              <w:jc w:val="center"/>
              <w:rPr>
                <w:rFonts w:cs="Arial"/>
                <w:sz w:val="18"/>
                <w:szCs w:val="18"/>
                <w:highlight w:val="yellow"/>
              </w:rPr>
            </w:pPr>
            <w:r w:rsidRPr="00B312CB">
              <w:rPr>
                <w:rFonts w:cs="Arial"/>
                <w:sz w:val="18"/>
                <w:szCs w:val="18"/>
              </w:rPr>
              <w:t>0,45%</w:t>
            </w:r>
          </w:p>
        </w:tc>
        <w:tc>
          <w:tcPr>
            <w:tcW w:w="1771" w:type="dxa"/>
            <w:vAlign w:val="center"/>
          </w:tcPr>
          <w:p w14:paraId="43781B64" w14:textId="66EBED8D" w:rsidR="009F4D1B" w:rsidRPr="00B312CB" w:rsidRDefault="009F4D1B" w:rsidP="009F4D1B">
            <w:pPr>
              <w:jc w:val="center"/>
              <w:rPr>
                <w:rFonts w:cs="Arial"/>
                <w:sz w:val="18"/>
                <w:szCs w:val="18"/>
                <w:highlight w:val="yellow"/>
              </w:rPr>
            </w:pPr>
            <w:r>
              <w:rPr>
                <w:rFonts w:cs="Arial"/>
                <w:sz w:val="18"/>
                <w:szCs w:val="18"/>
              </w:rPr>
              <w:t>0,6%</w:t>
            </w:r>
          </w:p>
        </w:tc>
        <w:tc>
          <w:tcPr>
            <w:tcW w:w="1771" w:type="dxa"/>
            <w:vAlign w:val="center"/>
          </w:tcPr>
          <w:p w14:paraId="71BF98CD" w14:textId="04052752" w:rsidR="009F4D1B" w:rsidRPr="00B312CB" w:rsidRDefault="009F4D1B" w:rsidP="009F4D1B">
            <w:pPr>
              <w:jc w:val="center"/>
              <w:rPr>
                <w:rFonts w:cs="Arial"/>
                <w:sz w:val="18"/>
                <w:szCs w:val="18"/>
                <w:highlight w:val="yellow"/>
              </w:rPr>
            </w:pPr>
            <w:r>
              <w:rPr>
                <w:rFonts w:cs="Arial"/>
                <w:sz w:val="18"/>
                <w:szCs w:val="18"/>
              </w:rPr>
              <w:t>0,28%</w:t>
            </w:r>
          </w:p>
        </w:tc>
        <w:tc>
          <w:tcPr>
            <w:tcW w:w="1735" w:type="dxa"/>
            <w:vAlign w:val="center"/>
          </w:tcPr>
          <w:p w14:paraId="5E55E9A1" w14:textId="51ABB1D6" w:rsidR="009F4D1B" w:rsidRPr="00B312CB" w:rsidRDefault="009F4D1B" w:rsidP="009F4D1B">
            <w:pPr>
              <w:jc w:val="center"/>
              <w:rPr>
                <w:rFonts w:cs="Arial"/>
                <w:sz w:val="18"/>
                <w:szCs w:val="18"/>
              </w:rPr>
            </w:pPr>
            <w:r>
              <w:rPr>
                <w:rFonts w:cs="Arial"/>
                <w:sz w:val="18"/>
                <w:szCs w:val="18"/>
              </w:rPr>
              <w:t>0,59%</w:t>
            </w:r>
          </w:p>
        </w:tc>
        <w:tc>
          <w:tcPr>
            <w:tcW w:w="1736" w:type="dxa"/>
            <w:vAlign w:val="center"/>
          </w:tcPr>
          <w:p w14:paraId="20F0BAC1" w14:textId="42D246BE" w:rsidR="009F4D1B" w:rsidRPr="00B312CB" w:rsidRDefault="009F4D1B" w:rsidP="009F4D1B">
            <w:pPr>
              <w:jc w:val="center"/>
              <w:rPr>
                <w:rFonts w:cs="Arial"/>
                <w:sz w:val="18"/>
                <w:szCs w:val="18"/>
              </w:rPr>
            </w:pPr>
            <w:r>
              <w:rPr>
                <w:rFonts w:cs="Arial"/>
                <w:sz w:val="18"/>
                <w:szCs w:val="18"/>
              </w:rPr>
              <w:t>0,94%</w:t>
            </w:r>
          </w:p>
        </w:tc>
      </w:tr>
    </w:tbl>
    <w:p w14:paraId="70B0A273" w14:textId="77777777" w:rsidR="00B27C43" w:rsidRPr="00805E2A" w:rsidRDefault="00B27C43" w:rsidP="002470B0">
      <w:pPr>
        <w:spacing w:before="120"/>
        <w:jc w:val="left"/>
        <w:rPr>
          <w:rFonts w:cs="Arial"/>
          <w:sz w:val="16"/>
          <w:szCs w:val="16"/>
        </w:rPr>
      </w:pPr>
      <w:r w:rsidRPr="00805E2A">
        <w:rPr>
          <w:rFonts w:cs="Arial"/>
          <w:b/>
          <w:sz w:val="16"/>
          <w:szCs w:val="16"/>
          <w:u w:val="single"/>
        </w:rPr>
        <w:t>UWAGA</w:t>
      </w:r>
      <w:r w:rsidRPr="00805E2A">
        <w:rPr>
          <w:rFonts w:cs="Arial"/>
          <w:sz w:val="16"/>
          <w:szCs w:val="16"/>
        </w:rPr>
        <w:t xml:space="preserve">: </w:t>
      </w:r>
      <w:r w:rsidRPr="00805E2A">
        <w:rPr>
          <w:rFonts w:cs="Arial"/>
          <w:bCs/>
          <w:sz w:val="16"/>
          <w:szCs w:val="16"/>
        </w:rPr>
        <w:t xml:space="preserve">Suma udziałów zamówień z zastosowaniem poszczególnych aspektów społecznych w ogólnej liczbie i wartości zamówień społecznych jest większa niż łączna liczba i wartość zamówień społecznych </w:t>
      </w:r>
      <w:r w:rsidRPr="00805E2A">
        <w:rPr>
          <w:rFonts w:cs="Arial"/>
          <w:sz w:val="16"/>
          <w:szCs w:val="16"/>
        </w:rPr>
        <w:t>ze względu na przypadki zastosowania więcej niż jednego aspektu społecznego w jednym zamówieniu.</w:t>
      </w:r>
    </w:p>
    <w:p w14:paraId="43551754" w14:textId="77777777" w:rsidR="00B27C43" w:rsidRDefault="00B27C43" w:rsidP="00B27C43">
      <w:pPr>
        <w:jc w:val="left"/>
        <w:rPr>
          <w:szCs w:val="22"/>
        </w:rPr>
      </w:pPr>
    </w:p>
    <w:p w14:paraId="326CCD9B" w14:textId="77777777" w:rsidR="00B27C43" w:rsidRDefault="00B27C43" w:rsidP="00B27C43">
      <w:pPr>
        <w:jc w:val="left"/>
        <w:rPr>
          <w:szCs w:val="22"/>
        </w:rPr>
        <w:sectPr w:rsidR="00B27C43" w:rsidSect="00CC77CA">
          <w:pgSz w:w="16838" w:h="11906" w:orient="landscape"/>
          <w:pgMar w:top="1418" w:right="1418" w:bottom="1418" w:left="1418" w:header="709" w:footer="709" w:gutter="0"/>
          <w:cols w:space="708"/>
          <w:docGrid w:linePitch="299"/>
        </w:sectPr>
      </w:pPr>
    </w:p>
    <w:p w14:paraId="4040E372" w14:textId="0B0B085F" w:rsidR="00B27C43" w:rsidRPr="00DB75BE" w:rsidRDefault="00D32E43" w:rsidP="00852522">
      <w:pPr>
        <w:pStyle w:val="Nagwek4"/>
      </w:pPr>
      <w:bookmarkStart w:id="347" w:name="_Załącznik_nr_3."/>
      <w:bookmarkEnd w:id="347"/>
      <w:r w:rsidRPr="00D32E43">
        <w:t xml:space="preserve">Załącznik nr </w:t>
      </w:r>
      <w:r w:rsidR="002972A1">
        <w:t>2</w:t>
      </w:r>
      <w:r>
        <w:t xml:space="preserve">. </w:t>
      </w:r>
      <w:r w:rsidR="00B27C43" w:rsidRPr="00DB75BE">
        <w:t>Dane dotyczące zamówień</w:t>
      </w:r>
      <w:r w:rsidR="0060221A">
        <w:t xml:space="preserve"> publicznych</w:t>
      </w:r>
      <w:r w:rsidR="00B27C43" w:rsidRPr="00DB75BE">
        <w:t>, w których odwołano się do odpowiednich instrumentów środowiskowych</w:t>
      </w:r>
    </w:p>
    <w:p w14:paraId="1BF43491" w14:textId="77777777" w:rsidR="00B27C43" w:rsidRPr="00ED1A48" w:rsidRDefault="00B27C43" w:rsidP="00FD257F">
      <w:pPr>
        <w:spacing w:before="240" w:after="120"/>
        <w:jc w:val="center"/>
        <w:rPr>
          <w:rFonts w:cs="Arial"/>
          <w:b/>
          <w:color w:val="000000"/>
        </w:rPr>
      </w:pPr>
      <w:r w:rsidRPr="00ED1A48">
        <w:rPr>
          <w:rFonts w:cs="Arial"/>
          <w:b/>
          <w:color w:val="000000"/>
        </w:rPr>
        <w:t>Liczba i wartość zamówień publicznych z danym aspektem środowiskowym w poszczególnych latach</w:t>
      </w:r>
    </w:p>
    <w:tbl>
      <w:tblPr>
        <w:tblW w:w="13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006"/>
        <w:gridCol w:w="1701"/>
        <w:gridCol w:w="1843"/>
        <w:gridCol w:w="1701"/>
        <w:gridCol w:w="2126"/>
        <w:gridCol w:w="1701"/>
        <w:gridCol w:w="2301"/>
      </w:tblGrid>
      <w:tr w:rsidR="00B27C43" w:rsidRPr="00ED1A48" w14:paraId="647C0603" w14:textId="77777777" w:rsidTr="00C866A1">
        <w:trPr>
          <w:tblHeader/>
        </w:trPr>
        <w:tc>
          <w:tcPr>
            <w:tcW w:w="2476"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1DE69E60"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C5E0B3"/>
          </w:tcPr>
          <w:p w14:paraId="33568259" w14:textId="6283BBDC" w:rsidR="00B27C43" w:rsidRPr="00ED1A48" w:rsidRDefault="00B27C43" w:rsidP="00A858BA">
            <w:pPr>
              <w:jc w:val="center"/>
              <w:rPr>
                <w:rFonts w:cs="Arial"/>
                <w:b/>
                <w:bCs/>
                <w:color w:val="000000"/>
                <w:sz w:val="16"/>
                <w:szCs w:val="16"/>
              </w:rPr>
            </w:pPr>
            <w:r>
              <w:rPr>
                <w:rFonts w:cs="Arial"/>
                <w:b/>
                <w:bCs/>
                <w:color w:val="000000"/>
                <w:sz w:val="16"/>
                <w:szCs w:val="16"/>
              </w:rPr>
              <w:t>202</w:t>
            </w:r>
            <w:r w:rsidR="00A858BA">
              <w:rPr>
                <w:rFonts w:cs="Arial"/>
                <w:b/>
                <w:bCs/>
                <w:color w:val="000000"/>
                <w:sz w:val="16"/>
                <w:szCs w:val="16"/>
              </w:rPr>
              <w:t>3</w:t>
            </w:r>
            <w:r>
              <w:rPr>
                <w:rFonts w:cs="Arial"/>
                <w:b/>
                <w:bCs/>
                <w:color w:val="000000"/>
                <w:sz w:val="16"/>
                <w:szCs w:val="16"/>
              </w:rPr>
              <w:t xml:space="preserve">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C5E0B3"/>
          </w:tcPr>
          <w:p w14:paraId="18D36707" w14:textId="79BD5C65" w:rsidR="00B27C43" w:rsidRPr="00ED1A48" w:rsidRDefault="00B27C43" w:rsidP="00A858BA">
            <w:pPr>
              <w:jc w:val="center"/>
              <w:rPr>
                <w:rFonts w:cs="Arial"/>
                <w:b/>
                <w:bCs/>
                <w:color w:val="000000"/>
                <w:sz w:val="16"/>
                <w:szCs w:val="16"/>
              </w:rPr>
            </w:pPr>
            <w:r>
              <w:rPr>
                <w:rFonts w:cs="Arial"/>
                <w:b/>
                <w:bCs/>
                <w:color w:val="000000"/>
                <w:sz w:val="16"/>
                <w:szCs w:val="16"/>
              </w:rPr>
              <w:t>202</w:t>
            </w:r>
            <w:r w:rsidR="00A858BA">
              <w:rPr>
                <w:rFonts w:cs="Arial"/>
                <w:b/>
                <w:bCs/>
                <w:color w:val="000000"/>
                <w:sz w:val="16"/>
                <w:szCs w:val="16"/>
              </w:rPr>
              <w:t>4</w:t>
            </w:r>
            <w:r>
              <w:rPr>
                <w:rFonts w:cs="Arial"/>
                <w:b/>
                <w:bCs/>
                <w:color w:val="000000"/>
                <w:sz w:val="16"/>
                <w:szCs w:val="16"/>
              </w:rPr>
              <w:t xml:space="preserve">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C5E0B3"/>
          </w:tcPr>
          <w:p w14:paraId="01243118" w14:textId="61E0A427" w:rsidR="00B27C43" w:rsidRPr="00ED1A48" w:rsidRDefault="00B27C43" w:rsidP="00A858BA">
            <w:pPr>
              <w:jc w:val="center"/>
              <w:rPr>
                <w:rFonts w:cs="Arial"/>
                <w:b/>
                <w:bCs/>
                <w:color w:val="000000"/>
                <w:sz w:val="16"/>
                <w:szCs w:val="16"/>
              </w:rPr>
            </w:pPr>
            <w:r>
              <w:rPr>
                <w:rFonts w:cs="Arial"/>
                <w:b/>
                <w:bCs/>
                <w:color w:val="000000"/>
                <w:sz w:val="16"/>
                <w:szCs w:val="16"/>
              </w:rPr>
              <w:t>202</w:t>
            </w:r>
            <w:r w:rsidR="00A858BA">
              <w:rPr>
                <w:rFonts w:cs="Arial"/>
                <w:b/>
                <w:bCs/>
                <w:color w:val="000000"/>
                <w:sz w:val="16"/>
                <w:szCs w:val="16"/>
              </w:rPr>
              <w:t>5</w:t>
            </w:r>
            <w:r>
              <w:rPr>
                <w:rFonts w:cs="Arial"/>
                <w:b/>
                <w:bCs/>
                <w:color w:val="000000"/>
                <w:sz w:val="16"/>
                <w:szCs w:val="16"/>
              </w:rPr>
              <w:t xml:space="preserve"> r.</w:t>
            </w:r>
          </w:p>
        </w:tc>
      </w:tr>
      <w:tr w:rsidR="00B27C43" w:rsidRPr="00ED1A48" w14:paraId="67710566" w14:textId="77777777" w:rsidTr="00C866A1">
        <w:trPr>
          <w:tblHeader/>
        </w:trPr>
        <w:tc>
          <w:tcPr>
            <w:tcW w:w="470" w:type="dxa"/>
            <w:tcBorders>
              <w:top w:val="single" w:sz="4" w:space="0" w:color="auto"/>
              <w:left w:val="single" w:sz="4" w:space="0" w:color="auto"/>
              <w:bottom w:val="single" w:sz="4" w:space="0" w:color="auto"/>
              <w:right w:val="single" w:sz="4" w:space="0" w:color="auto"/>
            </w:tcBorders>
            <w:shd w:val="clear" w:color="auto" w:fill="E2EFD9"/>
            <w:vAlign w:val="center"/>
          </w:tcPr>
          <w:p w14:paraId="04FF85F3" w14:textId="77777777" w:rsidR="00B27C43" w:rsidRPr="00ED1A48" w:rsidRDefault="00B27C43" w:rsidP="00C866A1">
            <w:pPr>
              <w:jc w:val="center"/>
              <w:rPr>
                <w:rFonts w:cs="Arial"/>
                <w:b/>
                <w:color w:val="000000"/>
                <w:sz w:val="16"/>
                <w:szCs w:val="16"/>
              </w:rPr>
            </w:pPr>
            <w:r w:rsidRPr="00ED1A48">
              <w:rPr>
                <w:rFonts w:cs="Arial"/>
                <w:b/>
                <w:color w:val="000000"/>
                <w:sz w:val="16"/>
                <w:szCs w:val="16"/>
              </w:rPr>
              <w:t>Lp.</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tcPr>
          <w:p w14:paraId="59C26696" w14:textId="77777777" w:rsidR="00B27C43" w:rsidRPr="00ED1A48" w:rsidRDefault="00B27C43" w:rsidP="00C866A1">
            <w:pPr>
              <w:jc w:val="center"/>
              <w:rPr>
                <w:rFonts w:cs="Arial"/>
                <w:b/>
                <w:color w:val="000000"/>
                <w:sz w:val="16"/>
                <w:szCs w:val="16"/>
              </w:rPr>
            </w:pPr>
            <w:r w:rsidRPr="00ED1A48">
              <w:rPr>
                <w:rFonts w:cs="Arial"/>
                <w:b/>
                <w:color w:val="000000"/>
                <w:sz w:val="16"/>
                <w:szCs w:val="16"/>
              </w:rPr>
              <w:t xml:space="preserve">Aspekt zielony </w:t>
            </w:r>
          </w:p>
        </w:tc>
        <w:tc>
          <w:tcPr>
            <w:tcW w:w="1701" w:type="dxa"/>
            <w:tcBorders>
              <w:top w:val="single" w:sz="4" w:space="0" w:color="auto"/>
              <w:left w:val="single" w:sz="4" w:space="0" w:color="auto"/>
              <w:bottom w:val="single" w:sz="4" w:space="0" w:color="auto"/>
              <w:right w:val="single" w:sz="4" w:space="0" w:color="auto"/>
            </w:tcBorders>
            <w:shd w:val="clear" w:color="auto" w:fill="E2EFD9"/>
            <w:vAlign w:val="center"/>
          </w:tcPr>
          <w:p w14:paraId="11E661E3"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Liczba zamówień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4E45E953"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E2EFD9"/>
            <w:vAlign w:val="center"/>
          </w:tcPr>
          <w:p w14:paraId="6B150744"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E2EFD9"/>
            <w:vAlign w:val="center"/>
          </w:tcPr>
          <w:p w14:paraId="20C4AE0C"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E2EFD9"/>
          </w:tcPr>
          <w:p w14:paraId="3455BD07"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301" w:type="dxa"/>
            <w:tcBorders>
              <w:top w:val="single" w:sz="4" w:space="0" w:color="auto"/>
              <w:left w:val="single" w:sz="4" w:space="0" w:color="auto"/>
              <w:bottom w:val="single" w:sz="4" w:space="0" w:color="auto"/>
              <w:right w:val="single" w:sz="4" w:space="0" w:color="auto"/>
            </w:tcBorders>
            <w:shd w:val="clear" w:color="auto" w:fill="E2EFD9"/>
          </w:tcPr>
          <w:p w14:paraId="584197FF"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Wartość zamówień z zastosowaniem danego aspektu</w:t>
            </w:r>
          </w:p>
        </w:tc>
      </w:tr>
      <w:tr w:rsidR="00A858BA" w:rsidRPr="00ED1A48" w14:paraId="61485BC5" w14:textId="77777777" w:rsidTr="00727D57">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36235DB" w14:textId="63AC1D4A" w:rsidR="00A858BA" w:rsidRPr="00ED1A48" w:rsidRDefault="00A858BA" w:rsidP="00A858BA">
            <w:pPr>
              <w:jc w:val="center"/>
              <w:rPr>
                <w:rFonts w:cs="Arial"/>
                <w:color w:val="000000"/>
                <w:sz w:val="16"/>
                <w:szCs w:val="16"/>
              </w:rPr>
            </w:pPr>
            <w:r>
              <w:rPr>
                <w:rFonts w:cs="Arial"/>
                <w:color w:val="000000"/>
                <w:sz w:val="16"/>
                <w:szCs w:val="16"/>
              </w:rPr>
              <w:t>1.</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tcPr>
          <w:p w14:paraId="09B8E68F" w14:textId="77777777" w:rsidR="00A858BA" w:rsidRPr="009B49EA" w:rsidRDefault="00A858BA" w:rsidP="00A858BA">
            <w:pPr>
              <w:jc w:val="left"/>
              <w:rPr>
                <w:rFonts w:cs="Arial"/>
                <w:b/>
                <w:color w:val="000000"/>
                <w:sz w:val="16"/>
                <w:szCs w:val="16"/>
              </w:rPr>
            </w:pPr>
            <w:r w:rsidRPr="009B49EA">
              <w:rPr>
                <w:b/>
                <w:sz w:val="16"/>
                <w:szCs w:val="16"/>
              </w:rPr>
              <w:t>Określenie w opisie przedmiotu zamówienia wymagań środowiskowych</w:t>
            </w:r>
          </w:p>
        </w:tc>
        <w:tc>
          <w:tcPr>
            <w:tcW w:w="1701" w:type="dxa"/>
            <w:tcBorders>
              <w:top w:val="single" w:sz="4" w:space="0" w:color="auto"/>
              <w:left w:val="single" w:sz="4" w:space="0" w:color="auto"/>
              <w:bottom w:val="single" w:sz="4" w:space="0" w:color="auto"/>
              <w:right w:val="single" w:sz="4" w:space="0" w:color="auto"/>
            </w:tcBorders>
            <w:vAlign w:val="center"/>
          </w:tcPr>
          <w:p w14:paraId="1571A0D1" w14:textId="6B52A0D4" w:rsidR="00A858BA" w:rsidRPr="00BD1978" w:rsidRDefault="00A858BA" w:rsidP="00A858BA">
            <w:pPr>
              <w:jc w:val="center"/>
              <w:rPr>
                <w:rFonts w:cs="Arial"/>
                <w:color w:val="000000"/>
                <w:sz w:val="18"/>
                <w:szCs w:val="18"/>
              </w:rPr>
            </w:pPr>
            <w:r w:rsidRPr="00BD1978">
              <w:rPr>
                <w:rFonts w:cs="Arial"/>
                <w:sz w:val="18"/>
                <w:szCs w:val="18"/>
              </w:rPr>
              <w:t>1 380</w:t>
            </w:r>
          </w:p>
        </w:tc>
        <w:tc>
          <w:tcPr>
            <w:tcW w:w="1843" w:type="dxa"/>
            <w:tcBorders>
              <w:top w:val="single" w:sz="4" w:space="0" w:color="auto"/>
              <w:left w:val="single" w:sz="4" w:space="0" w:color="auto"/>
              <w:bottom w:val="single" w:sz="4" w:space="0" w:color="auto"/>
              <w:right w:val="single" w:sz="4" w:space="0" w:color="auto"/>
            </w:tcBorders>
            <w:vAlign w:val="center"/>
          </w:tcPr>
          <w:p w14:paraId="4333337D" w14:textId="5BF0CA2B" w:rsidR="00A858BA" w:rsidRPr="00BD1978" w:rsidRDefault="00A858BA" w:rsidP="00A858BA">
            <w:pPr>
              <w:jc w:val="center"/>
              <w:rPr>
                <w:rFonts w:cs="Arial"/>
                <w:color w:val="000000"/>
                <w:sz w:val="18"/>
                <w:szCs w:val="18"/>
              </w:rPr>
            </w:pPr>
            <w:r w:rsidRPr="00BD1978">
              <w:rPr>
                <w:rFonts w:cs="Arial"/>
                <w:sz w:val="18"/>
                <w:szCs w:val="18"/>
              </w:rPr>
              <w:t>4 652 452 413,07 zł</w:t>
            </w:r>
          </w:p>
        </w:tc>
        <w:tc>
          <w:tcPr>
            <w:tcW w:w="1701" w:type="dxa"/>
            <w:tcBorders>
              <w:top w:val="single" w:sz="4" w:space="0" w:color="auto"/>
              <w:left w:val="single" w:sz="4" w:space="0" w:color="auto"/>
              <w:bottom w:val="single" w:sz="4" w:space="0" w:color="auto"/>
              <w:right w:val="single" w:sz="4" w:space="0" w:color="auto"/>
            </w:tcBorders>
            <w:vAlign w:val="center"/>
          </w:tcPr>
          <w:p w14:paraId="1E4B19C7" w14:textId="3F88B5DA" w:rsidR="00A858BA" w:rsidRPr="00BD1978" w:rsidRDefault="00A858BA" w:rsidP="00A858BA">
            <w:pPr>
              <w:jc w:val="center"/>
              <w:rPr>
                <w:rFonts w:cs="Arial"/>
                <w:color w:val="000000"/>
                <w:sz w:val="18"/>
                <w:szCs w:val="18"/>
              </w:rPr>
            </w:pPr>
            <w:r w:rsidRPr="00C21496">
              <w:rPr>
                <w:rFonts w:cs="Arial"/>
                <w:sz w:val="18"/>
                <w:szCs w:val="18"/>
              </w:rPr>
              <w:t>1</w:t>
            </w:r>
            <w:r>
              <w:rPr>
                <w:rFonts w:cs="Arial"/>
                <w:sz w:val="18"/>
                <w:szCs w:val="18"/>
              </w:rPr>
              <w:t xml:space="preserve"> </w:t>
            </w:r>
            <w:r w:rsidRPr="00C21496">
              <w:rPr>
                <w:rFonts w:cs="Arial"/>
                <w:sz w:val="18"/>
                <w:szCs w:val="18"/>
              </w:rPr>
              <w:t>726</w:t>
            </w:r>
          </w:p>
        </w:tc>
        <w:tc>
          <w:tcPr>
            <w:tcW w:w="2126" w:type="dxa"/>
            <w:tcBorders>
              <w:top w:val="single" w:sz="4" w:space="0" w:color="auto"/>
              <w:left w:val="single" w:sz="4" w:space="0" w:color="auto"/>
              <w:bottom w:val="single" w:sz="4" w:space="0" w:color="auto"/>
              <w:right w:val="single" w:sz="4" w:space="0" w:color="auto"/>
            </w:tcBorders>
            <w:vAlign w:val="center"/>
          </w:tcPr>
          <w:p w14:paraId="4228B931" w14:textId="7AB54B0D" w:rsidR="00A858BA" w:rsidRPr="00BD1978" w:rsidRDefault="00A858BA" w:rsidP="00A858BA">
            <w:pPr>
              <w:jc w:val="center"/>
              <w:rPr>
                <w:rFonts w:cs="Arial"/>
                <w:sz w:val="18"/>
                <w:szCs w:val="18"/>
              </w:rPr>
            </w:pPr>
            <w:r w:rsidRPr="00C21496">
              <w:rPr>
                <w:rFonts w:cs="Arial"/>
                <w:sz w:val="18"/>
                <w:szCs w:val="18"/>
              </w:rPr>
              <w:t>12 756 125 527,69 zł</w:t>
            </w:r>
          </w:p>
        </w:tc>
        <w:tc>
          <w:tcPr>
            <w:tcW w:w="1701" w:type="dxa"/>
            <w:tcBorders>
              <w:top w:val="single" w:sz="4" w:space="0" w:color="auto"/>
              <w:left w:val="single" w:sz="4" w:space="0" w:color="auto"/>
              <w:bottom w:val="single" w:sz="4" w:space="0" w:color="auto"/>
              <w:right w:val="single" w:sz="4" w:space="0" w:color="auto"/>
            </w:tcBorders>
            <w:vAlign w:val="center"/>
          </w:tcPr>
          <w:p w14:paraId="2F5554BC" w14:textId="6142BE59" w:rsidR="00A858BA" w:rsidRPr="00705F7B" w:rsidRDefault="00A858BA" w:rsidP="00A858BA">
            <w:pPr>
              <w:jc w:val="center"/>
              <w:rPr>
                <w:rFonts w:cs="Arial"/>
                <w:color w:val="000000"/>
                <w:sz w:val="18"/>
                <w:szCs w:val="18"/>
              </w:rPr>
            </w:pPr>
            <w:r w:rsidRPr="00705F7B">
              <w:rPr>
                <w:rFonts w:cs="Arial"/>
                <w:sz w:val="18"/>
                <w:szCs w:val="18"/>
              </w:rPr>
              <w:t>2 326</w:t>
            </w:r>
          </w:p>
        </w:tc>
        <w:tc>
          <w:tcPr>
            <w:tcW w:w="2301" w:type="dxa"/>
            <w:tcBorders>
              <w:top w:val="single" w:sz="4" w:space="0" w:color="auto"/>
              <w:left w:val="single" w:sz="4" w:space="0" w:color="auto"/>
              <w:bottom w:val="single" w:sz="4" w:space="0" w:color="auto"/>
              <w:right w:val="single" w:sz="4" w:space="0" w:color="auto"/>
            </w:tcBorders>
            <w:vAlign w:val="center"/>
          </w:tcPr>
          <w:p w14:paraId="77A07228" w14:textId="6109B1B0" w:rsidR="00A858BA" w:rsidRPr="00705F7B" w:rsidRDefault="00A858BA" w:rsidP="00A858BA">
            <w:pPr>
              <w:jc w:val="center"/>
              <w:rPr>
                <w:rFonts w:cs="Arial"/>
                <w:color w:val="000000"/>
                <w:sz w:val="18"/>
                <w:szCs w:val="18"/>
              </w:rPr>
            </w:pPr>
            <w:r w:rsidRPr="00705F7B">
              <w:rPr>
                <w:rFonts w:cs="Arial"/>
                <w:color w:val="000000"/>
                <w:sz w:val="18"/>
                <w:szCs w:val="18"/>
              </w:rPr>
              <w:t xml:space="preserve">10 680 522 237,16 </w:t>
            </w:r>
            <w:r w:rsidRPr="00705F7B">
              <w:rPr>
                <w:rFonts w:cs="Arial"/>
                <w:sz w:val="18"/>
                <w:szCs w:val="18"/>
              </w:rPr>
              <w:t>zł</w:t>
            </w:r>
            <w:r w:rsidRPr="00705F7B">
              <w:rPr>
                <w:rFonts w:cs="Arial"/>
                <w:color w:val="000000"/>
                <w:sz w:val="18"/>
                <w:szCs w:val="18"/>
              </w:rPr>
              <w:t xml:space="preserve"> </w:t>
            </w:r>
          </w:p>
        </w:tc>
      </w:tr>
      <w:tr w:rsidR="00A858BA" w:rsidRPr="00ED1A48" w14:paraId="11F9BBD7"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E2EFD9"/>
            <w:vAlign w:val="center"/>
          </w:tcPr>
          <w:p w14:paraId="75E90C3E" w14:textId="02EDE60E" w:rsidR="00A858BA" w:rsidRPr="00ED1A48" w:rsidRDefault="00A858BA" w:rsidP="00A858BA">
            <w:pPr>
              <w:jc w:val="center"/>
              <w:rPr>
                <w:rFonts w:cs="Arial"/>
                <w:color w:val="000000"/>
                <w:sz w:val="16"/>
                <w:szCs w:val="16"/>
              </w:rPr>
            </w:pPr>
            <w:r>
              <w:rPr>
                <w:rFonts w:cs="Arial"/>
                <w:color w:val="000000"/>
                <w:sz w:val="16"/>
                <w:szCs w:val="16"/>
              </w:rPr>
              <w:t>2.</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tcPr>
          <w:p w14:paraId="08879FD6" w14:textId="77777777" w:rsidR="00A858BA" w:rsidRPr="009B49EA" w:rsidRDefault="00A858BA" w:rsidP="00A858BA">
            <w:pPr>
              <w:jc w:val="left"/>
              <w:rPr>
                <w:rFonts w:cs="Arial"/>
                <w:b/>
                <w:color w:val="000000"/>
                <w:sz w:val="16"/>
                <w:szCs w:val="16"/>
              </w:rPr>
            </w:pPr>
            <w:r w:rsidRPr="009B49EA">
              <w:rPr>
                <w:b/>
                <w:sz w:val="16"/>
                <w:szCs w:val="16"/>
              </w:rPr>
              <w:t>Określenie wymagań zw. z realizacją zamówienia obejmujących aspekty środowiskowe</w:t>
            </w:r>
          </w:p>
        </w:tc>
        <w:tc>
          <w:tcPr>
            <w:tcW w:w="1701" w:type="dxa"/>
            <w:tcBorders>
              <w:top w:val="single" w:sz="4" w:space="0" w:color="auto"/>
              <w:left w:val="single" w:sz="4" w:space="0" w:color="auto"/>
              <w:bottom w:val="single" w:sz="4" w:space="0" w:color="auto"/>
              <w:right w:val="single" w:sz="4" w:space="0" w:color="auto"/>
            </w:tcBorders>
            <w:vAlign w:val="center"/>
          </w:tcPr>
          <w:p w14:paraId="560B8B37" w14:textId="180D3048" w:rsidR="00A858BA" w:rsidRPr="00BD1978" w:rsidRDefault="00A858BA" w:rsidP="00A858BA">
            <w:pPr>
              <w:jc w:val="center"/>
              <w:rPr>
                <w:rFonts w:cs="Arial"/>
                <w:color w:val="000000"/>
                <w:sz w:val="18"/>
                <w:szCs w:val="18"/>
              </w:rPr>
            </w:pPr>
            <w:r w:rsidRPr="00BD1978">
              <w:rPr>
                <w:rFonts w:cs="Arial"/>
                <w:sz w:val="18"/>
                <w:szCs w:val="18"/>
              </w:rPr>
              <w:t>2 370</w:t>
            </w:r>
          </w:p>
        </w:tc>
        <w:tc>
          <w:tcPr>
            <w:tcW w:w="1843" w:type="dxa"/>
            <w:tcBorders>
              <w:top w:val="single" w:sz="4" w:space="0" w:color="auto"/>
              <w:left w:val="single" w:sz="4" w:space="0" w:color="auto"/>
              <w:bottom w:val="single" w:sz="4" w:space="0" w:color="auto"/>
              <w:right w:val="single" w:sz="4" w:space="0" w:color="auto"/>
            </w:tcBorders>
            <w:vAlign w:val="center"/>
          </w:tcPr>
          <w:p w14:paraId="13E898D8" w14:textId="4D01E5B0" w:rsidR="00A858BA" w:rsidRPr="00BD1978" w:rsidRDefault="00A858BA" w:rsidP="00A858BA">
            <w:pPr>
              <w:jc w:val="center"/>
              <w:rPr>
                <w:rFonts w:cs="Arial"/>
                <w:color w:val="000000"/>
                <w:sz w:val="18"/>
                <w:szCs w:val="18"/>
              </w:rPr>
            </w:pPr>
            <w:r w:rsidRPr="00BD1978">
              <w:rPr>
                <w:rFonts w:cs="Arial"/>
                <w:sz w:val="18"/>
                <w:szCs w:val="18"/>
              </w:rPr>
              <w:t>5 887 462 841,01 zł</w:t>
            </w:r>
          </w:p>
        </w:tc>
        <w:tc>
          <w:tcPr>
            <w:tcW w:w="1701" w:type="dxa"/>
            <w:tcBorders>
              <w:top w:val="single" w:sz="4" w:space="0" w:color="auto"/>
              <w:left w:val="single" w:sz="4" w:space="0" w:color="auto"/>
              <w:bottom w:val="single" w:sz="4" w:space="0" w:color="auto"/>
              <w:right w:val="single" w:sz="4" w:space="0" w:color="auto"/>
            </w:tcBorders>
            <w:vAlign w:val="center"/>
          </w:tcPr>
          <w:p w14:paraId="5D3C6478" w14:textId="5CD57F3B" w:rsidR="00A858BA" w:rsidRPr="00BD1978" w:rsidRDefault="00A858BA" w:rsidP="00A858BA">
            <w:pPr>
              <w:jc w:val="center"/>
              <w:rPr>
                <w:rFonts w:cs="Arial"/>
                <w:color w:val="000000"/>
                <w:sz w:val="18"/>
                <w:szCs w:val="18"/>
              </w:rPr>
            </w:pPr>
            <w:r w:rsidRPr="00C21496">
              <w:rPr>
                <w:rFonts w:cs="Arial"/>
                <w:sz w:val="18"/>
                <w:szCs w:val="18"/>
              </w:rPr>
              <w:t>2</w:t>
            </w:r>
            <w:r>
              <w:rPr>
                <w:rFonts w:cs="Arial"/>
                <w:sz w:val="18"/>
                <w:szCs w:val="18"/>
              </w:rPr>
              <w:t xml:space="preserve"> </w:t>
            </w:r>
            <w:r w:rsidRPr="00C21496">
              <w:rPr>
                <w:rFonts w:cs="Arial"/>
                <w:sz w:val="18"/>
                <w:szCs w:val="18"/>
              </w:rPr>
              <w:t>471</w:t>
            </w:r>
          </w:p>
        </w:tc>
        <w:tc>
          <w:tcPr>
            <w:tcW w:w="2126" w:type="dxa"/>
            <w:tcBorders>
              <w:top w:val="single" w:sz="4" w:space="0" w:color="auto"/>
              <w:left w:val="single" w:sz="4" w:space="0" w:color="auto"/>
              <w:bottom w:val="single" w:sz="4" w:space="0" w:color="auto"/>
              <w:right w:val="single" w:sz="4" w:space="0" w:color="auto"/>
            </w:tcBorders>
            <w:vAlign w:val="center"/>
          </w:tcPr>
          <w:p w14:paraId="70E72CCD" w14:textId="057EE2AA" w:rsidR="00A858BA" w:rsidRPr="00BD1978" w:rsidRDefault="00A858BA" w:rsidP="00A858BA">
            <w:pPr>
              <w:jc w:val="center"/>
              <w:rPr>
                <w:rFonts w:cs="Arial"/>
                <w:sz w:val="18"/>
                <w:szCs w:val="18"/>
              </w:rPr>
            </w:pPr>
            <w:r w:rsidRPr="00C21496">
              <w:rPr>
                <w:rFonts w:cs="Arial"/>
                <w:sz w:val="18"/>
                <w:szCs w:val="18"/>
              </w:rPr>
              <w:t>19 107 990 143,58 zł</w:t>
            </w:r>
          </w:p>
        </w:tc>
        <w:tc>
          <w:tcPr>
            <w:tcW w:w="1701" w:type="dxa"/>
            <w:tcBorders>
              <w:top w:val="single" w:sz="4" w:space="0" w:color="auto"/>
              <w:left w:val="single" w:sz="4" w:space="0" w:color="auto"/>
              <w:bottom w:val="single" w:sz="4" w:space="0" w:color="auto"/>
              <w:right w:val="single" w:sz="4" w:space="0" w:color="auto"/>
            </w:tcBorders>
            <w:vAlign w:val="center"/>
          </w:tcPr>
          <w:p w14:paraId="6FAEB32C" w14:textId="73ED3C84" w:rsidR="00A858BA" w:rsidRPr="00705F7B" w:rsidRDefault="00A858BA" w:rsidP="00A858BA">
            <w:pPr>
              <w:jc w:val="center"/>
              <w:rPr>
                <w:rFonts w:cs="Arial"/>
                <w:color w:val="000000"/>
                <w:sz w:val="18"/>
                <w:szCs w:val="18"/>
              </w:rPr>
            </w:pPr>
            <w:r w:rsidRPr="00705F7B">
              <w:rPr>
                <w:rFonts w:cs="Arial"/>
                <w:color w:val="000000"/>
                <w:sz w:val="18"/>
                <w:szCs w:val="18"/>
              </w:rPr>
              <w:t>1 610</w:t>
            </w:r>
          </w:p>
        </w:tc>
        <w:tc>
          <w:tcPr>
            <w:tcW w:w="2301" w:type="dxa"/>
            <w:tcBorders>
              <w:top w:val="single" w:sz="4" w:space="0" w:color="auto"/>
              <w:left w:val="single" w:sz="4" w:space="0" w:color="auto"/>
              <w:bottom w:val="single" w:sz="4" w:space="0" w:color="auto"/>
              <w:right w:val="single" w:sz="4" w:space="0" w:color="auto"/>
            </w:tcBorders>
            <w:vAlign w:val="center"/>
          </w:tcPr>
          <w:p w14:paraId="1C1CA52F" w14:textId="369E7EA0" w:rsidR="00A858BA" w:rsidRPr="00705F7B" w:rsidRDefault="00A858BA" w:rsidP="00A858BA">
            <w:pPr>
              <w:jc w:val="center"/>
              <w:rPr>
                <w:rFonts w:cs="Arial"/>
                <w:color w:val="000000"/>
                <w:sz w:val="18"/>
                <w:szCs w:val="18"/>
              </w:rPr>
            </w:pPr>
            <w:r w:rsidRPr="00705F7B">
              <w:rPr>
                <w:rFonts w:cs="Arial"/>
                <w:color w:val="000000"/>
                <w:sz w:val="18"/>
                <w:szCs w:val="18"/>
              </w:rPr>
              <w:t>8 304 732 744,77 zł</w:t>
            </w:r>
          </w:p>
        </w:tc>
      </w:tr>
      <w:tr w:rsidR="00A858BA" w:rsidRPr="00ED1A48" w14:paraId="15943003"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6E8DD669" w14:textId="77777777" w:rsidR="00A858BA" w:rsidRPr="00ED1A48" w:rsidRDefault="00A858BA" w:rsidP="00A858BA">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2677793" w14:textId="77777777" w:rsidR="00A858BA" w:rsidRPr="009B49EA" w:rsidRDefault="00A858BA" w:rsidP="00A858BA">
            <w:pPr>
              <w:jc w:val="left"/>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701" w:type="dxa"/>
            <w:tcBorders>
              <w:top w:val="single" w:sz="4" w:space="0" w:color="auto"/>
              <w:left w:val="single" w:sz="4" w:space="0" w:color="auto"/>
              <w:bottom w:val="single" w:sz="4" w:space="0" w:color="auto"/>
              <w:right w:val="single" w:sz="4" w:space="0" w:color="auto"/>
            </w:tcBorders>
            <w:vAlign w:val="center"/>
          </w:tcPr>
          <w:p w14:paraId="66631EF0" w14:textId="6FCA3A45" w:rsidR="00A858BA" w:rsidRPr="00BD1978" w:rsidRDefault="00A858BA" w:rsidP="00A858BA">
            <w:pPr>
              <w:jc w:val="center"/>
              <w:rPr>
                <w:rFonts w:cs="Arial"/>
                <w:color w:val="000000"/>
                <w:sz w:val="18"/>
                <w:szCs w:val="18"/>
              </w:rPr>
            </w:pPr>
            <w:r w:rsidRPr="00BD1978">
              <w:rPr>
                <w:rFonts w:cs="Arial"/>
                <w:sz w:val="18"/>
                <w:szCs w:val="18"/>
              </w:rPr>
              <w:t>764</w:t>
            </w:r>
          </w:p>
        </w:tc>
        <w:tc>
          <w:tcPr>
            <w:tcW w:w="1843" w:type="dxa"/>
            <w:tcBorders>
              <w:top w:val="single" w:sz="4" w:space="0" w:color="auto"/>
              <w:left w:val="single" w:sz="4" w:space="0" w:color="auto"/>
              <w:bottom w:val="single" w:sz="4" w:space="0" w:color="auto"/>
              <w:right w:val="single" w:sz="4" w:space="0" w:color="auto"/>
            </w:tcBorders>
            <w:vAlign w:val="center"/>
          </w:tcPr>
          <w:p w14:paraId="03A6C38B" w14:textId="3C2A50D8" w:rsidR="00A858BA" w:rsidRPr="00BD1978" w:rsidRDefault="00A858BA" w:rsidP="00A858BA">
            <w:pPr>
              <w:jc w:val="center"/>
              <w:rPr>
                <w:rFonts w:cs="Arial"/>
                <w:color w:val="000000"/>
                <w:sz w:val="18"/>
                <w:szCs w:val="18"/>
              </w:rPr>
            </w:pPr>
            <w:r w:rsidRPr="00BD1978">
              <w:rPr>
                <w:rFonts w:cs="Arial"/>
                <w:sz w:val="18"/>
                <w:szCs w:val="18"/>
              </w:rPr>
              <w:t>4 043 989 897,78 zł</w:t>
            </w:r>
          </w:p>
        </w:tc>
        <w:tc>
          <w:tcPr>
            <w:tcW w:w="1701" w:type="dxa"/>
            <w:tcBorders>
              <w:top w:val="single" w:sz="4" w:space="0" w:color="auto"/>
              <w:left w:val="single" w:sz="4" w:space="0" w:color="auto"/>
              <w:bottom w:val="single" w:sz="4" w:space="0" w:color="auto"/>
              <w:right w:val="single" w:sz="4" w:space="0" w:color="auto"/>
            </w:tcBorders>
            <w:vAlign w:val="center"/>
          </w:tcPr>
          <w:p w14:paraId="2FA8639E" w14:textId="3E6C37F9" w:rsidR="00A858BA" w:rsidRPr="00BD1978" w:rsidRDefault="00A858BA" w:rsidP="00A858BA">
            <w:pPr>
              <w:jc w:val="center"/>
              <w:rPr>
                <w:rFonts w:cs="Arial"/>
                <w:color w:val="000000"/>
                <w:sz w:val="18"/>
                <w:szCs w:val="18"/>
              </w:rPr>
            </w:pPr>
            <w:r w:rsidRPr="00C21496">
              <w:rPr>
                <w:rFonts w:cs="Arial"/>
                <w:sz w:val="18"/>
                <w:szCs w:val="18"/>
              </w:rPr>
              <w:t>731</w:t>
            </w:r>
          </w:p>
        </w:tc>
        <w:tc>
          <w:tcPr>
            <w:tcW w:w="2126" w:type="dxa"/>
            <w:tcBorders>
              <w:top w:val="single" w:sz="4" w:space="0" w:color="auto"/>
              <w:left w:val="single" w:sz="4" w:space="0" w:color="auto"/>
              <w:bottom w:val="single" w:sz="4" w:space="0" w:color="auto"/>
              <w:right w:val="single" w:sz="4" w:space="0" w:color="auto"/>
            </w:tcBorders>
            <w:vAlign w:val="center"/>
          </w:tcPr>
          <w:p w14:paraId="6A02801C" w14:textId="58AC2C90" w:rsidR="00A858BA" w:rsidRPr="00BD1978" w:rsidRDefault="00A858BA" w:rsidP="00A858BA">
            <w:pPr>
              <w:jc w:val="center"/>
              <w:rPr>
                <w:rFonts w:cs="Arial"/>
                <w:color w:val="000000"/>
                <w:sz w:val="18"/>
                <w:szCs w:val="18"/>
              </w:rPr>
            </w:pPr>
            <w:r w:rsidRPr="00C21496">
              <w:rPr>
                <w:rFonts w:cs="Arial"/>
                <w:sz w:val="18"/>
                <w:szCs w:val="18"/>
              </w:rPr>
              <w:t>8 589 904 188,06 zł</w:t>
            </w:r>
          </w:p>
        </w:tc>
        <w:tc>
          <w:tcPr>
            <w:tcW w:w="1701" w:type="dxa"/>
            <w:tcBorders>
              <w:top w:val="single" w:sz="4" w:space="0" w:color="auto"/>
              <w:left w:val="single" w:sz="4" w:space="0" w:color="auto"/>
              <w:bottom w:val="single" w:sz="4" w:space="0" w:color="auto"/>
              <w:right w:val="single" w:sz="4" w:space="0" w:color="auto"/>
            </w:tcBorders>
            <w:vAlign w:val="center"/>
          </w:tcPr>
          <w:p w14:paraId="7CF99898" w14:textId="796C80B6" w:rsidR="00A858BA" w:rsidRPr="00705F7B" w:rsidRDefault="00A858BA" w:rsidP="00A858BA">
            <w:pPr>
              <w:jc w:val="center"/>
              <w:rPr>
                <w:rFonts w:cs="Arial"/>
                <w:color w:val="000000"/>
                <w:sz w:val="18"/>
                <w:szCs w:val="18"/>
              </w:rPr>
            </w:pPr>
            <w:r w:rsidRPr="00705F7B">
              <w:rPr>
                <w:rFonts w:cs="Arial"/>
                <w:color w:val="000000"/>
                <w:sz w:val="18"/>
                <w:szCs w:val="18"/>
              </w:rPr>
              <w:t>958</w:t>
            </w:r>
          </w:p>
        </w:tc>
        <w:tc>
          <w:tcPr>
            <w:tcW w:w="2301" w:type="dxa"/>
            <w:tcBorders>
              <w:top w:val="single" w:sz="4" w:space="0" w:color="auto"/>
              <w:left w:val="single" w:sz="4" w:space="0" w:color="auto"/>
              <w:bottom w:val="single" w:sz="4" w:space="0" w:color="auto"/>
              <w:right w:val="single" w:sz="4" w:space="0" w:color="auto"/>
            </w:tcBorders>
            <w:vAlign w:val="center"/>
          </w:tcPr>
          <w:p w14:paraId="0E600B0A" w14:textId="5292B5FC" w:rsidR="00A858BA" w:rsidRPr="00705F7B" w:rsidRDefault="00A858BA" w:rsidP="00A858BA">
            <w:pPr>
              <w:jc w:val="center"/>
              <w:rPr>
                <w:rFonts w:cs="Arial"/>
                <w:color w:val="000000"/>
                <w:sz w:val="18"/>
                <w:szCs w:val="18"/>
              </w:rPr>
            </w:pPr>
            <w:r w:rsidRPr="00705F7B">
              <w:rPr>
                <w:rFonts w:cs="Arial"/>
                <w:color w:val="000000"/>
                <w:sz w:val="18"/>
                <w:szCs w:val="18"/>
              </w:rPr>
              <w:t xml:space="preserve">5 690 400 433,80 </w:t>
            </w:r>
            <w:r w:rsidRPr="00705F7B">
              <w:rPr>
                <w:rFonts w:cs="Arial"/>
                <w:sz w:val="18"/>
                <w:szCs w:val="18"/>
              </w:rPr>
              <w:t>zł</w:t>
            </w:r>
          </w:p>
        </w:tc>
      </w:tr>
      <w:tr w:rsidR="00A858BA" w:rsidRPr="00ED1A48" w14:paraId="3C79CF31"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102B176" w14:textId="77777777" w:rsidR="00A858BA" w:rsidRPr="00ED1A48" w:rsidRDefault="00A858BA" w:rsidP="00A858BA">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F5EFBEC" w14:textId="77777777" w:rsidR="00A858BA" w:rsidRPr="007B7671" w:rsidRDefault="00A858BA" w:rsidP="00A858BA">
            <w:pPr>
              <w:jc w:val="left"/>
              <w:rPr>
                <w:rFonts w:cs="Arial"/>
                <w:b/>
                <w:color w:val="000000"/>
                <w:sz w:val="16"/>
                <w:szCs w:val="16"/>
                <w:highlight w:val="yellow"/>
              </w:rPr>
            </w:pPr>
            <w:r w:rsidRPr="007B7671">
              <w:rPr>
                <w:b/>
                <w:sz w:val="16"/>
                <w:szCs w:val="16"/>
              </w:rPr>
              <w:t>Określenie etykiety związanej z aspektami środowiskowymi</w:t>
            </w:r>
          </w:p>
        </w:tc>
        <w:tc>
          <w:tcPr>
            <w:tcW w:w="1701" w:type="dxa"/>
            <w:tcBorders>
              <w:top w:val="single" w:sz="4" w:space="0" w:color="auto"/>
              <w:left w:val="single" w:sz="4" w:space="0" w:color="auto"/>
              <w:bottom w:val="single" w:sz="4" w:space="0" w:color="auto"/>
              <w:right w:val="single" w:sz="4" w:space="0" w:color="auto"/>
            </w:tcBorders>
            <w:vAlign w:val="center"/>
          </w:tcPr>
          <w:p w14:paraId="49F3508B" w14:textId="603679BC" w:rsidR="00A858BA" w:rsidRPr="00BD1978" w:rsidRDefault="00A858BA" w:rsidP="00A858BA">
            <w:pPr>
              <w:jc w:val="center"/>
              <w:rPr>
                <w:rFonts w:cs="Arial"/>
                <w:color w:val="000000"/>
                <w:sz w:val="18"/>
                <w:szCs w:val="18"/>
                <w:highlight w:val="yellow"/>
              </w:rPr>
            </w:pPr>
            <w:r w:rsidRPr="00BD1978">
              <w:rPr>
                <w:rFonts w:cs="Arial"/>
                <w:sz w:val="18"/>
                <w:szCs w:val="18"/>
              </w:rPr>
              <w:t>184</w:t>
            </w:r>
          </w:p>
        </w:tc>
        <w:tc>
          <w:tcPr>
            <w:tcW w:w="1843" w:type="dxa"/>
            <w:tcBorders>
              <w:top w:val="single" w:sz="4" w:space="0" w:color="auto"/>
              <w:left w:val="single" w:sz="4" w:space="0" w:color="auto"/>
              <w:bottom w:val="single" w:sz="4" w:space="0" w:color="auto"/>
              <w:right w:val="single" w:sz="4" w:space="0" w:color="auto"/>
            </w:tcBorders>
            <w:vAlign w:val="center"/>
          </w:tcPr>
          <w:p w14:paraId="1665CD19" w14:textId="24E910F1" w:rsidR="00A858BA" w:rsidRPr="00BD1978" w:rsidRDefault="00A858BA" w:rsidP="00A858BA">
            <w:pPr>
              <w:jc w:val="center"/>
              <w:rPr>
                <w:sz w:val="18"/>
                <w:szCs w:val="18"/>
              </w:rPr>
            </w:pPr>
            <w:r w:rsidRPr="00BD1978">
              <w:rPr>
                <w:rFonts w:cs="Arial"/>
                <w:sz w:val="18"/>
                <w:szCs w:val="18"/>
              </w:rPr>
              <w:t>288 005 285,38 zł</w:t>
            </w:r>
          </w:p>
        </w:tc>
        <w:tc>
          <w:tcPr>
            <w:tcW w:w="1701" w:type="dxa"/>
            <w:tcBorders>
              <w:top w:val="single" w:sz="4" w:space="0" w:color="auto"/>
              <w:left w:val="single" w:sz="4" w:space="0" w:color="auto"/>
              <w:bottom w:val="single" w:sz="4" w:space="0" w:color="auto"/>
              <w:right w:val="single" w:sz="4" w:space="0" w:color="auto"/>
            </w:tcBorders>
            <w:vAlign w:val="center"/>
          </w:tcPr>
          <w:p w14:paraId="5A7A016F" w14:textId="1C3BB9C1" w:rsidR="00A858BA" w:rsidRPr="00BD1978" w:rsidRDefault="00A858BA" w:rsidP="00A858BA">
            <w:pPr>
              <w:jc w:val="center"/>
              <w:rPr>
                <w:rFonts w:cs="Arial"/>
                <w:color w:val="000000"/>
                <w:sz w:val="18"/>
                <w:szCs w:val="18"/>
                <w:highlight w:val="yellow"/>
              </w:rPr>
            </w:pPr>
            <w:r w:rsidRPr="00C21496">
              <w:rPr>
                <w:rFonts w:cs="Arial"/>
                <w:sz w:val="18"/>
                <w:szCs w:val="18"/>
              </w:rPr>
              <w:t>226</w:t>
            </w:r>
          </w:p>
        </w:tc>
        <w:tc>
          <w:tcPr>
            <w:tcW w:w="2126" w:type="dxa"/>
            <w:tcBorders>
              <w:top w:val="single" w:sz="4" w:space="0" w:color="auto"/>
              <w:left w:val="single" w:sz="4" w:space="0" w:color="auto"/>
              <w:bottom w:val="single" w:sz="4" w:space="0" w:color="auto"/>
              <w:right w:val="single" w:sz="4" w:space="0" w:color="auto"/>
            </w:tcBorders>
            <w:vAlign w:val="center"/>
          </w:tcPr>
          <w:p w14:paraId="1595F8DC" w14:textId="3A51F08A" w:rsidR="00A858BA" w:rsidRPr="00BD1978" w:rsidRDefault="00A858BA" w:rsidP="00A858BA">
            <w:pPr>
              <w:jc w:val="center"/>
              <w:rPr>
                <w:rFonts w:cs="Arial"/>
                <w:sz w:val="18"/>
                <w:szCs w:val="18"/>
              </w:rPr>
            </w:pPr>
            <w:r w:rsidRPr="00C21496">
              <w:rPr>
                <w:rFonts w:cs="Arial"/>
                <w:sz w:val="18"/>
                <w:szCs w:val="18"/>
              </w:rPr>
              <w:t>333 192 019,57 zł</w:t>
            </w:r>
          </w:p>
        </w:tc>
        <w:tc>
          <w:tcPr>
            <w:tcW w:w="1701" w:type="dxa"/>
            <w:tcBorders>
              <w:top w:val="single" w:sz="4" w:space="0" w:color="auto"/>
              <w:left w:val="single" w:sz="4" w:space="0" w:color="auto"/>
              <w:bottom w:val="single" w:sz="4" w:space="0" w:color="auto"/>
              <w:right w:val="single" w:sz="4" w:space="0" w:color="auto"/>
            </w:tcBorders>
            <w:vAlign w:val="center"/>
          </w:tcPr>
          <w:p w14:paraId="3578DB3A" w14:textId="615C65BA" w:rsidR="00A858BA" w:rsidRPr="00705F7B" w:rsidRDefault="00A858BA" w:rsidP="00A858BA">
            <w:pPr>
              <w:jc w:val="center"/>
              <w:rPr>
                <w:rFonts w:cs="Arial"/>
                <w:color w:val="000000"/>
                <w:sz w:val="18"/>
                <w:szCs w:val="18"/>
              </w:rPr>
            </w:pPr>
            <w:r w:rsidRPr="00705F7B">
              <w:rPr>
                <w:rFonts w:cs="Arial"/>
                <w:sz w:val="18"/>
                <w:szCs w:val="18"/>
              </w:rPr>
              <w:t>306</w:t>
            </w:r>
          </w:p>
        </w:tc>
        <w:tc>
          <w:tcPr>
            <w:tcW w:w="2301" w:type="dxa"/>
            <w:tcBorders>
              <w:top w:val="single" w:sz="4" w:space="0" w:color="auto"/>
              <w:left w:val="single" w:sz="4" w:space="0" w:color="auto"/>
              <w:bottom w:val="single" w:sz="4" w:space="0" w:color="auto"/>
              <w:right w:val="single" w:sz="4" w:space="0" w:color="auto"/>
            </w:tcBorders>
            <w:vAlign w:val="center"/>
          </w:tcPr>
          <w:p w14:paraId="787F0899" w14:textId="30B780F7" w:rsidR="00A858BA" w:rsidRPr="00705F7B" w:rsidRDefault="00A858BA" w:rsidP="00A858BA">
            <w:pPr>
              <w:jc w:val="center"/>
              <w:rPr>
                <w:rFonts w:cs="Arial"/>
                <w:color w:val="000000"/>
                <w:sz w:val="18"/>
                <w:szCs w:val="18"/>
              </w:rPr>
            </w:pPr>
            <w:r w:rsidRPr="00705F7B">
              <w:rPr>
                <w:rFonts w:cs="Arial"/>
                <w:color w:val="000000"/>
                <w:sz w:val="18"/>
                <w:szCs w:val="18"/>
              </w:rPr>
              <w:t xml:space="preserve">1 063 868 875,87 </w:t>
            </w:r>
            <w:r w:rsidRPr="00705F7B">
              <w:rPr>
                <w:rFonts w:cs="Arial"/>
                <w:sz w:val="18"/>
                <w:szCs w:val="18"/>
              </w:rPr>
              <w:t>zł</w:t>
            </w:r>
          </w:p>
        </w:tc>
      </w:tr>
      <w:tr w:rsidR="00A858BA" w:rsidRPr="00ED1A48" w14:paraId="18BCABC9"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80E5D26" w14:textId="77777777" w:rsidR="00A858BA" w:rsidRPr="00ED1A48" w:rsidRDefault="00A858BA" w:rsidP="00A858BA">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A18462F" w14:textId="77777777" w:rsidR="00A858BA" w:rsidRPr="009B49EA" w:rsidRDefault="00A858BA" w:rsidP="00A858BA">
            <w:pPr>
              <w:jc w:val="left"/>
              <w:rPr>
                <w:rFonts w:cs="Arial"/>
                <w:b/>
                <w:color w:val="000000"/>
                <w:sz w:val="16"/>
                <w:szCs w:val="16"/>
              </w:rPr>
            </w:pPr>
            <w:r w:rsidRPr="009B49EA">
              <w:rPr>
                <w:b/>
                <w:sz w:val="16"/>
                <w:szCs w:val="16"/>
              </w:rPr>
              <w:t>Określenie wymogu spełniania wymagań odpowiednich systemów lub norm zarządzania środowiskowego</w:t>
            </w:r>
          </w:p>
        </w:tc>
        <w:tc>
          <w:tcPr>
            <w:tcW w:w="1701" w:type="dxa"/>
            <w:tcBorders>
              <w:top w:val="single" w:sz="4" w:space="0" w:color="auto"/>
              <w:left w:val="single" w:sz="4" w:space="0" w:color="auto"/>
              <w:bottom w:val="single" w:sz="4" w:space="0" w:color="auto"/>
              <w:right w:val="single" w:sz="4" w:space="0" w:color="auto"/>
            </w:tcBorders>
            <w:vAlign w:val="center"/>
          </w:tcPr>
          <w:p w14:paraId="20494893" w14:textId="7485A649" w:rsidR="00A858BA" w:rsidRPr="00BD1978" w:rsidRDefault="00A858BA" w:rsidP="00A858BA">
            <w:pPr>
              <w:jc w:val="center"/>
              <w:rPr>
                <w:rFonts w:cs="Arial"/>
                <w:color w:val="000000"/>
                <w:sz w:val="18"/>
                <w:szCs w:val="18"/>
              </w:rPr>
            </w:pPr>
            <w:r w:rsidRPr="00BD1978">
              <w:rPr>
                <w:rFonts w:cs="Arial"/>
                <w:sz w:val="18"/>
                <w:szCs w:val="18"/>
              </w:rPr>
              <w:t>164</w:t>
            </w:r>
          </w:p>
        </w:tc>
        <w:tc>
          <w:tcPr>
            <w:tcW w:w="1843" w:type="dxa"/>
            <w:tcBorders>
              <w:top w:val="single" w:sz="4" w:space="0" w:color="auto"/>
              <w:left w:val="single" w:sz="4" w:space="0" w:color="auto"/>
              <w:bottom w:val="single" w:sz="4" w:space="0" w:color="auto"/>
              <w:right w:val="single" w:sz="4" w:space="0" w:color="auto"/>
            </w:tcBorders>
            <w:vAlign w:val="center"/>
          </w:tcPr>
          <w:p w14:paraId="3671FE87" w14:textId="46493BA6" w:rsidR="00A858BA" w:rsidRPr="00BD1978" w:rsidRDefault="00A858BA" w:rsidP="00A858BA">
            <w:pPr>
              <w:jc w:val="center"/>
              <w:rPr>
                <w:rFonts w:cs="Arial"/>
                <w:color w:val="000000"/>
                <w:sz w:val="18"/>
                <w:szCs w:val="18"/>
              </w:rPr>
            </w:pPr>
            <w:r w:rsidRPr="00BD1978">
              <w:rPr>
                <w:rFonts w:cs="Arial"/>
                <w:sz w:val="18"/>
                <w:szCs w:val="18"/>
              </w:rPr>
              <w:t>668 679 379,49 zł</w:t>
            </w:r>
          </w:p>
        </w:tc>
        <w:tc>
          <w:tcPr>
            <w:tcW w:w="1701" w:type="dxa"/>
            <w:tcBorders>
              <w:top w:val="single" w:sz="4" w:space="0" w:color="auto"/>
              <w:left w:val="single" w:sz="4" w:space="0" w:color="auto"/>
              <w:bottom w:val="single" w:sz="4" w:space="0" w:color="auto"/>
              <w:right w:val="single" w:sz="4" w:space="0" w:color="auto"/>
            </w:tcBorders>
            <w:vAlign w:val="center"/>
          </w:tcPr>
          <w:p w14:paraId="4E3E53B0" w14:textId="02823656" w:rsidR="00A858BA" w:rsidRPr="00BD1978" w:rsidRDefault="00A858BA" w:rsidP="00A858BA">
            <w:pPr>
              <w:jc w:val="center"/>
              <w:rPr>
                <w:rFonts w:cs="Arial"/>
                <w:bCs/>
                <w:color w:val="000000"/>
                <w:spacing w:val="-2"/>
                <w:sz w:val="18"/>
                <w:szCs w:val="18"/>
              </w:rPr>
            </w:pPr>
            <w:r w:rsidRPr="00C21496">
              <w:rPr>
                <w:rFonts w:cs="Arial"/>
                <w:sz w:val="18"/>
                <w:szCs w:val="18"/>
              </w:rPr>
              <w:t>192</w:t>
            </w:r>
          </w:p>
        </w:tc>
        <w:tc>
          <w:tcPr>
            <w:tcW w:w="2126" w:type="dxa"/>
            <w:tcBorders>
              <w:top w:val="single" w:sz="4" w:space="0" w:color="auto"/>
              <w:left w:val="single" w:sz="4" w:space="0" w:color="auto"/>
              <w:bottom w:val="single" w:sz="4" w:space="0" w:color="auto"/>
              <w:right w:val="single" w:sz="4" w:space="0" w:color="auto"/>
            </w:tcBorders>
            <w:vAlign w:val="center"/>
          </w:tcPr>
          <w:p w14:paraId="481D6E30" w14:textId="586B2B5A" w:rsidR="00A858BA" w:rsidRPr="00BD1978" w:rsidRDefault="00A858BA" w:rsidP="00A858BA">
            <w:pPr>
              <w:jc w:val="center"/>
              <w:rPr>
                <w:rFonts w:cs="Arial"/>
                <w:sz w:val="18"/>
                <w:szCs w:val="18"/>
              </w:rPr>
            </w:pPr>
            <w:r w:rsidRPr="00C21496">
              <w:rPr>
                <w:rFonts w:cs="Arial"/>
                <w:sz w:val="18"/>
                <w:szCs w:val="18"/>
              </w:rPr>
              <w:t>1 120 740 760,42 zł</w:t>
            </w:r>
          </w:p>
        </w:tc>
        <w:tc>
          <w:tcPr>
            <w:tcW w:w="1701" w:type="dxa"/>
            <w:tcBorders>
              <w:top w:val="single" w:sz="4" w:space="0" w:color="auto"/>
              <w:left w:val="single" w:sz="4" w:space="0" w:color="auto"/>
              <w:bottom w:val="single" w:sz="4" w:space="0" w:color="auto"/>
              <w:right w:val="single" w:sz="4" w:space="0" w:color="auto"/>
            </w:tcBorders>
            <w:vAlign w:val="center"/>
          </w:tcPr>
          <w:p w14:paraId="2C190CD1" w14:textId="0ADB48E5" w:rsidR="00A858BA" w:rsidRPr="00705F7B" w:rsidRDefault="00A858BA" w:rsidP="00A858BA">
            <w:pPr>
              <w:jc w:val="center"/>
              <w:rPr>
                <w:rFonts w:cs="Arial"/>
                <w:bCs/>
                <w:color w:val="000000"/>
                <w:spacing w:val="-2"/>
                <w:sz w:val="18"/>
                <w:szCs w:val="18"/>
              </w:rPr>
            </w:pPr>
            <w:r w:rsidRPr="00705F7B">
              <w:rPr>
                <w:rFonts w:cs="Arial"/>
                <w:sz w:val="18"/>
                <w:szCs w:val="18"/>
              </w:rPr>
              <w:t>306</w:t>
            </w:r>
          </w:p>
        </w:tc>
        <w:tc>
          <w:tcPr>
            <w:tcW w:w="2301" w:type="dxa"/>
            <w:tcBorders>
              <w:top w:val="single" w:sz="4" w:space="0" w:color="auto"/>
              <w:left w:val="single" w:sz="4" w:space="0" w:color="auto"/>
              <w:bottom w:val="single" w:sz="4" w:space="0" w:color="auto"/>
              <w:right w:val="single" w:sz="4" w:space="0" w:color="auto"/>
            </w:tcBorders>
            <w:vAlign w:val="center"/>
          </w:tcPr>
          <w:p w14:paraId="580D7E8C" w14:textId="19881F68" w:rsidR="00A858BA" w:rsidRPr="00705F7B" w:rsidRDefault="00A858BA" w:rsidP="00A858BA">
            <w:pPr>
              <w:jc w:val="center"/>
              <w:rPr>
                <w:rFonts w:cs="Arial"/>
                <w:bCs/>
                <w:color w:val="000000"/>
                <w:spacing w:val="-2"/>
                <w:sz w:val="18"/>
                <w:szCs w:val="18"/>
              </w:rPr>
            </w:pPr>
            <w:r w:rsidRPr="00705F7B">
              <w:rPr>
                <w:rFonts w:cs="Arial"/>
                <w:color w:val="000000"/>
                <w:sz w:val="18"/>
                <w:szCs w:val="18"/>
              </w:rPr>
              <w:t xml:space="preserve">1 020 358 225,49 </w:t>
            </w:r>
            <w:r w:rsidRPr="00705F7B">
              <w:rPr>
                <w:rFonts w:cs="Arial"/>
                <w:sz w:val="18"/>
                <w:szCs w:val="18"/>
              </w:rPr>
              <w:t>zł</w:t>
            </w:r>
          </w:p>
        </w:tc>
      </w:tr>
      <w:tr w:rsidR="00A858BA" w:rsidRPr="00ED1A48" w14:paraId="28C0CFC6"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916F937" w14:textId="77777777" w:rsidR="00A858BA" w:rsidRPr="00ED1A48" w:rsidRDefault="00A858BA" w:rsidP="00A858BA">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163797D" w14:textId="77777777" w:rsidR="00A858BA" w:rsidRPr="009B49EA" w:rsidRDefault="00A858BA" w:rsidP="00A858BA">
            <w:pPr>
              <w:jc w:val="left"/>
              <w:rPr>
                <w:rFonts w:cs="Arial"/>
                <w:b/>
                <w:color w:val="000000"/>
                <w:sz w:val="16"/>
                <w:szCs w:val="16"/>
              </w:rPr>
            </w:pPr>
            <w:r w:rsidRPr="009B49EA">
              <w:rPr>
                <w:b/>
                <w:sz w:val="16"/>
                <w:szCs w:val="16"/>
              </w:rPr>
              <w:t>Zastosowanie kryterium kosztu z wykorzystaniem rachunku kosztów cyklu życia</w:t>
            </w:r>
          </w:p>
        </w:tc>
        <w:tc>
          <w:tcPr>
            <w:tcW w:w="1701" w:type="dxa"/>
            <w:tcBorders>
              <w:top w:val="single" w:sz="4" w:space="0" w:color="auto"/>
              <w:left w:val="single" w:sz="4" w:space="0" w:color="auto"/>
              <w:bottom w:val="single" w:sz="4" w:space="0" w:color="auto"/>
              <w:right w:val="single" w:sz="4" w:space="0" w:color="auto"/>
            </w:tcBorders>
            <w:vAlign w:val="center"/>
          </w:tcPr>
          <w:p w14:paraId="00388755" w14:textId="226AF8B0" w:rsidR="00A858BA" w:rsidRPr="00BD1978" w:rsidRDefault="00A858BA" w:rsidP="00A858BA">
            <w:pPr>
              <w:jc w:val="center"/>
              <w:rPr>
                <w:rFonts w:cs="Arial"/>
                <w:color w:val="000000"/>
                <w:sz w:val="18"/>
                <w:szCs w:val="18"/>
              </w:rPr>
            </w:pPr>
            <w:r w:rsidRPr="00BD1978">
              <w:rPr>
                <w:rFonts w:cs="Arial"/>
                <w:sz w:val="18"/>
                <w:szCs w:val="18"/>
              </w:rPr>
              <w:t>39</w:t>
            </w:r>
          </w:p>
        </w:tc>
        <w:tc>
          <w:tcPr>
            <w:tcW w:w="1843" w:type="dxa"/>
            <w:tcBorders>
              <w:top w:val="single" w:sz="4" w:space="0" w:color="auto"/>
              <w:left w:val="single" w:sz="4" w:space="0" w:color="auto"/>
              <w:bottom w:val="single" w:sz="4" w:space="0" w:color="auto"/>
              <w:right w:val="single" w:sz="4" w:space="0" w:color="auto"/>
            </w:tcBorders>
            <w:vAlign w:val="center"/>
          </w:tcPr>
          <w:p w14:paraId="13AC6FF8" w14:textId="7CD32C02" w:rsidR="00A858BA" w:rsidRPr="00BD1978" w:rsidRDefault="00A858BA" w:rsidP="00A858BA">
            <w:pPr>
              <w:jc w:val="center"/>
              <w:rPr>
                <w:rFonts w:cs="Arial"/>
                <w:color w:val="000000"/>
                <w:sz w:val="18"/>
                <w:szCs w:val="18"/>
              </w:rPr>
            </w:pPr>
            <w:r w:rsidRPr="00BD1978">
              <w:rPr>
                <w:rFonts w:cs="Arial"/>
                <w:sz w:val="18"/>
                <w:szCs w:val="18"/>
              </w:rPr>
              <w:t>523 297 946,41 zł</w:t>
            </w:r>
          </w:p>
        </w:tc>
        <w:tc>
          <w:tcPr>
            <w:tcW w:w="1701" w:type="dxa"/>
            <w:tcBorders>
              <w:top w:val="single" w:sz="4" w:space="0" w:color="auto"/>
              <w:left w:val="single" w:sz="4" w:space="0" w:color="auto"/>
              <w:bottom w:val="single" w:sz="4" w:space="0" w:color="auto"/>
              <w:right w:val="single" w:sz="4" w:space="0" w:color="auto"/>
            </w:tcBorders>
            <w:vAlign w:val="center"/>
          </w:tcPr>
          <w:p w14:paraId="59503763" w14:textId="4C4C5225" w:rsidR="00A858BA" w:rsidRPr="00BD1978" w:rsidRDefault="00A858BA" w:rsidP="00A858BA">
            <w:pPr>
              <w:jc w:val="center"/>
              <w:rPr>
                <w:rFonts w:cs="Arial"/>
                <w:color w:val="000000"/>
                <w:sz w:val="18"/>
                <w:szCs w:val="18"/>
              </w:rPr>
            </w:pPr>
            <w:r w:rsidRPr="00C21496">
              <w:rPr>
                <w:rFonts w:cs="Arial"/>
                <w:sz w:val="18"/>
                <w:szCs w:val="18"/>
              </w:rPr>
              <w:t>28</w:t>
            </w:r>
          </w:p>
        </w:tc>
        <w:tc>
          <w:tcPr>
            <w:tcW w:w="2126" w:type="dxa"/>
            <w:tcBorders>
              <w:top w:val="single" w:sz="4" w:space="0" w:color="auto"/>
              <w:left w:val="single" w:sz="4" w:space="0" w:color="auto"/>
              <w:bottom w:val="single" w:sz="4" w:space="0" w:color="auto"/>
              <w:right w:val="single" w:sz="4" w:space="0" w:color="auto"/>
            </w:tcBorders>
            <w:vAlign w:val="center"/>
          </w:tcPr>
          <w:p w14:paraId="7569C54F" w14:textId="26F83461" w:rsidR="00A858BA" w:rsidRPr="00BD1978" w:rsidRDefault="00A858BA" w:rsidP="00A858BA">
            <w:pPr>
              <w:jc w:val="center"/>
              <w:rPr>
                <w:rFonts w:cs="Arial"/>
                <w:sz w:val="18"/>
                <w:szCs w:val="18"/>
              </w:rPr>
            </w:pPr>
            <w:r w:rsidRPr="00C21496">
              <w:rPr>
                <w:rFonts w:cs="Arial"/>
                <w:sz w:val="18"/>
                <w:szCs w:val="18"/>
              </w:rPr>
              <w:t>1 347 238 314,69 zł</w:t>
            </w:r>
          </w:p>
        </w:tc>
        <w:tc>
          <w:tcPr>
            <w:tcW w:w="1701" w:type="dxa"/>
            <w:tcBorders>
              <w:top w:val="single" w:sz="4" w:space="0" w:color="auto"/>
              <w:left w:val="single" w:sz="4" w:space="0" w:color="auto"/>
              <w:bottom w:val="single" w:sz="4" w:space="0" w:color="auto"/>
              <w:right w:val="single" w:sz="4" w:space="0" w:color="auto"/>
            </w:tcBorders>
            <w:vAlign w:val="center"/>
          </w:tcPr>
          <w:p w14:paraId="75C34CC6" w14:textId="1629A4B0" w:rsidR="00A858BA" w:rsidRPr="00705F7B" w:rsidRDefault="00A858BA" w:rsidP="00A858BA">
            <w:pPr>
              <w:jc w:val="center"/>
              <w:rPr>
                <w:rFonts w:cs="Arial"/>
                <w:color w:val="000000"/>
                <w:sz w:val="18"/>
                <w:szCs w:val="18"/>
              </w:rPr>
            </w:pPr>
            <w:r w:rsidRPr="00705F7B">
              <w:rPr>
                <w:rFonts w:cs="Arial"/>
                <w:sz w:val="18"/>
                <w:szCs w:val="18"/>
              </w:rPr>
              <w:t>41</w:t>
            </w:r>
          </w:p>
        </w:tc>
        <w:tc>
          <w:tcPr>
            <w:tcW w:w="2301" w:type="dxa"/>
            <w:tcBorders>
              <w:top w:val="single" w:sz="4" w:space="0" w:color="auto"/>
              <w:left w:val="single" w:sz="4" w:space="0" w:color="auto"/>
              <w:bottom w:val="single" w:sz="4" w:space="0" w:color="auto"/>
              <w:right w:val="single" w:sz="4" w:space="0" w:color="auto"/>
            </w:tcBorders>
            <w:vAlign w:val="center"/>
          </w:tcPr>
          <w:p w14:paraId="6065497B" w14:textId="569FA77D" w:rsidR="00A858BA" w:rsidRPr="00705F7B" w:rsidRDefault="00A858BA" w:rsidP="00A858BA">
            <w:pPr>
              <w:jc w:val="center"/>
              <w:rPr>
                <w:rFonts w:cs="Arial"/>
                <w:color w:val="000000"/>
                <w:sz w:val="18"/>
                <w:szCs w:val="18"/>
              </w:rPr>
            </w:pPr>
            <w:r w:rsidRPr="00705F7B">
              <w:rPr>
                <w:rFonts w:cs="Arial"/>
                <w:color w:val="000000"/>
                <w:sz w:val="18"/>
                <w:szCs w:val="18"/>
              </w:rPr>
              <w:t xml:space="preserve">303 408 799,42 </w:t>
            </w:r>
            <w:r w:rsidRPr="00705F7B">
              <w:rPr>
                <w:rFonts w:cs="Arial"/>
                <w:sz w:val="18"/>
                <w:szCs w:val="18"/>
              </w:rPr>
              <w:t>zł</w:t>
            </w:r>
          </w:p>
        </w:tc>
      </w:tr>
    </w:tbl>
    <w:p w14:paraId="0E2C41CF" w14:textId="77777777" w:rsidR="00B27C43" w:rsidRPr="00576772" w:rsidRDefault="00B27C43" w:rsidP="00FD257F">
      <w:pPr>
        <w:shd w:val="clear" w:color="auto" w:fill="FFFFFF"/>
        <w:spacing w:before="120"/>
        <w:jc w:val="left"/>
        <w:rPr>
          <w:rFonts w:cs="Arial"/>
          <w:color w:val="000000"/>
          <w:sz w:val="16"/>
          <w:szCs w:val="16"/>
        </w:rPr>
      </w:pPr>
      <w:r w:rsidRPr="00805E2A">
        <w:rPr>
          <w:b/>
          <w:sz w:val="16"/>
          <w:szCs w:val="16"/>
          <w:u w:val="single"/>
        </w:rPr>
        <w:t>UWAGA</w:t>
      </w:r>
      <w:r w:rsidRPr="00576772">
        <w:rPr>
          <w:sz w:val="16"/>
          <w:szCs w:val="16"/>
        </w:rPr>
        <w:t>: Łączna liczba i wartość zamówień publicznych z zastosowaniem poszczególnych aspektów środowiskowych jest większa niż łączna liczba i wartość zamówień środowiskowych i ze względu na przypadki zastosowania więcej niż jednego aspektu środowiskowego w jednym zamówieniu.</w:t>
      </w:r>
    </w:p>
    <w:p w14:paraId="52E5554D" w14:textId="16308598" w:rsidR="00FD257F" w:rsidRDefault="00FD257F" w:rsidP="00B27C43">
      <w:pPr>
        <w:jc w:val="left"/>
        <w:rPr>
          <w:szCs w:val="22"/>
        </w:rPr>
      </w:pPr>
      <w:r>
        <w:rPr>
          <w:szCs w:val="22"/>
        </w:rPr>
        <w:br w:type="page"/>
      </w:r>
    </w:p>
    <w:p w14:paraId="23445C64" w14:textId="77777777" w:rsidR="0019277C" w:rsidRDefault="0019277C" w:rsidP="00FD257F">
      <w:pPr>
        <w:shd w:val="clear" w:color="auto" w:fill="FFFFFF"/>
        <w:spacing w:before="240" w:after="120"/>
        <w:jc w:val="center"/>
        <w:rPr>
          <w:rFonts w:cs="Arial"/>
          <w:b/>
          <w:color w:val="000000"/>
        </w:rPr>
      </w:pPr>
    </w:p>
    <w:p w14:paraId="5F2D9439" w14:textId="77777777" w:rsidR="0019277C" w:rsidRDefault="0019277C" w:rsidP="00FD257F">
      <w:pPr>
        <w:shd w:val="clear" w:color="auto" w:fill="FFFFFF"/>
        <w:spacing w:before="240" w:after="120"/>
        <w:jc w:val="center"/>
        <w:rPr>
          <w:rFonts w:cs="Arial"/>
          <w:b/>
          <w:color w:val="000000"/>
        </w:rPr>
      </w:pPr>
    </w:p>
    <w:p w14:paraId="61D87940" w14:textId="0A14E8A4" w:rsidR="00B27C43" w:rsidRPr="00ED1A48" w:rsidRDefault="00B27C43" w:rsidP="00FD257F">
      <w:pPr>
        <w:shd w:val="clear" w:color="auto" w:fill="FFFFFF"/>
        <w:spacing w:before="240" w:after="120"/>
        <w:jc w:val="center"/>
        <w:rPr>
          <w:rFonts w:cs="Arial"/>
          <w:b/>
          <w:color w:val="000000"/>
        </w:rPr>
      </w:pPr>
      <w:r w:rsidRPr="00ED1A48">
        <w:rPr>
          <w:rFonts w:cs="Arial"/>
          <w:b/>
          <w:color w:val="000000"/>
        </w:rPr>
        <w:t>Udział zamówień z danym aspektem środowiskowym w ogólnej liczbie oraz w ogólnej wartości z</w:t>
      </w:r>
      <w:r>
        <w:rPr>
          <w:rFonts w:cs="Arial"/>
          <w:b/>
          <w:color w:val="000000"/>
        </w:rPr>
        <w:t xml:space="preserve">ielonych zamówień publicznych w </w:t>
      </w:r>
      <w:r w:rsidRPr="00ED1A48">
        <w:rPr>
          <w:rFonts w:cs="Arial"/>
          <w:b/>
          <w:color w:val="000000"/>
        </w:rPr>
        <w:t xml:space="preserve">poszczególnych latach </w:t>
      </w:r>
    </w:p>
    <w:tbl>
      <w:tblPr>
        <w:tblW w:w="13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
        <w:gridCol w:w="2477"/>
        <w:gridCol w:w="1857"/>
        <w:gridCol w:w="1843"/>
        <w:gridCol w:w="1842"/>
        <w:gridCol w:w="1843"/>
        <w:gridCol w:w="1868"/>
        <w:gridCol w:w="1776"/>
      </w:tblGrid>
      <w:tr w:rsidR="00B27C43" w:rsidRPr="00ED1A48" w14:paraId="52E4213C" w14:textId="77777777" w:rsidTr="00C866A1">
        <w:trPr>
          <w:tblHeader/>
          <w:jc w:val="center"/>
        </w:trPr>
        <w:tc>
          <w:tcPr>
            <w:tcW w:w="2954"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3603A718"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700" w:type="dxa"/>
            <w:gridSpan w:val="2"/>
            <w:tcBorders>
              <w:top w:val="single" w:sz="4" w:space="0" w:color="auto"/>
              <w:left w:val="single" w:sz="4" w:space="0" w:color="auto"/>
              <w:bottom w:val="single" w:sz="4" w:space="0" w:color="auto"/>
              <w:right w:val="single" w:sz="4" w:space="0" w:color="auto"/>
            </w:tcBorders>
            <w:shd w:val="clear" w:color="auto" w:fill="C5E0B3"/>
          </w:tcPr>
          <w:p w14:paraId="452E03A2" w14:textId="14AB6D98" w:rsidR="00B27C43" w:rsidRPr="00ED1A48" w:rsidRDefault="00494224" w:rsidP="00C866A1">
            <w:pPr>
              <w:jc w:val="center"/>
              <w:rPr>
                <w:rFonts w:cs="Arial"/>
                <w:b/>
                <w:bCs/>
                <w:color w:val="000000"/>
                <w:sz w:val="16"/>
                <w:szCs w:val="16"/>
              </w:rPr>
            </w:pPr>
            <w:r>
              <w:rPr>
                <w:rFonts w:cs="Arial"/>
                <w:b/>
                <w:bCs/>
                <w:color w:val="000000"/>
                <w:sz w:val="16"/>
                <w:szCs w:val="16"/>
              </w:rPr>
              <w:t>2023</w:t>
            </w:r>
            <w:r w:rsidR="00B27C43">
              <w:rPr>
                <w:rFonts w:cs="Arial"/>
                <w:b/>
                <w:bCs/>
                <w:color w:val="000000"/>
                <w:sz w:val="16"/>
                <w:szCs w:val="16"/>
              </w:rPr>
              <w:t xml:space="preserve"> r.</w:t>
            </w:r>
          </w:p>
        </w:tc>
        <w:tc>
          <w:tcPr>
            <w:tcW w:w="3685" w:type="dxa"/>
            <w:gridSpan w:val="2"/>
            <w:tcBorders>
              <w:top w:val="single" w:sz="4" w:space="0" w:color="auto"/>
              <w:left w:val="single" w:sz="4" w:space="0" w:color="auto"/>
              <w:bottom w:val="single" w:sz="4" w:space="0" w:color="auto"/>
              <w:right w:val="single" w:sz="4" w:space="0" w:color="auto"/>
            </w:tcBorders>
            <w:shd w:val="clear" w:color="auto" w:fill="C5E0B3"/>
          </w:tcPr>
          <w:p w14:paraId="114E355F" w14:textId="12E2A46F" w:rsidR="00B27C43" w:rsidRPr="00ED1A48" w:rsidRDefault="00B27C43" w:rsidP="00494224">
            <w:pPr>
              <w:jc w:val="center"/>
              <w:rPr>
                <w:rFonts w:cs="Arial"/>
                <w:b/>
                <w:bCs/>
                <w:color w:val="000000"/>
                <w:sz w:val="16"/>
                <w:szCs w:val="16"/>
              </w:rPr>
            </w:pPr>
            <w:r>
              <w:rPr>
                <w:rFonts w:cs="Arial"/>
                <w:b/>
                <w:bCs/>
                <w:color w:val="000000"/>
                <w:sz w:val="16"/>
                <w:szCs w:val="16"/>
              </w:rPr>
              <w:t>202</w:t>
            </w:r>
            <w:r w:rsidR="00494224">
              <w:rPr>
                <w:rFonts w:cs="Arial"/>
                <w:b/>
                <w:bCs/>
                <w:color w:val="000000"/>
                <w:sz w:val="16"/>
                <w:szCs w:val="16"/>
              </w:rPr>
              <w:t>4</w:t>
            </w:r>
            <w:r>
              <w:rPr>
                <w:rFonts w:cs="Arial"/>
                <w:b/>
                <w:bCs/>
                <w:color w:val="000000"/>
                <w:sz w:val="16"/>
                <w:szCs w:val="16"/>
              </w:rPr>
              <w:t xml:space="preserve"> r.</w:t>
            </w:r>
          </w:p>
        </w:tc>
        <w:tc>
          <w:tcPr>
            <w:tcW w:w="3644" w:type="dxa"/>
            <w:gridSpan w:val="2"/>
            <w:tcBorders>
              <w:top w:val="single" w:sz="4" w:space="0" w:color="auto"/>
              <w:left w:val="single" w:sz="4" w:space="0" w:color="auto"/>
              <w:bottom w:val="single" w:sz="4" w:space="0" w:color="auto"/>
              <w:right w:val="single" w:sz="4" w:space="0" w:color="auto"/>
            </w:tcBorders>
            <w:shd w:val="clear" w:color="auto" w:fill="C5E0B3"/>
          </w:tcPr>
          <w:p w14:paraId="006236FC" w14:textId="76D8BC62" w:rsidR="00B27C43" w:rsidRPr="00ED1A48" w:rsidRDefault="00B27C43" w:rsidP="00494224">
            <w:pPr>
              <w:jc w:val="center"/>
              <w:rPr>
                <w:rFonts w:cs="Arial"/>
                <w:b/>
                <w:bCs/>
                <w:color w:val="000000"/>
                <w:sz w:val="16"/>
                <w:szCs w:val="16"/>
              </w:rPr>
            </w:pPr>
            <w:r>
              <w:rPr>
                <w:rFonts w:cs="Arial"/>
                <w:b/>
                <w:bCs/>
                <w:color w:val="000000"/>
                <w:sz w:val="16"/>
                <w:szCs w:val="16"/>
              </w:rPr>
              <w:t>202</w:t>
            </w:r>
            <w:r w:rsidR="00494224">
              <w:rPr>
                <w:rFonts w:cs="Arial"/>
                <w:b/>
                <w:bCs/>
                <w:color w:val="000000"/>
                <w:sz w:val="16"/>
                <w:szCs w:val="16"/>
              </w:rPr>
              <w:t>5</w:t>
            </w:r>
            <w:r>
              <w:rPr>
                <w:rFonts w:cs="Arial"/>
                <w:b/>
                <w:bCs/>
                <w:color w:val="000000"/>
                <w:sz w:val="16"/>
                <w:szCs w:val="16"/>
              </w:rPr>
              <w:t xml:space="preserve"> r.</w:t>
            </w:r>
          </w:p>
        </w:tc>
      </w:tr>
      <w:tr w:rsidR="00B27C43" w:rsidRPr="00ED1A48" w14:paraId="366F0B56" w14:textId="77777777" w:rsidTr="00C866A1">
        <w:trPr>
          <w:tblHeade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14DBE3C7" w14:textId="77777777" w:rsidR="00B27C43" w:rsidRPr="00ED1A48" w:rsidRDefault="00B27C43" w:rsidP="00C866A1">
            <w:pPr>
              <w:jc w:val="center"/>
              <w:rPr>
                <w:rFonts w:cs="Arial"/>
                <w:b/>
                <w:color w:val="000000"/>
                <w:sz w:val="16"/>
                <w:szCs w:val="16"/>
              </w:rPr>
            </w:pPr>
            <w:r w:rsidRPr="00ED1A48">
              <w:rPr>
                <w:rFonts w:cs="Arial"/>
                <w:b/>
                <w:color w:val="000000"/>
                <w:sz w:val="16"/>
                <w:szCs w:val="16"/>
              </w:rPr>
              <w:t>Lp.</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52BDF726" w14:textId="77777777" w:rsidR="00B27C43" w:rsidRPr="00ED1A48" w:rsidRDefault="00B27C43" w:rsidP="00C866A1">
            <w:pPr>
              <w:jc w:val="center"/>
              <w:rPr>
                <w:rFonts w:cs="Arial"/>
                <w:b/>
                <w:color w:val="000000"/>
                <w:sz w:val="16"/>
                <w:szCs w:val="16"/>
              </w:rPr>
            </w:pPr>
            <w:r w:rsidRPr="00ED1A48">
              <w:rPr>
                <w:rFonts w:cs="Arial"/>
                <w:b/>
                <w:color w:val="000000"/>
                <w:sz w:val="16"/>
                <w:szCs w:val="16"/>
              </w:rPr>
              <w:t xml:space="preserve">Aspekt zielony </w:t>
            </w:r>
          </w:p>
        </w:tc>
        <w:tc>
          <w:tcPr>
            <w:tcW w:w="1857" w:type="dxa"/>
            <w:tcBorders>
              <w:top w:val="single" w:sz="4" w:space="0" w:color="auto"/>
              <w:left w:val="single" w:sz="4" w:space="0" w:color="auto"/>
              <w:bottom w:val="single" w:sz="4" w:space="0" w:color="auto"/>
              <w:right w:val="single" w:sz="4" w:space="0" w:color="auto"/>
            </w:tcBorders>
            <w:shd w:val="clear" w:color="auto" w:fill="E2EFD9"/>
            <w:vAlign w:val="center"/>
          </w:tcPr>
          <w:p w14:paraId="5CBF4CF0"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Udział zamówień z danym aspektem w ogólnej liczbie zamówień zielonych </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31F76EC0"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Udział za</w:t>
            </w:r>
            <w:r>
              <w:rPr>
                <w:rFonts w:cs="Arial"/>
                <w:b/>
                <w:bCs/>
                <w:color w:val="000000"/>
                <w:sz w:val="16"/>
                <w:szCs w:val="16"/>
              </w:rPr>
              <w:t xml:space="preserve">mówień z danym </w:t>
            </w:r>
            <w:r w:rsidRPr="00ED1A48">
              <w:rPr>
                <w:rFonts w:cs="Arial"/>
                <w:b/>
                <w:bCs/>
                <w:color w:val="000000"/>
                <w:sz w:val="16"/>
                <w:szCs w:val="16"/>
              </w:rPr>
              <w:t xml:space="preserve">aspektem w ogólnej wartości zamówień zielonych </w:t>
            </w:r>
          </w:p>
        </w:tc>
        <w:tc>
          <w:tcPr>
            <w:tcW w:w="1842" w:type="dxa"/>
            <w:tcBorders>
              <w:top w:val="single" w:sz="4" w:space="0" w:color="auto"/>
              <w:left w:val="single" w:sz="4" w:space="0" w:color="auto"/>
              <w:bottom w:val="single" w:sz="4" w:space="0" w:color="auto"/>
              <w:right w:val="single" w:sz="4" w:space="0" w:color="auto"/>
            </w:tcBorders>
            <w:shd w:val="clear" w:color="auto" w:fill="E2EFD9"/>
            <w:vAlign w:val="center"/>
          </w:tcPr>
          <w:p w14:paraId="7C60943D"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Udział zamówień z danym aspektem w ogólnej liczbie zamówień zielonych </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2023D5DC" w14:textId="77777777" w:rsidR="00B27C43" w:rsidRPr="00ED1A48" w:rsidRDefault="00B27C43" w:rsidP="00C866A1">
            <w:pPr>
              <w:jc w:val="center"/>
              <w:rPr>
                <w:rFonts w:cs="Arial"/>
                <w:b/>
                <w:bCs/>
                <w:color w:val="000000"/>
                <w:sz w:val="16"/>
                <w:szCs w:val="16"/>
              </w:rPr>
            </w:pPr>
            <w:r>
              <w:rPr>
                <w:rFonts w:cs="Arial"/>
                <w:b/>
                <w:bCs/>
                <w:color w:val="000000"/>
                <w:sz w:val="16"/>
                <w:szCs w:val="16"/>
              </w:rPr>
              <w:t>Udział zamówień z danym</w:t>
            </w:r>
            <w:r w:rsidRPr="00ED1A48">
              <w:rPr>
                <w:rFonts w:cs="Arial"/>
                <w:b/>
                <w:bCs/>
                <w:color w:val="000000"/>
                <w:sz w:val="16"/>
                <w:szCs w:val="16"/>
              </w:rPr>
              <w:t xml:space="preserve"> aspektem w ogólnej wartości zamówień zielonych </w:t>
            </w:r>
          </w:p>
        </w:tc>
        <w:tc>
          <w:tcPr>
            <w:tcW w:w="1868" w:type="dxa"/>
            <w:tcBorders>
              <w:top w:val="single" w:sz="4" w:space="0" w:color="auto"/>
              <w:left w:val="single" w:sz="4" w:space="0" w:color="auto"/>
              <w:bottom w:val="single" w:sz="4" w:space="0" w:color="auto"/>
              <w:right w:val="single" w:sz="4" w:space="0" w:color="auto"/>
            </w:tcBorders>
            <w:shd w:val="clear" w:color="auto" w:fill="E2EFD9"/>
          </w:tcPr>
          <w:p w14:paraId="19D00967"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Udział zamówień z danym aspektem w ogólnej liczbie zamówień zielonych</w:t>
            </w:r>
          </w:p>
        </w:tc>
        <w:tc>
          <w:tcPr>
            <w:tcW w:w="1776" w:type="dxa"/>
            <w:tcBorders>
              <w:top w:val="single" w:sz="4" w:space="0" w:color="auto"/>
              <w:left w:val="single" w:sz="4" w:space="0" w:color="auto"/>
              <w:bottom w:val="single" w:sz="4" w:space="0" w:color="auto"/>
              <w:right w:val="single" w:sz="4" w:space="0" w:color="auto"/>
            </w:tcBorders>
            <w:shd w:val="clear" w:color="auto" w:fill="E2EFD9"/>
          </w:tcPr>
          <w:p w14:paraId="5D057BE6" w14:textId="77777777" w:rsidR="00B27C43" w:rsidRPr="00ED1A48" w:rsidRDefault="00B27C43" w:rsidP="00C866A1">
            <w:pPr>
              <w:jc w:val="center"/>
              <w:rPr>
                <w:rFonts w:cs="Arial"/>
                <w:b/>
                <w:bCs/>
                <w:color w:val="000000"/>
                <w:sz w:val="16"/>
                <w:szCs w:val="16"/>
              </w:rPr>
            </w:pPr>
            <w:r>
              <w:rPr>
                <w:rFonts w:cs="Arial"/>
                <w:b/>
                <w:bCs/>
                <w:color w:val="000000"/>
                <w:sz w:val="16"/>
                <w:szCs w:val="16"/>
              </w:rPr>
              <w:t xml:space="preserve">Udział zamówień z danym </w:t>
            </w:r>
            <w:r w:rsidRPr="00ED1A48">
              <w:rPr>
                <w:rFonts w:cs="Arial"/>
                <w:b/>
                <w:bCs/>
                <w:color w:val="000000"/>
                <w:sz w:val="16"/>
                <w:szCs w:val="16"/>
              </w:rPr>
              <w:t>aspektem w ogólnej wartości zamówień zielonych</w:t>
            </w:r>
          </w:p>
        </w:tc>
      </w:tr>
      <w:tr w:rsidR="00056FCE" w:rsidRPr="00ED1A48" w14:paraId="10571FC3"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07A53730" w14:textId="2D731FD7" w:rsidR="00056FCE" w:rsidRDefault="00F610FC" w:rsidP="00056FCE">
            <w:pPr>
              <w:jc w:val="center"/>
              <w:rPr>
                <w:rFonts w:cs="Arial"/>
                <w:color w:val="000000"/>
                <w:sz w:val="16"/>
                <w:szCs w:val="16"/>
              </w:rPr>
            </w:pPr>
            <w:r>
              <w:rPr>
                <w:rFonts w:cs="Arial"/>
                <w:color w:val="000000"/>
                <w:sz w:val="16"/>
                <w:szCs w:val="16"/>
              </w:rPr>
              <w:t>1</w:t>
            </w:r>
            <w:r w:rsidR="00056FCE"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6842EE5F" w14:textId="62490CA1" w:rsidR="00056FCE" w:rsidRPr="009B49EA" w:rsidRDefault="00056FCE" w:rsidP="00056FCE">
            <w:pPr>
              <w:jc w:val="left"/>
              <w:rPr>
                <w:b/>
                <w:sz w:val="16"/>
                <w:szCs w:val="16"/>
              </w:rPr>
            </w:pPr>
            <w:r w:rsidRPr="009B49EA">
              <w:rPr>
                <w:b/>
                <w:sz w:val="16"/>
                <w:szCs w:val="16"/>
              </w:rPr>
              <w:t>Określenie w opisie przedmiotu zamówienia wymagań środowiskowych</w:t>
            </w:r>
          </w:p>
        </w:tc>
        <w:tc>
          <w:tcPr>
            <w:tcW w:w="1857" w:type="dxa"/>
            <w:tcBorders>
              <w:top w:val="single" w:sz="4" w:space="0" w:color="auto"/>
              <w:left w:val="single" w:sz="4" w:space="0" w:color="auto"/>
              <w:bottom w:val="single" w:sz="4" w:space="0" w:color="auto"/>
              <w:right w:val="single" w:sz="4" w:space="0" w:color="auto"/>
            </w:tcBorders>
            <w:vAlign w:val="center"/>
          </w:tcPr>
          <w:p w14:paraId="6ABFACB8" w14:textId="041C840E" w:rsidR="00056FCE" w:rsidRPr="00ED034C" w:rsidRDefault="00056FCE" w:rsidP="00056FCE">
            <w:pPr>
              <w:jc w:val="center"/>
              <w:rPr>
                <w:rFonts w:cs="Arial"/>
                <w:color w:val="000000"/>
                <w:sz w:val="18"/>
                <w:szCs w:val="18"/>
              </w:rPr>
            </w:pPr>
            <w:r w:rsidRPr="00ED034C">
              <w:rPr>
                <w:rFonts w:cs="Arial"/>
                <w:color w:val="000000"/>
                <w:sz w:val="18"/>
                <w:szCs w:val="18"/>
              </w:rPr>
              <w:t>34,0</w:t>
            </w:r>
            <w:r>
              <w:rPr>
                <w:rFonts w:cs="Arial"/>
                <w:color w:val="000000"/>
                <w:sz w:val="18"/>
                <w:szCs w:val="18"/>
              </w:rPr>
              <w:t>6</w:t>
            </w:r>
            <w:r w:rsidRPr="00ED034C">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vAlign w:val="center"/>
          </w:tcPr>
          <w:p w14:paraId="5651F27F" w14:textId="5502C1E9" w:rsidR="00056FCE" w:rsidRPr="00ED034C" w:rsidRDefault="00056FCE" w:rsidP="00056FCE">
            <w:pPr>
              <w:jc w:val="center"/>
              <w:rPr>
                <w:rFonts w:cs="Arial"/>
                <w:color w:val="000000"/>
                <w:sz w:val="18"/>
                <w:szCs w:val="18"/>
              </w:rPr>
            </w:pPr>
            <w:r>
              <w:rPr>
                <w:rFonts w:cs="Arial"/>
                <w:color w:val="000000"/>
                <w:sz w:val="18"/>
                <w:szCs w:val="18"/>
              </w:rPr>
              <w:t>39,01</w:t>
            </w:r>
            <w:r w:rsidRPr="00ED034C">
              <w:rPr>
                <w:rFonts w:cs="Arial"/>
                <w:color w:val="000000"/>
                <w:sz w:val="18"/>
                <w:szCs w:val="18"/>
              </w:rPr>
              <w:t>%</w:t>
            </w:r>
          </w:p>
        </w:tc>
        <w:tc>
          <w:tcPr>
            <w:tcW w:w="1842" w:type="dxa"/>
            <w:tcBorders>
              <w:top w:val="single" w:sz="4" w:space="0" w:color="auto"/>
              <w:left w:val="single" w:sz="4" w:space="0" w:color="auto"/>
              <w:bottom w:val="single" w:sz="4" w:space="0" w:color="auto"/>
              <w:right w:val="single" w:sz="4" w:space="0" w:color="auto"/>
            </w:tcBorders>
            <w:vAlign w:val="center"/>
          </w:tcPr>
          <w:p w14:paraId="20D0E24E" w14:textId="65D5E3A8" w:rsidR="00056FCE" w:rsidRPr="00ED034C" w:rsidRDefault="00056FCE" w:rsidP="00056FCE">
            <w:pPr>
              <w:jc w:val="center"/>
              <w:rPr>
                <w:rFonts w:cs="Arial"/>
                <w:color w:val="000000"/>
                <w:sz w:val="18"/>
                <w:szCs w:val="18"/>
              </w:rPr>
            </w:pPr>
            <w:r w:rsidRPr="00942EC6">
              <w:rPr>
                <w:rFonts w:cs="Arial"/>
                <w:color w:val="000000"/>
                <w:sz w:val="18"/>
                <w:szCs w:val="18"/>
              </w:rPr>
              <w:t>39,86 %</w:t>
            </w:r>
          </w:p>
        </w:tc>
        <w:tc>
          <w:tcPr>
            <w:tcW w:w="1843" w:type="dxa"/>
            <w:tcBorders>
              <w:top w:val="single" w:sz="4" w:space="0" w:color="auto"/>
              <w:left w:val="single" w:sz="4" w:space="0" w:color="auto"/>
              <w:bottom w:val="single" w:sz="4" w:space="0" w:color="auto"/>
              <w:right w:val="single" w:sz="4" w:space="0" w:color="auto"/>
            </w:tcBorders>
            <w:vAlign w:val="center"/>
          </w:tcPr>
          <w:p w14:paraId="0886A0F5" w14:textId="598B7FF8" w:rsidR="00056FCE" w:rsidRDefault="00056FCE" w:rsidP="00056FCE">
            <w:pPr>
              <w:jc w:val="center"/>
              <w:rPr>
                <w:rFonts w:cs="Arial"/>
                <w:color w:val="000000"/>
                <w:sz w:val="18"/>
                <w:szCs w:val="18"/>
              </w:rPr>
            </w:pPr>
            <w:r w:rsidRPr="00942EC6">
              <w:rPr>
                <w:rFonts w:cs="Arial"/>
                <w:color w:val="000000"/>
                <w:sz w:val="18"/>
                <w:szCs w:val="18"/>
              </w:rPr>
              <w:t>38,76 %</w:t>
            </w:r>
          </w:p>
        </w:tc>
        <w:tc>
          <w:tcPr>
            <w:tcW w:w="1868" w:type="dxa"/>
            <w:tcBorders>
              <w:top w:val="single" w:sz="4" w:space="0" w:color="auto"/>
              <w:left w:val="single" w:sz="4" w:space="0" w:color="auto"/>
              <w:bottom w:val="single" w:sz="4" w:space="0" w:color="auto"/>
              <w:right w:val="single" w:sz="4" w:space="0" w:color="auto"/>
            </w:tcBorders>
            <w:vAlign w:val="center"/>
          </w:tcPr>
          <w:p w14:paraId="2FD98995" w14:textId="5BC98F37" w:rsidR="00056FCE" w:rsidRPr="00705F7B" w:rsidRDefault="00056FCE" w:rsidP="00056FCE">
            <w:pPr>
              <w:jc w:val="center"/>
              <w:rPr>
                <w:rFonts w:cs="Arial"/>
                <w:color w:val="000000"/>
                <w:sz w:val="18"/>
                <w:szCs w:val="18"/>
              </w:rPr>
            </w:pPr>
            <w:r w:rsidRPr="00705F7B">
              <w:rPr>
                <w:rFonts w:cs="Arial"/>
                <w:color w:val="000000"/>
                <w:sz w:val="18"/>
                <w:szCs w:val="18"/>
              </w:rPr>
              <w:t>56,84%</w:t>
            </w:r>
          </w:p>
        </w:tc>
        <w:tc>
          <w:tcPr>
            <w:tcW w:w="1776" w:type="dxa"/>
            <w:tcBorders>
              <w:top w:val="single" w:sz="4" w:space="0" w:color="auto"/>
              <w:left w:val="single" w:sz="4" w:space="0" w:color="auto"/>
              <w:bottom w:val="single" w:sz="4" w:space="0" w:color="auto"/>
              <w:right w:val="single" w:sz="4" w:space="0" w:color="auto"/>
            </w:tcBorders>
            <w:vAlign w:val="center"/>
          </w:tcPr>
          <w:p w14:paraId="477FE3E8" w14:textId="5E881635" w:rsidR="00056FCE" w:rsidRPr="00705F7B" w:rsidRDefault="00056FCE" w:rsidP="00056FCE">
            <w:pPr>
              <w:jc w:val="center"/>
              <w:rPr>
                <w:rFonts w:cs="Arial"/>
                <w:color w:val="000000"/>
                <w:sz w:val="18"/>
                <w:szCs w:val="18"/>
              </w:rPr>
            </w:pPr>
            <w:r w:rsidRPr="00705F7B">
              <w:rPr>
                <w:rFonts w:cs="Arial"/>
                <w:color w:val="000000"/>
                <w:sz w:val="18"/>
                <w:szCs w:val="18"/>
              </w:rPr>
              <w:t>39,46%</w:t>
            </w:r>
          </w:p>
        </w:tc>
      </w:tr>
      <w:tr w:rsidR="00056FCE" w:rsidRPr="00ED1A48" w14:paraId="5945854B"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5D12A17B" w14:textId="2D61F053" w:rsidR="00056FCE" w:rsidRPr="00ED1A48" w:rsidRDefault="00F610FC" w:rsidP="00056FCE">
            <w:pPr>
              <w:jc w:val="center"/>
              <w:rPr>
                <w:rFonts w:cs="Arial"/>
                <w:color w:val="000000"/>
                <w:sz w:val="16"/>
                <w:szCs w:val="16"/>
              </w:rPr>
            </w:pPr>
            <w:r>
              <w:rPr>
                <w:rFonts w:cs="Arial"/>
                <w:color w:val="000000"/>
                <w:sz w:val="16"/>
                <w:szCs w:val="16"/>
              </w:rPr>
              <w:t>2</w:t>
            </w:r>
            <w:r w:rsidR="00056FCE">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2EC9D136" w14:textId="77777777" w:rsidR="00056FCE" w:rsidRPr="00ED1A48" w:rsidRDefault="00056FCE" w:rsidP="00056FCE">
            <w:pPr>
              <w:jc w:val="left"/>
              <w:rPr>
                <w:rFonts w:cs="Arial"/>
                <w:b/>
                <w:color w:val="000000"/>
                <w:sz w:val="16"/>
                <w:szCs w:val="16"/>
              </w:rPr>
            </w:pPr>
            <w:r w:rsidRPr="009B49EA">
              <w:rPr>
                <w:b/>
                <w:sz w:val="16"/>
                <w:szCs w:val="16"/>
              </w:rPr>
              <w:t>Określenie wymagań zw. z realizacją zamówienia obejmujących aspekty środowiskowe</w:t>
            </w:r>
          </w:p>
        </w:tc>
        <w:tc>
          <w:tcPr>
            <w:tcW w:w="1857" w:type="dxa"/>
            <w:tcBorders>
              <w:top w:val="single" w:sz="4" w:space="0" w:color="auto"/>
              <w:left w:val="single" w:sz="4" w:space="0" w:color="auto"/>
              <w:bottom w:val="single" w:sz="4" w:space="0" w:color="auto"/>
              <w:right w:val="single" w:sz="4" w:space="0" w:color="auto"/>
            </w:tcBorders>
            <w:vAlign w:val="center"/>
          </w:tcPr>
          <w:p w14:paraId="0F6BE32E" w14:textId="57B92210" w:rsidR="00056FCE" w:rsidRPr="00ED034C" w:rsidRDefault="00056FCE" w:rsidP="00056FCE">
            <w:pPr>
              <w:jc w:val="center"/>
              <w:rPr>
                <w:rFonts w:cs="Arial"/>
                <w:color w:val="000000"/>
                <w:sz w:val="18"/>
                <w:szCs w:val="18"/>
              </w:rPr>
            </w:pPr>
            <w:r w:rsidRPr="00ED034C">
              <w:rPr>
                <w:rFonts w:cs="Arial"/>
                <w:color w:val="000000"/>
                <w:sz w:val="18"/>
                <w:szCs w:val="18"/>
              </w:rPr>
              <w:t>58,4</w:t>
            </w:r>
            <w:r>
              <w:rPr>
                <w:rFonts w:cs="Arial"/>
                <w:color w:val="000000"/>
                <w:sz w:val="18"/>
                <w:szCs w:val="18"/>
              </w:rPr>
              <w:t>9</w:t>
            </w:r>
            <w:r w:rsidRPr="00ED034C">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vAlign w:val="center"/>
          </w:tcPr>
          <w:p w14:paraId="38F71807" w14:textId="745C98E6" w:rsidR="00056FCE" w:rsidRPr="00ED034C" w:rsidRDefault="00056FCE" w:rsidP="00056FCE">
            <w:pPr>
              <w:jc w:val="center"/>
              <w:rPr>
                <w:rFonts w:cs="Arial"/>
                <w:color w:val="000000"/>
                <w:sz w:val="18"/>
                <w:szCs w:val="18"/>
              </w:rPr>
            </w:pPr>
            <w:r>
              <w:rPr>
                <w:rFonts w:cs="Arial"/>
                <w:color w:val="000000"/>
                <w:sz w:val="18"/>
                <w:szCs w:val="18"/>
              </w:rPr>
              <w:t>49,37</w:t>
            </w:r>
            <w:r w:rsidRPr="00ED034C">
              <w:rPr>
                <w:rFonts w:cs="Arial"/>
                <w:color w:val="000000"/>
                <w:sz w:val="18"/>
                <w:szCs w:val="18"/>
              </w:rPr>
              <w:t>%</w:t>
            </w:r>
          </w:p>
        </w:tc>
        <w:tc>
          <w:tcPr>
            <w:tcW w:w="1842" w:type="dxa"/>
            <w:tcBorders>
              <w:top w:val="single" w:sz="4" w:space="0" w:color="auto"/>
              <w:left w:val="single" w:sz="4" w:space="0" w:color="auto"/>
              <w:bottom w:val="single" w:sz="4" w:space="0" w:color="auto"/>
              <w:right w:val="single" w:sz="4" w:space="0" w:color="auto"/>
            </w:tcBorders>
            <w:vAlign w:val="center"/>
          </w:tcPr>
          <w:p w14:paraId="7A61A6D8" w14:textId="1F62AEA3" w:rsidR="00056FCE" w:rsidRPr="00ED034C" w:rsidRDefault="00056FCE" w:rsidP="00056FCE">
            <w:pPr>
              <w:jc w:val="center"/>
              <w:rPr>
                <w:rFonts w:cs="Arial"/>
                <w:color w:val="000000"/>
                <w:sz w:val="18"/>
                <w:szCs w:val="18"/>
              </w:rPr>
            </w:pPr>
            <w:r w:rsidRPr="00942EC6">
              <w:rPr>
                <w:rFonts w:cs="Arial"/>
                <w:color w:val="000000"/>
                <w:sz w:val="18"/>
                <w:szCs w:val="18"/>
              </w:rPr>
              <w:t>57,07 %</w:t>
            </w:r>
          </w:p>
        </w:tc>
        <w:tc>
          <w:tcPr>
            <w:tcW w:w="1843" w:type="dxa"/>
            <w:tcBorders>
              <w:top w:val="single" w:sz="4" w:space="0" w:color="auto"/>
              <w:left w:val="single" w:sz="4" w:space="0" w:color="auto"/>
              <w:bottom w:val="single" w:sz="4" w:space="0" w:color="auto"/>
              <w:right w:val="single" w:sz="4" w:space="0" w:color="auto"/>
            </w:tcBorders>
            <w:vAlign w:val="center"/>
          </w:tcPr>
          <w:p w14:paraId="0F4AB8AA" w14:textId="27D25917" w:rsidR="00056FCE" w:rsidRPr="00ED034C" w:rsidRDefault="00056FCE" w:rsidP="00056FCE">
            <w:pPr>
              <w:jc w:val="center"/>
              <w:rPr>
                <w:rFonts w:cs="Arial"/>
                <w:color w:val="000000"/>
                <w:sz w:val="18"/>
                <w:szCs w:val="18"/>
              </w:rPr>
            </w:pPr>
            <w:r w:rsidRPr="00942EC6">
              <w:rPr>
                <w:rFonts w:cs="Arial"/>
                <w:color w:val="000000"/>
                <w:sz w:val="18"/>
                <w:szCs w:val="18"/>
              </w:rPr>
              <w:t>58,07 %</w:t>
            </w:r>
          </w:p>
        </w:tc>
        <w:tc>
          <w:tcPr>
            <w:tcW w:w="1868" w:type="dxa"/>
            <w:tcBorders>
              <w:top w:val="single" w:sz="4" w:space="0" w:color="auto"/>
              <w:left w:val="single" w:sz="4" w:space="0" w:color="auto"/>
              <w:bottom w:val="single" w:sz="4" w:space="0" w:color="auto"/>
              <w:right w:val="single" w:sz="4" w:space="0" w:color="auto"/>
            </w:tcBorders>
            <w:vAlign w:val="center"/>
          </w:tcPr>
          <w:p w14:paraId="409AFF8A" w14:textId="25C8D84E" w:rsidR="00056FCE" w:rsidRPr="00705F7B" w:rsidRDefault="00056FCE" w:rsidP="00056FCE">
            <w:pPr>
              <w:jc w:val="center"/>
              <w:rPr>
                <w:rFonts w:cs="Arial"/>
                <w:color w:val="000000"/>
                <w:sz w:val="18"/>
                <w:szCs w:val="18"/>
              </w:rPr>
            </w:pPr>
            <w:r w:rsidRPr="00705F7B">
              <w:rPr>
                <w:rFonts w:cs="Arial"/>
                <w:color w:val="000000"/>
                <w:sz w:val="18"/>
                <w:szCs w:val="18"/>
              </w:rPr>
              <w:t>39,34%</w:t>
            </w:r>
          </w:p>
        </w:tc>
        <w:tc>
          <w:tcPr>
            <w:tcW w:w="1776" w:type="dxa"/>
            <w:tcBorders>
              <w:top w:val="single" w:sz="4" w:space="0" w:color="auto"/>
              <w:left w:val="single" w:sz="4" w:space="0" w:color="auto"/>
              <w:bottom w:val="single" w:sz="4" w:space="0" w:color="auto"/>
              <w:right w:val="single" w:sz="4" w:space="0" w:color="auto"/>
            </w:tcBorders>
            <w:vAlign w:val="center"/>
          </w:tcPr>
          <w:p w14:paraId="154A2A4D" w14:textId="251EF524" w:rsidR="00056FCE" w:rsidRPr="00705F7B" w:rsidRDefault="00056FCE" w:rsidP="00056FCE">
            <w:pPr>
              <w:jc w:val="center"/>
              <w:rPr>
                <w:rFonts w:cs="Arial"/>
                <w:color w:val="000000"/>
                <w:sz w:val="18"/>
                <w:szCs w:val="18"/>
              </w:rPr>
            </w:pPr>
            <w:r w:rsidRPr="00705F7B">
              <w:rPr>
                <w:rFonts w:cs="Arial"/>
                <w:color w:val="000000"/>
                <w:sz w:val="18"/>
                <w:szCs w:val="18"/>
              </w:rPr>
              <w:t>30,69%</w:t>
            </w:r>
          </w:p>
        </w:tc>
      </w:tr>
      <w:tr w:rsidR="00056FCE" w:rsidRPr="00ED1A48" w14:paraId="7C330B6D"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85828B0" w14:textId="77777777" w:rsidR="00056FCE" w:rsidRPr="00ED1A48" w:rsidRDefault="00056FCE" w:rsidP="00056FCE">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91DB616" w14:textId="77777777" w:rsidR="00056FCE" w:rsidRPr="00ED1A48" w:rsidRDefault="00056FCE" w:rsidP="00056FCE">
            <w:pPr>
              <w:jc w:val="left"/>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857" w:type="dxa"/>
            <w:tcBorders>
              <w:top w:val="single" w:sz="4" w:space="0" w:color="auto"/>
              <w:left w:val="single" w:sz="4" w:space="0" w:color="auto"/>
              <w:bottom w:val="single" w:sz="4" w:space="0" w:color="auto"/>
              <w:right w:val="single" w:sz="4" w:space="0" w:color="auto"/>
            </w:tcBorders>
            <w:vAlign w:val="center"/>
          </w:tcPr>
          <w:p w14:paraId="03DF5525" w14:textId="4BB091D5" w:rsidR="00056FCE" w:rsidRPr="00ED034C" w:rsidRDefault="00056FCE" w:rsidP="00056FCE">
            <w:pPr>
              <w:jc w:val="center"/>
              <w:rPr>
                <w:rFonts w:cs="Arial"/>
                <w:color w:val="000000"/>
                <w:sz w:val="18"/>
                <w:szCs w:val="18"/>
              </w:rPr>
            </w:pPr>
            <w:r>
              <w:rPr>
                <w:rFonts w:cs="Arial"/>
                <w:color w:val="000000"/>
                <w:sz w:val="18"/>
                <w:szCs w:val="18"/>
              </w:rPr>
              <w:t>18,85</w:t>
            </w:r>
            <w:r w:rsidRPr="00ED034C">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vAlign w:val="center"/>
          </w:tcPr>
          <w:p w14:paraId="29D21654" w14:textId="4FD78759" w:rsidR="00056FCE" w:rsidRPr="00ED034C" w:rsidRDefault="00056FCE" w:rsidP="00056FCE">
            <w:pPr>
              <w:jc w:val="center"/>
              <w:rPr>
                <w:rFonts w:cs="Arial"/>
                <w:color w:val="000000"/>
                <w:sz w:val="18"/>
                <w:szCs w:val="18"/>
              </w:rPr>
            </w:pPr>
            <w:r>
              <w:rPr>
                <w:rFonts w:cs="Arial"/>
                <w:color w:val="000000"/>
                <w:sz w:val="18"/>
                <w:szCs w:val="18"/>
              </w:rPr>
              <w:t>33,91</w:t>
            </w:r>
            <w:r w:rsidRPr="00ED034C">
              <w:rPr>
                <w:rFonts w:cs="Arial"/>
                <w:color w:val="000000"/>
                <w:sz w:val="18"/>
                <w:szCs w:val="18"/>
              </w:rPr>
              <w:t>%</w:t>
            </w:r>
          </w:p>
        </w:tc>
        <w:tc>
          <w:tcPr>
            <w:tcW w:w="1842" w:type="dxa"/>
            <w:tcBorders>
              <w:top w:val="single" w:sz="4" w:space="0" w:color="auto"/>
              <w:left w:val="single" w:sz="4" w:space="0" w:color="auto"/>
              <w:bottom w:val="single" w:sz="4" w:space="0" w:color="auto"/>
              <w:right w:val="single" w:sz="4" w:space="0" w:color="auto"/>
            </w:tcBorders>
            <w:vAlign w:val="center"/>
          </w:tcPr>
          <w:p w14:paraId="7BAF5C98" w14:textId="1A703B8C" w:rsidR="00056FCE" w:rsidRPr="00ED034C" w:rsidRDefault="00056FCE" w:rsidP="00056FCE">
            <w:pPr>
              <w:jc w:val="center"/>
              <w:rPr>
                <w:rFonts w:cs="Arial"/>
                <w:color w:val="000000"/>
                <w:sz w:val="18"/>
                <w:szCs w:val="18"/>
              </w:rPr>
            </w:pPr>
            <w:r w:rsidRPr="00942EC6">
              <w:rPr>
                <w:rFonts w:cs="Arial"/>
                <w:color w:val="000000"/>
                <w:sz w:val="18"/>
                <w:szCs w:val="18"/>
              </w:rPr>
              <w:t>16,88 %</w:t>
            </w:r>
          </w:p>
        </w:tc>
        <w:tc>
          <w:tcPr>
            <w:tcW w:w="1843" w:type="dxa"/>
            <w:tcBorders>
              <w:top w:val="single" w:sz="4" w:space="0" w:color="auto"/>
              <w:left w:val="single" w:sz="4" w:space="0" w:color="auto"/>
              <w:bottom w:val="single" w:sz="4" w:space="0" w:color="auto"/>
              <w:right w:val="single" w:sz="4" w:space="0" w:color="auto"/>
            </w:tcBorders>
            <w:vAlign w:val="center"/>
          </w:tcPr>
          <w:p w14:paraId="11802962" w14:textId="5EA93802" w:rsidR="00056FCE" w:rsidRPr="00ED034C" w:rsidRDefault="00056FCE" w:rsidP="00056FCE">
            <w:pPr>
              <w:jc w:val="center"/>
              <w:rPr>
                <w:rFonts w:cs="Arial"/>
                <w:color w:val="000000"/>
                <w:sz w:val="18"/>
                <w:szCs w:val="18"/>
              </w:rPr>
            </w:pPr>
            <w:r w:rsidRPr="00942EC6">
              <w:rPr>
                <w:rFonts w:cs="Arial"/>
                <w:color w:val="000000"/>
                <w:sz w:val="18"/>
                <w:szCs w:val="18"/>
              </w:rPr>
              <w:t>26,10 %</w:t>
            </w:r>
          </w:p>
        </w:tc>
        <w:tc>
          <w:tcPr>
            <w:tcW w:w="1868" w:type="dxa"/>
            <w:tcBorders>
              <w:top w:val="single" w:sz="4" w:space="0" w:color="auto"/>
              <w:left w:val="single" w:sz="4" w:space="0" w:color="auto"/>
              <w:bottom w:val="single" w:sz="4" w:space="0" w:color="auto"/>
              <w:right w:val="single" w:sz="4" w:space="0" w:color="auto"/>
            </w:tcBorders>
            <w:vAlign w:val="center"/>
          </w:tcPr>
          <w:p w14:paraId="7CC0594F" w14:textId="2FAF2086" w:rsidR="00056FCE" w:rsidRPr="00705F7B" w:rsidRDefault="00056FCE" w:rsidP="00056FCE">
            <w:pPr>
              <w:jc w:val="center"/>
              <w:rPr>
                <w:rFonts w:cs="Arial"/>
                <w:color w:val="000000"/>
                <w:sz w:val="18"/>
                <w:szCs w:val="18"/>
              </w:rPr>
            </w:pPr>
            <w:r w:rsidRPr="00705F7B">
              <w:rPr>
                <w:rFonts w:cs="Arial"/>
                <w:color w:val="000000"/>
                <w:sz w:val="18"/>
                <w:szCs w:val="18"/>
              </w:rPr>
              <w:t>23,41%</w:t>
            </w:r>
          </w:p>
        </w:tc>
        <w:tc>
          <w:tcPr>
            <w:tcW w:w="1776" w:type="dxa"/>
            <w:tcBorders>
              <w:top w:val="single" w:sz="4" w:space="0" w:color="auto"/>
              <w:left w:val="single" w:sz="4" w:space="0" w:color="auto"/>
              <w:bottom w:val="single" w:sz="4" w:space="0" w:color="auto"/>
              <w:right w:val="single" w:sz="4" w:space="0" w:color="auto"/>
            </w:tcBorders>
            <w:vAlign w:val="center"/>
          </w:tcPr>
          <w:p w14:paraId="7A2F1B30" w14:textId="6C7F823A" w:rsidR="00056FCE" w:rsidRPr="00705F7B" w:rsidRDefault="00056FCE" w:rsidP="00056FCE">
            <w:pPr>
              <w:jc w:val="center"/>
              <w:rPr>
                <w:rFonts w:cs="Arial"/>
                <w:color w:val="000000"/>
                <w:sz w:val="18"/>
                <w:szCs w:val="18"/>
              </w:rPr>
            </w:pPr>
            <w:r w:rsidRPr="00705F7B">
              <w:rPr>
                <w:rFonts w:cs="Arial"/>
                <w:color w:val="000000"/>
                <w:sz w:val="18"/>
                <w:szCs w:val="18"/>
              </w:rPr>
              <w:t>21,03%</w:t>
            </w:r>
          </w:p>
        </w:tc>
      </w:tr>
      <w:tr w:rsidR="00056FCE" w:rsidRPr="00ED1A48" w14:paraId="30829BEF"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D4A52B4" w14:textId="77777777" w:rsidR="00056FCE" w:rsidRPr="00ED1A48" w:rsidRDefault="00056FCE" w:rsidP="00056FCE">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75391D7" w14:textId="77777777" w:rsidR="00056FCE" w:rsidRPr="00ED1A48" w:rsidRDefault="00056FCE" w:rsidP="00056FCE">
            <w:pPr>
              <w:jc w:val="left"/>
              <w:rPr>
                <w:rFonts w:cs="Arial"/>
                <w:b/>
                <w:color w:val="000000"/>
                <w:sz w:val="16"/>
                <w:szCs w:val="16"/>
              </w:rPr>
            </w:pPr>
            <w:r w:rsidRPr="007B7671">
              <w:rPr>
                <w:b/>
                <w:sz w:val="16"/>
                <w:szCs w:val="16"/>
              </w:rPr>
              <w:t>Określenie etykiety związanej z aspektami środowiskowymi</w:t>
            </w:r>
          </w:p>
        </w:tc>
        <w:tc>
          <w:tcPr>
            <w:tcW w:w="1857" w:type="dxa"/>
            <w:tcBorders>
              <w:top w:val="single" w:sz="4" w:space="0" w:color="auto"/>
              <w:left w:val="single" w:sz="4" w:space="0" w:color="auto"/>
              <w:bottom w:val="single" w:sz="4" w:space="0" w:color="auto"/>
              <w:right w:val="single" w:sz="4" w:space="0" w:color="auto"/>
            </w:tcBorders>
            <w:vAlign w:val="center"/>
          </w:tcPr>
          <w:p w14:paraId="1C0EC5C4" w14:textId="1CD68FE0" w:rsidR="00056FCE" w:rsidRPr="00ED034C" w:rsidRDefault="00056FCE" w:rsidP="00056FCE">
            <w:pPr>
              <w:jc w:val="center"/>
              <w:rPr>
                <w:rFonts w:cs="Arial"/>
                <w:color w:val="000000"/>
                <w:sz w:val="18"/>
                <w:szCs w:val="18"/>
              </w:rPr>
            </w:pPr>
            <w:r>
              <w:rPr>
                <w:rFonts w:cs="Arial"/>
                <w:color w:val="000000"/>
                <w:sz w:val="18"/>
                <w:szCs w:val="18"/>
              </w:rPr>
              <w:t>4,54</w:t>
            </w:r>
            <w:r w:rsidRPr="00ED034C">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vAlign w:val="center"/>
          </w:tcPr>
          <w:p w14:paraId="7DC5AFD0" w14:textId="6E5A5479" w:rsidR="00056FCE" w:rsidRPr="00ED034C" w:rsidRDefault="00056FCE" w:rsidP="00056FCE">
            <w:pPr>
              <w:jc w:val="center"/>
              <w:rPr>
                <w:rFonts w:cs="Arial"/>
                <w:color w:val="000000"/>
                <w:sz w:val="18"/>
                <w:szCs w:val="18"/>
              </w:rPr>
            </w:pPr>
            <w:r>
              <w:rPr>
                <w:rFonts w:cs="Arial"/>
                <w:color w:val="000000"/>
                <w:sz w:val="18"/>
                <w:szCs w:val="18"/>
              </w:rPr>
              <w:t>2,42</w:t>
            </w:r>
            <w:r w:rsidRPr="00ED034C">
              <w:rPr>
                <w:rFonts w:cs="Arial"/>
                <w:color w:val="000000"/>
                <w:sz w:val="18"/>
                <w:szCs w:val="18"/>
              </w:rPr>
              <w:t>%</w:t>
            </w:r>
          </w:p>
        </w:tc>
        <w:tc>
          <w:tcPr>
            <w:tcW w:w="1842" w:type="dxa"/>
            <w:tcBorders>
              <w:top w:val="single" w:sz="4" w:space="0" w:color="auto"/>
              <w:left w:val="single" w:sz="4" w:space="0" w:color="auto"/>
              <w:bottom w:val="single" w:sz="4" w:space="0" w:color="auto"/>
              <w:right w:val="single" w:sz="4" w:space="0" w:color="auto"/>
            </w:tcBorders>
            <w:vAlign w:val="center"/>
          </w:tcPr>
          <w:p w14:paraId="23F6C6EF" w14:textId="1A678678" w:rsidR="00056FCE" w:rsidRPr="00ED034C" w:rsidRDefault="00056FCE" w:rsidP="00056FCE">
            <w:pPr>
              <w:jc w:val="center"/>
              <w:rPr>
                <w:rFonts w:cs="Arial"/>
                <w:color w:val="000000"/>
                <w:sz w:val="18"/>
                <w:szCs w:val="18"/>
              </w:rPr>
            </w:pPr>
            <w:r w:rsidRPr="00942EC6">
              <w:rPr>
                <w:rFonts w:cs="Arial"/>
                <w:color w:val="000000"/>
                <w:sz w:val="18"/>
                <w:szCs w:val="18"/>
              </w:rPr>
              <w:t>5,22 %</w:t>
            </w:r>
          </w:p>
        </w:tc>
        <w:tc>
          <w:tcPr>
            <w:tcW w:w="1843" w:type="dxa"/>
            <w:tcBorders>
              <w:top w:val="single" w:sz="4" w:space="0" w:color="auto"/>
              <w:left w:val="single" w:sz="4" w:space="0" w:color="auto"/>
              <w:bottom w:val="single" w:sz="4" w:space="0" w:color="auto"/>
              <w:right w:val="single" w:sz="4" w:space="0" w:color="auto"/>
            </w:tcBorders>
            <w:vAlign w:val="center"/>
          </w:tcPr>
          <w:p w14:paraId="4D3A88C7" w14:textId="109E5B46" w:rsidR="00056FCE" w:rsidRPr="00ED034C" w:rsidRDefault="00056FCE" w:rsidP="00056FCE">
            <w:pPr>
              <w:jc w:val="center"/>
              <w:rPr>
                <w:rFonts w:cs="Arial"/>
                <w:color w:val="000000"/>
                <w:sz w:val="18"/>
                <w:szCs w:val="18"/>
              </w:rPr>
            </w:pPr>
            <w:r w:rsidRPr="00942EC6">
              <w:rPr>
                <w:rFonts w:cs="Arial"/>
                <w:color w:val="000000"/>
                <w:sz w:val="18"/>
                <w:szCs w:val="18"/>
              </w:rPr>
              <w:t>1,01 %</w:t>
            </w:r>
          </w:p>
        </w:tc>
        <w:tc>
          <w:tcPr>
            <w:tcW w:w="1868" w:type="dxa"/>
            <w:tcBorders>
              <w:top w:val="single" w:sz="4" w:space="0" w:color="auto"/>
              <w:left w:val="single" w:sz="4" w:space="0" w:color="auto"/>
              <w:bottom w:val="single" w:sz="4" w:space="0" w:color="auto"/>
              <w:right w:val="single" w:sz="4" w:space="0" w:color="auto"/>
            </w:tcBorders>
            <w:vAlign w:val="center"/>
          </w:tcPr>
          <w:p w14:paraId="599E1ED8" w14:textId="72B3EB32" w:rsidR="00056FCE" w:rsidRPr="00705F7B" w:rsidRDefault="00056FCE" w:rsidP="00056FCE">
            <w:pPr>
              <w:jc w:val="center"/>
              <w:rPr>
                <w:rFonts w:cs="Arial"/>
                <w:color w:val="000000"/>
                <w:sz w:val="18"/>
                <w:szCs w:val="18"/>
              </w:rPr>
            </w:pPr>
            <w:r w:rsidRPr="00705F7B">
              <w:rPr>
                <w:rFonts w:cs="Arial"/>
                <w:color w:val="000000"/>
                <w:sz w:val="18"/>
                <w:szCs w:val="18"/>
              </w:rPr>
              <w:t>7,48%</w:t>
            </w:r>
          </w:p>
        </w:tc>
        <w:tc>
          <w:tcPr>
            <w:tcW w:w="1776" w:type="dxa"/>
            <w:tcBorders>
              <w:top w:val="single" w:sz="4" w:space="0" w:color="auto"/>
              <w:left w:val="single" w:sz="4" w:space="0" w:color="auto"/>
              <w:bottom w:val="single" w:sz="4" w:space="0" w:color="auto"/>
              <w:right w:val="single" w:sz="4" w:space="0" w:color="auto"/>
            </w:tcBorders>
            <w:vAlign w:val="center"/>
          </w:tcPr>
          <w:p w14:paraId="22123B88" w14:textId="7B52CE61" w:rsidR="00056FCE" w:rsidRPr="00705F7B" w:rsidRDefault="00056FCE" w:rsidP="00056FCE">
            <w:pPr>
              <w:jc w:val="center"/>
              <w:rPr>
                <w:rFonts w:cs="Arial"/>
                <w:color w:val="000000"/>
                <w:sz w:val="18"/>
                <w:szCs w:val="18"/>
              </w:rPr>
            </w:pPr>
            <w:r w:rsidRPr="00705F7B">
              <w:rPr>
                <w:rFonts w:cs="Arial"/>
                <w:color w:val="000000"/>
                <w:sz w:val="18"/>
                <w:szCs w:val="18"/>
              </w:rPr>
              <w:t>3,93%</w:t>
            </w:r>
          </w:p>
        </w:tc>
      </w:tr>
      <w:tr w:rsidR="00056FCE" w:rsidRPr="00ED1A48" w14:paraId="1585226B"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DA4FD43" w14:textId="77777777" w:rsidR="00056FCE" w:rsidRPr="00ED1A48" w:rsidRDefault="00056FCE" w:rsidP="00056FCE">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D94BA38" w14:textId="77777777" w:rsidR="00056FCE" w:rsidRPr="00ED1A48" w:rsidRDefault="00056FCE" w:rsidP="00056FCE">
            <w:pPr>
              <w:jc w:val="left"/>
              <w:rPr>
                <w:rFonts w:cs="Arial"/>
                <w:b/>
                <w:color w:val="000000"/>
                <w:sz w:val="16"/>
                <w:szCs w:val="16"/>
              </w:rPr>
            </w:pPr>
            <w:r w:rsidRPr="009B49EA">
              <w:rPr>
                <w:b/>
                <w:sz w:val="16"/>
                <w:szCs w:val="16"/>
              </w:rPr>
              <w:t>Określenie wymogu spełniania wymagań odpowiednich systemów lub norm zarządzania środowiskowego</w:t>
            </w:r>
          </w:p>
        </w:tc>
        <w:tc>
          <w:tcPr>
            <w:tcW w:w="1857" w:type="dxa"/>
            <w:tcBorders>
              <w:top w:val="single" w:sz="4" w:space="0" w:color="auto"/>
              <w:left w:val="single" w:sz="4" w:space="0" w:color="auto"/>
              <w:bottom w:val="single" w:sz="4" w:space="0" w:color="auto"/>
              <w:right w:val="single" w:sz="4" w:space="0" w:color="auto"/>
            </w:tcBorders>
            <w:vAlign w:val="center"/>
          </w:tcPr>
          <w:p w14:paraId="2DB8F01B" w14:textId="26205051" w:rsidR="00056FCE" w:rsidRPr="00ED034C" w:rsidRDefault="00056FCE" w:rsidP="00056FCE">
            <w:pPr>
              <w:jc w:val="center"/>
              <w:rPr>
                <w:rFonts w:cs="Arial"/>
                <w:color w:val="000000"/>
                <w:sz w:val="18"/>
                <w:szCs w:val="18"/>
              </w:rPr>
            </w:pPr>
            <w:r>
              <w:rPr>
                <w:rFonts w:cs="Arial"/>
                <w:color w:val="000000"/>
                <w:sz w:val="18"/>
                <w:szCs w:val="18"/>
              </w:rPr>
              <w:t>4,08</w:t>
            </w:r>
            <w:r w:rsidRPr="00ED034C">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vAlign w:val="center"/>
          </w:tcPr>
          <w:p w14:paraId="2ADFF5A8" w14:textId="40B5FCA2" w:rsidR="00056FCE" w:rsidRPr="00ED034C" w:rsidRDefault="00056FCE" w:rsidP="00056FCE">
            <w:pPr>
              <w:jc w:val="center"/>
              <w:rPr>
                <w:rFonts w:cs="Arial"/>
                <w:color w:val="000000"/>
                <w:sz w:val="18"/>
                <w:szCs w:val="18"/>
              </w:rPr>
            </w:pPr>
            <w:r>
              <w:rPr>
                <w:rFonts w:cs="Arial"/>
                <w:color w:val="000000"/>
                <w:sz w:val="18"/>
                <w:szCs w:val="18"/>
              </w:rPr>
              <w:t>5,61</w:t>
            </w:r>
            <w:r w:rsidRPr="00ED034C">
              <w:rPr>
                <w:rFonts w:cs="Arial"/>
                <w:color w:val="000000"/>
                <w:sz w:val="18"/>
                <w:szCs w:val="18"/>
              </w:rPr>
              <w:t>%</w:t>
            </w:r>
          </w:p>
        </w:tc>
        <w:tc>
          <w:tcPr>
            <w:tcW w:w="1842" w:type="dxa"/>
            <w:tcBorders>
              <w:top w:val="single" w:sz="4" w:space="0" w:color="auto"/>
              <w:left w:val="single" w:sz="4" w:space="0" w:color="auto"/>
              <w:bottom w:val="single" w:sz="4" w:space="0" w:color="auto"/>
              <w:right w:val="single" w:sz="4" w:space="0" w:color="auto"/>
            </w:tcBorders>
            <w:vAlign w:val="center"/>
          </w:tcPr>
          <w:p w14:paraId="6CDFEA32" w14:textId="20A99816" w:rsidR="00056FCE" w:rsidRPr="00ED034C" w:rsidRDefault="00056FCE" w:rsidP="00056FCE">
            <w:pPr>
              <w:jc w:val="center"/>
              <w:rPr>
                <w:rFonts w:cs="Arial"/>
                <w:color w:val="000000"/>
                <w:sz w:val="18"/>
                <w:szCs w:val="18"/>
              </w:rPr>
            </w:pPr>
            <w:r w:rsidRPr="00942EC6">
              <w:rPr>
                <w:rFonts w:cs="Arial"/>
                <w:color w:val="000000"/>
                <w:sz w:val="18"/>
                <w:szCs w:val="18"/>
              </w:rPr>
              <w:t>4,43 %</w:t>
            </w:r>
          </w:p>
        </w:tc>
        <w:tc>
          <w:tcPr>
            <w:tcW w:w="1843" w:type="dxa"/>
            <w:tcBorders>
              <w:top w:val="single" w:sz="4" w:space="0" w:color="auto"/>
              <w:left w:val="single" w:sz="4" w:space="0" w:color="auto"/>
              <w:bottom w:val="single" w:sz="4" w:space="0" w:color="auto"/>
              <w:right w:val="single" w:sz="4" w:space="0" w:color="auto"/>
            </w:tcBorders>
            <w:vAlign w:val="center"/>
          </w:tcPr>
          <w:p w14:paraId="65287AE5" w14:textId="253C578A" w:rsidR="00056FCE" w:rsidRPr="00ED034C" w:rsidRDefault="00056FCE" w:rsidP="00056FCE">
            <w:pPr>
              <w:jc w:val="center"/>
              <w:rPr>
                <w:rFonts w:cs="Arial"/>
                <w:color w:val="000000"/>
                <w:sz w:val="18"/>
                <w:szCs w:val="18"/>
              </w:rPr>
            </w:pPr>
            <w:r w:rsidRPr="00942EC6">
              <w:rPr>
                <w:rFonts w:cs="Arial"/>
                <w:color w:val="000000"/>
                <w:sz w:val="18"/>
                <w:szCs w:val="18"/>
              </w:rPr>
              <w:t>3,41 %</w:t>
            </w:r>
          </w:p>
        </w:tc>
        <w:tc>
          <w:tcPr>
            <w:tcW w:w="1868" w:type="dxa"/>
            <w:tcBorders>
              <w:top w:val="single" w:sz="4" w:space="0" w:color="auto"/>
              <w:left w:val="single" w:sz="4" w:space="0" w:color="auto"/>
              <w:bottom w:val="single" w:sz="4" w:space="0" w:color="auto"/>
              <w:right w:val="single" w:sz="4" w:space="0" w:color="auto"/>
            </w:tcBorders>
            <w:vAlign w:val="center"/>
          </w:tcPr>
          <w:p w14:paraId="5CFF9169" w14:textId="32C44AC3" w:rsidR="00056FCE" w:rsidRPr="00705F7B" w:rsidRDefault="00056FCE" w:rsidP="00056FCE">
            <w:pPr>
              <w:jc w:val="center"/>
              <w:rPr>
                <w:rFonts w:cs="Arial"/>
                <w:color w:val="000000"/>
                <w:sz w:val="18"/>
                <w:szCs w:val="18"/>
              </w:rPr>
            </w:pPr>
            <w:r w:rsidRPr="00705F7B">
              <w:rPr>
                <w:rFonts w:cs="Arial"/>
                <w:color w:val="000000"/>
                <w:sz w:val="18"/>
                <w:szCs w:val="18"/>
              </w:rPr>
              <w:t>7,48%</w:t>
            </w:r>
          </w:p>
        </w:tc>
        <w:tc>
          <w:tcPr>
            <w:tcW w:w="1776" w:type="dxa"/>
            <w:tcBorders>
              <w:top w:val="single" w:sz="4" w:space="0" w:color="auto"/>
              <w:left w:val="single" w:sz="4" w:space="0" w:color="auto"/>
              <w:bottom w:val="single" w:sz="4" w:space="0" w:color="auto"/>
              <w:right w:val="single" w:sz="4" w:space="0" w:color="auto"/>
            </w:tcBorders>
            <w:vAlign w:val="center"/>
          </w:tcPr>
          <w:p w14:paraId="537A4A67" w14:textId="2F74E77E" w:rsidR="00056FCE" w:rsidRPr="00705F7B" w:rsidRDefault="00056FCE" w:rsidP="00056FCE">
            <w:pPr>
              <w:jc w:val="center"/>
              <w:rPr>
                <w:rFonts w:cs="Arial"/>
                <w:color w:val="000000"/>
                <w:sz w:val="18"/>
                <w:szCs w:val="18"/>
              </w:rPr>
            </w:pPr>
            <w:r w:rsidRPr="00705F7B">
              <w:rPr>
                <w:rFonts w:cs="Arial"/>
                <w:color w:val="000000"/>
                <w:sz w:val="18"/>
                <w:szCs w:val="18"/>
              </w:rPr>
              <w:t>3,77%</w:t>
            </w:r>
          </w:p>
        </w:tc>
      </w:tr>
      <w:tr w:rsidR="00056FCE" w:rsidRPr="00ED1A48" w14:paraId="39D963CE"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F8623E9" w14:textId="77777777" w:rsidR="00056FCE" w:rsidRPr="00ED1A48" w:rsidRDefault="00056FCE" w:rsidP="00056FCE">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81C6E99" w14:textId="77777777" w:rsidR="00056FCE" w:rsidRPr="00ED1A48" w:rsidRDefault="00056FCE" w:rsidP="00056FCE">
            <w:pPr>
              <w:jc w:val="left"/>
              <w:rPr>
                <w:rFonts w:cs="Arial"/>
                <w:b/>
                <w:color w:val="000000"/>
                <w:sz w:val="16"/>
                <w:szCs w:val="16"/>
              </w:rPr>
            </w:pPr>
            <w:r w:rsidRPr="009B49EA">
              <w:rPr>
                <w:b/>
                <w:sz w:val="16"/>
                <w:szCs w:val="16"/>
              </w:rPr>
              <w:t>Zastosowanie kryterium kosztu z wykorzystaniem rachunku kosztów cyklu życia</w:t>
            </w:r>
          </w:p>
        </w:tc>
        <w:tc>
          <w:tcPr>
            <w:tcW w:w="1857" w:type="dxa"/>
            <w:tcBorders>
              <w:top w:val="single" w:sz="4" w:space="0" w:color="auto"/>
              <w:left w:val="single" w:sz="4" w:space="0" w:color="auto"/>
              <w:bottom w:val="single" w:sz="4" w:space="0" w:color="auto"/>
              <w:right w:val="single" w:sz="4" w:space="0" w:color="auto"/>
            </w:tcBorders>
            <w:vAlign w:val="center"/>
          </w:tcPr>
          <w:p w14:paraId="05CBABF7" w14:textId="16F710EB" w:rsidR="00056FCE" w:rsidRPr="00ED034C" w:rsidRDefault="00056FCE" w:rsidP="00056FCE">
            <w:pPr>
              <w:jc w:val="center"/>
              <w:rPr>
                <w:rFonts w:cs="Arial"/>
                <w:color w:val="000000"/>
                <w:sz w:val="18"/>
                <w:szCs w:val="18"/>
              </w:rPr>
            </w:pPr>
            <w:r>
              <w:rPr>
                <w:rFonts w:cs="Arial"/>
                <w:color w:val="000000"/>
                <w:sz w:val="18"/>
                <w:szCs w:val="18"/>
              </w:rPr>
              <w:t>0,96</w:t>
            </w:r>
            <w:r w:rsidRPr="00ED034C">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vAlign w:val="center"/>
          </w:tcPr>
          <w:p w14:paraId="7190E809" w14:textId="1F50BB4C" w:rsidR="00056FCE" w:rsidRPr="00ED034C" w:rsidRDefault="00056FCE" w:rsidP="00056FCE">
            <w:pPr>
              <w:jc w:val="center"/>
              <w:rPr>
                <w:rFonts w:cs="Arial"/>
                <w:color w:val="000000"/>
                <w:sz w:val="18"/>
                <w:szCs w:val="18"/>
              </w:rPr>
            </w:pPr>
            <w:r w:rsidRPr="00ED034C">
              <w:rPr>
                <w:rFonts w:cs="Arial"/>
                <w:color w:val="000000"/>
                <w:sz w:val="18"/>
                <w:szCs w:val="18"/>
              </w:rPr>
              <w:t>4,39%</w:t>
            </w:r>
          </w:p>
        </w:tc>
        <w:tc>
          <w:tcPr>
            <w:tcW w:w="1842" w:type="dxa"/>
            <w:tcBorders>
              <w:top w:val="single" w:sz="4" w:space="0" w:color="auto"/>
              <w:left w:val="single" w:sz="4" w:space="0" w:color="auto"/>
              <w:bottom w:val="single" w:sz="4" w:space="0" w:color="auto"/>
              <w:right w:val="single" w:sz="4" w:space="0" w:color="auto"/>
            </w:tcBorders>
            <w:vAlign w:val="center"/>
          </w:tcPr>
          <w:p w14:paraId="5F22A225" w14:textId="772E27BA" w:rsidR="00056FCE" w:rsidRPr="00ED034C" w:rsidRDefault="00056FCE" w:rsidP="00056FCE">
            <w:pPr>
              <w:jc w:val="center"/>
              <w:rPr>
                <w:rFonts w:cs="Arial"/>
                <w:color w:val="000000"/>
                <w:sz w:val="18"/>
                <w:szCs w:val="18"/>
              </w:rPr>
            </w:pPr>
            <w:r w:rsidRPr="00942EC6">
              <w:rPr>
                <w:rFonts w:cs="Arial"/>
                <w:color w:val="000000"/>
                <w:sz w:val="18"/>
                <w:szCs w:val="18"/>
              </w:rPr>
              <w:t>0,65 %</w:t>
            </w:r>
          </w:p>
        </w:tc>
        <w:tc>
          <w:tcPr>
            <w:tcW w:w="1843" w:type="dxa"/>
            <w:tcBorders>
              <w:top w:val="single" w:sz="4" w:space="0" w:color="auto"/>
              <w:left w:val="single" w:sz="4" w:space="0" w:color="auto"/>
              <w:bottom w:val="single" w:sz="4" w:space="0" w:color="auto"/>
              <w:right w:val="single" w:sz="4" w:space="0" w:color="auto"/>
            </w:tcBorders>
            <w:vAlign w:val="center"/>
          </w:tcPr>
          <w:p w14:paraId="4EB34F77" w14:textId="40B6F199" w:rsidR="00056FCE" w:rsidRPr="00ED034C" w:rsidRDefault="00056FCE" w:rsidP="00056FCE">
            <w:pPr>
              <w:jc w:val="center"/>
              <w:rPr>
                <w:rFonts w:cs="Arial"/>
                <w:color w:val="000000"/>
                <w:sz w:val="18"/>
                <w:szCs w:val="18"/>
              </w:rPr>
            </w:pPr>
            <w:r w:rsidRPr="00942EC6">
              <w:rPr>
                <w:rFonts w:cs="Arial"/>
                <w:color w:val="000000"/>
                <w:sz w:val="18"/>
                <w:szCs w:val="18"/>
              </w:rPr>
              <w:t>4,09 %</w:t>
            </w:r>
          </w:p>
        </w:tc>
        <w:tc>
          <w:tcPr>
            <w:tcW w:w="1868" w:type="dxa"/>
            <w:tcBorders>
              <w:top w:val="single" w:sz="4" w:space="0" w:color="auto"/>
              <w:left w:val="single" w:sz="4" w:space="0" w:color="auto"/>
              <w:bottom w:val="single" w:sz="4" w:space="0" w:color="auto"/>
              <w:right w:val="single" w:sz="4" w:space="0" w:color="auto"/>
            </w:tcBorders>
            <w:vAlign w:val="center"/>
          </w:tcPr>
          <w:p w14:paraId="4FFC62E5" w14:textId="32E19FA5" w:rsidR="00056FCE" w:rsidRPr="00705F7B" w:rsidRDefault="00056FCE" w:rsidP="00056FCE">
            <w:pPr>
              <w:jc w:val="center"/>
              <w:rPr>
                <w:rFonts w:cs="Arial"/>
                <w:color w:val="000000"/>
                <w:sz w:val="18"/>
                <w:szCs w:val="18"/>
              </w:rPr>
            </w:pPr>
            <w:r w:rsidRPr="00705F7B">
              <w:rPr>
                <w:rFonts w:cs="Arial"/>
                <w:color w:val="000000"/>
                <w:sz w:val="18"/>
                <w:szCs w:val="18"/>
              </w:rPr>
              <w:t>1%</w:t>
            </w:r>
          </w:p>
        </w:tc>
        <w:tc>
          <w:tcPr>
            <w:tcW w:w="1776" w:type="dxa"/>
            <w:tcBorders>
              <w:top w:val="single" w:sz="4" w:space="0" w:color="auto"/>
              <w:left w:val="single" w:sz="4" w:space="0" w:color="auto"/>
              <w:bottom w:val="single" w:sz="4" w:space="0" w:color="auto"/>
              <w:right w:val="single" w:sz="4" w:space="0" w:color="auto"/>
            </w:tcBorders>
            <w:vAlign w:val="center"/>
          </w:tcPr>
          <w:p w14:paraId="206ABCCA" w14:textId="14B652BD" w:rsidR="00056FCE" w:rsidRPr="00705F7B" w:rsidRDefault="00056FCE" w:rsidP="00056FCE">
            <w:pPr>
              <w:jc w:val="center"/>
              <w:rPr>
                <w:rFonts w:cs="Arial"/>
                <w:color w:val="000000"/>
                <w:sz w:val="18"/>
                <w:szCs w:val="18"/>
              </w:rPr>
            </w:pPr>
            <w:r w:rsidRPr="00705F7B">
              <w:rPr>
                <w:rFonts w:cs="Arial"/>
                <w:color w:val="000000"/>
                <w:sz w:val="18"/>
                <w:szCs w:val="18"/>
              </w:rPr>
              <w:t>1,12%</w:t>
            </w:r>
          </w:p>
        </w:tc>
      </w:tr>
    </w:tbl>
    <w:p w14:paraId="3CFEDE74" w14:textId="77777777" w:rsidR="00B27C43" w:rsidRDefault="00B27C43" w:rsidP="00FD257F">
      <w:pPr>
        <w:spacing w:before="120"/>
        <w:jc w:val="left"/>
        <w:rPr>
          <w:szCs w:val="22"/>
        </w:rPr>
      </w:pPr>
      <w:r w:rsidRPr="00517480">
        <w:rPr>
          <w:b/>
          <w:sz w:val="16"/>
          <w:szCs w:val="16"/>
          <w:u w:val="single"/>
        </w:rPr>
        <w:t>UWAGA</w:t>
      </w:r>
      <w:r w:rsidRPr="004C0201">
        <w:rPr>
          <w:sz w:val="16"/>
          <w:szCs w:val="16"/>
        </w:rPr>
        <w:t>: Suma udziałów zamówień z zastosowaniem poszczególnych aspektów środowiskowych w ogólnej liczbie i wartości zamówień zielonych jest większa niż łączna liczba i wartość zamówień środowiskowych ze względu na przypadki zastosowania więcej niż jednego aspektu środowiskowego w jednym zamówieniu</w:t>
      </w:r>
    </w:p>
    <w:p w14:paraId="18A8D7A4" w14:textId="77777777" w:rsidR="00B27C43" w:rsidRDefault="00B27C43" w:rsidP="00B27C43">
      <w:pPr>
        <w:jc w:val="left"/>
        <w:rPr>
          <w:szCs w:val="22"/>
        </w:rPr>
      </w:pPr>
    </w:p>
    <w:p w14:paraId="20657DB4" w14:textId="77777777" w:rsidR="00B27C43" w:rsidRDefault="00B27C43" w:rsidP="00B27C43">
      <w:pPr>
        <w:jc w:val="left"/>
        <w:rPr>
          <w:szCs w:val="22"/>
        </w:rPr>
        <w:sectPr w:rsidR="00B27C43" w:rsidSect="00CC77CA">
          <w:pgSz w:w="16838" w:h="11906" w:orient="landscape"/>
          <w:pgMar w:top="1418" w:right="1418" w:bottom="1418" w:left="1418" w:header="709" w:footer="709" w:gutter="0"/>
          <w:cols w:space="708"/>
          <w:docGrid w:linePitch="299"/>
        </w:sectPr>
      </w:pPr>
    </w:p>
    <w:p w14:paraId="3AB153B0" w14:textId="07D7B92D" w:rsidR="00B27C43" w:rsidRPr="00E34FFA" w:rsidRDefault="00E04380" w:rsidP="00852522">
      <w:pPr>
        <w:pStyle w:val="Nagwek4"/>
      </w:pPr>
      <w:bookmarkStart w:id="348" w:name="_Załącznik_nr_4."/>
      <w:bookmarkEnd w:id="348"/>
      <w:r w:rsidRPr="00E04380">
        <w:t xml:space="preserve">Załącznik nr </w:t>
      </w:r>
      <w:r w:rsidR="002972A1">
        <w:t>3</w:t>
      </w:r>
      <w:r>
        <w:t xml:space="preserve">. </w:t>
      </w:r>
      <w:r w:rsidR="00B27C43" w:rsidRPr="00E34FFA">
        <w:t>Dane dotyczące zamówień</w:t>
      </w:r>
      <w:r w:rsidR="00B17B90">
        <w:t xml:space="preserve"> </w:t>
      </w:r>
      <w:r w:rsidR="00B17B90" w:rsidRPr="00B17B90">
        <w:t>publicznych, w których odwołano się do odpowiednich instrumentów wspierających innowacje</w:t>
      </w:r>
    </w:p>
    <w:p w14:paraId="3772C331" w14:textId="77777777" w:rsidR="00B27C43" w:rsidRPr="00227818" w:rsidRDefault="00B27C43" w:rsidP="00FD257F">
      <w:pPr>
        <w:spacing w:before="240" w:after="120"/>
        <w:jc w:val="center"/>
        <w:rPr>
          <w:b/>
        </w:rPr>
      </w:pPr>
      <w:r w:rsidRPr="00227818">
        <w:rPr>
          <w:b/>
        </w:rPr>
        <w:t>Liczba i wartość zamówień publicznych z danym aspektem innowacyjnym w poszczególnych latach</w:t>
      </w:r>
    </w:p>
    <w:tbl>
      <w:tblPr>
        <w:tblW w:w="13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006"/>
        <w:gridCol w:w="1895"/>
        <w:gridCol w:w="1896"/>
        <w:gridCol w:w="1895"/>
        <w:gridCol w:w="1896"/>
        <w:gridCol w:w="1895"/>
        <w:gridCol w:w="1896"/>
      </w:tblGrid>
      <w:tr w:rsidR="00B27C43" w:rsidRPr="00ED1A48" w14:paraId="35A1AC9B" w14:textId="77777777" w:rsidTr="006E1E7D">
        <w:trPr>
          <w:tblHeader/>
        </w:trPr>
        <w:tc>
          <w:tcPr>
            <w:tcW w:w="2476"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48B6EF77"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791" w:type="dxa"/>
            <w:gridSpan w:val="2"/>
            <w:tcBorders>
              <w:top w:val="single" w:sz="4" w:space="0" w:color="auto"/>
              <w:left w:val="single" w:sz="4" w:space="0" w:color="auto"/>
              <w:bottom w:val="single" w:sz="4" w:space="0" w:color="auto"/>
              <w:right w:val="single" w:sz="4" w:space="0" w:color="auto"/>
            </w:tcBorders>
            <w:shd w:val="clear" w:color="auto" w:fill="FFE599"/>
          </w:tcPr>
          <w:p w14:paraId="2D0D78B4" w14:textId="2EACBB30" w:rsidR="00B27C43" w:rsidRPr="00ED1A48" w:rsidRDefault="00B27C43" w:rsidP="00A530EF">
            <w:pPr>
              <w:jc w:val="center"/>
              <w:rPr>
                <w:rFonts w:cs="Arial"/>
                <w:b/>
                <w:bCs/>
                <w:color w:val="000000"/>
                <w:sz w:val="16"/>
                <w:szCs w:val="16"/>
              </w:rPr>
            </w:pPr>
            <w:r>
              <w:rPr>
                <w:rFonts w:cs="Arial"/>
                <w:b/>
                <w:bCs/>
                <w:color w:val="000000"/>
                <w:sz w:val="16"/>
                <w:szCs w:val="16"/>
              </w:rPr>
              <w:t>202</w:t>
            </w:r>
            <w:r w:rsidR="00A530EF">
              <w:rPr>
                <w:rFonts w:cs="Arial"/>
                <w:b/>
                <w:bCs/>
                <w:color w:val="000000"/>
                <w:sz w:val="16"/>
                <w:szCs w:val="16"/>
              </w:rPr>
              <w:t>3</w:t>
            </w:r>
            <w:r>
              <w:rPr>
                <w:rFonts w:cs="Arial"/>
                <w:b/>
                <w:bCs/>
                <w:color w:val="000000"/>
                <w:sz w:val="16"/>
                <w:szCs w:val="16"/>
              </w:rPr>
              <w:t xml:space="preserve"> r.</w:t>
            </w:r>
          </w:p>
        </w:tc>
        <w:tc>
          <w:tcPr>
            <w:tcW w:w="3791" w:type="dxa"/>
            <w:gridSpan w:val="2"/>
            <w:tcBorders>
              <w:top w:val="single" w:sz="4" w:space="0" w:color="auto"/>
              <w:left w:val="single" w:sz="4" w:space="0" w:color="auto"/>
              <w:bottom w:val="single" w:sz="4" w:space="0" w:color="auto"/>
              <w:right w:val="single" w:sz="4" w:space="0" w:color="auto"/>
            </w:tcBorders>
            <w:shd w:val="clear" w:color="auto" w:fill="FFE599"/>
          </w:tcPr>
          <w:p w14:paraId="78DC6E60" w14:textId="6738FC2B" w:rsidR="00B27C43" w:rsidRPr="00ED1A48" w:rsidRDefault="00B27C43" w:rsidP="00C866A1">
            <w:pPr>
              <w:jc w:val="center"/>
              <w:rPr>
                <w:rFonts w:cs="Arial"/>
                <w:b/>
                <w:bCs/>
                <w:color w:val="000000"/>
                <w:sz w:val="16"/>
                <w:szCs w:val="16"/>
              </w:rPr>
            </w:pPr>
            <w:r>
              <w:rPr>
                <w:rFonts w:cs="Arial"/>
                <w:b/>
                <w:bCs/>
                <w:color w:val="000000"/>
                <w:sz w:val="16"/>
                <w:szCs w:val="16"/>
              </w:rPr>
              <w:t>2</w:t>
            </w:r>
            <w:r w:rsidR="00A530EF">
              <w:rPr>
                <w:rFonts w:cs="Arial"/>
                <w:b/>
                <w:bCs/>
                <w:color w:val="000000"/>
                <w:sz w:val="16"/>
                <w:szCs w:val="16"/>
              </w:rPr>
              <w:t>024</w:t>
            </w:r>
            <w:r>
              <w:rPr>
                <w:rFonts w:cs="Arial"/>
                <w:b/>
                <w:bCs/>
                <w:color w:val="000000"/>
                <w:sz w:val="16"/>
                <w:szCs w:val="16"/>
              </w:rPr>
              <w:t xml:space="preserve"> r.</w:t>
            </w:r>
          </w:p>
        </w:tc>
        <w:tc>
          <w:tcPr>
            <w:tcW w:w="3791" w:type="dxa"/>
            <w:gridSpan w:val="2"/>
            <w:tcBorders>
              <w:top w:val="single" w:sz="4" w:space="0" w:color="auto"/>
              <w:left w:val="single" w:sz="4" w:space="0" w:color="auto"/>
              <w:bottom w:val="single" w:sz="4" w:space="0" w:color="auto"/>
              <w:right w:val="single" w:sz="4" w:space="0" w:color="auto"/>
            </w:tcBorders>
            <w:shd w:val="clear" w:color="auto" w:fill="FFE599"/>
          </w:tcPr>
          <w:p w14:paraId="3B8342AD" w14:textId="42DD13B1" w:rsidR="00B27C43" w:rsidRPr="00ED1A48" w:rsidRDefault="00A530EF" w:rsidP="00C866A1">
            <w:pPr>
              <w:jc w:val="center"/>
              <w:rPr>
                <w:rFonts w:cs="Arial"/>
                <w:b/>
                <w:bCs/>
                <w:color w:val="000000"/>
                <w:sz w:val="16"/>
                <w:szCs w:val="16"/>
              </w:rPr>
            </w:pPr>
            <w:r>
              <w:rPr>
                <w:rFonts w:cs="Arial"/>
                <w:b/>
                <w:bCs/>
                <w:color w:val="000000"/>
                <w:sz w:val="16"/>
                <w:szCs w:val="16"/>
              </w:rPr>
              <w:t>2025</w:t>
            </w:r>
            <w:r w:rsidR="00B27C43">
              <w:rPr>
                <w:rFonts w:cs="Arial"/>
                <w:b/>
                <w:bCs/>
                <w:color w:val="000000"/>
                <w:sz w:val="16"/>
                <w:szCs w:val="16"/>
              </w:rPr>
              <w:t xml:space="preserve"> r.</w:t>
            </w:r>
          </w:p>
        </w:tc>
      </w:tr>
      <w:tr w:rsidR="00EB34DA" w:rsidRPr="00ED1A48" w14:paraId="60907B9B" w14:textId="77777777" w:rsidTr="006E1E7D">
        <w:trPr>
          <w:tblHeader/>
        </w:trPr>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16679446" w14:textId="77777777" w:rsidR="00EB34DA" w:rsidRPr="00ED1A48" w:rsidRDefault="00EB34DA" w:rsidP="00EB34DA">
            <w:pPr>
              <w:jc w:val="center"/>
              <w:rPr>
                <w:rFonts w:cs="Arial"/>
                <w:b/>
                <w:color w:val="000000"/>
                <w:sz w:val="16"/>
                <w:szCs w:val="16"/>
              </w:rPr>
            </w:pPr>
            <w:r w:rsidRPr="00ED1A48">
              <w:rPr>
                <w:rFonts w:cs="Arial"/>
                <w:b/>
                <w:color w:val="000000"/>
                <w:sz w:val="16"/>
                <w:szCs w:val="16"/>
              </w:rPr>
              <w:t>Lp.</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1EAFEC5E" w14:textId="29EA57DF" w:rsidR="00EB34DA" w:rsidRPr="00ED1A48" w:rsidRDefault="00EB34DA" w:rsidP="00EB34DA">
            <w:pPr>
              <w:jc w:val="center"/>
              <w:rPr>
                <w:rFonts w:cs="Arial"/>
                <w:b/>
                <w:color w:val="000000"/>
                <w:sz w:val="16"/>
                <w:szCs w:val="16"/>
              </w:rPr>
            </w:pPr>
            <w:r w:rsidRPr="00ED1A48">
              <w:rPr>
                <w:rFonts w:cs="Arial"/>
                <w:b/>
                <w:color w:val="000000"/>
                <w:sz w:val="16"/>
                <w:szCs w:val="16"/>
              </w:rPr>
              <w:t xml:space="preserve">Aspekt </w:t>
            </w:r>
            <w:r>
              <w:rPr>
                <w:rFonts w:cs="Arial"/>
                <w:b/>
                <w:color w:val="000000"/>
                <w:sz w:val="16"/>
                <w:szCs w:val="16"/>
              </w:rPr>
              <w:t>innowacyjny</w:t>
            </w:r>
            <w:r w:rsidRPr="00ED1A48">
              <w:rPr>
                <w:rFonts w:cs="Arial"/>
                <w:b/>
                <w:color w:val="000000"/>
                <w:sz w:val="16"/>
                <w:szCs w:val="16"/>
              </w:rPr>
              <w:t xml:space="preserve"> </w:t>
            </w:r>
          </w:p>
        </w:tc>
        <w:tc>
          <w:tcPr>
            <w:tcW w:w="1895" w:type="dxa"/>
            <w:tcBorders>
              <w:top w:val="single" w:sz="4" w:space="0" w:color="auto"/>
              <w:left w:val="single" w:sz="4" w:space="0" w:color="auto"/>
              <w:bottom w:val="single" w:sz="4" w:space="0" w:color="auto"/>
              <w:right w:val="single" w:sz="4" w:space="0" w:color="auto"/>
            </w:tcBorders>
            <w:shd w:val="clear" w:color="auto" w:fill="FFF2CC"/>
            <w:vAlign w:val="center"/>
          </w:tcPr>
          <w:p w14:paraId="5E0B88B2"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Liczba zamówień z zastosowaniem danego aspektu</w:t>
            </w:r>
          </w:p>
        </w:tc>
        <w:tc>
          <w:tcPr>
            <w:tcW w:w="1896" w:type="dxa"/>
            <w:tcBorders>
              <w:top w:val="single" w:sz="4" w:space="0" w:color="auto"/>
              <w:left w:val="single" w:sz="4" w:space="0" w:color="auto"/>
              <w:bottom w:val="single" w:sz="4" w:space="0" w:color="auto"/>
              <w:right w:val="single" w:sz="4" w:space="0" w:color="auto"/>
            </w:tcBorders>
            <w:shd w:val="clear" w:color="auto" w:fill="FFF2CC"/>
            <w:vAlign w:val="center"/>
          </w:tcPr>
          <w:p w14:paraId="7B87F77E"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895" w:type="dxa"/>
            <w:tcBorders>
              <w:top w:val="single" w:sz="4" w:space="0" w:color="auto"/>
              <w:left w:val="single" w:sz="4" w:space="0" w:color="auto"/>
              <w:bottom w:val="single" w:sz="4" w:space="0" w:color="auto"/>
              <w:right w:val="single" w:sz="4" w:space="0" w:color="auto"/>
            </w:tcBorders>
            <w:shd w:val="clear" w:color="auto" w:fill="FFF2CC"/>
            <w:vAlign w:val="center"/>
          </w:tcPr>
          <w:p w14:paraId="2A2E8D05"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1896" w:type="dxa"/>
            <w:tcBorders>
              <w:top w:val="single" w:sz="4" w:space="0" w:color="auto"/>
              <w:left w:val="single" w:sz="4" w:space="0" w:color="auto"/>
              <w:bottom w:val="single" w:sz="4" w:space="0" w:color="auto"/>
              <w:right w:val="single" w:sz="4" w:space="0" w:color="auto"/>
            </w:tcBorders>
            <w:shd w:val="clear" w:color="auto" w:fill="FFF2CC"/>
            <w:vAlign w:val="center"/>
          </w:tcPr>
          <w:p w14:paraId="56E4B030"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895" w:type="dxa"/>
            <w:tcBorders>
              <w:top w:val="single" w:sz="4" w:space="0" w:color="auto"/>
              <w:left w:val="single" w:sz="4" w:space="0" w:color="auto"/>
              <w:bottom w:val="single" w:sz="4" w:space="0" w:color="auto"/>
              <w:right w:val="single" w:sz="4" w:space="0" w:color="auto"/>
            </w:tcBorders>
            <w:shd w:val="clear" w:color="auto" w:fill="FFF2CC"/>
          </w:tcPr>
          <w:p w14:paraId="1E480432"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1896" w:type="dxa"/>
            <w:tcBorders>
              <w:top w:val="single" w:sz="4" w:space="0" w:color="auto"/>
              <w:left w:val="single" w:sz="4" w:space="0" w:color="auto"/>
              <w:bottom w:val="single" w:sz="4" w:space="0" w:color="auto"/>
              <w:right w:val="single" w:sz="4" w:space="0" w:color="auto"/>
            </w:tcBorders>
            <w:shd w:val="clear" w:color="auto" w:fill="FFF2CC"/>
          </w:tcPr>
          <w:p w14:paraId="4BD5B513"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Wartość zamówień z zastosowaniem danego aspektu</w:t>
            </w:r>
          </w:p>
        </w:tc>
      </w:tr>
      <w:tr w:rsidR="00804906" w:rsidRPr="00ED1A48" w14:paraId="5319BA79" w14:textId="77777777" w:rsidTr="006E1E7D">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55610521" w14:textId="74DA0401" w:rsidR="00804906" w:rsidRDefault="00804906" w:rsidP="00804906">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060EA06D" w14:textId="388FD169" w:rsidR="00804906" w:rsidRPr="003749AE" w:rsidRDefault="00804906" w:rsidP="00804906">
            <w:pPr>
              <w:jc w:val="left"/>
              <w:rPr>
                <w:b/>
                <w:sz w:val="16"/>
                <w:szCs w:val="16"/>
              </w:rPr>
            </w:pPr>
            <w:r w:rsidRPr="003749AE">
              <w:rPr>
                <w:b/>
                <w:sz w:val="16"/>
                <w:szCs w:val="16"/>
              </w:rPr>
              <w:t>Określenie w kryteriach oceny ofert aspektów innowacyjnych</w:t>
            </w:r>
          </w:p>
        </w:tc>
        <w:tc>
          <w:tcPr>
            <w:tcW w:w="1895" w:type="dxa"/>
            <w:tcBorders>
              <w:top w:val="single" w:sz="4" w:space="0" w:color="auto"/>
              <w:left w:val="single" w:sz="4" w:space="0" w:color="auto"/>
              <w:bottom w:val="single" w:sz="4" w:space="0" w:color="auto"/>
              <w:right w:val="single" w:sz="4" w:space="0" w:color="auto"/>
            </w:tcBorders>
            <w:vAlign w:val="center"/>
          </w:tcPr>
          <w:p w14:paraId="7A2D3C7A" w14:textId="0B1BAA6F" w:rsidR="00804906" w:rsidRPr="003B65AB" w:rsidRDefault="00804906" w:rsidP="00804906">
            <w:pPr>
              <w:jc w:val="center"/>
              <w:rPr>
                <w:rFonts w:cs="Arial"/>
                <w:sz w:val="18"/>
                <w:szCs w:val="18"/>
              </w:rPr>
            </w:pPr>
            <w:r w:rsidRPr="003B65AB">
              <w:rPr>
                <w:rFonts w:cs="Arial"/>
                <w:sz w:val="18"/>
                <w:szCs w:val="18"/>
              </w:rPr>
              <w:t>50</w:t>
            </w:r>
          </w:p>
        </w:tc>
        <w:tc>
          <w:tcPr>
            <w:tcW w:w="1896" w:type="dxa"/>
            <w:tcBorders>
              <w:top w:val="single" w:sz="4" w:space="0" w:color="auto"/>
              <w:left w:val="single" w:sz="4" w:space="0" w:color="auto"/>
              <w:bottom w:val="single" w:sz="4" w:space="0" w:color="auto"/>
              <w:right w:val="single" w:sz="4" w:space="0" w:color="auto"/>
            </w:tcBorders>
            <w:vAlign w:val="center"/>
          </w:tcPr>
          <w:p w14:paraId="34760E14" w14:textId="3F6611BB" w:rsidR="00804906" w:rsidRPr="003B65AB" w:rsidRDefault="00804906" w:rsidP="00804906">
            <w:pPr>
              <w:jc w:val="center"/>
              <w:rPr>
                <w:rFonts w:cs="Arial"/>
                <w:sz w:val="18"/>
                <w:szCs w:val="18"/>
              </w:rPr>
            </w:pPr>
            <w:r w:rsidRPr="003B65AB">
              <w:rPr>
                <w:rFonts w:cs="Arial"/>
                <w:sz w:val="18"/>
                <w:szCs w:val="18"/>
              </w:rPr>
              <w:t>327 076 676,55 zł</w:t>
            </w:r>
          </w:p>
        </w:tc>
        <w:tc>
          <w:tcPr>
            <w:tcW w:w="1895" w:type="dxa"/>
            <w:tcBorders>
              <w:top w:val="single" w:sz="4" w:space="0" w:color="auto"/>
              <w:left w:val="single" w:sz="4" w:space="0" w:color="auto"/>
              <w:bottom w:val="single" w:sz="4" w:space="0" w:color="auto"/>
              <w:right w:val="single" w:sz="4" w:space="0" w:color="auto"/>
            </w:tcBorders>
            <w:vAlign w:val="center"/>
          </w:tcPr>
          <w:p w14:paraId="3006F58D" w14:textId="49C30F9F" w:rsidR="00804906" w:rsidRPr="003B65AB" w:rsidRDefault="00804906" w:rsidP="00804906">
            <w:pPr>
              <w:jc w:val="center"/>
              <w:rPr>
                <w:rFonts w:cs="Arial"/>
                <w:sz w:val="18"/>
                <w:szCs w:val="18"/>
              </w:rPr>
            </w:pPr>
            <w:r w:rsidRPr="00AB6A9A">
              <w:rPr>
                <w:rFonts w:cs="Arial"/>
                <w:sz w:val="18"/>
                <w:szCs w:val="18"/>
              </w:rPr>
              <w:t>50</w:t>
            </w:r>
          </w:p>
        </w:tc>
        <w:tc>
          <w:tcPr>
            <w:tcW w:w="1896" w:type="dxa"/>
            <w:tcBorders>
              <w:top w:val="single" w:sz="4" w:space="0" w:color="auto"/>
              <w:left w:val="single" w:sz="4" w:space="0" w:color="auto"/>
              <w:bottom w:val="single" w:sz="4" w:space="0" w:color="auto"/>
              <w:right w:val="single" w:sz="4" w:space="0" w:color="auto"/>
            </w:tcBorders>
            <w:vAlign w:val="center"/>
          </w:tcPr>
          <w:p w14:paraId="1606E55C" w14:textId="5B3B14B0" w:rsidR="00804906" w:rsidRPr="003B65AB" w:rsidRDefault="00804906" w:rsidP="00804906">
            <w:pPr>
              <w:jc w:val="center"/>
              <w:rPr>
                <w:rFonts w:cs="Arial"/>
                <w:sz w:val="18"/>
                <w:szCs w:val="18"/>
              </w:rPr>
            </w:pPr>
            <w:r w:rsidRPr="00AB6A9A">
              <w:rPr>
                <w:rFonts w:cs="Arial"/>
                <w:sz w:val="18"/>
                <w:szCs w:val="18"/>
              </w:rPr>
              <w:t>1 613 424 688,03 zł</w:t>
            </w:r>
          </w:p>
        </w:tc>
        <w:tc>
          <w:tcPr>
            <w:tcW w:w="1895" w:type="dxa"/>
            <w:tcBorders>
              <w:top w:val="single" w:sz="4" w:space="0" w:color="auto"/>
              <w:left w:val="single" w:sz="4" w:space="0" w:color="auto"/>
              <w:bottom w:val="single" w:sz="4" w:space="0" w:color="auto"/>
              <w:right w:val="single" w:sz="4" w:space="0" w:color="auto"/>
            </w:tcBorders>
            <w:vAlign w:val="center"/>
          </w:tcPr>
          <w:p w14:paraId="2199CAAC" w14:textId="558C60B9" w:rsidR="00804906" w:rsidRPr="00705F7B" w:rsidRDefault="00804906" w:rsidP="00804906">
            <w:pPr>
              <w:jc w:val="center"/>
              <w:rPr>
                <w:rFonts w:cs="Arial"/>
                <w:sz w:val="18"/>
                <w:szCs w:val="18"/>
              </w:rPr>
            </w:pPr>
            <w:r w:rsidRPr="00705F7B">
              <w:rPr>
                <w:rFonts w:cs="Arial"/>
                <w:sz w:val="18"/>
                <w:szCs w:val="18"/>
              </w:rPr>
              <w:t>111</w:t>
            </w:r>
          </w:p>
        </w:tc>
        <w:tc>
          <w:tcPr>
            <w:tcW w:w="1896" w:type="dxa"/>
            <w:tcBorders>
              <w:top w:val="single" w:sz="4" w:space="0" w:color="auto"/>
              <w:left w:val="single" w:sz="4" w:space="0" w:color="auto"/>
              <w:bottom w:val="single" w:sz="4" w:space="0" w:color="auto"/>
              <w:right w:val="single" w:sz="4" w:space="0" w:color="auto"/>
            </w:tcBorders>
            <w:vAlign w:val="center"/>
          </w:tcPr>
          <w:p w14:paraId="2400F091" w14:textId="05677620" w:rsidR="00804906" w:rsidRPr="00705F7B" w:rsidRDefault="00804906" w:rsidP="00804906">
            <w:pPr>
              <w:jc w:val="center"/>
              <w:rPr>
                <w:rFonts w:cs="Arial"/>
                <w:sz w:val="18"/>
                <w:szCs w:val="18"/>
              </w:rPr>
            </w:pPr>
            <w:r w:rsidRPr="00705F7B">
              <w:rPr>
                <w:rFonts w:cs="Arial"/>
                <w:color w:val="000000"/>
                <w:sz w:val="18"/>
                <w:szCs w:val="18"/>
              </w:rPr>
              <w:t>1 004 283 880,35 zł</w:t>
            </w:r>
          </w:p>
        </w:tc>
      </w:tr>
      <w:tr w:rsidR="00804906" w:rsidRPr="00ED1A48" w14:paraId="55C62068" w14:textId="77777777" w:rsidTr="006E1E7D">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21E2E41E" w14:textId="4E6B4664" w:rsidR="00804906" w:rsidRPr="00ED1A48" w:rsidRDefault="00804906" w:rsidP="00804906">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18562193" w14:textId="77777777" w:rsidR="00804906" w:rsidRPr="003749AE" w:rsidRDefault="00804906" w:rsidP="00804906">
            <w:pPr>
              <w:jc w:val="left"/>
              <w:rPr>
                <w:rFonts w:cs="Arial"/>
                <w:b/>
                <w:color w:val="000000"/>
                <w:sz w:val="16"/>
                <w:szCs w:val="16"/>
              </w:rPr>
            </w:pPr>
            <w:r w:rsidRPr="003749AE">
              <w:rPr>
                <w:b/>
                <w:sz w:val="16"/>
                <w:szCs w:val="16"/>
              </w:rPr>
              <w:t>Określenie wymagań zw. z realizacją zamówienia obejmujących aspekty zw. z innowacyjnością</w:t>
            </w:r>
          </w:p>
        </w:tc>
        <w:tc>
          <w:tcPr>
            <w:tcW w:w="1895" w:type="dxa"/>
            <w:tcBorders>
              <w:top w:val="single" w:sz="4" w:space="0" w:color="auto"/>
              <w:left w:val="single" w:sz="4" w:space="0" w:color="auto"/>
              <w:bottom w:val="single" w:sz="4" w:space="0" w:color="auto"/>
              <w:right w:val="single" w:sz="4" w:space="0" w:color="auto"/>
            </w:tcBorders>
            <w:vAlign w:val="center"/>
          </w:tcPr>
          <w:p w14:paraId="3B52D39A" w14:textId="04957A2F" w:rsidR="00804906" w:rsidRPr="003B65AB" w:rsidRDefault="00804906" w:rsidP="00804906">
            <w:pPr>
              <w:jc w:val="center"/>
              <w:rPr>
                <w:rFonts w:cs="Arial"/>
                <w:color w:val="000000"/>
                <w:sz w:val="18"/>
                <w:szCs w:val="18"/>
              </w:rPr>
            </w:pPr>
            <w:r w:rsidRPr="003B65AB">
              <w:rPr>
                <w:rFonts w:cs="Arial"/>
                <w:sz w:val="18"/>
                <w:szCs w:val="18"/>
              </w:rPr>
              <w:t>51</w:t>
            </w:r>
          </w:p>
        </w:tc>
        <w:tc>
          <w:tcPr>
            <w:tcW w:w="1896" w:type="dxa"/>
            <w:tcBorders>
              <w:top w:val="single" w:sz="4" w:space="0" w:color="auto"/>
              <w:left w:val="single" w:sz="4" w:space="0" w:color="auto"/>
              <w:bottom w:val="single" w:sz="4" w:space="0" w:color="auto"/>
              <w:right w:val="single" w:sz="4" w:space="0" w:color="auto"/>
            </w:tcBorders>
            <w:vAlign w:val="center"/>
          </w:tcPr>
          <w:p w14:paraId="738C948F" w14:textId="757D132B" w:rsidR="00804906" w:rsidRPr="003B65AB" w:rsidRDefault="00804906" w:rsidP="00804906">
            <w:pPr>
              <w:jc w:val="center"/>
              <w:rPr>
                <w:rFonts w:cs="Arial"/>
                <w:color w:val="000000"/>
                <w:sz w:val="18"/>
                <w:szCs w:val="18"/>
              </w:rPr>
            </w:pPr>
            <w:r w:rsidRPr="003B65AB">
              <w:rPr>
                <w:rFonts w:cs="Arial"/>
                <w:sz w:val="18"/>
                <w:szCs w:val="18"/>
              </w:rPr>
              <w:t>143 705 018,08 zł</w:t>
            </w:r>
          </w:p>
        </w:tc>
        <w:tc>
          <w:tcPr>
            <w:tcW w:w="1895" w:type="dxa"/>
            <w:tcBorders>
              <w:top w:val="single" w:sz="4" w:space="0" w:color="auto"/>
              <w:left w:val="single" w:sz="4" w:space="0" w:color="auto"/>
              <w:bottom w:val="single" w:sz="4" w:space="0" w:color="auto"/>
              <w:right w:val="single" w:sz="4" w:space="0" w:color="auto"/>
            </w:tcBorders>
            <w:vAlign w:val="center"/>
          </w:tcPr>
          <w:p w14:paraId="732C1514" w14:textId="5A555E5E" w:rsidR="00804906" w:rsidRPr="003B65AB" w:rsidRDefault="00804906" w:rsidP="00804906">
            <w:pPr>
              <w:jc w:val="center"/>
              <w:rPr>
                <w:rFonts w:cs="Arial"/>
                <w:color w:val="000000"/>
                <w:sz w:val="18"/>
                <w:szCs w:val="18"/>
              </w:rPr>
            </w:pPr>
            <w:r w:rsidRPr="00AB6A9A">
              <w:rPr>
                <w:rFonts w:cs="Arial"/>
                <w:sz w:val="18"/>
                <w:szCs w:val="18"/>
              </w:rPr>
              <w:t>69</w:t>
            </w:r>
          </w:p>
        </w:tc>
        <w:tc>
          <w:tcPr>
            <w:tcW w:w="1896" w:type="dxa"/>
            <w:tcBorders>
              <w:top w:val="single" w:sz="4" w:space="0" w:color="auto"/>
              <w:left w:val="single" w:sz="4" w:space="0" w:color="auto"/>
              <w:bottom w:val="single" w:sz="4" w:space="0" w:color="auto"/>
              <w:right w:val="single" w:sz="4" w:space="0" w:color="auto"/>
            </w:tcBorders>
            <w:vAlign w:val="center"/>
          </w:tcPr>
          <w:p w14:paraId="7D318617" w14:textId="18121ED5" w:rsidR="00804906" w:rsidRPr="003B65AB" w:rsidRDefault="00804906" w:rsidP="00804906">
            <w:pPr>
              <w:jc w:val="center"/>
              <w:rPr>
                <w:rFonts w:cs="Arial"/>
                <w:sz w:val="18"/>
                <w:szCs w:val="18"/>
              </w:rPr>
            </w:pPr>
            <w:r w:rsidRPr="00AB6A9A">
              <w:rPr>
                <w:rFonts w:cs="Arial"/>
                <w:sz w:val="18"/>
                <w:szCs w:val="18"/>
              </w:rPr>
              <w:t>322 139 699,49 zł</w:t>
            </w:r>
          </w:p>
        </w:tc>
        <w:tc>
          <w:tcPr>
            <w:tcW w:w="1895" w:type="dxa"/>
            <w:tcBorders>
              <w:top w:val="single" w:sz="4" w:space="0" w:color="auto"/>
              <w:left w:val="single" w:sz="4" w:space="0" w:color="auto"/>
              <w:bottom w:val="single" w:sz="4" w:space="0" w:color="auto"/>
              <w:right w:val="single" w:sz="4" w:space="0" w:color="auto"/>
            </w:tcBorders>
            <w:vAlign w:val="center"/>
          </w:tcPr>
          <w:p w14:paraId="6FF21ADC" w14:textId="6D2B4B31" w:rsidR="00804906" w:rsidRPr="00705F7B" w:rsidRDefault="00804906" w:rsidP="00804906">
            <w:pPr>
              <w:jc w:val="center"/>
              <w:rPr>
                <w:rFonts w:cs="Arial"/>
                <w:color w:val="000000"/>
                <w:sz w:val="18"/>
                <w:szCs w:val="18"/>
              </w:rPr>
            </w:pPr>
            <w:r w:rsidRPr="00705F7B">
              <w:rPr>
                <w:rFonts w:cs="Arial"/>
                <w:sz w:val="18"/>
                <w:szCs w:val="18"/>
              </w:rPr>
              <w:t>69</w:t>
            </w:r>
          </w:p>
        </w:tc>
        <w:tc>
          <w:tcPr>
            <w:tcW w:w="1896" w:type="dxa"/>
            <w:tcBorders>
              <w:top w:val="single" w:sz="4" w:space="0" w:color="auto"/>
              <w:left w:val="single" w:sz="4" w:space="0" w:color="auto"/>
              <w:bottom w:val="single" w:sz="4" w:space="0" w:color="auto"/>
              <w:right w:val="single" w:sz="4" w:space="0" w:color="auto"/>
            </w:tcBorders>
            <w:vAlign w:val="center"/>
          </w:tcPr>
          <w:p w14:paraId="35FD6987" w14:textId="30F07F07" w:rsidR="00804906" w:rsidRPr="00705F7B" w:rsidRDefault="00804906" w:rsidP="00804906">
            <w:pPr>
              <w:jc w:val="center"/>
              <w:rPr>
                <w:rFonts w:cs="Arial"/>
                <w:color w:val="000000"/>
                <w:sz w:val="18"/>
                <w:szCs w:val="18"/>
              </w:rPr>
            </w:pPr>
            <w:r w:rsidRPr="00705F7B">
              <w:rPr>
                <w:rFonts w:cs="Arial"/>
                <w:color w:val="000000"/>
                <w:sz w:val="18"/>
                <w:szCs w:val="18"/>
              </w:rPr>
              <w:t>1 008 000 087,62 zł</w:t>
            </w:r>
          </w:p>
        </w:tc>
      </w:tr>
    </w:tbl>
    <w:p w14:paraId="1D2212B0" w14:textId="77777777" w:rsidR="00B27C43" w:rsidRPr="00576772" w:rsidRDefault="00B27C43" w:rsidP="00FD257F">
      <w:pPr>
        <w:shd w:val="clear" w:color="auto" w:fill="FFFFFF"/>
        <w:spacing w:before="60"/>
        <w:jc w:val="left"/>
        <w:rPr>
          <w:rFonts w:cs="Arial"/>
          <w:color w:val="000000"/>
          <w:sz w:val="16"/>
          <w:szCs w:val="16"/>
        </w:rPr>
      </w:pPr>
      <w:r w:rsidRPr="00517480">
        <w:rPr>
          <w:b/>
          <w:sz w:val="16"/>
          <w:szCs w:val="16"/>
          <w:u w:val="single"/>
        </w:rPr>
        <w:t>UWAGA</w:t>
      </w:r>
      <w:r w:rsidRPr="00576772">
        <w:rPr>
          <w:sz w:val="16"/>
          <w:szCs w:val="16"/>
        </w:rPr>
        <w:t xml:space="preserve">: Łączna liczba i wartość zamówień publicznych z zastosowaniem poszczególnych aspektów </w:t>
      </w:r>
      <w:r>
        <w:rPr>
          <w:sz w:val="16"/>
          <w:szCs w:val="16"/>
        </w:rPr>
        <w:t>innowacyjnych</w:t>
      </w:r>
      <w:r w:rsidRPr="00576772">
        <w:rPr>
          <w:sz w:val="16"/>
          <w:szCs w:val="16"/>
        </w:rPr>
        <w:t xml:space="preserve"> jest większa niż łączna liczba i wartość zamówień </w:t>
      </w:r>
      <w:r>
        <w:rPr>
          <w:sz w:val="16"/>
          <w:szCs w:val="16"/>
        </w:rPr>
        <w:t>innowacyjnych</w:t>
      </w:r>
      <w:r w:rsidRPr="00576772">
        <w:rPr>
          <w:sz w:val="16"/>
          <w:szCs w:val="16"/>
        </w:rPr>
        <w:t xml:space="preserve"> i ze względu na przypadki zastosowania więcej niż jednego aspektu </w:t>
      </w:r>
      <w:r>
        <w:rPr>
          <w:sz w:val="16"/>
          <w:szCs w:val="16"/>
        </w:rPr>
        <w:t>innowacyjnego</w:t>
      </w:r>
      <w:r w:rsidRPr="00576772">
        <w:rPr>
          <w:sz w:val="16"/>
          <w:szCs w:val="16"/>
        </w:rPr>
        <w:t xml:space="preserve"> w jednym zamówieniu.</w:t>
      </w:r>
    </w:p>
    <w:p w14:paraId="3986E48D" w14:textId="77777777" w:rsidR="00B27C43" w:rsidRDefault="00B27C43" w:rsidP="00FD257F">
      <w:pPr>
        <w:shd w:val="clear" w:color="auto" w:fill="FFFFFF"/>
        <w:spacing w:before="240" w:after="120"/>
        <w:jc w:val="center"/>
        <w:rPr>
          <w:rFonts w:cs="Arial"/>
          <w:b/>
          <w:color w:val="000000"/>
        </w:rPr>
      </w:pPr>
      <w:r w:rsidRPr="00ED1A48">
        <w:rPr>
          <w:rFonts w:cs="Arial"/>
          <w:b/>
          <w:color w:val="000000"/>
        </w:rPr>
        <w:t>Udział zamówień z danym aspektem innowacyjnym w ogólnej liczbie oraz w ogólnej wartości innow</w:t>
      </w:r>
      <w:r>
        <w:rPr>
          <w:rFonts w:cs="Arial"/>
          <w:b/>
          <w:color w:val="000000"/>
        </w:rPr>
        <w:t xml:space="preserve">acyjnych zamówień publicznych w </w:t>
      </w:r>
      <w:r w:rsidRPr="00ED1A48">
        <w:rPr>
          <w:rFonts w:cs="Arial"/>
          <w:b/>
          <w:color w:val="000000"/>
        </w:rPr>
        <w:t>poszczególnych latach</w:t>
      </w:r>
    </w:p>
    <w:tbl>
      <w:tblPr>
        <w:tblW w:w="13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006"/>
        <w:gridCol w:w="1895"/>
        <w:gridCol w:w="1896"/>
        <w:gridCol w:w="1895"/>
        <w:gridCol w:w="1896"/>
        <w:gridCol w:w="1895"/>
        <w:gridCol w:w="1896"/>
      </w:tblGrid>
      <w:tr w:rsidR="00B27C43" w:rsidRPr="00ED1A48" w14:paraId="2036BECC" w14:textId="77777777" w:rsidTr="006E1E7D">
        <w:trPr>
          <w:tblHeader/>
        </w:trPr>
        <w:tc>
          <w:tcPr>
            <w:tcW w:w="2476"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06FAD356"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791" w:type="dxa"/>
            <w:gridSpan w:val="2"/>
            <w:tcBorders>
              <w:top w:val="single" w:sz="4" w:space="0" w:color="auto"/>
              <w:left w:val="single" w:sz="4" w:space="0" w:color="auto"/>
              <w:bottom w:val="single" w:sz="4" w:space="0" w:color="auto"/>
              <w:right w:val="single" w:sz="4" w:space="0" w:color="auto"/>
            </w:tcBorders>
            <w:shd w:val="clear" w:color="auto" w:fill="FFE599"/>
          </w:tcPr>
          <w:p w14:paraId="5F8A431C" w14:textId="026C9DE4" w:rsidR="00B27C43" w:rsidRPr="00ED1A48" w:rsidRDefault="00B27C43" w:rsidP="005C22D5">
            <w:pPr>
              <w:jc w:val="center"/>
              <w:rPr>
                <w:rFonts w:cs="Arial"/>
                <w:b/>
                <w:bCs/>
                <w:color w:val="000000"/>
                <w:sz w:val="16"/>
                <w:szCs w:val="16"/>
              </w:rPr>
            </w:pPr>
            <w:r>
              <w:rPr>
                <w:rFonts w:cs="Arial"/>
                <w:b/>
                <w:bCs/>
                <w:color w:val="000000"/>
                <w:sz w:val="16"/>
                <w:szCs w:val="16"/>
              </w:rPr>
              <w:t>202</w:t>
            </w:r>
            <w:r w:rsidR="005C22D5">
              <w:rPr>
                <w:rFonts w:cs="Arial"/>
                <w:b/>
                <w:bCs/>
                <w:color w:val="000000"/>
                <w:sz w:val="16"/>
                <w:szCs w:val="16"/>
              </w:rPr>
              <w:t>3</w:t>
            </w:r>
            <w:r>
              <w:rPr>
                <w:rFonts w:cs="Arial"/>
                <w:b/>
                <w:bCs/>
                <w:color w:val="000000"/>
                <w:sz w:val="16"/>
                <w:szCs w:val="16"/>
              </w:rPr>
              <w:t xml:space="preserve"> r.</w:t>
            </w:r>
          </w:p>
        </w:tc>
        <w:tc>
          <w:tcPr>
            <w:tcW w:w="3791" w:type="dxa"/>
            <w:gridSpan w:val="2"/>
            <w:tcBorders>
              <w:top w:val="single" w:sz="4" w:space="0" w:color="auto"/>
              <w:left w:val="single" w:sz="4" w:space="0" w:color="auto"/>
              <w:bottom w:val="single" w:sz="4" w:space="0" w:color="auto"/>
              <w:right w:val="single" w:sz="4" w:space="0" w:color="auto"/>
            </w:tcBorders>
            <w:shd w:val="clear" w:color="auto" w:fill="FFE599"/>
          </w:tcPr>
          <w:p w14:paraId="563D8434" w14:textId="0D7B9812" w:rsidR="00B27C43" w:rsidRPr="00ED1A48" w:rsidRDefault="00B27C43" w:rsidP="00C866A1">
            <w:pPr>
              <w:jc w:val="center"/>
              <w:rPr>
                <w:rFonts w:cs="Arial"/>
                <w:b/>
                <w:bCs/>
                <w:color w:val="000000"/>
                <w:sz w:val="16"/>
                <w:szCs w:val="16"/>
              </w:rPr>
            </w:pPr>
            <w:r>
              <w:rPr>
                <w:rFonts w:cs="Arial"/>
                <w:b/>
                <w:bCs/>
                <w:color w:val="000000"/>
                <w:sz w:val="16"/>
                <w:szCs w:val="16"/>
              </w:rPr>
              <w:t>2</w:t>
            </w:r>
            <w:r w:rsidR="005C22D5">
              <w:rPr>
                <w:rFonts w:cs="Arial"/>
                <w:b/>
                <w:bCs/>
                <w:color w:val="000000"/>
                <w:sz w:val="16"/>
                <w:szCs w:val="16"/>
              </w:rPr>
              <w:t>024</w:t>
            </w:r>
            <w:r>
              <w:rPr>
                <w:rFonts w:cs="Arial"/>
                <w:b/>
                <w:bCs/>
                <w:color w:val="000000"/>
                <w:sz w:val="16"/>
                <w:szCs w:val="16"/>
              </w:rPr>
              <w:t xml:space="preserve"> r.</w:t>
            </w:r>
          </w:p>
        </w:tc>
        <w:tc>
          <w:tcPr>
            <w:tcW w:w="3791" w:type="dxa"/>
            <w:gridSpan w:val="2"/>
            <w:tcBorders>
              <w:top w:val="single" w:sz="4" w:space="0" w:color="auto"/>
              <w:left w:val="single" w:sz="4" w:space="0" w:color="auto"/>
              <w:bottom w:val="single" w:sz="4" w:space="0" w:color="auto"/>
              <w:right w:val="single" w:sz="4" w:space="0" w:color="auto"/>
            </w:tcBorders>
            <w:shd w:val="clear" w:color="auto" w:fill="FFE599"/>
          </w:tcPr>
          <w:p w14:paraId="1105A279" w14:textId="52A7C433" w:rsidR="00B27C43" w:rsidRPr="00ED1A48" w:rsidRDefault="005C22D5" w:rsidP="00C866A1">
            <w:pPr>
              <w:jc w:val="center"/>
              <w:rPr>
                <w:rFonts w:cs="Arial"/>
                <w:b/>
                <w:bCs/>
                <w:color w:val="000000"/>
                <w:sz w:val="16"/>
                <w:szCs w:val="16"/>
              </w:rPr>
            </w:pPr>
            <w:r>
              <w:rPr>
                <w:rFonts w:cs="Arial"/>
                <w:b/>
                <w:bCs/>
                <w:color w:val="000000"/>
                <w:sz w:val="16"/>
                <w:szCs w:val="16"/>
              </w:rPr>
              <w:t>2025</w:t>
            </w:r>
            <w:r w:rsidR="00B27C43">
              <w:rPr>
                <w:rFonts w:cs="Arial"/>
                <w:b/>
                <w:bCs/>
                <w:color w:val="000000"/>
                <w:sz w:val="16"/>
                <w:szCs w:val="16"/>
              </w:rPr>
              <w:t xml:space="preserve"> r.</w:t>
            </w:r>
          </w:p>
        </w:tc>
      </w:tr>
      <w:tr w:rsidR="00EB34DA" w:rsidRPr="00ED1A48" w14:paraId="62300383" w14:textId="77777777" w:rsidTr="006E1E7D">
        <w:trPr>
          <w:tblHeader/>
        </w:trPr>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6F424C7B" w14:textId="77777777" w:rsidR="00EB34DA" w:rsidRPr="00ED1A48" w:rsidRDefault="00EB34DA" w:rsidP="00EB34DA">
            <w:pPr>
              <w:jc w:val="center"/>
              <w:rPr>
                <w:rFonts w:cs="Arial"/>
                <w:b/>
                <w:color w:val="000000"/>
                <w:sz w:val="16"/>
                <w:szCs w:val="16"/>
              </w:rPr>
            </w:pPr>
            <w:r w:rsidRPr="00ED1A48">
              <w:rPr>
                <w:rFonts w:cs="Arial"/>
                <w:b/>
                <w:color w:val="000000"/>
                <w:sz w:val="16"/>
                <w:szCs w:val="16"/>
              </w:rPr>
              <w:t>Lp.</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5D7D099C" w14:textId="1E39CD0C" w:rsidR="00EB34DA" w:rsidRPr="00ED1A48" w:rsidRDefault="00EB34DA" w:rsidP="00EB34DA">
            <w:pPr>
              <w:jc w:val="center"/>
              <w:rPr>
                <w:rFonts w:cs="Arial"/>
                <w:b/>
                <w:color w:val="000000"/>
                <w:sz w:val="16"/>
                <w:szCs w:val="16"/>
              </w:rPr>
            </w:pPr>
            <w:r w:rsidRPr="00ED1A48">
              <w:rPr>
                <w:rFonts w:cs="Arial"/>
                <w:b/>
                <w:color w:val="000000"/>
                <w:sz w:val="16"/>
                <w:szCs w:val="16"/>
              </w:rPr>
              <w:t xml:space="preserve">Aspekt </w:t>
            </w:r>
            <w:r>
              <w:rPr>
                <w:rFonts w:cs="Arial"/>
                <w:b/>
                <w:color w:val="000000"/>
                <w:sz w:val="16"/>
                <w:szCs w:val="16"/>
              </w:rPr>
              <w:t>innowacyjny</w:t>
            </w:r>
            <w:r w:rsidRPr="00ED1A48">
              <w:rPr>
                <w:rFonts w:cs="Arial"/>
                <w:b/>
                <w:color w:val="000000"/>
                <w:sz w:val="16"/>
                <w:szCs w:val="16"/>
              </w:rPr>
              <w:t xml:space="preserve"> </w:t>
            </w:r>
          </w:p>
        </w:tc>
        <w:tc>
          <w:tcPr>
            <w:tcW w:w="1895" w:type="dxa"/>
            <w:tcBorders>
              <w:top w:val="single" w:sz="4" w:space="0" w:color="auto"/>
              <w:left w:val="single" w:sz="4" w:space="0" w:color="auto"/>
              <w:bottom w:val="single" w:sz="4" w:space="0" w:color="auto"/>
              <w:right w:val="single" w:sz="4" w:space="0" w:color="auto"/>
            </w:tcBorders>
            <w:shd w:val="clear" w:color="auto" w:fill="FFF2CC"/>
            <w:vAlign w:val="center"/>
          </w:tcPr>
          <w:p w14:paraId="20E69A7D"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1896" w:type="dxa"/>
            <w:tcBorders>
              <w:top w:val="single" w:sz="4" w:space="0" w:color="auto"/>
              <w:left w:val="single" w:sz="4" w:space="0" w:color="auto"/>
              <w:bottom w:val="single" w:sz="4" w:space="0" w:color="auto"/>
              <w:right w:val="single" w:sz="4" w:space="0" w:color="auto"/>
            </w:tcBorders>
            <w:shd w:val="clear" w:color="auto" w:fill="FFF2CC"/>
            <w:vAlign w:val="center"/>
          </w:tcPr>
          <w:p w14:paraId="49C167B4"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Udział zamówień z danym aspektem w ogólnej wartości zamówień innowacyjnych</w:t>
            </w:r>
          </w:p>
        </w:tc>
        <w:tc>
          <w:tcPr>
            <w:tcW w:w="1895" w:type="dxa"/>
            <w:tcBorders>
              <w:top w:val="single" w:sz="4" w:space="0" w:color="auto"/>
              <w:left w:val="single" w:sz="4" w:space="0" w:color="auto"/>
              <w:bottom w:val="single" w:sz="4" w:space="0" w:color="auto"/>
              <w:right w:val="single" w:sz="4" w:space="0" w:color="auto"/>
            </w:tcBorders>
            <w:shd w:val="clear" w:color="auto" w:fill="FFF2CC"/>
            <w:vAlign w:val="center"/>
          </w:tcPr>
          <w:p w14:paraId="1BB44A5F"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1896" w:type="dxa"/>
            <w:tcBorders>
              <w:top w:val="single" w:sz="4" w:space="0" w:color="auto"/>
              <w:left w:val="single" w:sz="4" w:space="0" w:color="auto"/>
              <w:bottom w:val="single" w:sz="4" w:space="0" w:color="auto"/>
              <w:right w:val="single" w:sz="4" w:space="0" w:color="auto"/>
            </w:tcBorders>
            <w:shd w:val="clear" w:color="auto" w:fill="FFF2CC"/>
            <w:vAlign w:val="center"/>
          </w:tcPr>
          <w:p w14:paraId="6E95DA27"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 xml:space="preserve">wartości </w:t>
            </w:r>
            <w:r w:rsidRPr="00ED1A48">
              <w:rPr>
                <w:rFonts w:cs="Arial"/>
                <w:b/>
                <w:bCs/>
                <w:color w:val="000000"/>
                <w:sz w:val="16"/>
                <w:szCs w:val="16"/>
              </w:rPr>
              <w:t>zamówień innowacyjnych</w:t>
            </w:r>
          </w:p>
        </w:tc>
        <w:tc>
          <w:tcPr>
            <w:tcW w:w="1895" w:type="dxa"/>
            <w:tcBorders>
              <w:top w:val="single" w:sz="4" w:space="0" w:color="auto"/>
              <w:left w:val="single" w:sz="4" w:space="0" w:color="auto"/>
              <w:bottom w:val="single" w:sz="4" w:space="0" w:color="auto"/>
              <w:right w:val="single" w:sz="4" w:space="0" w:color="auto"/>
            </w:tcBorders>
            <w:shd w:val="clear" w:color="auto" w:fill="FFF2CC"/>
          </w:tcPr>
          <w:p w14:paraId="05DEFA7D"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1896" w:type="dxa"/>
            <w:tcBorders>
              <w:top w:val="single" w:sz="4" w:space="0" w:color="auto"/>
              <w:left w:val="single" w:sz="4" w:space="0" w:color="auto"/>
              <w:bottom w:val="single" w:sz="4" w:space="0" w:color="auto"/>
              <w:right w:val="single" w:sz="4" w:space="0" w:color="auto"/>
            </w:tcBorders>
            <w:shd w:val="clear" w:color="auto" w:fill="FFF2CC"/>
          </w:tcPr>
          <w:p w14:paraId="563C4BAD"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wartości</w:t>
            </w:r>
            <w:r w:rsidRPr="00ED1A48">
              <w:rPr>
                <w:rFonts w:cs="Arial"/>
                <w:b/>
                <w:bCs/>
                <w:color w:val="000000"/>
                <w:sz w:val="16"/>
                <w:szCs w:val="16"/>
              </w:rPr>
              <w:t xml:space="preserve"> zamówień innowacyjnych</w:t>
            </w:r>
          </w:p>
        </w:tc>
      </w:tr>
      <w:tr w:rsidR="00CC41D3" w:rsidRPr="00ED1A48" w14:paraId="21F5203D" w14:textId="77777777" w:rsidTr="006E1E7D">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1ED361E6" w14:textId="4FBAB4E7" w:rsidR="00CC41D3" w:rsidRPr="00ED1A48" w:rsidRDefault="00CC41D3" w:rsidP="00CC41D3">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2E5F7EC6" w14:textId="77777777" w:rsidR="00CC41D3" w:rsidRPr="003749AE" w:rsidRDefault="00CC41D3" w:rsidP="00CC41D3">
            <w:pPr>
              <w:jc w:val="left"/>
              <w:rPr>
                <w:rFonts w:cs="Arial"/>
                <w:b/>
                <w:color w:val="000000"/>
                <w:sz w:val="16"/>
                <w:szCs w:val="16"/>
              </w:rPr>
            </w:pPr>
            <w:r w:rsidRPr="003749AE">
              <w:rPr>
                <w:b/>
                <w:sz w:val="16"/>
                <w:szCs w:val="16"/>
              </w:rPr>
              <w:t>Określenie w kryteriach oceny ofert aspektów innowacyjnych</w:t>
            </w:r>
          </w:p>
        </w:tc>
        <w:tc>
          <w:tcPr>
            <w:tcW w:w="1895" w:type="dxa"/>
            <w:tcBorders>
              <w:top w:val="single" w:sz="4" w:space="0" w:color="auto"/>
              <w:left w:val="single" w:sz="4" w:space="0" w:color="auto"/>
              <w:bottom w:val="single" w:sz="4" w:space="0" w:color="auto"/>
              <w:right w:val="single" w:sz="4" w:space="0" w:color="auto"/>
            </w:tcBorders>
            <w:vAlign w:val="center"/>
          </w:tcPr>
          <w:p w14:paraId="208F3554" w14:textId="0B60C68E" w:rsidR="00CC41D3" w:rsidRPr="003D2A24" w:rsidRDefault="00CC41D3" w:rsidP="00CC41D3">
            <w:pPr>
              <w:jc w:val="center"/>
              <w:rPr>
                <w:rFonts w:cs="Arial"/>
                <w:color w:val="000000"/>
                <w:sz w:val="18"/>
                <w:szCs w:val="18"/>
              </w:rPr>
            </w:pPr>
            <w:r>
              <w:rPr>
                <w:rFonts w:cs="Arial"/>
                <w:color w:val="000000"/>
                <w:sz w:val="18"/>
                <w:szCs w:val="18"/>
              </w:rPr>
              <w:t>52,08</w:t>
            </w:r>
            <w:r w:rsidRPr="003D2A24">
              <w:rPr>
                <w:rFonts w:cs="Arial"/>
                <w:color w:val="000000"/>
                <w:sz w:val="18"/>
                <w:szCs w:val="18"/>
              </w:rPr>
              <w:t>%</w:t>
            </w:r>
          </w:p>
        </w:tc>
        <w:tc>
          <w:tcPr>
            <w:tcW w:w="1896" w:type="dxa"/>
            <w:tcBorders>
              <w:top w:val="single" w:sz="4" w:space="0" w:color="auto"/>
              <w:left w:val="single" w:sz="4" w:space="0" w:color="auto"/>
              <w:bottom w:val="single" w:sz="4" w:space="0" w:color="auto"/>
              <w:right w:val="single" w:sz="4" w:space="0" w:color="auto"/>
            </w:tcBorders>
            <w:vAlign w:val="center"/>
          </w:tcPr>
          <w:p w14:paraId="30FDACF9" w14:textId="1AADDE33" w:rsidR="00CC41D3" w:rsidRPr="003D2A24" w:rsidRDefault="00CC41D3" w:rsidP="00CC41D3">
            <w:pPr>
              <w:jc w:val="center"/>
              <w:rPr>
                <w:rFonts w:cs="Arial"/>
                <w:color w:val="000000"/>
                <w:sz w:val="18"/>
                <w:szCs w:val="18"/>
              </w:rPr>
            </w:pPr>
            <w:r w:rsidRPr="003D2A24">
              <w:rPr>
                <w:rFonts w:cs="Arial"/>
                <w:color w:val="000000"/>
                <w:sz w:val="18"/>
                <w:szCs w:val="18"/>
              </w:rPr>
              <w:t>81,17%</w:t>
            </w:r>
          </w:p>
        </w:tc>
        <w:tc>
          <w:tcPr>
            <w:tcW w:w="1895" w:type="dxa"/>
            <w:tcBorders>
              <w:top w:val="single" w:sz="4" w:space="0" w:color="auto"/>
              <w:left w:val="single" w:sz="4" w:space="0" w:color="auto"/>
              <w:bottom w:val="single" w:sz="4" w:space="0" w:color="auto"/>
              <w:right w:val="single" w:sz="4" w:space="0" w:color="auto"/>
            </w:tcBorders>
            <w:vAlign w:val="center"/>
          </w:tcPr>
          <w:p w14:paraId="0EE1994D" w14:textId="1B320F3D" w:rsidR="00CC41D3" w:rsidRPr="003D2A24" w:rsidRDefault="00CC41D3" w:rsidP="00CC41D3">
            <w:pPr>
              <w:jc w:val="center"/>
              <w:rPr>
                <w:rFonts w:cs="Arial"/>
                <w:color w:val="000000"/>
                <w:sz w:val="18"/>
                <w:szCs w:val="18"/>
              </w:rPr>
            </w:pPr>
            <w:r w:rsidRPr="00490180">
              <w:rPr>
                <w:rFonts w:cs="Arial"/>
                <w:color w:val="000000"/>
                <w:sz w:val="18"/>
                <w:szCs w:val="18"/>
              </w:rPr>
              <w:t>44,28 %</w:t>
            </w:r>
          </w:p>
        </w:tc>
        <w:tc>
          <w:tcPr>
            <w:tcW w:w="1896" w:type="dxa"/>
            <w:tcBorders>
              <w:top w:val="single" w:sz="4" w:space="0" w:color="auto"/>
              <w:left w:val="single" w:sz="4" w:space="0" w:color="auto"/>
              <w:bottom w:val="single" w:sz="4" w:space="0" w:color="auto"/>
              <w:right w:val="single" w:sz="4" w:space="0" w:color="auto"/>
            </w:tcBorders>
            <w:vAlign w:val="center"/>
          </w:tcPr>
          <w:p w14:paraId="7FC2C9B7" w14:textId="6A7F604A" w:rsidR="00CC41D3" w:rsidRPr="003D2A24" w:rsidRDefault="00CC41D3" w:rsidP="00CC41D3">
            <w:pPr>
              <w:jc w:val="center"/>
              <w:rPr>
                <w:rFonts w:cs="Arial"/>
                <w:color w:val="000000"/>
                <w:sz w:val="18"/>
                <w:szCs w:val="18"/>
              </w:rPr>
            </w:pPr>
            <w:r w:rsidRPr="00490180">
              <w:rPr>
                <w:rFonts w:cs="Arial"/>
                <w:color w:val="000000"/>
                <w:sz w:val="18"/>
                <w:szCs w:val="18"/>
              </w:rPr>
              <w:t>90,19%</w:t>
            </w:r>
          </w:p>
        </w:tc>
        <w:tc>
          <w:tcPr>
            <w:tcW w:w="1895" w:type="dxa"/>
            <w:tcBorders>
              <w:top w:val="single" w:sz="4" w:space="0" w:color="auto"/>
              <w:left w:val="single" w:sz="4" w:space="0" w:color="auto"/>
              <w:bottom w:val="single" w:sz="4" w:space="0" w:color="auto"/>
              <w:right w:val="single" w:sz="4" w:space="0" w:color="auto"/>
            </w:tcBorders>
            <w:vAlign w:val="center"/>
          </w:tcPr>
          <w:p w14:paraId="6EC17683" w14:textId="441CB9A0" w:rsidR="00CC41D3" w:rsidRPr="00CC41D3" w:rsidRDefault="00CC41D3" w:rsidP="00CC41D3">
            <w:pPr>
              <w:jc w:val="center"/>
              <w:rPr>
                <w:rFonts w:cs="Arial"/>
                <w:color w:val="000000"/>
                <w:sz w:val="18"/>
                <w:szCs w:val="18"/>
              </w:rPr>
            </w:pPr>
            <w:r w:rsidRPr="00CC41D3">
              <w:rPr>
                <w:rFonts w:cs="Arial"/>
                <w:color w:val="000000"/>
                <w:sz w:val="18"/>
                <w:szCs w:val="18"/>
              </w:rPr>
              <w:t>70,70%</w:t>
            </w:r>
          </w:p>
        </w:tc>
        <w:tc>
          <w:tcPr>
            <w:tcW w:w="1896" w:type="dxa"/>
            <w:tcBorders>
              <w:top w:val="single" w:sz="4" w:space="0" w:color="auto"/>
              <w:left w:val="single" w:sz="4" w:space="0" w:color="auto"/>
              <w:bottom w:val="single" w:sz="4" w:space="0" w:color="auto"/>
              <w:right w:val="single" w:sz="4" w:space="0" w:color="auto"/>
            </w:tcBorders>
            <w:vAlign w:val="center"/>
          </w:tcPr>
          <w:p w14:paraId="0EEC7FF2" w14:textId="1D0A11A8" w:rsidR="00CC41D3" w:rsidRPr="00CC41D3" w:rsidRDefault="00CC41D3" w:rsidP="00CC41D3">
            <w:pPr>
              <w:jc w:val="center"/>
              <w:rPr>
                <w:rFonts w:cs="Arial"/>
                <w:color w:val="000000"/>
                <w:sz w:val="18"/>
                <w:szCs w:val="18"/>
              </w:rPr>
            </w:pPr>
            <w:r w:rsidRPr="00CC41D3">
              <w:rPr>
                <w:rFonts w:cs="Arial"/>
                <w:color w:val="000000"/>
                <w:sz w:val="18"/>
                <w:szCs w:val="18"/>
              </w:rPr>
              <w:t>49,91%</w:t>
            </w:r>
          </w:p>
        </w:tc>
      </w:tr>
      <w:tr w:rsidR="00CC41D3" w:rsidRPr="00ED1A48" w14:paraId="459B71D4" w14:textId="77777777" w:rsidTr="006E1E7D">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6703A65C" w14:textId="307C62A1" w:rsidR="00CC41D3" w:rsidRPr="00ED1A48" w:rsidRDefault="00CC41D3" w:rsidP="00CC41D3">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1211F53C" w14:textId="77777777" w:rsidR="00CC41D3" w:rsidRPr="003749AE" w:rsidRDefault="00CC41D3" w:rsidP="00CC41D3">
            <w:pPr>
              <w:jc w:val="left"/>
              <w:rPr>
                <w:rFonts w:cs="Arial"/>
                <w:b/>
                <w:color w:val="000000"/>
                <w:sz w:val="16"/>
                <w:szCs w:val="16"/>
              </w:rPr>
            </w:pPr>
            <w:r w:rsidRPr="003749AE">
              <w:rPr>
                <w:b/>
                <w:sz w:val="16"/>
                <w:szCs w:val="16"/>
              </w:rPr>
              <w:t>Określenie wymagań zw. z realizacją zamówienia obejmujących aspekty zw. z innowacyjnością</w:t>
            </w:r>
          </w:p>
        </w:tc>
        <w:tc>
          <w:tcPr>
            <w:tcW w:w="1895" w:type="dxa"/>
            <w:tcBorders>
              <w:top w:val="single" w:sz="4" w:space="0" w:color="auto"/>
              <w:left w:val="single" w:sz="4" w:space="0" w:color="auto"/>
              <w:bottom w:val="single" w:sz="4" w:space="0" w:color="auto"/>
              <w:right w:val="single" w:sz="4" w:space="0" w:color="auto"/>
            </w:tcBorders>
            <w:vAlign w:val="center"/>
          </w:tcPr>
          <w:p w14:paraId="55F9C228" w14:textId="339DDB83" w:rsidR="00CC41D3" w:rsidRPr="003D2A24" w:rsidRDefault="00CC41D3" w:rsidP="00CC41D3">
            <w:pPr>
              <w:jc w:val="center"/>
              <w:rPr>
                <w:rFonts w:cs="Arial"/>
                <w:color w:val="000000"/>
                <w:sz w:val="18"/>
                <w:szCs w:val="18"/>
              </w:rPr>
            </w:pPr>
            <w:r w:rsidRPr="003D2A24">
              <w:rPr>
                <w:rFonts w:cs="Arial"/>
                <w:color w:val="000000"/>
                <w:sz w:val="18"/>
                <w:szCs w:val="18"/>
              </w:rPr>
              <w:t>53,13%</w:t>
            </w:r>
          </w:p>
        </w:tc>
        <w:tc>
          <w:tcPr>
            <w:tcW w:w="1896" w:type="dxa"/>
            <w:tcBorders>
              <w:top w:val="single" w:sz="4" w:space="0" w:color="auto"/>
              <w:left w:val="single" w:sz="4" w:space="0" w:color="auto"/>
              <w:bottom w:val="single" w:sz="4" w:space="0" w:color="auto"/>
              <w:right w:val="single" w:sz="4" w:space="0" w:color="auto"/>
            </w:tcBorders>
            <w:vAlign w:val="center"/>
          </w:tcPr>
          <w:p w14:paraId="699A5DAF" w14:textId="49FB0841" w:rsidR="00CC41D3" w:rsidRPr="003D2A24" w:rsidRDefault="00CC41D3" w:rsidP="00CC41D3">
            <w:pPr>
              <w:jc w:val="center"/>
              <w:rPr>
                <w:rFonts w:cs="Arial"/>
                <w:color w:val="000000"/>
                <w:sz w:val="18"/>
                <w:szCs w:val="18"/>
              </w:rPr>
            </w:pPr>
            <w:r w:rsidRPr="003D2A24">
              <w:rPr>
                <w:rFonts w:cs="Arial"/>
                <w:color w:val="000000"/>
                <w:sz w:val="18"/>
                <w:szCs w:val="18"/>
              </w:rPr>
              <w:t>35,66</w:t>
            </w:r>
            <w:r>
              <w:rPr>
                <w:rFonts w:cs="Arial"/>
                <w:color w:val="000000"/>
                <w:sz w:val="18"/>
                <w:szCs w:val="18"/>
              </w:rPr>
              <w:t>%</w:t>
            </w:r>
          </w:p>
        </w:tc>
        <w:tc>
          <w:tcPr>
            <w:tcW w:w="1895" w:type="dxa"/>
            <w:tcBorders>
              <w:top w:val="single" w:sz="4" w:space="0" w:color="auto"/>
              <w:left w:val="single" w:sz="4" w:space="0" w:color="auto"/>
              <w:bottom w:val="single" w:sz="4" w:space="0" w:color="auto"/>
              <w:right w:val="single" w:sz="4" w:space="0" w:color="auto"/>
            </w:tcBorders>
            <w:vAlign w:val="center"/>
          </w:tcPr>
          <w:p w14:paraId="6208E4A7" w14:textId="3E789362" w:rsidR="00CC41D3" w:rsidRPr="003D2A24" w:rsidRDefault="00CC41D3" w:rsidP="00CC41D3">
            <w:pPr>
              <w:jc w:val="center"/>
              <w:rPr>
                <w:rFonts w:cs="Arial"/>
                <w:color w:val="000000"/>
                <w:sz w:val="18"/>
                <w:szCs w:val="18"/>
              </w:rPr>
            </w:pPr>
            <w:r w:rsidRPr="00490180">
              <w:rPr>
                <w:rFonts w:cs="Arial"/>
                <w:color w:val="000000"/>
                <w:sz w:val="18"/>
                <w:szCs w:val="18"/>
              </w:rPr>
              <w:t>61,06 %</w:t>
            </w:r>
          </w:p>
        </w:tc>
        <w:tc>
          <w:tcPr>
            <w:tcW w:w="1896" w:type="dxa"/>
            <w:tcBorders>
              <w:top w:val="single" w:sz="4" w:space="0" w:color="auto"/>
              <w:left w:val="single" w:sz="4" w:space="0" w:color="auto"/>
              <w:bottom w:val="single" w:sz="4" w:space="0" w:color="auto"/>
              <w:right w:val="single" w:sz="4" w:space="0" w:color="auto"/>
            </w:tcBorders>
            <w:vAlign w:val="center"/>
          </w:tcPr>
          <w:p w14:paraId="0A38D1F5" w14:textId="32BAF46A" w:rsidR="00CC41D3" w:rsidRPr="003D2A24" w:rsidRDefault="00CC41D3" w:rsidP="00CC41D3">
            <w:pPr>
              <w:jc w:val="center"/>
              <w:rPr>
                <w:rFonts w:cs="Arial"/>
                <w:color w:val="000000"/>
                <w:sz w:val="18"/>
                <w:szCs w:val="18"/>
              </w:rPr>
            </w:pPr>
            <w:r w:rsidRPr="00490180">
              <w:rPr>
                <w:rFonts w:cs="Arial"/>
                <w:color w:val="000000"/>
                <w:sz w:val="18"/>
                <w:szCs w:val="18"/>
              </w:rPr>
              <w:t>18,01 %</w:t>
            </w:r>
          </w:p>
        </w:tc>
        <w:tc>
          <w:tcPr>
            <w:tcW w:w="1895" w:type="dxa"/>
            <w:tcBorders>
              <w:top w:val="single" w:sz="4" w:space="0" w:color="auto"/>
              <w:left w:val="single" w:sz="4" w:space="0" w:color="auto"/>
              <w:bottom w:val="single" w:sz="4" w:space="0" w:color="auto"/>
              <w:right w:val="single" w:sz="4" w:space="0" w:color="auto"/>
            </w:tcBorders>
            <w:vAlign w:val="center"/>
          </w:tcPr>
          <w:p w14:paraId="40DB5E13" w14:textId="26542E67" w:rsidR="00CC41D3" w:rsidRPr="00CC41D3" w:rsidRDefault="00CC41D3" w:rsidP="00CC41D3">
            <w:pPr>
              <w:jc w:val="center"/>
              <w:rPr>
                <w:rFonts w:cs="Arial"/>
                <w:color w:val="000000"/>
                <w:sz w:val="18"/>
                <w:szCs w:val="18"/>
              </w:rPr>
            </w:pPr>
            <w:r w:rsidRPr="00CC41D3">
              <w:rPr>
                <w:rFonts w:cs="Arial"/>
                <w:color w:val="000000"/>
                <w:sz w:val="18"/>
                <w:szCs w:val="18"/>
              </w:rPr>
              <w:t>43,95%</w:t>
            </w:r>
          </w:p>
        </w:tc>
        <w:tc>
          <w:tcPr>
            <w:tcW w:w="1896" w:type="dxa"/>
            <w:tcBorders>
              <w:top w:val="single" w:sz="4" w:space="0" w:color="auto"/>
              <w:left w:val="single" w:sz="4" w:space="0" w:color="auto"/>
              <w:bottom w:val="single" w:sz="4" w:space="0" w:color="auto"/>
              <w:right w:val="single" w:sz="4" w:space="0" w:color="auto"/>
            </w:tcBorders>
            <w:vAlign w:val="center"/>
          </w:tcPr>
          <w:p w14:paraId="3AB4CFFA" w14:textId="0684ED21" w:rsidR="00CC41D3" w:rsidRPr="00CC41D3" w:rsidRDefault="00CC41D3" w:rsidP="00CC41D3">
            <w:pPr>
              <w:jc w:val="center"/>
              <w:rPr>
                <w:rFonts w:cs="Arial"/>
                <w:color w:val="000000"/>
                <w:sz w:val="18"/>
                <w:szCs w:val="18"/>
              </w:rPr>
            </w:pPr>
            <w:r w:rsidRPr="00CC41D3">
              <w:rPr>
                <w:rFonts w:cs="Arial"/>
                <w:color w:val="000000"/>
                <w:sz w:val="18"/>
                <w:szCs w:val="18"/>
              </w:rPr>
              <w:t>50,09%</w:t>
            </w:r>
          </w:p>
        </w:tc>
      </w:tr>
    </w:tbl>
    <w:p w14:paraId="62B17AFB" w14:textId="77777777" w:rsidR="00B27C43" w:rsidRDefault="00B27C43" w:rsidP="00FD257F">
      <w:pPr>
        <w:shd w:val="clear" w:color="auto" w:fill="FFFFFF"/>
        <w:spacing w:before="60"/>
        <w:jc w:val="left"/>
        <w:rPr>
          <w:rFonts w:cs="Arial"/>
          <w:b/>
        </w:rPr>
      </w:pPr>
      <w:r w:rsidRPr="00517480">
        <w:rPr>
          <w:b/>
          <w:sz w:val="16"/>
          <w:szCs w:val="16"/>
          <w:u w:val="single"/>
        </w:rPr>
        <w:t>UWAGA</w:t>
      </w:r>
      <w:r w:rsidRPr="004C0201">
        <w:rPr>
          <w:sz w:val="16"/>
          <w:szCs w:val="16"/>
        </w:rPr>
        <w:t xml:space="preserve">: Suma udziałów zamówień z zastosowaniem poszczególnych aspektów </w:t>
      </w:r>
      <w:r>
        <w:rPr>
          <w:sz w:val="16"/>
          <w:szCs w:val="16"/>
        </w:rPr>
        <w:t xml:space="preserve">innowacyjnych </w:t>
      </w:r>
      <w:r w:rsidRPr="004C0201">
        <w:rPr>
          <w:sz w:val="16"/>
          <w:szCs w:val="16"/>
        </w:rPr>
        <w:t xml:space="preserve">w ogólnej liczbie i wartości zamówień </w:t>
      </w:r>
      <w:r>
        <w:rPr>
          <w:sz w:val="16"/>
          <w:szCs w:val="16"/>
        </w:rPr>
        <w:t>innowacyjnych</w:t>
      </w:r>
      <w:r w:rsidRPr="004C0201">
        <w:rPr>
          <w:sz w:val="16"/>
          <w:szCs w:val="16"/>
        </w:rPr>
        <w:t xml:space="preserve"> jest większa niż łączna liczba i wartość zamówień </w:t>
      </w:r>
      <w:r>
        <w:rPr>
          <w:sz w:val="16"/>
          <w:szCs w:val="16"/>
        </w:rPr>
        <w:t>innowacyjnych</w:t>
      </w:r>
      <w:r w:rsidRPr="004C0201">
        <w:rPr>
          <w:sz w:val="16"/>
          <w:szCs w:val="16"/>
        </w:rPr>
        <w:t xml:space="preserve"> ze względu na przypadki zastosowania więcej niż jednego aspektu </w:t>
      </w:r>
      <w:r>
        <w:rPr>
          <w:sz w:val="16"/>
          <w:szCs w:val="16"/>
        </w:rPr>
        <w:t>innowacyjnego</w:t>
      </w:r>
      <w:r w:rsidRPr="004C0201">
        <w:rPr>
          <w:sz w:val="16"/>
          <w:szCs w:val="16"/>
        </w:rPr>
        <w:t xml:space="preserve"> w jednym zamówieniu.</w:t>
      </w:r>
    </w:p>
    <w:p w14:paraId="4DC7E4F8" w14:textId="77777777" w:rsidR="00B27C43" w:rsidRDefault="00B27C43" w:rsidP="00B27C43">
      <w:pPr>
        <w:jc w:val="left"/>
        <w:rPr>
          <w:szCs w:val="22"/>
        </w:rPr>
      </w:pPr>
    </w:p>
    <w:p w14:paraId="08A7EC9E" w14:textId="77777777" w:rsidR="00B27C43" w:rsidRDefault="00B27C43" w:rsidP="00B27C43">
      <w:pPr>
        <w:jc w:val="left"/>
        <w:rPr>
          <w:szCs w:val="22"/>
        </w:rPr>
        <w:sectPr w:rsidR="00B27C43" w:rsidSect="00CC77CA">
          <w:pgSz w:w="16838" w:h="11906" w:orient="landscape"/>
          <w:pgMar w:top="1418" w:right="1418" w:bottom="1418" w:left="1418" w:header="709" w:footer="709" w:gutter="0"/>
          <w:cols w:space="708"/>
          <w:docGrid w:linePitch="299"/>
        </w:sectPr>
      </w:pPr>
    </w:p>
    <w:p w14:paraId="25048372" w14:textId="7048D9E2" w:rsidR="00B27C43" w:rsidRPr="00D72A28" w:rsidRDefault="004511AA" w:rsidP="00852522">
      <w:pPr>
        <w:pStyle w:val="Nagwek4"/>
      </w:pPr>
      <w:bookmarkStart w:id="349" w:name="_Załącznik_nr_5."/>
      <w:bookmarkEnd w:id="349"/>
      <w:r w:rsidRPr="00BE5899">
        <w:t xml:space="preserve">Załącznik nr </w:t>
      </w:r>
      <w:r w:rsidR="002972A1">
        <w:t>4</w:t>
      </w:r>
      <w:r w:rsidRPr="00BE5899">
        <w:t xml:space="preserve">. </w:t>
      </w:r>
      <w:r w:rsidR="00B27C43" w:rsidRPr="00BE5899">
        <w:t xml:space="preserve">Dane dotyczące zamówień udzielonych przez jednostki administracji rządowej, </w:t>
      </w:r>
      <w:r w:rsidR="0073789E" w:rsidRPr="00BE5899">
        <w:t>w których odwołano się do</w:t>
      </w:r>
      <w:r w:rsidR="0073789E" w:rsidRPr="0073789E">
        <w:t xml:space="preserve"> odpowiednich instrumentów prospołecznych</w:t>
      </w:r>
    </w:p>
    <w:p w14:paraId="06BE13CB" w14:textId="77777777" w:rsidR="00B27C43" w:rsidRPr="00744FE5" w:rsidRDefault="00B27C43" w:rsidP="006A5F43">
      <w:pPr>
        <w:spacing w:before="240" w:after="120"/>
        <w:jc w:val="center"/>
        <w:rPr>
          <w:b/>
          <w:szCs w:val="22"/>
        </w:rPr>
      </w:pPr>
      <w:r w:rsidRPr="00D50E39">
        <w:rPr>
          <w:b/>
          <w:szCs w:val="22"/>
        </w:rPr>
        <w:t>Liczba i wartość zamówień publicznych z danym aspektem prospołecznym w poszczególnych latach</w:t>
      </w:r>
    </w:p>
    <w:tbl>
      <w:tblPr>
        <w:tblpPr w:leftFromText="180" w:rightFromText="180" w:vertAnchor="text" w:tblpX="-147" w:tblpY="1"/>
        <w:tblOverlap w:val="neve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699"/>
        <w:gridCol w:w="1554"/>
        <w:gridCol w:w="2126"/>
        <w:gridCol w:w="1559"/>
        <w:gridCol w:w="2127"/>
        <w:gridCol w:w="1559"/>
        <w:gridCol w:w="2268"/>
      </w:tblGrid>
      <w:tr w:rsidR="00B27C43" w:rsidRPr="00A92EB0" w14:paraId="7670B71D" w14:textId="77777777" w:rsidTr="00C866A1">
        <w:trPr>
          <w:trHeight w:val="354"/>
          <w:tblHeader/>
        </w:trPr>
        <w:tc>
          <w:tcPr>
            <w:tcW w:w="3261" w:type="dxa"/>
            <w:gridSpan w:val="2"/>
            <w:shd w:val="clear" w:color="auto" w:fill="DBE5F1"/>
            <w:vAlign w:val="center"/>
          </w:tcPr>
          <w:p w14:paraId="2AC61F97" w14:textId="77777777" w:rsidR="00B27C43" w:rsidRPr="00A92EB0" w:rsidRDefault="00B27C43" w:rsidP="00C866A1">
            <w:pPr>
              <w:jc w:val="center"/>
              <w:rPr>
                <w:rFonts w:cs="Arial"/>
                <w:b/>
                <w:sz w:val="16"/>
                <w:szCs w:val="16"/>
              </w:rPr>
            </w:pPr>
            <w:r w:rsidRPr="00A92EB0">
              <w:rPr>
                <w:rFonts w:cs="Arial"/>
                <w:b/>
                <w:sz w:val="16"/>
                <w:szCs w:val="16"/>
              </w:rPr>
              <w:t>Rok referencyjny</w:t>
            </w:r>
          </w:p>
        </w:tc>
        <w:tc>
          <w:tcPr>
            <w:tcW w:w="3680" w:type="dxa"/>
            <w:gridSpan w:val="2"/>
            <w:shd w:val="clear" w:color="auto" w:fill="DBE5F1"/>
            <w:vAlign w:val="center"/>
          </w:tcPr>
          <w:p w14:paraId="0DB6AE90" w14:textId="4AAC45AC" w:rsidR="00B27C43" w:rsidRPr="00A92EB0" w:rsidRDefault="00B27C43" w:rsidP="00C866A1">
            <w:pPr>
              <w:jc w:val="center"/>
              <w:rPr>
                <w:rFonts w:cs="Arial"/>
                <w:b/>
                <w:sz w:val="16"/>
                <w:szCs w:val="16"/>
              </w:rPr>
            </w:pPr>
            <w:r w:rsidRPr="00A92EB0">
              <w:rPr>
                <w:rFonts w:cs="Arial"/>
                <w:b/>
                <w:sz w:val="16"/>
                <w:szCs w:val="16"/>
              </w:rPr>
              <w:t>202</w:t>
            </w:r>
            <w:r w:rsidR="009B3E20">
              <w:rPr>
                <w:rFonts w:cs="Arial"/>
                <w:b/>
                <w:sz w:val="16"/>
                <w:szCs w:val="16"/>
              </w:rPr>
              <w:t>3</w:t>
            </w:r>
            <w:r>
              <w:rPr>
                <w:rFonts w:cs="Arial"/>
                <w:b/>
                <w:sz w:val="16"/>
                <w:szCs w:val="16"/>
              </w:rPr>
              <w:t xml:space="preserve"> r.</w:t>
            </w:r>
          </w:p>
        </w:tc>
        <w:tc>
          <w:tcPr>
            <w:tcW w:w="3686" w:type="dxa"/>
            <w:gridSpan w:val="2"/>
            <w:shd w:val="clear" w:color="auto" w:fill="DBE5F1"/>
            <w:vAlign w:val="center"/>
          </w:tcPr>
          <w:p w14:paraId="34538176" w14:textId="5CA1973C" w:rsidR="00B27C43" w:rsidRPr="00A92EB0" w:rsidRDefault="009B3E20" w:rsidP="00C866A1">
            <w:pPr>
              <w:jc w:val="center"/>
              <w:rPr>
                <w:rFonts w:cs="Arial"/>
                <w:b/>
                <w:sz w:val="16"/>
                <w:szCs w:val="16"/>
              </w:rPr>
            </w:pPr>
            <w:r>
              <w:rPr>
                <w:rFonts w:cs="Arial"/>
                <w:b/>
                <w:sz w:val="16"/>
                <w:szCs w:val="16"/>
              </w:rPr>
              <w:t>2024</w:t>
            </w:r>
            <w:r w:rsidR="00B27C43">
              <w:rPr>
                <w:rFonts w:cs="Arial"/>
                <w:b/>
                <w:sz w:val="16"/>
                <w:szCs w:val="16"/>
              </w:rPr>
              <w:t xml:space="preserve"> r.</w:t>
            </w:r>
          </w:p>
        </w:tc>
        <w:tc>
          <w:tcPr>
            <w:tcW w:w="3827" w:type="dxa"/>
            <w:gridSpan w:val="2"/>
            <w:shd w:val="clear" w:color="auto" w:fill="DBE5F1"/>
            <w:vAlign w:val="center"/>
          </w:tcPr>
          <w:p w14:paraId="029A59B9" w14:textId="7933258C" w:rsidR="00B27C43" w:rsidRPr="00A92EB0" w:rsidRDefault="00B27C43" w:rsidP="009B3E20">
            <w:pPr>
              <w:jc w:val="center"/>
              <w:rPr>
                <w:rFonts w:cs="Arial"/>
                <w:b/>
                <w:sz w:val="16"/>
                <w:szCs w:val="16"/>
              </w:rPr>
            </w:pPr>
            <w:r>
              <w:rPr>
                <w:rFonts w:cs="Arial"/>
                <w:b/>
                <w:sz w:val="16"/>
                <w:szCs w:val="16"/>
              </w:rPr>
              <w:t>202</w:t>
            </w:r>
            <w:r w:rsidR="009B3E20">
              <w:rPr>
                <w:rFonts w:cs="Arial"/>
                <w:b/>
                <w:sz w:val="16"/>
                <w:szCs w:val="16"/>
              </w:rPr>
              <w:t>5</w:t>
            </w:r>
            <w:r>
              <w:rPr>
                <w:rFonts w:cs="Arial"/>
                <w:b/>
                <w:sz w:val="16"/>
                <w:szCs w:val="16"/>
              </w:rPr>
              <w:t xml:space="preserve"> r.</w:t>
            </w:r>
          </w:p>
        </w:tc>
      </w:tr>
      <w:tr w:rsidR="00B27C43" w:rsidRPr="00A92EB0" w14:paraId="34F4F960" w14:textId="77777777" w:rsidTr="00C866A1">
        <w:trPr>
          <w:tblHeader/>
        </w:trPr>
        <w:tc>
          <w:tcPr>
            <w:tcW w:w="562" w:type="dxa"/>
            <w:shd w:val="clear" w:color="auto" w:fill="DBE5F1"/>
            <w:vAlign w:val="center"/>
          </w:tcPr>
          <w:p w14:paraId="5D2DDA7B" w14:textId="77777777" w:rsidR="00B27C43" w:rsidRPr="00A92EB0" w:rsidRDefault="00B27C43" w:rsidP="00C866A1">
            <w:pPr>
              <w:jc w:val="center"/>
              <w:rPr>
                <w:rFonts w:cs="Arial"/>
                <w:b/>
                <w:sz w:val="16"/>
                <w:szCs w:val="16"/>
              </w:rPr>
            </w:pPr>
            <w:r w:rsidRPr="00A92EB0">
              <w:rPr>
                <w:rFonts w:cs="Arial"/>
                <w:b/>
                <w:sz w:val="16"/>
                <w:szCs w:val="16"/>
              </w:rPr>
              <w:t>Lp.</w:t>
            </w:r>
          </w:p>
        </w:tc>
        <w:tc>
          <w:tcPr>
            <w:tcW w:w="2699" w:type="dxa"/>
            <w:shd w:val="clear" w:color="auto" w:fill="DBE5F1"/>
            <w:vAlign w:val="center"/>
          </w:tcPr>
          <w:p w14:paraId="432396B2" w14:textId="77777777" w:rsidR="00B27C43" w:rsidRPr="00A92EB0" w:rsidRDefault="00B27C43" w:rsidP="00C866A1">
            <w:pPr>
              <w:jc w:val="center"/>
              <w:rPr>
                <w:rFonts w:cs="Arial"/>
                <w:b/>
                <w:sz w:val="16"/>
                <w:szCs w:val="16"/>
              </w:rPr>
            </w:pPr>
            <w:r w:rsidRPr="00A92EB0">
              <w:rPr>
                <w:rFonts w:cs="Arial"/>
                <w:b/>
                <w:sz w:val="16"/>
                <w:szCs w:val="16"/>
              </w:rPr>
              <w:t>Aspekt społeczny</w:t>
            </w:r>
          </w:p>
        </w:tc>
        <w:tc>
          <w:tcPr>
            <w:tcW w:w="1554" w:type="dxa"/>
            <w:shd w:val="clear" w:color="auto" w:fill="DBE5F1"/>
            <w:vAlign w:val="center"/>
          </w:tcPr>
          <w:p w14:paraId="475907BA" w14:textId="77777777" w:rsidR="00B27C43" w:rsidRPr="00A92EB0" w:rsidRDefault="00B27C43" w:rsidP="00C866A1">
            <w:pPr>
              <w:jc w:val="center"/>
              <w:rPr>
                <w:rFonts w:cs="Arial"/>
                <w:b/>
                <w:bCs/>
                <w:sz w:val="16"/>
                <w:szCs w:val="16"/>
              </w:rPr>
            </w:pPr>
            <w:r w:rsidRPr="00A92EB0">
              <w:rPr>
                <w:rFonts w:cs="Arial"/>
                <w:b/>
                <w:bCs/>
                <w:sz w:val="16"/>
                <w:szCs w:val="16"/>
              </w:rPr>
              <w:t>Liczba zamówień z zastosowaniem danego aspektu społecznego</w:t>
            </w:r>
          </w:p>
        </w:tc>
        <w:tc>
          <w:tcPr>
            <w:tcW w:w="2126" w:type="dxa"/>
            <w:shd w:val="clear" w:color="auto" w:fill="DBE5F1"/>
            <w:vAlign w:val="center"/>
          </w:tcPr>
          <w:p w14:paraId="3D8A34F9" w14:textId="77777777" w:rsidR="00B27C43" w:rsidRPr="00A92EB0" w:rsidRDefault="00B27C43" w:rsidP="00C866A1">
            <w:pPr>
              <w:jc w:val="center"/>
              <w:rPr>
                <w:rFonts w:cs="Arial"/>
                <w:b/>
                <w:bCs/>
                <w:sz w:val="16"/>
                <w:szCs w:val="16"/>
              </w:rPr>
            </w:pPr>
            <w:r w:rsidRPr="00A92EB0">
              <w:rPr>
                <w:rFonts w:cs="Arial"/>
                <w:b/>
                <w:bCs/>
                <w:sz w:val="16"/>
                <w:szCs w:val="16"/>
              </w:rPr>
              <w:t>Wartość zamówień z zastosowaniem danego aspektu społecznego</w:t>
            </w:r>
          </w:p>
        </w:tc>
        <w:tc>
          <w:tcPr>
            <w:tcW w:w="1559" w:type="dxa"/>
            <w:shd w:val="clear" w:color="auto" w:fill="DBE5F1"/>
            <w:vAlign w:val="center"/>
          </w:tcPr>
          <w:p w14:paraId="7A1F1C74" w14:textId="77777777" w:rsidR="00B27C43" w:rsidRPr="00A92EB0" w:rsidRDefault="00B27C43" w:rsidP="00C866A1">
            <w:pPr>
              <w:jc w:val="center"/>
              <w:rPr>
                <w:rFonts w:cs="Arial"/>
                <w:b/>
                <w:bCs/>
                <w:sz w:val="16"/>
                <w:szCs w:val="16"/>
              </w:rPr>
            </w:pPr>
            <w:r w:rsidRPr="00A92EB0">
              <w:rPr>
                <w:rFonts w:cs="Arial"/>
                <w:b/>
                <w:bCs/>
                <w:sz w:val="16"/>
                <w:szCs w:val="16"/>
              </w:rPr>
              <w:t>Liczba zamówień z zastosowaniem danego aspektu społecznego</w:t>
            </w:r>
          </w:p>
        </w:tc>
        <w:tc>
          <w:tcPr>
            <w:tcW w:w="2127" w:type="dxa"/>
            <w:shd w:val="clear" w:color="auto" w:fill="DBE5F1"/>
            <w:vAlign w:val="center"/>
          </w:tcPr>
          <w:p w14:paraId="169392D7" w14:textId="77777777" w:rsidR="00B27C43" w:rsidRPr="00A92EB0" w:rsidRDefault="00B27C43" w:rsidP="00C866A1">
            <w:pPr>
              <w:jc w:val="center"/>
              <w:rPr>
                <w:rFonts w:cs="Arial"/>
                <w:b/>
                <w:bCs/>
                <w:sz w:val="16"/>
                <w:szCs w:val="16"/>
              </w:rPr>
            </w:pPr>
            <w:r w:rsidRPr="00A92EB0">
              <w:rPr>
                <w:rFonts w:cs="Arial"/>
                <w:b/>
                <w:bCs/>
                <w:sz w:val="16"/>
                <w:szCs w:val="16"/>
              </w:rPr>
              <w:t>Wartość zamówień z zastosowaniem danego aspektu społecznego</w:t>
            </w:r>
          </w:p>
        </w:tc>
        <w:tc>
          <w:tcPr>
            <w:tcW w:w="1559" w:type="dxa"/>
            <w:shd w:val="clear" w:color="auto" w:fill="DBE5F1"/>
            <w:vAlign w:val="center"/>
          </w:tcPr>
          <w:p w14:paraId="36750FF5" w14:textId="77777777" w:rsidR="00B27C43" w:rsidRPr="00A92EB0" w:rsidRDefault="00B27C43" w:rsidP="00C866A1">
            <w:pPr>
              <w:jc w:val="center"/>
              <w:rPr>
                <w:rFonts w:cs="Arial"/>
                <w:b/>
                <w:bCs/>
                <w:sz w:val="16"/>
                <w:szCs w:val="16"/>
              </w:rPr>
            </w:pPr>
            <w:r w:rsidRPr="00A92EB0">
              <w:rPr>
                <w:rFonts w:cs="Arial"/>
                <w:b/>
                <w:bCs/>
                <w:sz w:val="16"/>
                <w:szCs w:val="16"/>
              </w:rPr>
              <w:t>Liczba zamówień z zastosowaniem danego aspektu społecznego</w:t>
            </w:r>
          </w:p>
        </w:tc>
        <w:tc>
          <w:tcPr>
            <w:tcW w:w="2268" w:type="dxa"/>
            <w:shd w:val="clear" w:color="auto" w:fill="DBE5F1"/>
            <w:vAlign w:val="center"/>
          </w:tcPr>
          <w:p w14:paraId="43F1F947" w14:textId="77777777" w:rsidR="00B27C43" w:rsidRPr="00A92EB0" w:rsidRDefault="00B27C43" w:rsidP="00C866A1">
            <w:pPr>
              <w:jc w:val="center"/>
              <w:rPr>
                <w:rFonts w:cs="Arial"/>
                <w:b/>
                <w:bCs/>
                <w:sz w:val="16"/>
                <w:szCs w:val="16"/>
              </w:rPr>
            </w:pPr>
            <w:r w:rsidRPr="00A92EB0">
              <w:rPr>
                <w:rFonts w:cs="Arial"/>
                <w:b/>
                <w:bCs/>
                <w:sz w:val="16"/>
                <w:szCs w:val="16"/>
              </w:rPr>
              <w:t>Wartość zamówień z zastosowaniem danego aspektu społecznego</w:t>
            </w:r>
          </w:p>
        </w:tc>
      </w:tr>
      <w:tr w:rsidR="00FC5DBD" w:rsidRPr="00A92EB0" w14:paraId="1425B7F0" w14:textId="77777777" w:rsidTr="00C866A1">
        <w:tc>
          <w:tcPr>
            <w:tcW w:w="562" w:type="dxa"/>
            <w:shd w:val="clear" w:color="auto" w:fill="DBE5F1"/>
            <w:vAlign w:val="center"/>
          </w:tcPr>
          <w:p w14:paraId="350FB6E3" w14:textId="77777777" w:rsidR="00FC5DBD" w:rsidRPr="009B3E20" w:rsidRDefault="00FC5DBD" w:rsidP="00FC5DBD">
            <w:pPr>
              <w:jc w:val="center"/>
              <w:rPr>
                <w:rFonts w:cs="Arial"/>
                <w:sz w:val="16"/>
                <w:szCs w:val="16"/>
              </w:rPr>
            </w:pPr>
            <w:r w:rsidRPr="009B3E20">
              <w:rPr>
                <w:rFonts w:cs="Arial"/>
                <w:sz w:val="16"/>
                <w:szCs w:val="16"/>
              </w:rPr>
              <w:t>1.</w:t>
            </w:r>
          </w:p>
        </w:tc>
        <w:tc>
          <w:tcPr>
            <w:tcW w:w="2699" w:type="dxa"/>
            <w:shd w:val="clear" w:color="auto" w:fill="DBE5F1"/>
            <w:vAlign w:val="center"/>
          </w:tcPr>
          <w:p w14:paraId="36E7E23B" w14:textId="77777777" w:rsidR="00FC5DBD" w:rsidRPr="00A92EB0" w:rsidRDefault="00FC5DBD" w:rsidP="00FC5DBD">
            <w:pPr>
              <w:jc w:val="left"/>
              <w:rPr>
                <w:rFonts w:cs="Arial"/>
                <w:b/>
                <w:sz w:val="16"/>
                <w:szCs w:val="16"/>
              </w:rPr>
            </w:pPr>
            <w:r w:rsidRPr="00A92EB0">
              <w:rPr>
                <w:rFonts w:cs="Arial"/>
                <w:b/>
                <w:sz w:val="16"/>
                <w:szCs w:val="16"/>
              </w:rPr>
              <w:t>Określenie wymagań związanych z realizacją zamówienia w zakresie zatrudnienia na podstawie stosunku pracy</w:t>
            </w:r>
          </w:p>
        </w:tc>
        <w:tc>
          <w:tcPr>
            <w:tcW w:w="1554" w:type="dxa"/>
            <w:vAlign w:val="center"/>
          </w:tcPr>
          <w:p w14:paraId="78DEBB03" w14:textId="05CC6F0A" w:rsidR="00FC5DBD" w:rsidRPr="004E7839" w:rsidRDefault="00FC5DBD" w:rsidP="00FC5DBD">
            <w:pPr>
              <w:jc w:val="center"/>
              <w:rPr>
                <w:rFonts w:cs="Arial"/>
                <w:bCs/>
                <w:sz w:val="18"/>
                <w:szCs w:val="18"/>
              </w:rPr>
            </w:pPr>
            <w:r>
              <w:rPr>
                <w:rFonts w:cs="Arial"/>
                <w:bCs/>
                <w:sz w:val="18"/>
                <w:szCs w:val="18"/>
              </w:rPr>
              <w:t>6 429</w:t>
            </w:r>
          </w:p>
        </w:tc>
        <w:tc>
          <w:tcPr>
            <w:tcW w:w="2126" w:type="dxa"/>
            <w:vAlign w:val="center"/>
          </w:tcPr>
          <w:p w14:paraId="13B94A2B" w14:textId="0ECC8E94" w:rsidR="00FC5DBD" w:rsidRPr="004E7839" w:rsidRDefault="00FC5DBD" w:rsidP="00FC5DBD">
            <w:pPr>
              <w:jc w:val="center"/>
              <w:rPr>
                <w:rFonts w:cs="Arial"/>
                <w:bCs/>
                <w:sz w:val="18"/>
                <w:szCs w:val="18"/>
              </w:rPr>
            </w:pPr>
            <w:r>
              <w:rPr>
                <w:rFonts w:cs="Arial"/>
                <w:bCs/>
                <w:sz w:val="18"/>
                <w:szCs w:val="18"/>
              </w:rPr>
              <w:t>21 614 408 058,02 zł</w:t>
            </w:r>
          </w:p>
        </w:tc>
        <w:tc>
          <w:tcPr>
            <w:tcW w:w="1559" w:type="dxa"/>
            <w:vAlign w:val="center"/>
          </w:tcPr>
          <w:p w14:paraId="465F12A3" w14:textId="5886833B" w:rsidR="00FC5DBD" w:rsidRPr="004E7839" w:rsidRDefault="00FC5DBD" w:rsidP="00FC5DBD">
            <w:pPr>
              <w:jc w:val="center"/>
              <w:rPr>
                <w:rFonts w:cs="Arial"/>
                <w:bCs/>
                <w:sz w:val="18"/>
                <w:szCs w:val="18"/>
              </w:rPr>
            </w:pPr>
            <w:r w:rsidRPr="001300A7">
              <w:rPr>
                <w:rFonts w:cs="Arial"/>
                <w:bCs/>
                <w:sz w:val="18"/>
                <w:szCs w:val="18"/>
              </w:rPr>
              <w:t>6 483</w:t>
            </w:r>
          </w:p>
        </w:tc>
        <w:tc>
          <w:tcPr>
            <w:tcW w:w="2127" w:type="dxa"/>
            <w:vAlign w:val="center"/>
          </w:tcPr>
          <w:p w14:paraId="485AC7D6" w14:textId="3B654281" w:rsidR="00FC5DBD" w:rsidRPr="004E7839" w:rsidRDefault="00FC5DBD" w:rsidP="00FC5DBD">
            <w:pPr>
              <w:jc w:val="center"/>
              <w:rPr>
                <w:rFonts w:cs="Arial"/>
                <w:bCs/>
                <w:sz w:val="18"/>
                <w:szCs w:val="18"/>
              </w:rPr>
            </w:pPr>
            <w:r w:rsidRPr="001300A7">
              <w:rPr>
                <w:rFonts w:cs="Arial"/>
                <w:bCs/>
                <w:sz w:val="18"/>
                <w:szCs w:val="18"/>
              </w:rPr>
              <w:t>22 780 896 034,38 zł</w:t>
            </w:r>
          </w:p>
        </w:tc>
        <w:tc>
          <w:tcPr>
            <w:tcW w:w="1559" w:type="dxa"/>
            <w:vAlign w:val="center"/>
          </w:tcPr>
          <w:p w14:paraId="5DB147AA" w14:textId="3DFC0963" w:rsidR="00FC5DBD" w:rsidRPr="001300A7" w:rsidRDefault="00FC5DBD" w:rsidP="00FC5DBD">
            <w:pPr>
              <w:jc w:val="center"/>
              <w:rPr>
                <w:rFonts w:cs="Arial"/>
                <w:bCs/>
                <w:sz w:val="18"/>
                <w:szCs w:val="18"/>
              </w:rPr>
            </w:pPr>
            <w:r>
              <w:rPr>
                <w:rFonts w:cs="Arial"/>
                <w:bCs/>
                <w:sz w:val="18"/>
                <w:szCs w:val="18"/>
              </w:rPr>
              <w:t>6 716</w:t>
            </w:r>
          </w:p>
        </w:tc>
        <w:tc>
          <w:tcPr>
            <w:tcW w:w="2268" w:type="dxa"/>
            <w:vAlign w:val="center"/>
          </w:tcPr>
          <w:p w14:paraId="75172650" w14:textId="7978D8B5" w:rsidR="00FC5DBD" w:rsidRPr="001300A7" w:rsidRDefault="00FC5DBD" w:rsidP="00FC5DBD">
            <w:pPr>
              <w:jc w:val="center"/>
              <w:rPr>
                <w:rFonts w:cs="Arial"/>
                <w:bCs/>
                <w:sz w:val="18"/>
                <w:szCs w:val="18"/>
              </w:rPr>
            </w:pPr>
            <w:r>
              <w:rPr>
                <w:rFonts w:cs="Arial"/>
                <w:bCs/>
                <w:sz w:val="18"/>
                <w:szCs w:val="18"/>
              </w:rPr>
              <w:t>19 659 508 822,80 zł</w:t>
            </w:r>
          </w:p>
        </w:tc>
      </w:tr>
      <w:tr w:rsidR="00FC5DBD" w:rsidRPr="00A92EB0" w14:paraId="3D07C805" w14:textId="77777777" w:rsidTr="00C866A1">
        <w:tc>
          <w:tcPr>
            <w:tcW w:w="562" w:type="dxa"/>
            <w:shd w:val="clear" w:color="auto" w:fill="DBE5F1"/>
            <w:vAlign w:val="center"/>
          </w:tcPr>
          <w:p w14:paraId="060E22D2" w14:textId="77777777" w:rsidR="00FC5DBD" w:rsidRPr="009B3E20" w:rsidRDefault="00FC5DBD" w:rsidP="00FC5DBD">
            <w:pPr>
              <w:jc w:val="center"/>
              <w:rPr>
                <w:rFonts w:cs="Arial"/>
                <w:sz w:val="16"/>
                <w:szCs w:val="16"/>
              </w:rPr>
            </w:pPr>
            <w:r w:rsidRPr="009B3E20">
              <w:rPr>
                <w:rFonts w:cs="Arial"/>
                <w:sz w:val="16"/>
                <w:szCs w:val="16"/>
              </w:rPr>
              <w:t>2.</w:t>
            </w:r>
          </w:p>
        </w:tc>
        <w:tc>
          <w:tcPr>
            <w:tcW w:w="2699" w:type="dxa"/>
            <w:shd w:val="clear" w:color="auto" w:fill="DBE5F1"/>
            <w:vAlign w:val="center"/>
          </w:tcPr>
          <w:p w14:paraId="675A8158" w14:textId="77777777" w:rsidR="00FC5DBD" w:rsidRPr="00A92EB0" w:rsidRDefault="00FC5DBD" w:rsidP="00FC5DBD">
            <w:pPr>
              <w:jc w:val="left"/>
              <w:rPr>
                <w:rFonts w:cs="Arial"/>
                <w:b/>
                <w:sz w:val="16"/>
                <w:szCs w:val="16"/>
              </w:rPr>
            </w:pPr>
            <w:r w:rsidRPr="00A92EB0">
              <w:rPr>
                <w:rFonts w:cs="Arial"/>
                <w:b/>
                <w:sz w:val="16"/>
                <w:szCs w:val="16"/>
              </w:rPr>
              <w:t>Zamówienie udzielone jako zamówienie zastrzeżone</w:t>
            </w:r>
          </w:p>
        </w:tc>
        <w:tc>
          <w:tcPr>
            <w:tcW w:w="1554" w:type="dxa"/>
            <w:vAlign w:val="center"/>
          </w:tcPr>
          <w:p w14:paraId="1620E982" w14:textId="36B5210F" w:rsidR="00FC5DBD" w:rsidRPr="004E7839" w:rsidRDefault="00FC5DBD" w:rsidP="00FC5DBD">
            <w:pPr>
              <w:jc w:val="center"/>
              <w:rPr>
                <w:rFonts w:cs="Arial"/>
                <w:bCs/>
                <w:sz w:val="18"/>
                <w:szCs w:val="18"/>
              </w:rPr>
            </w:pPr>
            <w:r>
              <w:rPr>
                <w:rFonts w:cs="Arial"/>
                <w:bCs/>
                <w:sz w:val="18"/>
                <w:szCs w:val="18"/>
              </w:rPr>
              <w:t>39</w:t>
            </w:r>
          </w:p>
        </w:tc>
        <w:tc>
          <w:tcPr>
            <w:tcW w:w="2126" w:type="dxa"/>
            <w:vAlign w:val="center"/>
          </w:tcPr>
          <w:p w14:paraId="07AAE038" w14:textId="5DC22041" w:rsidR="00FC5DBD" w:rsidRPr="004E7839" w:rsidRDefault="00FC5DBD" w:rsidP="00FC5DBD">
            <w:pPr>
              <w:jc w:val="center"/>
              <w:rPr>
                <w:rFonts w:cs="Arial"/>
                <w:bCs/>
                <w:sz w:val="18"/>
                <w:szCs w:val="18"/>
              </w:rPr>
            </w:pPr>
            <w:r>
              <w:rPr>
                <w:rFonts w:cs="Arial"/>
                <w:bCs/>
                <w:sz w:val="18"/>
                <w:szCs w:val="18"/>
              </w:rPr>
              <w:t>243 599 941,00 zł</w:t>
            </w:r>
          </w:p>
        </w:tc>
        <w:tc>
          <w:tcPr>
            <w:tcW w:w="1559" w:type="dxa"/>
            <w:vAlign w:val="center"/>
          </w:tcPr>
          <w:p w14:paraId="41687C77" w14:textId="7B5C355A" w:rsidR="00FC5DBD" w:rsidRPr="004E7839" w:rsidRDefault="00FC5DBD" w:rsidP="00FC5DBD">
            <w:pPr>
              <w:jc w:val="center"/>
              <w:rPr>
                <w:rFonts w:cs="Arial"/>
                <w:bCs/>
                <w:sz w:val="18"/>
                <w:szCs w:val="18"/>
              </w:rPr>
            </w:pPr>
            <w:r w:rsidRPr="001300A7">
              <w:rPr>
                <w:rFonts w:cs="Arial"/>
                <w:bCs/>
                <w:sz w:val="18"/>
                <w:szCs w:val="18"/>
              </w:rPr>
              <w:t>43</w:t>
            </w:r>
          </w:p>
        </w:tc>
        <w:tc>
          <w:tcPr>
            <w:tcW w:w="2127" w:type="dxa"/>
            <w:vAlign w:val="center"/>
          </w:tcPr>
          <w:p w14:paraId="607BBCF1" w14:textId="1B77B270" w:rsidR="00FC5DBD" w:rsidRPr="004E7839" w:rsidRDefault="00FC5DBD" w:rsidP="00FC5DBD">
            <w:pPr>
              <w:jc w:val="center"/>
              <w:rPr>
                <w:rFonts w:cs="Arial"/>
                <w:bCs/>
                <w:sz w:val="18"/>
                <w:szCs w:val="18"/>
              </w:rPr>
            </w:pPr>
            <w:r w:rsidRPr="001300A7">
              <w:rPr>
                <w:rFonts w:cs="Arial"/>
                <w:bCs/>
                <w:sz w:val="18"/>
                <w:szCs w:val="18"/>
              </w:rPr>
              <w:t>99 184 712,79 zł</w:t>
            </w:r>
          </w:p>
        </w:tc>
        <w:tc>
          <w:tcPr>
            <w:tcW w:w="1559" w:type="dxa"/>
            <w:vAlign w:val="center"/>
          </w:tcPr>
          <w:p w14:paraId="060C4FFB" w14:textId="2C1E83E1" w:rsidR="00FC5DBD" w:rsidRPr="001300A7" w:rsidRDefault="00FC5DBD" w:rsidP="00FC5DBD">
            <w:pPr>
              <w:jc w:val="center"/>
              <w:rPr>
                <w:rFonts w:cs="Arial"/>
                <w:bCs/>
                <w:sz w:val="18"/>
                <w:szCs w:val="18"/>
              </w:rPr>
            </w:pPr>
            <w:r>
              <w:rPr>
                <w:rFonts w:cs="Arial"/>
                <w:bCs/>
                <w:sz w:val="18"/>
                <w:szCs w:val="18"/>
              </w:rPr>
              <w:t>26</w:t>
            </w:r>
          </w:p>
        </w:tc>
        <w:tc>
          <w:tcPr>
            <w:tcW w:w="2268" w:type="dxa"/>
            <w:vAlign w:val="center"/>
          </w:tcPr>
          <w:p w14:paraId="21650F47" w14:textId="29B60669" w:rsidR="00FC5DBD" w:rsidRPr="001300A7" w:rsidRDefault="00FC5DBD" w:rsidP="00FC5DBD">
            <w:pPr>
              <w:jc w:val="center"/>
              <w:rPr>
                <w:rFonts w:cs="Arial"/>
                <w:bCs/>
                <w:sz w:val="18"/>
                <w:szCs w:val="18"/>
              </w:rPr>
            </w:pPr>
            <w:r>
              <w:rPr>
                <w:rFonts w:cs="Arial"/>
                <w:bCs/>
                <w:sz w:val="18"/>
                <w:szCs w:val="18"/>
              </w:rPr>
              <w:t>98 226 223,33 zł</w:t>
            </w:r>
          </w:p>
        </w:tc>
      </w:tr>
      <w:tr w:rsidR="00FC5DBD" w:rsidRPr="00A92EB0" w14:paraId="240EDA43" w14:textId="77777777" w:rsidTr="00C866A1">
        <w:tc>
          <w:tcPr>
            <w:tcW w:w="562" w:type="dxa"/>
            <w:shd w:val="clear" w:color="auto" w:fill="DBE5F1"/>
            <w:vAlign w:val="center"/>
          </w:tcPr>
          <w:p w14:paraId="6E914E9E" w14:textId="77777777" w:rsidR="00FC5DBD" w:rsidRPr="009B3E20" w:rsidRDefault="00FC5DBD" w:rsidP="00FC5DBD">
            <w:pPr>
              <w:jc w:val="center"/>
              <w:rPr>
                <w:rFonts w:cs="Arial"/>
                <w:sz w:val="16"/>
                <w:szCs w:val="16"/>
              </w:rPr>
            </w:pPr>
            <w:r w:rsidRPr="009B3E20">
              <w:rPr>
                <w:rFonts w:cs="Arial"/>
                <w:sz w:val="16"/>
                <w:szCs w:val="16"/>
              </w:rPr>
              <w:t>3.</w:t>
            </w:r>
          </w:p>
        </w:tc>
        <w:tc>
          <w:tcPr>
            <w:tcW w:w="2699" w:type="dxa"/>
            <w:shd w:val="clear" w:color="auto" w:fill="DBE5F1"/>
            <w:vAlign w:val="center"/>
          </w:tcPr>
          <w:p w14:paraId="5781E554" w14:textId="77777777" w:rsidR="00FC5DBD" w:rsidRPr="00A92EB0" w:rsidRDefault="00FC5DBD" w:rsidP="00FC5DBD">
            <w:pPr>
              <w:jc w:val="left"/>
              <w:rPr>
                <w:rFonts w:cs="Arial"/>
                <w:b/>
                <w:sz w:val="16"/>
                <w:szCs w:val="16"/>
              </w:rPr>
            </w:pPr>
            <w:r w:rsidRPr="00A92EB0">
              <w:rPr>
                <w:rFonts w:cs="Arial"/>
                <w:b/>
                <w:sz w:val="16"/>
                <w:szCs w:val="16"/>
              </w:rPr>
              <w:t>Określenie wymagań związanych z realizacją zamówienia obejmujących aspekty społeczne związane z zatrudnieniem</w:t>
            </w:r>
          </w:p>
        </w:tc>
        <w:tc>
          <w:tcPr>
            <w:tcW w:w="1554" w:type="dxa"/>
            <w:vAlign w:val="center"/>
          </w:tcPr>
          <w:p w14:paraId="2D47B0F1" w14:textId="5A052629" w:rsidR="00FC5DBD" w:rsidRPr="004E7839" w:rsidRDefault="00FC5DBD" w:rsidP="00FC5DBD">
            <w:pPr>
              <w:jc w:val="center"/>
              <w:rPr>
                <w:rFonts w:cs="Arial"/>
                <w:bCs/>
                <w:sz w:val="18"/>
                <w:szCs w:val="18"/>
              </w:rPr>
            </w:pPr>
            <w:r>
              <w:rPr>
                <w:rFonts w:cs="Arial"/>
                <w:bCs/>
                <w:sz w:val="18"/>
                <w:szCs w:val="18"/>
              </w:rPr>
              <w:t>284</w:t>
            </w:r>
          </w:p>
        </w:tc>
        <w:tc>
          <w:tcPr>
            <w:tcW w:w="2126" w:type="dxa"/>
            <w:vAlign w:val="center"/>
          </w:tcPr>
          <w:p w14:paraId="325BD6D5" w14:textId="1295EAEF" w:rsidR="00FC5DBD" w:rsidRPr="004E7839" w:rsidRDefault="00FC5DBD" w:rsidP="00FC5DBD">
            <w:pPr>
              <w:jc w:val="center"/>
              <w:rPr>
                <w:rFonts w:cs="Arial"/>
                <w:bCs/>
                <w:sz w:val="18"/>
                <w:szCs w:val="18"/>
              </w:rPr>
            </w:pPr>
            <w:r>
              <w:rPr>
                <w:rFonts w:cs="Arial"/>
                <w:bCs/>
                <w:sz w:val="18"/>
                <w:szCs w:val="18"/>
              </w:rPr>
              <w:t>362 368 756,39 zł</w:t>
            </w:r>
          </w:p>
        </w:tc>
        <w:tc>
          <w:tcPr>
            <w:tcW w:w="1559" w:type="dxa"/>
            <w:vAlign w:val="center"/>
          </w:tcPr>
          <w:p w14:paraId="084D7596" w14:textId="1C6285DA" w:rsidR="00FC5DBD" w:rsidRPr="004E7839" w:rsidRDefault="00FC5DBD" w:rsidP="00FC5DBD">
            <w:pPr>
              <w:jc w:val="center"/>
              <w:rPr>
                <w:rFonts w:cs="Arial"/>
                <w:bCs/>
                <w:sz w:val="18"/>
                <w:szCs w:val="18"/>
              </w:rPr>
            </w:pPr>
            <w:r w:rsidRPr="001300A7">
              <w:rPr>
                <w:rFonts w:cs="Arial"/>
                <w:bCs/>
                <w:sz w:val="18"/>
                <w:szCs w:val="18"/>
              </w:rPr>
              <w:t>287</w:t>
            </w:r>
          </w:p>
        </w:tc>
        <w:tc>
          <w:tcPr>
            <w:tcW w:w="2127" w:type="dxa"/>
            <w:vAlign w:val="center"/>
          </w:tcPr>
          <w:p w14:paraId="1EA4A48E" w14:textId="0AB5CA6D" w:rsidR="00FC5DBD" w:rsidRPr="004E7839" w:rsidRDefault="00FC5DBD" w:rsidP="00FC5DBD">
            <w:pPr>
              <w:jc w:val="center"/>
              <w:rPr>
                <w:rFonts w:cs="Arial"/>
                <w:bCs/>
                <w:sz w:val="18"/>
                <w:szCs w:val="18"/>
              </w:rPr>
            </w:pPr>
            <w:r w:rsidRPr="001300A7">
              <w:rPr>
                <w:rFonts w:cs="Arial"/>
                <w:bCs/>
                <w:sz w:val="18"/>
                <w:szCs w:val="18"/>
              </w:rPr>
              <w:t>837 727 598,88 zł</w:t>
            </w:r>
          </w:p>
        </w:tc>
        <w:tc>
          <w:tcPr>
            <w:tcW w:w="1559" w:type="dxa"/>
            <w:vAlign w:val="center"/>
          </w:tcPr>
          <w:p w14:paraId="2D49A3BE" w14:textId="4720C269" w:rsidR="00FC5DBD" w:rsidRPr="001300A7" w:rsidRDefault="00FC5DBD" w:rsidP="00FC5DBD">
            <w:pPr>
              <w:jc w:val="center"/>
              <w:rPr>
                <w:rFonts w:cs="Arial"/>
                <w:bCs/>
                <w:sz w:val="18"/>
                <w:szCs w:val="18"/>
              </w:rPr>
            </w:pPr>
            <w:r>
              <w:rPr>
                <w:rFonts w:cs="Arial"/>
                <w:bCs/>
                <w:sz w:val="18"/>
                <w:szCs w:val="18"/>
              </w:rPr>
              <w:t>198</w:t>
            </w:r>
          </w:p>
        </w:tc>
        <w:tc>
          <w:tcPr>
            <w:tcW w:w="2268" w:type="dxa"/>
            <w:vAlign w:val="center"/>
          </w:tcPr>
          <w:p w14:paraId="7D1B86C9" w14:textId="4ECF0EEF" w:rsidR="00FC5DBD" w:rsidRPr="001300A7" w:rsidRDefault="00FC5DBD" w:rsidP="00FC5DBD">
            <w:pPr>
              <w:jc w:val="center"/>
              <w:rPr>
                <w:rFonts w:cs="Arial"/>
                <w:bCs/>
                <w:sz w:val="18"/>
                <w:szCs w:val="18"/>
              </w:rPr>
            </w:pPr>
            <w:r>
              <w:rPr>
                <w:rFonts w:cs="Arial"/>
                <w:bCs/>
                <w:sz w:val="18"/>
                <w:szCs w:val="18"/>
              </w:rPr>
              <w:t>2 207 565 643,8 zł</w:t>
            </w:r>
          </w:p>
        </w:tc>
      </w:tr>
      <w:tr w:rsidR="00FC5DBD" w:rsidRPr="00A92EB0" w14:paraId="78274206" w14:textId="77777777" w:rsidTr="00C866A1">
        <w:tc>
          <w:tcPr>
            <w:tcW w:w="562" w:type="dxa"/>
            <w:shd w:val="clear" w:color="auto" w:fill="DBE5F1"/>
            <w:vAlign w:val="center"/>
          </w:tcPr>
          <w:p w14:paraId="68D7FEF3" w14:textId="77777777" w:rsidR="00FC5DBD" w:rsidRPr="009B3E20" w:rsidRDefault="00FC5DBD" w:rsidP="00FC5DBD">
            <w:pPr>
              <w:jc w:val="center"/>
              <w:rPr>
                <w:rFonts w:cs="Arial"/>
                <w:sz w:val="16"/>
                <w:szCs w:val="16"/>
              </w:rPr>
            </w:pPr>
            <w:r w:rsidRPr="009B3E20">
              <w:rPr>
                <w:rFonts w:cs="Arial"/>
                <w:sz w:val="16"/>
                <w:szCs w:val="16"/>
              </w:rPr>
              <w:t>4.</w:t>
            </w:r>
          </w:p>
        </w:tc>
        <w:tc>
          <w:tcPr>
            <w:tcW w:w="2699" w:type="dxa"/>
            <w:shd w:val="clear" w:color="auto" w:fill="DBE5F1"/>
            <w:vAlign w:val="center"/>
          </w:tcPr>
          <w:p w14:paraId="415C9C79" w14:textId="77777777" w:rsidR="00FC5DBD" w:rsidRPr="00A92EB0" w:rsidRDefault="00FC5DBD" w:rsidP="00FC5DBD">
            <w:pPr>
              <w:jc w:val="left"/>
              <w:rPr>
                <w:rFonts w:cs="Arial"/>
                <w:b/>
                <w:sz w:val="16"/>
                <w:szCs w:val="16"/>
              </w:rPr>
            </w:pPr>
            <w:r w:rsidRPr="00A92EB0">
              <w:rPr>
                <w:rFonts w:cs="Arial"/>
                <w:b/>
                <w:sz w:val="16"/>
                <w:szCs w:val="16"/>
              </w:rPr>
              <w:t>Określenie aspektów społecznych w kryteriach oceny ofert</w:t>
            </w:r>
          </w:p>
        </w:tc>
        <w:tc>
          <w:tcPr>
            <w:tcW w:w="1554" w:type="dxa"/>
            <w:vAlign w:val="center"/>
          </w:tcPr>
          <w:p w14:paraId="18EBB2E3" w14:textId="7B235CFC" w:rsidR="00FC5DBD" w:rsidRPr="004E7839" w:rsidRDefault="00FC5DBD" w:rsidP="00FC5DBD">
            <w:pPr>
              <w:jc w:val="center"/>
              <w:rPr>
                <w:rFonts w:cs="Arial"/>
                <w:sz w:val="18"/>
                <w:szCs w:val="18"/>
              </w:rPr>
            </w:pPr>
            <w:r>
              <w:rPr>
                <w:rFonts w:cs="Arial"/>
                <w:sz w:val="18"/>
                <w:szCs w:val="18"/>
              </w:rPr>
              <w:t>494</w:t>
            </w:r>
          </w:p>
        </w:tc>
        <w:tc>
          <w:tcPr>
            <w:tcW w:w="2126" w:type="dxa"/>
            <w:vAlign w:val="center"/>
          </w:tcPr>
          <w:p w14:paraId="253A7BA5" w14:textId="16B321E4" w:rsidR="00FC5DBD" w:rsidRPr="004E7839" w:rsidRDefault="00FC5DBD" w:rsidP="00FC5DBD">
            <w:pPr>
              <w:jc w:val="center"/>
              <w:rPr>
                <w:rFonts w:cs="Arial"/>
                <w:sz w:val="18"/>
                <w:szCs w:val="18"/>
              </w:rPr>
            </w:pPr>
            <w:r>
              <w:rPr>
                <w:rFonts w:cs="Arial"/>
                <w:sz w:val="18"/>
                <w:szCs w:val="18"/>
              </w:rPr>
              <w:t>1 017 372 303,47 zł</w:t>
            </w:r>
          </w:p>
        </w:tc>
        <w:tc>
          <w:tcPr>
            <w:tcW w:w="1559" w:type="dxa"/>
            <w:vAlign w:val="center"/>
          </w:tcPr>
          <w:p w14:paraId="4FA61FDD" w14:textId="7127E27F" w:rsidR="00FC5DBD" w:rsidRPr="004E7839" w:rsidRDefault="00FC5DBD" w:rsidP="00FC5DBD">
            <w:pPr>
              <w:jc w:val="center"/>
              <w:rPr>
                <w:rFonts w:cs="Arial"/>
                <w:sz w:val="18"/>
                <w:szCs w:val="18"/>
              </w:rPr>
            </w:pPr>
            <w:r w:rsidRPr="001300A7">
              <w:rPr>
                <w:rFonts w:cs="Arial"/>
                <w:sz w:val="18"/>
                <w:szCs w:val="18"/>
              </w:rPr>
              <w:t>364</w:t>
            </w:r>
          </w:p>
        </w:tc>
        <w:tc>
          <w:tcPr>
            <w:tcW w:w="2127" w:type="dxa"/>
            <w:vAlign w:val="center"/>
          </w:tcPr>
          <w:p w14:paraId="33214098" w14:textId="22290498" w:rsidR="00FC5DBD" w:rsidRPr="004E7839" w:rsidRDefault="00FC5DBD" w:rsidP="00FC5DBD">
            <w:pPr>
              <w:jc w:val="center"/>
              <w:rPr>
                <w:rFonts w:cs="Arial"/>
                <w:sz w:val="18"/>
                <w:szCs w:val="18"/>
              </w:rPr>
            </w:pPr>
            <w:r w:rsidRPr="001300A7">
              <w:rPr>
                <w:rFonts w:cs="Arial"/>
                <w:sz w:val="18"/>
                <w:szCs w:val="18"/>
              </w:rPr>
              <w:t>602 449 004,74 zł</w:t>
            </w:r>
          </w:p>
        </w:tc>
        <w:tc>
          <w:tcPr>
            <w:tcW w:w="1559" w:type="dxa"/>
            <w:vAlign w:val="center"/>
          </w:tcPr>
          <w:p w14:paraId="1DB7E2DC" w14:textId="787CCA07" w:rsidR="00FC5DBD" w:rsidRPr="001300A7" w:rsidRDefault="00FC5DBD" w:rsidP="00FC5DBD">
            <w:pPr>
              <w:jc w:val="center"/>
              <w:rPr>
                <w:rFonts w:cs="Arial"/>
                <w:sz w:val="18"/>
                <w:szCs w:val="18"/>
              </w:rPr>
            </w:pPr>
            <w:r>
              <w:rPr>
                <w:rFonts w:cs="Arial"/>
                <w:sz w:val="18"/>
                <w:szCs w:val="18"/>
              </w:rPr>
              <w:t>331</w:t>
            </w:r>
          </w:p>
        </w:tc>
        <w:tc>
          <w:tcPr>
            <w:tcW w:w="2268" w:type="dxa"/>
            <w:vAlign w:val="center"/>
          </w:tcPr>
          <w:p w14:paraId="3286CB05" w14:textId="665F5B43" w:rsidR="00FC5DBD" w:rsidRPr="001300A7" w:rsidRDefault="00FC5DBD" w:rsidP="00FC5DBD">
            <w:pPr>
              <w:jc w:val="center"/>
              <w:rPr>
                <w:rFonts w:cs="Arial"/>
                <w:sz w:val="18"/>
                <w:szCs w:val="18"/>
              </w:rPr>
            </w:pPr>
            <w:r>
              <w:rPr>
                <w:rFonts w:cs="Arial"/>
                <w:sz w:val="18"/>
                <w:szCs w:val="18"/>
              </w:rPr>
              <w:t>392 464 045,39 zł</w:t>
            </w:r>
          </w:p>
        </w:tc>
      </w:tr>
      <w:tr w:rsidR="00FC5DBD" w:rsidRPr="00A92EB0" w14:paraId="263F3AB1" w14:textId="77777777" w:rsidTr="00C866A1">
        <w:tc>
          <w:tcPr>
            <w:tcW w:w="562" w:type="dxa"/>
            <w:shd w:val="clear" w:color="auto" w:fill="DBE5F1"/>
            <w:vAlign w:val="center"/>
          </w:tcPr>
          <w:p w14:paraId="151CDDC3" w14:textId="77777777" w:rsidR="00FC5DBD" w:rsidRPr="009B3E20" w:rsidRDefault="00FC5DBD" w:rsidP="00FC5DBD">
            <w:pPr>
              <w:jc w:val="center"/>
              <w:rPr>
                <w:rFonts w:cs="Arial"/>
                <w:sz w:val="16"/>
                <w:szCs w:val="16"/>
              </w:rPr>
            </w:pPr>
            <w:r w:rsidRPr="009B3E20">
              <w:rPr>
                <w:rFonts w:cs="Arial"/>
                <w:sz w:val="16"/>
                <w:szCs w:val="16"/>
              </w:rPr>
              <w:t>5.</w:t>
            </w:r>
          </w:p>
        </w:tc>
        <w:tc>
          <w:tcPr>
            <w:tcW w:w="2699" w:type="dxa"/>
            <w:shd w:val="clear" w:color="auto" w:fill="DBE5F1"/>
            <w:vAlign w:val="center"/>
          </w:tcPr>
          <w:p w14:paraId="0F7445CE" w14:textId="77777777" w:rsidR="00FC5DBD" w:rsidRPr="00A92EB0" w:rsidRDefault="00FC5DBD" w:rsidP="00FC5DBD">
            <w:pPr>
              <w:jc w:val="left"/>
              <w:rPr>
                <w:rFonts w:cs="Arial"/>
                <w:b/>
                <w:sz w:val="16"/>
                <w:szCs w:val="16"/>
              </w:rPr>
            </w:pPr>
            <w:r w:rsidRPr="00A92EB0">
              <w:rPr>
                <w:rFonts w:cs="Arial"/>
                <w:b/>
                <w:sz w:val="16"/>
                <w:szCs w:val="16"/>
              </w:rPr>
              <w:t>Określenie w opisie przedmiotu zamówienia wymagań w zakresie dostępności dla osób niepełnosprawnych lub projektowania z przeznaczeniem dla wszystkich</w:t>
            </w:r>
          </w:p>
        </w:tc>
        <w:tc>
          <w:tcPr>
            <w:tcW w:w="1554" w:type="dxa"/>
            <w:vAlign w:val="center"/>
          </w:tcPr>
          <w:p w14:paraId="7AA699A5" w14:textId="1AA208C6" w:rsidR="00FC5DBD" w:rsidRPr="004E7839" w:rsidRDefault="00FC5DBD" w:rsidP="00FC5DBD">
            <w:pPr>
              <w:jc w:val="center"/>
              <w:rPr>
                <w:rFonts w:cs="Arial"/>
                <w:sz w:val="18"/>
                <w:szCs w:val="18"/>
              </w:rPr>
            </w:pPr>
            <w:r>
              <w:rPr>
                <w:rFonts w:cs="Arial"/>
                <w:sz w:val="18"/>
                <w:szCs w:val="18"/>
              </w:rPr>
              <w:t>581</w:t>
            </w:r>
          </w:p>
        </w:tc>
        <w:tc>
          <w:tcPr>
            <w:tcW w:w="2126" w:type="dxa"/>
            <w:vAlign w:val="center"/>
          </w:tcPr>
          <w:p w14:paraId="6461366A" w14:textId="55374754" w:rsidR="00FC5DBD" w:rsidRPr="004E7839" w:rsidRDefault="00FC5DBD" w:rsidP="00FC5DBD">
            <w:pPr>
              <w:jc w:val="center"/>
              <w:rPr>
                <w:rFonts w:cs="Arial"/>
                <w:sz w:val="18"/>
                <w:szCs w:val="18"/>
              </w:rPr>
            </w:pPr>
            <w:r>
              <w:rPr>
                <w:rFonts w:cs="Arial"/>
                <w:sz w:val="18"/>
                <w:szCs w:val="18"/>
              </w:rPr>
              <w:t>2 239 928 676,41 zł</w:t>
            </w:r>
          </w:p>
        </w:tc>
        <w:tc>
          <w:tcPr>
            <w:tcW w:w="1559" w:type="dxa"/>
            <w:vAlign w:val="center"/>
          </w:tcPr>
          <w:p w14:paraId="00717ADF" w14:textId="44B85295" w:rsidR="00FC5DBD" w:rsidRPr="004E7839" w:rsidRDefault="00FC5DBD" w:rsidP="00FC5DBD">
            <w:pPr>
              <w:jc w:val="center"/>
              <w:rPr>
                <w:rFonts w:cs="Arial"/>
                <w:sz w:val="18"/>
                <w:szCs w:val="18"/>
              </w:rPr>
            </w:pPr>
            <w:r w:rsidRPr="001300A7">
              <w:rPr>
                <w:rFonts w:cs="Arial"/>
                <w:sz w:val="18"/>
                <w:szCs w:val="18"/>
              </w:rPr>
              <w:t>617</w:t>
            </w:r>
          </w:p>
        </w:tc>
        <w:tc>
          <w:tcPr>
            <w:tcW w:w="2127" w:type="dxa"/>
            <w:vAlign w:val="center"/>
          </w:tcPr>
          <w:p w14:paraId="1C8361E1" w14:textId="6E44FBA3" w:rsidR="00FC5DBD" w:rsidRPr="004E7839" w:rsidRDefault="00FC5DBD" w:rsidP="00FC5DBD">
            <w:pPr>
              <w:jc w:val="center"/>
              <w:rPr>
                <w:rFonts w:cs="Arial"/>
                <w:sz w:val="18"/>
                <w:szCs w:val="18"/>
              </w:rPr>
            </w:pPr>
            <w:r w:rsidRPr="001300A7">
              <w:rPr>
                <w:rFonts w:cs="Arial"/>
                <w:sz w:val="18"/>
                <w:szCs w:val="18"/>
              </w:rPr>
              <w:t>5 821 872 692,10 zł</w:t>
            </w:r>
          </w:p>
        </w:tc>
        <w:tc>
          <w:tcPr>
            <w:tcW w:w="1559" w:type="dxa"/>
            <w:vAlign w:val="center"/>
          </w:tcPr>
          <w:p w14:paraId="774EB64C" w14:textId="733D08C1" w:rsidR="00FC5DBD" w:rsidRPr="001300A7" w:rsidRDefault="00FC5DBD" w:rsidP="00FC5DBD">
            <w:pPr>
              <w:jc w:val="center"/>
              <w:rPr>
                <w:rFonts w:cs="Arial"/>
                <w:sz w:val="18"/>
                <w:szCs w:val="18"/>
              </w:rPr>
            </w:pPr>
            <w:r>
              <w:rPr>
                <w:rFonts w:cs="Arial"/>
                <w:sz w:val="18"/>
                <w:szCs w:val="18"/>
              </w:rPr>
              <w:t>736</w:t>
            </w:r>
          </w:p>
        </w:tc>
        <w:tc>
          <w:tcPr>
            <w:tcW w:w="2268" w:type="dxa"/>
            <w:vAlign w:val="center"/>
          </w:tcPr>
          <w:p w14:paraId="21B48AD8" w14:textId="0785D824" w:rsidR="00FC5DBD" w:rsidRPr="001300A7" w:rsidRDefault="00FC5DBD" w:rsidP="00FC5DBD">
            <w:pPr>
              <w:jc w:val="center"/>
              <w:rPr>
                <w:rFonts w:cs="Arial"/>
                <w:sz w:val="18"/>
                <w:szCs w:val="18"/>
              </w:rPr>
            </w:pPr>
            <w:r>
              <w:rPr>
                <w:rFonts w:cs="Arial"/>
                <w:sz w:val="18"/>
                <w:szCs w:val="18"/>
              </w:rPr>
              <w:t>4 194 094 635,54 zł</w:t>
            </w:r>
          </w:p>
        </w:tc>
      </w:tr>
      <w:tr w:rsidR="00FC5DBD" w:rsidRPr="00A92EB0" w14:paraId="0FFE44A1" w14:textId="77777777" w:rsidTr="00C866A1">
        <w:tc>
          <w:tcPr>
            <w:tcW w:w="562" w:type="dxa"/>
            <w:shd w:val="clear" w:color="auto" w:fill="DBE5F1"/>
            <w:vAlign w:val="center"/>
          </w:tcPr>
          <w:p w14:paraId="62BB50F2" w14:textId="77777777" w:rsidR="00FC5DBD" w:rsidRPr="009B3E20" w:rsidRDefault="00FC5DBD" w:rsidP="00FC5DBD">
            <w:pPr>
              <w:jc w:val="center"/>
              <w:rPr>
                <w:rFonts w:cs="Arial"/>
                <w:sz w:val="16"/>
                <w:szCs w:val="16"/>
              </w:rPr>
            </w:pPr>
            <w:r w:rsidRPr="009B3E20">
              <w:rPr>
                <w:rFonts w:cs="Arial"/>
                <w:sz w:val="16"/>
                <w:szCs w:val="16"/>
              </w:rPr>
              <w:t>6.</w:t>
            </w:r>
          </w:p>
        </w:tc>
        <w:tc>
          <w:tcPr>
            <w:tcW w:w="2699" w:type="dxa"/>
            <w:shd w:val="clear" w:color="auto" w:fill="DBE5F1"/>
            <w:vAlign w:val="center"/>
          </w:tcPr>
          <w:p w14:paraId="471D3A0B" w14:textId="77777777" w:rsidR="00FC5DBD" w:rsidRPr="00A92EB0" w:rsidRDefault="00FC5DBD" w:rsidP="00FC5DBD">
            <w:pPr>
              <w:jc w:val="left"/>
              <w:rPr>
                <w:rFonts w:cs="Arial"/>
                <w:b/>
                <w:sz w:val="16"/>
                <w:szCs w:val="16"/>
              </w:rPr>
            </w:pPr>
            <w:r w:rsidRPr="00A92EB0">
              <w:rPr>
                <w:rFonts w:cs="Arial"/>
                <w:b/>
                <w:sz w:val="16"/>
                <w:szCs w:val="16"/>
              </w:rPr>
              <w:t>Zamówienia zastrzeżone na usługi zdrowotne, społeczne lub kulturalne</w:t>
            </w:r>
          </w:p>
        </w:tc>
        <w:tc>
          <w:tcPr>
            <w:tcW w:w="1554" w:type="dxa"/>
            <w:vAlign w:val="center"/>
          </w:tcPr>
          <w:p w14:paraId="47488193" w14:textId="6776906D" w:rsidR="00FC5DBD" w:rsidRPr="004E7839" w:rsidRDefault="00FC5DBD" w:rsidP="00FC5DBD">
            <w:pPr>
              <w:jc w:val="center"/>
              <w:rPr>
                <w:rFonts w:cs="Arial"/>
                <w:sz w:val="18"/>
                <w:szCs w:val="18"/>
              </w:rPr>
            </w:pPr>
            <w:r>
              <w:rPr>
                <w:rFonts w:cs="Arial"/>
                <w:sz w:val="18"/>
                <w:szCs w:val="18"/>
              </w:rPr>
              <w:t>126</w:t>
            </w:r>
          </w:p>
        </w:tc>
        <w:tc>
          <w:tcPr>
            <w:tcW w:w="2126" w:type="dxa"/>
            <w:vAlign w:val="center"/>
          </w:tcPr>
          <w:p w14:paraId="439FCC7A" w14:textId="4A8F9B4F" w:rsidR="00FC5DBD" w:rsidRPr="004E7839" w:rsidRDefault="00FC5DBD" w:rsidP="00FC5DBD">
            <w:pPr>
              <w:jc w:val="center"/>
              <w:rPr>
                <w:rFonts w:cs="Arial"/>
                <w:sz w:val="18"/>
                <w:szCs w:val="18"/>
              </w:rPr>
            </w:pPr>
            <w:r>
              <w:rPr>
                <w:rFonts w:cs="Arial"/>
                <w:sz w:val="18"/>
                <w:szCs w:val="18"/>
              </w:rPr>
              <w:t>80 639 013,03 zł</w:t>
            </w:r>
          </w:p>
        </w:tc>
        <w:tc>
          <w:tcPr>
            <w:tcW w:w="1559" w:type="dxa"/>
            <w:vAlign w:val="center"/>
          </w:tcPr>
          <w:p w14:paraId="6474499F" w14:textId="02460D41" w:rsidR="00FC5DBD" w:rsidRPr="004E7839" w:rsidRDefault="00FC5DBD" w:rsidP="00FC5DBD">
            <w:pPr>
              <w:jc w:val="center"/>
              <w:rPr>
                <w:rFonts w:cs="Arial"/>
                <w:sz w:val="18"/>
                <w:szCs w:val="18"/>
              </w:rPr>
            </w:pPr>
            <w:r w:rsidRPr="001300A7">
              <w:rPr>
                <w:rFonts w:cs="Arial"/>
                <w:sz w:val="18"/>
                <w:szCs w:val="18"/>
              </w:rPr>
              <w:t>159</w:t>
            </w:r>
          </w:p>
        </w:tc>
        <w:tc>
          <w:tcPr>
            <w:tcW w:w="2127" w:type="dxa"/>
            <w:vAlign w:val="center"/>
          </w:tcPr>
          <w:p w14:paraId="5C3948C7" w14:textId="54772B23" w:rsidR="00FC5DBD" w:rsidRPr="004E7839" w:rsidRDefault="00FC5DBD" w:rsidP="00FC5DBD">
            <w:pPr>
              <w:jc w:val="center"/>
              <w:rPr>
                <w:rFonts w:cs="Arial"/>
                <w:sz w:val="18"/>
                <w:szCs w:val="18"/>
              </w:rPr>
            </w:pPr>
            <w:r w:rsidRPr="001300A7">
              <w:rPr>
                <w:rFonts w:cs="Arial"/>
                <w:sz w:val="18"/>
                <w:szCs w:val="18"/>
              </w:rPr>
              <w:t>131 083 457,28 zł</w:t>
            </w:r>
          </w:p>
        </w:tc>
        <w:tc>
          <w:tcPr>
            <w:tcW w:w="1559" w:type="dxa"/>
            <w:vAlign w:val="center"/>
          </w:tcPr>
          <w:p w14:paraId="1CA9E957" w14:textId="34C192A7" w:rsidR="00FC5DBD" w:rsidRPr="001300A7" w:rsidRDefault="00FC5DBD" w:rsidP="00FC5DBD">
            <w:pPr>
              <w:jc w:val="center"/>
              <w:rPr>
                <w:rFonts w:cs="Arial"/>
                <w:sz w:val="18"/>
                <w:szCs w:val="18"/>
              </w:rPr>
            </w:pPr>
            <w:r>
              <w:rPr>
                <w:rFonts w:cs="Arial"/>
                <w:sz w:val="18"/>
                <w:szCs w:val="18"/>
              </w:rPr>
              <w:t>151</w:t>
            </w:r>
          </w:p>
        </w:tc>
        <w:tc>
          <w:tcPr>
            <w:tcW w:w="2268" w:type="dxa"/>
            <w:vAlign w:val="center"/>
          </w:tcPr>
          <w:p w14:paraId="3D69696D" w14:textId="0123E5A4" w:rsidR="00FC5DBD" w:rsidRPr="001300A7" w:rsidRDefault="00FC5DBD" w:rsidP="00FC5DBD">
            <w:pPr>
              <w:jc w:val="center"/>
              <w:rPr>
                <w:rFonts w:cs="Arial"/>
                <w:sz w:val="18"/>
                <w:szCs w:val="18"/>
              </w:rPr>
            </w:pPr>
            <w:r>
              <w:rPr>
                <w:rFonts w:cs="Arial"/>
                <w:sz w:val="18"/>
                <w:szCs w:val="18"/>
              </w:rPr>
              <w:t>186 930 163,10 zł</w:t>
            </w:r>
          </w:p>
        </w:tc>
      </w:tr>
      <w:tr w:rsidR="00FC5DBD" w:rsidRPr="00A92EB0" w14:paraId="25208133" w14:textId="77777777" w:rsidTr="00C866A1">
        <w:tc>
          <w:tcPr>
            <w:tcW w:w="562" w:type="dxa"/>
            <w:shd w:val="clear" w:color="auto" w:fill="DBE5F1"/>
            <w:vAlign w:val="center"/>
          </w:tcPr>
          <w:p w14:paraId="289B99A6" w14:textId="77777777" w:rsidR="00FC5DBD" w:rsidRPr="009B3E20" w:rsidRDefault="00FC5DBD" w:rsidP="00FC5DBD">
            <w:pPr>
              <w:jc w:val="center"/>
              <w:rPr>
                <w:rFonts w:cs="Arial"/>
                <w:sz w:val="16"/>
                <w:szCs w:val="16"/>
              </w:rPr>
            </w:pPr>
            <w:r w:rsidRPr="009B3E20">
              <w:rPr>
                <w:rFonts w:cs="Arial"/>
                <w:sz w:val="16"/>
                <w:szCs w:val="16"/>
              </w:rPr>
              <w:t>7.</w:t>
            </w:r>
          </w:p>
        </w:tc>
        <w:tc>
          <w:tcPr>
            <w:tcW w:w="2699" w:type="dxa"/>
            <w:shd w:val="clear" w:color="auto" w:fill="DBE5F1"/>
            <w:vAlign w:val="center"/>
          </w:tcPr>
          <w:p w14:paraId="746241E1" w14:textId="77777777" w:rsidR="00FC5DBD" w:rsidRPr="00A92EB0" w:rsidRDefault="00FC5DBD" w:rsidP="00FC5DBD">
            <w:pPr>
              <w:jc w:val="left"/>
              <w:rPr>
                <w:rFonts w:cs="Arial"/>
                <w:b/>
                <w:sz w:val="16"/>
                <w:szCs w:val="16"/>
              </w:rPr>
            </w:pPr>
            <w:r w:rsidRPr="00A92EB0">
              <w:rPr>
                <w:rFonts w:cs="Arial"/>
                <w:b/>
                <w:sz w:val="16"/>
                <w:szCs w:val="16"/>
              </w:rPr>
              <w:t xml:space="preserve">Określenie etykiety związanej z aspektami społecznymi </w:t>
            </w:r>
          </w:p>
        </w:tc>
        <w:tc>
          <w:tcPr>
            <w:tcW w:w="1554" w:type="dxa"/>
            <w:vAlign w:val="center"/>
          </w:tcPr>
          <w:p w14:paraId="78864700" w14:textId="7ABEC437" w:rsidR="00FC5DBD" w:rsidRPr="004E7839" w:rsidRDefault="00FC5DBD" w:rsidP="00FC5DBD">
            <w:pPr>
              <w:jc w:val="center"/>
              <w:rPr>
                <w:rFonts w:cs="Arial"/>
                <w:sz w:val="18"/>
                <w:szCs w:val="18"/>
              </w:rPr>
            </w:pPr>
            <w:r>
              <w:rPr>
                <w:rFonts w:cs="Arial"/>
                <w:sz w:val="18"/>
                <w:szCs w:val="18"/>
              </w:rPr>
              <w:t>52</w:t>
            </w:r>
          </w:p>
        </w:tc>
        <w:tc>
          <w:tcPr>
            <w:tcW w:w="2126" w:type="dxa"/>
            <w:vAlign w:val="center"/>
          </w:tcPr>
          <w:p w14:paraId="525ECB5A" w14:textId="037A7569" w:rsidR="00FC5DBD" w:rsidRPr="004E7839" w:rsidRDefault="00FC5DBD" w:rsidP="00FC5DBD">
            <w:pPr>
              <w:jc w:val="center"/>
              <w:rPr>
                <w:rFonts w:cs="Arial"/>
                <w:sz w:val="18"/>
                <w:szCs w:val="18"/>
              </w:rPr>
            </w:pPr>
            <w:r>
              <w:rPr>
                <w:rFonts w:cs="Arial"/>
                <w:sz w:val="18"/>
                <w:szCs w:val="18"/>
              </w:rPr>
              <w:t>29 887 358,92 zł</w:t>
            </w:r>
          </w:p>
        </w:tc>
        <w:tc>
          <w:tcPr>
            <w:tcW w:w="1559" w:type="dxa"/>
            <w:vAlign w:val="center"/>
          </w:tcPr>
          <w:p w14:paraId="19AC1B62" w14:textId="0BF6E157" w:rsidR="00FC5DBD" w:rsidRPr="004E7839" w:rsidRDefault="00FC5DBD" w:rsidP="00FC5DBD">
            <w:pPr>
              <w:jc w:val="center"/>
              <w:rPr>
                <w:rFonts w:cs="Arial"/>
                <w:sz w:val="18"/>
                <w:szCs w:val="18"/>
              </w:rPr>
            </w:pPr>
            <w:r w:rsidRPr="001300A7">
              <w:rPr>
                <w:rFonts w:cs="Arial"/>
                <w:sz w:val="18"/>
                <w:szCs w:val="18"/>
              </w:rPr>
              <w:t>75</w:t>
            </w:r>
          </w:p>
        </w:tc>
        <w:tc>
          <w:tcPr>
            <w:tcW w:w="2127" w:type="dxa"/>
            <w:vAlign w:val="center"/>
          </w:tcPr>
          <w:p w14:paraId="7AA3305A" w14:textId="192F6FD2" w:rsidR="00FC5DBD" w:rsidRPr="004E7839" w:rsidRDefault="00FC5DBD" w:rsidP="00FC5DBD">
            <w:pPr>
              <w:jc w:val="center"/>
              <w:rPr>
                <w:rFonts w:cs="Arial"/>
                <w:sz w:val="18"/>
                <w:szCs w:val="18"/>
              </w:rPr>
            </w:pPr>
            <w:r w:rsidRPr="001300A7">
              <w:rPr>
                <w:rFonts w:cs="Arial"/>
                <w:sz w:val="18"/>
                <w:szCs w:val="18"/>
              </w:rPr>
              <w:t>133 936 335,34 zł</w:t>
            </w:r>
          </w:p>
        </w:tc>
        <w:tc>
          <w:tcPr>
            <w:tcW w:w="1559" w:type="dxa"/>
            <w:vAlign w:val="center"/>
          </w:tcPr>
          <w:p w14:paraId="6182DDE9" w14:textId="592D774E" w:rsidR="00FC5DBD" w:rsidRPr="001300A7" w:rsidRDefault="00FC5DBD" w:rsidP="00FC5DBD">
            <w:pPr>
              <w:jc w:val="center"/>
              <w:rPr>
                <w:rFonts w:cs="Arial"/>
                <w:sz w:val="18"/>
                <w:szCs w:val="18"/>
              </w:rPr>
            </w:pPr>
            <w:r>
              <w:rPr>
                <w:rFonts w:cs="Arial"/>
                <w:sz w:val="18"/>
                <w:szCs w:val="18"/>
              </w:rPr>
              <w:t>59</w:t>
            </w:r>
          </w:p>
        </w:tc>
        <w:tc>
          <w:tcPr>
            <w:tcW w:w="2268" w:type="dxa"/>
            <w:vAlign w:val="center"/>
          </w:tcPr>
          <w:p w14:paraId="74881F2A" w14:textId="4046C40D" w:rsidR="00FC5DBD" w:rsidRPr="001300A7" w:rsidRDefault="00FC5DBD" w:rsidP="00FC5DBD">
            <w:pPr>
              <w:jc w:val="center"/>
              <w:rPr>
                <w:rFonts w:cs="Arial"/>
                <w:sz w:val="18"/>
                <w:szCs w:val="18"/>
              </w:rPr>
            </w:pPr>
            <w:r>
              <w:rPr>
                <w:rFonts w:cs="Arial"/>
                <w:sz w:val="18"/>
                <w:szCs w:val="18"/>
              </w:rPr>
              <w:t>160 355 437,46 zł</w:t>
            </w:r>
          </w:p>
        </w:tc>
      </w:tr>
    </w:tbl>
    <w:p w14:paraId="5EF20E9D" w14:textId="77777777" w:rsidR="00B27C43" w:rsidRPr="00296FE3" w:rsidRDefault="00B27C43" w:rsidP="006A5F43">
      <w:pPr>
        <w:spacing w:before="120"/>
        <w:jc w:val="left"/>
        <w:rPr>
          <w:sz w:val="16"/>
          <w:szCs w:val="16"/>
        </w:rPr>
      </w:pPr>
      <w:r w:rsidRPr="00296FE3">
        <w:rPr>
          <w:rFonts w:cs="Arial"/>
          <w:b/>
          <w:sz w:val="16"/>
          <w:szCs w:val="16"/>
          <w:u w:val="single"/>
        </w:rPr>
        <w:t>UWAGA:</w:t>
      </w:r>
      <w:r w:rsidRPr="00296FE3">
        <w:rPr>
          <w:rFonts w:cs="Arial"/>
          <w:sz w:val="16"/>
          <w:szCs w:val="16"/>
        </w:rPr>
        <w:t xml:space="preserve"> Liczba zamówień publicznych z zastosowanymi aspektami społecznymi jest większa niż łączna liczba społecznych zamówień publicznych ze względu na przypadki zastosowania więcej niż jednego aspektu społecznego w jednym zamówieniu.</w:t>
      </w:r>
    </w:p>
    <w:p w14:paraId="072793F3" w14:textId="77777777" w:rsidR="00B27C43" w:rsidRDefault="00B27C43" w:rsidP="00B27C43">
      <w:pPr>
        <w:jc w:val="left"/>
        <w:rPr>
          <w:szCs w:val="22"/>
        </w:rPr>
      </w:pPr>
    </w:p>
    <w:p w14:paraId="14638EDF" w14:textId="77777777" w:rsidR="00B27C43" w:rsidRDefault="00B27C43" w:rsidP="00B27C43">
      <w:pPr>
        <w:jc w:val="left"/>
        <w:rPr>
          <w:szCs w:val="22"/>
        </w:rPr>
        <w:sectPr w:rsidR="00B27C43" w:rsidSect="00CC77CA">
          <w:pgSz w:w="16838" w:h="11906" w:orient="landscape"/>
          <w:pgMar w:top="1418" w:right="1418" w:bottom="1418" w:left="1418" w:header="709" w:footer="709" w:gutter="0"/>
          <w:cols w:space="708"/>
          <w:docGrid w:linePitch="299"/>
        </w:sectPr>
      </w:pPr>
    </w:p>
    <w:p w14:paraId="3D16E00D" w14:textId="43C09561" w:rsidR="00B27C43" w:rsidRPr="00735A32" w:rsidRDefault="00DB590D" w:rsidP="00852522">
      <w:pPr>
        <w:pStyle w:val="Nagwek4"/>
      </w:pPr>
      <w:bookmarkStart w:id="350" w:name="_Załącznik_nr_6."/>
      <w:bookmarkEnd w:id="350"/>
      <w:r w:rsidRPr="00DB590D">
        <w:t xml:space="preserve">Załącznik nr </w:t>
      </w:r>
      <w:r w:rsidR="002972A1">
        <w:t>5</w:t>
      </w:r>
      <w:r>
        <w:t xml:space="preserve">. </w:t>
      </w:r>
      <w:r w:rsidR="00B27C43" w:rsidRPr="00735A32">
        <w:t>Dane dotyczące zamówień udzielonych przez jednostki administracji rządowej, w których odwołano się do odpowiednich instrumentów środowiskowych</w:t>
      </w:r>
    </w:p>
    <w:p w14:paraId="1AD5D0DC" w14:textId="77777777" w:rsidR="00B27C43" w:rsidRPr="009B50F8" w:rsidRDefault="00B27C43" w:rsidP="001368C3">
      <w:pPr>
        <w:spacing w:before="240" w:after="120"/>
        <w:jc w:val="center"/>
        <w:rPr>
          <w:b/>
        </w:rPr>
      </w:pPr>
      <w:r w:rsidRPr="009B50F8">
        <w:rPr>
          <w:b/>
        </w:rPr>
        <w:t>Liczba i wartość zamówień publicznych z danym aspektem środowiskowym udzielonych przez jednostki administracji rządowej</w:t>
      </w:r>
    </w:p>
    <w:tbl>
      <w:tblPr>
        <w:tblW w:w="1428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339"/>
        <w:gridCol w:w="1895"/>
        <w:gridCol w:w="1896"/>
        <w:gridCol w:w="1895"/>
        <w:gridCol w:w="1896"/>
        <w:gridCol w:w="1895"/>
        <w:gridCol w:w="1896"/>
      </w:tblGrid>
      <w:tr w:rsidR="00B27C43" w:rsidRPr="00ED1A48" w14:paraId="5B9F970F" w14:textId="77777777" w:rsidTr="006E1E7D">
        <w:trPr>
          <w:tblHeader/>
        </w:trPr>
        <w:tc>
          <w:tcPr>
            <w:tcW w:w="2907"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607C9318"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791" w:type="dxa"/>
            <w:gridSpan w:val="2"/>
            <w:tcBorders>
              <w:top w:val="single" w:sz="4" w:space="0" w:color="auto"/>
              <w:left w:val="single" w:sz="4" w:space="0" w:color="auto"/>
              <w:bottom w:val="single" w:sz="4" w:space="0" w:color="auto"/>
              <w:right w:val="single" w:sz="4" w:space="0" w:color="auto"/>
            </w:tcBorders>
            <w:shd w:val="clear" w:color="auto" w:fill="C5E0B3"/>
          </w:tcPr>
          <w:p w14:paraId="2623E0D4" w14:textId="50E173A3" w:rsidR="00B27C43" w:rsidRPr="00ED1A48" w:rsidRDefault="00B27C43" w:rsidP="008428D3">
            <w:pPr>
              <w:jc w:val="center"/>
              <w:rPr>
                <w:rFonts w:cs="Arial"/>
                <w:b/>
                <w:bCs/>
                <w:color w:val="000000"/>
                <w:sz w:val="16"/>
                <w:szCs w:val="16"/>
              </w:rPr>
            </w:pPr>
            <w:r>
              <w:rPr>
                <w:rFonts w:cs="Arial"/>
                <w:b/>
                <w:bCs/>
                <w:color w:val="000000"/>
                <w:sz w:val="16"/>
                <w:szCs w:val="16"/>
              </w:rPr>
              <w:t>202</w:t>
            </w:r>
            <w:r w:rsidR="008428D3">
              <w:rPr>
                <w:rFonts w:cs="Arial"/>
                <w:b/>
                <w:bCs/>
                <w:color w:val="000000"/>
                <w:sz w:val="16"/>
                <w:szCs w:val="16"/>
              </w:rPr>
              <w:t>3</w:t>
            </w:r>
            <w:r>
              <w:rPr>
                <w:rFonts w:cs="Arial"/>
                <w:b/>
                <w:bCs/>
                <w:color w:val="000000"/>
                <w:sz w:val="16"/>
                <w:szCs w:val="16"/>
              </w:rPr>
              <w:t xml:space="preserve"> r.</w:t>
            </w:r>
          </w:p>
        </w:tc>
        <w:tc>
          <w:tcPr>
            <w:tcW w:w="3791" w:type="dxa"/>
            <w:gridSpan w:val="2"/>
            <w:tcBorders>
              <w:top w:val="single" w:sz="4" w:space="0" w:color="auto"/>
              <w:left w:val="single" w:sz="4" w:space="0" w:color="auto"/>
              <w:bottom w:val="single" w:sz="4" w:space="0" w:color="auto"/>
              <w:right w:val="single" w:sz="4" w:space="0" w:color="auto"/>
            </w:tcBorders>
            <w:shd w:val="clear" w:color="auto" w:fill="C5E0B3"/>
          </w:tcPr>
          <w:p w14:paraId="4974E814" w14:textId="0F156D80" w:rsidR="00B27C43" w:rsidRPr="00ED1A48" w:rsidRDefault="00B27C43" w:rsidP="008428D3">
            <w:pPr>
              <w:jc w:val="center"/>
              <w:rPr>
                <w:rFonts w:cs="Arial"/>
                <w:b/>
                <w:bCs/>
                <w:color w:val="000000"/>
                <w:sz w:val="16"/>
                <w:szCs w:val="16"/>
              </w:rPr>
            </w:pPr>
            <w:r>
              <w:rPr>
                <w:rFonts w:cs="Arial"/>
                <w:b/>
                <w:bCs/>
                <w:color w:val="000000"/>
                <w:sz w:val="16"/>
                <w:szCs w:val="16"/>
              </w:rPr>
              <w:t>202</w:t>
            </w:r>
            <w:r w:rsidR="008428D3">
              <w:rPr>
                <w:rFonts w:cs="Arial"/>
                <w:b/>
                <w:bCs/>
                <w:color w:val="000000"/>
                <w:sz w:val="16"/>
                <w:szCs w:val="16"/>
              </w:rPr>
              <w:t>4</w:t>
            </w:r>
            <w:r>
              <w:rPr>
                <w:rFonts w:cs="Arial"/>
                <w:b/>
                <w:bCs/>
                <w:color w:val="000000"/>
                <w:sz w:val="16"/>
                <w:szCs w:val="16"/>
              </w:rPr>
              <w:t xml:space="preserve"> r.</w:t>
            </w:r>
          </w:p>
        </w:tc>
        <w:tc>
          <w:tcPr>
            <w:tcW w:w="3791" w:type="dxa"/>
            <w:gridSpan w:val="2"/>
            <w:tcBorders>
              <w:top w:val="single" w:sz="4" w:space="0" w:color="auto"/>
              <w:left w:val="single" w:sz="4" w:space="0" w:color="auto"/>
              <w:bottom w:val="single" w:sz="4" w:space="0" w:color="auto"/>
              <w:right w:val="single" w:sz="4" w:space="0" w:color="auto"/>
            </w:tcBorders>
            <w:shd w:val="clear" w:color="auto" w:fill="C5E0B3"/>
          </w:tcPr>
          <w:p w14:paraId="24F8108C" w14:textId="7582E0CD" w:rsidR="00B27C43" w:rsidRPr="00ED1A48" w:rsidRDefault="00B27C43" w:rsidP="008428D3">
            <w:pPr>
              <w:jc w:val="center"/>
              <w:rPr>
                <w:rFonts w:cs="Arial"/>
                <w:b/>
                <w:bCs/>
                <w:color w:val="000000"/>
                <w:sz w:val="16"/>
                <w:szCs w:val="16"/>
              </w:rPr>
            </w:pPr>
            <w:r>
              <w:rPr>
                <w:rFonts w:cs="Arial"/>
                <w:b/>
                <w:bCs/>
                <w:color w:val="000000"/>
                <w:sz w:val="16"/>
                <w:szCs w:val="16"/>
              </w:rPr>
              <w:t>202</w:t>
            </w:r>
            <w:r w:rsidR="008428D3">
              <w:rPr>
                <w:rFonts w:cs="Arial"/>
                <w:b/>
                <w:bCs/>
                <w:color w:val="000000"/>
                <w:sz w:val="16"/>
                <w:szCs w:val="16"/>
              </w:rPr>
              <w:t>5</w:t>
            </w:r>
            <w:r>
              <w:rPr>
                <w:rFonts w:cs="Arial"/>
                <w:b/>
                <w:bCs/>
                <w:color w:val="000000"/>
                <w:sz w:val="16"/>
                <w:szCs w:val="16"/>
              </w:rPr>
              <w:t xml:space="preserve"> r.</w:t>
            </w:r>
          </w:p>
        </w:tc>
      </w:tr>
      <w:tr w:rsidR="00B27C43" w:rsidRPr="00ED1A48" w14:paraId="2B89A98E" w14:textId="77777777" w:rsidTr="006E1E7D">
        <w:trPr>
          <w:tblHeader/>
        </w:trPr>
        <w:tc>
          <w:tcPr>
            <w:tcW w:w="568" w:type="dxa"/>
            <w:tcBorders>
              <w:top w:val="single" w:sz="4" w:space="0" w:color="auto"/>
              <w:left w:val="single" w:sz="4" w:space="0" w:color="auto"/>
              <w:bottom w:val="single" w:sz="4" w:space="0" w:color="auto"/>
              <w:right w:val="single" w:sz="4" w:space="0" w:color="auto"/>
            </w:tcBorders>
            <w:shd w:val="clear" w:color="auto" w:fill="E2EFD9"/>
            <w:vAlign w:val="center"/>
          </w:tcPr>
          <w:p w14:paraId="1473103D" w14:textId="77777777" w:rsidR="00B27C43" w:rsidRPr="00ED1A48" w:rsidRDefault="00B27C43" w:rsidP="00C866A1">
            <w:pPr>
              <w:jc w:val="center"/>
              <w:rPr>
                <w:rFonts w:cs="Arial"/>
                <w:b/>
                <w:color w:val="000000"/>
                <w:sz w:val="16"/>
                <w:szCs w:val="16"/>
              </w:rPr>
            </w:pPr>
            <w:r w:rsidRPr="00ED1A48">
              <w:rPr>
                <w:rFonts w:cs="Arial"/>
                <w:b/>
                <w:color w:val="000000"/>
                <w:sz w:val="16"/>
                <w:szCs w:val="16"/>
              </w:rPr>
              <w:t>Lp.</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tcPr>
          <w:p w14:paraId="1D42BC52" w14:textId="77777777" w:rsidR="00B27C43" w:rsidRPr="00ED1A48" w:rsidRDefault="00B27C43" w:rsidP="00C866A1">
            <w:pPr>
              <w:jc w:val="center"/>
              <w:rPr>
                <w:rFonts w:cs="Arial"/>
                <w:b/>
                <w:color w:val="000000"/>
                <w:sz w:val="16"/>
                <w:szCs w:val="16"/>
              </w:rPr>
            </w:pPr>
            <w:r w:rsidRPr="00ED1A48">
              <w:rPr>
                <w:rFonts w:cs="Arial"/>
                <w:b/>
                <w:color w:val="000000"/>
                <w:sz w:val="16"/>
                <w:szCs w:val="16"/>
              </w:rPr>
              <w:t xml:space="preserve">Aspekt zielony </w:t>
            </w:r>
          </w:p>
        </w:tc>
        <w:tc>
          <w:tcPr>
            <w:tcW w:w="1895" w:type="dxa"/>
            <w:tcBorders>
              <w:top w:val="single" w:sz="4" w:space="0" w:color="auto"/>
              <w:left w:val="single" w:sz="4" w:space="0" w:color="auto"/>
              <w:bottom w:val="single" w:sz="4" w:space="0" w:color="auto"/>
              <w:right w:val="single" w:sz="4" w:space="0" w:color="auto"/>
            </w:tcBorders>
            <w:shd w:val="clear" w:color="auto" w:fill="E2EFD9"/>
            <w:vAlign w:val="center"/>
          </w:tcPr>
          <w:p w14:paraId="243F4632"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Liczba zamówień z zastosowaniem danego aspektu</w:t>
            </w:r>
          </w:p>
        </w:tc>
        <w:tc>
          <w:tcPr>
            <w:tcW w:w="1896" w:type="dxa"/>
            <w:tcBorders>
              <w:top w:val="single" w:sz="4" w:space="0" w:color="auto"/>
              <w:left w:val="single" w:sz="4" w:space="0" w:color="auto"/>
              <w:bottom w:val="single" w:sz="4" w:space="0" w:color="auto"/>
              <w:right w:val="single" w:sz="4" w:space="0" w:color="auto"/>
            </w:tcBorders>
            <w:shd w:val="clear" w:color="auto" w:fill="E2EFD9"/>
            <w:vAlign w:val="center"/>
          </w:tcPr>
          <w:p w14:paraId="2A74ACAE"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895" w:type="dxa"/>
            <w:tcBorders>
              <w:top w:val="single" w:sz="4" w:space="0" w:color="auto"/>
              <w:left w:val="single" w:sz="4" w:space="0" w:color="auto"/>
              <w:bottom w:val="single" w:sz="4" w:space="0" w:color="auto"/>
              <w:right w:val="single" w:sz="4" w:space="0" w:color="auto"/>
            </w:tcBorders>
            <w:shd w:val="clear" w:color="auto" w:fill="E2EFD9"/>
            <w:vAlign w:val="center"/>
          </w:tcPr>
          <w:p w14:paraId="591151BF"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1896" w:type="dxa"/>
            <w:tcBorders>
              <w:top w:val="single" w:sz="4" w:space="0" w:color="auto"/>
              <w:left w:val="single" w:sz="4" w:space="0" w:color="auto"/>
              <w:bottom w:val="single" w:sz="4" w:space="0" w:color="auto"/>
              <w:right w:val="single" w:sz="4" w:space="0" w:color="auto"/>
            </w:tcBorders>
            <w:shd w:val="clear" w:color="auto" w:fill="E2EFD9"/>
            <w:vAlign w:val="center"/>
          </w:tcPr>
          <w:p w14:paraId="0879F19E"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895" w:type="dxa"/>
            <w:tcBorders>
              <w:top w:val="single" w:sz="4" w:space="0" w:color="auto"/>
              <w:left w:val="single" w:sz="4" w:space="0" w:color="auto"/>
              <w:bottom w:val="single" w:sz="4" w:space="0" w:color="auto"/>
              <w:right w:val="single" w:sz="4" w:space="0" w:color="auto"/>
            </w:tcBorders>
            <w:shd w:val="clear" w:color="auto" w:fill="E2EFD9"/>
          </w:tcPr>
          <w:p w14:paraId="4936FD16"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1896" w:type="dxa"/>
            <w:tcBorders>
              <w:top w:val="single" w:sz="4" w:space="0" w:color="auto"/>
              <w:left w:val="single" w:sz="4" w:space="0" w:color="auto"/>
              <w:bottom w:val="single" w:sz="4" w:space="0" w:color="auto"/>
              <w:right w:val="single" w:sz="4" w:space="0" w:color="auto"/>
            </w:tcBorders>
            <w:shd w:val="clear" w:color="auto" w:fill="E2EFD9"/>
          </w:tcPr>
          <w:p w14:paraId="5D9801CB"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Wartość zamówień z zastosowaniem danego aspektu</w:t>
            </w:r>
          </w:p>
        </w:tc>
      </w:tr>
      <w:tr w:rsidR="0071684A" w:rsidRPr="00ED1A48" w14:paraId="51AE2A8E" w14:textId="77777777" w:rsidTr="006E1E7D">
        <w:tc>
          <w:tcPr>
            <w:tcW w:w="568" w:type="dxa"/>
            <w:tcBorders>
              <w:top w:val="single" w:sz="4" w:space="0" w:color="auto"/>
              <w:left w:val="single" w:sz="4" w:space="0" w:color="auto"/>
              <w:bottom w:val="single" w:sz="4" w:space="0" w:color="auto"/>
              <w:right w:val="single" w:sz="4" w:space="0" w:color="auto"/>
            </w:tcBorders>
            <w:shd w:val="clear" w:color="auto" w:fill="E2EFD9"/>
            <w:vAlign w:val="center"/>
          </w:tcPr>
          <w:p w14:paraId="5B3A7A23" w14:textId="77777777" w:rsidR="0071684A" w:rsidRPr="00ED1A48" w:rsidRDefault="0071684A" w:rsidP="0071684A">
            <w:pPr>
              <w:jc w:val="center"/>
              <w:rPr>
                <w:rFonts w:cs="Arial"/>
                <w:color w:val="000000"/>
                <w:sz w:val="16"/>
                <w:szCs w:val="16"/>
              </w:rPr>
            </w:pPr>
            <w:r>
              <w:rPr>
                <w:rFonts w:cs="Arial"/>
                <w:color w:val="000000"/>
                <w:sz w:val="16"/>
                <w:szCs w:val="16"/>
              </w:rPr>
              <w:t>1.</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tcPr>
          <w:p w14:paraId="6D6C6A7A" w14:textId="77777777" w:rsidR="0071684A" w:rsidRPr="009B49EA" w:rsidRDefault="0071684A" w:rsidP="0071684A">
            <w:pPr>
              <w:jc w:val="left"/>
              <w:rPr>
                <w:rFonts w:cs="Arial"/>
                <w:b/>
                <w:color w:val="000000"/>
                <w:sz w:val="16"/>
                <w:szCs w:val="16"/>
              </w:rPr>
            </w:pPr>
            <w:r w:rsidRPr="009B49EA">
              <w:rPr>
                <w:b/>
                <w:sz w:val="16"/>
                <w:szCs w:val="16"/>
              </w:rPr>
              <w:t>Określenie w opisie przedmiotu zamówienia wymagań środowiskowych</w:t>
            </w:r>
          </w:p>
        </w:tc>
        <w:tc>
          <w:tcPr>
            <w:tcW w:w="1895" w:type="dxa"/>
            <w:tcBorders>
              <w:top w:val="single" w:sz="4" w:space="0" w:color="auto"/>
              <w:left w:val="single" w:sz="4" w:space="0" w:color="auto"/>
              <w:bottom w:val="single" w:sz="4" w:space="0" w:color="auto"/>
              <w:right w:val="single" w:sz="4" w:space="0" w:color="auto"/>
            </w:tcBorders>
            <w:vAlign w:val="center"/>
          </w:tcPr>
          <w:p w14:paraId="733DBB62" w14:textId="416DA597" w:rsidR="0071684A" w:rsidRPr="0018409E" w:rsidRDefault="0071684A" w:rsidP="0071684A">
            <w:pPr>
              <w:jc w:val="center"/>
              <w:rPr>
                <w:rFonts w:cs="Arial"/>
                <w:color w:val="000000"/>
                <w:sz w:val="18"/>
                <w:szCs w:val="18"/>
              </w:rPr>
            </w:pPr>
            <w:r w:rsidRPr="0018409E">
              <w:rPr>
                <w:rFonts w:cs="Arial"/>
                <w:color w:val="000000"/>
                <w:sz w:val="18"/>
                <w:szCs w:val="18"/>
              </w:rPr>
              <w:t>352</w:t>
            </w:r>
          </w:p>
        </w:tc>
        <w:tc>
          <w:tcPr>
            <w:tcW w:w="1896" w:type="dxa"/>
            <w:tcBorders>
              <w:top w:val="single" w:sz="4" w:space="0" w:color="auto"/>
              <w:left w:val="single" w:sz="4" w:space="0" w:color="auto"/>
              <w:bottom w:val="single" w:sz="4" w:space="0" w:color="auto"/>
              <w:right w:val="single" w:sz="4" w:space="0" w:color="auto"/>
            </w:tcBorders>
            <w:vAlign w:val="center"/>
          </w:tcPr>
          <w:p w14:paraId="224AA28D" w14:textId="267677FC" w:rsidR="0071684A" w:rsidRPr="0018409E" w:rsidRDefault="0071684A" w:rsidP="0071684A">
            <w:pPr>
              <w:jc w:val="center"/>
              <w:rPr>
                <w:rFonts w:cs="Arial"/>
                <w:color w:val="000000"/>
                <w:sz w:val="18"/>
                <w:szCs w:val="18"/>
              </w:rPr>
            </w:pPr>
            <w:r w:rsidRPr="0018409E">
              <w:rPr>
                <w:rFonts w:cs="Arial"/>
                <w:color w:val="000000"/>
                <w:sz w:val="18"/>
                <w:szCs w:val="18"/>
              </w:rPr>
              <w:t>618 354 721,21 zł</w:t>
            </w:r>
          </w:p>
        </w:tc>
        <w:tc>
          <w:tcPr>
            <w:tcW w:w="1895" w:type="dxa"/>
            <w:tcBorders>
              <w:top w:val="single" w:sz="4" w:space="0" w:color="auto"/>
              <w:left w:val="single" w:sz="4" w:space="0" w:color="auto"/>
              <w:bottom w:val="single" w:sz="4" w:space="0" w:color="auto"/>
              <w:right w:val="single" w:sz="4" w:space="0" w:color="auto"/>
            </w:tcBorders>
            <w:vAlign w:val="center"/>
          </w:tcPr>
          <w:p w14:paraId="244AD01E" w14:textId="29E5C821" w:rsidR="0071684A" w:rsidRPr="0018409E" w:rsidRDefault="0071684A" w:rsidP="0071684A">
            <w:pPr>
              <w:jc w:val="center"/>
              <w:rPr>
                <w:rFonts w:cs="Arial"/>
                <w:color w:val="000000"/>
                <w:sz w:val="18"/>
                <w:szCs w:val="18"/>
              </w:rPr>
            </w:pPr>
            <w:r w:rsidRPr="00DC6D14">
              <w:rPr>
                <w:rFonts w:cs="Arial"/>
                <w:color w:val="000000"/>
                <w:sz w:val="18"/>
                <w:szCs w:val="18"/>
              </w:rPr>
              <w:t>405</w:t>
            </w:r>
          </w:p>
        </w:tc>
        <w:tc>
          <w:tcPr>
            <w:tcW w:w="1896" w:type="dxa"/>
            <w:tcBorders>
              <w:top w:val="single" w:sz="4" w:space="0" w:color="auto"/>
              <w:left w:val="single" w:sz="4" w:space="0" w:color="auto"/>
              <w:bottom w:val="single" w:sz="4" w:space="0" w:color="auto"/>
              <w:right w:val="single" w:sz="4" w:space="0" w:color="auto"/>
            </w:tcBorders>
            <w:vAlign w:val="center"/>
          </w:tcPr>
          <w:p w14:paraId="651EE105" w14:textId="6F3B5BB3" w:rsidR="0071684A" w:rsidRPr="0018409E" w:rsidRDefault="0071684A" w:rsidP="0071684A">
            <w:pPr>
              <w:jc w:val="center"/>
              <w:rPr>
                <w:rFonts w:cs="Arial"/>
                <w:sz w:val="18"/>
                <w:szCs w:val="18"/>
              </w:rPr>
            </w:pPr>
            <w:r w:rsidRPr="00DC6D14">
              <w:rPr>
                <w:rFonts w:cs="Arial"/>
                <w:color w:val="000000"/>
                <w:sz w:val="18"/>
                <w:szCs w:val="18"/>
              </w:rPr>
              <w:t>716 304 506,89 zł</w:t>
            </w:r>
          </w:p>
        </w:tc>
        <w:tc>
          <w:tcPr>
            <w:tcW w:w="1895" w:type="dxa"/>
            <w:tcBorders>
              <w:top w:val="single" w:sz="4" w:space="0" w:color="auto"/>
              <w:left w:val="single" w:sz="4" w:space="0" w:color="auto"/>
              <w:bottom w:val="single" w:sz="4" w:space="0" w:color="auto"/>
              <w:right w:val="single" w:sz="4" w:space="0" w:color="auto"/>
            </w:tcBorders>
            <w:vAlign w:val="center"/>
          </w:tcPr>
          <w:p w14:paraId="6CAB59A6" w14:textId="433C1BDC" w:rsidR="0071684A" w:rsidRPr="0071684A" w:rsidRDefault="0071684A" w:rsidP="0071684A">
            <w:pPr>
              <w:jc w:val="center"/>
              <w:rPr>
                <w:rFonts w:cs="Arial"/>
                <w:color w:val="000000"/>
                <w:sz w:val="18"/>
                <w:szCs w:val="18"/>
              </w:rPr>
            </w:pPr>
            <w:r w:rsidRPr="0071684A">
              <w:rPr>
                <w:rFonts w:cs="Arial"/>
                <w:sz w:val="18"/>
                <w:szCs w:val="18"/>
              </w:rPr>
              <w:t>592</w:t>
            </w:r>
          </w:p>
        </w:tc>
        <w:tc>
          <w:tcPr>
            <w:tcW w:w="1896" w:type="dxa"/>
            <w:tcBorders>
              <w:top w:val="single" w:sz="4" w:space="0" w:color="auto"/>
              <w:left w:val="single" w:sz="4" w:space="0" w:color="auto"/>
              <w:bottom w:val="single" w:sz="4" w:space="0" w:color="auto"/>
              <w:right w:val="single" w:sz="4" w:space="0" w:color="auto"/>
            </w:tcBorders>
            <w:vAlign w:val="center"/>
          </w:tcPr>
          <w:p w14:paraId="049B3789" w14:textId="74059E96" w:rsidR="0071684A" w:rsidRPr="0071684A" w:rsidRDefault="0071684A" w:rsidP="0071684A">
            <w:pPr>
              <w:jc w:val="center"/>
              <w:rPr>
                <w:rFonts w:cs="Arial"/>
                <w:color w:val="000000"/>
                <w:sz w:val="18"/>
                <w:szCs w:val="18"/>
              </w:rPr>
            </w:pPr>
            <w:r w:rsidRPr="0071684A">
              <w:rPr>
                <w:rFonts w:cs="Arial"/>
                <w:color w:val="000000"/>
                <w:sz w:val="18"/>
                <w:szCs w:val="18"/>
              </w:rPr>
              <w:t xml:space="preserve">1 768 099 654,48 </w:t>
            </w:r>
            <w:r w:rsidRPr="0071684A">
              <w:rPr>
                <w:rFonts w:cs="Arial"/>
                <w:sz w:val="18"/>
                <w:szCs w:val="18"/>
              </w:rPr>
              <w:t>zł</w:t>
            </w:r>
          </w:p>
        </w:tc>
      </w:tr>
      <w:tr w:rsidR="0071684A" w:rsidRPr="00ED1A48" w14:paraId="4E917B45" w14:textId="77777777" w:rsidTr="006E1E7D">
        <w:tc>
          <w:tcPr>
            <w:tcW w:w="56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9747CA4" w14:textId="6139ED7E" w:rsidR="0071684A" w:rsidRPr="00ED1A48" w:rsidRDefault="0071684A" w:rsidP="0071684A">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tcPr>
          <w:p w14:paraId="64DE9883" w14:textId="77777777" w:rsidR="0071684A" w:rsidRPr="009B49EA" w:rsidRDefault="0071684A" w:rsidP="0071684A">
            <w:pPr>
              <w:jc w:val="left"/>
              <w:rPr>
                <w:rFonts w:cs="Arial"/>
                <w:b/>
                <w:color w:val="000000"/>
                <w:sz w:val="16"/>
                <w:szCs w:val="16"/>
              </w:rPr>
            </w:pPr>
            <w:r w:rsidRPr="009B49EA">
              <w:rPr>
                <w:b/>
                <w:sz w:val="16"/>
                <w:szCs w:val="16"/>
              </w:rPr>
              <w:t>Określenie wymagań zw. z realizacją zamówienia obejmujących aspekty środowiskowe</w:t>
            </w:r>
          </w:p>
        </w:tc>
        <w:tc>
          <w:tcPr>
            <w:tcW w:w="1895" w:type="dxa"/>
            <w:tcBorders>
              <w:top w:val="single" w:sz="4" w:space="0" w:color="auto"/>
              <w:left w:val="single" w:sz="4" w:space="0" w:color="auto"/>
              <w:bottom w:val="single" w:sz="4" w:space="0" w:color="auto"/>
              <w:right w:val="single" w:sz="4" w:space="0" w:color="auto"/>
            </w:tcBorders>
            <w:vAlign w:val="center"/>
          </w:tcPr>
          <w:p w14:paraId="4A8DB9DF" w14:textId="5339C754" w:rsidR="0071684A" w:rsidRPr="0018409E" w:rsidRDefault="0071684A" w:rsidP="0071684A">
            <w:pPr>
              <w:jc w:val="center"/>
              <w:rPr>
                <w:rFonts w:cs="Arial"/>
                <w:color w:val="000000"/>
                <w:sz w:val="18"/>
                <w:szCs w:val="18"/>
              </w:rPr>
            </w:pPr>
            <w:r w:rsidRPr="0018409E">
              <w:rPr>
                <w:rFonts w:cs="Arial"/>
                <w:color w:val="000000"/>
                <w:sz w:val="18"/>
                <w:szCs w:val="18"/>
              </w:rPr>
              <w:t>213</w:t>
            </w:r>
          </w:p>
        </w:tc>
        <w:tc>
          <w:tcPr>
            <w:tcW w:w="1896" w:type="dxa"/>
            <w:tcBorders>
              <w:top w:val="single" w:sz="4" w:space="0" w:color="auto"/>
              <w:left w:val="single" w:sz="4" w:space="0" w:color="auto"/>
              <w:bottom w:val="single" w:sz="4" w:space="0" w:color="auto"/>
              <w:right w:val="single" w:sz="4" w:space="0" w:color="auto"/>
            </w:tcBorders>
            <w:vAlign w:val="center"/>
          </w:tcPr>
          <w:p w14:paraId="3A208983" w14:textId="6AA0D188" w:rsidR="0071684A" w:rsidRPr="0018409E" w:rsidRDefault="0071684A" w:rsidP="0071684A">
            <w:pPr>
              <w:jc w:val="center"/>
              <w:rPr>
                <w:rFonts w:cs="Arial"/>
                <w:color w:val="000000"/>
                <w:sz w:val="18"/>
                <w:szCs w:val="18"/>
              </w:rPr>
            </w:pPr>
            <w:r w:rsidRPr="0018409E">
              <w:rPr>
                <w:rFonts w:cs="Arial"/>
                <w:color w:val="000000"/>
                <w:sz w:val="18"/>
                <w:szCs w:val="18"/>
              </w:rPr>
              <w:t>273 782 396,75 zł</w:t>
            </w:r>
          </w:p>
        </w:tc>
        <w:tc>
          <w:tcPr>
            <w:tcW w:w="1895" w:type="dxa"/>
            <w:tcBorders>
              <w:top w:val="single" w:sz="4" w:space="0" w:color="auto"/>
              <w:left w:val="single" w:sz="4" w:space="0" w:color="auto"/>
              <w:bottom w:val="single" w:sz="4" w:space="0" w:color="auto"/>
              <w:right w:val="single" w:sz="4" w:space="0" w:color="auto"/>
            </w:tcBorders>
            <w:vAlign w:val="center"/>
          </w:tcPr>
          <w:p w14:paraId="0D4836D7" w14:textId="36933D73" w:rsidR="0071684A" w:rsidRPr="0018409E" w:rsidRDefault="0071684A" w:rsidP="0071684A">
            <w:pPr>
              <w:jc w:val="center"/>
              <w:rPr>
                <w:rFonts w:cs="Arial"/>
                <w:color w:val="000000"/>
                <w:sz w:val="18"/>
                <w:szCs w:val="18"/>
              </w:rPr>
            </w:pPr>
            <w:r w:rsidRPr="00DC6D14">
              <w:rPr>
                <w:rFonts w:cs="Arial"/>
                <w:color w:val="000000"/>
                <w:sz w:val="18"/>
                <w:szCs w:val="18"/>
              </w:rPr>
              <w:t>236</w:t>
            </w:r>
          </w:p>
        </w:tc>
        <w:tc>
          <w:tcPr>
            <w:tcW w:w="1896" w:type="dxa"/>
            <w:tcBorders>
              <w:top w:val="single" w:sz="4" w:space="0" w:color="auto"/>
              <w:left w:val="single" w:sz="4" w:space="0" w:color="auto"/>
              <w:bottom w:val="single" w:sz="4" w:space="0" w:color="auto"/>
              <w:right w:val="single" w:sz="4" w:space="0" w:color="auto"/>
            </w:tcBorders>
            <w:vAlign w:val="center"/>
          </w:tcPr>
          <w:p w14:paraId="266C9E30" w14:textId="49A945F6" w:rsidR="0071684A" w:rsidRPr="0018409E" w:rsidRDefault="0071684A" w:rsidP="0071684A">
            <w:pPr>
              <w:jc w:val="center"/>
              <w:rPr>
                <w:rFonts w:cs="Arial"/>
                <w:color w:val="000000"/>
                <w:sz w:val="18"/>
                <w:szCs w:val="18"/>
              </w:rPr>
            </w:pPr>
            <w:r w:rsidRPr="00DC6D14">
              <w:rPr>
                <w:rFonts w:cs="Arial"/>
                <w:color w:val="000000"/>
                <w:sz w:val="18"/>
                <w:szCs w:val="18"/>
              </w:rPr>
              <w:t>180 236 978,39 zł</w:t>
            </w:r>
          </w:p>
        </w:tc>
        <w:tc>
          <w:tcPr>
            <w:tcW w:w="1895" w:type="dxa"/>
            <w:tcBorders>
              <w:top w:val="single" w:sz="4" w:space="0" w:color="auto"/>
              <w:left w:val="single" w:sz="4" w:space="0" w:color="auto"/>
              <w:bottom w:val="single" w:sz="4" w:space="0" w:color="auto"/>
              <w:right w:val="single" w:sz="4" w:space="0" w:color="auto"/>
            </w:tcBorders>
            <w:vAlign w:val="center"/>
          </w:tcPr>
          <w:p w14:paraId="2FFD673D" w14:textId="16A1CE44" w:rsidR="0071684A" w:rsidRPr="0071684A" w:rsidRDefault="0071684A" w:rsidP="0071684A">
            <w:pPr>
              <w:jc w:val="center"/>
              <w:rPr>
                <w:rFonts w:cs="Arial"/>
                <w:color w:val="000000"/>
                <w:sz w:val="18"/>
                <w:szCs w:val="18"/>
              </w:rPr>
            </w:pPr>
            <w:r w:rsidRPr="0071684A">
              <w:rPr>
                <w:rFonts w:cs="Arial"/>
                <w:color w:val="000000"/>
                <w:sz w:val="18"/>
                <w:szCs w:val="18"/>
              </w:rPr>
              <w:t>323</w:t>
            </w:r>
          </w:p>
        </w:tc>
        <w:tc>
          <w:tcPr>
            <w:tcW w:w="1896" w:type="dxa"/>
            <w:tcBorders>
              <w:top w:val="single" w:sz="4" w:space="0" w:color="auto"/>
              <w:left w:val="single" w:sz="4" w:space="0" w:color="auto"/>
              <w:bottom w:val="single" w:sz="4" w:space="0" w:color="auto"/>
              <w:right w:val="single" w:sz="4" w:space="0" w:color="auto"/>
            </w:tcBorders>
            <w:vAlign w:val="center"/>
          </w:tcPr>
          <w:p w14:paraId="276E53CC" w14:textId="5872BE39" w:rsidR="0071684A" w:rsidRPr="0071684A" w:rsidRDefault="0071684A" w:rsidP="0071684A">
            <w:pPr>
              <w:jc w:val="center"/>
              <w:rPr>
                <w:rFonts w:cs="Arial"/>
                <w:color w:val="000000"/>
                <w:sz w:val="18"/>
                <w:szCs w:val="18"/>
              </w:rPr>
            </w:pPr>
            <w:r w:rsidRPr="0071684A">
              <w:rPr>
                <w:rFonts w:cs="Arial"/>
                <w:color w:val="000000"/>
                <w:sz w:val="18"/>
                <w:szCs w:val="18"/>
              </w:rPr>
              <w:t xml:space="preserve">654 996 533,30 </w:t>
            </w:r>
            <w:r w:rsidRPr="0071684A">
              <w:rPr>
                <w:rFonts w:cs="Arial"/>
                <w:sz w:val="18"/>
                <w:szCs w:val="18"/>
              </w:rPr>
              <w:t>zł</w:t>
            </w:r>
          </w:p>
        </w:tc>
      </w:tr>
      <w:tr w:rsidR="0071684A" w:rsidRPr="00ED1A48" w14:paraId="31689F46" w14:textId="77777777" w:rsidTr="006E1E7D">
        <w:tc>
          <w:tcPr>
            <w:tcW w:w="56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1A374BC" w14:textId="49D63615" w:rsidR="0071684A" w:rsidRPr="00ED1A48" w:rsidRDefault="0071684A" w:rsidP="0071684A">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tcPr>
          <w:p w14:paraId="16C22066" w14:textId="77777777" w:rsidR="0071684A" w:rsidRPr="009B49EA" w:rsidRDefault="0071684A" w:rsidP="0071684A">
            <w:pPr>
              <w:jc w:val="left"/>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895" w:type="dxa"/>
            <w:tcBorders>
              <w:top w:val="single" w:sz="4" w:space="0" w:color="auto"/>
              <w:left w:val="single" w:sz="4" w:space="0" w:color="auto"/>
              <w:bottom w:val="single" w:sz="4" w:space="0" w:color="auto"/>
              <w:right w:val="single" w:sz="4" w:space="0" w:color="auto"/>
            </w:tcBorders>
            <w:vAlign w:val="center"/>
          </w:tcPr>
          <w:p w14:paraId="3061A333" w14:textId="7DEDB865" w:rsidR="0071684A" w:rsidRPr="0018409E" w:rsidRDefault="0071684A" w:rsidP="0071684A">
            <w:pPr>
              <w:jc w:val="center"/>
              <w:rPr>
                <w:rFonts w:cs="Arial"/>
                <w:color w:val="000000"/>
                <w:sz w:val="18"/>
                <w:szCs w:val="18"/>
              </w:rPr>
            </w:pPr>
            <w:r w:rsidRPr="0018409E">
              <w:rPr>
                <w:rFonts w:cs="Arial"/>
                <w:color w:val="000000"/>
                <w:sz w:val="18"/>
                <w:szCs w:val="18"/>
              </w:rPr>
              <w:t>273</w:t>
            </w:r>
          </w:p>
        </w:tc>
        <w:tc>
          <w:tcPr>
            <w:tcW w:w="1896" w:type="dxa"/>
            <w:tcBorders>
              <w:top w:val="single" w:sz="4" w:space="0" w:color="auto"/>
              <w:left w:val="single" w:sz="4" w:space="0" w:color="auto"/>
              <w:bottom w:val="single" w:sz="4" w:space="0" w:color="auto"/>
              <w:right w:val="single" w:sz="4" w:space="0" w:color="auto"/>
            </w:tcBorders>
            <w:vAlign w:val="center"/>
          </w:tcPr>
          <w:p w14:paraId="2CBEB392" w14:textId="23C7E637" w:rsidR="0071684A" w:rsidRPr="0018409E" w:rsidRDefault="0071684A" w:rsidP="0071684A">
            <w:pPr>
              <w:jc w:val="center"/>
              <w:rPr>
                <w:rFonts w:cs="Arial"/>
                <w:color w:val="000000"/>
                <w:sz w:val="18"/>
                <w:szCs w:val="18"/>
              </w:rPr>
            </w:pPr>
            <w:r w:rsidRPr="0018409E">
              <w:rPr>
                <w:rFonts w:cs="Arial"/>
                <w:color w:val="000000"/>
                <w:sz w:val="18"/>
                <w:szCs w:val="18"/>
              </w:rPr>
              <w:t>1 412 348 898,84 zł</w:t>
            </w:r>
          </w:p>
        </w:tc>
        <w:tc>
          <w:tcPr>
            <w:tcW w:w="1895" w:type="dxa"/>
            <w:tcBorders>
              <w:top w:val="single" w:sz="4" w:space="0" w:color="auto"/>
              <w:left w:val="single" w:sz="4" w:space="0" w:color="auto"/>
              <w:bottom w:val="single" w:sz="4" w:space="0" w:color="auto"/>
              <w:right w:val="single" w:sz="4" w:space="0" w:color="auto"/>
            </w:tcBorders>
            <w:vAlign w:val="center"/>
          </w:tcPr>
          <w:p w14:paraId="2AFBABED" w14:textId="46D798A2" w:rsidR="0071684A" w:rsidRPr="0018409E" w:rsidRDefault="0071684A" w:rsidP="0071684A">
            <w:pPr>
              <w:jc w:val="center"/>
              <w:rPr>
                <w:rFonts w:cs="Arial"/>
                <w:color w:val="000000"/>
                <w:sz w:val="18"/>
                <w:szCs w:val="18"/>
              </w:rPr>
            </w:pPr>
            <w:r w:rsidRPr="00DC6D14">
              <w:rPr>
                <w:rFonts w:cs="Arial"/>
                <w:color w:val="000000"/>
                <w:sz w:val="18"/>
                <w:szCs w:val="18"/>
              </w:rPr>
              <w:t>238</w:t>
            </w:r>
          </w:p>
        </w:tc>
        <w:tc>
          <w:tcPr>
            <w:tcW w:w="1896" w:type="dxa"/>
            <w:tcBorders>
              <w:top w:val="single" w:sz="4" w:space="0" w:color="auto"/>
              <w:left w:val="single" w:sz="4" w:space="0" w:color="auto"/>
              <w:bottom w:val="single" w:sz="4" w:space="0" w:color="auto"/>
              <w:right w:val="single" w:sz="4" w:space="0" w:color="auto"/>
            </w:tcBorders>
            <w:vAlign w:val="center"/>
          </w:tcPr>
          <w:p w14:paraId="13FF6C4E" w14:textId="580751B9" w:rsidR="0071684A" w:rsidRPr="0018409E" w:rsidRDefault="0071684A" w:rsidP="0071684A">
            <w:pPr>
              <w:jc w:val="center"/>
              <w:rPr>
                <w:rFonts w:cs="Arial"/>
                <w:sz w:val="18"/>
                <w:szCs w:val="18"/>
              </w:rPr>
            </w:pPr>
            <w:r w:rsidRPr="00DC6D14">
              <w:rPr>
                <w:rFonts w:cs="Arial"/>
                <w:color w:val="000000"/>
                <w:sz w:val="18"/>
                <w:szCs w:val="18"/>
              </w:rPr>
              <w:t>265 611 706,83 zł</w:t>
            </w:r>
          </w:p>
        </w:tc>
        <w:tc>
          <w:tcPr>
            <w:tcW w:w="1895" w:type="dxa"/>
            <w:tcBorders>
              <w:top w:val="single" w:sz="4" w:space="0" w:color="auto"/>
              <w:left w:val="single" w:sz="4" w:space="0" w:color="auto"/>
              <w:bottom w:val="single" w:sz="4" w:space="0" w:color="auto"/>
              <w:right w:val="single" w:sz="4" w:space="0" w:color="auto"/>
            </w:tcBorders>
            <w:vAlign w:val="center"/>
          </w:tcPr>
          <w:p w14:paraId="48EAB192" w14:textId="44F88166" w:rsidR="0071684A" w:rsidRPr="0071684A" w:rsidRDefault="0071684A" w:rsidP="0071684A">
            <w:pPr>
              <w:jc w:val="center"/>
              <w:rPr>
                <w:rFonts w:cs="Arial"/>
                <w:color w:val="000000"/>
                <w:sz w:val="18"/>
                <w:szCs w:val="18"/>
              </w:rPr>
            </w:pPr>
            <w:r w:rsidRPr="0071684A">
              <w:rPr>
                <w:rFonts w:cs="Arial"/>
                <w:color w:val="000000"/>
                <w:sz w:val="18"/>
                <w:szCs w:val="18"/>
              </w:rPr>
              <w:t>259</w:t>
            </w:r>
          </w:p>
        </w:tc>
        <w:tc>
          <w:tcPr>
            <w:tcW w:w="1896" w:type="dxa"/>
            <w:tcBorders>
              <w:top w:val="single" w:sz="4" w:space="0" w:color="auto"/>
              <w:left w:val="single" w:sz="4" w:space="0" w:color="auto"/>
              <w:bottom w:val="single" w:sz="4" w:space="0" w:color="auto"/>
              <w:right w:val="single" w:sz="4" w:space="0" w:color="auto"/>
            </w:tcBorders>
            <w:vAlign w:val="center"/>
          </w:tcPr>
          <w:p w14:paraId="6EAB0195" w14:textId="0C890717" w:rsidR="0071684A" w:rsidRPr="0071684A" w:rsidRDefault="0071684A" w:rsidP="0071684A">
            <w:pPr>
              <w:jc w:val="center"/>
              <w:rPr>
                <w:rFonts w:cs="Arial"/>
                <w:color w:val="000000"/>
                <w:sz w:val="18"/>
                <w:szCs w:val="18"/>
              </w:rPr>
            </w:pPr>
            <w:r w:rsidRPr="0071684A">
              <w:rPr>
                <w:rFonts w:cs="Arial"/>
                <w:color w:val="000000"/>
                <w:sz w:val="18"/>
                <w:szCs w:val="18"/>
              </w:rPr>
              <w:t xml:space="preserve">811 924 475,01 </w:t>
            </w:r>
            <w:r w:rsidRPr="0071684A">
              <w:rPr>
                <w:rFonts w:cs="Arial"/>
                <w:sz w:val="18"/>
                <w:szCs w:val="18"/>
              </w:rPr>
              <w:t>zł</w:t>
            </w:r>
          </w:p>
        </w:tc>
      </w:tr>
      <w:tr w:rsidR="0071684A" w:rsidRPr="00ED1A48" w14:paraId="058DA075" w14:textId="77777777" w:rsidTr="006E1E7D">
        <w:tc>
          <w:tcPr>
            <w:tcW w:w="56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55924A6" w14:textId="77777777" w:rsidR="0071684A" w:rsidRPr="00ED1A48" w:rsidRDefault="0071684A" w:rsidP="0071684A">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7DFE6CB" w14:textId="77777777" w:rsidR="0071684A" w:rsidRPr="007B7671" w:rsidRDefault="0071684A" w:rsidP="0071684A">
            <w:pPr>
              <w:jc w:val="left"/>
              <w:rPr>
                <w:rFonts w:cs="Arial"/>
                <w:b/>
                <w:color w:val="000000"/>
                <w:sz w:val="16"/>
                <w:szCs w:val="16"/>
                <w:highlight w:val="yellow"/>
              </w:rPr>
            </w:pPr>
            <w:r w:rsidRPr="007B7671">
              <w:rPr>
                <w:b/>
                <w:sz w:val="16"/>
                <w:szCs w:val="16"/>
              </w:rPr>
              <w:t>Określenie etykiety związanej z aspektami środowiskowymi</w:t>
            </w:r>
          </w:p>
        </w:tc>
        <w:tc>
          <w:tcPr>
            <w:tcW w:w="1895" w:type="dxa"/>
            <w:tcBorders>
              <w:top w:val="single" w:sz="4" w:space="0" w:color="auto"/>
              <w:left w:val="single" w:sz="4" w:space="0" w:color="auto"/>
              <w:bottom w:val="single" w:sz="4" w:space="0" w:color="auto"/>
              <w:right w:val="single" w:sz="4" w:space="0" w:color="auto"/>
            </w:tcBorders>
            <w:vAlign w:val="center"/>
          </w:tcPr>
          <w:p w14:paraId="63A5E890" w14:textId="2BD6FC00" w:rsidR="0071684A" w:rsidRPr="0018409E" w:rsidRDefault="0071684A" w:rsidP="0071684A">
            <w:pPr>
              <w:jc w:val="center"/>
              <w:rPr>
                <w:rFonts w:cs="Arial"/>
                <w:color w:val="000000"/>
                <w:sz w:val="18"/>
                <w:szCs w:val="18"/>
                <w:highlight w:val="yellow"/>
              </w:rPr>
            </w:pPr>
            <w:r w:rsidRPr="0018409E">
              <w:rPr>
                <w:rFonts w:cs="Arial"/>
                <w:color w:val="000000"/>
                <w:sz w:val="18"/>
                <w:szCs w:val="18"/>
              </w:rPr>
              <w:t>89</w:t>
            </w:r>
          </w:p>
        </w:tc>
        <w:tc>
          <w:tcPr>
            <w:tcW w:w="1896" w:type="dxa"/>
            <w:tcBorders>
              <w:top w:val="single" w:sz="4" w:space="0" w:color="auto"/>
              <w:left w:val="single" w:sz="4" w:space="0" w:color="auto"/>
              <w:bottom w:val="single" w:sz="4" w:space="0" w:color="auto"/>
              <w:right w:val="single" w:sz="4" w:space="0" w:color="auto"/>
            </w:tcBorders>
            <w:vAlign w:val="center"/>
          </w:tcPr>
          <w:p w14:paraId="6ED7CF06" w14:textId="718E6503" w:rsidR="0071684A" w:rsidRPr="0018409E" w:rsidRDefault="0071684A" w:rsidP="0071684A">
            <w:pPr>
              <w:jc w:val="center"/>
              <w:rPr>
                <w:sz w:val="18"/>
                <w:szCs w:val="18"/>
              </w:rPr>
            </w:pPr>
            <w:r w:rsidRPr="0018409E">
              <w:rPr>
                <w:rFonts w:cs="Arial"/>
                <w:color w:val="000000"/>
                <w:sz w:val="18"/>
                <w:szCs w:val="18"/>
              </w:rPr>
              <w:t>42 653 321,25 zł</w:t>
            </w:r>
          </w:p>
        </w:tc>
        <w:tc>
          <w:tcPr>
            <w:tcW w:w="1895" w:type="dxa"/>
            <w:tcBorders>
              <w:top w:val="single" w:sz="4" w:space="0" w:color="auto"/>
              <w:left w:val="single" w:sz="4" w:space="0" w:color="auto"/>
              <w:bottom w:val="single" w:sz="4" w:space="0" w:color="auto"/>
              <w:right w:val="single" w:sz="4" w:space="0" w:color="auto"/>
            </w:tcBorders>
            <w:vAlign w:val="center"/>
          </w:tcPr>
          <w:p w14:paraId="682E1CE7" w14:textId="7EC61C32" w:rsidR="0071684A" w:rsidRPr="0018409E" w:rsidRDefault="0071684A" w:rsidP="0071684A">
            <w:pPr>
              <w:jc w:val="center"/>
              <w:rPr>
                <w:rFonts w:cs="Arial"/>
                <w:color w:val="000000"/>
                <w:sz w:val="18"/>
                <w:szCs w:val="18"/>
                <w:highlight w:val="yellow"/>
              </w:rPr>
            </w:pPr>
            <w:r w:rsidRPr="00DC6D14">
              <w:rPr>
                <w:rFonts w:cs="Arial"/>
                <w:color w:val="000000"/>
                <w:sz w:val="18"/>
                <w:szCs w:val="18"/>
              </w:rPr>
              <w:t>115</w:t>
            </w:r>
          </w:p>
        </w:tc>
        <w:tc>
          <w:tcPr>
            <w:tcW w:w="1896" w:type="dxa"/>
            <w:tcBorders>
              <w:top w:val="single" w:sz="4" w:space="0" w:color="auto"/>
              <w:left w:val="single" w:sz="4" w:space="0" w:color="auto"/>
              <w:bottom w:val="single" w:sz="4" w:space="0" w:color="auto"/>
              <w:right w:val="single" w:sz="4" w:space="0" w:color="auto"/>
            </w:tcBorders>
            <w:vAlign w:val="center"/>
          </w:tcPr>
          <w:p w14:paraId="4C17B058" w14:textId="1134B0F7" w:rsidR="0071684A" w:rsidRPr="0018409E" w:rsidRDefault="0071684A" w:rsidP="0071684A">
            <w:pPr>
              <w:jc w:val="center"/>
              <w:rPr>
                <w:rFonts w:cs="Arial"/>
                <w:sz w:val="18"/>
                <w:szCs w:val="18"/>
              </w:rPr>
            </w:pPr>
            <w:r w:rsidRPr="00DC6D14">
              <w:rPr>
                <w:rFonts w:cs="Arial"/>
                <w:color w:val="000000"/>
                <w:sz w:val="18"/>
                <w:szCs w:val="18"/>
              </w:rPr>
              <w:t>185 072 379,90 zł</w:t>
            </w:r>
          </w:p>
        </w:tc>
        <w:tc>
          <w:tcPr>
            <w:tcW w:w="1895" w:type="dxa"/>
            <w:tcBorders>
              <w:top w:val="single" w:sz="4" w:space="0" w:color="auto"/>
              <w:left w:val="single" w:sz="4" w:space="0" w:color="auto"/>
              <w:bottom w:val="single" w:sz="4" w:space="0" w:color="auto"/>
              <w:right w:val="single" w:sz="4" w:space="0" w:color="auto"/>
            </w:tcBorders>
            <w:vAlign w:val="center"/>
          </w:tcPr>
          <w:p w14:paraId="43D5056C" w14:textId="7FE1B972" w:rsidR="0071684A" w:rsidRPr="0071684A" w:rsidRDefault="0071684A" w:rsidP="0071684A">
            <w:pPr>
              <w:jc w:val="center"/>
              <w:rPr>
                <w:rFonts w:cs="Arial"/>
                <w:color w:val="000000"/>
                <w:sz w:val="18"/>
                <w:szCs w:val="18"/>
              </w:rPr>
            </w:pPr>
            <w:r w:rsidRPr="0071684A">
              <w:rPr>
                <w:rFonts w:cs="Arial"/>
                <w:color w:val="000000"/>
                <w:sz w:val="18"/>
                <w:szCs w:val="18"/>
              </w:rPr>
              <w:t>124</w:t>
            </w:r>
          </w:p>
        </w:tc>
        <w:tc>
          <w:tcPr>
            <w:tcW w:w="1896" w:type="dxa"/>
            <w:tcBorders>
              <w:top w:val="single" w:sz="4" w:space="0" w:color="auto"/>
              <w:left w:val="single" w:sz="4" w:space="0" w:color="auto"/>
              <w:bottom w:val="single" w:sz="4" w:space="0" w:color="auto"/>
              <w:right w:val="single" w:sz="4" w:space="0" w:color="auto"/>
            </w:tcBorders>
            <w:vAlign w:val="center"/>
          </w:tcPr>
          <w:p w14:paraId="5E3DD7D3" w14:textId="11943E2E" w:rsidR="0071684A" w:rsidRPr="0071684A" w:rsidRDefault="0071684A" w:rsidP="0071684A">
            <w:pPr>
              <w:jc w:val="center"/>
              <w:rPr>
                <w:rFonts w:cs="Arial"/>
                <w:color w:val="000000"/>
                <w:sz w:val="18"/>
                <w:szCs w:val="18"/>
              </w:rPr>
            </w:pPr>
            <w:r w:rsidRPr="0071684A">
              <w:rPr>
                <w:rFonts w:cs="Arial"/>
                <w:color w:val="000000"/>
                <w:sz w:val="18"/>
                <w:szCs w:val="18"/>
              </w:rPr>
              <w:t xml:space="preserve">565 755 866,45 </w:t>
            </w:r>
            <w:r w:rsidRPr="0071684A">
              <w:rPr>
                <w:rFonts w:cs="Arial"/>
                <w:sz w:val="18"/>
                <w:szCs w:val="18"/>
              </w:rPr>
              <w:t>zł</w:t>
            </w:r>
          </w:p>
        </w:tc>
      </w:tr>
      <w:tr w:rsidR="0071684A" w:rsidRPr="00ED1A48" w14:paraId="32483751" w14:textId="77777777" w:rsidTr="006E1E7D">
        <w:tc>
          <w:tcPr>
            <w:tcW w:w="56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5516413" w14:textId="77777777" w:rsidR="0071684A" w:rsidRPr="00ED1A48" w:rsidRDefault="0071684A" w:rsidP="0071684A">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E78EFE3" w14:textId="77777777" w:rsidR="0071684A" w:rsidRPr="009B49EA" w:rsidRDefault="0071684A" w:rsidP="0071684A">
            <w:pPr>
              <w:jc w:val="left"/>
              <w:rPr>
                <w:rFonts w:cs="Arial"/>
                <w:b/>
                <w:color w:val="000000"/>
                <w:sz w:val="16"/>
                <w:szCs w:val="16"/>
              </w:rPr>
            </w:pPr>
            <w:r w:rsidRPr="009B49EA">
              <w:rPr>
                <w:b/>
                <w:sz w:val="16"/>
                <w:szCs w:val="16"/>
              </w:rPr>
              <w:t>Określenie wymogu spełniania wymagań odpowiednich systemów lub norm zarządzania środowiskowego</w:t>
            </w:r>
          </w:p>
        </w:tc>
        <w:tc>
          <w:tcPr>
            <w:tcW w:w="1895" w:type="dxa"/>
            <w:tcBorders>
              <w:top w:val="single" w:sz="4" w:space="0" w:color="auto"/>
              <w:left w:val="single" w:sz="4" w:space="0" w:color="auto"/>
              <w:bottom w:val="single" w:sz="4" w:space="0" w:color="auto"/>
              <w:right w:val="single" w:sz="4" w:space="0" w:color="auto"/>
            </w:tcBorders>
            <w:vAlign w:val="center"/>
          </w:tcPr>
          <w:p w14:paraId="4097C024" w14:textId="2D759E84" w:rsidR="0071684A" w:rsidRPr="0018409E" w:rsidRDefault="0071684A" w:rsidP="0071684A">
            <w:pPr>
              <w:jc w:val="center"/>
              <w:rPr>
                <w:rFonts w:cs="Arial"/>
                <w:color w:val="000000"/>
                <w:sz w:val="18"/>
                <w:szCs w:val="18"/>
              </w:rPr>
            </w:pPr>
            <w:r w:rsidRPr="0018409E">
              <w:rPr>
                <w:rFonts w:cs="Arial"/>
                <w:color w:val="000000"/>
                <w:sz w:val="18"/>
                <w:szCs w:val="18"/>
              </w:rPr>
              <w:t>24</w:t>
            </w:r>
          </w:p>
        </w:tc>
        <w:tc>
          <w:tcPr>
            <w:tcW w:w="1896" w:type="dxa"/>
            <w:tcBorders>
              <w:top w:val="single" w:sz="4" w:space="0" w:color="auto"/>
              <w:left w:val="single" w:sz="4" w:space="0" w:color="auto"/>
              <w:bottom w:val="single" w:sz="4" w:space="0" w:color="auto"/>
              <w:right w:val="single" w:sz="4" w:space="0" w:color="auto"/>
            </w:tcBorders>
            <w:vAlign w:val="center"/>
          </w:tcPr>
          <w:p w14:paraId="18B2F567" w14:textId="144EFCEE" w:rsidR="0071684A" w:rsidRPr="0018409E" w:rsidRDefault="0071684A" w:rsidP="0071684A">
            <w:pPr>
              <w:jc w:val="center"/>
              <w:rPr>
                <w:rFonts w:cs="Arial"/>
                <w:color w:val="000000"/>
                <w:sz w:val="18"/>
                <w:szCs w:val="18"/>
              </w:rPr>
            </w:pPr>
            <w:r w:rsidRPr="0018409E">
              <w:rPr>
                <w:rFonts w:cs="Arial"/>
                <w:color w:val="000000"/>
                <w:sz w:val="18"/>
                <w:szCs w:val="18"/>
              </w:rPr>
              <w:t>42 296 264,32 zł</w:t>
            </w:r>
          </w:p>
        </w:tc>
        <w:tc>
          <w:tcPr>
            <w:tcW w:w="1895" w:type="dxa"/>
            <w:tcBorders>
              <w:top w:val="single" w:sz="4" w:space="0" w:color="auto"/>
              <w:left w:val="single" w:sz="4" w:space="0" w:color="auto"/>
              <w:bottom w:val="single" w:sz="4" w:space="0" w:color="auto"/>
              <w:right w:val="single" w:sz="4" w:space="0" w:color="auto"/>
            </w:tcBorders>
            <w:vAlign w:val="center"/>
          </w:tcPr>
          <w:p w14:paraId="247D3F78" w14:textId="3549FB2C" w:rsidR="0071684A" w:rsidRPr="0018409E" w:rsidRDefault="0071684A" w:rsidP="0071684A">
            <w:pPr>
              <w:jc w:val="center"/>
              <w:rPr>
                <w:rFonts w:cs="Arial"/>
                <w:bCs/>
                <w:color w:val="000000"/>
                <w:spacing w:val="-2"/>
                <w:sz w:val="18"/>
                <w:szCs w:val="18"/>
              </w:rPr>
            </w:pPr>
            <w:r w:rsidRPr="00DC6D14">
              <w:rPr>
                <w:rFonts w:cs="Arial"/>
                <w:color w:val="000000"/>
                <w:sz w:val="18"/>
                <w:szCs w:val="18"/>
              </w:rPr>
              <w:t>23</w:t>
            </w:r>
          </w:p>
        </w:tc>
        <w:tc>
          <w:tcPr>
            <w:tcW w:w="1896" w:type="dxa"/>
            <w:tcBorders>
              <w:top w:val="single" w:sz="4" w:space="0" w:color="auto"/>
              <w:left w:val="single" w:sz="4" w:space="0" w:color="auto"/>
              <w:bottom w:val="single" w:sz="4" w:space="0" w:color="auto"/>
              <w:right w:val="single" w:sz="4" w:space="0" w:color="auto"/>
            </w:tcBorders>
            <w:vAlign w:val="center"/>
          </w:tcPr>
          <w:p w14:paraId="73F8AA45" w14:textId="7235901D" w:rsidR="0071684A" w:rsidRPr="0018409E" w:rsidRDefault="0071684A" w:rsidP="0071684A">
            <w:pPr>
              <w:jc w:val="center"/>
              <w:rPr>
                <w:rFonts w:cs="Arial"/>
                <w:sz w:val="18"/>
                <w:szCs w:val="18"/>
              </w:rPr>
            </w:pPr>
            <w:r w:rsidRPr="00DC6D14">
              <w:rPr>
                <w:rFonts w:cs="Arial"/>
                <w:color w:val="000000"/>
                <w:sz w:val="18"/>
                <w:szCs w:val="18"/>
              </w:rPr>
              <w:t>62 104 390,59 zł</w:t>
            </w:r>
          </w:p>
        </w:tc>
        <w:tc>
          <w:tcPr>
            <w:tcW w:w="1895" w:type="dxa"/>
            <w:tcBorders>
              <w:top w:val="single" w:sz="4" w:space="0" w:color="auto"/>
              <w:left w:val="single" w:sz="4" w:space="0" w:color="auto"/>
              <w:bottom w:val="single" w:sz="4" w:space="0" w:color="auto"/>
              <w:right w:val="single" w:sz="4" w:space="0" w:color="auto"/>
            </w:tcBorders>
            <w:vAlign w:val="center"/>
          </w:tcPr>
          <w:p w14:paraId="25A90471" w14:textId="7F22369C" w:rsidR="0071684A" w:rsidRPr="0071684A" w:rsidRDefault="0071684A" w:rsidP="0071684A">
            <w:pPr>
              <w:jc w:val="center"/>
              <w:rPr>
                <w:rFonts w:cs="Arial"/>
                <w:bCs/>
                <w:color w:val="000000"/>
                <w:spacing w:val="-2"/>
                <w:sz w:val="18"/>
                <w:szCs w:val="18"/>
              </w:rPr>
            </w:pPr>
            <w:r w:rsidRPr="0071684A">
              <w:rPr>
                <w:rFonts w:cs="Arial"/>
                <w:color w:val="000000"/>
                <w:sz w:val="18"/>
                <w:szCs w:val="18"/>
              </w:rPr>
              <w:t>34</w:t>
            </w:r>
          </w:p>
        </w:tc>
        <w:tc>
          <w:tcPr>
            <w:tcW w:w="1896" w:type="dxa"/>
            <w:tcBorders>
              <w:top w:val="single" w:sz="4" w:space="0" w:color="auto"/>
              <w:left w:val="single" w:sz="4" w:space="0" w:color="auto"/>
              <w:bottom w:val="single" w:sz="4" w:space="0" w:color="auto"/>
              <w:right w:val="single" w:sz="4" w:space="0" w:color="auto"/>
            </w:tcBorders>
            <w:vAlign w:val="center"/>
          </w:tcPr>
          <w:p w14:paraId="601C21C4" w14:textId="5E95FEF3" w:rsidR="0071684A" w:rsidRPr="0071684A" w:rsidRDefault="0071684A" w:rsidP="0071684A">
            <w:pPr>
              <w:jc w:val="center"/>
              <w:rPr>
                <w:rFonts w:cs="Arial"/>
                <w:bCs/>
                <w:color w:val="000000"/>
                <w:spacing w:val="-2"/>
                <w:sz w:val="18"/>
                <w:szCs w:val="18"/>
              </w:rPr>
            </w:pPr>
            <w:r w:rsidRPr="0071684A">
              <w:rPr>
                <w:rFonts w:cs="Arial"/>
                <w:color w:val="000000"/>
                <w:sz w:val="18"/>
                <w:szCs w:val="18"/>
              </w:rPr>
              <w:t xml:space="preserve">33 024 234,26 </w:t>
            </w:r>
            <w:r w:rsidRPr="0071684A">
              <w:rPr>
                <w:rFonts w:cs="Arial"/>
                <w:sz w:val="18"/>
                <w:szCs w:val="18"/>
              </w:rPr>
              <w:t>zł</w:t>
            </w:r>
          </w:p>
        </w:tc>
      </w:tr>
      <w:tr w:rsidR="0071684A" w:rsidRPr="00ED1A48" w14:paraId="0AFF957E" w14:textId="77777777" w:rsidTr="006E1E7D">
        <w:tc>
          <w:tcPr>
            <w:tcW w:w="56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77EF379" w14:textId="77777777" w:rsidR="0071684A" w:rsidRPr="00ED1A48" w:rsidRDefault="0071684A" w:rsidP="0071684A">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C4F22A6" w14:textId="77777777" w:rsidR="0071684A" w:rsidRPr="009B49EA" w:rsidRDefault="0071684A" w:rsidP="0071684A">
            <w:pPr>
              <w:jc w:val="left"/>
              <w:rPr>
                <w:rFonts w:cs="Arial"/>
                <w:b/>
                <w:color w:val="000000"/>
                <w:sz w:val="16"/>
                <w:szCs w:val="16"/>
              </w:rPr>
            </w:pPr>
            <w:r w:rsidRPr="009B49EA">
              <w:rPr>
                <w:b/>
                <w:sz w:val="16"/>
                <w:szCs w:val="16"/>
              </w:rPr>
              <w:t>Zastosowanie kryterium kosztu z wykorzystaniem rachunku kosztów cyklu życia</w:t>
            </w:r>
          </w:p>
        </w:tc>
        <w:tc>
          <w:tcPr>
            <w:tcW w:w="1895" w:type="dxa"/>
            <w:tcBorders>
              <w:top w:val="single" w:sz="4" w:space="0" w:color="auto"/>
              <w:left w:val="single" w:sz="4" w:space="0" w:color="auto"/>
              <w:bottom w:val="single" w:sz="4" w:space="0" w:color="auto"/>
              <w:right w:val="single" w:sz="4" w:space="0" w:color="auto"/>
            </w:tcBorders>
            <w:vAlign w:val="center"/>
          </w:tcPr>
          <w:p w14:paraId="02F13544" w14:textId="0BE68D2B" w:rsidR="0071684A" w:rsidRPr="0018409E" w:rsidRDefault="0071684A" w:rsidP="0071684A">
            <w:pPr>
              <w:jc w:val="center"/>
              <w:rPr>
                <w:rFonts w:cs="Arial"/>
                <w:color w:val="000000"/>
                <w:sz w:val="18"/>
                <w:szCs w:val="18"/>
              </w:rPr>
            </w:pPr>
            <w:r w:rsidRPr="0018409E">
              <w:rPr>
                <w:rFonts w:cs="Arial"/>
                <w:color w:val="000000"/>
                <w:sz w:val="18"/>
                <w:szCs w:val="18"/>
              </w:rPr>
              <w:t>2</w:t>
            </w:r>
          </w:p>
        </w:tc>
        <w:tc>
          <w:tcPr>
            <w:tcW w:w="1896" w:type="dxa"/>
            <w:tcBorders>
              <w:top w:val="single" w:sz="4" w:space="0" w:color="auto"/>
              <w:left w:val="single" w:sz="4" w:space="0" w:color="auto"/>
              <w:bottom w:val="single" w:sz="4" w:space="0" w:color="auto"/>
              <w:right w:val="single" w:sz="4" w:space="0" w:color="auto"/>
            </w:tcBorders>
            <w:vAlign w:val="center"/>
          </w:tcPr>
          <w:p w14:paraId="7A952806" w14:textId="26C25C00" w:rsidR="0071684A" w:rsidRPr="0018409E" w:rsidRDefault="0071684A" w:rsidP="0071684A">
            <w:pPr>
              <w:jc w:val="center"/>
              <w:rPr>
                <w:rFonts w:cs="Arial"/>
                <w:color w:val="000000"/>
                <w:sz w:val="18"/>
                <w:szCs w:val="18"/>
              </w:rPr>
            </w:pPr>
            <w:r w:rsidRPr="0018409E">
              <w:rPr>
                <w:rFonts w:cs="Arial"/>
                <w:color w:val="000000"/>
                <w:sz w:val="18"/>
                <w:szCs w:val="18"/>
              </w:rPr>
              <w:t>1 099 913,10 zł</w:t>
            </w:r>
          </w:p>
        </w:tc>
        <w:tc>
          <w:tcPr>
            <w:tcW w:w="1895" w:type="dxa"/>
            <w:tcBorders>
              <w:top w:val="single" w:sz="4" w:space="0" w:color="auto"/>
              <w:left w:val="single" w:sz="4" w:space="0" w:color="auto"/>
              <w:bottom w:val="single" w:sz="4" w:space="0" w:color="auto"/>
              <w:right w:val="single" w:sz="4" w:space="0" w:color="auto"/>
            </w:tcBorders>
            <w:vAlign w:val="center"/>
          </w:tcPr>
          <w:p w14:paraId="472D6278" w14:textId="09503A61" w:rsidR="0071684A" w:rsidRPr="0018409E" w:rsidRDefault="0071684A" w:rsidP="0071684A">
            <w:pPr>
              <w:jc w:val="center"/>
              <w:rPr>
                <w:rFonts w:cs="Arial"/>
                <w:color w:val="000000"/>
                <w:sz w:val="18"/>
                <w:szCs w:val="18"/>
              </w:rPr>
            </w:pPr>
            <w:r w:rsidRPr="00DC6D14">
              <w:rPr>
                <w:rFonts w:cs="Arial"/>
                <w:color w:val="000000"/>
                <w:sz w:val="18"/>
                <w:szCs w:val="18"/>
              </w:rPr>
              <w:t>1</w:t>
            </w:r>
          </w:p>
        </w:tc>
        <w:tc>
          <w:tcPr>
            <w:tcW w:w="1896" w:type="dxa"/>
            <w:tcBorders>
              <w:top w:val="single" w:sz="4" w:space="0" w:color="auto"/>
              <w:left w:val="single" w:sz="4" w:space="0" w:color="auto"/>
              <w:bottom w:val="single" w:sz="4" w:space="0" w:color="auto"/>
              <w:right w:val="single" w:sz="4" w:space="0" w:color="auto"/>
            </w:tcBorders>
            <w:vAlign w:val="center"/>
          </w:tcPr>
          <w:p w14:paraId="332782EA" w14:textId="65DC4E90" w:rsidR="0071684A" w:rsidRPr="0018409E" w:rsidRDefault="0071684A" w:rsidP="0071684A">
            <w:pPr>
              <w:jc w:val="center"/>
              <w:rPr>
                <w:rFonts w:cs="Arial"/>
                <w:sz w:val="18"/>
                <w:szCs w:val="18"/>
              </w:rPr>
            </w:pPr>
            <w:r w:rsidRPr="00DC6D14">
              <w:rPr>
                <w:rFonts w:cs="Arial"/>
                <w:color w:val="000000"/>
                <w:sz w:val="18"/>
                <w:szCs w:val="18"/>
              </w:rPr>
              <w:t>555 284,56 zł</w:t>
            </w:r>
          </w:p>
        </w:tc>
        <w:tc>
          <w:tcPr>
            <w:tcW w:w="1895" w:type="dxa"/>
            <w:tcBorders>
              <w:top w:val="single" w:sz="4" w:space="0" w:color="auto"/>
              <w:left w:val="single" w:sz="4" w:space="0" w:color="auto"/>
              <w:bottom w:val="single" w:sz="4" w:space="0" w:color="auto"/>
              <w:right w:val="single" w:sz="4" w:space="0" w:color="auto"/>
            </w:tcBorders>
            <w:vAlign w:val="center"/>
          </w:tcPr>
          <w:p w14:paraId="0DD62560" w14:textId="3B6288EB" w:rsidR="0071684A" w:rsidRPr="0071684A" w:rsidRDefault="0071684A" w:rsidP="0071684A">
            <w:pPr>
              <w:jc w:val="center"/>
              <w:rPr>
                <w:rFonts w:cs="Arial"/>
                <w:color w:val="000000"/>
                <w:sz w:val="18"/>
                <w:szCs w:val="18"/>
              </w:rPr>
            </w:pPr>
            <w:r w:rsidRPr="0071684A">
              <w:rPr>
                <w:rFonts w:cs="Arial"/>
                <w:color w:val="000000"/>
                <w:sz w:val="18"/>
                <w:szCs w:val="18"/>
              </w:rPr>
              <w:t>2</w:t>
            </w:r>
          </w:p>
        </w:tc>
        <w:tc>
          <w:tcPr>
            <w:tcW w:w="1896" w:type="dxa"/>
            <w:tcBorders>
              <w:top w:val="single" w:sz="4" w:space="0" w:color="auto"/>
              <w:left w:val="single" w:sz="4" w:space="0" w:color="auto"/>
              <w:bottom w:val="single" w:sz="4" w:space="0" w:color="auto"/>
              <w:right w:val="single" w:sz="4" w:space="0" w:color="auto"/>
            </w:tcBorders>
            <w:vAlign w:val="center"/>
          </w:tcPr>
          <w:p w14:paraId="6B648999" w14:textId="4E2B74A4" w:rsidR="0071684A" w:rsidRPr="0071684A" w:rsidRDefault="0071684A" w:rsidP="0071684A">
            <w:pPr>
              <w:jc w:val="center"/>
              <w:rPr>
                <w:rFonts w:cs="Arial"/>
                <w:color w:val="000000"/>
                <w:sz w:val="18"/>
                <w:szCs w:val="18"/>
              </w:rPr>
            </w:pPr>
            <w:r w:rsidRPr="0071684A">
              <w:rPr>
                <w:rFonts w:cs="Arial"/>
                <w:color w:val="000000"/>
                <w:sz w:val="18"/>
                <w:szCs w:val="18"/>
              </w:rPr>
              <w:t xml:space="preserve">19 942 200,00 </w:t>
            </w:r>
            <w:r w:rsidRPr="0071684A">
              <w:rPr>
                <w:rFonts w:cs="Arial"/>
                <w:sz w:val="18"/>
                <w:szCs w:val="18"/>
              </w:rPr>
              <w:t>zł</w:t>
            </w:r>
          </w:p>
        </w:tc>
      </w:tr>
    </w:tbl>
    <w:p w14:paraId="23019671" w14:textId="77777777" w:rsidR="00B27C43" w:rsidRPr="00576772" w:rsidRDefault="00B27C43" w:rsidP="001368C3">
      <w:pPr>
        <w:shd w:val="clear" w:color="auto" w:fill="FFFFFF"/>
        <w:spacing w:before="120"/>
        <w:jc w:val="left"/>
        <w:rPr>
          <w:rFonts w:cs="Arial"/>
          <w:color w:val="000000"/>
          <w:sz w:val="16"/>
          <w:szCs w:val="16"/>
        </w:rPr>
      </w:pPr>
      <w:r w:rsidRPr="00305876">
        <w:rPr>
          <w:b/>
          <w:sz w:val="16"/>
          <w:szCs w:val="16"/>
          <w:u w:val="single"/>
        </w:rPr>
        <w:t>UWAGA</w:t>
      </w:r>
      <w:r w:rsidRPr="00576772">
        <w:rPr>
          <w:sz w:val="16"/>
          <w:szCs w:val="16"/>
        </w:rPr>
        <w:t>: Łączna liczba i wartość zamówień publicznych z zastosowaniem poszczególnych aspektów środowiskowych</w:t>
      </w:r>
      <w:r>
        <w:rPr>
          <w:sz w:val="16"/>
          <w:szCs w:val="16"/>
        </w:rPr>
        <w:t xml:space="preserve"> udzielonych przez jednostki administracji rządowej </w:t>
      </w:r>
      <w:r w:rsidRPr="00576772">
        <w:rPr>
          <w:sz w:val="16"/>
          <w:szCs w:val="16"/>
        </w:rPr>
        <w:t xml:space="preserve">jest większa niż łączna liczba i wartość </w:t>
      </w:r>
      <w:r>
        <w:rPr>
          <w:sz w:val="16"/>
          <w:szCs w:val="16"/>
        </w:rPr>
        <w:t xml:space="preserve">tych </w:t>
      </w:r>
      <w:r w:rsidRPr="00576772">
        <w:rPr>
          <w:sz w:val="16"/>
          <w:szCs w:val="16"/>
        </w:rPr>
        <w:t>zamówień środowiskowych ze względu na przypadki zastosowania więcej niż jednego aspektu środowiskowego w jednym zamówieniu.</w:t>
      </w:r>
    </w:p>
    <w:p w14:paraId="71FB3284" w14:textId="77777777" w:rsidR="00B27C43" w:rsidRDefault="00B27C43" w:rsidP="00B27C43">
      <w:pPr>
        <w:shd w:val="clear" w:color="auto" w:fill="FFFFFF"/>
        <w:rPr>
          <w:rFonts w:cs="Arial"/>
          <w:color w:val="000000"/>
          <w:szCs w:val="22"/>
        </w:rPr>
      </w:pPr>
      <w:r>
        <w:rPr>
          <w:rFonts w:cs="Arial"/>
          <w:color w:val="000000"/>
          <w:szCs w:val="22"/>
        </w:rPr>
        <w:br w:type="page"/>
      </w:r>
    </w:p>
    <w:p w14:paraId="00DCE112" w14:textId="77777777" w:rsidR="002A603B" w:rsidRDefault="002A603B" w:rsidP="006679D6">
      <w:pPr>
        <w:shd w:val="clear" w:color="auto" w:fill="FFFFFF"/>
        <w:spacing w:before="240" w:after="120"/>
        <w:jc w:val="center"/>
        <w:rPr>
          <w:rFonts w:cs="Arial"/>
          <w:b/>
          <w:color w:val="000000"/>
        </w:rPr>
      </w:pPr>
    </w:p>
    <w:p w14:paraId="11CA518F" w14:textId="438C8526" w:rsidR="00B27C43" w:rsidRPr="00ED1A48" w:rsidRDefault="00B27C43" w:rsidP="006679D6">
      <w:pPr>
        <w:shd w:val="clear" w:color="auto" w:fill="FFFFFF"/>
        <w:spacing w:before="240" w:after="120"/>
        <w:jc w:val="center"/>
        <w:rPr>
          <w:rFonts w:cs="Arial"/>
          <w:b/>
          <w:color w:val="000000"/>
        </w:rPr>
      </w:pPr>
      <w:r w:rsidRPr="00ED1A48">
        <w:rPr>
          <w:rFonts w:cs="Arial"/>
          <w:b/>
          <w:color w:val="000000"/>
        </w:rPr>
        <w:t xml:space="preserve">Udział zamówień z danym aspektem środowiskowym </w:t>
      </w:r>
      <w:r>
        <w:rPr>
          <w:rFonts w:cs="Arial"/>
          <w:b/>
          <w:color w:val="000000"/>
        </w:rPr>
        <w:t xml:space="preserve">udzielonych przez jednostki administracji rządowej w ogólnej liczbie oraz w </w:t>
      </w:r>
      <w:r w:rsidRPr="00ED1A48">
        <w:rPr>
          <w:rFonts w:cs="Arial"/>
          <w:b/>
          <w:color w:val="000000"/>
        </w:rPr>
        <w:t xml:space="preserve">ogólnej wartości zielonych zamówień publicznych </w:t>
      </w:r>
      <w:r>
        <w:rPr>
          <w:rFonts w:cs="Arial"/>
          <w:b/>
          <w:color w:val="000000"/>
        </w:rPr>
        <w:t>udzielonych przez jednostki administracji rządowej</w:t>
      </w:r>
    </w:p>
    <w:tbl>
      <w:tblPr>
        <w:tblW w:w="13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
        <w:gridCol w:w="2477"/>
        <w:gridCol w:w="1857"/>
        <w:gridCol w:w="1843"/>
        <w:gridCol w:w="1842"/>
        <w:gridCol w:w="1843"/>
        <w:gridCol w:w="1868"/>
        <w:gridCol w:w="1776"/>
      </w:tblGrid>
      <w:tr w:rsidR="00B27C43" w:rsidRPr="00ED1A48" w14:paraId="649E8CAE" w14:textId="77777777" w:rsidTr="00C866A1">
        <w:trPr>
          <w:tblHeader/>
          <w:jc w:val="center"/>
        </w:trPr>
        <w:tc>
          <w:tcPr>
            <w:tcW w:w="2954"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4EF83BC6"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700" w:type="dxa"/>
            <w:gridSpan w:val="2"/>
            <w:tcBorders>
              <w:top w:val="single" w:sz="4" w:space="0" w:color="auto"/>
              <w:left w:val="single" w:sz="4" w:space="0" w:color="auto"/>
              <w:bottom w:val="single" w:sz="4" w:space="0" w:color="auto"/>
              <w:right w:val="single" w:sz="4" w:space="0" w:color="auto"/>
            </w:tcBorders>
            <w:shd w:val="clear" w:color="auto" w:fill="C5E0B3"/>
          </w:tcPr>
          <w:p w14:paraId="2419FB24" w14:textId="06B17845" w:rsidR="00B27C43" w:rsidRPr="00ED1A48" w:rsidRDefault="00B27C43" w:rsidP="00CB1164">
            <w:pPr>
              <w:jc w:val="center"/>
              <w:rPr>
                <w:rFonts w:cs="Arial"/>
                <w:b/>
                <w:bCs/>
                <w:color w:val="000000"/>
                <w:sz w:val="16"/>
                <w:szCs w:val="16"/>
              </w:rPr>
            </w:pPr>
            <w:r>
              <w:rPr>
                <w:rFonts w:cs="Arial"/>
                <w:b/>
                <w:bCs/>
                <w:color w:val="000000"/>
                <w:sz w:val="16"/>
                <w:szCs w:val="16"/>
              </w:rPr>
              <w:t>202</w:t>
            </w:r>
            <w:r w:rsidR="00CB1164">
              <w:rPr>
                <w:rFonts w:cs="Arial"/>
                <w:b/>
                <w:bCs/>
                <w:color w:val="000000"/>
                <w:sz w:val="16"/>
                <w:szCs w:val="16"/>
              </w:rPr>
              <w:t>3</w:t>
            </w:r>
            <w:r>
              <w:rPr>
                <w:rFonts w:cs="Arial"/>
                <w:b/>
                <w:bCs/>
                <w:color w:val="000000"/>
                <w:sz w:val="16"/>
                <w:szCs w:val="16"/>
              </w:rPr>
              <w:t xml:space="preserve"> r.</w:t>
            </w:r>
          </w:p>
        </w:tc>
        <w:tc>
          <w:tcPr>
            <w:tcW w:w="3685" w:type="dxa"/>
            <w:gridSpan w:val="2"/>
            <w:tcBorders>
              <w:top w:val="single" w:sz="4" w:space="0" w:color="auto"/>
              <w:left w:val="single" w:sz="4" w:space="0" w:color="auto"/>
              <w:bottom w:val="single" w:sz="4" w:space="0" w:color="auto"/>
              <w:right w:val="single" w:sz="4" w:space="0" w:color="auto"/>
            </w:tcBorders>
            <w:shd w:val="clear" w:color="auto" w:fill="C5E0B3"/>
          </w:tcPr>
          <w:p w14:paraId="13C45040" w14:textId="5FFEA567" w:rsidR="00B27C43" w:rsidRPr="00ED1A48" w:rsidRDefault="00B27C43" w:rsidP="00CB1164">
            <w:pPr>
              <w:jc w:val="center"/>
              <w:rPr>
                <w:rFonts w:cs="Arial"/>
                <w:b/>
                <w:bCs/>
                <w:color w:val="000000"/>
                <w:sz w:val="16"/>
                <w:szCs w:val="16"/>
              </w:rPr>
            </w:pPr>
            <w:r>
              <w:rPr>
                <w:rFonts w:cs="Arial"/>
                <w:b/>
                <w:bCs/>
                <w:color w:val="000000"/>
                <w:sz w:val="16"/>
                <w:szCs w:val="16"/>
              </w:rPr>
              <w:t>202</w:t>
            </w:r>
            <w:r w:rsidR="00CB1164">
              <w:rPr>
                <w:rFonts w:cs="Arial"/>
                <w:b/>
                <w:bCs/>
                <w:color w:val="000000"/>
                <w:sz w:val="16"/>
                <w:szCs w:val="16"/>
              </w:rPr>
              <w:t>4</w:t>
            </w:r>
            <w:r>
              <w:rPr>
                <w:rFonts w:cs="Arial"/>
                <w:b/>
                <w:bCs/>
                <w:color w:val="000000"/>
                <w:sz w:val="16"/>
                <w:szCs w:val="16"/>
              </w:rPr>
              <w:t xml:space="preserve"> r.</w:t>
            </w:r>
          </w:p>
        </w:tc>
        <w:tc>
          <w:tcPr>
            <w:tcW w:w="3644" w:type="dxa"/>
            <w:gridSpan w:val="2"/>
            <w:tcBorders>
              <w:top w:val="single" w:sz="4" w:space="0" w:color="auto"/>
              <w:left w:val="single" w:sz="4" w:space="0" w:color="auto"/>
              <w:bottom w:val="single" w:sz="4" w:space="0" w:color="auto"/>
              <w:right w:val="single" w:sz="4" w:space="0" w:color="auto"/>
            </w:tcBorders>
            <w:shd w:val="clear" w:color="auto" w:fill="C5E0B3"/>
          </w:tcPr>
          <w:p w14:paraId="6D475541" w14:textId="5AE3A9D0" w:rsidR="00B27C43" w:rsidRPr="00ED1A48" w:rsidRDefault="00B27C43" w:rsidP="00CB1164">
            <w:pPr>
              <w:jc w:val="center"/>
              <w:rPr>
                <w:rFonts w:cs="Arial"/>
                <w:b/>
                <w:bCs/>
                <w:color w:val="000000"/>
                <w:sz w:val="16"/>
                <w:szCs w:val="16"/>
              </w:rPr>
            </w:pPr>
            <w:r>
              <w:rPr>
                <w:rFonts w:cs="Arial"/>
                <w:b/>
                <w:bCs/>
                <w:color w:val="000000"/>
                <w:sz w:val="16"/>
                <w:szCs w:val="16"/>
              </w:rPr>
              <w:t>202</w:t>
            </w:r>
            <w:r w:rsidR="00CB1164">
              <w:rPr>
                <w:rFonts w:cs="Arial"/>
                <w:b/>
                <w:bCs/>
                <w:color w:val="000000"/>
                <w:sz w:val="16"/>
                <w:szCs w:val="16"/>
              </w:rPr>
              <w:t>5</w:t>
            </w:r>
            <w:r>
              <w:rPr>
                <w:rFonts w:cs="Arial"/>
                <w:b/>
                <w:bCs/>
                <w:color w:val="000000"/>
                <w:sz w:val="16"/>
                <w:szCs w:val="16"/>
              </w:rPr>
              <w:t xml:space="preserve"> r.</w:t>
            </w:r>
          </w:p>
        </w:tc>
      </w:tr>
      <w:tr w:rsidR="00467827" w:rsidRPr="00ED1A48" w14:paraId="292E93A0" w14:textId="77777777" w:rsidTr="00501E5D">
        <w:trPr>
          <w:tblHeade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3187E8F8" w14:textId="77777777" w:rsidR="00467827" w:rsidRPr="00ED1A48" w:rsidRDefault="00467827" w:rsidP="00467827">
            <w:pPr>
              <w:jc w:val="center"/>
              <w:rPr>
                <w:rFonts w:cs="Arial"/>
                <w:b/>
                <w:color w:val="000000"/>
                <w:sz w:val="16"/>
                <w:szCs w:val="16"/>
              </w:rPr>
            </w:pPr>
            <w:r w:rsidRPr="00ED1A48">
              <w:rPr>
                <w:rFonts w:cs="Arial"/>
                <w:b/>
                <w:color w:val="000000"/>
                <w:sz w:val="16"/>
                <w:szCs w:val="16"/>
              </w:rPr>
              <w:t>Lp.</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4601524D" w14:textId="77777777" w:rsidR="00467827" w:rsidRPr="00ED1A48" w:rsidRDefault="00467827" w:rsidP="00467827">
            <w:pPr>
              <w:jc w:val="center"/>
              <w:rPr>
                <w:rFonts w:cs="Arial"/>
                <w:b/>
                <w:color w:val="000000"/>
                <w:sz w:val="16"/>
                <w:szCs w:val="16"/>
              </w:rPr>
            </w:pPr>
            <w:r w:rsidRPr="00ED1A48">
              <w:rPr>
                <w:rFonts w:cs="Arial"/>
                <w:b/>
                <w:color w:val="000000"/>
                <w:sz w:val="16"/>
                <w:szCs w:val="16"/>
              </w:rPr>
              <w:t xml:space="preserve">Aspekt zielony </w:t>
            </w:r>
          </w:p>
        </w:tc>
        <w:tc>
          <w:tcPr>
            <w:tcW w:w="1857" w:type="dxa"/>
            <w:tcBorders>
              <w:top w:val="single" w:sz="4" w:space="0" w:color="auto"/>
              <w:left w:val="single" w:sz="4" w:space="0" w:color="auto"/>
              <w:bottom w:val="single" w:sz="4" w:space="0" w:color="auto"/>
              <w:right w:val="single" w:sz="4" w:space="0" w:color="auto"/>
            </w:tcBorders>
            <w:shd w:val="clear" w:color="auto" w:fill="E2EFD9"/>
            <w:vAlign w:val="center"/>
          </w:tcPr>
          <w:p w14:paraId="3BBF3681" w14:textId="11A4BA63" w:rsidR="00467827" w:rsidRPr="00ED1A48" w:rsidRDefault="00467827" w:rsidP="00467827">
            <w:pPr>
              <w:jc w:val="center"/>
              <w:rPr>
                <w:rFonts w:cs="Arial"/>
                <w:b/>
                <w:bCs/>
                <w:color w:val="000000"/>
                <w:sz w:val="16"/>
                <w:szCs w:val="16"/>
              </w:rPr>
            </w:pPr>
            <w:r>
              <w:rPr>
                <w:rFonts w:cs="Arial"/>
                <w:b/>
                <w:bCs/>
                <w:color w:val="000000"/>
                <w:sz w:val="16"/>
                <w:szCs w:val="16"/>
              </w:rPr>
              <w:t>Udział zamówień z danym aspektem udzielonych przez jedn. adm. rz. w ogólnej liczbie zamówień zielonych udzielonych przez jedn. adm. rz.</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319AC73C" w14:textId="6F250169" w:rsidR="00467827" w:rsidRPr="00ED1A48" w:rsidRDefault="00467827" w:rsidP="00467827">
            <w:pPr>
              <w:jc w:val="center"/>
              <w:rPr>
                <w:rFonts w:cs="Arial"/>
                <w:b/>
                <w:bCs/>
                <w:color w:val="000000"/>
                <w:sz w:val="16"/>
                <w:szCs w:val="16"/>
              </w:rPr>
            </w:pPr>
            <w:r>
              <w:rPr>
                <w:rFonts w:cs="Arial"/>
                <w:b/>
                <w:bCs/>
                <w:color w:val="000000"/>
                <w:sz w:val="16"/>
                <w:szCs w:val="16"/>
              </w:rPr>
              <w:t>Udział zamówień z danym</w:t>
            </w:r>
            <w:r w:rsidR="00326395">
              <w:rPr>
                <w:rFonts w:cs="Arial"/>
                <w:b/>
                <w:bCs/>
                <w:color w:val="000000"/>
                <w:sz w:val="16"/>
                <w:szCs w:val="16"/>
              </w:rPr>
              <w:t xml:space="preserve"> </w:t>
            </w:r>
            <w:r>
              <w:rPr>
                <w:rFonts w:cs="Arial"/>
                <w:b/>
                <w:bCs/>
                <w:color w:val="000000"/>
                <w:sz w:val="16"/>
                <w:szCs w:val="16"/>
              </w:rPr>
              <w:t>aspektem udzielonych przez jedn. adm. rz. w ogólnej wartości zamówień zielonych udzielonych przez jedn. adm. rz.</w:t>
            </w:r>
          </w:p>
        </w:tc>
        <w:tc>
          <w:tcPr>
            <w:tcW w:w="1842" w:type="dxa"/>
            <w:tcBorders>
              <w:top w:val="single" w:sz="4" w:space="0" w:color="auto"/>
              <w:left w:val="single" w:sz="4" w:space="0" w:color="auto"/>
              <w:bottom w:val="single" w:sz="4" w:space="0" w:color="auto"/>
              <w:right w:val="single" w:sz="4" w:space="0" w:color="auto"/>
            </w:tcBorders>
            <w:shd w:val="clear" w:color="auto" w:fill="E2EFD9"/>
            <w:vAlign w:val="center"/>
          </w:tcPr>
          <w:p w14:paraId="19DA1082" w14:textId="2DFE78DD" w:rsidR="00467827" w:rsidRPr="00ED1A48" w:rsidRDefault="00467827" w:rsidP="00467827">
            <w:pPr>
              <w:jc w:val="center"/>
              <w:rPr>
                <w:rFonts w:cs="Arial"/>
                <w:b/>
                <w:bCs/>
                <w:color w:val="000000"/>
                <w:sz w:val="16"/>
                <w:szCs w:val="16"/>
              </w:rPr>
            </w:pPr>
            <w:r>
              <w:rPr>
                <w:rFonts w:cs="Arial"/>
                <w:b/>
                <w:bCs/>
                <w:color w:val="000000"/>
                <w:sz w:val="16"/>
                <w:szCs w:val="16"/>
              </w:rPr>
              <w:t>Udział zamówień z danym aspektem udzielonych przez jedn. adm. rz. w ogólnej liczbie zamówień zielonych udzielonych przez jedn. adm. rz.</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5DB7F82F" w14:textId="7C189B15" w:rsidR="00467827" w:rsidRPr="00ED1A48" w:rsidRDefault="00467827" w:rsidP="00467827">
            <w:pPr>
              <w:jc w:val="center"/>
              <w:rPr>
                <w:rFonts w:cs="Arial"/>
                <w:b/>
                <w:bCs/>
                <w:color w:val="000000"/>
                <w:sz w:val="16"/>
                <w:szCs w:val="16"/>
              </w:rPr>
            </w:pPr>
            <w:r>
              <w:rPr>
                <w:rFonts w:cs="Arial"/>
                <w:b/>
                <w:bCs/>
                <w:color w:val="000000"/>
                <w:sz w:val="16"/>
                <w:szCs w:val="16"/>
              </w:rPr>
              <w:t>Udział zamówień z danym</w:t>
            </w:r>
            <w:r w:rsidR="00326395">
              <w:rPr>
                <w:rFonts w:cs="Arial"/>
                <w:b/>
                <w:bCs/>
                <w:color w:val="000000"/>
                <w:sz w:val="16"/>
                <w:szCs w:val="16"/>
              </w:rPr>
              <w:t xml:space="preserve"> </w:t>
            </w:r>
            <w:r>
              <w:rPr>
                <w:rFonts w:cs="Arial"/>
                <w:b/>
                <w:bCs/>
                <w:color w:val="000000"/>
                <w:sz w:val="16"/>
                <w:szCs w:val="16"/>
              </w:rPr>
              <w:t>aspektem udzielonych przez jedn. adm. rz. w ogólnej wartości zamówień zielonych udzielonych przez jedn. adm. rz.</w:t>
            </w:r>
          </w:p>
        </w:tc>
        <w:tc>
          <w:tcPr>
            <w:tcW w:w="1868" w:type="dxa"/>
            <w:tcBorders>
              <w:top w:val="single" w:sz="4" w:space="0" w:color="auto"/>
              <w:left w:val="single" w:sz="4" w:space="0" w:color="auto"/>
              <w:bottom w:val="single" w:sz="4" w:space="0" w:color="auto"/>
              <w:right w:val="single" w:sz="4" w:space="0" w:color="auto"/>
            </w:tcBorders>
            <w:shd w:val="clear" w:color="auto" w:fill="E2EFD9"/>
            <w:vAlign w:val="center"/>
          </w:tcPr>
          <w:p w14:paraId="75B8FC50" w14:textId="2D8E73E5" w:rsidR="00467827" w:rsidRPr="00ED1A48" w:rsidRDefault="00467827" w:rsidP="00467827">
            <w:pPr>
              <w:jc w:val="center"/>
              <w:rPr>
                <w:rFonts w:cs="Arial"/>
                <w:b/>
                <w:bCs/>
                <w:color w:val="000000"/>
                <w:sz w:val="16"/>
                <w:szCs w:val="16"/>
              </w:rPr>
            </w:pPr>
            <w:r>
              <w:rPr>
                <w:rFonts w:cs="Arial"/>
                <w:b/>
                <w:bCs/>
                <w:color w:val="000000"/>
                <w:sz w:val="16"/>
                <w:szCs w:val="16"/>
              </w:rPr>
              <w:t>Udział zamówień z danym aspektem udzielonych przez jedn. adm. rz. w ogólnej liczbie zamówień zielonych udzielonych przez jedn. adm. rz.</w:t>
            </w:r>
          </w:p>
        </w:tc>
        <w:tc>
          <w:tcPr>
            <w:tcW w:w="1776" w:type="dxa"/>
            <w:tcBorders>
              <w:top w:val="single" w:sz="4" w:space="0" w:color="auto"/>
              <w:left w:val="single" w:sz="4" w:space="0" w:color="auto"/>
              <w:bottom w:val="single" w:sz="4" w:space="0" w:color="auto"/>
              <w:right w:val="single" w:sz="4" w:space="0" w:color="auto"/>
            </w:tcBorders>
            <w:shd w:val="clear" w:color="auto" w:fill="E2EFD9"/>
            <w:vAlign w:val="center"/>
          </w:tcPr>
          <w:p w14:paraId="54B46FB7" w14:textId="2724A77E" w:rsidR="00467827" w:rsidRPr="00ED1A48" w:rsidRDefault="00467827" w:rsidP="00467827">
            <w:pPr>
              <w:jc w:val="center"/>
              <w:rPr>
                <w:rFonts w:cs="Arial"/>
                <w:b/>
                <w:bCs/>
                <w:color w:val="000000"/>
                <w:sz w:val="16"/>
                <w:szCs w:val="16"/>
              </w:rPr>
            </w:pPr>
            <w:r>
              <w:rPr>
                <w:rFonts w:cs="Arial"/>
                <w:b/>
                <w:bCs/>
                <w:color w:val="000000"/>
                <w:sz w:val="16"/>
                <w:szCs w:val="16"/>
              </w:rPr>
              <w:t>Udział zamówień z danym</w:t>
            </w:r>
            <w:r w:rsidR="00326395">
              <w:rPr>
                <w:rFonts w:cs="Arial"/>
                <w:b/>
                <w:bCs/>
                <w:color w:val="000000"/>
                <w:sz w:val="16"/>
                <w:szCs w:val="16"/>
              </w:rPr>
              <w:t xml:space="preserve"> </w:t>
            </w:r>
            <w:r>
              <w:rPr>
                <w:rFonts w:cs="Arial"/>
                <w:b/>
                <w:bCs/>
                <w:color w:val="000000"/>
                <w:sz w:val="16"/>
                <w:szCs w:val="16"/>
              </w:rPr>
              <w:t>aspektem udzielonych przez jedn. adm. rz. w ogólnej wartości zamówień zielonych udzielonych przez jedn. adm. rz.</w:t>
            </w:r>
          </w:p>
        </w:tc>
      </w:tr>
      <w:tr w:rsidR="004B6BAD" w:rsidRPr="00ED1A48" w14:paraId="20C1EDBE"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7AE23A49" w14:textId="77777777" w:rsidR="004B6BAD" w:rsidRPr="00ED1A48" w:rsidRDefault="004B6BAD" w:rsidP="004B6BAD">
            <w:pPr>
              <w:jc w:val="center"/>
              <w:rPr>
                <w:rFonts w:cs="Arial"/>
                <w:color w:val="000000"/>
                <w:sz w:val="16"/>
                <w:szCs w:val="16"/>
              </w:rPr>
            </w:pPr>
            <w:r>
              <w:rPr>
                <w:rFonts w:cs="Arial"/>
                <w:color w:val="000000"/>
                <w:sz w:val="16"/>
                <w:szCs w:val="16"/>
              </w:rPr>
              <w:t>1.</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53E30891" w14:textId="77777777" w:rsidR="004B6BAD" w:rsidRPr="00ED1A48" w:rsidRDefault="004B6BAD" w:rsidP="004B6BAD">
            <w:pPr>
              <w:jc w:val="left"/>
              <w:rPr>
                <w:rFonts w:cs="Arial"/>
                <w:b/>
                <w:color w:val="000000"/>
                <w:sz w:val="16"/>
                <w:szCs w:val="16"/>
              </w:rPr>
            </w:pPr>
            <w:r w:rsidRPr="009B49EA">
              <w:rPr>
                <w:b/>
                <w:sz w:val="16"/>
                <w:szCs w:val="16"/>
              </w:rPr>
              <w:t>Określenie w opisie przedmiotu zamówienia wymagań środowiskowych</w:t>
            </w:r>
          </w:p>
        </w:tc>
        <w:tc>
          <w:tcPr>
            <w:tcW w:w="1857" w:type="dxa"/>
            <w:tcBorders>
              <w:top w:val="single" w:sz="4" w:space="0" w:color="auto"/>
              <w:left w:val="single" w:sz="4" w:space="0" w:color="auto"/>
              <w:bottom w:val="single" w:sz="4" w:space="0" w:color="auto"/>
              <w:right w:val="single" w:sz="4" w:space="0" w:color="auto"/>
            </w:tcBorders>
            <w:vAlign w:val="center"/>
          </w:tcPr>
          <w:p w14:paraId="47CC7ADE" w14:textId="2773CF0B" w:rsidR="004B6BAD" w:rsidRPr="00ED034C" w:rsidRDefault="004B6BAD" w:rsidP="004B6BAD">
            <w:pPr>
              <w:jc w:val="center"/>
              <w:rPr>
                <w:rFonts w:cs="Arial"/>
                <w:color w:val="000000"/>
                <w:sz w:val="18"/>
                <w:szCs w:val="18"/>
              </w:rPr>
            </w:pPr>
            <w:r>
              <w:rPr>
                <w:rFonts w:cs="Arial"/>
                <w:color w:val="000000"/>
                <w:sz w:val="16"/>
                <w:szCs w:val="16"/>
              </w:rPr>
              <w:t>47,31%</w:t>
            </w:r>
          </w:p>
        </w:tc>
        <w:tc>
          <w:tcPr>
            <w:tcW w:w="1843" w:type="dxa"/>
            <w:tcBorders>
              <w:top w:val="single" w:sz="4" w:space="0" w:color="auto"/>
              <w:left w:val="single" w:sz="4" w:space="0" w:color="auto"/>
              <w:bottom w:val="single" w:sz="4" w:space="0" w:color="auto"/>
              <w:right w:val="single" w:sz="4" w:space="0" w:color="auto"/>
            </w:tcBorders>
            <w:vAlign w:val="center"/>
          </w:tcPr>
          <w:p w14:paraId="0A926879" w14:textId="20DAA38D" w:rsidR="004B6BAD" w:rsidRPr="00ED034C" w:rsidRDefault="004B6BAD" w:rsidP="004B6BAD">
            <w:pPr>
              <w:jc w:val="center"/>
              <w:rPr>
                <w:rFonts w:cs="Arial"/>
                <w:color w:val="000000"/>
                <w:sz w:val="18"/>
                <w:szCs w:val="18"/>
              </w:rPr>
            </w:pPr>
            <w:r>
              <w:rPr>
                <w:rFonts w:cs="Arial"/>
                <w:color w:val="000000"/>
                <w:sz w:val="16"/>
                <w:szCs w:val="16"/>
              </w:rPr>
              <w:t>28,40%</w:t>
            </w:r>
          </w:p>
        </w:tc>
        <w:tc>
          <w:tcPr>
            <w:tcW w:w="1842" w:type="dxa"/>
            <w:tcBorders>
              <w:top w:val="single" w:sz="4" w:space="0" w:color="auto"/>
              <w:left w:val="single" w:sz="4" w:space="0" w:color="auto"/>
              <w:bottom w:val="single" w:sz="4" w:space="0" w:color="auto"/>
              <w:right w:val="single" w:sz="4" w:space="0" w:color="auto"/>
            </w:tcBorders>
            <w:vAlign w:val="center"/>
          </w:tcPr>
          <w:p w14:paraId="2DBEAAEC" w14:textId="7EC127CB" w:rsidR="004B6BAD" w:rsidRPr="00ED034C" w:rsidRDefault="004B6BAD" w:rsidP="004B6BAD">
            <w:pPr>
              <w:jc w:val="center"/>
              <w:rPr>
                <w:rFonts w:cs="Arial"/>
                <w:color w:val="000000"/>
                <w:sz w:val="18"/>
                <w:szCs w:val="18"/>
              </w:rPr>
            </w:pPr>
            <w:r w:rsidRPr="009144ED">
              <w:rPr>
                <w:rFonts w:cs="Arial"/>
                <w:color w:val="000000"/>
                <w:sz w:val="18"/>
                <w:szCs w:val="18"/>
              </w:rPr>
              <w:t>54,95%</w:t>
            </w:r>
          </w:p>
        </w:tc>
        <w:tc>
          <w:tcPr>
            <w:tcW w:w="1843" w:type="dxa"/>
            <w:tcBorders>
              <w:top w:val="single" w:sz="4" w:space="0" w:color="auto"/>
              <w:left w:val="single" w:sz="4" w:space="0" w:color="auto"/>
              <w:bottom w:val="single" w:sz="4" w:space="0" w:color="auto"/>
              <w:right w:val="single" w:sz="4" w:space="0" w:color="auto"/>
            </w:tcBorders>
            <w:vAlign w:val="center"/>
          </w:tcPr>
          <w:p w14:paraId="06AFE5B9" w14:textId="53209333" w:rsidR="004B6BAD" w:rsidRPr="00ED034C" w:rsidRDefault="004B6BAD" w:rsidP="004B6BAD">
            <w:pPr>
              <w:jc w:val="center"/>
              <w:rPr>
                <w:rFonts w:cs="Arial"/>
                <w:color w:val="000000"/>
                <w:sz w:val="18"/>
                <w:szCs w:val="18"/>
              </w:rPr>
            </w:pPr>
            <w:r>
              <w:rPr>
                <w:rFonts w:cs="Arial"/>
                <w:color w:val="000000"/>
                <w:sz w:val="18"/>
                <w:szCs w:val="18"/>
              </w:rPr>
              <w:t>72,01</w:t>
            </w:r>
            <w:r w:rsidRPr="009144ED">
              <w:rPr>
                <w:rFonts w:cs="Arial"/>
                <w:color w:val="000000"/>
                <w:sz w:val="18"/>
                <w:szCs w:val="18"/>
              </w:rPr>
              <w:t>%</w:t>
            </w:r>
          </w:p>
        </w:tc>
        <w:tc>
          <w:tcPr>
            <w:tcW w:w="1868" w:type="dxa"/>
            <w:tcBorders>
              <w:top w:val="single" w:sz="4" w:space="0" w:color="auto"/>
              <w:left w:val="single" w:sz="4" w:space="0" w:color="auto"/>
              <w:bottom w:val="single" w:sz="4" w:space="0" w:color="auto"/>
              <w:right w:val="single" w:sz="4" w:space="0" w:color="auto"/>
            </w:tcBorders>
            <w:vAlign w:val="center"/>
          </w:tcPr>
          <w:p w14:paraId="250C9059" w14:textId="2BC1A999" w:rsidR="004B6BAD" w:rsidRPr="004B6BAD" w:rsidRDefault="004B6BAD" w:rsidP="004B6BAD">
            <w:pPr>
              <w:jc w:val="center"/>
              <w:rPr>
                <w:rFonts w:cs="Arial"/>
                <w:color w:val="000000"/>
                <w:sz w:val="18"/>
                <w:szCs w:val="18"/>
              </w:rPr>
            </w:pPr>
            <w:r w:rsidRPr="004B6BAD">
              <w:rPr>
                <w:rFonts w:cs="Arial"/>
                <w:color w:val="000000"/>
                <w:sz w:val="18"/>
                <w:szCs w:val="18"/>
              </w:rPr>
              <w:t>62,58%</w:t>
            </w:r>
          </w:p>
        </w:tc>
        <w:tc>
          <w:tcPr>
            <w:tcW w:w="1776" w:type="dxa"/>
            <w:tcBorders>
              <w:top w:val="single" w:sz="4" w:space="0" w:color="auto"/>
              <w:left w:val="single" w:sz="4" w:space="0" w:color="auto"/>
              <w:bottom w:val="single" w:sz="4" w:space="0" w:color="auto"/>
              <w:right w:val="single" w:sz="4" w:space="0" w:color="auto"/>
            </w:tcBorders>
            <w:vAlign w:val="center"/>
          </w:tcPr>
          <w:p w14:paraId="6E0A6B43" w14:textId="3F942381" w:rsidR="004B6BAD" w:rsidRPr="004B6BAD" w:rsidRDefault="004B6BAD" w:rsidP="004B6BAD">
            <w:pPr>
              <w:jc w:val="center"/>
              <w:rPr>
                <w:rFonts w:cs="Arial"/>
                <w:color w:val="000000"/>
                <w:sz w:val="18"/>
                <w:szCs w:val="18"/>
              </w:rPr>
            </w:pPr>
            <w:r w:rsidRPr="004B6BAD">
              <w:rPr>
                <w:rFonts w:cs="Arial"/>
                <w:color w:val="000000"/>
                <w:sz w:val="18"/>
                <w:szCs w:val="18"/>
              </w:rPr>
              <w:t>45,88%</w:t>
            </w:r>
          </w:p>
        </w:tc>
      </w:tr>
      <w:tr w:rsidR="004B6BAD" w:rsidRPr="00ED1A48" w14:paraId="549DCCB0" w14:textId="77777777" w:rsidTr="00727D57">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17378BF" w14:textId="0D4E0006" w:rsidR="004B6BAD" w:rsidRPr="00ED1A48" w:rsidRDefault="004B6BAD" w:rsidP="004B6BAD">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15EBF787" w14:textId="77777777" w:rsidR="004B6BAD" w:rsidRPr="00ED1A48" w:rsidRDefault="004B6BAD" w:rsidP="004B6BAD">
            <w:pPr>
              <w:jc w:val="left"/>
              <w:rPr>
                <w:rFonts w:cs="Arial"/>
                <w:b/>
                <w:color w:val="000000"/>
                <w:sz w:val="16"/>
                <w:szCs w:val="16"/>
              </w:rPr>
            </w:pPr>
            <w:r w:rsidRPr="009B49EA">
              <w:rPr>
                <w:b/>
                <w:sz w:val="16"/>
                <w:szCs w:val="16"/>
              </w:rPr>
              <w:t>Określenie wymagań zw. z realizacją zamówienia obejmujących aspekty środowiskowe</w:t>
            </w:r>
          </w:p>
        </w:tc>
        <w:tc>
          <w:tcPr>
            <w:tcW w:w="1857" w:type="dxa"/>
            <w:tcBorders>
              <w:top w:val="single" w:sz="4" w:space="0" w:color="auto"/>
              <w:left w:val="single" w:sz="4" w:space="0" w:color="auto"/>
              <w:bottom w:val="single" w:sz="4" w:space="0" w:color="auto"/>
              <w:right w:val="single" w:sz="4" w:space="0" w:color="auto"/>
            </w:tcBorders>
            <w:vAlign w:val="center"/>
          </w:tcPr>
          <w:p w14:paraId="1883BC1B" w14:textId="23BC007E" w:rsidR="004B6BAD" w:rsidRPr="00ED034C" w:rsidRDefault="004B6BAD" w:rsidP="004B6BAD">
            <w:pPr>
              <w:jc w:val="center"/>
              <w:rPr>
                <w:rFonts w:cs="Arial"/>
                <w:color w:val="000000"/>
                <w:sz w:val="18"/>
                <w:szCs w:val="18"/>
              </w:rPr>
            </w:pPr>
            <w:r>
              <w:rPr>
                <w:rFonts w:cs="Arial"/>
                <w:color w:val="000000"/>
                <w:sz w:val="16"/>
                <w:szCs w:val="16"/>
              </w:rPr>
              <w:t>28,63%</w:t>
            </w:r>
          </w:p>
        </w:tc>
        <w:tc>
          <w:tcPr>
            <w:tcW w:w="1843" w:type="dxa"/>
            <w:tcBorders>
              <w:top w:val="single" w:sz="4" w:space="0" w:color="auto"/>
              <w:left w:val="single" w:sz="4" w:space="0" w:color="auto"/>
              <w:bottom w:val="single" w:sz="4" w:space="0" w:color="auto"/>
              <w:right w:val="single" w:sz="4" w:space="0" w:color="auto"/>
            </w:tcBorders>
            <w:vAlign w:val="center"/>
          </w:tcPr>
          <w:p w14:paraId="10D404EB" w14:textId="7E6BAA00" w:rsidR="004B6BAD" w:rsidRPr="00ED034C" w:rsidRDefault="004B6BAD" w:rsidP="004B6BAD">
            <w:pPr>
              <w:jc w:val="center"/>
              <w:rPr>
                <w:rFonts w:cs="Arial"/>
                <w:color w:val="000000"/>
                <w:sz w:val="18"/>
                <w:szCs w:val="18"/>
              </w:rPr>
            </w:pPr>
            <w:r>
              <w:rPr>
                <w:rFonts w:cs="Arial"/>
                <w:color w:val="000000"/>
                <w:sz w:val="16"/>
                <w:szCs w:val="16"/>
              </w:rPr>
              <w:t>12,57%</w:t>
            </w:r>
          </w:p>
        </w:tc>
        <w:tc>
          <w:tcPr>
            <w:tcW w:w="1842" w:type="dxa"/>
            <w:tcBorders>
              <w:top w:val="single" w:sz="4" w:space="0" w:color="auto"/>
              <w:left w:val="single" w:sz="4" w:space="0" w:color="auto"/>
              <w:bottom w:val="single" w:sz="4" w:space="0" w:color="auto"/>
              <w:right w:val="single" w:sz="4" w:space="0" w:color="auto"/>
            </w:tcBorders>
            <w:vAlign w:val="center"/>
          </w:tcPr>
          <w:p w14:paraId="30CD6C2F" w14:textId="0365C61A" w:rsidR="004B6BAD" w:rsidRPr="00ED034C" w:rsidRDefault="004B6BAD" w:rsidP="004B6BAD">
            <w:pPr>
              <w:jc w:val="center"/>
              <w:rPr>
                <w:rFonts w:cs="Arial"/>
                <w:color w:val="000000"/>
                <w:sz w:val="18"/>
                <w:szCs w:val="18"/>
              </w:rPr>
            </w:pPr>
            <w:r w:rsidRPr="009144ED">
              <w:rPr>
                <w:rFonts w:cs="Arial"/>
                <w:color w:val="000000"/>
                <w:sz w:val="18"/>
                <w:szCs w:val="18"/>
              </w:rPr>
              <w:t>32,02%</w:t>
            </w:r>
          </w:p>
        </w:tc>
        <w:tc>
          <w:tcPr>
            <w:tcW w:w="1843" w:type="dxa"/>
            <w:tcBorders>
              <w:top w:val="single" w:sz="4" w:space="0" w:color="auto"/>
              <w:left w:val="single" w:sz="4" w:space="0" w:color="auto"/>
              <w:bottom w:val="single" w:sz="4" w:space="0" w:color="auto"/>
              <w:right w:val="single" w:sz="4" w:space="0" w:color="auto"/>
            </w:tcBorders>
            <w:vAlign w:val="center"/>
          </w:tcPr>
          <w:p w14:paraId="53BC257C" w14:textId="726D8FE9" w:rsidR="004B6BAD" w:rsidRPr="00ED034C" w:rsidRDefault="004B6BAD" w:rsidP="004B6BAD">
            <w:pPr>
              <w:jc w:val="center"/>
              <w:rPr>
                <w:rFonts w:cs="Arial"/>
                <w:color w:val="000000"/>
                <w:sz w:val="18"/>
                <w:szCs w:val="18"/>
              </w:rPr>
            </w:pPr>
            <w:r>
              <w:rPr>
                <w:rFonts w:cs="Arial"/>
                <w:color w:val="000000"/>
                <w:sz w:val="18"/>
                <w:szCs w:val="18"/>
              </w:rPr>
              <w:t>18,12</w:t>
            </w:r>
            <w:r w:rsidRPr="009144ED">
              <w:rPr>
                <w:rFonts w:cs="Arial"/>
                <w:color w:val="000000"/>
                <w:sz w:val="18"/>
                <w:szCs w:val="18"/>
              </w:rPr>
              <w:t>%</w:t>
            </w:r>
          </w:p>
        </w:tc>
        <w:tc>
          <w:tcPr>
            <w:tcW w:w="1868" w:type="dxa"/>
            <w:tcBorders>
              <w:top w:val="single" w:sz="4" w:space="0" w:color="auto"/>
              <w:left w:val="single" w:sz="4" w:space="0" w:color="auto"/>
              <w:bottom w:val="single" w:sz="4" w:space="0" w:color="auto"/>
              <w:right w:val="single" w:sz="4" w:space="0" w:color="auto"/>
            </w:tcBorders>
            <w:vAlign w:val="center"/>
          </w:tcPr>
          <w:p w14:paraId="73F6DACA" w14:textId="3C399427" w:rsidR="004B6BAD" w:rsidRPr="004B6BAD" w:rsidRDefault="004B6BAD" w:rsidP="004B6BAD">
            <w:pPr>
              <w:jc w:val="center"/>
              <w:rPr>
                <w:rFonts w:cs="Arial"/>
                <w:color w:val="000000"/>
                <w:sz w:val="18"/>
                <w:szCs w:val="18"/>
              </w:rPr>
            </w:pPr>
            <w:r w:rsidRPr="004B6BAD">
              <w:rPr>
                <w:rFonts w:cs="Arial"/>
                <w:color w:val="000000"/>
                <w:sz w:val="18"/>
                <w:szCs w:val="18"/>
              </w:rPr>
              <w:t>34,14%</w:t>
            </w:r>
          </w:p>
        </w:tc>
        <w:tc>
          <w:tcPr>
            <w:tcW w:w="1776" w:type="dxa"/>
            <w:tcBorders>
              <w:top w:val="single" w:sz="4" w:space="0" w:color="auto"/>
              <w:left w:val="single" w:sz="4" w:space="0" w:color="auto"/>
              <w:bottom w:val="single" w:sz="4" w:space="0" w:color="auto"/>
              <w:right w:val="single" w:sz="4" w:space="0" w:color="auto"/>
            </w:tcBorders>
            <w:vAlign w:val="center"/>
          </w:tcPr>
          <w:p w14:paraId="603461EE" w14:textId="07F5642E" w:rsidR="004B6BAD" w:rsidRPr="004B6BAD" w:rsidRDefault="004B6BAD" w:rsidP="004B6BAD">
            <w:pPr>
              <w:jc w:val="center"/>
              <w:rPr>
                <w:rFonts w:cs="Arial"/>
                <w:color w:val="000000"/>
                <w:sz w:val="18"/>
                <w:szCs w:val="18"/>
              </w:rPr>
            </w:pPr>
            <w:r w:rsidRPr="004B6BAD">
              <w:rPr>
                <w:rFonts w:cs="Arial"/>
                <w:color w:val="000000"/>
                <w:sz w:val="18"/>
                <w:szCs w:val="18"/>
              </w:rPr>
              <w:t>17%</w:t>
            </w:r>
          </w:p>
        </w:tc>
      </w:tr>
      <w:tr w:rsidR="004B6BAD" w:rsidRPr="00ED1A48" w14:paraId="40AF59C0"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ACA4400" w14:textId="0B92FACA" w:rsidR="004B6BAD" w:rsidRPr="00ED1A48" w:rsidRDefault="004B6BAD" w:rsidP="004B6BAD">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4C9F93C2" w14:textId="77777777" w:rsidR="004B6BAD" w:rsidRPr="00ED1A48" w:rsidRDefault="004B6BAD" w:rsidP="004B6BAD">
            <w:pPr>
              <w:jc w:val="left"/>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857" w:type="dxa"/>
            <w:tcBorders>
              <w:top w:val="single" w:sz="4" w:space="0" w:color="auto"/>
              <w:left w:val="single" w:sz="4" w:space="0" w:color="auto"/>
              <w:bottom w:val="single" w:sz="4" w:space="0" w:color="auto"/>
              <w:right w:val="single" w:sz="4" w:space="0" w:color="auto"/>
            </w:tcBorders>
            <w:vAlign w:val="center"/>
          </w:tcPr>
          <w:p w14:paraId="20F45890" w14:textId="7036CDE2" w:rsidR="004B6BAD" w:rsidRPr="00ED034C" w:rsidRDefault="004B6BAD" w:rsidP="004B6BAD">
            <w:pPr>
              <w:jc w:val="center"/>
              <w:rPr>
                <w:rFonts w:cs="Arial"/>
                <w:color w:val="000000"/>
                <w:sz w:val="18"/>
                <w:szCs w:val="18"/>
              </w:rPr>
            </w:pPr>
            <w:r>
              <w:rPr>
                <w:rFonts w:cs="Arial"/>
                <w:color w:val="000000"/>
                <w:sz w:val="16"/>
                <w:szCs w:val="16"/>
              </w:rPr>
              <w:t>36,69%</w:t>
            </w:r>
          </w:p>
        </w:tc>
        <w:tc>
          <w:tcPr>
            <w:tcW w:w="1843" w:type="dxa"/>
            <w:tcBorders>
              <w:top w:val="single" w:sz="4" w:space="0" w:color="auto"/>
              <w:left w:val="single" w:sz="4" w:space="0" w:color="auto"/>
              <w:bottom w:val="single" w:sz="4" w:space="0" w:color="auto"/>
              <w:right w:val="single" w:sz="4" w:space="0" w:color="auto"/>
            </w:tcBorders>
            <w:vAlign w:val="center"/>
          </w:tcPr>
          <w:p w14:paraId="58F6530B" w14:textId="01855B34" w:rsidR="004B6BAD" w:rsidRPr="00ED034C" w:rsidRDefault="004B6BAD" w:rsidP="004B6BAD">
            <w:pPr>
              <w:jc w:val="center"/>
              <w:rPr>
                <w:rFonts w:cs="Arial"/>
                <w:color w:val="000000"/>
                <w:sz w:val="18"/>
                <w:szCs w:val="18"/>
              </w:rPr>
            </w:pPr>
            <w:r>
              <w:rPr>
                <w:rFonts w:cs="Arial"/>
                <w:color w:val="000000"/>
                <w:sz w:val="16"/>
                <w:szCs w:val="16"/>
              </w:rPr>
              <w:t>64,86%</w:t>
            </w:r>
          </w:p>
        </w:tc>
        <w:tc>
          <w:tcPr>
            <w:tcW w:w="1842" w:type="dxa"/>
            <w:tcBorders>
              <w:top w:val="single" w:sz="4" w:space="0" w:color="auto"/>
              <w:left w:val="single" w:sz="4" w:space="0" w:color="auto"/>
              <w:bottom w:val="single" w:sz="4" w:space="0" w:color="auto"/>
              <w:right w:val="single" w:sz="4" w:space="0" w:color="auto"/>
            </w:tcBorders>
            <w:vAlign w:val="center"/>
          </w:tcPr>
          <w:p w14:paraId="7CDCB8D1" w14:textId="7408965B" w:rsidR="004B6BAD" w:rsidRPr="00ED034C" w:rsidRDefault="004B6BAD" w:rsidP="004B6BAD">
            <w:pPr>
              <w:jc w:val="center"/>
              <w:rPr>
                <w:rFonts w:cs="Arial"/>
                <w:color w:val="000000"/>
                <w:sz w:val="18"/>
                <w:szCs w:val="18"/>
              </w:rPr>
            </w:pPr>
            <w:r w:rsidRPr="009144ED">
              <w:rPr>
                <w:rFonts w:cs="Arial"/>
                <w:color w:val="000000"/>
                <w:sz w:val="18"/>
                <w:szCs w:val="18"/>
              </w:rPr>
              <w:t>32,29%</w:t>
            </w:r>
          </w:p>
        </w:tc>
        <w:tc>
          <w:tcPr>
            <w:tcW w:w="1843" w:type="dxa"/>
            <w:tcBorders>
              <w:top w:val="single" w:sz="4" w:space="0" w:color="auto"/>
              <w:left w:val="single" w:sz="4" w:space="0" w:color="auto"/>
              <w:bottom w:val="single" w:sz="4" w:space="0" w:color="auto"/>
              <w:right w:val="single" w:sz="4" w:space="0" w:color="auto"/>
            </w:tcBorders>
            <w:vAlign w:val="center"/>
          </w:tcPr>
          <w:p w14:paraId="3AAB1260" w14:textId="087D114E" w:rsidR="004B6BAD" w:rsidRPr="00ED034C" w:rsidRDefault="004B6BAD" w:rsidP="004B6BAD">
            <w:pPr>
              <w:jc w:val="center"/>
              <w:rPr>
                <w:rFonts w:cs="Arial"/>
                <w:color w:val="000000"/>
                <w:sz w:val="18"/>
                <w:szCs w:val="18"/>
              </w:rPr>
            </w:pPr>
            <w:r>
              <w:rPr>
                <w:rFonts w:cs="Arial"/>
                <w:color w:val="000000"/>
                <w:sz w:val="18"/>
                <w:szCs w:val="18"/>
              </w:rPr>
              <w:t>26,70</w:t>
            </w:r>
            <w:r w:rsidRPr="009144ED">
              <w:rPr>
                <w:rFonts w:cs="Arial"/>
                <w:color w:val="000000"/>
                <w:sz w:val="18"/>
                <w:szCs w:val="18"/>
              </w:rPr>
              <w:t>%</w:t>
            </w:r>
          </w:p>
        </w:tc>
        <w:tc>
          <w:tcPr>
            <w:tcW w:w="1868" w:type="dxa"/>
            <w:tcBorders>
              <w:top w:val="single" w:sz="4" w:space="0" w:color="auto"/>
              <w:left w:val="single" w:sz="4" w:space="0" w:color="auto"/>
              <w:bottom w:val="single" w:sz="4" w:space="0" w:color="auto"/>
              <w:right w:val="single" w:sz="4" w:space="0" w:color="auto"/>
            </w:tcBorders>
            <w:vAlign w:val="center"/>
          </w:tcPr>
          <w:p w14:paraId="4FECCECE" w14:textId="7DB8F17E" w:rsidR="004B6BAD" w:rsidRPr="004B6BAD" w:rsidRDefault="004B6BAD" w:rsidP="004B6BAD">
            <w:pPr>
              <w:jc w:val="center"/>
              <w:rPr>
                <w:rFonts w:cs="Arial"/>
                <w:color w:val="000000"/>
                <w:sz w:val="18"/>
                <w:szCs w:val="18"/>
              </w:rPr>
            </w:pPr>
            <w:r w:rsidRPr="004B6BAD">
              <w:rPr>
                <w:rFonts w:cs="Arial"/>
                <w:color w:val="000000"/>
                <w:sz w:val="18"/>
                <w:szCs w:val="18"/>
              </w:rPr>
              <w:t>27,38%</w:t>
            </w:r>
          </w:p>
        </w:tc>
        <w:tc>
          <w:tcPr>
            <w:tcW w:w="1776" w:type="dxa"/>
            <w:tcBorders>
              <w:top w:val="single" w:sz="4" w:space="0" w:color="auto"/>
              <w:left w:val="single" w:sz="4" w:space="0" w:color="auto"/>
              <w:bottom w:val="single" w:sz="4" w:space="0" w:color="auto"/>
              <w:right w:val="single" w:sz="4" w:space="0" w:color="auto"/>
            </w:tcBorders>
            <w:vAlign w:val="center"/>
          </w:tcPr>
          <w:p w14:paraId="4AC69E2F" w14:textId="3B156D54" w:rsidR="004B6BAD" w:rsidRPr="004B6BAD" w:rsidRDefault="004B6BAD" w:rsidP="004B6BAD">
            <w:pPr>
              <w:jc w:val="center"/>
              <w:rPr>
                <w:rFonts w:cs="Arial"/>
                <w:color w:val="000000"/>
                <w:sz w:val="18"/>
                <w:szCs w:val="18"/>
              </w:rPr>
            </w:pPr>
            <w:r w:rsidRPr="004B6BAD">
              <w:rPr>
                <w:rFonts w:cs="Arial"/>
                <w:color w:val="000000"/>
                <w:sz w:val="18"/>
                <w:szCs w:val="18"/>
              </w:rPr>
              <w:t>21,07%</w:t>
            </w:r>
          </w:p>
        </w:tc>
      </w:tr>
      <w:tr w:rsidR="004B6BAD" w:rsidRPr="00ED1A48" w14:paraId="64AEFA62"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7D8CDD0" w14:textId="77777777" w:rsidR="004B6BAD" w:rsidRPr="00ED1A48" w:rsidRDefault="004B6BAD" w:rsidP="004B6BAD">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35C6A66" w14:textId="77777777" w:rsidR="004B6BAD" w:rsidRPr="00ED1A48" w:rsidRDefault="004B6BAD" w:rsidP="004B6BAD">
            <w:pPr>
              <w:jc w:val="left"/>
              <w:rPr>
                <w:rFonts w:cs="Arial"/>
                <w:b/>
                <w:color w:val="000000"/>
                <w:sz w:val="16"/>
                <w:szCs w:val="16"/>
              </w:rPr>
            </w:pPr>
            <w:r w:rsidRPr="007B7671">
              <w:rPr>
                <w:b/>
                <w:sz w:val="16"/>
                <w:szCs w:val="16"/>
              </w:rPr>
              <w:t>Określenie etykiety związanej z aspektami środowiskowymi</w:t>
            </w:r>
          </w:p>
        </w:tc>
        <w:tc>
          <w:tcPr>
            <w:tcW w:w="1857" w:type="dxa"/>
            <w:tcBorders>
              <w:top w:val="single" w:sz="4" w:space="0" w:color="auto"/>
              <w:left w:val="single" w:sz="4" w:space="0" w:color="auto"/>
              <w:bottom w:val="single" w:sz="4" w:space="0" w:color="auto"/>
              <w:right w:val="single" w:sz="4" w:space="0" w:color="auto"/>
            </w:tcBorders>
            <w:vAlign w:val="center"/>
          </w:tcPr>
          <w:p w14:paraId="5B6A899E" w14:textId="410DA019" w:rsidR="004B6BAD" w:rsidRPr="00ED034C" w:rsidRDefault="004B6BAD" w:rsidP="004B6BAD">
            <w:pPr>
              <w:jc w:val="center"/>
              <w:rPr>
                <w:rFonts w:cs="Arial"/>
                <w:color w:val="000000"/>
                <w:sz w:val="18"/>
                <w:szCs w:val="18"/>
              </w:rPr>
            </w:pPr>
            <w:r>
              <w:rPr>
                <w:rFonts w:cs="Arial"/>
                <w:color w:val="000000"/>
                <w:sz w:val="16"/>
                <w:szCs w:val="16"/>
              </w:rPr>
              <w:t>11,96%</w:t>
            </w:r>
          </w:p>
        </w:tc>
        <w:tc>
          <w:tcPr>
            <w:tcW w:w="1843" w:type="dxa"/>
            <w:tcBorders>
              <w:top w:val="single" w:sz="4" w:space="0" w:color="auto"/>
              <w:left w:val="single" w:sz="4" w:space="0" w:color="auto"/>
              <w:bottom w:val="single" w:sz="4" w:space="0" w:color="auto"/>
              <w:right w:val="single" w:sz="4" w:space="0" w:color="auto"/>
            </w:tcBorders>
            <w:vAlign w:val="center"/>
          </w:tcPr>
          <w:p w14:paraId="212E65F1" w14:textId="42C3B2DA" w:rsidR="004B6BAD" w:rsidRPr="00ED034C" w:rsidRDefault="004B6BAD" w:rsidP="004B6BAD">
            <w:pPr>
              <w:jc w:val="center"/>
              <w:rPr>
                <w:rFonts w:cs="Arial"/>
                <w:color w:val="000000"/>
                <w:sz w:val="18"/>
                <w:szCs w:val="18"/>
              </w:rPr>
            </w:pPr>
            <w:r>
              <w:rPr>
                <w:rFonts w:cs="Arial"/>
                <w:color w:val="000000"/>
                <w:sz w:val="16"/>
                <w:szCs w:val="16"/>
              </w:rPr>
              <w:t>1,96%</w:t>
            </w:r>
          </w:p>
        </w:tc>
        <w:tc>
          <w:tcPr>
            <w:tcW w:w="1842" w:type="dxa"/>
            <w:tcBorders>
              <w:top w:val="single" w:sz="4" w:space="0" w:color="auto"/>
              <w:left w:val="single" w:sz="4" w:space="0" w:color="auto"/>
              <w:bottom w:val="single" w:sz="4" w:space="0" w:color="auto"/>
              <w:right w:val="single" w:sz="4" w:space="0" w:color="auto"/>
            </w:tcBorders>
            <w:vAlign w:val="center"/>
          </w:tcPr>
          <w:p w14:paraId="0C09857A" w14:textId="68B131E1" w:rsidR="004B6BAD" w:rsidRPr="00ED034C" w:rsidRDefault="004B6BAD" w:rsidP="004B6BAD">
            <w:pPr>
              <w:jc w:val="center"/>
              <w:rPr>
                <w:rFonts w:cs="Arial"/>
                <w:color w:val="000000"/>
                <w:sz w:val="18"/>
                <w:szCs w:val="18"/>
              </w:rPr>
            </w:pPr>
            <w:r w:rsidRPr="009144ED">
              <w:rPr>
                <w:rFonts w:cs="Arial"/>
                <w:color w:val="000000"/>
                <w:sz w:val="18"/>
                <w:szCs w:val="18"/>
              </w:rPr>
              <w:t>15,60%</w:t>
            </w:r>
          </w:p>
        </w:tc>
        <w:tc>
          <w:tcPr>
            <w:tcW w:w="1843" w:type="dxa"/>
            <w:tcBorders>
              <w:top w:val="single" w:sz="4" w:space="0" w:color="auto"/>
              <w:left w:val="single" w:sz="4" w:space="0" w:color="auto"/>
              <w:bottom w:val="single" w:sz="4" w:space="0" w:color="auto"/>
              <w:right w:val="single" w:sz="4" w:space="0" w:color="auto"/>
            </w:tcBorders>
            <w:vAlign w:val="center"/>
          </w:tcPr>
          <w:p w14:paraId="64525244" w14:textId="70D37906" w:rsidR="004B6BAD" w:rsidRPr="00ED034C" w:rsidRDefault="004B6BAD" w:rsidP="004B6BAD">
            <w:pPr>
              <w:jc w:val="center"/>
              <w:rPr>
                <w:rFonts w:cs="Arial"/>
                <w:color w:val="000000"/>
                <w:sz w:val="18"/>
                <w:szCs w:val="18"/>
              </w:rPr>
            </w:pPr>
            <w:r w:rsidRPr="009144ED">
              <w:rPr>
                <w:rFonts w:cs="Arial"/>
                <w:color w:val="000000"/>
                <w:sz w:val="18"/>
                <w:szCs w:val="18"/>
              </w:rPr>
              <w:t>18,61%</w:t>
            </w:r>
          </w:p>
        </w:tc>
        <w:tc>
          <w:tcPr>
            <w:tcW w:w="1868" w:type="dxa"/>
            <w:tcBorders>
              <w:top w:val="single" w:sz="4" w:space="0" w:color="auto"/>
              <w:left w:val="single" w:sz="4" w:space="0" w:color="auto"/>
              <w:bottom w:val="single" w:sz="4" w:space="0" w:color="auto"/>
              <w:right w:val="single" w:sz="4" w:space="0" w:color="auto"/>
            </w:tcBorders>
            <w:vAlign w:val="center"/>
          </w:tcPr>
          <w:p w14:paraId="452AD657" w14:textId="00074B20" w:rsidR="004B6BAD" w:rsidRPr="004B6BAD" w:rsidRDefault="004B6BAD" w:rsidP="004B6BAD">
            <w:pPr>
              <w:jc w:val="center"/>
              <w:rPr>
                <w:rFonts w:cs="Arial"/>
                <w:color w:val="000000"/>
                <w:sz w:val="18"/>
                <w:szCs w:val="18"/>
              </w:rPr>
            </w:pPr>
            <w:r w:rsidRPr="004B6BAD">
              <w:rPr>
                <w:rFonts w:cs="Arial"/>
                <w:color w:val="000000"/>
                <w:sz w:val="18"/>
                <w:szCs w:val="18"/>
              </w:rPr>
              <w:t>13,11%</w:t>
            </w:r>
          </w:p>
        </w:tc>
        <w:tc>
          <w:tcPr>
            <w:tcW w:w="1776" w:type="dxa"/>
            <w:tcBorders>
              <w:top w:val="single" w:sz="4" w:space="0" w:color="auto"/>
              <w:left w:val="single" w:sz="4" w:space="0" w:color="auto"/>
              <w:bottom w:val="single" w:sz="4" w:space="0" w:color="auto"/>
              <w:right w:val="single" w:sz="4" w:space="0" w:color="auto"/>
            </w:tcBorders>
            <w:vAlign w:val="center"/>
          </w:tcPr>
          <w:p w14:paraId="176DA711" w14:textId="32D9CC7D" w:rsidR="004B6BAD" w:rsidRPr="004B6BAD" w:rsidRDefault="004B6BAD" w:rsidP="004B6BAD">
            <w:pPr>
              <w:jc w:val="center"/>
              <w:rPr>
                <w:rFonts w:cs="Arial"/>
                <w:color w:val="000000"/>
                <w:sz w:val="18"/>
                <w:szCs w:val="18"/>
              </w:rPr>
            </w:pPr>
            <w:r w:rsidRPr="004B6BAD">
              <w:rPr>
                <w:rFonts w:cs="Arial"/>
                <w:color w:val="000000"/>
                <w:sz w:val="18"/>
                <w:szCs w:val="18"/>
              </w:rPr>
              <w:t>14,68%</w:t>
            </w:r>
          </w:p>
        </w:tc>
      </w:tr>
      <w:tr w:rsidR="004B6BAD" w:rsidRPr="00ED1A48" w14:paraId="5E94CC0E"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7C87F2F" w14:textId="77777777" w:rsidR="004B6BAD" w:rsidRPr="00ED1A48" w:rsidRDefault="004B6BAD" w:rsidP="004B6BAD">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1C3F209" w14:textId="77777777" w:rsidR="004B6BAD" w:rsidRPr="00ED1A48" w:rsidRDefault="004B6BAD" w:rsidP="004B6BAD">
            <w:pPr>
              <w:jc w:val="left"/>
              <w:rPr>
                <w:rFonts w:cs="Arial"/>
                <w:b/>
                <w:color w:val="000000"/>
                <w:sz w:val="16"/>
                <w:szCs w:val="16"/>
              </w:rPr>
            </w:pPr>
            <w:r w:rsidRPr="009B49EA">
              <w:rPr>
                <w:b/>
                <w:sz w:val="16"/>
                <w:szCs w:val="16"/>
              </w:rPr>
              <w:t>Określenie wymogu spełniania wymagań odpowiednich systemów lub norm zarządzania środowiskowego</w:t>
            </w:r>
          </w:p>
        </w:tc>
        <w:tc>
          <w:tcPr>
            <w:tcW w:w="1857" w:type="dxa"/>
            <w:tcBorders>
              <w:top w:val="single" w:sz="4" w:space="0" w:color="auto"/>
              <w:left w:val="single" w:sz="4" w:space="0" w:color="auto"/>
              <w:bottom w:val="single" w:sz="4" w:space="0" w:color="auto"/>
              <w:right w:val="single" w:sz="4" w:space="0" w:color="auto"/>
            </w:tcBorders>
            <w:vAlign w:val="center"/>
          </w:tcPr>
          <w:p w14:paraId="65291371" w14:textId="7BD6D7C8" w:rsidR="004B6BAD" w:rsidRPr="00ED034C" w:rsidRDefault="004B6BAD" w:rsidP="004B6BAD">
            <w:pPr>
              <w:jc w:val="center"/>
              <w:rPr>
                <w:rFonts w:cs="Arial"/>
                <w:color w:val="000000"/>
                <w:sz w:val="18"/>
                <w:szCs w:val="18"/>
              </w:rPr>
            </w:pPr>
            <w:r>
              <w:rPr>
                <w:rFonts w:cs="Arial"/>
                <w:color w:val="000000"/>
                <w:sz w:val="16"/>
                <w:szCs w:val="16"/>
              </w:rPr>
              <w:t>3,23%</w:t>
            </w:r>
          </w:p>
        </w:tc>
        <w:tc>
          <w:tcPr>
            <w:tcW w:w="1843" w:type="dxa"/>
            <w:tcBorders>
              <w:top w:val="single" w:sz="4" w:space="0" w:color="auto"/>
              <w:left w:val="single" w:sz="4" w:space="0" w:color="auto"/>
              <w:bottom w:val="single" w:sz="4" w:space="0" w:color="auto"/>
              <w:right w:val="single" w:sz="4" w:space="0" w:color="auto"/>
            </w:tcBorders>
            <w:vAlign w:val="center"/>
          </w:tcPr>
          <w:p w14:paraId="73DBBD86" w14:textId="7C21168D" w:rsidR="004B6BAD" w:rsidRPr="00ED034C" w:rsidRDefault="004B6BAD" w:rsidP="004B6BAD">
            <w:pPr>
              <w:jc w:val="center"/>
              <w:rPr>
                <w:rFonts w:cs="Arial"/>
                <w:color w:val="000000"/>
                <w:sz w:val="18"/>
                <w:szCs w:val="18"/>
              </w:rPr>
            </w:pPr>
            <w:r>
              <w:rPr>
                <w:rFonts w:cs="Arial"/>
                <w:color w:val="000000"/>
                <w:sz w:val="16"/>
                <w:szCs w:val="16"/>
              </w:rPr>
              <w:t>1,94%</w:t>
            </w:r>
          </w:p>
        </w:tc>
        <w:tc>
          <w:tcPr>
            <w:tcW w:w="1842" w:type="dxa"/>
            <w:tcBorders>
              <w:top w:val="single" w:sz="4" w:space="0" w:color="auto"/>
              <w:left w:val="single" w:sz="4" w:space="0" w:color="auto"/>
              <w:bottom w:val="single" w:sz="4" w:space="0" w:color="auto"/>
              <w:right w:val="single" w:sz="4" w:space="0" w:color="auto"/>
            </w:tcBorders>
            <w:vAlign w:val="center"/>
          </w:tcPr>
          <w:p w14:paraId="5002B7F6" w14:textId="1C6B2C04" w:rsidR="004B6BAD" w:rsidRPr="00ED034C" w:rsidRDefault="004B6BAD" w:rsidP="004B6BAD">
            <w:pPr>
              <w:jc w:val="center"/>
              <w:rPr>
                <w:rFonts w:cs="Arial"/>
                <w:color w:val="000000"/>
                <w:sz w:val="18"/>
                <w:szCs w:val="18"/>
              </w:rPr>
            </w:pPr>
            <w:r w:rsidRPr="009144ED">
              <w:rPr>
                <w:rFonts w:cs="Arial"/>
                <w:color w:val="000000"/>
                <w:sz w:val="18"/>
                <w:szCs w:val="18"/>
              </w:rPr>
              <w:t>3,12%</w:t>
            </w:r>
          </w:p>
        </w:tc>
        <w:tc>
          <w:tcPr>
            <w:tcW w:w="1843" w:type="dxa"/>
            <w:tcBorders>
              <w:top w:val="single" w:sz="4" w:space="0" w:color="auto"/>
              <w:left w:val="single" w:sz="4" w:space="0" w:color="auto"/>
              <w:bottom w:val="single" w:sz="4" w:space="0" w:color="auto"/>
              <w:right w:val="single" w:sz="4" w:space="0" w:color="auto"/>
            </w:tcBorders>
            <w:vAlign w:val="center"/>
          </w:tcPr>
          <w:p w14:paraId="135842FE" w14:textId="5684549E" w:rsidR="004B6BAD" w:rsidRPr="00ED034C" w:rsidRDefault="004B6BAD" w:rsidP="004B6BAD">
            <w:pPr>
              <w:jc w:val="center"/>
              <w:rPr>
                <w:rFonts w:cs="Arial"/>
                <w:color w:val="000000"/>
                <w:sz w:val="18"/>
                <w:szCs w:val="18"/>
              </w:rPr>
            </w:pPr>
            <w:r>
              <w:rPr>
                <w:rFonts w:cs="Arial"/>
                <w:color w:val="000000"/>
                <w:sz w:val="18"/>
                <w:szCs w:val="18"/>
              </w:rPr>
              <w:t>6,24</w:t>
            </w:r>
            <w:r w:rsidRPr="009144ED">
              <w:rPr>
                <w:rFonts w:cs="Arial"/>
                <w:color w:val="000000"/>
                <w:sz w:val="18"/>
                <w:szCs w:val="18"/>
              </w:rPr>
              <w:t>%</w:t>
            </w:r>
          </w:p>
        </w:tc>
        <w:tc>
          <w:tcPr>
            <w:tcW w:w="1868" w:type="dxa"/>
            <w:tcBorders>
              <w:top w:val="single" w:sz="4" w:space="0" w:color="auto"/>
              <w:left w:val="single" w:sz="4" w:space="0" w:color="auto"/>
              <w:bottom w:val="single" w:sz="4" w:space="0" w:color="auto"/>
              <w:right w:val="single" w:sz="4" w:space="0" w:color="auto"/>
            </w:tcBorders>
            <w:vAlign w:val="center"/>
          </w:tcPr>
          <w:p w14:paraId="3C0ECFF5" w14:textId="6692BB93" w:rsidR="004B6BAD" w:rsidRPr="004B6BAD" w:rsidRDefault="004B6BAD" w:rsidP="006E1E7D">
            <w:pPr>
              <w:jc w:val="center"/>
              <w:rPr>
                <w:rFonts w:cs="Arial"/>
                <w:color w:val="000000"/>
                <w:sz w:val="18"/>
                <w:szCs w:val="18"/>
              </w:rPr>
            </w:pPr>
            <w:r w:rsidRPr="004B6BAD">
              <w:rPr>
                <w:rFonts w:cs="Arial"/>
                <w:color w:val="000000"/>
                <w:sz w:val="18"/>
                <w:szCs w:val="18"/>
              </w:rPr>
              <w:t>3,59%</w:t>
            </w:r>
          </w:p>
        </w:tc>
        <w:tc>
          <w:tcPr>
            <w:tcW w:w="1776" w:type="dxa"/>
            <w:tcBorders>
              <w:top w:val="single" w:sz="4" w:space="0" w:color="auto"/>
              <w:left w:val="single" w:sz="4" w:space="0" w:color="auto"/>
              <w:bottom w:val="single" w:sz="4" w:space="0" w:color="auto"/>
              <w:right w:val="single" w:sz="4" w:space="0" w:color="auto"/>
            </w:tcBorders>
            <w:vAlign w:val="center"/>
          </w:tcPr>
          <w:p w14:paraId="1F4CC0FF" w14:textId="105979EF" w:rsidR="004B6BAD" w:rsidRPr="004B6BAD" w:rsidRDefault="004B6BAD" w:rsidP="004B6BAD">
            <w:pPr>
              <w:jc w:val="center"/>
              <w:rPr>
                <w:rFonts w:cs="Arial"/>
                <w:color w:val="000000"/>
                <w:sz w:val="18"/>
                <w:szCs w:val="18"/>
              </w:rPr>
            </w:pPr>
            <w:r w:rsidRPr="004B6BAD">
              <w:rPr>
                <w:rFonts w:cs="Arial"/>
                <w:color w:val="000000"/>
                <w:sz w:val="18"/>
                <w:szCs w:val="18"/>
              </w:rPr>
              <w:t>0,86%</w:t>
            </w:r>
          </w:p>
        </w:tc>
      </w:tr>
      <w:tr w:rsidR="004B6BAD" w:rsidRPr="00ED1A48" w14:paraId="380CB31B"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D6511A0" w14:textId="77777777" w:rsidR="004B6BAD" w:rsidRPr="00ED1A48" w:rsidRDefault="004B6BAD" w:rsidP="004B6BAD">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961E71C" w14:textId="77777777" w:rsidR="004B6BAD" w:rsidRPr="00ED1A48" w:rsidRDefault="004B6BAD" w:rsidP="004B6BAD">
            <w:pPr>
              <w:jc w:val="left"/>
              <w:rPr>
                <w:rFonts w:cs="Arial"/>
                <w:b/>
                <w:color w:val="000000"/>
                <w:sz w:val="16"/>
                <w:szCs w:val="16"/>
              </w:rPr>
            </w:pPr>
            <w:r w:rsidRPr="009B49EA">
              <w:rPr>
                <w:b/>
                <w:sz w:val="16"/>
                <w:szCs w:val="16"/>
              </w:rPr>
              <w:t>Zastosowanie kryterium kosztu z wykorzystaniem rachunku kosztów cyklu życia</w:t>
            </w:r>
          </w:p>
        </w:tc>
        <w:tc>
          <w:tcPr>
            <w:tcW w:w="1857" w:type="dxa"/>
            <w:tcBorders>
              <w:top w:val="single" w:sz="4" w:space="0" w:color="auto"/>
              <w:left w:val="single" w:sz="4" w:space="0" w:color="auto"/>
              <w:bottom w:val="single" w:sz="4" w:space="0" w:color="auto"/>
              <w:right w:val="single" w:sz="4" w:space="0" w:color="auto"/>
            </w:tcBorders>
            <w:vAlign w:val="center"/>
          </w:tcPr>
          <w:p w14:paraId="3BEC2205" w14:textId="2DAF0FF6" w:rsidR="004B6BAD" w:rsidRPr="00ED034C" w:rsidRDefault="004B6BAD" w:rsidP="004B6BAD">
            <w:pPr>
              <w:jc w:val="center"/>
              <w:rPr>
                <w:rFonts w:cs="Arial"/>
                <w:color w:val="000000"/>
                <w:sz w:val="18"/>
                <w:szCs w:val="18"/>
              </w:rPr>
            </w:pPr>
            <w:r>
              <w:rPr>
                <w:rFonts w:cs="Arial"/>
                <w:color w:val="000000"/>
                <w:sz w:val="16"/>
                <w:szCs w:val="16"/>
              </w:rPr>
              <w:t>0,27%</w:t>
            </w:r>
          </w:p>
        </w:tc>
        <w:tc>
          <w:tcPr>
            <w:tcW w:w="1843" w:type="dxa"/>
            <w:tcBorders>
              <w:top w:val="single" w:sz="4" w:space="0" w:color="auto"/>
              <w:left w:val="single" w:sz="4" w:space="0" w:color="auto"/>
              <w:bottom w:val="single" w:sz="4" w:space="0" w:color="auto"/>
              <w:right w:val="single" w:sz="4" w:space="0" w:color="auto"/>
            </w:tcBorders>
            <w:vAlign w:val="center"/>
          </w:tcPr>
          <w:p w14:paraId="6CE1F59A" w14:textId="30040CB0" w:rsidR="004B6BAD" w:rsidRPr="00ED034C" w:rsidRDefault="004B6BAD" w:rsidP="004B6BAD">
            <w:pPr>
              <w:jc w:val="center"/>
              <w:rPr>
                <w:rFonts w:cs="Arial"/>
                <w:color w:val="000000"/>
                <w:sz w:val="18"/>
                <w:szCs w:val="18"/>
              </w:rPr>
            </w:pPr>
            <w:r>
              <w:rPr>
                <w:rFonts w:cs="Arial"/>
                <w:color w:val="000000"/>
                <w:sz w:val="16"/>
                <w:szCs w:val="16"/>
              </w:rPr>
              <w:t>0,05%</w:t>
            </w:r>
          </w:p>
        </w:tc>
        <w:tc>
          <w:tcPr>
            <w:tcW w:w="1842" w:type="dxa"/>
            <w:tcBorders>
              <w:top w:val="single" w:sz="4" w:space="0" w:color="auto"/>
              <w:left w:val="single" w:sz="4" w:space="0" w:color="auto"/>
              <w:bottom w:val="single" w:sz="4" w:space="0" w:color="auto"/>
              <w:right w:val="single" w:sz="4" w:space="0" w:color="auto"/>
            </w:tcBorders>
            <w:vAlign w:val="center"/>
          </w:tcPr>
          <w:p w14:paraId="33980257" w14:textId="266777E2" w:rsidR="004B6BAD" w:rsidRPr="00ED034C" w:rsidRDefault="004B6BAD" w:rsidP="004B6BAD">
            <w:pPr>
              <w:jc w:val="center"/>
              <w:rPr>
                <w:rFonts w:cs="Arial"/>
                <w:color w:val="000000"/>
                <w:sz w:val="18"/>
                <w:szCs w:val="18"/>
              </w:rPr>
            </w:pPr>
            <w:r w:rsidRPr="009144ED">
              <w:rPr>
                <w:rFonts w:cs="Arial"/>
                <w:color w:val="000000"/>
                <w:sz w:val="18"/>
                <w:szCs w:val="18"/>
              </w:rPr>
              <w:t>0,14%</w:t>
            </w:r>
          </w:p>
        </w:tc>
        <w:tc>
          <w:tcPr>
            <w:tcW w:w="1843" w:type="dxa"/>
            <w:tcBorders>
              <w:top w:val="single" w:sz="4" w:space="0" w:color="auto"/>
              <w:left w:val="single" w:sz="4" w:space="0" w:color="auto"/>
              <w:bottom w:val="single" w:sz="4" w:space="0" w:color="auto"/>
              <w:right w:val="single" w:sz="4" w:space="0" w:color="auto"/>
            </w:tcBorders>
            <w:vAlign w:val="center"/>
          </w:tcPr>
          <w:p w14:paraId="699EA4EF" w14:textId="6A6ED890" w:rsidR="004B6BAD" w:rsidRPr="00ED034C" w:rsidRDefault="004B6BAD" w:rsidP="004B6BAD">
            <w:pPr>
              <w:jc w:val="center"/>
              <w:rPr>
                <w:rFonts w:cs="Arial"/>
                <w:color w:val="000000"/>
                <w:sz w:val="18"/>
                <w:szCs w:val="18"/>
              </w:rPr>
            </w:pPr>
            <w:r w:rsidRPr="009144ED">
              <w:rPr>
                <w:rFonts w:cs="Arial"/>
                <w:color w:val="000000"/>
                <w:sz w:val="18"/>
                <w:szCs w:val="18"/>
              </w:rPr>
              <w:t>0,06%</w:t>
            </w:r>
          </w:p>
        </w:tc>
        <w:tc>
          <w:tcPr>
            <w:tcW w:w="1868" w:type="dxa"/>
            <w:tcBorders>
              <w:top w:val="single" w:sz="4" w:space="0" w:color="auto"/>
              <w:left w:val="single" w:sz="4" w:space="0" w:color="auto"/>
              <w:bottom w:val="single" w:sz="4" w:space="0" w:color="auto"/>
              <w:right w:val="single" w:sz="4" w:space="0" w:color="auto"/>
            </w:tcBorders>
            <w:vAlign w:val="center"/>
          </w:tcPr>
          <w:p w14:paraId="062A6328" w14:textId="53A79180" w:rsidR="004B6BAD" w:rsidRPr="004B6BAD" w:rsidRDefault="004B6BAD" w:rsidP="004B6BAD">
            <w:pPr>
              <w:jc w:val="center"/>
              <w:rPr>
                <w:rFonts w:cs="Arial"/>
                <w:color w:val="000000"/>
                <w:sz w:val="18"/>
                <w:szCs w:val="18"/>
              </w:rPr>
            </w:pPr>
            <w:r w:rsidRPr="004B6BAD">
              <w:rPr>
                <w:rFonts w:cs="Arial"/>
                <w:color w:val="000000"/>
                <w:sz w:val="18"/>
                <w:szCs w:val="18"/>
              </w:rPr>
              <w:t>0,21%</w:t>
            </w:r>
          </w:p>
        </w:tc>
        <w:tc>
          <w:tcPr>
            <w:tcW w:w="1776" w:type="dxa"/>
            <w:tcBorders>
              <w:top w:val="single" w:sz="4" w:space="0" w:color="auto"/>
              <w:left w:val="single" w:sz="4" w:space="0" w:color="auto"/>
              <w:bottom w:val="single" w:sz="4" w:space="0" w:color="auto"/>
              <w:right w:val="single" w:sz="4" w:space="0" w:color="auto"/>
            </w:tcBorders>
            <w:vAlign w:val="center"/>
          </w:tcPr>
          <w:p w14:paraId="232AB273" w14:textId="5E85C6DF" w:rsidR="004B6BAD" w:rsidRPr="004B6BAD" w:rsidRDefault="004B6BAD" w:rsidP="004B6BAD">
            <w:pPr>
              <w:jc w:val="center"/>
              <w:rPr>
                <w:rFonts w:cs="Arial"/>
                <w:color w:val="000000"/>
                <w:sz w:val="18"/>
                <w:szCs w:val="18"/>
              </w:rPr>
            </w:pPr>
            <w:r w:rsidRPr="004B6BAD">
              <w:rPr>
                <w:rFonts w:cs="Arial"/>
                <w:color w:val="000000"/>
                <w:sz w:val="18"/>
                <w:szCs w:val="18"/>
              </w:rPr>
              <w:t>0,52%</w:t>
            </w:r>
          </w:p>
        </w:tc>
      </w:tr>
    </w:tbl>
    <w:p w14:paraId="5E419230" w14:textId="77777777" w:rsidR="00B27C43" w:rsidRDefault="00B27C43" w:rsidP="006679D6">
      <w:pPr>
        <w:shd w:val="clear" w:color="auto" w:fill="FFFFFF"/>
        <w:spacing w:before="120"/>
        <w:jc w:val="left"/>
        <w:rPr>
          <w:rFonts w:cs="Arial"/>
          <w:b/>
          <w:color w:val="000000"/>
        </w:rPr>
      </w:pPr>
      <w:r w:rsidRPr="00305876">
        <w:rPr>
          <w:b/>
          <w:sz w:val="16"/>
          <w:szCs w:val="16"/>
          <w:u w:val="single"/>
        </w:rPr>
        <w:t>UWAGA</w:t>
      </w:r>
      <w:r w:rsidRPr="004C0201">
        <w:rPr>
          <w:sz w:val="16"/>
          <w:szCs w:val="16"/>
        </w:rPr>
        <w:t>: Suma udziałów zamówień z zastosowaniem poszczególnych aspektów środowiskowych</w:t>
      </w:r>
      <w:r>
        <w:rPr>
          <w:sz w:val="16"/>
          <w:szCs w:val="16"/>
        </w:rPr>
        <w:t xml:space="preserve"> udzielonych przez jednostki administracji rządowej</w:t>
      </w:r>
      <w:r w:rsidRPr="004C0201">
        <w:rPr>
          <w:sz w:val="16"/>
          <w:szCs w:val="16"/>
        </w:rPr>
        <w:t xml:space="preserve"> w ogólnej liczbie i wartości zamówień zielonych </w:t>
      </w:r>
      <w:r>
        <w:rPr>
          <w:sz w:val="16"/>
          <w:szCs w:val="16"/>
        </w:rPr>
        <w:t xml:space="preserve">udzielonych przez jednostki administracji rządowej </w:t>
      </w:r>
      <w:r w:rsidRPr="004C0201">
        <w:rPr>
          <w:sz w:val="16"/>
          <w:szCs w:val="16"/>
        </w:rPr>
        <w:t xml:space="preserve">jest większa niż łączna liczba i wartość zamówień środowiskowych </w:t>
      </w:r>
      <w:r>
        <w:rPr>
          <w:sz w:val="16"/>
          <w:szCs w:val="16"/>
        </w:rPr>
        <w:t xml:space="preserve">udzielonych przez jednostki administracji rządowej </w:t>
      </w:r>
      <w:r w:rsidRPr="004C0201">
        <w:rPr>
          <w:sz w:val="16"/>
          <w:szCs w:val="16"/>
        </w:rPr>
        <w:t>ze względu na przypadki zastosowania więcej niż jednego aspektu środowiskowego w jednym zamówieniu.</w:t>
      </w:r>
    </w:p>
    <w:p w14:paraId="43A8D211" w14:textId="77777777" w:rsidR="00B27C43" w:rsidRDefault="00B27C43" w:rsidP="00B27C43">
      <w:pPr>
        <w:jc w:val="left"/>
        <w:rPr>
          <w:szCs w:val="22"/>
        </w:rPr>
      </w:pPr>
      <w:r>
        <w:rPr>
          <w:szCs w:val="22"/>
        </w:rPr>
        <w:br w:type="page"/>
      </w:r>
    </w:p>
    <w:p w14:paraId="5A05516E" w14:textId="256E5A59" w:rsidR="00B27C43" w:rsidRPr="00750970" w:rsidRDefault="00FF121C" w:rsidP="00852522">
      <w:pPr>
        <w:pStyle w:val="Nagwek4"/>
      </w:pPr>
      <w:bookmarkStart w:id="351" w:name="_Załącznik_nr_7."/>
      <w:bookmarkEnd w:id="351"/>
      <w:r w:rsidRPr="00FF121C">
        <w:t xml:space="preserve">Załącznik nr </w:t>
      </w:r>
      <w:r w:rsidR="002972A1">
        <w:t>6</w:t>
      </w:r>
      <w:r>
        <w:t xml:space="preserve">. </w:t>
      </w:r>
      <w:r w:rsidR="00B27C43" w:rsidRPr="00750970">
        <w:t xml:space="preserve">Dane dotyczące zamówień udzielonych przez jednostki administracji rządowej, </w:t>
      </w:r>
      <w:r w:rsidR="00E878B6" w:rsidRPr="00E878B6">
        <w:t>w których odwołano się do odpowiednich instrumentów wspierających innowacje</w:t>
      </w:r>
    </w:p>
    <w:p w14:paraId="5AE39334" w14:textId="77777777" w:rsidR="00B27C43" w:rsidRDefault="00B27C43" w:rsidP="000F56F5">
      <w:pPr>
        <w:spacing w:before="240" w:after="120"/>
        <w:jc w:val="center"/>
        <w:rPr>
          <w:b/>
        </w:rPr>
      </w:pPr>
      <w:r w:rsidRPr="00B332A7">
        <w:rPr>
          <w:b/>
        </w:rPr>
        <w:t>Liczba i wartość zamówień publicznych z danym aspektem innowacyjnym udzielonych przez jednostki administracji rządowej</w:t>
      </w:r>
    </w:p>
    <w:tbl>
      <w:tblPr>
        <w:tblW w:w="1442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481"/>
        <w:gridCol w:w="1895"/>
        <w:gridCol w:w="1896"/>
        <w:gridCol w:w="1895"/>
        <w:gridCol w:w="1896"/>
        <w:gridCol w:w="1895"/>
        <w:gridCol w:w="1896"/>
      </w:tblGrid>
      <w:tr w:rsidR="00B27C43" w:rsidRPr="00ED1A48" w14:paraId="0807E827" w14:textId="77777777" w:rsidTr="00B265F8">
        <w:trPr>
          <w:tblHeader/>
        </w:trPr>
        <w:tc>
          <w:tcPr>
            <w:tcW w:w="3048"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0EBA3C2B"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791" w:type="dxa"/>
            <w:gridSpan w:val="2"/>
            <w:tcBorders>
              <w:top w:val="single" w:sz="4" w:space="0" w:color="auto"/>
              <w:left w:val="single" w:sz="4" w:space="0" w:color="auto"/>
              <w:bottom w:val="single" w:sz="4" w:space="0" w:color="auto"/>
              <w:right w:val="single" w:sz="4" w:space="0" w:color="auto"/>
            </w:tcBorders>
            <w:shd w:val="clear" w:color="auto" w:fill="FFE599"/>
          </w:tcPr>
          <w:p w14:paraId="19A30867" w14:textId="5D307368" w:rsidR="00B27C43" w:rsidRPr="00ED1A48" w:rsidRDefault="00B27C43" w:rsidP="00771432">
            <w:pPr>
              <w:jc w:val="center"/>
              <w:rPr>
                <w:rFonts w:cs="Arial"/>
                <w:b/>
                <w:bCs/>
                <w:color w:val="000000"/>
                <w:sz w:val="16"/>
                <w:szCs w:val="16"/>
              </w:rPr>
            </w:pPr>
            <w:r>
              <w:rPr>
                <w:rFonts w:cs="Arial"/>
                <w:b/>
                <w:bCs/>
                <w:color w:val="000000"/>
                <w:sz w:val="16"/>
                <w:szCs w:val="16"/>
              </w:rPr>
              <w:t>202</w:t>
            </w:r>
            <w:r w:rsidR="00771432">
              <w:rPr>
                <w:rFonts w:cs="Arial"/>
                <w:b/>
                <w:bCs/>
                <w:color w:val="000000"/>
                <w:sz w:val="16"/>
                <w:szCs w:val="16"/>
              </w:rPr>
              <w:t>3</w:t>
            </w:r>
            <w:r>
              <w:rPr>
                <w:rFonts w:cs="Arial"/>
                <w:b/>
                <w:bCs/>
                <w:color w:val="000000"/>
                <w:sz w:val="16"/>
                <w:szCs w:val="16"/>
              </w:rPr>
              <w:t xml:space="preserve"> r.</w:t>
            </w:r>
          </w:p>
        </w:tc>
        <w:tc>
          <w:tcPr>
            <w:tcW w:w="3791" w:type="dxa"/>
            <w:gridSpan w:val="2"/>
            <w:tcBorders>
              <w:top w:val="single" w:sz="4" w:space="0" w:color="auto"/>
              <w:left w:val="single" w:sz="4" w:space="0" w:color="auto"/>
              <w:bottom w:val="single" w:sz="4" w:space="0" w:color="auto"/>
              <w:right w:val="single" w:sz="4" w:space="0" w:color="auto"/>
            </w:tcBorders>
            <w:shd w:val="clear" w:color="auto" w:fill="FFE599"/>
          </w:tcPr>
          <w:p w14:paraId="1E861589" w14:textId="7F58C88A" w:rsidR="00B27C43" w:rsidRPr="00ED1A48" w:rsidRDefault="00B27C43" w:rsidP="00C866A1">
            <w:pPr>
              <w:jc w:val="center"/>
              <w:rPr>
                <w:rFonts w:cs="Arial"/>
                <w:b/>
                <w:bCs/>
                <w:color w:val="000000"/>
                <w:sz w:val="16"/>
                <w:szCs w:val="16"/>
              </w:rPr>
            </w:pPr>
            <w:r>
              <w:rPr>
                <w:rFonts w:cs="Arial"/>
                <w:b/>
                <w:bCs/>
                <w:color w:val="000000"/>
                <w:sz w:val="16"/>
                <w:szCs w:val="16"/>
              </w:rPr>
              <w:t>2</w:t>
            </w:r>
            <w:r w:rsidR="00771432">
              <w:rPr>
                <w:rFonts w:cs="Arial"/>
                <w:b/>
                <w:bCs/>
                <w:color w:val="000000"/>
                <w:sz w:val="16"/>
                <w:szCs w:val="16"/>
              </w:rPr>
              <w:t>024</w:t>
            </w:r>
            <w:r>
              <w:rPr>
                <w:rFonts w:cs="Arial"/>
                <w:b/>
                <w:bCs/>
                <w:color w:val="000000"/>
                <w:sz w:val="16"/>
                <w:szCs w:val="16"/>
              </w:rPr>
              <w:t xml:space="preserve"> r.</w:t>
            </w:r>
          </w:p>
        </w:tc>
        <w:tc>
          <w:tcPr>
            <w:tcW w:w="3791" w:type="dxa"/>
            <w:gridSpan w:val="2"/>
            <w:tcBorders>
              <w:top w:val="single" w:sz="4" w:space="0" w:color="auto"/>
              <w:left w:val="single" w:sz="4" w:space="0" w:color="auto"/>
              <w:bottom w:val="single" w:sz="4" w:space="0" w:color="auto"/>
              <w:right w:val="single" w:sz="4" w:space="0" w:color="auto"/>
            </w:tcBorders>
            <w:shd w:val="clear" w:color="auto" w:fill="FFE599"/>
          </w:tcPr>
          <w:p w14:paraId="18F4F280" w14:textId="184C99BB" w:rsidR="00B27C43" w:rsidRPr="00ED1A48" w:rsidRDefault="00B27C43" w:rsidP="00771432">
            <w:pPr>
              <w:jc w:val="center"/>
              <w:rPr>
                <w:rFonts w:cs="Arial"/>
                <w:b/>
                <w:bCs/>
                <w:color w:val="000000"/>
                <w:sz w:val="16"/>
                <w:szCs w:val="16"/>
              </w:rPr>
            </w:pPr>
            <w:r>
              <w:rPr>
                <w:rFonts w:cs="Arial"/>
                <w:b/>
                <w:bCs/>
                <w:color w:val="000000"/>
                <w:sz w:val="16"/>
                <w:szCs w:val="16"/>
              </w:rPr>
              <w:t>202</w:t>
            </w:r>
            <w:r w:rsidR="00771432">
              <w:rPr>
                <w:rFonts w:cs="Arial"/>
                <w:b/>
                <w:bCs/>
                <w:color w:val="000000"/>
                <w:sz w:val="16"/>
                <w:szCs w:val="16"/>
              </w:rPr>
              <w:t>5</w:t>
            </w:r>
            <w:r>
              <w:rPr>
                <w:rFonts w:cs="Arial"/>
                <w:b/>
                <w:bCs/>
                <w:color w:val="000000"/>
                <w:sz w:val="16"/>
                <w:szCs w:val="16"/>
              </w:rPr>
              <w:t xml:space="preserve"> r.</w:t>
            </w:r>
          </w:p>
        </w:tc>
      </w:tr>
      <w:tr w:rsidR="00B265F8" w:rsidRPr="00ED1A48" w14:paraId="43FABACC" w14:textId="77777777" w:rsidTr="00B265F8">
        <w:trPr>
          <w:tblHeader/>
        </w:trPr>
        <w:tc>
          <w:tcPr>
            <w:tcW w:w="567" w:type="dxa"/>
            <w:tcBorders>
              <w:top w:val="single" w:sz="4" w:space="0" w:color="auto"/>
              <w:left w:val="single" w:sz="4" w:space="0" w:color="auto"/>
              <w:bottom w:val="single" w:sz="4" w:space="0" w:color="auto"/>
              <w:right w:val="single" w:sz="4" w:space="0" w:color="auto"/>
            </w:tcBorders>
            <w:shd w:val="clear" w:color="auto" w:fill="FFF2CC"/>
            <w:vAlign w:val="center"/>
          </w:tcPr>
          <w:p w14:paraId="3261D6DE" w14:textId="77777777" w:rsidR="00B265F8" w:rsidRPr="00ED1A48" w:rsidRDefault="00B265F8" w:rsidP="00B265F8">
            <w:pPr>
              <w:jc w:val="center"/>
              <w:rPr>
                <w:rFonts w:cs="Arial"/>
                <w:b/>
                <w:color w:val="000000"/>
                <w:sz w:val="16"/>
                <w:szCs w:val="16"/>
              </w:rPr>
            </w:pPr>
            <w:r w:rsidRPr="00ED1A48">
              <w:rPr>
                <w:rFonts w:cs="Arial"/>
                <w:b/>
                <w:color w:val="000000"/>
                <w:sz w:val="16"/>
                <w:szCs w:val="16"/>
              </w:rPr>
              <w:t>Lp.</w:t>
            </w:r>
          </w:p>
        </w:tc>
        <w:tc>
          <w:tcPr>
            <w:tcW w:w="2481" w:type="dxa"/>
            <w:tcBorders>
              <w:top w:val="single" w:sz="4" w:space="0" w:color="auto"/>
              <w:left w:val="single" w:sz="4" w:space="0" w:color="auto"/>
              <w:bottom w:val="single" w:sz="4" w:space="0" w:color="auto"/>
              <w:right w:val="single" w:sz="4" w:space="0" w:color="auto"/>
            </w:tcBorders>
            <w:shd w:val="clear" w:color="auto" w:fill="FFF2CC"/>
            <w:vAlign w:val="center"/>
          </w:tcPr>
          <w:p w14:paraId="6E7CCD0D" w14:textId="2A7C0054" w:rsidR="00B265F8" w:rsidRPr="00ED1A48" w:rsidRDefault="00B265F8" w:rsidP="00B265F8">
            <w:pPr>
              <w:jc w:val="center"/>
              <w:rPr>
                <w:rFonts w:cs="Arial"/>
                <w:b/>
                <w:color w:val="000000"/>
                <w:sz w:val="16"/>
                <w:szCs w:val="16"/>
              </w:rPr>
            </w:pPr>
            <w:r w:rsidRPr="00ED1A48">
              <w:rPr>
                <w:rFonts w:cs="Arial"/>
                <w:b/>
                <w:color w:val="000000"/>
                <w:sz w:val="16"/>
                <w:szCs w:val="16"/>
              </w:rPr>
              <w:t xml:space="preserve">Aspekt </w:t>
            </w:r>
            <w:r>
              <w:rPr>
                <w:rFonts w:cs="Arial"/>
                <w:b/>
                <w:color w:val="000000"/>
                <w:sz w:val="16"/>
                <w:szCs w:val="16"/>
              </w:rPr>
              <w:t>innowacyjny</w:t>
            </w:r>
            <w:r w:rsidRPr="00ED1A48">
              <w:rPr>
                <w:rFonts w:cs="Arial"/>
                <w:b/>
                <w:color w:val="000000"/>
                <w:sz w:val="16"/>
                <w:szCs w:val="16"/>
              </w:rPr>
              <w:t xml:space="preserve"> </w:t>
            </w:r>
          </w:p>
        </w:tc>
        <w:tc>
          <w:tcPr>
            <w:tcW w:w="1895" w:type="dxa"/>
            <w:tcBorders>
              <w:top w:val="single" w:sz="4" w:space="0" w:color="auto"/>
              <w:left w:val="single" w:sz="4" w:space="0" w:color="auto"/>
              <w:bottom w:val="single" w:sz="4" w:space="0" w:color="auto"/>
              <w:right w:val="single" w:sz="4" w:space="0" w:color="auto"/>
            </w:tcBorders>
            <w:shd w:val="clear" w:color="auto" w:fill="FFF2CC"/>
            <w:vAlign w:val="center"/>
          </w:tcPr>
          <w:p w14:paraId="44D353B9" w14:textId="7C162D70" w:rsidR="00B265F8" w:rsidRPr="00ED1A48" w:rsidRDefault="00B265F8" w:rsidP="00B265F8">
            <w:pPr>
              <w:jc w:val="center"/>
              <w:rPr>
                <w:rFonts w:cs="Arial"/>
                <w:b/>
                <w:bCs/>
                <w:color w:val="000000"/>
                <w:sz w:val="16"/>
                <w:szCs w:val="16"/>
              </w:rPr>
            </w:pPr>
            <w:r w:rsidRPr="00BE715F">
              <w:rPr>
                <w:rFonts w:cs="Arial"/>
                <w:b/>
                <w:bCs/>
                <w:sz w:val="16"/>
                <w:szCs w:val="16"/>
              </w:rPr>
              <w:t xml:space="preserve">Liczba zamówień </w:t>
            </w:r>
            <w:r w:rsidRPr="00BE715F">
              <w:rPr>
                <w:rFonts w:cs="Arial"/>
                <w:b/>
                <w:bCs/>
                <w:color w:val="000000"/>
                <w:sz w:val="16"/>
                <w:szCs w:val="16"/>
              </w:rPr>
              <w:t xml:space="preserve">udzielonych przez jedn. adm. rz. </w:t>
            </w:r>
            <w:r w:rsidRPr="00BE715F">
              <w:rPr>
                <w:rFonts w:cs="Arial"/>
                <w:b/>
                <w:bCs/>
                <w:sz w:val="16"/>
                <w:szCs w:val="16"/>
              </w:rPr>
              <w:t>z zastosowaniem danego aspektu</w:t>
            </w:r>
          </w:p>
        </w:tc>
        <w:tc>
          <w:tcPr>
            <w:tcW w:w="1896" w:type="dxa"/>
            <w:tcBorders>
              <w:top w:val="single" w:sz="4" w:space="0" w:color="auto"/>
              <w:left w:val="single" w:sz="4" w:space="0" w:color="auto"/>
              <w:bottom w:val="single" w:sz="4" w:space="0" w:color="auto"/>
              <w:right w:val="single" w:sz="4" w:space="0" w:color="auto"/>
            </w:tcBorders>
            <w:shd w:val="clear" w:color="auto" w:fill="FFF2CC"/>
            <w:vAlign w:val="center"/>
          </w:tcPr>
          <w:p w14:paraId="7A3FBE8A" w14:textId="410DD118" w:rsidR="00B265F8" w:rsidRPr="00ED1A48" w:rsidRDefault="00B265F8" w:rsidP="00B265F8">
            <w:pPr>
              <w:jc w:val="center"/>
              <w:rPr>
                <w:rFonts w:cs="Arial"/>
                <w:b/>
                <w:bCs/>
                <w:color w:val="000000"/>
                <w:sz w:val="16"/>
                <w:szCs w:val="16"/>
              </w:rPr>
            </w:pPr>
            <w:r w:rsidRPr="00BE715F">
              <w:rPr>
                <w:rFonts w:cs="Arial"/>
                <w:b/>
                <w:bCs/>
                <w:sz w:val="16"/>
                <w:szCs w:val="16"/>
              </w:rPr>
              <w:t xml:space="preserve">Wartość zamówień </w:t>
            </w:r>
            <w:r w:rsidRPr="00BE715F">
              <w:rPr>
                <w:rFonts w:cs="Arial"/>
                <w:b/>
                <w:bCs/>
                <w:color w:val="000000"/>
                <w:sz w:val="16"/>
                <w:szCs w:val="16"/>
              </w:rPr>
              <w:t xml:space="preserve">udzielonych przez jedn. adm. rz. </w:t>
            </w:r>
            <w:r w:rsidRPr="00BE715F">
              <w:rPr>
                <w:rFonts w:cs="Arial"/>
                <w:b/>
                <w:bCs/>
                <w:sz w:val="16"/>
                <w:szCs w:val="16"/>
              </w:rPr>
              <w:t>z zastosowaniem danego aspektu</w:t>
            </w:r>
          </w:p>
        </w:tc>
        <w:tc>
          <w:tcPr>
            <w:tcW w:w="1895" w:type="dxa"/>
            <w:tcBorders>
              <w:top w:val="single" w:sz="4" w:space="0" w:color="auto"/>
              <w:left w:val="single" w:sz="4" w:space="0" w:color="auto"/>
              <w:bottom w:val="single" w:sz="4" w:space="0" w:color="auto"/>
              <w:right w:val="single" w:sz="4" w:space="0" w:color="auto"/>
            </w:tcBorders>
            <w:shd w:val="clear" w:color="auto" w:fill="FFF2CC"/>
            <w:vAlign w:val="center"/>
          </w:tcPr>
          <w:p w14:paraId="7A7DA845" w14:textId="1739421B" w:rsidR="00B265F8" w:rsidRPr="00ED1A48" w:rsidRDefault="00B265F8" w:rsidP="00B265F8">
            <w:pPr>
              <w:jc w:val="center"/>
              <w:rPr>
                <w:rFonts w:cs="Arial"/>
                <w:b/>
                <w:bCs/>
                <w:color w:val="000000"/>
                <w:sz w:val="16"/>
                <w:szCs w:val="16"/>
              </w:rPr>
            </w:pPr>
            <w:r w:rsidRPr="00BE715F">
              <w:rPr>
                <w:rFonts w:cs="Arial"/>
                <w:b/>
                <w:bCs/>
                <w:sz w:val="16"/>
                <w:szCs w:val="16"/>
              </w:rPr>
              <w:t xml:space="preserve">Liczba zamówień </w:t>
            </w:r>
            <w:r w:rsidRPr="00BE715F">
              <w:rPr>
                <w:rFonts w:cs="Arial"/>
                <w:b/>
                <w:bCs/>
                <w:color w:val="000000"/>
                <w:sz w:val="16"/>
                <w:szCs w:val="16"/>
              </w:rPr>
              <w:t xml:space="preserve">udzielonych przez jedn. adm. rz. </w:t>
            </w:r>
            <w:r w:rsidRPr="00BE715F">
              <w:rPr>
                <w:rFonts w:cs="Arial"/>
                <w:b/>
                <w:bCs/>
                <w:sz w:val="16"/>
                <w:szCs w:val="16"/>
              </w:rPr>
              <w:t>z zastosowaniem danego aspektu</w:t>
            </w:r>
          </w:p>
        </w:tc>
        <w:tc>
          <w:tcPr>
            <w:tcW w:w="1896" w:type="dxa"/>
            <w:tcBorders>
              <w:top w:val="single" w:sz="4" w:space="0" w:color="auto"/>
              <w:left w:val="single" w:sz="4" w:space="0" w:color="auto"/>
              <w:bottom w:val="single" w:sz="4" w:space="0" w:color="auto"/>
              <w:right w:val="single" w:sz="4" w:space="0" w:color="auto"/>
            </w:tcBorders>
            <w:shd w:val="clear" w:color="auto" w:fill="FFF2CC"/>
            <w:vAlign w:val="center"/>
          </w:tcPr>
          <w:p w14:paraId="41AD4DE3" w14:textId="2F6C1235" w:rsidR="00B265F8" w:rsidRPr="00ED1A48" w:rsidRDefault="00B265F8" w:rsidP="00B265F8">
            <w:pPr>
              <w:jc w:val="center"/>
              <w:rPr>
                <w:rFonts w:cs="Arial"/>
                <w:b/>
                <w:bCs/>
                <w:color w:val="000000"/>
                <w:sz w:val="16"/>
                <w:szCs w:val="16"/>
              </w:rPr>
            </w:pPr>
            <w:r w:rsidRPr="00BE715F">
              <w:rPr>
                <w:rFonts w:cs="Arial"/>
                <w:b/>
                <w:bCs/>
                <w:sz w:val="16"/>
                <w:szCs w:val="16"/>
              </w:rPr>
              <w:t xml:space="preserve">Wartość zamówień </w:t>
            </w:r>
            <w:r w:rsidRPr="00BE715F">
              <w:rPr>
                <w:rFonts w:cs="Arial"/>
                <w:b/>
                <w:bCs/>
                <w:color w:val="000000"/>
                <w:sz w:val="16"/>
                <w:szCs w:val="16"/>
              </w:rPr>
              <w:t xml:space="preserve">udzielonych przez jedn. adm. rz. </w:t>
            </w:r>
            <w:r w:rsidRPr="00BE715F">
              <w:rPr>
                <w:rFonts w:cs="Arial"/>
                <w:b/>
                <w:bCs/>
                <w:sz w:val="16"/>
                <w:szCs w:val="16"/>
              </w:rPr>
              <w:t>z zastosowaniem danego aspektu</w:t>
            </w:r>
          </w:p>
        </w:tc>
        <w:tc>
          <w:tcPr>
            <w:tcW w:w="1895" w:type="dxa"/>
            <w:tcBorders>
              <w:top w:val="single" w:sz="4" w:space="0" w:color="auto"/>
              <w:left w:val="single" w:sz="4" w:space="0" w:color="auto"/>
              <w:bottom w:val="single" w:sz="4" w:space="0" w:color="auto"/>
              <w:right w:val="single" w:sz="4" w:space="0" w:color="auto"/>
            </w:tcBorders>
            <w:shd w:val="clear" w:color="auto" w:fill="FFF2CC"/>
            <w:vAlign w:val="center"/>
          </w:tcPr>
          <w:p w14:paraId="3091C9D1" w14:textId="76AB7C04" w:rsidR="00B265F8" w:rsidRPr="00ED1A48" w:rsidRDefault="00B265F8" w:rsidP="00B265F8">
            <w:pPr>
              <w:jc w:val="center"/>
              <w:rPr>
                <w:rFonts w:cs="Arial"/>
                <w:b/>
                <w:bCs/>
                <w:color w:val="000000"/>
                <w:sz w:val="16"/>
                <w:szCs w:val="16"/>
              </w:rPr>
            </w:pPr>
            <w:r w:rsidRPr="00BE715F">
              <w:rPr>
                <w:rFonts w:cs="Arial"/>
                <w:b/>
                <w:bCs/>
                <w:sz w:val="16"/>
                <w:szCs w:val="16"/>
              </w:rPr>
              <w:t xml:space="preserve">Liczba zamówień </w:t>
            </w:r>
            <w:r w:rsidRPr="00BE715F">
              <w:rPr>
                <w:rFonts w:cs="Arial"/>
                <w:b/>
                <w:bCs/>
                <w:color w:val="000000"/>
                <w:sz w:val="16"/>
                <w:szCs w:val="16"/>
              </w:rPr>
              <w:t xml:space="preserve">udzielonych przez jedn. adm. rz. </w:t>
            </w:r>
            <w:r w:rsidRPr="00BE715F">
              <w:rPr>
                <w:rFonts w:cs="Arial"/>
                <w:b/>
                <w:bCs/>
                <w:sz w:val="16"/>
                <w:szCs w:val="16"/>
              </w:rPr>
              <w:t>z zastosowaniem danego aspektu</w:t>
            </w:r>
          </w:p>
        </w:tc>
        <w:tc>
          <w:tcPr>
            <w:tcW w:w="1896" w:type="dxa"/>
            <w:tcBorders>
              <w:top w:val="single" w:sz="4" w:space="0" w:color="auto"/>
              <w:left w:val="single" w:sz="4" w:space="0" w:color="auto"/>
              <w:bottom w:val="single" w:sz="4" w:space="0" w:color="auto"/>
              <w:right w:val="single" w:sz="4" w:space="0" w:color="auto"/>
            </w:tcBorders>
            <w:shd w:val="clear" w:color="auto" w:fill="FFF2CC"/>
            <w:vAlign w:val="center"/>
          </w:tcPr>
          <w:p w14:paraId="63F83449" w14:textId="3B6AD8E7" w:rsidR="00B265F8" w:rsidRPr="00ED1A48" w:rsidRDefault="00B265F8" w:rsidP="00B265F8">
            <w:pPr>
              <w:jc w:val="center"/>
              <w:rPr>
                <w:rFonts w:cs="Arial"/>
                <w:b/>
                <w:bCs/>
                <w:color w:val="000000"/>
                <w:sz w:val="16"/>
                <w:szCs w:val="16"/>
              </w:rPr>
            </w:pPr>
            <w:r w:rsidRPr="00BE715F">
              <w:rPr>
                <w:rFonts w:cs="Arial"/>
                <w:b/>
                <w:bCs/>
                <w:sz w:val="16"/>
                <w:szCs w:val="16"/>
              </w:rPr>
              <w:t xml:space="preserve">Wartość zamówień </w:t>
            </w:r>
            <w:r w:rsidRPr="00BE715F">
              <w:rPr>
                <w:rFonts w:cs="Arial"/>
                <w:b/>
                <w:bCs/>
                <w:color w:val="000000"/>
                <w:sz w:val="16"/>
                <w:szCs w:val="16"/>
              </w:rPr>
              <w:t xml:space="preserve">udzielonych przez jedn. adm. rz. </w:t>
            </w:r>
            <w:r w:rsidRPr="00BE715F">
              <w:rPr>
                <w:rFonts w:cs="Arial"/>
                <w:b/>
                <w:bCs/>
                <w:sz w:val="16"/>
                <w:szCs w:val="16"/>
              </w:rPr>
              <w:t>z zastosowaniem danego aspektu</w:t>
            </w:r>
          </w:p>
        </w:tc>
      </w:tr>
      <w:tr w:rsidR="00B265F8" w:rsidRPr="00ED1A48" w14:paraId="3686AE84" w14:textId="77777777" w:rsidTr="00B265F8">
        <w:tc>
          <w:tcPr>
            <w:tcW w:w="56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04DCFBA1" w14:textId="77777777" w:rsidR="00B265F8" w:rsidRPr="00ED1A48" w:rsidRDefault="00B265F8" w:rsidP="00B265F8">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2481" w:type="dxa"/>
            <w:tcBorders>
              <w:top w:val="single" w:sz="4" w:space="0" w:color="auto"/>
              <w:left w:val="single" w:sz="4" w:space="0" w:color="auto"/>
              <w:bottom w:val="single" w:sz="4" w:space="0" w:color="auto"/>
              <w:right w:val="single" w:sz="4" w:space="0" w:color="auto"/>
            </w:tcBorders>
            <w:shd w:val="clear" w:color="auto" w:fill="FFF2CC"/>
            <w:vAlign w:val="center"/>
          </w:tcPr>
          <w:p w14:paraId="2CAE08F6" w14:textId="77777777" w:rsidR="00B265F8" w:rsidRPr="003749AE" w:rsidRDefault="00B265F8" w:rsidP="00B265F8">
            <w:pPr>
              <w:jc w:val="left"/>
              <w:rPr>
                <w:rFonts w:cs="Arial"/>
                <w:b/>
                <w:color w:val="000000"/>
                <w:sz w:val="16"/>
                <w:szCs w:val="16"/>
              </w:rPr>
            </w:pPr>
            <w:r w:rsidRPr="003749AE">
              <w:rPr>
                <w:b/>
                <w:sz w:val="16"/>
                <w:szCs w:val="16"/>
              </w:rPr>
              <w:t>Określenie wymagań zw. z realizacją zamówienia obejmujących aspekty zw. z innowacyjnością</w:t>
            </w:r>
          </w:p>
        </w:tc>
        <w:tc>
          <w:tcPr>
            <w:tcW w:w="1895" w:type="dxa"/>
            <w:tcBorders>
              <w:top w:val="single" w:sz="4" w:space="0" w:color="auto"/>
              <w:left w:val="single" w:sz="4" w:space="0" w:color="auto"/>
              <w:bottom w:val="single" w:sz="4" w:space="0" w:color="auto"/>
              <w:right w:val="single" w:sz="4" w:space="0" w:color="auto"/>
            </w:tcBorders>
            <w:vAlign w:val="center"/>
          </w:tcPr>
          <w:p w14:paraId="2B9A850F" w14:textId="002CD00B" w:rsidR="00B265F8" w:rsidRPr="000F4D14" w:rsidRDefault="00B265F8" w:rsidP="00B265F8">
            <w:pPr>
              <w:jc w:val="center"/>
              <w:rPr>
                <w:rFonts w:cs="Arial"/>
                <w:color w:val="000000"/>
                <w:sz w:val="18"/>
                <w:szCs w:val="18"/>
              </w:rPr>
            </w:pPr>
            <w:r w:rsidRPr="000F4D14">
              <w:rPr>
                <w:rFonts w:cs="Arial"/>
                <w:color w:val="000000"/>
                <w:sz w:val="18"/>
                <w:szCs w:val="18"/>
              </w:rPr>
              <w:t>8</w:t>
            </w:r>
          </w:p>
        </w:tc>
        <w:tc>
          <w:tcPr>
            <w:tcW w:w="1896" w:type="dxa"/>
            <w:tcBorders>
              <w:top w:val="single" w:sz="4" w:space="0" w:color="auto"/>
              <w:left w:val="single" w:sz="4" w:space="0" w:color="auto"/>
              <w:bottom w:val="single" w:sz="4" w:space="0" w:color="auto"/>
              <w:right w:val="single" w:sz="4" w:space="0" w:color="auto"/>
            </w:tcBorders>
            <w:vAlign w:val="center"/>
          </w:tcPr>
          <w:p w14:paraId="61EF530F" w14:textId="5235EC9E" w:rsidR="00B265F8" w:rsidRPr="000F4D14" w:rsidRDefault="00B265F8" w:rsidP="00B265F8">
            <w:pPr>
              <w:jc w:val="center"/>
              <w:rPr>
                <w:rFonts w:cs="Arial"/>
                <w:color w:val="000000"/>
                <w:sz w:val="18"/>
                <w:szCs w:val="18"/>
              </w:rPr>
            </w:pPr>
            <w:r w:rsidRPr="000F4D14">
              <w:rPr>
                <w:rFonts w:cs="Arial"/>
                <w:color w:val="000000"/>
                <w:sz w:val="18"/>
                <w:szCs w:val="18"/>
              </w:rPr>
              <w:t>75 035 125,92 zł</w:t>
            </w:r>
          </w:p>
        </w:tc>
        <w:tc>
          <w:tcPr>
            <w:tcW w:w="1895" w:type="dxa"/>
            <w:tcBorders>
              <w:top w:val="single" w:sz="4" w:space="0" w:color="auto"/>
              <w:left w:val="single" w:sz="4" w:space="0" w:color="auto"/>
              <w:bottom w:val="single" w:sz="4" w:space="0" w:color="auto"/>
              <w:right w:val="single" w:sz="4" w:space="0" w:color="auto"/>
            </w:tcBorders>
            <w:vAlign w:val="center"/>
          </w:tcPr>
          <w:p w14:paraId="355252A6" w14:textId="79C35332" w:rsidR="00B265F8" w:rsidRPr="000F4D14" w:rsidRDefault="00B265F8" w:rsidP="00B265F8">
            <w:pPr>
              <w:jc w:val="center"/>
              <w:rPr>
                <w:rFonts w:cs="Arial"/>
                <w:color w:val="000000"/>
                <w:sz w:val="18"/>
                <w:szCs w:val="18"/>
              </w:rPr>
            </w:pPr>
            <w:r w:rsidRPr="00811C8A">
              <w:rPr>
                <w:rFonts w:cs="Arial"/>
                <w:color w:val="000000"/>
                <w:sz w:val="18"/>
                <w:szCs w:val="18"/>
              </w:rPr>
              <w:t>23</w:t>
            </w:r>
          </w:p>
        </w:tc>
        <w:tc>
          <w:tcPr>
            <w:tcW w:w="1896" w:type="dxa"/>
            <w:tcBorders>
              <w:top w:val="single" w:sz="4" w:space="0" w:color="auto"/>
              <w:left w:val="single" w:sz="4" w:space="0" w:color="auto"/>
              <w:bottom w:val="single" w:sz="4" w:space="0" w:color="auto"/>
              <w:right w:val="single" w:sz="4" w:space="0" w:color="auto"/>
            </w:tcBorders>
            <w:vAlign w:val="center"/>
          </w:tcPr>
          <w:p w14:paraId="323968DF" w14:textId="555B9FAC" w:rsidR="00B265F8" w:rsidRPr="000F4D14" w:rsidRDefault="00B265F8" w:rsidP="00B265F8">
            <w:pPr>
              <w:jc w:val="center"/>
              <w:rPr>
                <w:rFonts w:cs="Arial"/>
                <w:sz w:val="18"/>
                <w:szCs w:val="18"/>
              </w:rPr>
            </w:pPr>
            <w:r w:rsidRPr="00811C8A">
              <w:rPr>
                <w:rFonts w:cs="Arial"/>
                <w:color w:val="000000"/>
                <w:sz w:val="18"/>
                <w:szCs w:val="18"/>
              </w:rPr>
              <w:t>150 269 101,08</w:t>
            </w:r>
          </w:p>
        </w:tc>
        <w:tc>
          <w:tcPr>
            <w:tcW w:w="1895" w:type="dxa"/>
            <w:tcBorders>
              <w:top w:val="single" w:sz="4" w:space="0" w:color="auto"/>
              <w:left w:val="single" w:sz="4" w:space="0" w:color="auto"/>
              <w:bottom w:val="single" w:sz="4" w:space="0" w:color="auto"/>
              <w:right w:val="single" w:sz="4" w:space="0" w:color="auto"/>
            </w:tcBorders>
            <w:vAlign w:val="center"/>
          </w:tcPr>
          <w:p w14:paraId="5F790030" w14:textId="0B676D65" w:rsidR="00B265F8" w:rsidRPr="00B265F8" w:rsidRDefault="00B265F8" w:rsidP="00B265F8">
            <w:pPr>
              <w:jc w:val="center"/>
              <w:rPr>
                <w:rFonts w:cs="Arial"/>
                <w:color w:val="000000"/>
                <w:sz w:val="18"/>
                <w:szCs w:val="18"/>
              </w:rPr>
            </w:pPr>
            <w:r w:rsidRPr="00B265F8">
              <w:rPr>
                <w:rFonts w:cs="Arial"/>
                <w:color w:val="000000"/>
                <w:sz w:val="18"/>
                <w:szCs w:val="18"/>
              </w:rPr>
              <w:t>24</w:t>
            </w:r>
          </w:p>
        </w:tc>
        <w:tc>
          <w:tcPr>
            <w:tcW w:w="1896" w:type="dxa"/>
            <w:tcBorders>
              <w:top w:val="single" w:sz="4" w:space="0" w:color="auto"/>
              <w:left w:val="single" w:sz="4" w:space="0" w:color="auto"/>
              <w:bottom w:val="single" w:sz="4" w:space="0" w:color="auto"/>
              <w:right w:val="single" w:sz="4" w:space="0" w:color="auto"/>
            </w:tcBorders>
            <w:vAlign w:val="center"/>
          </w:tcPr>
          <w:p w14:paraId="40090EB9" w14:textId="19DC7A1C" w:rsidR="00B265F8" w:rsidRPr="00B265F8" w:rsidRDefault="00B265F8" w:rsidP="00B265F8">
            <w:pPr>
              <w:jc w:val="center"/>
              <w:rPr>
                <w:rFonts w:cs="Arial"/>
                <w:color w:val="000000"/>
                <w:sz w:val="18"/>
                <w:szCs w:val="18"/>
              </w:rPr>
            </w:pPr>
            <w:r w:rsidRPr="00B265F8">
              <w:rPr>
                <w:rFonts w:cs="Arial"/>
                <w:color w:val="000000"/>
                <w:sz w:val="18"/>
                <w:szCs w:val="18"/>
              </w:rPr>
              <w:t xml:space="preserve">449 235 471,29 </w:t>
            </w:r>
            <w:r w:rsidRPr="00B265F8">
              <w:rPr>
                <w:rFonts w:cs="Arial"/>
                <w:sz w:val="18"/>
                <w:szCs w:val="18"/>
              </w:rPr>
              <w:t>zł</w:t>
            </w:r>
          </w:p>
        </w:tc>
      </w:tr>
      <w:tr w:rsidR="00B265F8" w:rsidRPr="00ED1A48" w14:paraId="37BB9E72" w14:textId="77777777" w:rsidTr="00B265F8">
        <w:tc>
          <w:tcPr>
            <w:tcW w:w="56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67E1D997" w14:textId="77777777" w:rsidR="00B265F8" w:rsidRPr="00ED1A48" w:rsidRDefault="00B265F8" w:rsidP="00B265F8">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481" w:type="dxa"/>
            <w:tcBorders>
              <w:top w:val="single" w:sz="4" w:space="0" w:color="auto"/>
              <w:left w:val="single" w:sz="4" w:space="0" w:color="auto"/>
              <w:bottom w:val="single" w:sz="4" w:space="0" w:color="auto"/>
              <w:right w:val="single" w:sz="4" w:space="0" w:color="auto"/>
            </w:tcBorders>
            <w:shd w:val="clear" w:color="auto" w:fill="FFF2CC"/>
            <w:vAlign w:val="center"/>
          </w:tcPr>
          <w:p w14:paraId="5E655550" w14:textId="77777777" w:rsidR="00B265F8" w:rsidRPr="003749AE" w:rsidRDefault="00B265F8" w:rsidP="00B265F8">
            <w:pPr>
              <w:jc w:val="left"/>
              <w:rPr>
                <w:rFonts w:cs="Arial"/>
                <w:b/>
                <w:color w:val="000000"/>
                <w:sz w:val="16"/>
                <w:szCs w:val="16"/>
              </w:rPr>
            </w:pPr>
            <w:r w:rsidRPr="003749AE">
              <w:rPr>
                <w:b/>
                <w:sz w:val="16"/>
                <w:szCs w:val="16"/>
              </w:rPr>
              <w:t>Określenie w kryteriach oceny ofert aspektów innowacyjnych</w:t>
            </w:r>
          </w:p>
        </w:tc>
        <w:tc>
          <w:tcPr>
            <w:tcW w:w="1895" w:type="dxa"/>
            <w:tcBorders>
              <w:top w:val="single" w:sz="4" w:space="0" w:color="auto"/>
              <w:left w:val="single" w:sz="4" w:space="0" w:color="auto"/>
              <w:bottom w:val="single" w:sz="4" w:space="0" w:color="auto"/>
              <w:right w:val="single" w:sz="4" w:space="0" w:color="auto"/>
            </w:tcBorders>
            <w:vAlign w:val="center"/>
          </w:tcPr>
          <w:p w14:paraId="7086C7A2" w14:textId="370962BA" w:rsidR="00B265F8" w:rsidRPr="000F4D14" w:rsidRDefault="00B265F8" w:rsidP="00B265F8">
            <w:pPr>
              <w:jc w:val="center"/>
              <w:rPr>
                <w:rFonts w:cs="Arial"/>
                <w:color w:val="000000"/>
                <w:sz w:val="18"/>
                <w:szCs w:val="18"/>
              </w:rPr>
            </w:pPr>
            <w:r w:rsidRPr="000F4D14">
              <w:rPr>
                <w:rFonts w:cs="Arial"/>
                <w:color w:val="000000"/>
                <w:sz w:val="18"/>
                <w:szCs w:val="18"/>
              </w:rPr>
              <w:t>17</w:t>
            </w:r>
          </w:p>
        </w:tc>
        <w:tc>
          <w:tcPr>
            <w:tcW w:w="1896" w:type="dxa"/>
            <w:tcBorders>
              <w:top w:val="single" w:sz="4" w:space="0" w:color="auto"/>
              <w:left w:val="single" w:sz="4" w:space="0" w:color="auto"/>
              <w:bottom w:val="single" w:sz="4" w:space="0" w:color="auto"/>
              <w:right w:val="single" w:sz="4" w:space="0" w:color="auto"/>
            </w:tcBorders>
            <w:vAlign w:val="center"/>
          </w:tcPr>
          <w:p w14:paraId="7DA58F6E" w14:textId="7E1D39DB" w:rsidR="00B265F8" w:rsidRPr="000F4D14" w:rsidRDefault="00B265F8" w:rsidP="00B265F8">
            <w:pPr>
              <w:jc w:val="center"/>
              <w:rPr>
                <w:rFonts w:cs="Arial"/>
                <w:color w:val="000000"/>
                <w:sz w:val="18"/>
                <w:szCs w:val="18"/>
              </w:rPr>
            </w:pPr>
            <w:r w:rsidRPr="000F4D14">
              <w:rPr>
                <w:rFonts w:cs="Arial"/>
                <w:color w:val="000000"/>
                <w:sz w:val="18"/>
                <w:szCs w:val="18"/>
              </w:rPr>
              <w:t>69 148 043,94 zł</w:t>
            </w:r>
          </w:p>
        </w:tc>
        <w:tc>
          <w:tcPr>
            <w:tcW w:w="1895" w:type="dxa"/>
            <w:tcBorders>
              <w:top w:val="single" w:sz="4" w:space="0" w:color="auto"/>
              <w:left w:val="single" w:sz="4" w:space="0" w:color="auto"/>
              <w:bottom w:val="single" w:sz="4" w:space="0" w:color="auto"/>
              <w:right w:val="single" w:sz="4" w:space="0" w:color="auto"/>
            </w:tcBorders>
            <w:vAlign w:val="center"/>
          </w:tcPr>
          <w:p w14:paraId="537C5949" w14:textId="424180EB" w:rsidR="00B265F8" w:rsidRPr="000F4D14" w:rsidRDefault="00B265F8" w:rsidP="00B265F8">
            <w:pPr>
              <w:jc w:val="center"/>
              <w:rPr>
                <w:rFonts w:cs="Arial"/>
                <w:color w:val="000000"/>
                <w:sz w:val="18"/>
                <w:szCs w:val="18"/>
              </w:rPr>
            </w:pPr>
            <w:r w:rsidRPr="00811C8A">
              <w:rPr>
                <w:rFonts w:cs="Arial"/>
                <w:color w:val="000000"/>
                <w:sz w:val="18"/>
                <w:szCs w:val="18"/>
              </w:rPr>
              <w:t>16</w:t>
            </w:r>
          </w:p>
        </w:tc>
        <w:tc>
          <w:tcPr>
            <w:tcW w:w="1896" w:type="dxa"/>
            <w:tcBorders>
              <w:top w:val="single" w:sz="4" w:space="0" w:color="auto"/>
              <w:left w:val="single" w:sz="4" w:space="0" w:color="auto"/>
              <w:bottom w:val="single" w:sz="4" w:space="0" w:color="auto"/>
              <w:right w:val="single" w:sz="4" w:space="0" w:color="auto"/>
            </w:tcBorders>
            <w:vAlign w:val="center"/>
          </w:tcPr>
          <w:p w14:paraId="647A15C4" w14:textId="65FB82AC" w:rsidR="00B265F8" w:rsidRPr="000F4D14" w:rsidRDefault="00B265F8" w:rsidP="00B265F8">
            <w:pPr>
              <w:jc w:val="center"/>
              <w:rPr>
                <w:rFonts w:cs="Arial"/>
                <w:color w:val="000000"/>
                <w:sz w:val="18"/>
                <w:szCs w:val="18"/>
              </w:rPr>
            </w:pPr>
            <w:r w:rsidRPr="00811C8A">
              <w:rPr>
                <w:rFonts w:cs="Arial"/>
                <w:color w:val="000000"/>
                <w:sz w:val="18"/>
                <w:szCs w:val="18"/>
              </w:rPr>
              <w:t>179 666 342,27 zł</w:t>
            </w:r>
          </w:p>
        </w:tc>
        <w:tc>
          <w:tcPr>
            <w:tcW w:w="1895" w:type="dxa"/>
            <w:tcBorders>
              <w:top w:val="single" w:sz="4" w:space="0" w:color="auto"/>
              <w:left w:val="single" w:sz="4" w:space="0" w:color="auto"/>
              <w:bottom w:val="single" w:sz="4" w:space="0" w:color="auto"/>
              <w:right w:val="single" w:sz="4" w:space="0" w:color="auto"/>
            </w:tcBorders>
            <w:vAlign w:val="center"/>
          </w:tcPr>
          <w:p w14:paraId="3AA1EEA6" w14:textId="3A454369" w:rsidR="00B265F8" w:rsidRPr="00B265F8" w:rsidRDefault="00B265F8" w:rsidP="00B265F8">
            <w:pPr>
              <w:jc w:val="center"/>
              <w:rPr>
                <w:rFonts w:cs="Arial"/>
                <w:color w:val="000000"/>
                <w:sz w:val="18"/>
                <w:szCs w:val="18"/>
              </w:rPr>
            </w:pPr>
            <w:r w:rsidRPr="00B265F8">
              <w:rPr>
                <w:rFonts w:cs="Arial"/>
                <w:sz w:val="18"/>
                <w:szCs w:val="18"/>
              </w:rPr>
              <w:t>18</w:t>
            </w:r>
          </w:p>
        </w:tc>
        <w:tc>
          <w:tcPr>
            <w:tcW w:w="1896" w:type="dxa"/>
            <w:tcBorders>
              <w:top w:val="single" w:sz="4" w:space="0" w:color="auto"/>
              <w:left w:val="single" w:sz="4" w:space="0" w:color="auto"/>
              <w:bottom w:val="single" w:sz="4" w:space="0" w:color="auto"/>
              <w:right w:val="single" w:sz="4" w:space="0" w:color="auto"/>
            </w:tcBorders>
            <w:vAlign w:val="center"/>
          </w:tcPr>
          <w:p w14:paraId="714D261A" w14:textId="0E37F8AD" w:rsidR="00B265F8" w:rsidRPr="00B265F8" w:rsidRDefault="00B265F8" w:rsidP="00B265F8">
            <w:pPr>
              <w:jc w:val="center"/>
              <w:rPr>
                <w:rFonts w:cs="Arial"/>
                <w:color w:val="000000"/>
                <w:sz w:val="18"/>
                <w:szCs w:val="18"/>
              </w:rPr>
            </w:pPr>
            <w:r w:rsidRPr="00B265F8">
              <w:rPr>
                <w:rFonts w:cs="Arial"/>
                <w:color w:val="000000"/>
                <w:sz w:val="18"/>
                <w:szCs w:val="18"/>
              </w:rPr>
              <w:t xml:space="preserve">316 580 573,99 </w:t>
            </w:r>
            <w:r w:rsidRPr="00B265F8">
              <w:rPr>
                <w:rFonts w:cs="Arial"/>
                <w:sz w:val="18"/>
                <w:szCs w:val="18"/>
              </w:rPr>
              <w:t>zł</w:t>
            </w:r>
          </w:p>
        </w:tc>
      </w:tr>
    </w:tbl>
    <w:p w14:paraId="0AD91928" w14:textId="77777777" w:rsidR="00B27C43" w:rsidRPr="00576772" w:rsidRDefault="00B27C43" w:rsidP="000F56F5">
      <w:pPr>
        <w:shd w:val="clear" w:color="auto" w:fill="FFFFFF"/>
        <w:spacing w:before="120"/>
        <w:jc w:val="left"/>
        <w:rPr>
          <w:rFonts w:cs="Arial"/>
          <w:color w:val="000000"/>
          <w:sz w:val="16"/>
          <w:szCs w:val="16"/>
        </w:rPr>
      </w:pPr>
      <w:r w:rsidRPr="000F4D14">
        <w:rPr>
          <w:b/>
          <w:sz w:val="16"/>
          <w:szCs w:val="16"/>
          <w:u w:val="single"/>
        </w:rPr>
        <w:t>UWAGA:</w:t>
      </w:r>
      <w:r w:rsidRPr="00576772">
        <w:rPr>
          <w:sz w:val="16"/>
          <w:szCs w:val="16"/>
        </w:rPr>
        <w:t xml:space="preserve"> Łączna liczba i wartość zamówień publicznych z zastosowaniem poszczególnych aspektów </w:t>
      </w:r>
      <w:r>
        <w:rPr>
          <w:sz w:val="16"/>
          <w:szCs w:val="16"/>
        </w:rPr>
        <w:t xml:space="preserve">innowacyjnych udzielonych przez jednostki administracji rządowej </w:t>
      </w:r>
      <w:r w:rsidRPr="00576772">
        <w:rPr>
          <w:sz w:val="16"/>
          <w:szCs w:val="16"/>
        </w:rPr>
        <w:t xml:space="preserve">jest większa niż łączna liczba i wartość </w:t>
      </w:r>
      <w:r>
        <w:rPr>
          <w:sz w:val="16"/>
          <w:szCs w:val="16"/>
        </w:rPr>
        <w:t xml:space="preserve">tych </w:t>
      </w:r>
      <w:r w:rsidRPr="00576772">
        <w:rPr>
          <w:sz w:val="16"/>
          <w:szCs w:val="16"/>
        </w:rPr>
        <w:t xml:space="preserve">zamówień </w:t>
      </w:r>
      <w:r>
        <w:rPr>
          <w:sz w:val="16"/>
          <w:szCs w:val="16"/>
        </w:rPr>
        <w:t>innowacyjnych</w:t>
      </w:r>
      <w:r w:rsidRPr="00576772">
        <w:rPr>
          <w:sz w:val="16"/>
          <w:szCs w:val="16"/>
        </w:rPr>
        <w:t xml:space="preserve"> ze względu na przypadki zastosowania więcej niż jednego aspektu </w:t>
      </w:r>
      <w:r>
        <w:rPr>
          <w:sz w:val="16"/>
          <w:szCs w:val="16"/>
        </w:rPr>
        <w:t>zw. z innowacją</w:t>
      </w:r>
      <w:r w:rsidRPr="00576772">
        <w:rPr>
          <w:sz w:val="16"/>
          <w:szCs w:val="16"/>
        </w:rPr>
        <w:t xml:space="preserve"> w jednym zamówieniu.</w:t>
      </w:r>
    </w:p>
    <w:p w14:paraId="29CBADCC" w14:textId="77777777" w:rsidR="00B27C43" w:rsidRDefault="00B27C43" w:rsidP="000F56F5">
      <w:pPr>
        <w:shd w:val="clear" w:color="auto" w:fill="FFFFFF"/>
        <w:spacing w:before="240" w:after="120"/>
        <w:jc w:val="center"/>
        <w:rPr>
          <w:rFonts w:cs="Arial"/>
          <w:b/>
          <w:color w:val="000000"/>
        </w:rPr>
      </w:pPr>
      <w:r w:rsidRPr="00ED1A48">
        <w:rPr>
          <w:rFonts w:cs="Arial"/>
          <w:b/>
          <w:color w:val="000000"/>
        </w:rPr>
        <w:t xml:space="preserve">Udział zamówień z danym aspektem innowacyjnym </w:t>
      </w:r>
      <w:r>
        <w:rPr>
          <w:rFonts w:cs="Arial"/>
          <w:b/>
          <w:color w:val="000000"/>
        </w:rPr>
        <w:t xml:space="preserve">udzielonych przez jednostki administracji rządowej </w:t>
      </w:r>
      <w:r w:rsidRPr="00ED1A48">
        <w:rPr>
          <w:rFonts w:cs="Arial"/>
          <w:b/>
          <w:color w:val="000000"/>
        </w:rPr>
        <w:t xml:space="preserve">w ogólnej liczbie oraz w ogólnej wartości innowacyjnych zamówień publicznych </w:t>
      </w:r>
      <w:r>
        <w:rPr>
          <w:rFonts w:cs="Arial"/>
          <w:b/>
          <w:color w:val="000000"/>
        </w:rPr>
        <w:t>udzielonych przez jednostki administracji rządowej</w:t>
      </w:r>
    </w:p>
    <w:tbl>
      <w:tblPr>
        <w:tblW w:w="1442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481"/>
        <w:gridCol w:w="1895"/>
        <w:gridCol w:w="1896"/>
        <w:gridCol w:w="1895"/>
        <w:gridCol w:w="1896"/>
        <w:gridCol w:w="1895"/>
        <w:gridCol w:w="1896"/>
      </w:tblGrid>
      <w:tr w:rsidR="00B27C43" w:rsidRPr="00ED1A48" w14:paraId="62F32742" w14:textId="77777777" w:rsidTr="008B35DD">
        <w:trPr>
          <w:tblHeader/>
        </w:trPr>
        <w:tc>
          <w:tcPr>
            <w:tcW w:w="3048"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2C6C07BF"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791" w:type="dxa"/>
            <w:gridSpan w:val="2"/>
            <w:tcBorders>
              <w:top w:val="single" w:sz="4" w:space="0" w:color="auto"/>
              <w:left w:val="single" w:sz="4" w:space="0" w:color="auto"/>
              <w:bottom w:val="single" w:sz="4" w:space="0" w:color="auto"/>
              <w:right w:val="single" w:sz="4" w:space="0" w:color="auto"/>
            </w:tcBorders>
            <w:shd w:val="clear" w:color="auto" w:fill="FFE599"/>
          </w:tcPr>
          <w:p w14:paraId="4771FAC9" w14:textId="4A2D04B2" w:rsidR="00B27C43" w:rsidRPr="00ED1A48" w:rsidRDefault="00B27C43" w:rsidP="00E462A3">
            <w:pPr>
              <w:jc w:val="center"/>
              <w:rPr>
                <w:rFonts w:cs="Arial"/>
                <w:b/>
                <w:bCs/>
                <w:color w:val="000000"/>
                <w:sz w:val="16"/>
                <w:szCs w:val="16"/>
              </w:rPr>
            </w:pPr>
            <w:r>
              <w:rPr>
                <w:rFonts w:cs="Arial"/>
                <w:b/>
                <w:bCs/>
                <w:color w:val="000000"/>
                <w:sz w:val="16"/>
                <w:szCs w:val="16"/>
              </w:rPr>
              <w:t>202</w:t>
            </w:r>
            <w:r w:rsidR="00E462A3">
              <w:rPr>
                <w:rFonts w:cs="Arial"/>
                <w:b/>
                <w:bCs/>
                <w:color w:val="000000"/>
                <w:sz w:val="16"/>
                <w:szCs w:val="16"/>
              </w:rPr>
              <w:t>3</w:t>
            </w:r>
            <w:r>
              <w:rPr>
                <w:rFonts w:cs="Arial"/>
                <w:b/>
                <w:bCs/>
                <w:color w:val="000000"/>
                <w:sz w:val="16"/>
                <w:szCs w:val="16"/>
              </w:rPr>
              <w:t xml:space="preserve"> r.</w:t>
            </w:r>
          </w:p>
        </w:tc>
        <w:tc>
          <w:tcPr>
            <w:tcW w:w="3791" w:type="dxa"/>
            <w:gridSpan w:val="2"/>
            <w:tcBorders>
              <w:top w:val="single" w:sz="4" w:space="0" w:color="auto"/>
              <w:left w:val="single" w:sz="4" w:space="0" w:color="auto"/>
              <w:bottom w:val="single" w:sz="4" w:space="0" w:color="auto"/>
              <w:right w:val="single" w:sz="4" w:space="0" w:color="auto"/>
            </w:tcBorders>
            <w:shd w:val="clear" w:color="auto" w:fill="FFE599"/>
          </w:tcPr>
          <w:p w14:paraId="7AAEC709" w14:textId="08E66B81" w:rsidR="00B27C43" w:rsidRPr="00ED1A48" w:rsidRDefault="00B27C43" w:rsidP="00E462A3">
            <w:pPr>
              <w:jc w:val="center"/>
              <w:rPr>
                <w:rFonts w:cs="Arial"/>
                <w:b/>
                <w:bCs/>
                <w:color w:val="000000"/>
                <w:sz w:val="16"/>
                <w:szCs w:val="16"/>
              </w:rPr>
            </w:pPr>
            <w:r>
              <w:rPr>
                <w:rFonts w:cs="Arial"/>
                <w:b/>
                <w:bCs/>
                <w:color w:val="000000"/>
                <w:sz w:val="16"/>
                <w:szCs w:val="16"/>
              </w:rPr>
              <w:t>202</w:t>
            </w:r>
            <w:r w:rsidR="00E462A3">
              <w:rPr>
                <w:rFonts w:cs="Arial"/>
                <w:b/>
                <w:bCs/>
                <w:color w:val="000000"/>
                <w:sz w:val="16"/>
                <w:szCs w:val="16"/>
              </w:rPr>
              <w:t>4</w:t>
            </w:r>
            <w:r>
              <w:rPr>
                <w:rFonts w:cs="Arial"/>
                <w:b/>
                <w:bCs/>
                <w:color w:val="000000"/>
                <w:sz w:val="16"/>
                <w:szCs w:val="16"/>
              </w:rPr>
              <w:t xml:space="preserve"> r.</w:t>
            </w:r>
          </w:p>
        </w:tc>
        <w:tc>
          <w:tcPr>
            <w:tcW w:w="3791" w:type="dxa"/>
            <w:gridSpan w:val="2"/>
            <w:tcBorders>
              <w:top w:val="single" w:sz="4" w:space="0" w:color="auto"/>
              <w:left w:val="single" w:sz="4" w:space="0" w:color="auto"/>
              <w:bottom w:val="single" w:sz="4" w:space="0" w:color="auto"/>
              <w:right w:val="single" w:sz="4" w:space="0" w:color="auto"/>
            </w:tcBorders>
            <w:shd w:val="clear" w:color="auto" w:fill="FFE599"/>
          </w:tcPr>
          <w:p w14:paraId="1E169231" w14:textId="571C1184" w:rsidR="00B27C43" w:rsidRPr="00ED1A48" w:rsidRDefault="00B27C43" w:rsidP="00E462A3">
            <w:pPr>
              <w:jc w:val="center"/>
              <w:rPr>
                <w:rFonts w:cs="Arial"/>
                <w:b/>
                <w:bCs/>
                <w:color w:val="000000"/>
                <w:sz w:val="16"/>
                <w:szCs w:val="16"/>
              </w:rPr>
            </w:pPr>
            <w:r>
              <w:rPr>
                <w:rFonts w:cs="Arial"/>
                <w:b/>
                <w:bCs/>
                <w:color w:val="000000"/>
                <w:sz w:val="16"/>
                <w:szCs w:val="16"/>
              </w:rPr>
              <w:t>202</w:t>
            </w:r>
            <w:r w:rsidR="00E462A3">
              <w:rPr>
                <w:rFonts w:cs="Arial"/>
                <w:b/>
                <w:bCs/>
                <w:color w:val="000000"/>
                <w:sz w:val="16"/>
                <w:szCs w:val="16"/>
              </w:rPr>
              <w:t>5</w:t>
            </w:r>
            <w:r>
              <w:rPr>
                <w:rFonts w:cs="Arial"/>
                <w:b/>
                <w:bCs/>
                <w:color w:val="000000"/>
                <w:sz w:val="16"/>
                <w:szCs w:val="16"/>
              </w:rPr>
              <w:t xml:space="preserve"> r.</w:t>
            </w:r>
          </w:p>
        </w:tc>
      </w:tr>
      <w:tr w:rsidR="008B35DD" w:rsidRPr="00ED1A48" w14:paraId="1FCE9272" w14:textId="77777777" w:rsidTr="008B35DD">
        <w:trPr>
          <w:tblHeader/>
        </w:trPr>
        <w:tc>
          <w:tcPr>
            <w:tcW w:w="567" w:type="dxa"/>
            <w:tcBorders>
              <w:top w:val="single" w:sz="4" w:space="0" w:color="auto"/>
              <w:left w:val="single" w:sz="4" w:space="0" w:color="auto"/>
              <w:bottom w:val="single" w:sz="4" w:space="0" w:color="auto"/>
              <w:right w:val="single" w:sz="4" w:space="0" w:color="auto"/>
            </w:tcBorders>
            <w:shd w:val="clear" w:color="auto" w:fill="FFF2CC"/>
            <w:vAlign w:val="center"/>
          </w:tcPr>
          <w:p w14:paraId="2535F76E" w14:textId="77777777" w:rsidR="008B35DD" w:rsidRPr="00ED1A48" w:rsidRDefault="008B35DD" w:rsidP="008B35DD">
            <w:pPr>
              <w:jc w:val="center"/>
              <w:rPr>
                <w:rFonts w:cs="Arial"/>
                <w:b/>
                <w:color w:val="000000"/>
                <w:sz w:val="16"/>
                <w:szCs w:val="16"/>
              </w:rPr>
            </w:pPr>
            <w:r w:rsidRPr="00ED1A48">
              <w:rPr>
                <w:rFonts w:cs="Arial"/>
                <w:b/>
                <w:color w:val="000000"/>
                <w:sz w:val="16"/>
                <w:szCs w:val="16"/>
              </w:rPr>
              <w:t>Lp.</w:t>
            </w:r>
          </w:p>
        </w:tc>
        <w:tc>
          <w:tcPr>
            <w:tcW w:w="2481" w:type="dxa"/>
            <w:tcBorders>
              <w:top w:val="single" w:sz="4" w:space="0" w:color="auto"/>
              <w:left w:val="single" w:sz="4" w:space="0" w:color="auto"/>
              <w:bottom w:val="single" w:sz="4" w:space="0" w:color="auto"/>
              <w:right w:val="single" w:sz="4" w:space="0" w:color="auto"/>
            </w:tcBorders>
            <w:shd w:val="clear" w:color="auto" w:fill="FFF2CC"/>
            <w:vAlign w:val="center"/>
          </w:tcPr>
          <w:p w14:paraId="2261F262" w14:textId="72256E7B" w:rsidR="008B35DD" w:rsidRPr="00ED1A48" w:rsidRDefault="008B35DD" w:rsidP="008B35DD">
            <w:pPr>
              <w:jc w:val="center"/>
              <w:rPr>
                <w:rFonts w:cs="Arial"/>
                <w:b/>
                <w:color w:val="000000"/>
                <w:sz w:val="16"/>
                <w:szCs w:val="16"/>
              </w:rPr>
            </w:pPr>
            <w:r w:rsidRPr="00ED1A48">
              <w:rPr>
                <w:rFonts w:cs="Arial"/>
                <w:b/>
                <w:color w:val="000000"/>
                <w:sz w:val="16"/>
                <w:szCs w:val="16"/>
              </w:rPr>
              <w:t xml:space="preserve">Aspekt </w:t>
            </w:r>
            <w:r>
              <w:rPr>
                <w:rFonts w:cs="Arial"/>
                <w:b/>
                <w:color w:val="000000"/>
                <w:sz w:val="16"/>
                <w:szCs w:val="16"/>
              </w:rPr>
              <w:t>innowacyjny</w:t>
            </w:r>
            <w:r w:rsidRPr="00ED1A48">
              <w:rPr>
                <w:rFonts w:cs="Arial"/>
                <w:b/>
                <w:color w:val="000000"/>
                <w:sz w:val="16"/>
                <w:szCs w:val="16"/>
              </w:rPr>
              <w:t xml:space="preserve"> </w:t>
            </w:r>
          </w:p>
        </w:tc>
        <w:tc>
          <w:tcPr>
            <w:tcW w:w="1895" w:type="dxa"/>
            <w:tcBorders>
              <w:top w:val="single" w:sz="4" w:space="0" w:color="auto"/>
              <w:left w:val="single" w:sz="4" w:space="0" w:color="auto"/>
              <w:bottom w:val="single" w:sz="4" w:space="0" w:color="auto"/>
              <w:right w:val="single" w:sz="4" w:space="0" w:color="auto"/>
            </w:tcBorders>
            <w:shd w:val="clear" w:color="auto" w:fill="FFF2CC"/>
            <w:vAlign w:val="center"/>
          </w:tcPr>
          <w:p w14:paraId="229C4EA7" w14:textId="549E96DB" w:rsidR="008B35DD" w:rsidRPr="00ED1A48" w:rsidRDefault="008B35DD" w:rsidP="008B35DD">
            <w:pPr>
              <w:jc w:val="center"/>
              <w:rPr>
                <w:rFonts w:cs="Arial"/>
                <w:b/>
                <w:bCs/>
                <w:color w:val="000000"/>
                <w:sz w:val="16"/>
                <w:szCs w:val="16"/>
              </w:rPr>
            </w:pPr>
            <w:r w:rsidRPr="00A5193C">
              <w:rPr>
                <w:rFonts w:cs="Arial"/>
                <w:b/>
                <w:bCs/>
                <w:color w:val="000000"/>
                <w:sz w:val="16"/>
                <w:szCs w:val="16"/>
              </w:rPr>
              <w:t>Udział zamówień z danym aspektem w ogólnej liczbie zamówień innowacyjnych udzielonych przez jedn. adm. rz.</w:t>
            </w:r>
          </w:p>
        </w:tc>
        <w:tc>
          <w:tcPr>
            <w:tcW w:w="1896" w:type="dxa"/>
            <w:tcBorders>
              <w:top w:val="single" w:sz="4" w:space="0" w:color="auto"/>
              <w:left w:val="single" w:sz="4" w:space="0" w:color="auto"/>
              <w:bottom w:val="single" w:sz="4" w:space="0" w:color="auto"/>
              <w:right w:val="single" w:sz="4" w:space="0" w:color="auto"/>
            </w:tcBorders>
            <w:shd w:val="clear" w:color="auto" w:fill="FFF2CC"/>
            <w:vAlign w:val="center"/>
          </w:tcPr>
          <w:p w14:paraId="61822738" w14:textId="323175E6" w:rsidR="008B35DD" w:rsidRPr="00ED1A48" w:rsidRDefault="008B35DD" w:rsidP="008B35DD">
            <w:pPr>
              <w:jc w:val="center"/>
              <w:rPr>
                <w:rFonts w:cs="Arial"/>
                <w:b/>
                <w:bCs/>
                <w:color w:val="000000"/>
                <w:sz w:val="16"/>
                <w:szCs w:val="16"/>
              </w:rPr>
            </w:pPr>
            <w:r>
              <w:rPr>
                <w:rFonts w:cs="Arial"/>
                <w:b/>
                <w:bCs/>
                <w:color w:val="000000"/>
                <w:sz w:val="16"/>
                <w:szCs w:val="16"/>
              </w:rPr>
              <w:t>Udział zamówień z danym aspektem w ogólnej wartości zamówień innowacyjnych udzielonych przez jedn. adm. rz.</w:t>
            </w:r>
          </w:p>
        </w:tc>
        <w:tc>
          <w:tcPr>
            <w:tcW w:w="1895" w:type="dxa"/>
            <w:tcBorders>
              <w:top w:val="single" w:sz="4" w:space="0" w:color="auto"/>
              <w:left w:val="single" w:sz="4" w:space="0" w:color="auto"/>
              <w:bottom w:val="single" w:sz="4" w:space="0" w:color="auto"/>
              <w:right w:val="single" w:sz="4" w:space="0" w:color="auto"/>
            </w:tcBorders>
            <w:shd w:val="clear" w:color="auto" w:fill="FFF2CC"/>
            <w:vAlign w:val="center"/>
          </w:tcPr>
          <w:p w14:paraId="59278548" w14:textId="37858A01" w:rsidR="008B35DD" w:rsidRPr="00ED1A48" w:rsidRDefault="008B35DD" w:rsidP="008B35DD">
            <w:pPr>
              <w:jc w:val="center"/>
              <w:rPr>
                <w:rFonts w:cs="Arial"/>
                <w:b/>
                <w:bCs/>
                <w:color w:val="000000"/>
                <w:sz w:val="16"/>
                <w:szCs w:val="16"/>
              </w:rPr>
            </w:pPr>
            <w:r w:rsidRPr="00A5193C">
              <w:rPr>
                <w:rFonts w:cs="Arial"/>
                <w:b/>
                <w:bCs/>
                <w:color w:val="000000"/>
                <w:sz w:val="16"/>
                <w:szCs w:val="16"/>
              </w:rPr>
              <w:t>Udział zamówień z danym aspektem w ogólnej liczbie zamówień innowacyjnych udzielonych przez jedn. adm. rz.</w:t>
            </w:r>
          </w:p>
        </w:tc>
        <w:tc>
          <w:tcPr>
            <w:tcW w:w="1896" w:type="dxa"/>
            <w:tcBorders>
              <w:top w:val="single" w:sz="4" w:space="0" w:color="auto"/>
              <w:left w:val="single" w:sz="4" w:space="0" w:color="auto"/>
              <w:bottom w:val="single" w:sz="4" w:space="0" w:color="auto"/>
              <w:right w:val="single" w:sz="4" w:space="0" w:color="auto"/>
            </w:tcBorders>
            <w:shd w:val="clear" w:color="auto" w:fill="FFF2CC"/>
            <w:vAlign w:val="center"/>
          </w:tcPr>
          <w:p w14:paraId="5C30F13F" w14:textId="7F8F0D52" w:rsidR="008B35DD" w:rsidRPr="00ED1A48" w:rsidRDefault="008B35DD" w:rsidP="008B35DD">
            <w:pPr>
              <w:jc w:val="center"/>
              <w:rPr>
                <w:rFonts w:cs="Arial"/>
                <w:b/>
                <w:bCs/>
                <w:color w:val="000000"/>
                <w:sz w:val="16"/>
                <w:szCs w:val="16"/>
              </w:rPr>
            </w:pPr>
            <w:r>
              <w:rPr>
                <w:rFonts w:cs="Arial"/>
                <w:b/>
                <w:bCs/>
                <w:color w:val="000000"/>
                <w:sz w:val="16"/>
                <w:szCs w:val="16"/>
              </w:rPr>
              <w:t>Udział zamówień z danym aspektem w ogólnej wartości zamówień innowacyjnych udzielonych przez jedn. adm. rz.</w:t>
            </w:r>
          </w:p>
        </w:tc>
        <w:tc>
          <w:tcPr>
            <w:tcW w:w="1895" w:type="dxa"/>
            <w:tcBorders>
              <w:top w:val="single" w:sz="4" w:space="0" w:color="auto"/>
              <w:left w:val="single" w:sz="4" w:space="0" w:color="auto"/>
              <w:bottom w:val="single" w:sz="4" w:space="0" w:color="auto"/>
              <w:right w:val="single" w:sz="4" w:space="0" w:color="auto"/>
            </w:tcBorders>
            <w:shd w:val="clear" w:color="auto" w:fill="FFF2CC"/>
            <w:vAlign w:val="center"/>
          </w:tcPr>
          <w:p w14:paraId="5CA3F2C6" w14:textId="2A876301" w:rsidR="008B35DD" w:rsidRPr="00ED1A48" w:rsidRDefault="008B35DD" w:rsidP="008B35DD">
            <w:pPr>
              <w:jc w:val="center"/>
              <w:rPr>
                <w:rFonts w:cs="Arial"/>
                <w:b/>
                <w:bCs/>
                <w:color w:val="000000"/>
                <w:sz w:val="16"/>
                <w:szCs w:val="16"/>
              </w:rPr>
            </w:pPr>
            <w:r w:rsidRPr="00A5193C">
              <w:rPr>
                <w:rFonts w:cs="Arial"/>
                <w:b/>
                <w:bCs/>
                <w:color w:val="000000"/>
                <w:sz w:val="16"/>
                <w:szCs w:val="16"/>
              </w:rPr>
              <w:t>Udział zamówień z danym aspektem w ogólnej liczbie zamówień innowacyjnych udzielonych przez jedn. adm. rz.</w:t>
            </w:r>
          </w:p>
        </w:tc>
        <w:tc>
          <w:tcPr>
            <w:tcW w:w="1896" w:type="dxa"/>
            <w:tcBorders>
              <w:top w:val="single" w:sz="4" w:space="0" w:color="auto"/>
              <w:left w:val="single" w:sz="4" w:space="0" w:color="auto"/>
              <w:bottom w:val="single" w:sz="4" w:space="0" w:color="auto"/>
              <w:right w:val="single" w:sz="4" w:space="0" w:color="auto"/>
            </w:tcBorders>
            <w:shd w:val="clear" w:color="auto" w:fill="FFF2CC"/>
            <w:vAlign w:val="center"/>
          </w:tcPr>
          <w:p w14:paraId="18A57D8F" w14:textId="12063981" w:rsidR="008B35DD" w:rsidRPr="00ED1A48" w:rsidRDefault="008B35DD" w:rsidP="008B35DD">
            <w:pPr>
              <w:jc w:val="center"/>
              <w:rPr>
                <w:rFonts w:cs="Arial"/>
                <w:b/>
                <w:bCs/>
                <w:color w:val="000000"/>
                <w:sz w:val="16"/>
                <w:szCs w:val="16"/>
              </w:rPr>
            </w:pPr>
            <w:r>
              <w:rPr>
                <w:rFonts w:cs="Arial"/>
                <w:b/>
                <w:bCs/>
                <w:color w:val="000000"/>
                <w:sz w:val="16"/>
                <w:szCs w:val="16"/>
              </w:rPr>
              <w:t>Udział zamówień z danym aspektem w ogólnej wartości zamówień innowacyjnych udzielonych przez jedn. adm. rz.</w:t>
            </w:r>
          </w:p>
        </w:tc>
      </w:tr>
      <w:tr w:rsidR="008B35DD" w:rsidRPr="00ED1A48" w14:paraId="61E89310" w14:textId="77777777" w:rsidTr="008B35DD">
        <w:tc>
          <w:tcPr>
            <w:tcW w:w="56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52D4DB6E" w14:textId="77777777" w:rsidR="008B35DD" w:rsidRPr="00ED1A48" w:rsidRDefault="008B35DD" w:rsidP="008B35DD">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2481" w:type="dxa"/>
            <w:tcBorders>
              <w:top w:val="single" w:sz="4" w:space="0" w:color="auto"/>
              <w:left w:val="single" w:sz="4" w:space="0" w:color="auto"/>
              <w:bottom w:val="single" w:sz="4" w:space="0" w:color="auto"/>
              <w:right w:val="single" w:sz="4" w:space="0" w:color="auto"/>
            </w:tcBorders>
            <w:shd w:val="clear" w:color="auto" w:fill="FFF2CC"/>
            <w:vAlign w:val="center"/>
          </w:tcPr>
          <w:p w14:paraId="4AF2F7C2" w14:textId="77777777" w:rsidR="008B35DD" w:rsidRPr="003749AE" w:rsidRDefault="008B35DD" w:rsidP="008B35DD">
            <w:pPr>
              <w:jc w:val="left"/>
              <w:rPr>
                <w:rFonts w:cs="Arial"/>
                <w:b/>
                <w:color w:val="000000"/>
                <w:sz w:val="16"/>
                <w:szCs w:val="16"/>
              </w:rPr>
            </w:pPr>
            <w:r w:rsidRPr="003749AE">
              <w:rPr>
                <w:b/>
                <w:sz w:val="16"/>
                <w:szCs w:val="16"/>
              </w:rPr>
              <w:t>Określenie wymagań zw. z realizacją zamówienia obejmujących aspekty zw. z innowacyjnością</w:t>
            </w:r>
          </w:p>
        </w:tc>
        <w:tc>
          <w:tcPr>
            <w:tcW w:w="1895" w:type="dxa"/>
            <w:tcBorders>
              <w:top w:val="single" w:sz="4" w:space="0" w:color="auto"/>
              <w:left w:val="single" w:sz="4" w:space="0" w:color="auto"/>
              <w:bottom w:val="single" w:sz="4" w:space="0" w:color="auto"/>
              <w:right w:val="single" w:sz="4" w:space="0" w:color="auto"/>
            </w:tcBorders>
            <w:vAlign w:val="center"/>
          </w:tcPr>
          <w:p w14:paraId="66179D6C" w14:textId="200AB10C" w:rsidR="008B35DD" w:rsidRPr="00185788" w:rsidRDefault="008B35DD" w:rsidP="008B35DD">
            <w:pPr>
              <w:jc w:val="center"/>
              <w:rPr>
                <w:rFonts w:cs="Arial"/>
                <w:color w:val="000000"/>
                <w:sz w:val="18"/>
                <w:szCs w:val="18"/>
              </w:rPr>
            </w:pPr>
            <w:r>
              <w:rPr>
                <w:rFonts w:cs="Arial"/>
                <w:color w:val="000000"/>
                <w:sz w:val="18"/>
                <w:szCs w:val="18"/>
              </w:rPr>
              <w:t>39</w:t>
            </w:r>
            <w:r w:rsidRPr="00185788">
              <w:rPr>
                <w:rFonts w:cs="Arial"/>
                <w:color w:val="000000"/>
                <w:sz w:val="18"/>
                <w:szCs w:val="18"/>
              </w:rPr>
              <w:t>%</w:t>
            </w:r>
          </w:p>
        </w:tc>
        <w:tc>
          <w:tcPr>
            <w:tcW w:w="1896" w:type="dxa"/>
            <w:tcBorders>
              <w:top w:val="single" w:sz="4" w:space="0" w:color="auto"/>
              <w:left w:val="single" w:sz="4" w:space="0" w:color="auto"/>
              <w:bottom w:val="single" w:sz="4" w:space="0" w:color="auto"/>
              <w:right w:val="single" w:sz="4" w:space="0" w:color="auto"/>
            </w:tcBorders>
            <w:vAlign w:val="center"/>
          </w:tcPr>
          <w:p w14:paraId="32FF312B" w14:textId="5536D826" w:rsidR="008B35DD" w:rsidRPr="00185788" w:rsidRDefault="008B35DD" w:rsidP="008B35DD">
            <w:pPr>
              <w:jc w:val="center"/>
              <w:rPr>
                <w:rFonts w:cs="Arial"/>
                <w:color w:val="000000"/>
                <w:sz w:val="18"/>
                <w:szCs w:val="18"/>
              </w:rPr>
            </w:pPr>
            <w:r>
              <w:rPr>
                <w:rFonts w:cs="Arial"/>
                <w:color w:val="000000"/>
                <w:sz w:val="18"/>
                <w:szCs w:val="18"/>
              </w:rPr>
              <w:t>92,15</w:t>
            </w:r>
            <w:r w:rsidRPr="00185788">
              <w:rPr>
                <w:rFonts w:cs="Arial"/>
                <w:color w:val="000000"/>
                <w:sz w:val="18"/>
                <w:szCs w:val="18"/>
              </w:rPr>
              <w:t>%</w:t>
            </w:r>
          </w:p>
        </w:tc>
        <w:tc>
          <w:tcPr>
            <w:tcW w:w="1895" w:type="dxa"/>
            <w:tcBorders>
              <w:top w:val="single" w:sz="4" w:space="0" w:color="auto"/>
              <w:left w:val="single" w:sz="4" w:space="0" w:color="auto"/>
              <w:bottom w:val="single" w:sz="4" w:space="0" w:color="auto"/>
              <w:right w:val="single" w:sz="4" w:space="0" w:color="auto"/>
            </w:tcBorders>
            <w:vAlign w:val="center"/>
          </w:tcPr>
          <w:p w14:paraId="030E1EE8" w14:textId="340F0BE3" w:rsidR="008B35DD" w:rsidRPr="00185788" w:rsidRDefault="008B35DD" w:rsidP="008B35DD">
            <w:pPr>
              <w:jc w:val="center"/>
              <w:rPr>
                <w:rFonts w:cs="Arial"/>
                <w:color w:val="000000"/>
                <w:sz w:val="18"/>
                <w:szCs w:val="18"/>
              </w:rPr>
            </w:pPr>
            <w:r w:rsidRPr="0072283E">
              <w:rPr>
                <w:rFonts w:cs="Arial"/>
                <w:color w:val="000000"/>
                <w:sz w:val="18"/>
                <w:szCs w:val="18"/>
              </w:rPr>
              <w:t>67,65 %</w:t>
            </w:r>
          </w:p>
        </w:tc>
        <w:tc>
          <w:tcPr>
            <w:tcW w:w="1896" w:type="dxa"/>
            <w:tcBorders>
              <w:top w:val="single" w:sz="4" w:space="0" w:color="auto"/>
              <w:left w:val="single" w:sz="4" w:space="0" w:color="auto"/>
              <w:bottom w:val="single" w:sz="4" w:space="0" w:color="auto"/>
              <w:right w:val="single" w:sz="4" w:space="0" w:color="auto"/>
            </w:tcBorders>
            <w:vAlign w:val="center"/>
          </w:tcPr>
          <w:p w14:paraId="4FC46D6B" w14:textId="4047D463" w:rsidR="008B35DD" w:rsidRPr="00185788" w:rsidRDefault="008B35DD" w:rsidP="008B35DD">
            <w:pPr>
              <w:jc w:val="center"/>
              <w:rPr>
                <w:rFonts w:cs="Arial"/>
                <w:color w:val="000000"/>
                <w:sz w:val="18"/>
                <w:szCs w:val="18"/>
              </w:rPr>
            </w:pPr>
            <w:r w:rsidRPr="0072283E">
              <w:rPr>
                <w:rFonts w:cs="Arial"/>
                <w:color w:val="000000"/>
                <w:sz w:val="18"/>
                <w:szCs w:val="18"/>
              </w:rPr>
              <w:t>81,56 %</w:t>
            </w:r>
          </w:p>
        </w:tc>
        <w:tc>
          <w:tcPr>
            <w:tcW w:w="1895" w:type="dxa"/>
            <w:tcBorders>
              <w:top w:val="single" w:sz="4" w:space="0" w:color="auto"/>
              <w:left w:val="single" w:sz="4" w:space="0" w:color="auto"/>
              <w:bottom w:val="single" w:sz="4" w:space="0" w:color="auto"/>
              <w:right w:val="single" w:sz="4" w:space="0" w:color="auto"/>
            </w:tcBorders>
            <w:vAlign w:val="center"/>
          </w:tcPr>
          <w:p w14:paraId="3DA6721F" w14:textId="14690115" w:rsidR="008B35DD" w:rsidRPr="008B35DD" w:rsidRDefault="008B35DD" w:rsidP="008B35DD">
            <w:pPr>
              <w:jc w:val="center"/>
              <w:rPr>
                <w:rFonts w:cs="Arial"/>
                <w:color w:val="000000"/>
                <w:sz w:val="18"/>
                <w:szCs w:val="18"/>
              </w:rPr>
            </w:pPr>
            <w:r w:rsidRPr="008B35DD">
              <w:rPr>
                <w:rFonts w:cs="Arial"/>
                <w:color w:val="000000"/>
                <w:sz w:val="18"/>
                <w:szCs w:val="18"/>
              </w:rPr>
              <w:t>85,71%</w:t>
            </w:r>
          </w:p>
        </w:tc>
        <w:tc>
          <w:tcPr>
            <w:tcW w:w="1896" w:type="dxa"/>
            <w:tcBorders>
              <w:top w:val="single" w:sz="4" w:space="0" w:color="auto"/>
              <w:left w:val="single" w:sz="4" w:space="0" w:color="auto"/>
              <w:bottom w:val="single" w:sz="4" w:space="0" w:color="auto"/>
              <w:right w:val="single" w:sz="4" w:space="0" w:color="auto"/>
            </w:tcBorders>
            <w:vAlign w:val="center"/>
          </w:tcPr>
          <w:p w14:paraId="3574EE59" w14:textId="1B5B4B50" w:rsidR="008B35DD" w:rsidRPr="008B35DD" w:rsidRDefault="008B35DD" w:rsidP="008B35DD">
            <w:pPr>
              <w:jc w:val="center"/>
              <w:rPr>
                <w:rFonts w:cs="Arial"/>
                <w:color w:val="000000"/>
                <w:sz w:val="18"/>
                <w:szCs w:val="18"/>
              </w:rPr>
            </w:pPr>
            <w:r w:rsidRPr="008B35DD">
              <w:rPr>
                <w:rFonts w:cs="Arial"/>
                <w:color w:val="000000"/>
                <w:sz w:val="18"/>
                <w:szCs w:val="18"/>
              </w:rPr>
              <w:t>58,66%</w:t>
            </w:r>
          </w:p>
        </w:tc>
      </w:tr>
      <w:tr w:rsidR="008B35DD" w:rsidRPr="00ED1A48" w14:paraId="40C0ED94" w14:textId="77777777" w:rsidTr="008B35DD">
        <w:tc>
          <w:tcPr>
            <w:tcW w:w="56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325EB8A3" w14:textId="77777777" w:rsidR="008B35DD" w:rsidRPr="00ED1A48" w:rsidRDefault="008B35DD" w:rsidP="008B35DD">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481" w:type="dxa"/>
            <w:tcBorders>
              <w:top w:val="single" w:sz="4" w:space="0" w:color="auto"/>
              <w:left w:val="single" w:sz="4" w:space="0" w:color="auto"/>
              <w:bottom w:val="single" w:sz="4" w:space="0" w:color="auto"/>
              <w:right w:val="single" w:sz="4" w:space="0" w:color="auto"/>
            </w:tcBorders>
            <w:shd w:val="clear" w:color="auto" w:fill="FFF2CC"/>
            <w:vAlign w:val="center"/>
          </w:tcPr>
          <w:p w14:paraId="76DE074C" w14:textId="77777777" w:rsidR="008B35DD" w:rsidRPr="003749AE" w:rsidRDefault="008B35DD" w:rsidP="008B35DD">
            <w:pPr>
              <w:jc w:val="left"/>
              <w:rPr>
                <w:rFonts w:cs="Arial"/>
                <w:b/>
                <w:color w:val="000000"/>
                <w:sz w:val="16"/>
                <w:szCs w:val="16"/>
              </w:rPr>
            </w:pPr>
            <w:r w:rsidRPr="003749AE">
              <w:rPr>
                <w:b/>
                <w:sz w:val="16"/>
                <w:szCs w:val="16"/>
              </w:rPr>
              <w:t>Określenie w kryteriach oceny ofert aspektów innowacyjnych</w:t>
            </w:r>
          </w:p>
        </w:tc>
        <w:tc>
          <w:tcPr>
            <w:tcW w:w="1895" w:type="dxa"/>
            <w:tcBorders>
              <w:top w:val="single" w:sz="4" w:space="0" w:color="auto"/>
              <w:left w:val="single" w:sz="4" w:space="0" w:color="auto"/>
              <w:bottom w:val="single" w:sz="4" w:space="0" w:color="auto"/>
              <w:right w:val="single" w:sz="4" w:space="0" w:color="auto"/>
            </w:tcBorders>
            <w:vAlign w:val="center"/>
          </w:tcPr>
          <w:p w14:paraId="3ECAF6C1" w14:textId="1EABBA66" w:rsidR="008B35DD" w:rsidRPr="00185788" w:rsidRDefault="008B35DD" w:rsidP="008B35DD">
            <w:pPr>
              <w:jc w:val="center"/>
              <w:rPr>
                <w:rFonts w:cs="Arial"/>
                <w:color w:val="000000"/>
                <w:sz w:val="18"/>
                <w:szCs w:val="18"/>
              </w:rPr>
            </w:pPr>
            <w:r>
              <w:rPr>
                <w:rFonts w:cs="Arial"/>
                <w:color w:val="000000"/>
                <w:sz w:val="18"/>
                <w:szCs w:val="18"/>
              </w:rPr>
              <w:t>80,95</w:t>
            </w:r>
            <w:r w:rsidRPr="00185788">
              <w:rPr>
                <w:rFonts w:cs="Arial"/>
                <w:color w:val="000000"/>
                <w:sz w:val="18"/>
                <w:szCs w:val="18"/>
              </w:rPr>
              <w:t>%</w:t>
            </w:r>
          </w:p>
        </w:tc>
        <w:tc>
          <w:tcPr>
            <w:tcW w:w="1896" w:type="dxa"/>
            <w:tcBorders>
              <w:top w:val="single" w:sz="4" w:space="0" w:color="auto"/>
              <w:left w:val="single" w:sz="4" w:space="0" w:color="auto"/>
              <w:bottom w:val="single" w:sz="4" w:space="0" w:color="auto"/>
              <w:right w:val="single" w:sz="4" w:space="0" w:color="auto"/>
            </w:tcBorders>
            <w:vAlign w:val="center"/>
          </w:tcPr>
          <w:p w14:paraId="0B69259B" w14:textId="3D1AAC21" w:rsidR="008B35DD" w:rsidRPr="00185788" w:rsidRDefault="008B35DD" w:rsidP="008B35DD">
            <w:pPr>
              <w:jc w:val="center"/>
              <w:rPr>
                <w:rFonts w:cs="Arial"/>
                <w:color w:val="000000"/>
                <w:sz w:val="18"/>
                <w:szCs w:val="18"/>
              </w:rPr>
            </w:pPr>
            <w:r>
              <w:rPr>
                <w:rFonts w:cs="Arial"/>
                <w:color w:val="000000"/>
                <w:sz w:val="18"/>
                <w:szCs w:val="18"/>
              </w:rPr>
              <w:t>97,84</w:t>
            </w:r>
            <w:r w:rsidRPr="00185788">
              <w:rPr>
                <w:rFonts w:cs="Arial"/>
                <w:color w:val="000000"/>
                <w:sz w:val="18"/>
                <w:szCs w:val="18"/>
              </w:rPr>
              <w:t>%</w:t>
            </w:r>
          </w:p>
        </w:tc>
        <w:tc>
          <w:tcPr>
            <w:tcW w:w="1895" w:type="dxa"/>
            <w:tcBorders>
              <w:top w:val="single" w:sz="4" w:space="0" w:color="auto"/>
              <w:left w:val="single" w:sz="4" w:space="0" w:color="auto"/>
              <w:bottom w:val="single" w:sz="4" w:space="0" w:color="auto"/>
              <w:right w:val="single" w:sz="4" w:space="0" w:color="auto"/>
            </w:tcBorders>
            <w:vAlign w:val="center"/>
          </w:tcPr>
          <w:p w14:paraId="5BD45677" w14:textId="434A35FF" w:rsidR="008B35DD" w:rsidRPr="00185788" w:rsidRDefault="008B35DD" w:rsidP="008B35DD">
            <w:pPr>
              <w:jc w:val="center"/>
              <w:rPr>
                <w:rFonts w:cs="Arial"/>
                <w:color w:val="000000"/>
                <w:sz w:val="18"/>
                <w:szCs w:val="18"/>
              </w:rPr>
            </w:pPr>
            <w:r w:rsidRPr="0072283E">
              <w:rPr>
                <w:rFonts w:cs="Arial"/>
                <w:color w:val="000000"/>
                <w:sz w:val="18"/>
                <w:szCs w:val="18"/>
              </w:rPr>
              <w:t>47,06 %</w:t>
            </w:r>
          </w:p>
        </w:tc>
        <w:tc>
          <w:tcPr>
            <w:tcW w:w="1896" w:type="dxa"/>
            <w:tcBorders>
              <w:top w:val="single" w:sz="4" w:space="0" w:color="auto"/>
              <w:left w:val="single" w:sz="4" w:space="0" w:color="auto"/>
              <w:bottom w:val="single" w:sz="4" w:space="0" w:color="auto"/>
              <w:right w:val="single" w:sz="4" w:space="0" w:color="auto"/>
            </w:tcBorders>
            <w:vAlign w:val="center"/>
          </w:tcPr>
          <w:p w14:paraId="7C06050B" w14:textId="11064078" w:rsidR="008B35DD" w:rsidRPr="00185788" w:rsidRDefault="008B35DD" w:rsidP="008B35DD">
            <w:pPr>
              <w:jc w:val="center"/>
              <w:rPr>
                <w:rFonts w:cs="Arial"/>
                <w:color w:val="000000"/>
                <w:sz w:val="18"/>
                <w:szCs w:val="18"/>
              </w:rPr>
            </w:pPr>
            <w:r w:rsidRPr="0072283E">
              <w:rPr>
                <w:rFonts w:cs="Arial"/>
                <w:color w:val="000000"/>
                <w:sz w:val="18"/>
                <w:szCs w:val="18"/>
              </w:rPr>
              <w:t>97,52 %</w:t>
            </w:r>
          </w:p>
        </w:tc>
        <w:tc>
          <w:tcPr>
            <w:tcW w:w="1895" w:type="dxa"/>
            <w:tcBorders>
              <w:top w:val="single" w:sz="4" w:space="0" w:color="auto"/>
              <w:left w:val="single" w:sz="4" w:space="0" w:color="auto"/>
              <w:bottom w:val="single" w:sz="4" w:space="0" w:color="auto"/>
              <w:right w:val="single" w:sz="4" w:space="0" w:color="auto"/>
            </w:tcBorders>
            <w:vAlign w:val="center"/>
          </w:tcPr>
          <w:p w14:paraId="0DFC73D4" w14:textId="1864F6E2" w:rsidR="008B35DD" w:rsidRPr="008B35DD" w:rsidRDefault="008B35DD" w:rsidP="008B35DD">
            <w:pPr>
              <w:jc w:val="center"/>
              <w:rPr>
                <w:rFonts w:cs="Arial"/>
                <w:color w:val="000000"/>
                <w:sz w:val="18"/>
                <w:szCs w:val="18"/>
              </w:rPr>
            </w:pPr>
            <w:r w:rsidRPr="008B35DD">
              <w:rPr>
                <w:rFonts w:cs="Arial"/>
                <w:color w:val="000000"/>
                <w:sz w:val="18"/>
                <w:szCs w:val="18"/>
              </w:rPr>
              <w:t>64,29%</w:t>
            </w:r>
          </w:p>
        </w:tc>
        <w:tc>
          <w:tcPr>
            <w:tcW w:w="1896" w:type="dxa"/>
            <w:tcBorders>
              <w:top w:val="single" w:sz="4" w:space="0" w:color="auto"/>
              <w:left w:val="single" w:sz="4" w:space="0" w:color="auto"/>
              <w:bottom w:val="single" w:sz="4" w:space="0" w:color="auto"/>
              <w:right w:val="single" w:sz="4" w:space="0" w:color="auto"/>
            </w:tcBorders>
            <w:vAlign w:val="center"/>
          </w:tcPr>
          <w:p w14:paraId="28F4572C" w14:textId="74600621" w:rsidR="008B35DD" w:rsidRPr="008B35DD" w:rsidRDefault="008B35DD" w:rsidP="008B35DD">
            <w:pPr>
              <w:jc w:val="center"/>
              <w:rPr>
                <w:rFonts w:cs="Arial"/>
                <w:color w:val="000000"/>
                <w:sz w:val="18"/>
                <w:szCs w:val="18"/>
              </w:rPr>
            </w:pPr>
            <w:r w:rsidRPr="008B35DD">
              <w:rPr>
                <w:rFonts w:cs="Arial"/>
                <w:color w:val="000000"/>
                <w:sz w:val="18"/>
                <w:szCs w:val="18"/>
              </w:rPr>
              <w:t>41,34%</w:t>
            </w:r>
          </w:p>
        </w:tc>
      </w:tr>
    </w:tbl>
    <w:p w14:paraId="4399E923" w14:textId="77777777" w:rsidR="00B27C43" w:rsidRDefault="00B27C43" w:rsidP="000F56F5">
      <w:pPr>
        <w:shd w:val="clear" w:color="auto" w:fill="FFFFFF"/>
        <w:spacing w:before="120"/>
        <w:jc w:val="left"/>
        <w:rPr>
          <w:rFonts w:cs="Arial"/>
          <w:b/>
          <w:color w:val="000000"/>
        </w:rPr>
      </w:pPr>
      <w:r w:rsidRPr="000F4D14">
        <w:rPr>
          <w:b/>
          <w:sz w:val="16"/>
          <w:szCs w:val="16"/>
          <w:u w:val="single"/>
        </w:rPr>
        <w:t>UWAGA</w:t>
      </w:r>
      <w:r w:rsidRPr="004C0201">
        <w:rPr>
          <w:sz w:val="16"/>
          <w:szCs w:val="16"/>
        </w:rPr>
        <w:t xml:space="preserve">: Suma udziałów zamówień z zastosowaniem poszczególnych aspektów </w:t>
      </w:r>
      <w:r>
        <w:rPr>
          <w:sz w:val="16"/>
          <w:szCs w:val="16"/>
        </w:rPr>
        <w:t xml:space="preserve">innowacyjnych udzielonych przez jednostki administracji rządowej </w:t>
      </w:r>
      <w:r w:rsidRPr="004C0201">
        <w:rPr>
          <w:sz w:val="16"/>
          <w:szCs w:val="16"/>
        </w:rPr>
        <w:t xml:space="preserve">w ogólnej liczbie i wartości </w:t>
      </w:r>
      <w:r>
        <w:rPr>
          <w:sz w:val="16"/>
          <w:szCs w:val="16"/>
        </w:rPr>
        <w:t xml:space="preserve">innowacyjnych </w:t>
      </w:r>
      <w:r w:rsidRPr="004C0201">
        <w:rPr>
          <w:sz w:val="16"/>
          <w:szCs w:val="16"/>
        </w:rPr>
        <w:t xml:space="preserve">zamówień </w:t>
      </w:r>
      <w:r>
        <w:rPr>
          <w:sz w:val="16"/>
          <w:szCs w:val="16"/>
        </w:rPr>
        <w:t xml:space="preserve">udzielonych przez jednostki administracji rządowej </w:t>
      </w:r>
      <w:r w:rsidRPr="004C0201">
        <w:rPr>
          <w:sz w:val="16"/>
          <w:szCs w:val="16"/>
        </w:rPr>
        <w:t xml:space="preserve">jest większa niż łączna liczba i wartość zamówień </w:t>
      </w:r>
      <w:r>
        <w:rPr>
          <w:sz w:val="16"/>
          <w:szCs w:val="16"/>
        </w:rPr>
        <w:t>innowacyjnych</w:t>
      </w:r>
      <w:r w:rsidRPr="004C0201">
        <w:rPr>
          <w:sz w:val="16"/>
          <w:szCs w:val="16"/>
        </w:rPr>
        <w:t xml:space="preserve"> </w:t>
      </w:r>
      <w:r>
        <w:rPr>
          <w:sz w:val="16"/>
          <w:szCs w:val="16"/>
        </w:rPr>
        <w:t xml:space="preserve">udzielonych przez jednostki administracji rządowej </w:t>
      </w:r>
      <w:r w:rsidRPr="004C0201">
        <w:rPr>
          <w:sz w:val="16"/>
          <w:szCs w:val="16"/>
        </w:rPr>
        <w:t xml:space="preserve">ze względu na przypadki zastosowania więcej niż jednego aspektu </w:t>
      </w:r>
      <w:r>
        <w:rPr>
          <w:sz w:val="16"/>
          <w:szCs w:val="16"/>
        </w:rPr>
        <w:t>innowacyjnego</w:t>
      </w:r>
      <w:r w:rsidRPr="004C0201">
        <w:rPr>
          <w:sz w:val="16"/>
          <w:szCs w:val="16"/>
        </w:rPr>
        <w:t xml:space="preserve"> w jednym zamówieniu.</w:t>
      </w:r>
    </w:p>
    <w:p w14:paraId="6001EBB0" w14:textId="77777777" w:rsidR="00B27C43" w:rsidRDefault="00B27C43" w:rsidP="00B27C43">
      <w:pPr>
        <w:jc w:val="left"/>
        <w:rPr>
          <w:szCs w:val="22"/>
        </w:rPr>
      </w:pPr>
    </w:p>
    <w:p w14:paraId="29F9DB17" w14:textId="77777777" w:rsidR="00B27C43" w:rsidRDefault="00B27C43" w:rsidP="00B27C43">
      <w:pPr>
        <w:jc w:val="left"/>
        <w:rPr>
          <w:szCs w:val="22"/>
        </w:rPr>
        <w:sectPr w:rsidR="00B27C43" w:rsidSect="00D50E39">
          <w:pgSz w:w="16838" w:h="11906" w:orient="landscape"/>
          <w:pgMar w:top="1418" w:right="1418" w:bottom="1418" w:left="1418" w:header="709" w:footer="709" w:gutter="0"/>
          <w:cols w:space="708"/>
          <w:docGrid w:linePitch="299"/>
        </w:sectPr>
      </w:pPr>
    </w:p>
    <w:p w14:paraId="6E5133D0" w14:textId="5C55E765" w:rsidR="00B269A9" w:rsidRDefault="00A71718" w:rsidP="00852522">
      <w:pPr>
        <w:pStyle w:val="Nagwek4"/>
      </w:pPr>
      <w:bookmarkStart w:id="352" w:name="_Załącznik_nr_8."/>
      <w:bookmarkStart w:id="353" w:name="_Załącznik_nr_9."/>
      <w:bookmarkEnd w:id="352"/>
      <w:bookmarkEnd w:id="353"/>
      <w:r w:rsidRPr="00A71718">
        <w:t xml:space="preserve">Załącznik nr </w:t>
      </w:r>
      <w:r w:rsidR="002972A1">
        <w:t>7</w:t>
      </w:r>
      <w:r>
        <w:t xml:space="preserve">. </w:t>
      </w:r>
      <w:r w:rsidR="00B269A9" w:rsidRPr="001B6900">
        <w:t>Wykaz aktów prawnych obowiązujących w 20</w:t>
      </w:r>
      <w:r w:rsidR="00B269A9">
        <w:t>2</w:t>
      </w:r>
      <w:r w:rsidR="000C62EF">
        <w:t>5</w:t>
      </w:r>
      <w:r w:rsidR="00B269A9" w:rsidRPr="001B6900">
        <w:t xml:space="preserve"> r. regulujących zagadnienia z dziedziny zamówień publicznych na szczeblu unijnym</w:t>
      </w:r>
    </w:p>
    <w:p w14:paraId="088A2BAE" w14:textId="77777777" w:rsidR="00C609C6" w:rsidRPr="00E275F8" w:rsidRDefault="00C609C6" w:rsidP="00DB7D15">
      <w:pPr>
        <w:spacing w:after="120"/>
        <w:rPr>
          <w:b/>
          <w:color w:val="0070C0"/>
        </w:rPr>
      </w:pPr>
      <w:r w:rsidRPr="00E275F8">
        <w:rPr>
          <w:b/>
          <w:color w:val="0070C0"/>
        </w:rPr>
        <w:t>Dyrektywy</w:t>
      </w:r>
    </w:p>
    <w:p w14:paraId="100BA844" w14:textId="77777777" w:rsidR="00E10423" w:rsidRPr="00E10423" w:rsidRDefault="00E10423" w:rsidP="00565A93">
      <w:pPr>
        <w:numPr>
          <w:ilvl w:val="0"/>
          <w:numId w:val="35"/>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Dyrektywa </w:t>
      </w:r>
      <w:r w:rsidRPr="00E10423">
        <w:rPr>
          <w:rFonts w:eastAsiaTheme="minorHAnsi" w:cs="Arial"/>
          <w:b/>
          <w:bCs/>
          <w:kern w:val="2"/>
          <w:szCs w:val="22"/>
          <w:lang w:eastAsia="en-US"/>
          <w14:ligatures w14:val="standardContextual"/>
        </w:rPr>
        <w:t>2014/24/UE</w:t>
      </w:r>
      <w:r w:rsidRPr="00E10423">
        <w:rPr>
          <w:rFonts w:eastAsiaTheme="minorHAnsi" w:cs="Arial"/>
          <w:bCs/>
          <w:kern w:val="2"/>
          <w:szCs w:val="22"/>
          <w:lang w:eastAsia="en-US"/>
          <w14:ligatures w14:val="standardContextual"/>
        </w:rPr>
        <w:t xml:space="preserve"> Parlamentu Europejskiego i Rady z dnia 26 lutego 2014 r. w sprawie zamówień publicznych, uchylająca dyrektywę 2004/18/WE (Dz. Urz. UE L 94 z 28.03.2014, str. 65, z późn. zm.) (tzw. dyrektywa klasyczna)</w:t>
      </w:r>
    </w:p>
    <w:p w14:paraId="2A42F6BC" w14:textId="77777777" w:rsidR="00E10423" w:rsidRPr="00E10423" w:rsidRDefault="00E10423" w:rsidP="00565A93">
      <w:pPr>
        <w:numPr>
          <w:ilvl w:val="0"/>
          <w:numId w:val="35"/>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Dyrektywa </w:t>
      </w:r>
      <w:r w:rsidRPr="00E10423">
        <w:rPr>
          <w:rFonts w:eastAsiaTheme="minorHAnsi" w:cs="Arial"/>
          <w:b/>
          <w:bCs/>
          <w:kern w:val="2"/>
          <w:szCs w:val="22"/>
          <w:lang w:eastAsia="en-US"/>
          <w14:ligatures w14:val="standardContextual"/>
        </w:rPr>
        <w:t>2014/25/UE</w:t>
      </w:r>
      <w:r w:rsidRPr="00E10423">
        <w:rPr>
          <w:rFonts w:eastAsiaTheme="minorHAnsi" w:cs="Arial"/>
          <w:bCs/>
          <w:kern w:val="2"/>
          <w:szCs w:val="22"/>
          <w:lang w:eastAsia="en-US"/>
          <w14:ligatures w14:val="standardContextual"/>
        </w:rPr>
        <w:t xml:space="preserve"> Parlamentu Europejskiego i Rady z dnia 26 lutego 2014 r. w sprawie udzielania zamówień przez podmioty działające w sektorach gospodarki wodnej, energetyki, transportu i usług pocztowych, uchylająca dyrektywę 2004/17/WE (Dz. Urz. UE L 94 z 28.03.2014, str. 243, z późn. zm.) (tzw. dyrektywa sektorowa)</w:t>
      </w:r>
    </w:p>
    <w:p w14:paraId="6600642C" w14:textId="77777777" w:rsidR="00E10423" w:rsidRPr="00E10423" w:rsidRDefault="00E10423" w:rsidP="00565A93">
      <w:pPr>
        <w:numPr>
          <w:ilvl w:val="0"/>
          <w:numId w:val="35"/>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Dyrektywa </w:t>
      </w:r>
      <w:r w:rsidRPr="00E10423">
        <w:rPr>
          <w:rFonts w:eastAsiaTheme="minorHAnsi" w:cs="Arial"/>
          <w:b/>
          <w:bCs/>
          <w:kern w:val="2"/>
          <w:szCs w:val="22"/>
          <w:lang w:eastAsia="en-US"/>
          <w14:ligatures w14:val="standardContextual"/>
        </w:rPr>
        <w:t>2014/23/UE</w:t>
      </w:r>
      <w:r w:rsidRPr="00E10423">
        <w:rPr>
          <w:rFonts w:eastAsiaTheme="minorHAnsi" w:cs="Arial"/>
          <w:bCs/>
          <w:kern w:val="2"/>
          <w:szCs w:val="22"/>
          <w:lang w:eastAsia="en-US"/>
          <w14:ligatures w14:val="standardContextual"/>
        </w:rPr>
        <w:t xml:space="preserve"> Parlamentu Europejskiego i Rady z dnia 26 lutego 2014 r. w sprawie udzielania koncesji (Dz. Urz. UE L 94 z 28.03.2014, str. 1, z późn. zm.) (tzw. dyrektywa koncesyjna).</w:t>
      </w:r>
    </w:p>
    <w:p w14:paraId="380FD453" w14:textId="77777777" w:rsidR="00E10423" w:rsidRPr="00E10423" w:rsidRDefault="00E10423" w:rsidP="00565A93">
      <w:pPr>
        <w:numPr>
          <w:ilvl w:val="0"/>
          <w:numId w:val="35"/>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Dyrektywa </w:t>
      </w:r>
      <w:r w:rsidRPr="00E10423">
        <w:rPr>
          <w:rFonts w:eastAsiaTheme="minorHAnsi" w:cs="Arial"/>
          <w:b/>
          <w:bCs/>
          <w:kern w:val="2"/>
          <w:szCs w:val="22"/>
          <w:lang w:eastAsia="en-US"/>
          <w14:ligatures w14:val="standardContextual"/>
        </w:rPr>
        <w:t>2009/81/WE</w:t>
      </w:r>
      <w:r w:rsidRPr="00E10423">
        <w:rPr>
          <w:rFonts w:eastAsiaTheme="minorHAnsi" w:cs="Arial"/>
          <w:bCs/>
          <w:kern w:val="2"/>
          <w:szCs w:val="22"/>
          <w:lang w:eastAsia="en-US"/>
          <w14:ligatures w14:val="standardContextual"/>
        </w:rPr>
        <w:t xml:space="preserve"> Parlamentu Europejskiego i Rady z dnia 13 lipca 2009 r. w sprawie koordynacji procedur udzielania niektórych zamówień na roboty budowlane, dostawy i usługi przez instytucje lub podmioty zamawiające w dziedzinach obronności i bezpieczeństwa i zmieniająca dyrektywy 2004/17/WE i 2004/18/WE (Dz. Urz. UE L 216 z 20.08.2009, str. 76, z późn. zm.) (tzw. dyrektywa obronna).</w:t>
      </w:r>
    </w:p>
    <w:p w14:paraId="52513856" w14:textId="77777777" w:rsidR="00E10423" w:rsidRPr="00E10423" w:rsidRDefault="00E10423" w:rsidP="00565A93">
      <w:pPr>
        <w:numPr>
          <w:ilvl w:val="0"/>
          <w:numId w:val="35"/>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Dyrektywa Rady </w:t>
      </w:r>
      <w:r w:rsidRPr="00E10423">
        <w:rPr>
          <w:rFonts w:eastAsiaTheme="minorHAnsi" w:cs="Arial"/>
          <w:b/>
          <w:bCs/>
          <w:kern w:val="2"/>
          <w:szCs w:val="22"/>
          <w:lang w:eastAsia="en-US"/>
          <w14:ligatures w14:val="standardContextual"/>
        </w:rPr>
        <w:t>89/665/EWG</w:t>
      </w:r>
      <w:r w:rsidRPr="00E10423">
        <w:rPr>
          <w:rFonts w:eastAsiaTheme="minorHAnsi" w:cs="Arial"/>
          <w:bCs/>
          <w:kern w:val="2"/>
          <w:szCs w:val="22"/>
          <w:lang w:eastAsia="en-US"/>
          <w14:ligatures w14:val="standardContextual"/>
        </w:rPr>
        <w:t xml:space="preserve"> z dnia 21 grudnia 1989 r. w sprawie koordynacji przepisów ustawowych, wykonawczych i administracyjnych odnoszących się do stosowania procedur odwoławczych w zakresie udzielania zamówień publicznych na dostawy i roboty budowlane (Dz. Urz. WE z 30.12.1989 r. L 295, str. 33) oraz dyrektywa Rady </w:t>
      </w:r>
      <w:r w:rsidRPr="00E10423">
        <w:rPr>
          <w:rFonts w:eastAsiaTheme="minorHAnsi" w:cs="Arial"/>
          <w:b/>
          <w:bCs/>
          <w:kern w:val="2"/>
          <w:szCs w:val="22"/>
          <w:lang w:eastAsia="en-US"/>
          <w14:ligatures w14:val="standardContextual"/>
        </w:rPr>
        <w:t>92/13/EWG</w:t>
      </w:r>
      <w:r w:rsidRPr="00E10423">
        <w:rPr>
          <w:rFonts w:eastAsiaTheme="minorHAnsi" w:cs="Arial"/>
          <w:bCs/>
          <w:kern w:val="2"/>
          <w:szCs w:val="22"/>
          <w:lang w:eastAsia="en-US"/>
          <w14:ligatures w14:val="standardContextual"/>
        </w:rPr>
        <w:t xml:space="preserve"> z dnia 25 lutego 1992 r. koordynująca przepisy ustawowe, wykonawcze i administracyjne odnoszące się do stosowania przepisów wspólnotowych w procedurach zamówień publicznych podmiotów działających w sektorach gospodarki wodnej, energetyki, transportu i telekomunikacji (Dz. Urz. WE z 23.03.1992 r. L 76, str. 14) zmienione dyrektywą </w:t>
      </w:r>
      <w:r w:rsidRPr="00E10423">
        <w:rPr>
          <w:rFonts w:eastAsiaTheme="minorHAnsi" w:cs="Arial"/>
          <w:b/>
          <w:bCs/>
          <w:kern w:val="2"/>
          <w:szCs w:val="22"/>
          <w:lang w:eastAsia="en-US"/>
          <w14:ligatures w14:val="standardContextual"/>
        </w:rPr>
        <w:t>2007/66/WE</w:t>
      </w:r>
      <w:r w:rsidRPr="00E10423">
        <w:rPr>
          <w:rFonts w:eastAsiaTheme="minorHAnsi" w:cs="Arial"/>
          <w:bCs/>
          <w:kern w:val="2"/>
          <w:szCs w:val="22"/>
          <w:lang w:eastAsia="en-US"/>
          <w14:ligatures w14:val="standardContextual"/>
        </w:rPr>
        <w:t xml:space="preserve"> Parlamentu Europejskiego i Rady z dnia 11 grudnia 2007 r. zmieniająca dyrektywy Rady 89/665/EWG i 92/13/EWG w zakresie poprawy skuteczności procedur odwoławczych w dziedzinie udzielania zamówień publicznych (Dz. Urz. UE L 335 z 20.12.2007, str. 31) (tzw. dyrektywy odwoławcze).</w:t>
      </w:r>
    </w:p>
    <w:p w14:paraId="10EB2053" w14:textId="77777777" w:rsidR="00E10423" w:rsidRPr="00E10423" w:rsidRDefault="00E10423" w:rsidP="00565A93">
      <w:pPr>
        <w:numPr>
          <w:ilvl w:val="0"/>
          <w:numId w:val="35"/>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Dyrektywa </w:t>
      </w:r>
      <w:r w:rsidRPr="00E10423">
        <w:rPr>
          <w:rFonts w:eastAsiaTheme="minorHAnsi" w:cs="Arial"/>
          <w:b/>
          <w:bCs/>
          <w:kern w:val="2"/>
          <w:szCs w:val="22"/>
          <w:lang w:eastAsia="en-US"/>
          <w14:ligatures w14:val="standardContextual"/>
        </w:rPr>
        <w:t>2014/55/UE</w:t>
      </w:r>
      <w:r w:rsidRPr="00E10423">
        <w:rPr>
          <w:rFonts w:eastAsiaTheme="minorHAnsi" w:cs="Arial"/>
          <w:bCs/>
          <w:kern w:val="2"/>
          <w:szCs w:val="22"/>
          <w:lang w:eastAsia="en-US"/>
          <w14:ligatures w14:val="standardContextual"/>
        </w:rPr>
        <w:t xml:space="preserve"> Parlamentu Europejskiego i Rady z dnia 16 kwietnia 2014 r. w sprawie fakturowania elektronicznego w zamówieniach publicznych (Dz. Urz. UE L 133 z 06.05.2014, str. 1).</w:t>
      </w:r>
    </w:p>
    <w:p w14:paraId="699B6C3C" w14:textId="516AE347" w:rsidR="00C609C6" w:rsidRPr="00E275F8" w:rsidRDefault="00C609C6" w:rsidP="00E10423">
      <w:pPr>
        <w:spacing w:before="120" w:after="120"/>
        <w:rPr>
          <w:b/>
          <w:color w:val="0070C0"/>
        </w:rPr>
      </w:pPr>
      <w:r w:rsidRPr="00E275F8">
        <w:rPr>
          <w:b/>
          <w:color w:val="0070C0"/>
        </w:rPr>
        <w:t>Rozporządzenia</w:t>
      </w:r>
    </w:p>
    <w:p w14:paraId="431A4CC7" w14:textId="77777777" w:rsidR="00E10423" w:rsidRPr="00E10423" w:rsidRDefault="00E10423" w:rsidP="00565A93">
      <w:pPr>
        <w:numPr>
          <w:ilvl w:val="0"/>
          <w:numId w:val="36"/>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Rozporządzenie Komisji (WE) nr </w:t>
      </w:r>
      <w:r w:rsidRPr="00E10423">
        <w:rPr>
          <w:rFonts w:eastAsiaTheme="minorHAnsi" w:cs="Arial"/>
          <w:b/>
          <w:bCs/>
          <w:kern w:val="2"/>
          <w:szCs w:val="22"/>
          <w:lang w:eastAsia="en-US"/>
          <w14:ligatures w14:val="standardContextual"/>
        </w:rPr>
        <w:t>213/2008</w:t>
      </w:r>
      <w:r w:rsidRPr="00E10423">
        <w:rPr>
          <w:rFonts w:eastAsiaTheme="minorHAnsi" w:cs="Arial"/>
          <w:bCs/>
          <w:kern w:val="2"/>
          <w:szCs w:val="22"/>
          <w:lang w:eastAsia="en-US"/>
          <w14:ligatures w14:val="standardContextual"/>
        </w:rPr>
        <w:t xml:space="preserve"> z dnia 28 listopada 2007 r. zmieniające rozporządzenie (WE) nr 2195/2002 Parlamentu Europejskiego i Rady w sprawie Wspólnego Słownika Zamówień (CPV) oraz dyrektywy 2004/17/WE i 2004/18/WE Parlamentu Europejskiego i Rady dotyczące procedur udzielania zamówień publicznych w zakresie zmiany CPV (Dz. Urz. UE L 74 z 15.03.2008, str. 1) (Wspólny słownik zamówień).</w:t>
      </w:r>
    </w:p>
    <w:p w14:paraId="63004967" w14:textId="77777777" w:rsidR="00E10423" w:rsidRPr="00E10423" w:rsidRDefault="00E10423" w:rsidP="00565A93">
      <w:pPr>
        <w:numPr>
          <w:ilvl w:val="0"/>
          <w:numId w:val="36"/>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Rozporządzenie wykonawcze Komisji (UE) </w:t>
      </w:r>
      <w:r w:rsidRPr="00E10423">
        <w:rPr>
          <w:rFonts w:eastAsiaTheme="minorHAnsi" w:cs="Arial"/>
          <w:b/>
          <w:bCs/>
          <w:kern w:val="2"/>
          <w:szCs w:val="22"/>
          <w:lang w:eastAsia="en-US"/>
          <w14:ligatures w14:val="standardContextual"/>
        </w:rPr>
        <w:t>2016/7</w:t>
      </w:r>
      <w:r w:rsidRPr="00E10423">
        <w:rPr>
          <w:rFonts w:eastAsiaTheme="minorHAnsi" w:cs="Arial"/>
          <w:bCs/>
          <w:kern w:val="2"/>
          <w:szCs w:val="22"/>
          <w:lang w:eastAsia="en-US"/>
          <w14:ligatures w14:val="standardContextual"/>
        </w:rPr>
        <w:t xml:space="preserve"> z dnia 5 stycznia 2016 r. ustanawiające standardowy formularz jednolitego europejskiego dokumentu zamówienia (Dz. Urz. UE L 3 z 06.01.2016, str. 16) (Jednolity Europejski Dokument Zamówienia).</w:t>
      </w:r>
    </w:p>
    <w:p w14:paraId="1D0CEFD4" w14:textId="77777777" w:rsidR="00E10423" w:rsidRPr="00E10423" w:rsidRDefault="00E10423" w:rsidP="00565A93">
      <w:pPr>
        <w:numPr>
          <w:ilvl w:val="0"/>
          <w:numId w:val="36"/>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Rozporządzenie Rady (UE) </w:t>
      </w:r>
      <w:r w:rsidRPr="00E10423">
        <w:rPr>
          <w:rFonts w:eastAsiaTheme="minorHAnsi" w:cs="Arial"/>
          <w:b/>
          <w:bCs/>
          <w:kern w:val="2"/>
          <w:szCs w:val="22"/>
          <w:lang w:eastAsia="en-US"/>
          <w14:ligatures w14:val="standardContextual"/>
        </w:rPr>
        <w:t>2022/576</w:t>
      </w:r>
      <w:r w:rsidRPr="00E10423">
        <w:rPr>
          <w:rFonts w:eastAsiaTheme="minorHAnsi" w:cs="Arial"/>
          <w:bCs/>
          <w:kern w:val="2"/>
          <w:szCs w:val="22"/>
          <w:lang w:eastAsia="en-US"/>
          <w14:ligatures w14:val="standardContextual"/>
        </w:rPr>
        <w:t xml:space="preserve"> z dnia 8 kwietnia 2022 r. w sprawie zmiany rozporządzenia (UE) nr 833/2014 dotyczącego środków ograniczających w związku z działaniami Rosji destabilizującymi sytuację na Ukrainie (Dz. Urz. UE L 111 z 08.04.2022, str. 1).</w:t>
      </w:r>
    </w:p>
    <w:p w14:paraId="145951B7" w14:textId="77777777" w:rsidR="00E10423" w:rsidRPr="00E10423" w:rsidRDefault="00E10423" w:rsidP="00565A93">
      <w:pPr>
        <w:numPr>
          <w:ilvl w:val="0"/>
          <w:numId w:val="36"/>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Rozporządzenie Parlamentu Europejskiego i Rady (UE) </w:t>
      </w:r>
      <w:r w:rsidRPr="00E10423">
        <w:rPr>
          <w:rFonts w:eastAsiaTheme="minorHAnsi" w:cs="Arial"/>
          <w:b/>
          <w:bCs/>
          <w:kern w:val="2"/>
          <w:szCs w:val="22"/>
          <w:lang w:eastAsia="en-US"/>
          <w14:ligatures w14:val="standardContextual"/>
        </w:rPr>
        <w:t>2022/1031</w:t>
      </w:r>
      <w:r w:rsidRPr="00E10423">
        <w:rPr>
          <w:rFonts w:eastAsiaTheme="minorHAnsi" w:cs="Arial"/>
          <w:bCs/>
          <w:kern w:val="2"/>
          <w:szCs w:val="22"/>
          <w:lang w:eastAsia="en-US"/>
          <w14:ligatures w14:val="standardContextual"/>
        </w:rPr>
        <w:t xml:space="preserve"> z dnia 23 czerwca 2022 r. w sprawie dostępu wykonawców, towarów i usług z państw trzecich do unijnych rynków zamówień publicznych i koncesji oraz procedur wspierających negocjacje dotyczące dostępu unijnych wykonawców, towarów i usług do rynków zamówień publicznych i koncesji państw trzecich (Dz. Urz. UE L 173 z 30.06.2022, str. 1) i wydane na jego podstawie:</w:t>
      </w:r>
    </w:p>
    <w:p w14:paraId="41A087B6" w14:textId="77777777" w:rsidR="00E10423" w:rsidRPr="00E10423" w:rsidRDefault="00E10423" w:rsidP="00565A93">
      <w:pPr>
        <w:numPr>
          <w:ilvl w:val="0"/>
          <w:numId w:val="37"/>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rozporządzenie wykonawcze Komisji (UE) </w:t>
      </w:r>
      <w:r w:rsidRPr="00E10423">
        <w:rPr>
          <w:rFonts w:eastAsiaTheme="minorHAnsi" w:cs="Arial"/>
          <w:b/>
          <w:bCs/>
          <w:kern w:val="2"/>
          <w:szCs w:val="22"/>
          <w:lang w:eastAsia="en-US"/>
          <w14:ligatures w14:val="standardContextual"/>
        </w:rPr>
        <w:t>2025/1197</w:t>
      </w:r>
      <w:r w:rsidRPr="00E10423">
        <w:rPr>
          <w:rFonts w:eastAsiaTheme="minorHAnsi" w:cs="Arial"/>
          <w:bCs/>
          <w:kern w:val="2"/>
          <w:szCs w:val="22"/>
          <w:lang w:eastAsia="en-US"/>
          <w14:ligatures w14:val="standardContextual"/>
        </w:rPr>
        <w:t xml:space="preserve"> z dnia 19 czerwca 2025 r. nakładające środek Instrumentu Zamówień Międzynarodowych ograniczający dostęp wykonawców i wyrobów medycznych pochodzących z Chińskiej Republiki Ludowej do unijnego rynku zamówień publicznych dla wyrobów medycznych zgodnie z rozporządzeniem Parlamentu Europejskiego i Rady (UE) 2022/1031 (Dz. Urz. UE L 2025/1197 z 20.06.2025, str. 1).</w:t>
      </w:r>
    </w:p>
    <w:p w14:paraId="46832DBA" w14:textId="77777777" w:rsidR="00E10423" w:rsidRPr="00E10423" w:rsidRDefault="00E10423" w:rsidP="00565A93">
      <w:pPr>
        <w:numPr>
          <w:ilvl w:val="0"/>
          <w:numId w:val="36"/>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Rozporządzenie wykonawcze Komisji (UE) </w:t>
      </w:r>
      <w:r w:rsidRPr="00E10423">
        <w:rPr>
          <w:rFonts w:eastAsiaTheme="minorHAnsi" w:cs="Arial"/>
          <w:b/>
          <w:bCs/>
          <w:kern w:val="2"/>
          <w:szCs w:val="22"/>
          <w:lang w:eastAsia="en-US"/>
          <w14:ligatures w14:val="standardContextual"/>
        </w:rPr>
        <w:t>2022/2303</w:t>
      </w:r>
      <w:r w:rsidRPr="00E10423">
        <w:rPr>
          <w:rFonts w:eastAsiaTheme="minorHAnsi" w:cs="Arial"/>
          <w:bCs/>
          <w:kern w:val="2"/>
          <w:szCs w:val="22"/>
          <w:lang w:eastAsia="en-US"/>
          <w14:ligatures w14:val="standardContextual"/>
        </w:rPr>
        <w:t xml:space="preserve"> z dnia 24 listopada 2022 r. zmieniające rozporządzenie wykonawcze (UE) 2019/1780 ustanawiające standardowe formularze do publikacji ogłoszeń w dziedzinie zamówień publicznych (Dz. Urz. UE L 305 z 25.11.2022, str. 1) (e-formularze).</w:t>
      </w:r>
    </w:p>
    <w:p w14:paraId="317E25E4" w14:textId="77777777" w:rsidR="00E10423" w:rsidRPr="00E10423" w:rsidRDefault="00E10423" w:rsidP="00565A93">
      <w:pPr>
        <w:numPr>
          <w:ilvl w:val="0"/>
          <w:numId w:val="36"/>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Rozporządzenie delegowane Komisji (UE) </w:t>
      </w:r>
      <w:r w:rsidRPr="00E10423">
        <w:rPr>
          <w:rFonts w:eastAsiaTheme="minorHAnsi" w:cs="Arial"/>
          <w:b/>
          <w:bCs/>
          <w:kern w:val="2"/>
          <w:szCs w:val="22"/>
          <w:lang w:eastAsia="en-US"/>
          <w14:ligatures w14:val="standardContextual"/>
        </w:rPr>
        <w:t>2025/2150</w:t>
      </w:r>
      <w:r w:rsidRPr="00E10423">
        <w:rPr>
          <w:rFonts w:eastAsiaTheme="minorHAnsi" w:cs="Arial"/>
          <w:bCs/>
          <w:kern w:val="2"/>
          <w:szCs w:val="22"/>
          <w:lang w:eastAsia="en-US"/>
          <w14:ligatures w14:val="standardContextual"/>
        </w:rPr>
        <w:t xml:space="preserve"> z dnia 22 października 2025 r. zmieniające dyrektywę Parlamentu Europejskiego i Rady 2014/25/UE w odniesieniu do progów mających zastosowanie do zamówień na dostawy, usługi i roboty budowlane oraz konkursów na lata 2026–2027 (Dz. Urz. UE L 2025/2150 z 23.10.2025, str. 1).</w:t>
      </w:r>
    </w:p>
    <w:p w14:paraId="4F807631" w14:textId="77777777" w:rsidR="00E10423" w:rsidRPr="00E10423" w:rsidRDefault="00E10423" w:rsidP="00565A93">
      <w:pPr>
        <w:numPr>
          <w:ilvl w:val="0"/>
          <w:numId w:val="36"/>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Rozporządzenie delegowane Komisji (UE) </w:t>
      </w:r>
      <w:r w:rsidRPr="00E10423">
        <w:rPr>
          <w:rFonts w:eastAsiaTheme="minorHAnsi" w:cs="Arial"/>
          <w:b/>
          <w:bCs/>
          <w:kern w:val="2"/>
          <w:szCs w:val="22"/>
          <w:lang w:eastAsia="en-US"/>
          <w14:ligatures w14:val="standardContextual"/>
        </w:rPr>
        <w:t>2025/2151</w:t>
      </w:r>
      <w:r w:rsidRPr="00E10423">
        <w:rPr>
          <w:rFonts w:eastAsiaTheme="minorHAnsi" w:cs="Arial"/>
          <w:bCs/>
          <w:kern w:val="2"/>
          <w:szCs w:val="22"/>
          <w:lang w:eastAsia="en-US"/>
          <w14:ligatures w14:val="standardContextual"/>
        </w:rPr>
        <w:t xml:space="preserve"> z dnia 22 października 2025 r. zmieniające dyrektywę Parlamentu Europejskiego i Rady 2014/23/UE w odniesieniu do dotyczących koncesji progów na lata 2026–2027 (Dz. Urz. UE L 2025/2151 z 23.10.2025, str. 1).</w:t>
      </w:r>
    </w:p>
    <w:p w14:paraId="0E4311E4" w14:textId="77777777" w:rsidR="00E10423" w:rsidRPr="00E10423" w:rsidRDefault="00E10423" w:rsidP="00565A93">
      <w:pPr>
        <w:numPr>
          <w:ilvl w:val="0"/>
          <w:numId w:val="36"/>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Rozporządzenie delegowane Komisji (UE) </w:t>
      </w:r>
      <w:r w:rsidRPr="00E10423">
        <w:rPr>
          <w:rFonts w:eastAsiaTheme="minorHAnsi" w:cs="Arial"/>
          <w:b/>
          <w:bCs/>
          <w:kern w:val="2"/>
          <w:szCs w:val="22"/>
          <w:lang w:eastAsia="en-US"/>
          <w14:ligatures w14:val="standardContextual"/>
        </w:rPr>
        <w:t>2025/2152</w:t>
      </w:r>
      <w:r w:rsidRPr="00E10423">
        <w:rPr>
          <w:rFonts w:eastAsiaTheme="minorHAnsi" w:cs="Arial"/>
          <w:bCs/>
          <w:kern w:val="2"/>
          <w:szCs w:val="22"/>
          <w:lang w:eastAsia="en-US"/>
          <w14:ligatures w14:val="standardContextual"/>
        </w:rPr>
        <w:t xml:space="preserve"> z dnia 22 października 2025 r. zmieniające dyrektywę Parlamentu Europejskiego i Rady 2014/24/UE w odniesieniu do progów mających zastosowanie do zamówień publicznych na dostawy, usługi i roboty budowlane oraz konkursów na lata 2026–2027 (Dz. Urz. UE L 2025/2152 z 23.10.2025, str. 1).</w:t>
      </w:r>
    </w:p>
    <w:p w14:paraId="3E12145F" w14:textId="77777777" w:rsidR="00E10423" w:rsidRPr="00E10423" w:rsidRDefault="00E10423" w:rsidP="00565A93">
      <w:pPr>
        <w:numPr>
          <w:ilvl w:val="0"/>
          <w:numId w:val="36"/>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Rozporządzenie delegowane Komisji (UE) </w:t>
      </w:r>
      <w:r w:rsidRPr="00E10423">
        <w:rPr>
          <w:rFonts w:eastAsiaTheme="minorHAnsi" w:cs="Arial"/>
          <w:b/>
          <w:bCs/>
          <w:kern w:val="2"/>
          <w:szCs w:val="22"/>
          <w:lang w:eastAsia="en-US"/>
          <w14:ligatures w14:val="standardContextual"/>
        </w:rPr>
        <w:t>2025/2487</w:t>
      </w:r>
      <w:r w:rsidRPr="00E10423">
        <w:rPr>
          <w:rFonts w:eastAsiaTheme="minorHAnsi" w:cs="Arial"/>
          <w:bCs/>
          <w:kern w:val="2"/>
          <w:szCs w:val="22"/>
          <w:lang w:eastAsia="en-US"/>
          <w14:ligatures w14:val="standardContextual"/>
        </w:rPr>
        <w:t xml:space="preserve"> z dnia 2 grudnia 2025 r. zmieniające dyrektywę Parlamentu Europejskiego i Rady 2009/81/WE w odniesieniu do progów dotyczących zamówień na dostawy, usługi i roboty budowlane (Dz. Urz. UE L 2025/2487 z 04.12.2025, str. 1).</w:t>
      </w:r>
    </w:p>
    <w:p w14:paraId="7C801252" w14:textId="6EC49C72" w:rsidR="00C609C6" w:rsidRPr="00E275F8" w:rsidRDefault="00C609C6" w:rsidP="00E10423">
      <w:pPr>
        <w:spacing w:before="120" w:after="120"/>
        <w:rPr>
          <w:b/>
          <w:color w:val="0070C0"/>
        </w:rPr>
      </w:pPr>
      <w:r w:rsidRPr="00E275F8">
        <w:rPr>
          <w:b/>
          <w:color w:val="0070C0"/>
        </w:rPr>
        <w:t>Decyzje</w:t>
      </w:r>
    </w:p>
    <w:p w14:paraId="341AFF27" w14:textId="77777777" w:rsidR="00E10423" w:rsidRPr="00E10423" w:rsidRDefault="00E10423" w:rsidP="00565A93">
      <w:pPr>
        <w:numPr>
          <w:ilvl w:val="0"/>
          <w:numId w:val="38"/>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Decyzja wykonawcza Komisji (UE) </w:t>
      </w:r>
      <w:r w:rsidRPr="00E10423">
        <w:rPr>
          <w:rFonts w:eastAsiaTheme="minorHAnsi" w:cs="Arial"/>
          <w:b/>
          <w:bCs/>
          <w:kern w:val="2"/>
          <w:szCs w:val="22"/>
          <w:lang w:eastAsia="en-US"/>
          <w14:ligatures w14:val="standardContextual"/>
        </w:rPr>
        <w:t>2016/1195</w:t>
      </w:r>
      <w:r w:rsidRPr="00E10423">
        <w:rPr>
          <w:rFonts w:eastAsiaTheme="minorHAnsi" w:cs="Arial"/>
          <w:bCs/>
          <w:kern w:val="2"/>
          <w:szCs w:val="22"/>
          <w:lang w:eastAsia="en-US"/>
          <w14:ligatures w14:val="standardContextual"/>
        </w:rPr>
        <w:t xml:space="preserve"> z dnia 4 lipca 2016 r. wyłączająca usługi kurierskie i usługi inne niż usługi pocztowe w Polsce z zakresu stosowania dyrektywy Parlamentu Europejskiego i Rady 2014/25/UE w sprawie udzielania zamówień przez podmioty działające w sektorach gospodarki wodnej, energetyki, transportu i usług pocztowych, uchylającej dyrektywę 2004/17/WE (Dz. Urz. UE L 197 z 22.07.2016, str. 4).</w:t>
      </w:r>
    </w:p>
    <w:p w14:paraId="0ABB5DA1" w14:textId="77777777" w:rsidR="00E10423" w:rsidRPr="00E10423" w:rsidRDefault="00E10423" w:rsidP="00565A93">
      <w:pPr>
        <w:numPr>
          <w:ilvl w:val="0"/>
          <w:numId w:val="38"/>
        </w:numPr>
        <w:shd w:val="clear" w:color="auto" w:fill="FFFFFF"/>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Decyzja wykonawcza Komisji (UE) </w:t>
      </w:r>
      <w:r w:rsidRPr="00E10423">
        <w:rPr>
          <w:rFonts w:eastAsiaTheme="minorHAnsi" w:cs="Arial"/>
          <w:b/>
          <w:bCs/>
          <w:kern w:val="2"/>
          <w:szCs w:val="22"/>
          <w:lang w:eastAsia="en-US"/>
          <w14:ligatures w14:val="standardContextual"/>
        </w:rPr>
        <w:t>2016/1804</w:t>
      </w:r>
      <w:r w:rsidRPr="00E10423">
        <w:rPr>
          <w:rFonts w:eastAsiaTheme="minorHAnsi" w:cs="Arial"/>
          <w:bCs/>
          <w:kern w:val="2"/>
          <w:szCs w:val="22"/>
          <w:lang w:eastAsia="en-US"/>
          <w14:ligatures w14:val="standardContextual"/>
        </w:rPr>
        <w:t xml:space="preserve"> z dnia 10 października 2016 r. dotycząca szczegółowych zasad stosowania art. 34 i 35 dyrektywy Parlamentu Europejskiego i Rady 2014/25/UE w sprawie udzielania zamówień przez podmioty działające w sektorach gospodarki wodnej, energetyki, transportu i usług pocztowych (Dz. Urz. UE L 275 z 12.10.2016, str. 39).</w:t>
      </w:r>
    </w:p>
    <w:p w14:paraId="0C6DBA98" w14:textId="5678849F" w:rsidR="00C609C6" w:rsidRPr="00E275F8" w:rsidRDefault="00C609C6" w:rsidP="00E10423">
      <w:pPr>
        <w:spacing w:before="120" w:after="120"/>
        <w:rPr>
          <w:b/>
          <w:color w:val="0070C0"/>
        </w:rPr>
      </w:pPr>
      <w:r w:rsidRPr="00E275F8">
        <w:rPr>
          <w:b/>
          <w:color w:val="0070C0"/>
        </w:rPr>
        <w:t>Komunikaty</w:t>
      </w:r>
    </w:p>
    <w:p w14:paraId="1BF30F66" w14:textId="77777777" w:rsidR="00E10423" w:rsidRPr="00E10423" w:rsidRDefault="00E10423" w:rsidP="00565A93">
      <w:pPr>
        <w:numPr>
          <w:ilvl w:val="0"/>
          <w:numId w:val="39"/>
        </w:numPr>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Komunikat wyjaśniający Komisji dotyczący prawa wspólnotowego obowiązującego w dziedzinie udzielania zamówień, które nie są lub są jedynie częściowo objęte dyrektywami w sprawie zamówień publicznych (2006/179/02) (Dz. Urz. UE C 179 z 1.08.2006, str. 2).</w:t>
      </w:r>
    </w:p>
    <w:p w14:paraId="56A289C1" w14:textId="77777777" w:rsidR="00E10423" w:rsidRPr="00E10423" w:rsidRDefault="00E10423" w:rsidP="00565A93">
      <w:pPr>
        <w:numPr>
          <w:ilvl w:val="0"/>
          <w:numId w:val="39"/>
        </w:numPr>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Komunikat Komisji Wytyczne dotyczące udziału oferentów z państw trzecich w unijnym rynku zamówień publicznych oraz w wprowadzania na ten rynek towarów z państw trzecich (C (2019 5494 </w:t>
      </w:r>
      <w:proofErr w:type="spellStart"/>
      <w:r w:rsidRPr="00E10423">
        <w:rPr>
          <w:rFonts w:eastAsiaTheme="minorHAnsi" w:cs="Arial"/>
          <w:bCs/>
          <w:kern w:val="2"/>
          <w:szCs w:val="22"/>
          <w:lang w:eastAsia="en-US"/>
          <w14:ligatures w14:val="standardContextual"/>
        </w:rPr>
        <w:t>final</w:t>
      </w:r>
      <w:proofErr w:type="spellEnd"/>
      <w:r w:rsidRPr="00E10423">
        <w:rPr>
          <w:rFonts w:eastAsiaTheme="minorHAnsi" w:cs="Arial"/>
          <w:bCs/>
          <w:kern w:val="2"/>
          <w:szCs w:val="22"/>
          <w:lang w:eastAsia="en-US"/>
          <w14:ligatures w14:val="standardContextual"/>
        </w:rPr>
        <w:t xml:space="preserve">). </w:t>
      </w:r>
    </w:p>
    <w:p w14:paraId="348B98D1" w14:textId="77777777" w:rsidR="00E10423" w:rsidRPr="00E10423" w:rsidRDefault="00E10423" w:rsidP="00565A93">
      <w:pPr>
        <w:numPr>
          <w:ilvl w:val="0"/>
          <w:numId w:val="39"/>
        </w:numPr>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 xml:space="preserve">Dokument roboczy Służb Komisji SWD (2024) 201 </w:t>
      </w:r>
      <w:proofErr w:type="spellStart"/>
      <w:r w:rsidRPr="00E10423">
        <w:rPr>
          <w:rFonts w:eastAsiaTheme="minorHAnsi" w:cs="Arial"/>
          <w:bCs/>
          <w:kern w:val="2"/>
          <w:szCs w:val="22"/>
          <w:lang w:eastAsia="en-US"/>
          <w14:ligatures w14:val="standardContextual"/>
        </w:rPr>
        <w:t>final</w:t>
      </w:r>
      <w:proofErr w:type="spellEnd"/>
      <w:r w:rsidRPr="00E10423">
        <w:rPr>
          <w:rFonts w:eastAsiaTheme="minorHAnsi" w:cs="Arial"/>
          <w:bCs/>
          <w:kern w:val="2"/>
          <w:szCs w:val="22"/>
          <w:lang w:eastAsia="en-US"/>
          <w14:ligatures w14:val="standardContextual"/>
        </w:rPr>
        <w:t xml:space="preserve"> z 26 lipca 2024 r. Wstępne wyjaśnienia dotyczące stosowania art. 4(1), art. 6 i art. 27(1) rozporządzenia (UE) 2022/2560 w sprawie subsydiów zagranicznych zakłócających rynek wewnętrzny.</w:t>
      </w:r>
    </w:p>
    <w:p w14:paraId="6A724C63" w14:textId="77777777" w:rsidR="00E10423" w:rsidRPr="00E10423" w:rsidRDefault="00E10423" w:rsidP="00565A93">
      <w:pPr>
        <w:numPr>
          <w:ilvl w:val="0"/>
          <w:numId w:val="39"/>
        </w:numPr>
        <w:spacing w:line="360" w:lineRule="auto"/>
        <w:jc w:val="left"/>
        <w:rPr>
          <w:rFonts w:eastAsiaTheme="minorHAnsi" w:cs="Arial"/>
          <w:bCs/>
          <w:kern w:val="2"/>
          <w:szCs w:val="22"/>
          <w:lang w:eastAsia="en-US"/>
          <w14:ligatures w14:val="standardContextual"/>
        </w:rPr>
      </w:pPr>
      <w:r w:rsidRPr="00E10423">
        <w:rPr>
          <w:rFonts w:eastAsiaTheme="minorHAnsi" w:cs="Arial"/>
          <w:bCs/>
          <w:kern w:val="2"/>
          <w:szCs w:val="22"/>
          <w:lang w:eastAsia="en-US"/>
          <w14:ligatures w14:val="standardContextual"/>
        </w:rPr>
        <w:t>Komunikat Komisji C/2025/5732 określający równowartość progów określonych w dyrektywach Parlamentu Europejskiego i Rady 2014/23/UE, 2014/24/UE, 2014/25/UE i 2009/81/WE w walutach krajowych (Dz. Urz. UE C/2025/5732 z 23.10.2025).</w:t>
      </w:r>
    </w:p>
    <w:p w14:paraId="46203921" w14:textId="4CFE1BEC" w:rsidR="00C609C6" w:rsidRPr="00E275F8" w:rsidRDefault="00C609C6" w:rsidP="001818FC">
      <w:pPr>
        <w:spacing w:before="240" w:after="120"/>
        <w:rPr>
          <w:b/>
          <w:color w:val="0070C0"/>
        </w:rPr>
      </w:pPr>
      <w:r w:rsidRPr="00E275F8">
        <w:rPr>
          <w:b/>
          <w:color w:val="0070C0"/>
        </w:rPr>
        <w:t xml:space="preserve">Unijne akty prawne </w:t>
      </w:r>
      <w:r w:rsidR="00E10423" w:rsidRPr="00E275F8">
        <w:rPr>
          <w:b/>
          <w:color w:val="0070C0"/>
        </w:rPr>
        <w:t>sektorowe zawierające przepisy dotyczące udzielania zamówień publicznych</w:t>
      </w:r>
    </w:p>
    <w:p w14:paraId="5D3C779C" w14:textId="77777777" w:rsidR="00C609C6" w:rsidRPr="00E275F8" w:rsidRDefault="00C609C6" w:rsidP="004F6476">
      <w:pPr>
        <w:spacing w:after="120"/>
        <w:rPr>
          <w:b/>
          <w:color w:val="0070C0"/>
        </w:rPr>
      </w:pPr>
      <w:r w:rsidRPr="00E275F8">
        <w:rPr>
          <w:b/>
          <w:color w:val="0070C0"/>
        </w:rPr>
        <w:t>Dyrektywy</w:t>
      </w:r>
    </w:p>
    <w:p w14:paraId="09C7B4FA" w14:textId="75A25E33"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96/71/WE z dnia 16 grudnia 1996 r. dotycząca delegowania pracowników w ramach świadczenia usług (Dz. Urz. WE L 18 z 21.01.1997, str. 1; Dz. Urz. UE Polskie wydanie specjalne, rozdz. 5, t. 2, str. 431, z późn. zm.).</w:t>
      </w:r>
    </w:p>
    <w:p w14:paraId="4D7686A7"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2008/98/WE z dnia 19 listopada 2008 r. w sprawie odpadów oraz uchylająca niektóre dyrektywy (Dz. Urz. UE L 312 z 22.11.2008, str. 3, z późn. zm.).</w:t>
      </w:r>
    </w:p>
    <w:p w14:paraId="57189879"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2009/33/WE z dnia 23 kwietnia 2009 r. w sprawie promowania ekologicznie czystych i energooszczędnych pojazdów transportu drogowego (Dz. Urz. UE L 120 z 15.05.2009, str. 5, z późn. zm.).</w:t>
      </w:r>
    </w:p>
    <w:p w14:paraId="659E31B2"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2009/52/WE z dnia 18 czerwca 2009 r. przewidująca minimalne normy w odniesieniu do kar i środków stosowanych wobec pracodawców zatrudniających nielegalnie przebywających obywateli krajów trzecich (Dz. Urz. UE L 168 z 30.06.2009, str. 24).</w:t>
      </w:r>
    </w:p>
    <w:p w14:paraId="00E56E68"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2010/31/UE z dnia 19 maja 2010 r. w sprawie charakterystyki energetycznej budynków (Dz. Urz. UE L 153 z 18.06.2010, str. 13, z późn. zm.).</w:t>
      </w:r>
    </w:p>
    <w:p w14:paraId="7CC93F1B"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2011/36/UE z dnia 5 kwietnia 2011 r. w sprawie zapobiegania handlowi ludźmi i zwalczania tego procederu oraz ochrony ofiar, zastępująca decyzję ramową Rady 2002/629/</w:t>
      </w:r>
      <w:proofErr w:type="spellStart"/>
      <w:r w:rsidRPr="000F279C">
        <w:rPr>
          <w:rFonts w:eastAsiaTheme="minorHAnsi" w:cs="Arial"/>
          <w:bCs/>
          <w:kern w:val="2"/>
          <w:szCs w:val="22"/>
          <w:lang w:eastAsia="en-US"/>
          <w14:ligatures w14:val="standardContextual"/>
        </w:rPr>
        <w:t>WSiSW</w:t>
      </w:r>
      <w:proofErr w:type="spellEnd"/>
      <w:r w:rsidRPr="000F279C">
        <w:rPr>
          <w:rFonts w:eastAsiaTheme="minorHAnsi" w:cs="Arial"/>
          <w:bCs/>
          <w:kern w:val="2"/>
          <w:szCs w:val="22"/>
          <w:lang w:eastAsia="en-US"/>
          <w14:ligatures w14:val="standardContextual"/>
        </w:rPr>
        <w:t xml:space="preserve"> (Dz. Urz. UE L 101 z 15.04.2011, str. 1, z późn. zm.).</w:t>
      </w:r>
    </w:p>
    <w:p w14:paraId="4F86D8E8"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2012/27/UE z dnia 25 października 2012 r. w sprawie efektywności energetycznej, zmiany dyrektyw 2009/125/WE i 2010/30/UE oraz uchylenia dyrektyw 2004/8/WE i 2006/32/WE (Dz. Urz. UE L 315 z 14.11.2012, str. 1, z późn. zm.).</w:t>
      </w:r>
    </w:p>
    <w:p w14:paraId="033C2975"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2017/1371 z dnia 5 lipca 2017 r. w sprawie zwalczania za pośrednictwem prawa karnego nadużyć na szkodę interesów finansowych Unii (Dz. Urz. UE L 198 z 28.07.2017, str. 29).</w:t>
      </w:r>
    </w:p>
    <w:p w14:paraId="360F1392"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Dyrektywa Parlamentu Europejskiego i Rady (UE) 2018/1673 z dnia 23 października 2018 r. w sprawie zwalczania prania pieniędzy za pomocą środków prawnokarnych (Dz. Urz. UE L 284 z 12.11.2018, str. 22 z </w:t>
      </w:r>
      <w:proofErr w:type="spellStart"/>
      <w:r w:rsidRPr="000F279C">
        <w:rPr>
          <w:rFonts w:eastAsiaTheme="minorHAnsi" w:cs="Arial"/>
          <w:bCs/>
          <w:kern w:val="2"/>
          <w:szCs w:val="22"/>
          <w:lang w:eastAsia="en-US"/>
          <w14:ligatures w14:val="standardContextual"/>
        </w:rPr>
        <w:t>późń</w:t>
      </w:r>
      <w:proofErr w:type="spellEnd"/>
      <w:r w:rsidRPr="000F279C">
        <w:rPr>
          <w:rFonts w:eastAsiaTheme="minorHAnsi" w:cs="Arial"/>
          <w:bCs/>
          <w:kern w:val="2"/>
          <w:szCs w:val="22"/>
          <w:lang w:eastAsia="en-US"/>
          <w14:ligatures w14:val="standardContextual"/>
        </w:rPr>
        <w:t>. zm.)</w:t>
      </w:r>
    </w:p>
    <w:p w14:paraId="7B6E8601"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2019/713 z dnia 17 kwietnia 2019 r. w sprawie zwalczania fałszowania i oszustw związanych z bezgotówkowymi środkami płatniczymi, zastępująca decyzję ramową Rady 2001/413/</w:t>
      </w:r>
      <w:proofErr w:type="spellStart"/>
      <w:r w:rsidRPr="000F279C">
        <w:rPr>
          <w:rFonts w:eastAsiaTheme="minorHAnsi" w:cs="Arial"/>
          <w:bCs/>
          <w:kern w:val="2"/>
          <w:szCs w:val="22"/>
          <w:lang w:eastAsia="en-US"/>
          <w14:ligatures w14:val="standardContextual"/>
        </w:rPr>
        <w:t>WSiSW</w:t>
      </w:r>
      <w:proofErr w:type="spellEnd"/>
      <w:r w:rsidRPr="000F279C">
        <w:rPr>
          <w:rFonts w:eastAsiaTheme="minorHAnsi" w:cs="Arial"/>
          <w:bCs/>
          <w:kern w:val="2"/>
          <w:szCs w:val="22"/>
          <w:lang w:eastAsia="en-US"/>
          <w14:ligatures w14:val="standardContextual"/>
        </w:rPr>
        <w:t xml:space="preserve"> (Dz. Urz. UE L 123 z 10.05.2019, str. 18).</w:t>
      </w:r>
    </w:p>
    <w:p w14:paraId="5A17CD85"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2019/882 z dnia 17 kwietnia 2019 r. w sprawie wymogów dostępności produktów i usług (Dz. Urz. UE L 151 z 07.06.2019, str. 70, z późn. zm.).</w:t>
      </w:r>
    </w:p>
    <w:p w14:paraId="5E345C94"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2019/944 z dnia 5 czerwca 2019 r. w sprawie wspólnych zasad rynku wewnętrznego energii elektrycznej oraz zmieniająca dyrektywę 2012/27/UE (wersja przekształcona) (Dz. Urz. UE L 158 z 14.06.2019, str. 125, z późn. zm.).</w:t>
      </w:r>
    </w:p>
    <w:p w14:paraId="19D07DDF"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2022/2041 z dnia 19 października 2022 r. w sprawie adekwatnych wynagrodzeń minimalnych w Unii Europejskiej (Dz. Urz. UE L 275 z 25.10.2022, str. 33).</w:t>
      </w:r>
    </w:p>
    <w:p w14:paraId="6E79A143"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2022/2381 z dnia 23 listopada 2022 r. w sprawie poprawy równowagi płci wśród dyrektorów spółek giełdowych oraz powiązanych środków (Dz. Urz. UE L 315 z 07.12.2022, str. 44).</w:t>
      </w:r>
    </w:p>
    <w:p w14:paraId="4B2C6B98"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Dyrektywa Parlamentu Europejskiego i Rady (UE) 2022/2555 z dnia 14 grudnia 2022 r. w sprawie środków na rzecz wysokiego wspólnego poziomu </w:t>
      </w:r>
      <w:proofErr w:type="spellStart"/>
      <w:r w:rsidRPr="000F279C">
        <w:rPr>
          <w:rFonts w:eastAsiaTheme="minorHAnsi" w:cs="Arial"/>
          <w:bCs/>
          <w:kern w:val="2"/>
          <w:szCs w:val="22"/>
          <w:lang w:eastAsia="en-US"/>
          <w14:ligatures w14:val="standardContextual"/>
        </w:rPr>
        <w:t>cyberbezpieczeństwa</w:t>
      </w:r>
      <w:proofErr w:type="spellEnd"/>
      <w:r w:rsidRPr="000F279C">
        <w:rPr>
          <w:rFonts w:eastAsiaTheme="minorHAnsi" w:cs="Arial"/>
          <w:bCs/>
          <w:kern w:val="2"/>
          <w:szCs w:val="22"/>
          <w:lang w:eastAsia="en-US"/>
          <w14:ligatures w14:val="standardContextual"/>
        </w:rPr>
        <w:t xml:space="preserve"> na terytorium Unii, zmieniająca rozporządzenie (UE) nr 910/2014 i dyrektywę (UE) 2018/1972 oraz uchylająca dyrektywę (UE) 2016/1148 (dyrektywa NIS 2) (Dz. Urz. UE L 333 z 27.12.2022, str. 80).</w:t>
      </w:r>
    </w:p>
    <w:p w14:paraId="0228818F"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2023/970 z dnia 10 maja 2023 r. w sprawie wzmocnienia stosowania zasady równości wynagrodzeń dla mężczyzn i kobiet za taką samą pracę lub pracę o takiej samej wartości za pośrednictwem mechanizmów przejrzystości wynagrodzeń oraz mechanizmów egzekwowania (Dz. Urz. UE L 132 z 17.05.2023, str. 21).</w:t>
      </w:r>
    </w:p>
    <w:p w14:paraId="66FF0E88"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2023/1791 z dnia 13 września 2023 r. w sprawie efektywności energetycznej oraz zmieniająca rozporządzenie (UE) 2023/955 (wersja przekształcona) (Dz. Urz. UE L 231 z 20.09.2023, str. 1).</w:t>
      </w:r>
    </w:p>
    <w:p w14:paraId="61DD7177"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2023/2413 z dnia 18 października 2023 r. zmieniająca dyrektywę (UE) 2018/2001, rozporządzenie (UE) 2018/1999 i dyrektywę 98/70/WE w odniesieniu do promowania energii ze źródeł odnawialnych oraz uchylająca dyrektywę Rady (UE) 2015/652 (Dz. Urz. UE L 2413 z 31.10.2023, str. 1).</w:t>
      </w:r>
    </w:p>
    <w:p w14:paraId="0756CEF5"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2024/1203 z dnia 11 kwietnia 2024 r. w sprawie ochrony środowiska poprzez prawo karne i zastępująca dyrektywy 2008/99/WE i 2009/123/WE (Dz. Urz. UE L 1203 z 30.04.2024 r, str. 1).</w:t>
      </w:r>
    </w:p>
    <w:p w14:paraId="284E2F9F"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2024/1226 z dnia 24 kwietnia 2024 r. w sprawie określenia przestępstw związanych z naruszeniem unijnych środków ograniczających i sankcji za takie naruszenia oraz zmiany dyrektywy (UE) 2018/1673 (Dz. Urz. UE L 1226 z 29.04.2024 r, str. 1).</w:t>
      </w:r>
    </w:p>
    <w:p w14:paraId="5A85BD74"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2024/1275 z dnia 24 kwietnia 2024 r. w sprawie charakterystyki energetycznej budynków (wersja przekształcona) (Dz. Urz. UE L 1275 z 08.05.2024 r., str. 1).</w:t>
      </w:r>
    </w:p>
    <w:p w14:paraId="57C1EB0C"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Dyrektywa Parlamentu Europejskiego i Rady (UE) 2024/1712 z dnia 13 czerwca 2024 r. w sprawie zmiany dyrektywy 2011/36/UE w sprawie zapobiegania handlowi ludźmi i zwalczania tego procederu oraz ochrony ofiar (Dz. Urz. UE L 1712 z 24.06.2024 r, str. 1). </w:t>
      </w:r>
    </w:p>
    <w:p w14:paraId="45631861" w14:textId="77777777" w:rsidR="000F279C" w:rsidRPr="000F279C" w:rsidRDefault="000F279C" w:rsidP="00565A93">
      <w:pPr>
        <w:numPr>
          <w:ilvl w:val="0"/>
          <w:numId w:val="40"/>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Dyrektywa Parlamentu Europejskiego i Rady (UE) 2024/1760 z dnia 13 czerwca 2024 r. w sprawie należytej staranności przedsiębiorstw w zakresie zrównoważonego rozwoju oraz zmieniająca dyrektywę (UE) 2019/1937 i rozporządzenie (UE) 2023/2859 (Dz. Urz. UE L 1760 z 05.07.2024, str.1).</w:t>
      </w:r>
    </w:p>
    <w:p w14:paraId="168BF705" w14:textId="10618BDA" w:rsidR="00C609C6" w:rsidRPr="00E275F8" w:rsidRDefault="00C609C6" w:rsidP="000F279C">
      <w:pPr>
        <w:spacing w:before="120" w:after="120"/>
        <w:rPr>
          <w:b/>
          <w:color w:val="0070C0"/>
        </w:rPr>
      </w:pPr>
      <w:r w:rsidRPr="00E275F8">
        <w:rPr>
          <w:b/>
          <w:color w:val="0070C0"/>
        </w:rPr>
        <w:t>Rozporządzenia</w:t>
      </w:r>
    </w:p>
    <w:p w14:paraId="7A4AB634"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(WE) nr 1370/2007 Parlamentu Europejskiego i Rady z dnia 23 października 2007 r. dotyczące usług publicznych w zakresie kolejowego i drogowego transportu pasażerskiego oraz uchylające rozporządzenia Rady (EWG) nr 1191/69 i (EWG) nr 1107/70 (Dz. Urz. UE L 315 z 03.12.2007, str. 1, z późn. zm.). </w:t>
      </w:r>
    </w:p>
    <w:p w14:paraId="1F3CDC0F"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(WE) nr 106/2008 z dnia 15 stycznia 2008 r. w sprawie unijnego programu znakowania efektywności energetycznej urządzeń biurowych (Energy Star) (Dz. Urz. UE L 39 z 13.02.2008, str. 1, z późn. zm.) – w brzmieniu nadanym przez rozporządzenie 174/2013. </w:t>
      </w:r>
    </w:p>
    <w:p w14:paraId="7CD2E5F7"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(WE) nr 1221/2009 z dnia 25 listopada 2009 r. w sprawie dobrowolnego udziału organizacji w systemie </w:t>
      </w:r>
      <w:proofErr w:type="spellStart"/>
      <w:r w:rsidRPr="000F279C">
        <w:rPr>
          <w:rFonts w:eastAsiaTheme="minorHAnsi" w:cs="Arial"/>
          <w:bCs/>
          <w:kern w:val="2"/>
          <w:szCs w:val="22"/>
          <w:lang w:eastAsia="en-US"/>
          <w14:ligatures w14:val="standardContextual"/>
        </w:rPr>
        <w:t>ekozarządzania</w:t>
      </w:r>
      <w:proofErr w:type="spellEnd"/>
      <w:r w:rsidRPr="000F279C">
        <w:rPr>
          <w:rFonts w:eastAsiaTheme="minorHAnsi" w:cs="Arial"/>
          <w:bCs/>
          <w:kern w:val="2"/>
          <w:szCs w:val="22"/>
          <w:lang w:eastAsia="en-US"/>
          <w14:ligatures w14:val="standardContextual"/>
        </w:rPr>
        <w:t xml:space="preserve"> i audytu we Wspólnocie (EMAS), uchylające rozporządzenie (WE) nr 761/2001 oraz decyzje Komisji 2001/681/WE i 2006/193/WE (Dz. Urz. UE L 342 z 22.12.2009, str. 1, z późn. zm.) (rozporządzenie EMAS).</w:t>
      </w:r>
    </w:p>
    <w:p w14:paraId="41CD2F9D"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(WE) nr 66/2010 z dnia 25 listopada 2009 r. w sprawie oznakowania ekologicznego UE (Dz. Urz. UE L 27 z 30.01.2010, str. 1, z późn. zm.) (rozporządzenie </w:t>
      </w:r>
      <w:proofErr w:type="spellStart"/>
      <w:r w:rsidRPr="000F279C">
        <w:rPr>
          <w:rFonts w:eastAsiaTheme="minorHAnsi" w:cs="Arial"/>
          <w:bCs/>
          <w:kern w:val="2"/>
          <w:szCs w:val="22"/>
          <w:lang w:eastAsia="en-US"/>
          <w14:ligatures w14:val="standardContextual"/>
        </w:rPr>
        <w:t>Ecolabel</w:t>
      </w:r>
      <w:proofErr w:type="spellEnd"/>
      <w:r w:rsidRPr="000F279C">
        <w:rPr>
          <w:rFonts w:eastAsiaTheme="minorHAnsi" w:cs="Arial"/>
          <w:bCs/>
          <w:kern w:val="2"/>
          <w:szCs w:val="22"/>
          <w:lang w:eastAsia="en-US"/>
          <w14:ligatures w14:val="standardContextual"/>
        </w:rPr>
        <w:t xml:space="preserve">). </w:t>
      </w:r>
    </w:p>
    <w:p w14:paraId="77A86FAD"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nr 1025/2012 z dnia 25 października 2012 r. w sprawie normalizacji europejskiej, zmieniające dyrektywy Rady 89/686/EWG i 93/15/EWG oraz dyrektywy Parlamentu Europejskiego i Rady 94/9/WE, 94/25/WE, 95/16/WE, 97/23/WE, 98/34/WE, 2004/22/WE, 2007/23/WE, 2009/23/WE i 2009/105/WE oraz uchylające decyzję Rady 87/95/EWG i decyzję Parlamentu Europejskiego i Rady nr 1673/2006/WE (Dz. Urz. UE L 316 z 14.11.2012, str. 12). </w:t>
      </w:r>
    </w:p>
    <w:p w14:paraId="13D1314B" w14:textId="0124BCEF"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Parlamentu Europejskiego i Rady nr 654/2014 z dnia 15 maja 2014 r. dotyczące wykonywania praw Unii w zakresie stosowania i egzekwowania zasad handlu międzynarodowego oraz zmieniające rozporządzenie Rady (WE) nr 3286/94 ustanawiające procedury wspólnotowe w zakresie wspólnej polityki handlowej w celu zapewnienia wykonania praw Wspólnoty zgodnie z zasadami handlu międzynarodowego, w szczególności tymi ustanowionymi pod auspicjami Światowej Organizacji Handlu (Dz. Urz. UE L 189 z 27.06.2014 s. 50, z póź</w:t>
      </w:r>
      <w:r w:rsidR="000B3AB3">
        <w:rPr>
          <w:rFonts w:eastAsiaTheme="minorHAnsi" w:cs="Arial"/>
          <w:bCs/>
          <w:kern w:val="2"/>
          <w:szCs w:val="22"/>
          <w:lang w:eastAsia="en-US"/>
          <w14:ligatures w14:val="standardContextual"/>
        </w:rPr>
        <w:t>n</w:t>
      </w:r>
      <w:r w:rsidRPr="000F279C">
        <w:rPr>
          <w:rFonts w:eastAsiaTheme="minorHAnsi" w:cs="Arial"/>
          <w:bCs/>
          <w:kern w:val="2"/>
          <w:szCs w:val="22"/>
          <w:lang w:eastAsia="en-US"/>
          <w14:ligatures w14:val="standardContextual"/>
        </w:rPr>
        <w:t xml:space="preserve">. zm.). </w:t>
      </w:r>
    </w:p>
    <w:p w14:paraId="5B5CBE05"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Parlamentu Europejskiego i Rady (UE) 2017/1369 z dnia 4 lipca 2017 r. ustanawiające ramy etykietowania energetycznego i uchylające dyrektywę 2010/30/UE (Dz. Urz. UE L 198 z 28.07.2017, str. 1) – w brzmieniu nadanym przez rozporządzenie 2020/740.</w:t>
      </w:r>
    </w:p>
    <w:p w14:paraId="0FF2B35D"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2018/1724 z dnia 2 października 2018 r. w sprawie utworzenia jednolitego portalu cyfrowego w celu zapewnienia dostępu do informacji, procedur oraz usług wsparcia i rozwiązywania problemów, a także zmieniające rozporządzenie (UE) nr 1024/2012 (Dz. Urz. UE L 295 z 21.11.2018, str. 1, z późn. zm.). </w:t>
      </w:r>
    </w:p>
    <w:p w14:paraId="6CD7BFB0"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2019/1242 z dnia 20 czerwca 2019 r. określające normy emisji CO2 dla nowych pojazdów ciężkich oraz zmieniające rozporządzenia Parlamentu Europejskiego i Rady (WE) nr 595/2009 i (UE) 2018/956 oraz dyrektywę Rady 96/53/WE (Dz. Urz. UE L 198 z 25.07.2019, str. 202, z późn. zm.). </w:t>
      </w:r>
    </w:p>
    <w:p w14:paraId="2BE1B907"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2020/740 z dnia 25 maja 2020 r. w sprawie etykietowania opon pod kątem efektywności paliwowej i innych parametrów, zmieniające rozporządzenie (UE) 2017/1369 oraz uchylające rozporządzenie (WE) nr 1222/2009 (Dz. Urz. UE L 177 z 05.06.2020, str. 1). </w:t>
      </w:r>
    </w:p>
    <w:p w14:paraId="0D83FF36"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2021/696 z dnia 28 kwietnia 2021 r. ustanawiające Unijny program kosmiczny i Agencję Unii Europejskiej ds. Programu Kosmicznego oraz uchylające rozporządzenia (UE) nr 912/2010, (UE) nr 1285/2013 i (UE) nr 377/2014 oraz decyzję nr 541/2014/UE (Dz. Urz. UE L 170 z 12.05.2021, str. 69). </w:t>
      </w:r>
    </w:p>
    <w:p w14:paraId="1BE280E7"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nr 2022/2371 z dnia 23 listopada 2022 r. w sprawie poważnych transgranicznych zagrożeń zdrowia oraz uchylenia decyzji nr 1082/2013/UE (Dz. Urz. UE L 314 z 06.12.2022, str. 26). </w:t>
      </w:r>
    </w:p>
    <w:p w14:paraId="5B77DFEE"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Rady (UE) 2022/2372 z dnia 24 października 2022 r. w sprawie ram środków służących zapewnieniu zaopatrzenia w medyczne środki przeciwdziałania istotne podczas kryzysu w przypadku stanu zagrożenia zdrowia publicznego na poziomie Unii (Dz. Urz. UE L 314 z 06.12.2022, str. 64). </w:t>
      </w:r>
    </w:p>
    <w:p w14:paraId="20D68847"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Parlamentu Europejskiego i Rady (UE) 2022/2560 z dnia 14 grudnia 2022 r. w sprawie subsydiów zagranicznych zakłócających rynek wewnętrzny (Dz. Urz. UE L 330 z 23.12.2022, str. 1) i wydane na jego podstawie:</w:t>
      </w:r>
    </w:p>
    <w:p w14:paraId="6136C4F6" w14:textId="77777777" w:rsidR="000F279C" w:rsidRPr="000F279C" w:rsidRDefault="000F279C" w:rsidP="00565A93">
      <w:pPr>
        <w:numPr>
          <w:ilvl w:val="0"/>
          <w:numId w:val="42"/>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wykonawcze Komisji (UE) 2023/1441 z dnia 10 lipca 2023 r. w sprawie szczegółowych ustaleń dotyczących prowadzenia przez Komisję postępowań na podstawie rozporządzenia Parlamentu Europejskiego i Rady (UE) 2022/2560 w sprawie subsydiów zagranicznych zakłócających rynek wewnętrzny (Dz. Urz. UE L 177 z 12.07.2023, str. 1).</w:t>
      </w:r>
    </w:p>
    <w:p w14:paraId="0D2F01EA"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2023/588 z dnia 15 marca 2023 r. ustanawiające unijny program bezpiecznej łączności na lata 2023–2027 (Dz. Urz. UE L 79 z 17.03.2023, str. 1). </w:t>
      </w:r>
    </w:p>
    <w:p w14:paraId="5F691ABD"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nr 2023/1115 z dnia 31 maja 2023 r. w sprawie udostępniania na rynku unijnym i wywozu z Unii niektórych towarów i produktów związanych z wylesianiem i degradacją lasów oraz uchylenia rozporządzenia (UE) nr 995/2010 (Dz. Urz. UE L 150 z 09.06.2023, str. 206). </w:t>
      </w:r>
    </w:p>
    <w:p w14:paraId="5E33AF5B"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nr 2023/1542 z dnia 12 lipca 2023 r. w sprawie baterii i zużytych baterii, zmieniające dyrektywę 2008/98/WE i rozporządzenie (UE) 2019/1020 oraz uchylające dyrektywę 2006/66/WE (Dz. Urz. UE L 191 z 28.07.2023, str. 1). </w:t>
      </w:r>
    </w:p>
    <w:p w14:paraId="7FDB2912"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2023/1525 z dnia 20 lipca 2023 r. w sprawie wspierania produkcji amunicji (ASAP) (Dz. Urz. UE L 185 z 24.07.2023, str. 7). </w:t>
      </w:r>
    </w:p>
    <w:p w14:paraId="15C390C7"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nr 2023/1781 z dnia 13 września 2023 r. w sprawie ustanowienia ram dotyczących środków na rzecz wzmocnienia europejskiego ekosystemu półprzewodników oraz zmiany rozporządzenia (UE) 2021/694 (akt w sprawie </w:t>
      </w:r>
      <w:proofErr w:type="spellStart"/>
      <w:r w:rsidRPr="000F279C">
        <w:rPr>
          <w:rFonts w:eastAsiaTheme="minorHAnsi" w:cs="Arial"/>
          <w:bCs/>
          <w:kern w:val="2"/>
          <w:szCs w:val="22"/>
          <w:lang w:eastAsia="en-US"/>
          <w14:ligatures w14:val="standardContextual"/>
        </w:rPr>
        <w:t>czipów</w:t>
      </w:r>
      <w:proofErr w:type="spellEnd"/>
      <w:r w:rsidRPr="000F279C">
        <w:rPr>
          <w:rFonts w:eastAsiaTheme="minorHAnsi" w:cs="Arial"/>
          <w:bCs/>
          <w:kern w:val="2"/>
          <w:szCs w:val="22"/>
          <w:lang w:eastAsia="en-US"/>
          <w14:ligatures w14:val="standardContextual"/>
        </w:rPr>
        <w:t xml:space="preserve">), (Dz. Urz. UE L 229 z 18.09.2023, str. 1). </w:t>
      </w:r>
    </w:p>
    <w:p w14:paraId="0A95D1E0"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2023/2418 z dnia 18 października 2023 r. w sprawie ustanowienia instrumentu na rzecz wzmocnienia europejskiego przemysłu obronnego przez zamówienia realizowane na zasadzie współpracy (EDIRPA) (Dz. Urz. UE L 2023/2418 z 26.10.2023). </w:t>
      </w:r>
    </w:p>
    <w:p w14:paraId="30A13EF7"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2023/2675 z dnia 22 listopada 2023 r. w sprawie ochrony Unii i jej państw członkowskich przed stosowaniem wymuszenia ekonomicznego przez państwa trzecie (Dz. Urz. UE L 2023/2675 z 07.12.2023). </w:t>
      </w:r>
    </w:p>
    <w:p w14:paraId="34F9533C"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w:t>
      </w:r>
      <w:proofErr w:type="spellStart"/>
      <w:r w:rsidRPr="000F279C">
        <w:rPr>
          <w:rFonts w:eastAsiaTheme="minorHAnsi" w:cs="Arial"/>
          <w:bCs/>
          <w:kern w:val="2"/>
          <w:szCs w:val="22"/>
          <w:lang w:eastAsia="en-US"/>
          <w14:ligatures w14:val="standardContextual"/>
        </w:rPr>
        <w:t>Euratom</w:t>
      </w:r>
      <w:proofErr w:type="spellEnd"/>
      <w:r w:rsidRPr="000F279C">
        <w:rPr>
          <w:rFonts w:eastAsiaTheme="minorHAnsi" w:cs="Arial"/>
          <w:bCs/>
          <w:kern w:val="2"/>
          <w:szCs w:val="22"/>
          <w:lang w:eastAsia="en-US"/>
          <w14:ligatures w14:val="standardContextual"/>
        </w:rPr>
        <w:t xml:space="preserve">) 2024/2509 z dnia 23 września 2024 r. w sprawie zasad finansowych mających zastosowanie do budżetu ogólnego Unii (wersja przekształcona) (Dz. Urz. UE L 2024/2509 z 26.09.2024). </w:t>
      </w:r>
    </w:p>
    <w:p w14:paraId="5BFB05E7"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Parlamentu Europejskiego i Rady (UE) 2024/1083 z dnia 11 kwietnia 2024 r. w sprawie ustanowienia wspólnych ram dla usług medialnych na rynku wewnętrznym i zmiany dyrektywy 2010/13/UE (europejski akt o wolności mediów) (Dz. Urz. UE L 2024/1083, 17.04.2024).</w:t>
      </w:r>
    </w:p>
    <w:p w14:paraId="481E5858"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2024/1157 z dnia 11 kwietnia 2024 r. w sprawie przemieszczania odpadów, zmiany rozporządzeń (UE) nr 1257/2013 i (UE) 2020/1056 oraz uchylenia rozporządzenia (WE) nr 1013/2006 (Dz. Urz. UE L 2024/1157 z 30.04.2024). </w:t>
      </w:r>
    </w:p>
    <w:p w14:paraId="4F2FF13F"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2024/1252 z dnia 11 kwietnia 2024 r. w sprawie ustanowienia ram na potrzeby zapewnienia bezpiecznych i zrównoważonych dostaw surowców krytycznych oraz zmiany rozporządzeń (UE) nr 168/2013, (UE) 2018/858, (UE) 2018/1724 i (UE) 2019/1020 (Dz. Urz. UE L 2024/1252 z 03.05.2024). </w:t>
      </w:r>
    </w:p>
    <w:p w14:paraId="7D46F073"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2024/1610 z dnia 14 maja 2024 r. zmieniające rozporządzenie (UE) 2019/1242 w odniesieniu do zaostrzenia norm emisji CO2 dla nowych pojazdów ciężkich oraz włączenia obowiązków sprawozdawczych, zmieniające rozporządzenie (UE) 2018/858 i uchylające rozporządzenie (UE) 2018/956 (Dz. Urz. UE L 2024/1610 z 06.06.2024). </w:t>
      </w:r>
    </w:p>
    <w:p w14:paraId="25836191"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Parlamentu Europejskiego i Rady (UE) 2024/1735 z dnia 13 czerwca 2024 r. w sprawie ustanowienia ram środków na rzecz wzmocnienia europejskiego ekosystemu produkcji technologii neutralnych emisyjnie i zmieniające rozporządzenie (UE) 2018/1724 (Dz. Urz. UE L 2024/1735 z 28.06.2024) i wydane na jego podstawie:</w:t>
      </w:r>
    </w:p>
    <w:p w14:paraId="3C42BFD5" w14:textId="77777777" w:rsidR="000F279C" w:rsidRPr="000F279C" w:rsidRDefault="000F279C" w:rsidP="00565A93">
      <w:pPr>
        <w:numPr>
          <w:ilvl w:val="0"/>
          <w:numId w:val="43"/>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wykonawcze Komisji (UE) 2025/1178 z dnia 23 maja 2025 r. w sprawie ustanowienia zasad stosowania rozporządzenia (UE) 2024/1735 Parlamentu Europejskiego i Rady w odniesieniu do wykazu końcowych produktów technologii neutralnych emisyjnie i ich głównych konkretnych komponentów na potrzeby oceny wkładu w odporność (Dz. Urz. UE L 2025/1178 z 18.06.2025, str. 1);</w:t>
      </w:r>
    </w:p>
    <w:p w14:paraId="67C62525" w14:textId="77777777" w:rsidR="000F279C" w:rsidRPr="000F279C" w:rsidRDefault="000F279C" w:rsidP="00565A93">
      <w:pPr>
        <w:numPr>
          <w:ilvl w:val="0"/>
          <w:numId w:val="43"/>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delegowane Komisji (UE) 2025/1477 z dnia 21 maja 2025 r. uzupełniające rozporządzenie Parlamentu Europejskiego i Rady (UE) 2024/1735 przez określenie zasad dotyczących identyfikacji upoważnionych producentów ropy naftowej i gazu, którzy muszą wnieść wkład w osiągnięcie celu Unii dotyczącego dostępnej mocy zatłaczania CO</w:t>
      </w:r>
      <w:r w:rsidRPr="000F279C">
        <w:rPr>
          <w:rFonts w:eastAsiaTheme="minorHAnsi" w:cs="Arial"/>
          <w:bCs/>
          <w:kern w:val="2"/>
          <w:szCs w:val="22"/>
          <w:vertAlign w:val="subscript"/>
          <w:lang w:eastAsia="en-US"/>
          <w14:ligatures w14:val="standardContextual"/>
        </w:rPr>
        <w:t>2</w:t>
      </w:r>
      <w:r w:rsidRPr="000F279C">
        <w:rPr>
          <w:rFonts w:eastAsiaTheme="minorHAnsi" w:cs="Arial"/>
          <w:bCs/>
          <w:kern w:val="2"/>
          <w:szCs w:val="22"/>
          <w:lang w:eastAsia="en-US"/>
          <w14:ligatures w14:val="standardContextual"/>
        </w:rPr>
        <w:t> do 2030 r., zasad obliczania ich odpowiednich wkładów oraz obowiązków sprawozdawczych (Dz. Urz. UE L 2025/1477 z 27.07.2025, str. 1);</w:t>
      </w:r>
    </w:p>
    <w:p w14:paraId="378BE352" w14:textId="085F15EC" w:rsidR="000F279C" w:rsidRPr="000F279C" w:rsidRDefault="000F279C" w:rsidP="00565A93">
      <w:pPr>
        <w:numPr>
          <w:ilvl w:val="0"/>
          <w:numId w:val="43"/>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delegowane Komisji (UE) 2025/1463 z dnia 23 maja 2025 r. zmieniające rozporządzenie Parlamentu Europejskiego i Rady (UE) 2024/1735 w odniesieniu do określenia podkategorii technologii neutralnych emisyjnie oraz wykazu konkretnych komponentów używanych na potrzeby tych technologii</w:t>
      </w:r>
      <w:r w:rsidR="00990AEA">
        <w:rPr>
          <w:rFonts w:eastAsiaTheme="minorHAnsi" w:cs="Arial"/>
          <w:bCs/>
          <w:kern w:val="2"/>
          <w:szCs w:val="22"/>
          <w:lang w:eastAsia="en-US"/>
          <w14:ligatures w14:val="standardContextual"/>
        </w:rPr>
        <w:t xml:space="preserve"> </w:t>
      </w:r>
      <w:r w:rsidRPr="000F279C">
        <w:rPr>
          <w:rFonts w:eastAsiaTheme="minorHAnsi" w:cs="Arial"/>
          <w:bCs/>
          <w:kern w:val="2"/>
          <w:szCs w:val="22"/>
          <w:lang w:eastAsia="en-US"/>
          <w14:ligatures w14:val="standardContextual"/>
        </w:rPr>
        <w:t>(Dz. Urz. UE L 2025/1463 z 28.07.2025, str. 1).</w:t>
      </w:r>
    </w:p>
    <w:p w14:paraId="0C9C8354"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2024/1747 z dnia 13 czerwca 2024 r. zmieniające rozporządzenia (UE) 2019/942 i (UE) 2019/943 w odniesieniu do poprawy struktury unijnego rynku energii elektrycznej (Dz. Urz. UE L 2024/1747 z 26.06.2024). </w:t>
      </w:r>
    </w:p>
    <w:p w14:paraId="6B66EC61"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2024/1781 z dnia 13 czerwca 2024 r. w sprawie ustanowienia ram ustalania wymogów </w:t>
      </w:r>
      <w:proofErr w:type="spellStart"/>
      <w:r w:rsidRPr="000F279C">
        <w:rPr>
          <w:rFonts w:eastAsiaTheme="minorHAnsi" w:cs="Arial"/>
          <w:bCs/>
          <w:kern w:val="2"/>
          <w:szCs w:val="22"/>
          <w:lang w:eastAsia="en-US"/>
          <w14:ligatures w14:val="standardContextual"/>
        </w:rPr>
        <w:t>ekoprojektu</w:t>
      </w:r>
      <w:proofErr w:type="spellEnd"/>
      <w:r w:rsidRPr="000F279C">
        <w:rPr>
          <w:rFonts w:eastAsiaTheme="minorHAnsi" w:cs="Arial"/>
          <w:bCs/>
          <w:kern w:val="2"/>
          <w:szCs w:val="22"/>
          <w:lang w:eastAsia="en-US"/>
          <w14:ligatures w14:val="standardContextual"/>
        </w:rPr>
        <w:t xml:space="preserve"> w odniesieniu do zrównoważonych produktów oraz zmiany dyrektywy (UE) 2020/1828 i rozporządzenia (UE) 2023/1542 i uchylenia dyrektywy 2009/125/WE (Dz. Urz. UE L 2024/1781 z 28.06.2024). </w:t>
      </w:r>
    </w:p>
    <w:p w14:paraId="66872E49"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2024/2747 z dnia 9 października 2024 r. w sprawie ustanowienia ram środków dotyczących sytuacji nadzwyczajnej na rynku wewnętrznym i odporności rynku wewnętrznego oraz w sprawie zmiany rozporządzenia Rady (WE) nr 2679/98 (akt o sytuacji nadzwyczajnej na rynku wewnętrznym i odporności rynku wewnętrznego) (Dz. Urz. UE L 2024/2747 z 08.11.2024). </w:t>
      </w:r>
    </w:p>
    <w:p w14:paraId="6B0799D5"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2024/2803 z dnia 23 października 2024 r. w sprawie wdrożenia jednolitej europejskiej przestrzeni powietrznej (wersja przekształcona) (Dz. Urz. UE L 2024/2803 z 11.11.2024). </w:t>
      </w:r>
    </w:p>
    <w:p w14:paraId="1DA56F20"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 xml:space="preserve">Rozporządzenie Parlamentu Europejskiego i Rady (UE) 2024/2847 z dnia 23 października 2024 r. w sprawie horyzontalnych wymagań w zakresie </w:t>
      </w:r>
      <w:proofErr w:type="spellStart"/>
      <w:r w:rsidRPr="000F279C">
        <w:rPr>
          <w:rFonts w:eastAsiaTheme="minorHAnsi" w:cs="Arial"/>
          <w:bCs/>
          <w:kern w:val="2"/>
          <w:szCs w:val="22"/>
          <w:lang w:eastAsia="en-US"/>
          <w14:ligatures w14:val="standardContextual"/>
        </w:rPr>
        <w:t>cyberbezpieczeństwa</w:t>
      </w:r>
      <w:proofErr w:type="spellEnd"/>
      <w:r w:rsidRPr="000F279C">
        <w:rPr>
          <w:rFonts w:eastAsiaTheme="minorHAnsi" w:cs="Arial"/>
          <w:bCs/>
          <w:kern w:val="2"/>
          <w:szCs w:val="22"/>
          <w:lang w:eastAsia="en-US"/>
          <w14:ligatures w14:val="standardContextual"/>
        </w:rPr>
        <w:t xml:space="preserve"> w odniesieniu do produktów z elementami cyfrowymi oraz w sprawie zmiany rozporządzeń (UE) nr 168/2013 i (UE) 2019/1020 i dyrektywy (UE) 2020/1828 (akt o </w:t>
      </w:r>
      <w:proofErr w:type="spellStart"/>
      <w:r w:rsidRPr="000F279C">
        <w:rPr>
          <w:rFonts w:eastAsiaTheme="minorHAnsi" w:cs="Arial"/>
          <w:bCs/>
          <w:kern w:val="2"/>
          <w:szCs w:val="22"/>
          <w:lang w:eastAsia="en-US"/>
          <w14:ligatures w14:val="standardContextual"/>
        </w:rPr>
        <w:t>cyberodporności</w:t>
      </w:r>
      <w:proofErr w:type="spellEnd"/>
      <w:r w:rsidRPr="000F279C">
        <w:rPr>
          <w:rFonts w:eastAsiaTheme="minorHAnsi" w:cs="Arial"/>
          <w:bCs/>
          <w:kern w:val="2"/>
          <w:szCs w:val="22"/>
          <w:lang w:eastAsia="en-US"/>
          <w14:ligatures w14:val="standardContextual"/>
        </w:rPr>
        <w:t>) (Dz. Urz. UE L 2024/2847 z 20.11.2024).</w:t>
      </w:r>
    </w:p>
    <w:p w14:paraId="6EA4E415"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Parlamentu Europejskiego i Rady (UE) 2024/3110 z dnia 27 listopada 2024 r. w sprawie ustanowienia zharmonizowanych zasad wprowadzania do obrotu 247 wyrobów budowlanych i uchylenia rozporządzenia (UE) nr 305/2011 (Dz. Urz. UE L 2024/3110 z 18.12.2024).</w:t>
      </w:r>
    </w:p>
    <w:p w14:paraId="46CEE214"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Parlamentu Europejskiego i Rady (UE) 2025/40 z dnia 19 grudnia 2024 r. w sprawie opakowań i odpadów opakowaniowych, zmiany rozporządzenia (UE) 2019/1020 i dyrektywy (UE) 2019/904 oraz uchylenia dyrektywy 94/62/WE (Dz. Urz. UE L 2025/40 z 22.01.2025).</w:t>
      </w:r>
    </w:p>
    <w:p w14:paraId="09C3FB33"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Parlamentu Europejskiego i Rady (UE) 2025/327 z dnia 11 lutego 2025 r. w sprawie europejskiej przestrzeni danych dotyczących zdrowia oraz zmiany dyrektywy 2011/24/UE i rozporządzenia (UE) 2024/2847 (Dz. Urz. UE L 2025/327 z 05.03.2025, str. 1).</w:t>
      </w:r>
    </w:p>
    <w:p w14:paraId="3E889683"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Rady (UE) 2025/1106 z dnia 27 maja 2025 r. ustanawiające Instrument na rzecz Zwiększenia Bezpieczeństwa Europy („instrument SAFE”) poprzez Wzmocnienie Europejskiego Przemysłu Obronnego (Dz. Urz. UE L 2025/1106 z 28.05.2025, str. 1).</w:t>
      </w:r>
    </w:p>
    <w:p w14:paraId="19030844" w14:textId="77777777" w:rsidR="000F279C" w:rsidRPr="000F279C" w:rsidRDefault="000F279C" w:rsidP="00565A93">
      <w:pPr>
        <w:numPr>
          <w:ilvl w:val="0"/>
          <w:numId w:val="41"/>
        </w:numPr>
        <w:spacing w:line="360" w:lineRule="auto"/>
        <w:jc w:val="left"/>
        <w:rPr>
          <w:rFonts w:eastAsiaTheme="minorHAnsi" w:cs="Arial"/>
          <w:bCs/>
          <w:kern w:val="2"/>
          <w:szCs w:val="22"/>
          <w:lang w:eastAsia="en-US"/>
          <w14:ligatures w14:val="standardContextual"/>
        </w:rPr>
      </w:pPr>
      <w:r w:rsidRPr="000F279C">
        <w:rPr>
          <w:rFonts w:eastAsiaTheme="minorHAnsi" w:cs="Arial"/>
          <w:bCs/>
          <w:kern w:val="2"/>
          <w:szCs w:val="22"/>
          <w:lang w:eastAsia="en-US"/>
          <w14:ligatures w14:val="standardContextual"/>
        </w:rPr>
        <w:t>Rozporządzenie Parlamentu Europejskiego i Rady (UE) 2025/2643 z dnia 16 grudnia 2025 r. w sprawie ustanowienia Programu na rzecz europejskiego przemysłu obronnego oraz ram środków w celu zapewnienia terminowej dostępności i terminowych dostaw produktów związanych z obronnością ("rozporządzenie w sprawie EDIP"), (Dz. Urz. UE L 2025/2643 z 29.12.2025, str. 1).</w:t>
      </w:r>
    </w:p>
    <w:p w14:paraId="35D607F5" w14:textId="77777777" w:rsidR="00686DDE" w:rsidRDefault="00686DDE" w:rsidP="00686DDE">
      <w:pPr>
        <w:spacing w:line="360" w:lineRule="auto"/>
        <w:jc w:val="left"/>
        <w:rPr>
          <w:rFonts w:eastAsiaTheme="minorHAnsi" w:cs="Arial"/>
          <w:bCs/>
          <w:kern w:val="2"/>
          <w:szCs w:val="22"/>
          <w:lang w:eastAsia="en-US"/>
          <w14:ligatures w14:val="standardContextual"/>
        </w:rPr>
      </w:pPr>
    </w:p>
    <w:p w14:paraId="1C5DA60E" w14:textId="6248BBF4" w:rsidR="00176893" w:rsidRDefault="00176893" w:rsidP="00960458">
      <w:pPr>
        <w:shd w:val="clear" w:color="auto" w:fill="FFFFFF"/>
        <w:spacing w:line="360" w:lineRule="auto"/>
        <w:jc w:val="left"/>
        <w:rPr>
          <w:rFonts w:cs="Arial"/>
        </w:rPr>
      </w:pPr>
      <w:r>
        <w:rPr>
          <w:rFonts w:cs="Arial"/>
        </w:rPr>
        <w:br w:type="page"/>
      </w:r>
    </w:p>
    <w:p w14:paraId="4ED7E28F" w14:textId="3C9DBD8B" w:rsidR="00326D1E" w:rsidRPr="00897490" w:rsidRDefault="004F6476" w:rsidP="00852522">
      <w:pPr>
        <w:pStyle w:val="Nagwek4"/>
      </w:pPr>
      <w:bookmarkStart w:id="354" w:name="_Załącznik_nr_10."/>
      <w:bookmarkStart w:id="355" w:name="_Załącznik_nr_11."/>
      <w:bookmarkEnd w:id="354"/>
      <w:bookmarkEnd w:id="355"/>
      <w:r w:rsidRPr="004F6476">
        <w:t xml:space="preserve">Załącznik nr </w:t>
      </w:r>
      <w:r w:rsidR="002972A1">
        <w:t>8</w:t>
      </w:r>
      <w:r>
        <w:t xml:space="preserve">. </w:t>
      </w:r>
      <w:r w:rsidR="00897490" w:rsidRPr="00897490">
        <w:t>Krótkie omówienie orzeczeń Trybunału Sprawiedliwoś</w:t>
      </w:r>
      <w:r w:rsidR="00897490">
        <w:t>ci Unii Europejskiej wydanych w</w:t>
      </w:r>
      <w:r>
        <w:t xml:space="preserve"> </w:t>
      </w:r>
      <w:r w:rsidR="00897490" w:rsidRPr="00897490">
        <w:t>202</w:t>
      </w:r>
      <w:r w:rsidR="00FC7EE6">
        <w:t>5</w:t>
      </w:r>
      <w:r w:rsidR="00897490" w:rsidRPr="00897490">
        <w:t xml:space="preserve"> r</w:t>
      </w:r>
      <w:r w:rsidR="00CC67BA">
        <w:t>.</w:t>
      </w:r>
    </w:p>
    <w:p w14:paraId="33FB32B0" w14:textId="308406E8" w:rsidR="003B2931" w:rsidRPr="003B2931" w:rsidRDefault="003B2931" w:rsidP="00565A93">
      <w:pPr>
        <w:numPr>
          <w:ilvl w:val="0"/>
          <w:numId w:val="44"/>
        </w:numPr>
        <w:shd w:val="clear" w:color="auto" w:fill="FFFFFF"/>
        <w:spacing w:before="120" w:line="360" w:lineRule="auto"/>
        <w:ind w:left="357" w:hanging="357"/>
        <w:jc w:val="left"/>
        <w:rPr>
          <w:rFonts w:cs="Arial"/>
          <w:b/>
          <w:bCs/>
          <w:color w:val="0070C0"/>
        </w:rPr>
      </w:pPr>
      <w:r w:rsidRPr="003B2931">
        <w:rPr>
          <w:rFonts w:cs="Arial"/>
          <w:b/>
          <w:bCs/>
          <w:color w:val="0070C0"/>
        </w:rPr>
        <w:t xml:space="preserve">Wyrok z dnia 9 stycznia 2025 r. w sprawie C-578/23 </w:t>
      </w:r>
      <w:proofErr w:type="spellStart"/>
      <w:r w:rsidRPr="003B2931">
        <w:rPr>
          <w:rFonts w:cs="Arial"/>
          <w:b/>
          <w:bCs/>
          <w:color w:val="0070C0"/>
        </w:rPr>
        <w:t>Česká</w:t>
      </w:r>
      <w:proofErr w:type="spellEnd"/>
      <w:r w:rsidRPr="003B2931">
        <w:rPr>
          <w:rFonts w:cs="Arial"/>
          <w:b/>
          <w:bCs/>
          <w:color w:val="0070C0"/>
        </w:rPr>
        <w:t xml:space="preserve"> republika – </w:t>
      </w:r>
      <w:proofErr w:type="spellStart"/>
      <w:r w:rsidRPr="003B2931">
        <w:rPr>
          <w:rFonts w:cs="Arial"/>
          <w:b/>
          <w:bCs/>
          <w:color w:val="0070C0"/>
        </w:rPr>
        <w:t>Generální</w:t>
      </w:r>
      <w:proofErr w:type="spellEnd"/>
      <w:r w:rsidRPr="003B2931">
        <w:rPr>
          <w:rFonts w:cs="Arial"/>
          <w:b/>
          <w:bCs/>
          <w:color w:val="0070C0"/>
        </w:rPr>
        <w:t xml:space="preserve"> </w:t>
      </w:r>
      <w:proofErr w:type="spellStart"/>
      <w:r w:rsidRPr="003B2931">
        <w:rPr>
          <w:rFonts w:cs="Arial"/>
          <w:b/>
          <w:bCs/>
          <w:color w:val="0070C0"/>
        </w:rPr>
        <w:t>finanční</w:t>
      </w:r>
      <w:proofErr w:type="spellEnd"/>
      <w:r w:rsidRPr="003B2931">
        <w:rPr>
          <w:rFonts w:cs="Arial"/>
          <w:b/>
          <w:bCs/>
          <w:color w:val="0070C0"/>
        </w:rPr>
        <w:t xml:space="preserve"> </w:t>
      </w:r>
      <w:proofErr w:type="spellStart"/>
      <w:r w:rsidRPr="003B2931">
        <w:rPr>
          <w:rFonts w:cs="Arial"/>
          <w:b/>
          <w:bCs/>
          <w:color w:val="0070C0"/>
        </w:rPr>
        <w:t>ředitelství</w:t>
      </w:r>
      <w:proofErr w:type="spellEnd"/>
      <w:r w:rsidRPr="003B2931">
        <w:rPr>
          <w:rFonts w:cs="Arial"/>
          <w:b/>
          <w:bCs/>
          <w:color w:val="0070C0"/>
        </w:rPr>
        <w:t xml:space="preserve"> przeciwko </w:t>
      </w:r>
      <w:proofErr w:type="spellStart"/>
      <w:r w:rsidRPr="003B2931">
        <w:rPr>
          <w:rFonts w:cs="Arial"/>
          <w:b/>
          <w:bCs/>
          <w:color w:val="0070C0"/>
        </w:rPr>
        <w:t>Úřad</w:t>
      </w:r>
      <w:proofErr w:type="spellEnd"/>
      <w:r w:rsidRPr="003B2931">
        <w:rPr>
          <w:rFonts w:cs="Arial"/>
          <w:b/>
          <w:bCs/>
          <w:color w:val="0070C0"/>
        </w:rPr>
        <w:t xml:space="preserve"> pro </w:t>
      </w:r>
      <w:proofErr w:type="spellStart"/>
      <w:r w:rsidRPr="003B2931">
        <w:rPr>
          <w:rFonts w:cs="Arial"/>
          <w:b/>
          <w:bCs/>
          <w:color w:val="0070C0"/>
        </w:rPr>
        <w:t>ochranu</w:t>
      </w:r>
      <w:proofErr w:type="spellEnd"/>
      <w:r w:rsidRPr="003B2931">
        <w:rPr>
          <w:rFonts w:cs="Arial"/>
          <w:b/>
          <w:bCs/>
          <w:color w:val="0070C0"/>
        </w:rPr>
        <w:t xml:space="preserve"> </w:t>
      </w:r>
      <w:proofErr w:type="spellStart"/>
      <w:r w:rsidRPr="003B2931">
        <w:rPr>
          <w:rFonts w:cs="Arial"/>
          <w:b/>
          <w:bCs/>
          <w:color w:val="0070C0"/>
        </w:rPr>
        <w:t>hospodářské</w:t>
      </w:r>
      <w:proofErr w:type="spellEnd"/>
      <w:r w:rsidRPr="003B2931">
        <w:rPr>
          <w:rFonts w:cs="Arial"/>
          <w:b/>
          <w:bCs/>
          <w:color w:val="0070C0"/>
        </w:rPr>
        <w:t xml:space="preserve"> </w:t>
      </w:r>
      <w:proofErr w:type="spellStart"/>
      <w:r w:rsidRPr="003B2931">
        <w:rPr>
          <w:rFonts w:cs="Arial"/>
          <w:b/>
          <w:bCs/>
          <w:color w:val="0070C0"/>
        </w:rPr>
        <w:t>soutěže</w:t>
      </w:r>
      <w:proofErr w:type="spellEnd"/>
      <w:r w:rsidRPr="003B2931">
        <w:rPr>
          <w:rFonts w:cs="Arial"/>
          <w:b/>
          <w:bCs/>
          <w:color w:val="0070C0"/>
        </w:rPr>
        <w:t>, ECLI:EU:C:2025:4</w:t>
      </w:r>
    </w:p>
    <w:p w14:paraId="46D45D2F" w14:textId="77777777" w:rsidR="003B2931" w:rsidRPr="003B2931" w:rsidRDefault="003B2931" w:rsidP="003B2931">
      <w:pPr>
        <w:shd w:val="clear" w:color="auto" w:fill="FFFFFF"/>
        <w:spacing w:line="360" w:lineRule="auto"/>
        <w:jc w:val="left"/>
        <w:rPr>
          <w:rFonts w:cs="Arial"/>
          <w:bCs/>
        </w:rPr>
      </w:pPr>
      <w:r w:rsidRPr="003B2931">
        <w:rPr>
          <w:rFonts w:cs="Arial"/>
          <w:bCs/>
        </w:rPr>
        <w:t xml:space="preserve">W sprawie C-578/23 </w:t>
      </w:r>
      <w:proofErr w:type="spellStart"/>
      <w:r w:rsidRPr="003B2931">
        <w:rPr>
          <w:rFonts w:cs="Arial"/>
          <w:bCs/>
        </w:rPr>
        <w:t>Česká</w:t>
      </w:r>
      <w:proofErr w:type="spellEnd"/>
      <w:r w:rsidRPr="003B2931">
        <w:rPr>
          <w:rFonts w:cs="Arial"/>
          <w:bCs/>
        </w:rPr>
        <w:t xml:space="preserve"> republika – </w:t>
      </w:r>
      <w:proofErr w:type="spellStart"/>
      <w:r w:rsidRPr="003B2931">
        <w:rPr>
          <w:rFonts w:cs="Arial"/>
          <w:bCs/>
        </w:rPr>
        <w:t>Generální</w:t>
      </w:r>
      <w:proofErr w:type="spellEnd"/>
      <w:r w:rsidRPr="003B2931">
        <w:rPr>
          <w:rFonts w:cs="Arial"/>
          <w:bCs/>
        </w:rPr>
        <w:t xml:space="preserve"> </w:t>
      </w:r>
      <w:proofErr w:type="spellStart"/>
      <w:r w:rsidRPr="003B2931">
        <w:rPr>
          <w:rFonts w:cs="Arial"/>
          <w:bCs/>
        </w:rPr>
        <w:t>finanční</w:t>
      </w:r>
      <w:proofErr w:type="spellEnd"/>
      <w:r w:rsidRPr="003B2931">
        <w:rPr>
          <w:rFonts w:cs="Arial"/>
          <w:bCs/>
        </w:rPr>
        <w:t xml:space="preserve"> </w:t>
      </w:r>
      <w:proofErr w:type="spellStart"/>
      <w:r w:rsidRPr="003B2931">
        <w:rPr>
          <w:rFonts w:cs="Arial"/>
          <w:bCs/>
        </w:rPr>
        <w:t>ředitelství</w:t>
      </w:r>
      <w:proofErr w:type="spellEnd"/>
      <w:r w:rsidRPr="003B2931">
        <w:rPr>
          <w:rFonts w:cs="Arial"/>
          <w:bCs/>
        </w:rPr>
        <w:t xml:space="preserve"> Trybunał Sprawiedliwości dokonał wykładni art. 31 pkt 1 lit. b) dyrektywy 2004/18/WE</w:t>
      </w:r>
      <w:r w:rsidRPr="003B2931">
        <w:rPr>
          <w:rFonts w:cs="Arial"/>
          <w:bCs/>
          <w:vertAlign w:val="superscript"/>
        </w:rPr>
        <w:footnoteReference w:id="24"/>
      </w:r>
      <w:r w:rsidRPr="003B2931">
        <w:rPr>
          <w:rFonts w:cs="Arial"/>
          <w:bCs/>
        </w:rPr>
        <w:t xml:space="preserve"> w zakresie przesłanek zastosowania procedury negocjacyjnej bez uprzedniej publikacji ogłoszenia o zamówieniu. Sprawa dotyczyła udzielenia zamówienia na obsługę systemu informatycznego bez przeprowadzenia procedury konkurencyjnej, co instytucja zamawiająca uzasadniała istnieniem przyczyn technicznych oraz ochroną praw wyłącznych wykonawcy do kodu źródłowego. Trybunał przypomniał, że procedura negocjacyjna bez publikacji ogłoszenia ma charakter wyjątkowy i podlega ścisłej wykładni, a ciężar dowodu spełnienia jej przesłanek spoczywa na instytucji zamawiającej. Zastosowanie tej procedury wymaga łącznego spełnienia przesłanek: istnienia przyczyn technicznych lub związanych z ochroną praw wyłącznych oraz bezwzględnej konieczności udzielenia zamówienia konkretnemu wykonawcy. Trybunał podkreślił ponadto, że instytucja zamawiająca jest zobowiązana do podjęcia wszelkich racjonalnych działań w celu uniknięcia sytuacji wyłączności ograniczającej konkurencję, a możliwość skorzystania z omawianego trybu nie może wynikać z jej własnych działań lub zaniechań. W świetle powyższych rozważań Trybunał orzekł, że art. 31 pkt 1 lit. b) dyrektywy 2004/18/WE należy interpretować w ten sposób, iż w celu uzasadnienia zastosowania procedury negocjacyjnej bez uprzedniej publikacji ogłoszenia instytucja zamawiająca nie może powoływać się na ochronę praw wyłącznych, jeżeli można jej przypisać powstanie lub utrzymywanie się stanu wyłączności. Ocena tej przesłanki powinna obejmować nie tylko okoliczności towarzyszące zawarciu umowy pierwotnej, lecz również wszystkie okoliczności charakteryzujące okres od jej zawarcia do momentu podjęcia decyzji o udzieleniu kolejnego zamówienia.</w:t>
      </w:r>
    </w:p>
    <w:p w14:paraId="5C07A658" w14:textId="70310CD7" w:rsidR="003B2931" w:rsidRPr="003B2931" w:rsidRDefault="003B2931" w:rsidP="00565A93">
      <w:pPr>
        <w:numPr>
          <w:ilvl w:val="0"/>
          <w:numId w:val="44"/>
        </w:numPr>
        <w:shd w:val="clear" w:color="auto" w:fill="FFFFFF"/>
        <w:spacing w:before="120" w:line="360" w:lineRule="auto"/>
        <w:ind w:left="357" w:hanging="357"/>
        <w:jc w:val="left"/>
        <w:rPr>
          <w:rFonts w:cs="Arial"/>
          <w:b/>
          <w:bCs/>
          <w:color w:val="0070C0"/>
        </w:rPr>
      </w:pPr>
      <w:r w:rsidRPr="003B2931">
        <w:rPr>
          <w:rFonts w:cs="Arial"/>
          <w:b/>
          <w:bCs/>
          <w:color w:val="0070C0"/>
        </w:rPr>
        <w:t xml:space="preserve">Wyrok z dnia 16 stycznia 2025 r. w sprawie C-424/23 DYKA Plastics NV przeciwko </w:t>
      </w:r>
      <w:proofErr w:type="spellStart"/>
      <w:r w:rsidRPr="003B2931">
        <w:rPr>
          <w:rFonts w:cs="Arial"/>
          <w:b/>
          <w:bCs/>
          <w:color w:val="0070C0"/>
        </w:rPr>
        <w:t>Fluvius</w:t>
      </w:r>
      <w:proofErr w:type="spellEnd"/>
      <w:r w:rsidRPr="003B2931">
        <w:rPr>
          <w:rFonts w:cs="Arial"/>
          <w:b/>
          <w:bCs/>
          <w:color w:val="0070C0"/>
        </w:rPr>
        <w:t xml:space="preserve"> System Operator CV, ECLI:EU:C:2025:15</w:t>
      </w:r>
    </w:p>
    <w:p w14:paraId="2C8568BE" w14:textId="77777777" w:rsidR="003B2931" w:rsidRPr="003B2931" w:rsidRDefault="003B2931" w:rsidP="003B2931">
      <w:pPr>
        <w:shd w:val="clear" w:color="auto" w:fill="FFFFFF"/>
        <w:spacing w:line="360" w:lineRule="auto"/>
        <w:jc w:val="left"/>
        <w:rPr>
          <w:rFonts w:cs="Arial"/>
          <w:bCs/>
        </w:rPr>
      </w:pPr>
      <w:r w:rsidRPr="003B2931">
        <w:rPr>
          <w:rFonts w:cs="Arial"/>
          <w:bCs/>
        </w:rPr>
        <w:t>W sprawie C-424/23 DYKA Plastics Trybunał Sprawiedliwości dokonał wykładni art. 42 dyrektywy 2014/24/UE</w:t>
      </w:r>
      <w:r w:rsidRPr="003B2931">
        <w:rPr>
          <w:rFonts w:cs="Arial"/>
          <w:bCs/>
          <w:vertAlign w:val="superscript"/>
        </w:rPr>
        <w:footnoteReference w:id="25"/>
      </w:r>
      <w:r w:rsidRPr="003B2931">
        <w:rPr>
          <w:rFonts w:cs="Arial"/>
          <w:bCs/>
        </w:rPr>
        <w:t xml:space="preserve"> w zakresie sposobu formułowania specyfikacji technicznych w zamówieniach publicznych. Sprawa dotyczyła praktyki instytucji zamawiającej polegającej na wymaganiu stosowania w robotach budowlanych określonych materiałów (rur z kamionki i betonu), co w praktyce prowadziło do wykluczenia produktów wykonanych z innych materiałów, w szczególności tworzyw sztucznych. Trybunał w pierwszej kolejności rozstrzygnął, że wykaz metod formułowania specyfikacji technicznych określony w art. 42 ust. 3 dyrektywy 2014/24/UE ma charakter wyczerpujący. Instytucja zamawiająca jest zatem zobowiązana do sporządzenia specyfikacji technicznych zgodnie z jedną z metod wskazanych w tym przepisie, z zastrzeżeniem wyjątków przewidzianych w art. 42 ust. 4 tej dyrektywy. Określenie w specyfikacjach technicznych materiału, z którego ma być wykonany produkt, stanowi co do zasady odniesienie do typu lub konkretnej produkcji w rozumieniu art. 42 ust. 4 dyrektywy 2014/24/UE, które może prowadzić do ograniczenia konkurencji. W konsekwencji takie odniesienie jest dopuszczalne jedynie wyjątkowo, a co do zasady musi mu towarzyszyć sformułowanie „lub równoważne”. Trybunał podkreślił, że odstępstwo od tego wymogu jest możliwe wyłącznie wtedy, gdy zastosowanie określonego materiału wynika w sposób nieunikniony z przedmiotu zamówienia i nie istnieje żadne równoważne rozwiązanie techniczne. W przeciwnym razie instytucja zamawiająca powinna formułować specyfikacje w sposób funkcjonalny lub dopuszczać rozwiązania równoważne, aby zapewnić otwarcie zamówienia na konkurencję. Ponadto Trybunał uznał, że naruszenie zasad określonych w art. 42 ust. 3 i 4 tej dyrektywy skutkuje jednocześnie naruszeniem obowiązku zapewnienia równego traktowania wykonawców oraz zakazu sztucznego ograniczania konkurencji, wynikających z art. 42 ust. 2 w związku z art. 18 ust. 1 dyrektywy 2014/24/UE. </w:t>
      </w:r>
    </w:p>
    <w:p w14:paraId="151014A5" w14:textId="77777777" w:rsidR="003B2931" w:rsidRPr="003B2931" w:rsidRDefault="003B2931" w:rsidP="003B2931">
      <w:pPr>
        <w:shd w:val="clear" w:color="auto" w:fill="FFFFFF"/>
        <w:spacing w:line="360" w:lineRule="auto"/>
        <w:jc w:val="left"/>
        <w:rPr>
          <w:rFonts w:cs="Arial"/>
          <w:bCs/>
        </w:rPr>
      </w:pPr>
      <w:r w:rsidRPr="003B2931">
        <w:rPr>
          <w:rFonts w:cs="Arial"/>
          <w:bCs/>
        </w:rPr>
        <w:t>Trybunał orzekł, że art. 42 ust. 3 dyrektywy 2014/24/UE należy interpretować w ten sposób, iż zawarte w nim wyliczenie metod formułowania specyfikacji technicznych ma charakter wyczerpujący. Z kolei artykuł 42 ust. 4 tej dyrektywy należy interpretować w ten sposób, że instytucja zamawiająca nie może – bez dodania sformułowania „lub równoważne” – określać w specyfikacjach technicznych materiału, z którego mają być wykonane oferowane produkty, chyba że wymóg ten wynika w sposób nieunikniony z przedmiotu zamówienia. Naruszenie tych zasad prowadzi zaś do naruszenia obowiązku zapewnienia równego dostępu wykonawców oraz zakazu ograniczania konkurencji.</w:t>
      </w:r>
    </w:p>
    <w:p w14:paraId="24F4CCB1" w14:textId="4E257BA5" w:rsidR="003B2931" w:rsidRPr="003B2931" w:rsidRDefault="003B2931" w:rsidP="00565A93">
      <w:pPr>
        <w:numPr>
          <w:ilvl w:val="0"/>
          <w:numId w:val="44"/>
        </w:numPr>
        <w:shd w:val="clear" w:color="auto" w:fill="FFFFFF"/>
        <w:spacing w:before="120" w:line="360" w:lineRule="auto"/>
        <w:ind w:left="357" w:hanging="357"/>
        <w:jc w:val="left"/>
        <w:rPr>
          <w:rFonts w:cs="Arial"/>
          <w:b/>
          <w:bCs/>
          <w:color w:val="0070C0"/>
        </w:rPr>
      </w:pPr>
      <w:r w:rsidRPr="003B2931">
        <w:rPr>
          <w:rFonts w:cs="Arial"/>
          <w:b/>
          <w:bCs/>
          <w:color w:val="0070C0"/>
        </w:rPr>
        <w:t>Wyrok z dnia 13 lutego 2025 r. w sprawie C-684/23 „</w:t>
      </w:r>
      <w:proofErr w:type="spellStart"/>
      <w:r w:rsidRPr="003B2931">
        <w:rPr>
          <w:rFonts w:cs="Arial"/>
          <w:b/>
          <w:bCs/>
          <w:color w:val="0070C0"/>
        </w:rPr>
        <w:t>Latvijas</w:t>
      </w:r>
      <w:proofErr w:type="spellEnd"/>
      <w:r w:rsidRPr="003B2931">
        <w:rPr>
          <w:rFonts w:cs="Arial"/>
          <w:b/>
          <w:bCs/>
          <w:color w:val="0070C0"/>
        </w:rPr>
        <w:t xml:space="preserve"> </w:t>
      </w:r>
      <w:proofErr w:type="spellStart"/>
      <w:r w:rsidRPr="003B2931">
        <w:rPr>
          <w:rFonts w:cs="Arial"/>
          <w:b/>
          <w:bCs/>
          <w:color w:val="0070C0"/>
        </w:rPr>
        <w:t>Sabiedriskais</w:t>
      </w:r>
      <w:proofErr w:type="spellEnd"/>
      <w:r w:rsidRPr="003B2931">
        <w:rPr>
          <w:rFonts w:cs="Arial"/>
          <w:b/>
          <w:bCs/>
          <w:color w:val="0070C0"/>
        </w:rPr>
        <w:t xml:space="preserve"> </w:t>
      </w:r>
      <w:proofErr w:type="spellStart"/>
      <w:r w:rsidRPr="003B2931">
        <w:rPr>
          <w:rFonts w:cs="Arial"/>
          <w:b/>
          <w:bCs/>
          <w:color w:val="0070C0"/>
        </w:rPr>
        <w:t>Autobuss</w:t>
      </w:r>
      <w:proofErr w:type="spellEnd"/>
      <w:r w:rsidRPr="003B2931">
        <w:rPr>
          <w:rFonts w:cs="Arial"/>
          <w:b/>
          <w:bCs/>
          <w:color w:val="0070C0"/>
        </w:rPr>
        <w:t xml:space="preserve">” SIA przeciwko </w:t>
      </w:r>
      <w:proofErr w:type="spellStart"/>
      <w:r w:rsidRPr="003B2931">
        <w:rPr>
          <w:rFonts w:cs="Arial"/>
          <w:b/>
          <w:bCs/>
          <w:color w:val="0070C0"/>
        </w:rPr>
        <w:t>Iepirkumu</w:t>
      </w:r>
      <w:proofErr w:type="spellEnd"/>
      <w:r w:rsidRPr="003B2931">
        <w:rPr>
          <w:rFonts w:cs="Arial"/>
          <w:b/>
          <w:bCs/>
          <w:color w:val="0070C0"/>
        </w:rPr>
        <w:t xml:space="preserve"> </w:t>
      </w:r>
      <w:proofErr w:type="spellStart"/>
      <w:r w:rsidRPr="003B2931">
        <w:rPr>
          <w:rFonts w:cs="Arial"/>
          <w:b/>
          <w:bCs/>
          <w:color w:val="0070C0"/>
        </w:rPr>
        <w:t>uzraudzības</w:t>
      </w:r>
      <w:proofErr w:type="spellEnd"/>
      <w:r w:rsidRPr="003B2931">
        <w:rPr>
          <w:rFonts w:cs="Arial"/>
          <w:b/>
          <w:bCs/>
          <w:color w:val="0070C0"/>
        </w:rPr>
        <w:t xml:space="preserve"> </w:t>
      </w:r>
      <w:proofErr w:type="spellStart"/>
      <w:r w:rsidRPr="003B2931">
        <w:rPr>
          <w:rFonts w:cs="Arial"/>
          <w:b/>
          <w:bCs/>
          <w:color w:val="0070C0"/>
        </w:rPr>
        <w:t>birojs</w:t>
      </w:r>
      <w:proofErr w:type="spellEnd"/>
      <w:r w:rsidRPr="003B2931">
        <w:rPr>
          <w:rFonts w:cs="Arial"/>
          <w:b/>
          <w:bCs/>
          <w:color w:val="0070C0"/>
        </w:rPr>
        <w:t>, „</w:t>
      </w:r>
      <w:proofErr w:type="spellStart"/>
      <w:r w:rsidRPr="003B2931">
        <w:rPr>
          <w:rFonts w:cs="Arial"/>
          <w:b/>
          <w:bCs/>
          <w:color w:val="0070C0"/>
        </w:rPr>
        <w:t>Autotransporta</w:t>
      </w:r>
      <w:proofErr w:type="spellEnd"/>
      <w:r w:rsidRPr="003B2931">
        <w:rPr>
          <w:rFonts w:cs="Arial"/>
          <w:b/>
          <w:bCs/>
          <w:color w:val="0070C0"/>
        </w:rPr>
        <w:t xml:space="preserve"> </w:t>
      </w:r>
      <w:proofErr w:type="spellStart"/>
      <w:r w:rsidRPr="003B2931">
        <w:rPr>
          <w:rFonts w:cs="Arial"/>
          <w:b/>
          <w:bCs/>
          <w:color w:val="0070C0"/>
        </w:rPr>
        <w:t>direkcija</w:t>
      </w:r>
      <w:proofErr w:type="spellEnd"/>
      <w:r w:rsidRPr="003B2931">
        <w:rPr>
          <w:rFonts w:cs="Arial"/>
          <w:b/>
          <w:bCs/>
          <w:color w:val="0070C0"/>
        </w:rPr>
        <w:t>” VSIA, ECLI:EU:C:2025:90</w:t>
      </w:r>
    </w:p>
    <w:p w14:paraId="5E5D7877" w14:textId="77777777" w:rsidR="003B2931" w:rsidRPr="003B2931" w:rsidRDefault="003B2931" w:rsidP="003B2931">
      <w:pPr>
        <w:shd w:val="clear" w:color="auto" w:fill="FFFFFF"/>
        <w:spacing w:line="360" w:lineRule="auto"/>
        <w:jc w:val="left"/>
        <w:rPr>
          <w:rFonts w:cs="Arial"/>
          <w:bCs/>
        </w:rPr>
      </w:pPr>
      <w:r w:rsidRPr="003B2931">
        <w:rPr>
          <w:rFonts w:cs="Arial"/>
          <w:bCs/>
        </w:rPr>
        <w:t>Sprawa dotyczyła dopuszczalności udziału podmiotu wewnętrznego, tj. jednostki kontrolowanej przez właściwy organ publiczny, której uprzednio bezpośrednio powierzono świadczenie usług publicznego transportu pasażerskiego, w postępowaniu o udzielenie zamówienia prowadzonym w trybie konkurencyjnej procedury przetargowej. Wątpliwości sądu odsyłającego koncentrowały się na tym, czy udział takiego podmiotu jest uzależniony od spełnienia warunków przewidzianych w rozporządzeniu 1370/2007</w:t>
      </w:r>
      <w:r w:rsidRPr="003B2931">
        <w:rPr>
          <w:rFonts w:cs="Arial"/>
          <w:bCs/>
          <w:vertAlign w:val="superscript"/>
        </w:rPr>
        <w:footnoteReference w:id="26"/>
      </w:r>
      <w:r w:rsidRPr="003B2931">
        <w:rPr>
          <w:rFonts w:cs="Arial"/>
          <w:bCs/>
        </w:rPr>
        <w:t>. Trybunał wskazał, że regulacje dotyczące bezpośredniego udzielania zamówień oraz regulacje odnoszące się do procedur konkurencyjnych mają autonomiczny i rozłączny charakter. W konsekwencji przesłanki odnoszące się do dopuszczalności bezpośredniego powierzenia świadczenia usług nie znajdują zastosowania w ramach postępowania prowadzonego w trybie konkurencyjnym.</w:t>
      </w:r>
    </w:p>
    <w:p w14:paraId="42E36916" w14:textId="77777777" w:rsidR="003B2931" w:rsidRPr="003B2931" w:rsidRDefault="003B2931" w:rsidP="003B2931">
      <w:pPr>
        <w:shd w:val="clear" w:color="auto" w:fill="FFFFFF"/>
        <w:spacing w:line="360" w:lineRule="auto"/>
        <w:jc w:val="left"/>
        <w:rPr>
          <w:rFonts w:cs="Arial"/>
          <w:bCs/>
        </w:rPr>
      </w:pPr>
      <w:r w:rsidRPr="003B2931">
        <w:rPr>
          <w:rFonts w:cs="Arial"/>
          <w:bCs/>
        </w:rPr>
        <w:t>Trybunał podkreślił, że w przypadku wyboru procedury przetargowej właściwy organ jest zobowiązany zapewnić jej otwarty, przejrzysty i niedyskryminacyjny charakter, co implikuje dopuszczenie do udziału wszystkich zainteresowanych wykonawców, w tym również podmiotów wewnętrznych. Tym samym instytucja zamawiająca nie jest zobowiązana do weryfikowania, czy podmiot wewnętrzny spełnia warunki właściwe dla bezpośredniego udzielenia zamówienia na etapie postępowania przetargowego. W związku z tym Trybunał orzekł, że przepisy rozporządzenia 1370/2007 należy interpretować w ten sposób, że instytucja zamawiająca nie jest zobowiązana – w przypadku, gdy podmiot wewnętrzny uczestniczy w postępowaniu o udzielenie zamówienia prowadzonym w trybie konkurencyjnej procedury przetargowej – do weryfikowania, czy spełnia on warunki przewidziane dla bezpośredniego udzielenia zamówienia.</w:t>
      </w:r>
    </w:p>
    <w:p w14:paraId="29435480" w14:textId="27343060" w:rsidR="003B2931" w:rsidRPr="00EC00D6" w:rsidRDefault="003B2931" w:rsidP="00565A93">
      <w:pPr>
        <w:numPr>
          <w:ilvl w:val="0"/>
          <w:numId w:val="44"/>
        </w:numPr>
        <w:shd w:val="clear" w:color="auto" w:fill="FFFFFF"/>
        <w:spacing w:before="120" w:line="360" w:lineRule="auto"/>
        <w:ind w:left="357" w:hanging="357"/>
        <w:jc w:val="left"/>
        <w:rPr>
          <w:rFonts w:cs="Arial"/>
          <w:b/>
          <w:bCs/>
          <w:color w:val="0070C0"/>
        </w:rPr>
      </w:pPr>
      <w:r w:rsidRPr="00EC00D6">
        <w:rPr>
          <w:rFonts w:cs="Arial"/>
          <w:b/>
          <w:bCs/>
          <w:color w:val="0070C0"/>
        </w:rPr>
        <w:t xml:space="preserve">Wyrok z dnia 13 marca 2025 r. w sprawie C-266/22 CRRC Qingdao </w:t>
      </w:r>
      <w:proofErr w:type="spellStart"/>
      <w:r w:rsidRPr="00EC00D6">
        <w:rPr>
          <w:rFonts w:cs="Arial"/>
          <w:b/>
          <w:bCs/>
          <w:color w:val="0070C0"/>
        </w:rPr>
        <w:t>Sifang</w:t>
      </w:r>
      <w:proofErr w:type="spellEnd"/>
      <w:r w:rsidRPr="00EC00D6">
        <w:rPr>
          <w:rFonts w:cs="Arial"/>
          <w:b/>
          <w:bCs/>
          <w:color w:val="0070C0"/>
        </w:rPr>
        <w:t xml:space="preserve"> Co. </w:t>
      </w:r>
      <w:proofErr w:type="spellStart"/>
      <w:r w:rsidRPr="00EC00D6">
        <w:rPr>
          <w:rFonts w:cs="Arial"/>
          <w:b/>
          <w:bCs/>
          <w:color w:val="0070C0"/>
        </w:rPr>
        <w:t>Ltd</w:t>
      </w:r>
      <w:proofErr w:type="spellEnd"/>
      <w:r w:rsidRPr="00EC00D6">
        <w:rPr>
          <w:rFonts w:cs="Arial"/>
          <w:b/>
          <w:bCs/>
          <w:color w:val="0070C0"/>
        </w:rPr>
        <w:t xml:space="preserve">, Astra </w:t>
      </w:r>
      <w:proofErr w:type="spellStart"/>
      <w:r w:rsidRPr="00EC00D6">
        <w:rPr>
          <w:rFonts w:cs="Arial"/>
          <w:b/>
          <w:bCs/>
          <w:color w:val="0070C0"/>
        </w:rPr>
        <w:t>Vagoane</w:t>
      </w:r>
      <w:proofErr w:type="spellEnd"/>
      <w:r w:rsidRPr="00EC00D6">
        <w:rPr>
          <w:rFonts w:cs="Arial"/>
          <w:b/>
          <w:bCs/>
          <w:color w:val="0070C0"/>
        </w:rPr>
        <w:t xml:space="preserve"> </w:t>
      </w:r>
      <w:proofErr w:type="spellStart"/>
      <w:r w:rsidRPr="00EC00D6">
        <w:rPr>
          <w:rFonts w:cs="Arial"/>
          <w:b/>
          <w:bCs/>
          <w:color w:val="0070C0"/>
        </w:rPr>
        <w:t>Călători</w:t>
      </w:r>
      <w:proofErr w:type="spellEnd"/>
      <w:r w:rsidRPr="00EC00D6">
        <w:rPr>
          <w:rFonts w:cs="Arial"/>
          <w:b/>
          <w:bCs/>
          <w:color w:val="0070C0"/>
        </w:rPr>
        <w:t xml:space="preserve"> SA przeciwko </w:t>
      </w:r>
      <w:proofErr w:type="spellStart"/>
      <w:r w:rsidRPr="00EC00D6">
        <w:rPr>
          <w:rFonts w:cs="Arial"/>
          <w:b/>
          <w:bCs/>
          <w:color w:val="0070C0"/>
        </w:rPr>
        <w:t>Autoritatea</w:t>
      </w:r>
      <w:proofErr w:type="spellEnd"/>
      <w:r w:rsidRPr="00EC00D6">
        <w:rPr>
          <w:rFonts w:cs="Arial"/>
          <w:b/>
          <w:bCs/>
          <w:color w:val="0070C0"/>
        </w:rPr>
        <w:t xml:space="preserve"> </w:t>
      </w:r>
      <w:proofErr w:type="spellStart"/>
      <w:r w:rsidRPr="00EC00D6">
        <w:rPr>
          <w:rFonts w:cs="Arial"/>
          <w:b/>
          <w:bCs/>
          <w:color w:val="0070C0"/>
        </w:rPr>
        <w:t>pentru</w:t>
      </w:r>
      <w:proofErr w:type="spellEnd"/>
      <w:r w:rsidRPr="00EC00D6">
        <w:rPr>
          <w:rFonts w:cs="Arial"/>
          <w:b/>
          <w:bCs/>
          <w:color w:val="0070C0"/>
        </w:rPr>
        <w:t xml:space="preserve"> </w:t>
      </w:r>
      <w:proofErr w:type="spellStart"/>
      <w:r w:rsidRPr="00EC00D6">
        <w:rPr>
          <w:rFonts w:cs="Arial"/>
          <w:b/>
          <w:bCs/>
          <w:color w:val="0070C0"/>
        </w:rPr>
        <w:t>Reformă</w:t>
      </w:r>
      <w:proofErr w:type="spellEnd"/>
      <w:r w:rsidRPr="00EC00D6">
        <w:rPr>
          <w:rFonts w:cs="Arial"/>
          <w:b/>
          <w:bCs/>
          <w:color w:val="0070C0"/>
        </w:rPr>
        <w:t xml:space="preserve"> </w:t>
      </w:r>
      <w:proofErr w:type="spellStart"/>
      <w:r w:rsidRPr="00EC00D6">
        <w:rPr>
          <w:rFonts w:cs="Arial"/>
          <w:b/>
          <w:bCs/>
          <w:color w:val="0070C0"/>
        </w:rPr>
        <w:t>Feroviară</w:t>
      </w:r>
      <w:proofErr w:type="spellEnd"/>
      <w:r w:rsidRPr="00EC00D6">
        <w:rPr>
          <w:rFonts w:cs="Arial"/>
          <w:b/>
          <w:bCs/>
          <w:color w:val="0070C0"/>
        </w:rPr>
        <w:t xml:space="preserve">, Alstom </w:t>
      </w:r>
      <w:proofErr w:type="spellStart"/>
      <w:r w:rsidRPr="00EC00D6">
        <w:rPr>
          <w:rFonts w:cs="Arial"/>
          <w:b/>
          <w:bCs/>
          <w:color w:val="0070C0"/>
        </w:rPr>
        <w:t>Ferroviaria</w:t>
      </w:r>
      <w:proofErr w:type="spellEnd"/>
      <w:r w:rsidRPr="00EC00D6">
        <w:rPr>
          <w:rFonts w:cs="Arial"/>
          <w:b/>
          <w:bCs/>
          <w:color w:val="0070C0"/>
        </w:rPr>
        <w:t xml:space="preserve"> </w:t>
      </w:r>
      <w:proofErr w:type="spellStart"/>
      <w:r w:rsidRPr="00EC00D6">
        <w:rPr>
          <w:rFonts w:cs="Arial"/>
          <w:b/>
          <w:bCs/>
          <w:color w:val="0070C0"/>
        </w:rPr>
        <w:t>SpA</w:t>
      </w:r>
      <w:proofErr w:type="spellEnd"/>
      <w:r w:rsidRPr="00EC00D6">
        <w:rPr>
          <w:rFonts w:cs="Arial"/>
          <w:b/>
          <w:bCs/>
          <w:color w:val="0070C0"/>
        </w:rPr>
        <w:t>, ECLI:EU:C:2025:178</w:t>
      </w:r>
    </w:p>
    <w:p w14:paraId="170D6E5F" w14:textId="77777777" w:rsidR="003B2931" w:rsidRPr="003B2931" w:rsidRDefault="003B2931" w:rsidP="003B2931">
      <w:pPr>
        <w:shd w:val="clear" w:color="auto" w:fill="FFFFFF"/>
        <w:spacing w:line="360" w:lineRule="auto"/>
        <w:jc w:val="left"/>
        <w:rPr>
          <w:rFonts w:cs="Arial"/>
          <w:bCs/>
        </w:rPr>
      </w:pPr>
      <w:r w:rsidRPr="003B2931">
        <w:rPr>
          <w:rFonts w:cs="Arial"/>
          <w:bCs/>
        </w:rPr>
        <w:t xml:space="preserve">W sprawie C-266/22 CRRC Qingdao </w:t>
      </w:r>
      <w:proofErr w:type="spellStart"/>
      <w:r w:rsidRPr="003B2931">
        <w:rPr>
          <w:rFonts w:cs="Arial"/>
          <w:bCs/>
        </w:rPr>
        <w:t>Sifang</w:t>
      </w:r>
      <w:proofErr w:type="spellEnd"/>
      <w:r w:rsidRPr="003B2931">
        <w:rPr>
          <w:rFonts w:cs="Arial"/>
          <w:bCs/>
        </w:rPr>
        <w:t xml:space="preserve"> Trybunał rozpatrywał kwestię dopuszczalności wykluczenia z postępowania o udzielenie zamówienia publicznego wykonawcy z państwa trzeciego, które nie zawarło z Unią umowy międzynarodowej gwarantującej wzajemny dostęp do zamówień publicznych, na podstawie przepisów krajowych przyjętych bez upoważnienia Unii, a także znaczenie zasad pewności prawa i ochrony uzasadnionych oczekiwań w takiej sytuacji. Odpowiadając na pytania rumuńskiego sądu, Trybunał wskazał, że wykonawcy z państw trzecich, którzy nie są stroną umów międzynarodowych, o których mowa w art. 25 dyrektywy 2014/24/UE, nie korzystają z prawa do traktowania nie mniej korzystnego niż wykonawcy unijni. W konsekwencji dostęp takich wykonawców do postępowań o udzielenie zamówienia publicznego w Unii nie jest zagwarantowany na gruncie prawa Unii. Trybunał podkreślił, że regulowanie zasad dostępu wykonawców z państw trzecich do zamówień publicznych należy do wyłącznej kompetencji Unii w ramach wspólnej polityki handlowej. W związku z tym państwa członkowskie nie są uprawnione do samodzielnego przyjmowania przepisów o charakterze generalnym, które nakazują wykluczenie takich wykonawców z postępowań. W konsekwencji Trybunał orzekł, że art. 3 ust. 1 lit. e) TFUE w związku z art. 2 ust. 1 TFUE należy interpretować w ten sposób, iż stoi on na przeszkodzie temu, aby instytucja zamawiająca wykluczyła wykonawcę z państwa trzeciego, które nie zawarło z Unią odpowiedniej umowy międzynarodowej, na podstawie przepisów krajowych przyjętych bez upoważnienia Unii, niezależnie od tego, że przepisy te weszły w życie po opublikowaniu ogłoszenia o zamówieniu, lecz przed złożeniem oferty.</w:t>
      </w:r>
    </w:p>
    <w:p w14:paraId="794FEB01" w14:textId="65E4F16F" w:rsidR="003B2931" w:rsidRPr="00EC00D6" w:rsidRDefault="003B2931" w:rsidP="00565A93">
      <w:pPr>
        <w:numPr>
          <w:ilvl w:val="0"/>
          <w:numId w:val="44"/>
        </w:numPr>
        <w:shd w:val="clear" w:color="auto" w:fill="FFFFFF"/>
        <w:spacing w:before="120" w:line="360" w:lineRule="auto"/>
        <w:ind w:left="357" w:hanging="357"/>
        <w:jc w:val="left"/>
        <w:rPr>
          <w:rFonts w:cs="Arial"/>
          <w:b/>
          <w:bCs/>
          <w:color w:val="0070C0"/>
        </w:rPr>
      </w:pPr>
      <w:r w:rsidRPr="00EC00D6">
        <w:rPr>
          <w:rFonts w:cs="Arial"/>
          <w:b/>
          <w:bCs/>
          <w:color w:val="0070C0"/>
        </w:rPr>
        <w:t xml:space="preserve">Wyrok z dnia 20 marca 2025 r. w sprawach C-728/22 do C-730/22 </w:t>
      </w:r>
      <w:proofErr w:type="spellStart"/>
      <w:r w:rsidRPr="00EC00D6">
        <w:rPr>
          <w:rFonts w:cs="Arial"/>
          <w:b/>
          <w:bCs/>
          <w:color w:val="0070C0"/>
        </w:rPr>
        <w:t>Associazione</w:t>
      </w:r>
      <w:proofErr w:type="spellEnd"/>
      <w:r w:rsidRPr="00EC00D6">
        <w:rPr>
          <w:rFonts w:cs="Arial"/>
          <w:b/>
          <w:bCs/>
          <w:color w:val="0070C0"/>
        </w:rPr>
        <w:t xml:space="preserve"> </w:t>
      </w:r>
      <w:proofErr w:type="spellStart"/>
      <w:r w:rsidRPr="00EC00D6">
        <w:rPr>
          <w:rFonts w:cs="Arial"/>
          <w:b/>
          <w:bCs/>
          <w:color w:val="0070C0"/>
        </w:rPr>
        <w:t>Nazionale</w:t>
      </w:r>
      <w:proofErr w:type="spellEnd"/>
      <w:r w:rsidRPr="00EC00D6">
        <w:rPr>
          <w:rFonts w:cs="Arial"/>
          <w:b/>
          <w:bCs/>
          <w:color w:val="0070C0"/>
        </w:rPr>
        <w:t xml:space="preserve"> </w:t>
      </w:r>
      <w:proofErr w:type="spellStart"/>
      <w:r w:rsidRPr="00EC00D6">
        <w:rPr>
          <w:rFonts w:cs="Arial"/>
          <w:b/>
          <w:bCs/>
          <w:color w:val="0070C0"/>
        </w:rPr>
        <w:t>Italiana</w:t>
      </w:r>
      <w:proofErr w:type="spellEnd"/>
      <w:r w:rsidRPr="00EC00D6">
        <w:rPr>
          <w:rFonts w:cs="Arial"/>
          <w:b/>
          <w:bCs/>
          <w:color w:val="0070C0"/>
        </w:rPr>
        <w:t xml:space="preserve"> Bingo – </w:t>
      </w:r>
      <w:proofErr w:type="spellStart"/>
      <w:r w:rsidRPr="00EC00D6">
        <w:rPr>
          <w:rFonts w:cs="Arial"/>
          <w:b/>
          <w:bCs/>
          <w:color w:val="0070C0"/>
        </w:rPr>
        <w:t>Anib</w:t>
      </w:r>
      <w:proofErr w:type="spellEnd"/>
      <w:r w:rsidRPr="00EC00D6">
        <w:rPr>
          <w:rFonts w:cs="Arial"/>
          <w:b/>
          <w:bCs/>
          <w:color w:val="0070C0"/>
        </w:rPr>
        <w:t xml:space="preserve">, Play Game </w:t>
      </w:r>
      <w:proofErr w:type="spellStart"/>
      <w:r w:rsidRPr="00EC00D6">
        <w:rPr>
          <w:rFonts w:cs="Arial"/>
          <w:b/>
          <w:bCs/>
          <w:color w:val="0070C0"/>
        </w:rPr>
        <w:t>Srl</w:t>
      </w:r>
      <w:proofErr w:type="spellEnd"/>
      <w:r w:rsidRPr="00EC00D6">
        <w:rPr>
          <w:rFonts w:cs="Arial"/>
          <w:b/>
          <w:bCs/>
          <w:color w:val="0070C0"/>
        </w:rPr>
        <w:t xml:space="preserve"> i in. przeciwko </w:t>
      </w:r>
      <w:proofErr w:type="spellStart"/>
      <w:r w:rsidRPr="00EC00D6">
        <w:rPr>
          <w:rFonts w:cs="Arial"/>
          <w:b/>
          <w:bCs/>
          <w:color w:val="0070C0"/>
        </w:rPr>
        <w:t>Ministero</w:t>
      </w:r>
      <w:proofErr w:type="spellEnd"/>
      <w:r w:rsidRPr="00EC00D6">
        <w:rPr>
          <w:rFonts w:cs="Arial"/>
          <w:b/>
          <w:bCs/>
          <w:color w:val="0070C0"/>
        </w:rPr>
        <w:t xml:space="preserve"> </w:t>
      </w:r>
      <w:proofErr w:type="spellStart"/>
      <w:r w:rsidRPr="00EC00D6">
        <w:rPr>
          <w:rFonts w:cs="Arial"/>
          <w:b/>
          <w:bCs/>
          <w:color w:val="0070C0"/>
        </w:rPr>
        <w:t>dell’Economia</w:t>
      </w:r>
      <w:proofErr w:type="spellEnd"/>
      <w:r w:rsidRPr="00EC00D6">
        <w:rPr>
          <w:rFonts w:cs="Arial"/>
          <w:b/>
          <w:bCs/>
          <w:color w:val="0070C0"/>
        </w:rPr>
        <w:t xml:space="preserve"> e </w:t>
      </w:r>
      <w:proofErr w:type="spellStart"/>
      <w:r w:rsidRPr="00EC00D6">
        <w:rPr>
          <w:rFonts w:cs="Arial"/>
          <w:b/>
          <w:bCs/>
          <w:color w:val="0070C0"/>
        </w:rPr>
        <w:t>delle</w:t>
      </w:r>
      <w:proofErr w:type="spellEnd"/>
      <w:r w:rsidRPr="00EC00D6">
        <w:rPr>
          <w:rFonts w:cs="Arial"/>
          <w:b/>
          <w:bCs/>
          <w:color w:val="0070C0"/>
        </w:rPr>
        <w:t xml:space="preserve"> </w:t>
      </w:r>
      <w:proofErr w:type="spellStart"/>
      <w:r w:rsidRPr="00EC00D6">
        <w:rPr>
          <w:rFonts w:cs="Arial"/>
          <w:b/>
          <w:bCs/>
          <w:color w:val="0070C0"/>
        </w:rPr>
        <w:t>Finanze</w:t>
      </w:r>
      <w:proofErr w:type="spellEnd"/>
      <w:r w:rsidRPr="00EC00D6">
        <w:rPr>
          <w:rFonts w:cs="Arial"/>
          <w:b/>
          <w:bCs/>
          <w:color w:val="0070C0"/>
        </w:rPr>
        <w:t xml:space="preserve">, </w:t>
      </w:r>
      <w:proofErr w:type="spellStart"/>
      <w:r w:rsidRPr="00EC00D6">
        <w:rPr>
          <w:rFonts w:cs="Arial"/>
          <w:b/>
          <w:bCs/>
          <w:color w:val="0070C0"/>
        </w:rPr>
        <w:t>Agenzia</w:t>
      </w:r>
      <w:proofErr w:type="spellEnd"/>
      <w:r w:rsidRPr="00EC00D6">
        <w:rPr>
          <w:rFonts w:cs="Arial"/>
          <w:b/>
          <w:bCs/>
          <w:color w:val="0070C0"/>
        </w:rPr>
        <w:t xml:space="preserve"> </w:t>
      </w:r>
      <w:proofErr w:type="spellStart"/>
      <w:r w:rsidRPr="00EC00D6">
        <w:rPr>
          <w:rFonts w:cs="Arial"/>
          <w:b/>
          <w:bCs/>
          <w:color w:val="0070C0"/>
        </w:rPr>
        <w:t>delle</w:t>
      </w:r>
      <w:proofErr w:type="spellEnd"/>
      <w:r w:rsidRPr="00EC00D6">
        <w:rPr>
          <w:rFonts w:cs="Arial"/>
          <w:b/>
          <w:bCs/>
          <w:color w:val="0070C0"/>
        </w:rPr>
        <w:t xml:space="preserve"> </w:t>
      </w:r>
      <w:proofErr w:type="spellStart"/>
      <w:r w:rsidRPr="00EC00D6">
        <w:rPr>
          <w:rFonts w:cs="Arial"/>
          <w:b/>
          <w:bCs/>
          <w:color w:val="0070C0"/>
        </w:rPr>
        <w:t>Dogane</w:t>
      </w:r>
      <w:proofErr w:type="spellEnd"/>
      <w:r w:rsidRPr="00EC00D6">
        <w:rPr>
          <w:rFonts w:cs="Arial"/>
          <w:b/>
          <w:bCs/>
          <w:color w:val="0070C0"/>
        </w:rPr>
        <w:t xml:space="preserve"> e dei Monopoli, ECLI:EU:C:2025:200</w:t>
      </w:r>
    </w:p>
    <w:p w14:paraId="09F783EC" w14:textId="77777777" w:rsidR="003B2931" w:rsidRPr="003B2931" w:rsidRDefault="003B2931" w:rsidP="003B2931">
      <w:pPr>
        <w:shd w:val="clear" w:color="auto" w:fill="FFFFFF"/>
        <w:spacing w:line="360" w:lineRule="auto"/>
        <w:jc w:val="left"/>
        <w:rPr>
          <w:rFonts w:cs="Arial"/>
          <w:bCs/>
        </w:rPr>
      </w:pPr>
      <w:r w:rsidRPr="003B2931">
        <w:rPr>
          <w:rFonts w:cs="Arial"/>
          <w:bCs/>
        </w:rPr>
        <w:t>W sprawach połączonych C-728/22–C-730/22 dotyczących systemu tzw. „technicznego przedłużenia” koncesji bingo, Trybunał rozpatrywał zgodność z prawem Unii przepisów krajowych, które przewidywały jednostronne przedłużanie koncesji wraz z nałożeniem dodatkowych obowiązków finansowych i organizacyjnych na koncesjonariuszy. Odpowiadając na pytania włoskiego sądu, Trybunał wskazał, że dyrektywa 2014/23/UE ma zastosowanie także do koncesji udzielonych przed jej wejściem w życie, jeżeli po upływie terminu transpozycji zostały one zmodyfikowane lub przedłużone na podstawie przepisów krajowych. Zarazem Trybunał podkreślił, że art. 43 tej dyrektywy dokonuje pełnej harmonizacji zasad dotyczących modyfikacji koncesji, a więc wszelkie zmiany – niezależnie od tego, czy wynikają z umowy, czy z aktu ustawowego – muszą mieścić się w przewidzianych w nim wyjątkach. W szczególności niedopuszczalne jest wprowadzanie istotnych zmian bez przeprowadzenia nowego postępowania. W konsekwencji Trybunał orzekł, że przepisy krajowe, które jednostronnie przedłużają okres obowiązywania koncesji oraz jednocześnie nakładają na koncesjonariuszy nowe obowiązki (takie jak opłaty, ograniczenia działalności czy warunki udziału w przyszłych przetargach), stanowią co do zasady niedozwoloną, istotną modyfikację koncesji, jeżeli nie spełniają przesłanek określonych w art. 43 dyrektywy 2014/23/UE. Jednocześnie Trybunał wskazał, że prawo Unii nie nakłada na państwa członkowskie obowiązku wprowadzenia mechanizmu renegocjacji koncesji w przypadku wystąpienia nadzwyczajnych, nieprzewidywalnych okoliczności wpływających na ryzyko operacyjne – możliwość taka zależy od prawa krajowego.</w:t>
      </w:r>
    </w:p>
    <w:p w14:paraId="778CA044" w14:textId="49A69565" w:rsidR="003B2931" w:rsidRPr="00EC00D6" w:rsidRDefault="003B2931" w:rsidP="00565A93">
      <w:pPr>
        <w:numPr>
          <w:ilvl w:val="0"/>
          <w:numId w:val="44"/>
        </w:numPr>
        <w:shd w:val="clear" w:color="auto" w:fill="FFFFFF"/>
        <w:spacing w:before="120" w:line="360" w:lineRule="auto"/>
        <w:ind w:left="357" w:hanging="357"/>
        <w:jc w:val="left"/>
        <w:rPr>
          <w:rFonts w:cs="Arial"/>
          <w:b/>
          <w:bCs/>
          <w:color w:val="0070C0"/>
        </w:rPr>
      </w:pPr>
      <w:r w:rsidRPr="00EC00D6">
        <w:rPr>
          <w:rFonts w:cs="Arial"/>
          <w:b/>
          <w:bCs/>
          <w:color w:val="0070C0"/>
        </w:rPr>
        <w:t xml:space="preserve">Wyrok z dnia 29 kwietnia 2025 r. w sprawie C-452/23 </w:t>
      </w:r>
      <w:proofErr w:type="spellStart"/>
      <w:r w:rsidRPr="00EC00D6">
        <w:rPr>
          <w:rFonts w:cs="Arial"/>
          <w:b/>
          <w:bCs/>
          <w:color w:val="0070C0"/>
        </w:rPr>
        <w:t>Fastned</w:t>
      </w:r>
      <w:proofErr w:type="spellEnd"/>
      <w:r w:rsidRPr="00EC00D6">
        <w:rPr>
          <w:rFonts w:cs="Arial"/>
          <w:b/>
          <w:bCs/>
          <w:color w:val="0070C0"/>
        </w:rPr>
        <w:t xml:space="preserve"> </w:t>
      </w:r>
      <w:proofErr w:type="spellStart"/>
      <w:r w:rsidRPr="00EC00D6">
        <w:rPr>
          <w:rFonts w:cs="Arial"/>
          <w:b/>
          <w:bCs/>
          <w:color w:val="0070C0"/>
        </w:rPr>
        <w:t>Deutschland</w:t>
      </w:r>
      <w:proofErr w:type="spellEnd"/>
      <w:r w:rsidRPr="00EC00D6">
        <w:rPr>
          <w:rFonts w:cs="Arial"/>
          <w:b/>
          <w:bCs/>
          <w:color w:val="0070C0"/>
        </w:rPr>
        <w:t xml:space="preserve"> GmbH &amp; Co. KG przeciwko </w:t>
      </w:r>
      <w:proofErr w:type="spellStart"/>
      <w:r w:rsidRPr="00EC00D6">
        <w:rPr>
          <w:rFonts w:cs="Arial"/>
          <w:b/>
          <w:bCs/>
          <w:color w:val="0070C0"/>
        </w:rPr>
        <w:t>Die</w:t>
      </w:r>
      <w:proofErr w:type="spellEnd"/>
      <w:r w:rsidRPr="00EC00D6">
        <w:rPr>
          <w:rFonts w:cs="Arial"/>
          <w:b/>
          <w:bCs/>
          <w:color w:val="0070C0"/>
        </w:rPr>
        <w:t xml:space="preserve"> </w:t>
      </w:r>
      <w:proofErr w:type="spellStart"/>
      <w:r w:rsidRPr="00EC00D6">
        <w:rPr>
          <w:rFonts w:cs="Arial"/>
          <w:b/>
          <w:bCs/>
          <w:color w:val="0070C0"/>
        </w:rPr>
        <w:t>Autobahn</w:t>
      </w:r>
      <w:proofErr w:type="spellEnd"/>
      <w:r w:rsidRPr="00EC00D6">
        <w:rPr>
          <w:rFonts w:cs="Arial"/>
          <w:b/>
          <w:bCs/>
          <w:color w:val="0070C0"/>
        </w:rPr>
        <w:t xml:space="preserve"> GmbH des </w:t>
      </w:r>
      <w:proofErr w:type="spellStart"/>
      <w:r w:rsidRPr="00EC00D6">
        <w:rPr>
          <w:rFonts w:cs="Arial"/>
          <w:b/>
          <w:bCs/>
          <w:color w:val="0070C0"/>
        </w:rPr>
        <w:t>Bundes</w:t>
      </w:r>
      <w:proofErr w:type="spellEnd"/>
      <w:r w:rsidRPr="00EC00D6">
        <w:rPr>
          <w:rFonts w:cs="Arial"/>
          <w:b/>
          <w:bCs/>
          <w:color w:val="0070C0"/>
        </w:rPr>
        <w:t>, ECLI:EU:C:2025:284</w:t>
      </w:r>
    </w:p>
    <w:p w14:paraId="68ED3EFF" w14:textId="77777777" w:rsidR="003B2931" w:rsidRPr="003B2931" w:rsidRDefault="003B2931" w:rsidP="003B2931">
      <w:pPr>
        <w:shd w:val="clear" w:color="auto" w:fill="FFFFFF"/>
        <w:spacing w:line="360" w:lineRule="auto"/>
        <w:jc w:val="left"/>
        <w:rPr>
          <w:rFonts w:cs="Arial"/>
          <w:bCs/>
        </w:rPr>
      </w:pPr>
      <w:r w:rsidRPr="003B2931">
        <w:rPr>
          <w:rFonts w:cs="Arial"/>
          <w:bCs/>
        </w:rPr>
        <w:t xml:space="preserve">W sprawie C-452/23 dotyczącej modyfikacji koncesji udzielonych pierwotnie w modelu </w:t>
      </w:r>
      <w:r w:rsidRPr="003B2931">
        <w:rPr>
          <w:rFonts w:cs="Arial"/>
          <w:bCs/>
          <w:i/>
          <w:iCs/>
        </w:rPr>
        <w:t>in-</w:t>
      </w:r>
      <w:proofErr w:type="spellStart"/>
      <w:r w:rsidRPr="003B2931">
        <w:rPr>
          <w:rFonts w:cs="Arial"/>
          <w:bCs/>
          <w:i/>
          <w:iCs/>
        </w:rPr>
        <w:t>house</w:t>
      </w:r>
      <w:proofErr w:type="spellEnd"/>
      <w:r w:rsidRPr="003B2931">
        <w:rPr>
          <w:rFonts w:cs="Arial"/>
          <w:bCs/>
        </w:rPr>
        <w:t xml:space="preserve">, Trybunał Sprawiedliwości Unii Europejskiej rozstrzygał, czy możliwa jest zmiana koncesji bez nowego postępowania, gdy koncesjonariusz utracił status podmiotu wewnętrznego. Trybunał wskazał, że decydujące znaczenie ma moment modyfikacji, a nie sposób udzielenia koncesji. Oznacza to, że także koncesje udzielone wcześniej podlegają przepisom dyrektywa 2014/23/UE, jeżeli zostały zmodyfikowane po upływie terminu jej transpozycji. Trybunał podkreślił, że art. 43 tej dyrektywy w sposób wyczerpujący reguluje dopuszczalne zmiany koncesji i ma zastosowanie również do koncesji pierwotnie udzielonych </w:t>
      </w:r>
      <w:r w:rsidRPr="003B2931">
        <w:rPr>
          <w:rFonts w:cs="Arial"/>
          <w:bCs/>
          <w:i/>
          <w:iCs/>
        </w:rPr>
        <w:t>in-</w:t>
      </w:r>
      <w:proofErr w:type="spellStart"/>
      <w:r w:rsidRPr="003B2931">
        <w:rPr>
          <w:rFonts w:cs="Arial"/>
          <w:bCs/>
          <w:i/>
          <w:iCs/>
        </w:rPr>
        <w:t>house</w:t>
      </w:r>
      <w:proofErr w:type="spellEnd"/>
      <w:r w:rsidRPr="003B2931">
        <w:rPr>
          <w:rFonts w:cs="Arial"/>
          <w:bCs/>
        </w:rPr>
        <w:t>. W konsekwencji modyfikacja jest dopuszczalna bez nowego postępowania, jeżeli spełnia jego przesłanki, w szczególności wynika z nieprzewidywalnych okoliczności, nie zmienia ogólnego charakteru koncesji oraz mieści się w limitach wartości. Trybunał doprecyzował także, że „konieczność modyfikacji” oznacza sytuację, w której zmiana jest niezbędna dla dalszego prawidłowego wykonywania koncesji, a nie jedynie wynika z jej nieuregulowania w umowie. Jednocześnie Trybunał wskazał, że dyrektywa 89/665/EWG nie wymaga, aby sądy krajowe badały legalność pierwotnego udzielenia koncesji przy okazji kontroli jej modyfikacji, jeżeli upłynęły terminy na jego zaskarżenie, co wynika z zasady pewności prawa.</w:t>
      </w:r>
    </w:p>
    <w:p w14:paraId="7096A4DC" w14:textId="5DE81A9E" w:rsidR="003B2931" w:rsidRPr="00EC00D6" w:rsidRDefault="003B2931" w:rsidP="00565A93">
      <w:pPr>
        <w:numPr>
          <w:ilvl w:val="0"/>
          <w:numId w:val="44"/>
        </w:numPr>
        <w:shd w:val="clear" w:color="auto" w:fill="FFFFFF"/>
        <w:spacing w:before="120" w:line="360" w:lineRule="auto"/>
        <w:ind w:left="357" w:hanging="357"/>
        <w:jc w:val="left"/>
        <w:rPr>
          <w:rFonts w:cs="Arial"/>
          <w:b/>
          <w:bCs/>
          <w:color w:val="0070C0"/>
        </w:rPr>
      </w:pPr>
      <w:r w:rsidRPr="00EC00D6">
        <w:rPr>
          <w:rFonts w:cs="Arial"/>
          <w:b/>
          <w:bCs/>
          <w:color w:val="0070C0"/>
        </w:rPr>
        <w:t xml:space="preserve">Wyrok z dnia 5 czerwca 2025 r. w sprawie C-82/24 Miejskie Przedsiębiorstwo Wodociągów i Kanalizacji w m.st. Warszawie S.A. przeciwko </w:t>
      </w:r>
      <w:proofErr w:type="spellStart"/>
      <w:r w:rsidRPr="00EC00D6">
        <w:rPr>
          <w:rFonts w:cs="Arial"/>
          <w:b/>
          <w:bCs/>
          <w:color w:val="0070C0"/>
        </w:rPr>
        <w:t>Veolia</w:t>
      </w:r>
      <w:proofErr w:type="spellEnd"/>
      <w:r w:rsidRPr="00EC00D6">
        <w:rPr>
          <w:rFonts w:cs="Arial"/>
          <w:b/>
          <w:bCs/>
          <w:color w:val="0070C0"/>
        </w:rPr>
        <w:t xml:space="preserve"> </w:t>
      </w:r>
      <w:proofErr w:type="spellStart"/>
      <w:r w:rsidRPr="00EC00D6">
        <w:rPr>
          <w:rFonts w:cs="Arial"/>
          <w:b/>
          <w:bCs/>
          <w:color w:val="0070C0"/>
        </w:rPr>
        <w:t>Water</w:t>
      </w:r>
      <w:proofErr w:type="spellEnd"/>
      <w:r w:rsidRPr="00EC00D6">
        <w:rPr>
          <w:rFonts w:cs="Arial"/>
          <w:b/>
          <w:bCs/>
          <w:color w:val="0070C0"/>
        </w:rPr>
        <w:t xml:space="preserve"> Technologies sp. z o.o., </w:t>
      </w:r>
      <w:proofErr w:type="spellStart"/>
      <w:r w:rsidRPr="00EC00D6">
        <w:rPr>
          <w:rFonts w:cs="Arial"/>
          <w:b/>
          <w:bCs/>
          <w:color w:val="0070C0"/>
        </w:rPr>
        <w:t>Krüger</w:t>
      </w:r>
      <w:proofErr w:type="spellEnd"/>
      <w:r w:rsidRPr="00EC00D6">
        <w:rPr>
          <w:rFonts w:cs="Arial"/>
          <w:b/>
          <w:bCs/>
          <w:color w:val="0070C0"/>
        </w:rPr>
        <w:t xml:space="preserve"> A/S, OTV France, </w:t>
      </w:r>
      <w:proofErr w:type="spellStart"/>
      <w:r w:rsidRPr="00EC00D6">
        <w:rPr>
          <w:rFonts w:cs="Arial"/>
          <w:b/>
          <w:bCs/>
          <w:color w:val="0070C0"/>
        </w:rPr>
        <w:t>Haarslev</w:t>
      </w:r>
      <w:proofErr w:type="spellEnd"/>
      <w:r w:rsidRPr="00EC00D6">
        <w:rPr>
          <w:rFonts w:cs="Arial"/>
          <w:b/>
          <w:bCs/>
          <w:color w:val="0070C0"/>
        </w:rPr>
        <w:t xml:space="preserve"> </w:t>
      </w:r>
      <w:proofErr w:type="spellStart"/>
      <w:r w:rsidRPr="00EC00D6">
        <w:rPr>
          <w:rFonts w:cs="Arial"/>
          <w:b/>
          <w:bCs/>
          <w:color w:val="0070C0"/>
        </w:rPr>
        <w:t>Industries</w:t>
      </w:r>
      <w:proofErr w:type="spellEnd"/>
      <w:r w:rsidRPr="00EC00D6">
        <w:rPr>
          <w:rFonts w:cs="Arial"/>
          <w:b/>
          <w:bCs/>
          <w:color w:val="0070C0"/>
        </w:rPr>
        <w:t xml:space="preserve"> GmbH, Warbud S.A., ECLI:EU:C:2025:396</w:t>
      </w:r>
    </w:p>
    <w:p w14:paraId="5E3F7F29" w14:textId="77777777" w:rsidR="003B2931" w:rsidRPr="003B2931" w:rsidRDefault="003B2931" w:rsidP="003B2931">
      <w:pPr>
        <w:shd w:val="clear" w:color="auto" w:fill="FFFFFF"/>
        <w:spacing w:line="360" w:lineRule="auto"/>
        <w:jc w:val="left"/>
        <w:rPr>
          <w:rFonts w:cs="Arial"/>
          <w:bCs/>
        </w:rPr>
      </w:pPr>
      <w:r w:rsidRPr="003B2931">
        <w:rPr>
          <w:rFonts w:cs="Arial"/>
          <w:bCs/>
        </w:rPr>
        <w:t>W sprawie C-82/24 Trybunał Sprawiedliwości Unii Europejskiej rozstrzygał, czy zasady równego traktowania i przejrzystości dopuszczają stosowanie – w drodze analogii – przepisów krajowych dotyczących gwarancji z umowy sprzedaży do zamówienia publicznego na roboty budowlane. Trybunał wskazał, że zasady te wymagają, aby wszystkie istotne warunki zamówienia, w tym dotyczące gwarancji, były jasno, precyzyjnie i jednoznacznie określone w dokumentacji przetargowej lub umowie. Niedopuszczalne jest zatem nakładanie na wykonawcę dodatkowych obowiązków wynikających wyłącznie z wykładni prawa krajowego, jeżeli nie zostały one wprost przewidziane. W konsekwencji Trybunał uznał, że dyrektywa 2004/17/WE sprzeciwia się stosowaniu w drodze analogii przepisów o gwarancji z umowy sprzedaży do umowy o roboty budowlane, jeżeli takie zastosowanie nie jest wystarczająco jasne i przewidywalne dla wykonawców, w szczególności zagranicznych.</w:t>
      </w:r>
    </w:p>
    <w:p w14:paraId="44FE2FD2" w14:textId="03DB7560" w:rsidR="003B2931" w:rsidRPr="00EC00D6" w:rsidRDefault="003B2931" w:rsidP="00565A93">
      <w:pPr>
        <w:numPr>
          <w:ilvl w:val="0"/>
          <w:numId w:val="44"/>
        </w:numPr>
        <w:shd w:val="clear" w:color="auto" w:fill="FFFFFF"/>
        <w:spacing w:before="120" w:line="360" w:lineRule="auto"/>
        <w:ind w:left="357" w:hanging="357"/>
        <w:jc w:val="left"/>
        <w:rPr>
          <w:rFonts w:cs="Arial"/>
          <w:b/>
          <w:bCs/>
          <w:color w:val="0070C0"/>
        </w:rPr>
      </w:pPr>
      <w:r w:rsidRPr="00EC00D6">
        <w:rPr>
          <w:rFonts w:cs="Arial"/>
          <w:b/>
          <w:bCs/>
          <w:color w:val="0070C0"/>
        </w:rPr>
        <w:t xml:space="preserve">Postanowienie z dnia 10 czerwca 2025 r. w sprawie C-686/24 </w:t>
      </w:r>
      <w:proofErr w:type="spellStart"/>
      <w:r w:rsidRPr="00EC00D6">
        <w:rPr>
          <w:rFonts w:cs="Arial"/>
          <w:b/>
          <w:bCs/>
          <w:color w:val="0070C0"/>
        </w:rPr>
        <w:t>Nidec</w:t>
      </w:r>
      <w:proofErr w:type="spellEnd"/>
      <w:r w:rsidRPr="00EC00D6">
        <w:rPr>
          <w:rFonts w:cs="Arial"/>
          <w:b/>
          <w:bCs/>
          <w:color w:val="0070C0"/>
        </w:rPr>
        <w:t xml:space="preserve"> ASI </w:t>
      </w:r>
      <w:proofErr w:type="spellStart"/>
      <w:r w:rsidRPr="00EC00D6">
        <w:rPr>
          <w:rFonts w:cs="Arial"/>
          <w:b/>
          <w:bCs/>
          <w:color w:val="0070C0"/>
        </w:rPr>
        <w:t>SpA</w:t>
      </w:r>
      <w:proofErr w:type="spellEnd"/>
      <w:r w:rsidRPr="00EC00D6">
        <w:rPr>
          <w:rFonts w:cs="Arial"/>
          <w:b/>
          <w:bCs/>
          <w:color w:val="0070C0"/>
        </w:rPr>
        <w:t xml:space="preserve">, </w:t>
      </w:r>
      <w:proofErr w:type="spellStart"/>
      <w:r w:rsidRPr="00EC00D6">
        <w:rPr>
          <w:rFonts w:cs="Arial"/>
          <w:b/>
          <w:bCs/>
          <w:color w:val="0070C0"/>
        </w:rPr>
        <w:t>Ceisis</w:t>
      </w:r>
      <w:proofErr w:type="spellEnd"/>
      <w:r w:rsidRPr="00EC00D6">
        <w:rPr>
          <w:rFonts w:cs="Arial"/>
          <w:b/>
          <w:bCs/>
          <w:color w:val="0070C0"/>
        </w:rPr>
        <w:t xml:space="preserve"> </w:t>
      </w:r>
      <w:proofErr w:type="spellStart"/>
      <w:r w:rsidRPr="00EC00D6">
        <w:rPr>
          <w:rFonts w:cs="Arial"/>
          <w:b/>
          <w:bCs/>
          <w:color w:val="0070C0"/>
        </w:rPr>
        <w:t>SpA</w:t>
      </w:r>
      <w:proofErr w:type="spellEnd"/>
      <w:r w:rsidRPr="00EC00D6">
        <w:rPr>
          <w:rFonts w:cs="Arial"/>
          <w:b/>
          <w:bCs/>
          <w:color w:val="0070C0"/>
        </w:rPr>
        <w:t xml:space="preserve"> </w:t>
      </w:r>
      <w:proofErr w:type="spellStart"/>
      <w:r w:rsidRPr="00EC00D6">
        <w:rPr>
          <w:rFonts w:cs="Arial"/>
          <w:b/>
          <w:bCs/>
          <w:color w:val="0070C0"/>
        </w:rPr>
        <w:t>Sistemi</w:t>
      </w:r>
      <w:proofErr w:type="spellEnd"/>
      <w:r w:rsidRPr="00EC00D6">
        <w:rPr>
          <w:rFonts w:cs="Arial"/>
          <w:b/>
          <w:bCs/>
          <w:color w:val="0070C0"/>
        </w:rPr>
        <w:t xml:space="preserve"> </w:t>
      </w:r>
      <w:proofErr w:type="spellStart"/>
      <w:r w:rsidRPr="00EC00D6">
        <w:rPr>
          <w:rFonts w:cs="Arial"/>
          <w:b/>
          <w:bCs/>
          <w:color w:val="0070C0"/>
        </w:rPr>
        <w:t>Impiantistici</w:t>
      </w:r>
      <w:proofErr w:type="spellEnd"/>
      <w:r w:rsidRPr="00EC00D6">
        <w:rPr>
          <w:rFonts w:cs="Arial"/>
          <w:b/>
          <w:bCs/>
          <w:color w:val="0070C0"/>
        </w:rPr>
        <w:t xml:space="preserve"> </w:t>
      </w:r>
      <w:proofErr w:type="spellStart"/>
      <w:r w:rsidRPr="00EC00D6">
        <w:rPr>
          <w:rFonts w:cs="Arial"/>
          <w:b/>
          <w:bCs/>
          <w:color w:val="0070C0"/>
        </w:rPr>
        <w:t>Integrati</w:t>
      </w:r>
      <w:proofErr w:type="spellEnd"/>
      <w:r w:rsidRPr="00EC00D6">
        <w:rPr>
          <w:rFonts w:cs="Arial"/>
          <w:b/>
          <w:bCs/>
          <w:color w:val="0070C0"/>
        </w:rPr>
        <w:t xml:space="preserve"> przeciwko </w:t>
      </w:r>
      <w:proofErr w:type="spellStart"/>
      <w:r w:rsidRPr="00EC00D6">
        <w:rPr>
          <w:rFonts w:cs="Arial"/>
          <w:b/>
          <w:bCs/>
          <w:color w:val="0070C0"/>
        </w:rPr>
        <w:t>Ministero</w:t>
      </w:r>
      <w:proofErr w:type="spellEnd"/>
      <w:r w:rsidRPr="00EC00D6">
        <w:rPr>
          <w:rFonts w:cs="Arial"/>
          <w:b/>
          <w:bCs/>
          <w:color w:val="0070C0"/>
        </w:rPr>
        <w:t xml:space="preserve"> per </w:t>
      </w:r>
      <w:proofErr w:type="spellStart"/>
      <w:r w:rsidRPr="00EC00D6">
        <w:rPr>
          <w:rFonts w:cs="Arial"/>
          <w:b/>
          <w:bCs/>
          <w:color w:val="0070C0"/>
        </w:rPr>
        <w:t>gli</w:t>
      </w:r>
      <w:proofErr w:type="spellEnd"/>
      <w:r w:rsidRPr="00EC00D6">
        <w:rPr>
          <w:rFonts w:cs="Arial"/>
          <w:b/>
          <w:bCs/>
          <w:color w:val="0070C0"/>
        </w:rPr>
        <w:t xml:space="preserve"> </w:t>
      </w:r>
      <w:proofErr w:type="spellStart"/>
      <w:r w:rsidRPr="00EC00D6">
        <w:rPr>
          <w:rFonts w:cs="Arial"/>
          <w:b/>
          <w:bCs/>
          <w:color w:val="0070C0"/>
        </w:rPr>
        <w:t>Affari</w:t>
      </w:r>
      <w:proofErr w:type="spellEnd"/>
      <w:r w:rsidRPr="00EC00D6">
        <w:rPr>
          <w:rFonts w:cs="Arial"/>
          <w:b/>
          <w:bCs/>
          <w:color w:val="0070C0"/>
        </w:rPr>
        <w:t xml:space="preserve"> </w:t>
      </w:r>
      <w:proofErr w:type="spellStart"/>
      <w:r w:rsidRPr="00EC00D6">
        <w:rPr>
          <w:rFonts w:cs="Arial"/>
          <w:b/>
          <w:bCs/>
          <w:color w:val="0070C0"/>
        </w:rPr>
        <w:t>europei</w:t>
      </w:r>
      <w:proofErr w:type="spellEnd"/>
      <w:r w:rsidRPr="00EC00D6">
        <w:rPr>
          <w:rFonts w:cs="Arial"/>
          <w:b/>
          <w:bCs/>
          <w:color w:val="0070C0"/>
        </w:rPr>
        <w:t xml:space="preserve">, </w:t>
      </w:r>
      <w:proofErr w:type="spellStart"/>
      <w:r w:rsidRPr="00EC00D6">
        <w:rPr>
          <w:rFonts w:cs="Arial"/>
          <w:b/>
          <w:bCs/>
          <w:color w:val="0070C0"/>
        </w:rPr>
        <w:t>Politiche</w:t>
      </w:r>
      <w:proofErr w:type="spellEnd"/>
      <w:r w:rsidRPr="00EC00D6">
        <w:rPr>
          <w:rFonts w:cs="Arial"/>
          <w:b/>
          <w:bCs/>
          <w:color w:val="0070C0"/>
        </w:rPr>
        <w:t xml:space="preserve"> di </w:t>
      </w:r>
      <w:proofErr w:type="spellStart"/>
      <w:r w:rsidRPr="00EC00D6">
        <w:rPr>
          <w:rFonts w:cs="Arial"/>
          <w:b/>
          <w:bCs/>
          <w:color w:val="0070C0"/>
        </w:rPr>
        <w:t>coesione</w:t>
      </w:r>
      <w:proofErr w:type="spellEnd"/>
      <w:r w:rsidRPr="00EC00D6">
        <w:rPr>
          <w:rFonts w:cs="Arial"/>
          <w:b/>
          <w:bCs/>
          <w:color w:val="0070C0"/>
        </w:rPr>
        <w:t xml:space="preserve"> e Piano </w:t>
      </w:r>
      <w:proofErr w:type="spellStart"/>
      <w:r w:rsidRPr="00EC00D6">
        <w:rPr>
          <w:rFonts w:cs="Arial"/>
          <w:b/>
          <w:bCs/>
          <w:color w:val="0070C0"/>
        </w:rPr>
        <w:t>nazionale</w:t>
      </w:r>
      <w:proofErr w:type="spellEnd"/>
      <w:r w:rsidRPr="00EC00D6">
        <w:rPr>
          <w:rFonts w:cs="Arial"/>
          <w:b/>
          <w:bCs/>
          <w:color w:val="0070C0"/>
        </w:rPr>
        <w:t xml:space="preserve"> di </w:t>
      </w:r>
      <w:proofErr w:type="spellStart"/>
      <w:r w:rsidRPr="00EC00D6">
        <w:rPr>
          <w:rFonts w:cs="Arial"/>
          <w:b/>
          <w:bCs/>
          <w:color w:val="0070C0"/>
        </w:rPr>
        <w:t>ripresa</w:t>
      </w:r>
      <w:proofErr w:type="spellEnd"/>
      <w:r w:rsidRPr="00EC00D6">
        <w:rPr>
          <w:rFonts w:cs="Arial"/>
          <w:b/>
          <w:bCs/>
          <w:color w:val="0070C0"/>
        </w:rPr>
        <w:t xml:space="preserve"> e </w:t>
      </w:r>
      <w:proofErr w:type="spellStart"/>
      <w:r w:rsidRPr="00EC00D6">
        <w:rPr>
          <w:rFonts w:cs="Arial"/>
          <w:b/>
          <w:bCs/>
          <w:color w:val="0070C0"/>
        </w:rPr>
        <w:t>resilienza</w:t>
      </w:r>
      <w:proofErr w:type="spellEnd"/>
      <w:r w:rsidRPr="00EC00D6">
        <w:rPr>
          <w:rFonts w:cs="Arial"/>
          <w:b/>
          <w:bCs/>
          <w:color w:val="0070C0"/>
        </w:rPr>
        <w:t xml:space="preserve">, </w:t>
      </w:r>
      <w:proofErr w:type="spellStart"/>
      <w:r w:rsidRPr="00EC00D6">
        <w:rPr>
          <w:rFonts w:cs="Arial"/>
          <w:b/>
          <w:bCs/>
          <w:color w:val="0070C0"/>
        </w:rPr>
        <w:t>Autorità</w:t>
      </w:r>
      <w:proofErr w:type="spellEnd"/>
      <w:r w:rsidRPr="00EC00D6">
        <w:rPr>
          <w:rFonts w:cs="Arial"/>
          <w:b/>
          <w:bCs/>
          <w:color w:val="0070C0"/>
        </w:rPr>
        <w:t xml:space="preserve"> di </w:t>
      </w:r>
      <w:proofErr w:type="spellStart"/>
      <w:r w:rsidRPr="00EC00D6">
        <w:rPr>
          <w:rFonts w:cs="Arial"/>
          <w:b/>
          <w:bCs/>
          <w:color w:val="0070C0"/>
        </w:rPr>
        <w:t>Sistema</w:t>
      </w:r>
      <w:proofErr w:type="spellEnd"/>
      <w:r w:rsidRPr="00EC00D6">
        <w:rPr>
          <w:rFonts w:cs="Arial"/>
          <w:b/>
          <w:bCs/>
          <w:color w:val="0070C0"/>
        </w:rPr>
        <w:t xml:space="preserve"> </w:t>
      </w:r>
      <w:proofErr w:type="spellStart"/>
      <w:r w:rsidRPr="00EC00D6">
        <w:rPr>
          <w:rFonts w:cs="Arial"/>
          <w:b/>
          <w:bCs/>
          <w:color w:val="0070C0"/>
        </w:rPr>
        <w:t>portuale</w:t>
      </w:r>
      <w:proofErr w:type="spellEnd"/>
      <w:r w:rsidRPr="00EC00D6">
        <w:rPr>
          <w:rFonts w:cs="Arial"/>
          <w:b/>
          <w:bCs/>
          <w:color w:val="0070C0"/>
        </w:rPr>
        <w:t xml:space="preserve"> del Mare di </w:t>
      </w:r>
      <w:proofErr w:type="spellStart"/>
      <w:r w:rsidRPr="00EC00D6">
        <w:rPr>
          <w:rFonts w:cs="Arial"/>
          <w:b/>
          <w:bCs/>
          <w:color w:val="0070C0"/>
        </w:rPr>
        <w:t>Sardegna</w:t>
      </w:r>
      <w:proofErr w:type="spellEnd"/>
      <w:r w:rsidRPr="00EC00D6">
        <w:rPr>
          <w:rFonts w:cs="Arial"/>
          <w:b/>
          <w:bCs/>
          <w:color w:val="0070C0"/>
        </w:rPr>
        <w:t xml:space="preserve">, </w:t>
      </w:r>
      <w:proofErr w:type="spellStart"/>
      <w:r w:rsidRPr="00EC00D6">
        <w:rPr>
          <w:rFonts w:cs="Arial"/>
          <w:b/>
          <w:bCs/>
          <w:color w:val="0070C0"/>
        </w:rPr>
        <w:t>Ministero</w:t>
      </w:r>
      <w:proofErr w:type="spellEnd"/>
      <w:r w:rsidRPr="00EC00D6">
        <w:rPr>
          <w:rFonts w:cs="Arial"/>
          <w:b/>
          <w:bCs/>
          <w:color w:val="0070C0"/>
        </w:rPr>
        <w:t xml:space="preserve"> </w:t>
      </w:r>
      <w:proofErr w:type="spellStart"/>
      <w:r w:rsidRPr="00EC00D6">
        <w:rPr>
          <w:rFonts w:cs="Arial"/>
          <w:b/>
          <w:bCs/>
          <w:color w:val="0070C0"/>
        </w:rPr>
        <w:t>delle</w:t>
      </w:r>
      <w:proofErr w:type="spellEnd"/>
      <w:r w:rsidRPr="00EC00D6">
        <w:rPr>
          <w:rFonts w:cs="Arial"/>
          <w:b/>
          <w:bCs/>
          <w:color w:val="0070C0"/>
        </w:rPr>
        <w:t xml:space="preserve"> </w:t>
      </w:r>
      <w:proofErr w:type="spellStart"/>
      <w:r w:rsidRPr="00EC00D6">
        <w:rPr>
          <w:rFonts w:cs="Arial"/>
          <w:b/>
          <w:bCs/>
          <w:color w:val="0070C0"/>
        </w:rPr>
        <w:t>Infrastrutture</w:t>
      </w:r>
      <w:proofErr w:type="spellEnd"/>
      <w:r w:rsidRPr="00EC00D6">
        <w:rPr>
          <w:rFonts w:cs="Arial"/>
          <w:b/>
          <w:bCs/>
          <w:color w:val="0070C0"/>
        </w:rPr>
        <w:t xml:space="preserve"> e dei </w:t>
      </w:r>
      <w:proofErr w:type="spellStart"/>
      <w:r w:rsidRPr="00EC00D6">
        <w:rPr>
          <w:rFonts w:cs="Arial"/>
          <w:b/>
          <w:bCs/>
          <w:color w:val="0070C0"/>
        </w:rPr>
        <w:t>Trasporti</w:t>
      </w:r>
      <w:proofErr w:type="spellEnd"/>
      <w:r w:rsidRPr="00EC00D6">
        <w:rPr>
          <w:rFonts w:cs="Arial"/>
          <w:b/>
          <w:bCs/>
          <w:color w:val="0070C0"/>
        </w:rPr>
        <w:t>, ECLI:EU:C:2025:448</w:t>
      </w:r>
    </w:p>
    <w:p w14:paraId="667D62A7" w14:textId="77777777" w:rsidR="003B2931" w:rsidRPr="003B2931" w:rsidRDefault="003B2931" w:rsidP="003B2931">
      <w:pPr>
        <w:shd w:val="clear" w:color="auto" w:fill="FFFFFF"/>
        <w:spacing w:line="360" w:lineRule="auto"/>
        <w:jc w:val="left"/>
        <w:rPr>
          <w:rFonts w:cs="Arial"/>
          <w:bCs/>
        </w:rPr>
      </w:pPr>
      <w:r w:rsidRPr="003B2931">
        <w:rPr>
          <w:rFonts w:cs="Arial"/>
          <w:bCs/>
        </w:rPr>
        <w:t>Przedmiotem postanowienia w sprawie C-686/24 było ustalenie, czy wykonawca ma prawo dostępu do pełnej oferty technicznej konkurenta, w tym informacji stanowiących tajemnicę przedsiębiorstwa, w celu realizacji prawa do skutecznej ochrony sądowej. Trybunał rozstrzygnął sprawę w drodze postanowienia, na podstawie art. 99 regulaminu postępowania, uznając, że odpowiedź wynika wprost z utrwalonego orzecznictwa. Trybunał wskazał, że dyrektywa 2014/25/UE zapewnia ochronę poufnych informacji przekazywanych przez wykonawców, w szczególności tajemnic technicznych i handlowych. Ochrona ta musi być jednak wyważona z prawem do skutecznej ochrony sądowej. W konsekwencji uznano, że przepisy krajowe nie mogą automatycznie przyznawać dostępu do takich informacji wyłącznie w celu obrony praw wykonawcy, jeżeli nie przewidują mechanizmu wyważenia między ochroną tajemnicy przedsiębiorstwa a prawem do sądu. Oznacza to, że dostęp do poufnych elementów ofert nie ma charakteru absolutnego i wymaga każdorazowo indywidualnej oceny oraz wyważenia konkurujących interesów.</w:t>
      </w:r>
    </w:p>
    <w:p w14:paraId="733E98ED" w14:textId="288F56FE" w:rsidR="003B2931" w:rsidRPr="00EC00D6" w:rsidRDefault="003B2931" w:rsidP="00565A93">
      <w:pPr>
        <w:numPr>
          <w:ilvl w:val="0"/>
          <w:numId w:val="44"/>
        </w:numPr>
        <w:shd w:val="clear" w:color="auto" w:fill="FFFFFF"/>
        <w:spacing w:before="120" w:line="360" w:lineRule="auto"/>
        <w:ind w:left="357" w:hanging="357"/>
        <w:jc w:val="left"/>
        <w:rPr>
          <w:rFonts w:cs="Arial"/>
          <w:b/>
          <w:bCs/>
          <w:color w:val="0070C0"/>
        </w:rPr>
      </w:pPr>
      <w:r w:rsidRPr="00EC00D6">
        <w:rPr>
          <w:rFonts w:cs="Arial"/>
          <w:b/>
          <w:bCs/>
          <w:color w:val="0070C0"/>
        </w:rPr>
        <w:t xml:space="preserve">Wyrok z dnia 10 lipca 2025 r. w sprawie C-715/23 </w:t>
      </w:r>
      <w:proofErr w:type="spellStart"/>
      <w:r w:rsidRPr="00EC00D6">
        <w:rPr>
          <w:rFonts w:cs="Arial"/>
          <w:b/>
          <w:bCs/>
          <w:color w:val="0070C0"/>
        </w:rPr>
        <w:t>Farmacija</w:t>
      </w:r>
      <w:proofErr w:type="spellEnd"/>
      <w:r w:rsidRPr="00EC00D6">
        <w:rPr>
          <w:rFonts w:cs="Arial"/>
          <w:b/>
          <w:bCs/>
          <w:color w:val="0070C0"/>
        </w:rPr>
        <w:t xml:space="preserve"> </w:t>
      </w:r>
      <w:proofErr w:type="spellStart"/>
      <w:r w:rsidRPr="00EC00D6">
        <w:rPr>
          <w:rFonts w:cs="Arial"/>
          <w:b/>
          <w:bCs/>
          <w:color w:val="0070C0"/>
        </w:rPr>
        <w:t>d.o.o</w:t>
      </w:r>
      <w:proofErr w:type="spellEnd"/>
      <w:r w:rsidRPr="00EC00D6">
        <w:rPr>
          <w:rFonts w:cs="Arial"/>
          <w:b/>
          <w:bCs/>
          <w:color w:val="0070C0"/>
        </w:rPr>
        <w:t xml:space="preserve">. przeciwko </w:t>
      </w:r>
      <w:proofErr w:type="spellStart"/>
      <w:r w:rsidRPr="00EC00D6">
        <w:rPr>
          <w:rFonts w:cs="Arial"/>
          <w:b/>
          <w:bCs/>
          <w:color w:val="0070C0"/>
        </w:rPr>
        <w:t>Občina</w:t>
      </w:r>
      <w:proofErr w:type="spellEnd"/>
      <w:r w:rsidRPr="00EC00D6">
        <w:rPr>
          <w:rFonts w:cs="Arial"/>
          <w:b/>
          <w:bCs/>
          <w:color w:val="0070C0"/>
        </w:rPr>
        <w:t xml:space="preserve"> </w:t>
      </w:r>
      <w:proofErr w:type="spellStart"/>
      <w:r w:rsidRPr="00EC00D6">
        <w:rPr>
          <w:rFonts w:cs="Arial"/>
          <w:b/>
          <w:bCs/>
          <w:color w:val="0070C0"/>
        </w:rPr>
        <w:t>Benedikt</w:t>
      </w:r>
      <w:proofErr w:type="spellEnd"/>
      <w:r w:rsidRPr="00EC00D6">
        <w:rPr>
          <w:rFonts w:cs="Arial"/>
          <w:b/>
          <w:bCs/>
          <w:color w:val="0070C0"/>
        </w:rPr>
        <w:t>, ECLI:EU:C:2025:548</w:t>
      </w:r>
    </w:p>
    <w:p w14:paraId="437DAA64" w14:textId="77777777" w:rsidR="003B2931" w:rsidRPr="003B2931" w:rsidRDefault="003B2931" w:rsidP="003B2931">
      <w:pPr>
        <w:shd w:val="clear" w:color="auto" w:fill="FFFFFF"/>
        <w:spacing w:line="360" w:lineRule="auto"/>
        <w:jc w:val="left"/>
        <w:rPr>
          <w:rFonts w:cs="Arial"/>
          <w:bCs/>
        </w:rPr>
      </w:pPr>
      <w:r w:rsidRPr="003B2931">
        <w:rPr>
          <w:rFonts w:cs="Arial"/>
          <w:bCs/>
        </w:rPr>
        <w:t>Przedmiotem wyroku w sprawie C-715/23 było ustalenie, czy działalność polegająca na prowadzeniu apteki może zostać zakwalifikowana jako usługa o charakterze niegospodarczym świadczona w interesie ogólnym, a tym samym wyłączona spod stosowania dyrektywa 2014/23/UE, czy też podlega jej regulacjom. Trybunał wskazał, że pojęcie usług o charakterze niegospodarczym należy interpretować autonomicznie na gruncie prawa Unii, a decydujące znaczenie ma to, czy dana działalność ma charakter odpłatny. W tym kontekście Trybunał uznał, że działalność aptek, obejmująca sprzedaż produktów leczniczych oraz doradztwo farmaceutyczne, stanowi działalność gospodarczą, ponieważ jest wykonywana za wynagrodzeniem, niezależnie od tego, że wpisuje się w system ochrony zdrowia i może być częściowo finansowana ze środków publicznych. W konsekwencji nie może być uznana za usługę niegospodarczą świadczoną w interesie ogólnym, a zatem nie jest wyłączona spod zakresu dyrektywy. Jednocześnie Trybunał rozstrzygnął, że działalność ta mieści się w kategorii usług społecznych i innych szczególnych usług w rozumieniu art. 19 dyrektywy. Oznacza to, że choć podlega ona przepisom unijnym dotyczącym koncesji, to stosuje się do niej tzw. łagodniejszy reżim proceduralny, przewidujący ograniczone obowiązki formalne po stronie podmiotów zamawiających.</w:t>
      </w:r>
    </w:p>
    <w:p w14:paraId="46FEA68E" w14:textId="4B774E5C" w:rsidR="003B2931" w:rsidRPr="00EC00D6" w:rsidRDefault="003B2931" w:rsidP="00565A93">
      <w:pPr>
        <w:numPr>
          <w:ilvl w:val="0"/>
          <w:numId w:val="44"/>
        </w:numPr>
        <w:shd w:val="clear" w:color="auto" w:fill="FFFFFF"/>
        <w:spacing w:before="120" w:line="360" w:lineRule="auto"/>
        <w:ind w:left="357" w:hanging="357"/>
        <w:jc w:val="left"/>
        <w:rPr>
          <w:rFonts w:cs="Arial"/>
          <w:b/>
          <w:bCs/>
          <w:color w:val="0070C0"/>
        </w:rPr>
      </w:pPr>
      <w:r w:rsidRPr="00EC00D6">
        <w:rPr>
          <w:rFonts w:cs="Arial"/>
          <w:b/>
          <w:bCs/>
          <w:color w:val="0070C0"/>
        </w:rPr>
        <w:t xml:space="preserve">Wyrok z dnia 16 października 2025 r. w sprawie C-282/24 </w:t>
      </w:r>
      <w:proofErr w:type="spellStart"/>
      <w:r w:rsidRPr="00EC00D6">
        <w:rPr>
          <w:rFonts w:cs="Arial"/>
          <w:b/>
          <w:bCs/>
          <w:color w:val="0070C0"/>
        </w:rPr>
        <w:t>Polismyndigheten</w:t>
      </w:r>
      <w:proofErr w:type="spellEnd"/>
      <w:r w:rsidRPr="00EC00D6">
        <w:rPr>
          <w:rFonts w:cs="Arial"/>
          <w:b/>
          <w:bCs/>
          <w:color w:val="0070C0"/>
        </w:rPr>
        <w:t xml:space="preserve"> przeciwko </w:t>
      </w:r>
      <w:proofErr w:type="spellStart"/>
      <w:r w:rsidRPr="00EC00D6">
        <w:rPr>
          <w:rFonts w:cs="Arial"/>
          <w:b/>
          <w:bCs/>
          <w:color w:val="0070C0"/>
        </w:rPr>
        <w:t>Konkurrensverket</w:t>
      </w:r>
      <w:proofErr w:type="spellEnd"/>
      <w:r w:rsidRPr="00EC00D6">
        <w:rPr>
          <w:rFonts w:cs="Arial"/>
          <w:b/>
          <w:bCs/>
          <w:color w:val="0070C0"/>
        </w:rPr>
        <w:t>, ECLI:EU:C:2025:790</w:t>
      </w:r>
    </w:p>
    <w:p w14:paraId="32486277" w14:textId="77777777" w:rsidR="003B2931" w:rsidRPr="003B2931" w:rsidRDefault="003B2931" w:rsidP="003B2931">
      <w:pPr>
        <w:shd w:val="clear" w:color="auto" w:fill="FFFFFF"/>
        <w:spacing w:line="360" w:lineRule="auto"/>
        <w:jc w:val="left"/>
        <w:rPr>
          <w:rFonts w:cs="Arial"/>
          <w:bCs/>
        </w:rPr>
      </w:pPr>
      <w:r w:rsidRPr="003B2931">
        <w:rPr>
          <w:rFonts w:cs="Arial"/>
          <w:bCs/>
        </w:rPr>
        <w:t>Wyrok w sprawie C-282/24 dotyczył granic dopuszczalnych zmian umowy ramowej w trakcie jej realizacji, w szczególności w kontekście zmiany modelu wynagrodzenia przy zachowaniu zbliżonej wartości całkowitej, na tle dyrektywy 2014/24/UE. Trybunał Sprawiedliwości Unii Europejskiej wskazał, że pojęcie „zmiany ogólnego charakteru umowy” należy interpretować wąsko i odróżniać od „istotnej modyfikacji”. Obejmuje ono wyłącznie takie zmiany, które prowadzą do przekształcenia umowy jako całości, np. zmianę jej przedmiotu, rodzaju lub fundamentalnej równowagi ekonomicznej. Trybunał podkreślił, że sama zmiana struktury wynagrodzenia, polegająca na przesunięciu między elementem stałym a zmiennym, nie stanowi co do zasady zmiany ogólnego charakteru umowy, jeżeli całkowita wartość umowy ulega jedynie marginalnej zmianie. Nawet jeśli taka modyfikacja mogłaby potencjalnie wpłynąć na wynik pierwotnego postępowania, nie jest to wystarczające do uznania jej za niedopuszczalną. Jednocześnie Trybunał zaznaczył, że w wyjątkowych przypadkach zmiana modelu wynagrodzenia może prowadzić do zmiany ogólnego charakteru umowy, jeżeli skutkuje zasadniczym zaburzeniem jej równowagi ekonomicznej, w szczególności na korzyść wykonawcy. Ocena w tym zakresie należy do sądu krajowego.</w:t>
      </w:r>
    </w:p>
    <w:p w14:paraId="1DF630A5" w14:textId="39FFE086" w:rsidR="003B2931" w:rsidRPr="00EC00D6" w:rsidRDefault="003B2931" w:rsidP="00565A93">
      <w:pPr>
        <w:numPr>
          <w:ilvl w:val="0"/>
          <w:numId w:val="44"/>
        </w:numPr>
        <w:shd w:val="clear" w:color="auto" w:fill="FFFFFF"/>
        <w:spacing w:before="120" w:line="360" w:lineRule="auto"/>
        <w:ind w:left="357" w:hanging="357"/>
        <w:jc w:val="left"/>
        <w:rPr>
          <w:rFonts w:cs="Arial"/>
          <w:b/>
          <w:bCs/>
          <w:color w:val="0070C0"/>
        </w:rPr>
      </w:pPr>
      <w:r w:rsidRPr="00EC00D6">
        <w:rPr>
          <w:rFonts w:cs="Arial"/>
          <w:b/>
          <w:bCs/>
          <w:color w:val="0070C0"/>
        </w:rPr>
        <w:t xml:space="preserve">Wyrok z dnia 18 grudnia 2025 r. w sprawie C-769/23 Mara </w:t>
      </w:r>
      <w:proofErr w:type="spellStart"/>
      <w:r w:rsidRPr="00EC00D6">
        <w:rPr>
          <w:rFonts w:cs="Arial"/>
          <w:b/>
          <w:bCs/>
          <w:color w:val="0070C0"/>
        </w:rPr>
        <w:t>Soc</w:t>
      </w:r>
      <w:proofErr w:type="spellEnd"/>
      <w:r w:rsidRPr="00EC00D6">
        <w:rPr>
          <w:rFonts w:cs="Arial"/>
          <w:b/>
          <w:bCs/>
          <w:color w:val="0070C0"/>
        </w:rPr>
        <w:t xml:space="preserve">. </w:t>
      </w:r>
      <w:proofErr w:type="spellStart"/>
      <w:r w:rsidRPr="00EC00D6">
        <w:rPr>
          <w:rFonts w:cs="Arial"/>
          <w:b/>
          <w:bCs/>
          <w:color w:val="0070C0"/>
        </w:rPr>
        <w:t>coop</w:t>
      </w:r>
      <w:proofErr w:type="spellEnd"/>
      <w:r w:rsidRPr="00EC00D6">
        <w:rPr>
          <w:rFonts w:cs="Arial"/>
          <w:b/>
          <w:bCs/>
          <w:color w:val="0070C0"/>
        </w:rPr>
        <w:t xml:space="preserve">. </w:t>
      </w:r>
      <w:proofErr w:type="spellStart"/>
      <w:r w:rsidRPr="00EC00D6">
        <w:rPr>
          <w:rFonts w:cs="Arial"/>
          <w:b/>
          <w:bCs/>
          <w:color w:val="0070C0"/>
        </w:rPr>
        <w:t>arl</w:t>
      </w:r>
      <w:proofErr w:type="spellEnd"/>
      <w:r w:rsidRPr="00EC00D6">
        <w:rPr>
          <w:rFonts w:cs="Arial"/>
          <w:b/>
          <w:bCs/>
          <w:color w:val="0070C0"/>
        </w:rPr>
        <w:t xml:space="preserve"> przeciwko </w:t>
      </w:r>
      <w:proofErr w:type="spellStart"/>
      <w:r w:rsidRPr="00EC00D6">
        <w:rPr>
          <w:rFonts w:cs="Arial"/>
          <w:b/>
          <w:bCs/>
          <w:color w:val="0070C0"/>
        </w:rPr>
        <w:t>Ministero</w:t>
      </w:r>
      <w:proofErr w:type="spellEnd"/>
      <w:r w:rsidRPr="00EC00D6">
        <w:rPr>
          <w:rFonts w:cs="Arial"/>
          <w:b/>
          <w:bCs/>
          <w:color w:val="0070C0"/>
        </w:rPr>
        <w:t xml:space="preserve"> </w:t>
      </w:r>
      <w:proofErr w:type="spellStart"/>
      <w:r w:rsidRPr="00EC00D6">
        <w:rPr>
          <w:rFonts w:cs="Arial"/>
          <w:b/>
          <w:bCs/>
          <w:color w:val="0070C0"/>
        </w:rPr>
        <w:t>della</w:t>
      </w:r>
      <w:proofErr w:type="spellEnd"/>
      <w:r w:rsidRPr="00EC00D6">
        <w:rPr>
          <w:rFonts w:cs="Arial"/>
          <w:b/>
          <w:bCs/>
          <w:color w:val="0070C0"/>
        </w:rPr>
        <w:t xml:space="preserve"> </w:t>
      </w:r>
      <w:proofErr w:type="spellStart"/>
      <w:r w:rsidRPr="00EC00D6">
        <w:rPr>
          <w:rFonts w:cs="Arial"/>
          <w:b/>
          <w:bCs/>
          <w:color w:val="0070C0"/>
        </w:rPr>
        <w:t>Difesa</w:t>
      </w:r>
      <w:proofErr w:type="spellEnd"/>
      <w:r w:rsidRPr="00EC00D6">
        <w:rPr>
          <w:rFonts w:cs="Arial"/>
          <w:b/>
          <w:bCs/>
          <w:color w:val="0070C0"/>
        </w:rPr>
        <w:t xml:space="preserve">, </w:t>
      </w:r>
      <w:proofErr w:type="spellStart"/>
      <w:r w:rsidRPr="00EC00D6">
        <w:rPr>
          <w:rFonts w:cs="Arial"/>
          <w:b/>
          <w:bCs/>
          <w:color w:val="0070C0"/>
        </w:rPr>
        <w:t>Gruppo</w:t>
      </w:r>
      <w:proofErr w:type="spellEnd"/>
      <w:r w:rsidRPr="00EC00D6">
        <w:rPr>
          <w:rFonts w:cs="Arial"/>
          <w:b/>
          <w:bCs/>
          <w:color w:val="0070C0"/>
        </w:rPr>
        <w:t xml:space="preserve"> </w:t>
      </w:r>
      <w:proofErr w:type="spellStart"/>
      <w:r w:rsidRPr="00EC00D6">
        <w:rPr>
          <w:rFonts w:cs="Arial"/>
          <w:b/>
          <w:bCs/>
          <w:color w:val="0070C0"/>
        </w:rPr>
        <w:t>Samir</w:t>
      </w:r>
      <w:proofErr w:type="spellEnd"/>
      <w:r w:rsidRPr="00EC00D6">
        <w:rPr>
          <w:rFonts w:cs="Arial"/>
          <w:b/>
          <w:bCs/>
          <w:color w:val="0070C0"/>
        </w:rPr>
        <w:t xml:space="preserve"> Global Service </w:t>
      </w:r>
      <w:proofErr w:type="spellStart"/>
      <w:r w:rsidRPr="00EC00D6">
        <w:rPr>
          <w:rFonts w:cs="Arial"/>
          <w:b/>
          <w:bCs/>
          <w:color w:val="0070C0"/>
        </w:rPr>
        <w:t>Srl</w:t>
      </w:r>
      <w:proofErr w:type="spellEnd"/>
      <w:r w:rsidRPr="00EC00D6">
        <w:rPr>
          <w:rFonts w:cs="Arial"/>
          <w:b/>
          <w:bCs/>
          <w:color w:val="0070C0"/>
        </w:rPr>
        <w:t>, ECLI:EU:C:2025:984</w:t>
      </w:r>
    </w:p>
    <w:p w14:paraId="08B4F360" w14:textId="77777777" w:rsidR="003B2931" w:rsidRPr="003B2931" w:rsidRDefault="003B2931" w:rsidP="003B2931">
      <w:pPr>
        <w:shd w:val="clear" w:color="auto" w:fill="FFFFFF"/>
        <w:spacing w:line="360" w:lineRule="auto"/>
        <w:jc w:val="left"/>
        <w:rPr>
          <w:rFonts w:cs="Arial"/>
          <w:bCs/>
        </w:rPr>
      </w:pPr>
      <w:r w:rsidRPr="003B2931">
        <w:rPr>
          <w:rFonts w:cs="Arial"/>
          <w:bCs/>
        </w:rPr>
        <w:t>Wyrok w sprawie C-769/23 dotyczył dopuszczalności ograniczenia stosowania kryterium najniższej ceny przy udzielaniu zamówień publicznych, w szczególności w odniesieniu do usług pracochłonnych, na gruncie dyrektywy 2014/24/UE, a także zasad ustalania właściwego reżimu prawnego dla zamówień mieszanych obejmujących elementy cywilne i obronne w rozumieniu dyrektywy 2009/81/WE.</w:t>
      </w:r>
    </w:p>
    <w:p w14:paraId="0CC39F0D" w14:textId="77777777" w:rsidR="00AF2050" w:rsidRDefault="003B2931" w:rsidP="005E03E6">
      <w:pPr>
        <w:shd w:val="clear" w:color="auto" w:fill="FFFFFF"/>
        <w:spacing w:line="360" w:lineRule="auto"/>
        <w:jc w:val="left"/>
        <w:rPr>
          <w:rFonts w:cs="Arial"/>
          <w:bCs/>
        </w:rPr>
      </w:pPr>
      <w:r w:rsidRPr="003B2931">
        <w:rPr>
          <w:rFonts w:cs="Arial"/>
          <w:bCs/>
        </w:rPr>
        <w:t>Trybunał wskazał, że w przypadku zamówień mieszanych zastosowanie znajduje art. 16 dyrektywy 2014/24/UE jako przepis szczególny, przyznający zamawiającemu ograniczoną swobodę wyboru reżimu prawnego, z zastrzeżeniem zakazu jego instrumentalnego wykorzystania w celu obejścia prawa. W zakresie kryteriów udzielenia zamówienia Trybunał uznał, że państwa członkowskie mogą zakazać stosowania ceny jako jedynego kryterium, również w odniesieniu do usług o znormalizowanym charakterze. Uprawnienie to mieści się w szerokim zakresie uznania i realizuje cel dyrektywy polegający na preferowaniu wyboru oferty najkorzystniejszej ekonomicznie w oparciu o najlepszą relację jakości do ceny. Trybunał podkreślił, że także w usługach pracochłonnych istnieją relewantne kryteria jakościowe (w szczególności dotyczące organizacji i personelu), które pozwalają na realne zróżnicowanie ofert, co wyklucza uznanie obowiązku ich stosowania za nieproporcjonalny. Jednocześnie wyłączenie możliwości konkurowania kosztem wynagrodzeń pracowników nie zapewnia samoistnie porównywalności ofert. W konsekwencji Trybunał uznał, że przepisy krajowe nakazujące stosowanie kryterium najlepszej relacji jakości do ceny w zamówieniach na usługi pracochłonne – nawet o charakterze powtarzalnym – są zgodne z prawem Unii oraz zasadą proporcjonalności.</w:t>
      </w:r>
    </w:p>
    <w:p w14:paraId="019A2F08" w14:textId="07F63E60" w:rsidR="00C21D36" w:rsidRDefault="00C21D36" w:rsidP="005E03E6">
      <w:pPr>
        <w:shd w:val="clear" w:color="auto" w:fill="FFFFFF"/>
        <w:spacing w:line="360" w:lineRule="auto"/>
        <w:jc w:val="left"/>
        <w:rPr>
          <w:rFonts w:cs="Arial"/>
          <w:bCs/>
        </w:rPr>
      </w:pPr>
      <w:r>
        <w:rPr>
          <w:rFonts w:cs="Arial"/>
          <w:bCs/>
        </w:rPr>
        <w:br w:type="page"/>
      </w:r>
    </w:p>
    <w:p w14:paraId="75A67F7D" w14:textId="58AFBA90" w:rsidR="00C21D36" w:rsidRPr="00897490" w:rsidRDefault="00C21D36" w:rsidP="00C21D36">
      <w:pPr>
        <w:pStyle w:val="Nagwek4"/>
      </w:pPr>
      <w:bookmarkStart w:id="356" w:name="_Załącznik_nr_11._1"/>
      <w:bookmarkEnd w:id="356"/>
      <w:r w:rsidRPr="004F6476">
        <w:t xml:space="preserve">Załącznik nr </w:t>
      </w:r>
      <w:r w:rsidR="002972A1">
        <w:t>9</w:t>
      </w:r>
      <w:r>
        <w:t xml:space="preserve">. </w:t>
      </w:r>
      <w:r w:rsidR="009A072E" w:rsidRPr="009A072E">
        <w:t>Informacja o wydarzeniach edukacyjno-informacyjnych organizowanych przez podmioty zewnętrzne z udziałem UZP</w:t>
      </w:r>
    </w:p>
    <w:p w14:paraId="264188AA" w14:textId="72520661" w:rsidR="00F27E06" w:rsidRPr="008A5999" w:rsidRDefault="00F27E06" w:rsidP="00F27E06">
      <w:pPr>
        <w:pStyle w:val="Nagwek4"/>
      </w:pPr>
      <w:r>
        <w:t xml:space="preserve">1. </w:t>
      </w:r>
      <w:r w:rsidRPr="00413F05">
        <w:t xml:space="preserve">XVI Konferencja </w:t>
      </w:r>
      <w:r>
        <w:t>„</w:t>
      </w:r>
      <w:r w:rsidRPr="00413F05">
        <w:t>Infr</w:t>
      </w:r>
      <w:r>
        <w:t>astruktura Polska i Budownictwo”</w:t>
      </w:r>
    </w:p>
    <w:p w14:paraId="3B24B3F4" w14:textId="4D4C45BE" w:rsidR="00F27E06" w:rsidRPr="00413F05" w:rsidRDefault="00F27E06" w:rsidP="00F27E06">
      <w:pPr>
        <w:shd w:val="clear" w:color="auto" w:fill="FFFFFF"/>
        <w:spacing w:before="120" w:line="360" w:lineRule="auto"/>
        <w:jc w:val="left"/>
        <w:rPr>
          <w:rFonts w:cs="Arial"/>
          <w:bCs/>
          <w:iCs/>
          <w:szCs w:val="22"/>
        </w:rPr>
      </w:pPr>
      <w:r w:rsidRPr="00E634A5">
        <w:rPr>
          <w:rFonts w:cs="Arial"/>
          <w:bCs/>
          <w:iCs/>
          <w:noProof/>
          <w:szCs w:val="22"/>
        </w:rPr>
        <w:drawing>
          <wp:anchor distT="0" distB="0" distL="114300" distR="114300" simplePos="0" relativeHeight="251687936" behindDoc="0" locked="0" layoutInCell="1" allowOverlap="1" wp14:anchorId="7E8D7750" wp14:editId="20BDEA79">
            <wp:simplePos x="0" y="0"/>
            <wp:positionH relativeFrom="column">
              <wp:posOffset>2661920</wp:posOffset>
            </wp:positionH>
            <wp:positionV relativeFrom="paragraph">
              <wp:posOffset>83185</wp:posOffset>
            </wp:positionV>
            <wp:extent cx="3642995" cy="2429510"/>
            <wp:effectExtent l="0" t="0" r="0" b="8890"/>
            <wp:wrapSquare wrapText="bothSides"/>
            <wp:docPr id="219221519" name="Obraz 219221519"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michals\Desktop\6b955933-56d5-48e2-9eed-5149b4652d7c.jfif"/>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42995" cy="2429510"/>
                    </a:xfrm>
                    <a:prstGeom prst="rect">
                      <a:avLst/>
                    </a:prstGeom>
                    <a:noFill/>
                    <a:ln>
                      <a:noFill/>
                    </a:ln>
                  </pic:spPr>
                </pic:pic>
              </a:graphicData>
            </a:graphic>
          </wp:anchor>
        </w:drawing>
      </w:r>
      <w:r w:rsidRPr="00413F05">
        <w:rPr>
          <w:rFonts w:cs="Arial"/>
          <w:bCs/>
          <w:iCs/>
          <w:szCs w:val="22"/>
        </w:rPr>
        <w:t xml:space="preserve">17.03.2025 roku w Warszawie odbyła się po raz szesnasty Konferencja "Infrastruktura i Budownictwo" organizowana przez </w:t>
      </w:r>
      <w:proofErr w:type="spellStart"/>
      <w:r w:rsidRPr="00413F05">
        <w:rPr>
          <w:rFonts w:cs="Arial"/>
          <w:bCs/>
          <w:iCs/>
          <w:szCs w:val="22"/>
        </w:rPr>
        <w:t>Executive</w:t>
      </w:r>
      <w:proofErr w:type="spellEnd"/>
      <w:r w:rsidRPr="00413F05">
        <w:rPr>
          <w:rFonts w:cs="Arial"/>
          <w:bCs/>
          <w:iCs/>
          <w:szCs w:val="22"/>
        </w:rPr>
        <w:t xml:space="preserve"> Club, objęta patronatem Prezesa Urzędu. Była ona okazją do dyskusji i wymiany poglądów na temat najważniejszych wyzwań, z jakimi mierzy się branża budowlana, w szczególności w kontekście zamówień publicznych. W dyskusji wzięła udział Agnieszka Olszewska, Prezes </w:t>
      </w:r>
      <w:r w:rsidR="00E042CF">
        <w:rPr>
          <w:rFonts w:cs="Arial"/>
          <w:bCs/>
          <w:iCs/>
          <w:szCs w:val="22"/>
        </w:rPr>
        <w:t>Urzędu</w:t>
      </w:r>
      <w:r w:rsidRPr="00413F05">
        <w:rPr>
          <w:rFonts w:cs="Arial"/>
          <w:bCs/>
          <w:iCs/>
          <w:szCs w:val="22"/>
        </w:rPr>
        <w:t>. Poruszano bieżące kwestie zamówieniowego rynku, w</w:t>
      </w:r>
      <w:r>
        <w:rPr>
          <w:rFonts w:cs="Arial"/>
          <w:bCs/>
          <w:iCs/>
          <w:szCs w:val="22"/>
        </w:rPr>
        <w:t> </w:t>
      </w:r>
      <w:r w:rsidRPr="00413F05">
        <w:rPr>
          <w:rFonts w:cs="Arial"/>
          <w:bCs/>
          <w:iCs/>
          <w:szCs w:val="22"/>
        </w:rPr>
        <w:t>tym m.in. dotyczące wyroku TSUE w tzw. sprawie „Kolin”, finansowania projektów budowlanych czy pogłębiania dialogu pomiędzy zamawiającymi a wykonawcami w toku realizacji konkretnych inwestycji. </w:t>
      </w:r>
    </w:p>
    <w:p w14:paraId="0A187B73" w14:textId="7DF20085" w:rsidR="00F27E06" w:rsidRPr="00300F92" w:rsidRDefault="00F27E06" w:rsidP="00F27E06">
      <w:pPr>
        <w:pStyle w:val="Nagwek4"/>
      </w:pPr>
      <w:r>
        <w:t xml:space="preserve">2. </w:t>
      </w:r>
      <w:r w:rsidRPr="00300F92">
        <w:t>Kongres Kolei Dużych Prędkości</w:t>
      </w:r>
    </w:p>
    <w:p w14:paraId="68449C27" w14:textId="77777777" w:rsidR="00F27E06" w:rsidRDefault="00F27E06" w:rsidP="00F27E06">
      <w:pPr>
        <w:shd w:val="clear" w:color="auto" w:fill="FFFFFF"/>
        <w:spacing w:before="120" w:line="360" w:lineRule="auto"/>
        <w:jc w:val="left"/>
        <w:rPr>
          <w:rFonts w:cs="Arial"/>
          <w:bCs/>
          <w:iCs/>
          <w:szCs w:val="22"/>
        </w:rPr>
      </w:pPr>
      <w:r w:rsidRPr="00CC00A0">
        <w:rPr>
          <w:rFonts w:cs="Arial"/>
          <w:bCs/>
          <w:iCs/>
          <w:noProof/>
          <w:szCs w:val="22"/>
        </w:rPr>
        <w:drawing>
          <wp:inline distT="0" distB="0" distL="0" distR="0" wp14:anchorId="3C6D5F7E" wp14:editId="6CD73E4F">
            <wp:extent cx="5759450" cy="2456815"/>
            <wp:effectExtent l="0" t="0" r="0" b="635"/>
            <wp:docPr id="219221518" name="Obraz 219221518"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59450" cy="2456815"/>
                    </a:xfrm>
                    <a:prstGeom prst="rect">
                      <a:avLst/>
                    </a:prstGeom>
                  </pic:spPr>
                </pic:pic>
              </a:graphicData>
            </a:graphic>
          </wp:inline>
        </w:drawing>
      </w:r>
    </w:p>
    <w:p w14:paraId="2B2778E8" w14:textId="15D03F1C"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Tego samego dnia, 17.03.2025 roku w Łodzi, odbył się pierwszy w Polsce „Kongres Kolei Dużych Prędkości – wykorzystać polski potencjał”. Organizatorem wydarzenia był Zespół Doradców Gospodarczych TOR oraz portal rynek-kolejowy.pl. Tematyka dotyczyła perspektyw rozwoju kolei dużych prędkości (KDP) w Polsce w zakresie taboru i infrastruktury, a także finansowania, regulacji i polityki państwa. W ramach sesji poświęconej</w:t>
      </w:r>
      <w:r w:rsidR="00326395">
        <w:rPr>
          <w:rFonts w:cs="Arial"/>
          <w:bCs/>
          <w:iCs/>
          <w:szCs w:val="22"/>
        </w:rPr>
        <w:t xml:space="preserve"> </w:t>
      </w:r>
      <w:r w:rsidRPr="00523423">
        <w:rPr>
          <w:rFonts w:cs="Arial"/>
          <w:bCs/>
          <w:iCs/>
          <w:szCs w:val="22"/>
        </w:rPr>
        <w:t>infrastrukturze do KDP w debacie dotyczącej gotowości rynku wykonawczego do budowy sieci KDP w Polsce wziął</w:t>
      </w:r>
      <w:r w:rsidR="00326395">
        <w:rPr>
          <w:rFonts w:cs="Arial"/>
          <w:bCs/>
          <w:iCs/>
          <w:szCs w:val="22"/>
        </w:rPr>
        <w:t xml:space="preserve"> </w:t>
      </w:r>
      <w:r w:rsidRPr="00523423">
        <w:rPr>
          <w:rFonts w:cs="Arial"/>
          <w:bCs/>
          <w:iCs/>
          <w:szCs w:val="22"/>
        </w:rPr>
        <w:t xml:space="preserve">udział </w:t>
      </w:r>
      <w:r w:rsidRPr="00523423">
        <w:rPr>
          <w:rFonts w:cs="Arial"/>
          <w:iCs/>
          <w:szCs w:val="22"/>
        </w:rPr>
        <w:t>Artur Kowalski</w:t>
      </w:r>
      <w:r w:rsidRPr="00523423">
        <w:rPr>
          <w:rFonts w:cs="Arial"/>
          <w:bCs/>
          <w:iCs/>
          <w:szCs w:val="22"/>
        </w:rPr>
        <w:t>, Dyrektor Departamentu Unii Europejskiej i</w:t>
      </w:r>
      <w:r>
        <w:rPr>
          <w:rFonts w:cs="Arial"/>
          <w:bCs/>
          <w:iCs/>
          <w:szCs w:val="22"/>
        </w:rPr>
        <w:t> </w:t>
      </w:r>
      <w:r w:rsidRPr="00523423">
        <w:rPr>
          <w:rFonts w:cs="Arial"/>
          <w:bCs/>
          <w:iCs/>
          <w:szCs w:val="22"/>
        </w:rPr>
        <w:t>Współpracy Międzynarodowej UZP. Dyskusja dotyczyła m.in. pozycji wykonawców z</w:t>
      </w:r>
      <w:r>
        <w:rPr>
          <w:rFonts w:cs="Arial"/>
          <w:bCs/>
          <w:iCs/>
          <w:szCs w:val="22"/>
        </w:rPr>
        <w:t> </w:t>
      </w:r>
      <w:r w:rsidRPr="00523423">
        <w:rPr>
          <w:rFonts w:cs="Arial"/>
          <w:bCs/>
          <w:iCs/>
          <w:szCs w:val="22"/>
        </w:rPr>
        <w:t>państw trzecich w świetle wyroków TSUE w sprawach C-652/22 „Kolin” i C-266/22 „Qingdao”. Rozmawiano także o planowanych działaniach legislacyjnych w zakresie zmiany ustawy Pzp i ustawy o </w:t>
      </w:r>
      <w:r w:rsidR="000A3B99">
        <w:rPr>
          <w:rFonts w:cs="Arial"/>
          <w:bCs/>
          <w:iCs/>
          <w:szCs w:val="22"/>
        </w:rPr>
        <w:t xml:space="preserve">umowie </w:t>
      </w:r>
      <w:r w:rsidRPr="00523423">
        <w:rPr>
          <w:rFonts w:cs="Arial"/>
          <w:bCs/>
          <w:iCs/>
          <w:szCs w:val="22"/>
        </w:rPr>
        <w:t>koncesji na roboty budowlane lub usługi.</w:t>
      </w:r>
    </w:p>
    <w:p w14:paraId="245635F9" w14:textId="413D8C02" w:rsidR="00F27E06" w:rsidRPr="00703786" w:rsidRDefault="00F27E06" w:rsidP="00F27E06">
      <w:pPr>
        <w:pStyle w:val="Nagwek4"/>
      </w:pPr>
      <w:r>
        <w:t xml:space="preserve">3. </w:t>
      </w:r>
      <w:r w:rsidRPr="00703786">
        <w:t>Wizje, trendy i szanse w zamówieniach publicznych - międzynarodowa konferencja w Pradze</w:t>
      </w:r>
    </w:p>
    <w:p w14:paraId="1A615532" w14:textId="77777777" w:rsidR="00F27E06" w:rsidRDefault="00F27E06" w:rsidP="00F27E06">
      <w:pPr>
        <w:shd w:val="clear" w:color="auto" w:fill="FFFFFF"/>
        <w:spacing w:before="120" w:line="360" w:lineRule="auto"/>
        <w:jc w:val="left"/>
        <w:rPr>
          <w:rFonts w:cs="Arial"/>
          <w:iCs/>
          <w:szCs w:val="22"/>
        </w:rPr>
      </w:pPr>
      <w:r w:rsidRPr="00E375EA">
        <w:rPr>
          <w:rFonts w:cs="Arial"/>
          <w:iCs/>
          <w:noProof/>
          <w:szCs w:val="22"/>
        </w:rPr>
        <w:drawing>
          <wp:inline distT="0" distB="0" distL="0" distR="0" wp14:anchorId="3C648ABC" wp14:editId="6FE66E79">
            <wp:extent cx="5759450" cy="2426335"/>
            <wp:effectExtent l="0" t="0" r="0" b="0"/>
            <wp:docPr id="219221517" name="Obraz 219221517"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59450" cy="2426335"/>
                    </a:xfrm>
                    <a:prstGeom prst="rect">
                      <a:avLst/>
                    </a:prstGeom>
                  </pic:spPr>
                </pic:pic>
              </a:graphicData>
            </a:graphic>
          </wp:inline>
        </w:drawing>
      </w:r>
    </w:p>
    <w:p w14:paraId="230E1A6F" w14:textId="021C5841" w:rsidR="00F27E06" w:rsidRPr="00523423" w:rsidRDefault="00F27E06" w:rsidP="00F27E06">
      <w:pPr>
        <w:shd w:val="clear" w:color="auto" w:fill="FFFFFF"/>
        <w:spacing w:before="120" w:line="360" w:lineRule="auto"/>
        <w:jc w:val="left"/>
        <w:rPr>
          <w:rFonts w:cs="Arial"/>
          <w:bCs/>
          <w:iCs/>
          <w:szCs w:val="22"/>
        </w:rPr>
      </w:pPr>
      <w:r w:rsidRPr="00523423">
        <w:rPr>
          <w:rFonts w:cs="Arial"/>
          <w:iCs/>
          <w:szCs w:val="22"/>
        </w:rPr>
        <w:t>25.03.2025 roku w Pradze odbyła się międzynarodowa konferencja organizowana przez czeskie Ministerstwo ds. Rozwoju Regionalnego, pn. „Wizje, trendy i szanse w</w:t>
      </w:r>
      <w:r>
        <w:rPr>
          <w:rFonts w:cs="Arial"/>
          <w:iCs/>
          <w:szCs w:val="22"/>
        </w:rPr>
        <w:t> </w:t>
      </w:r>
      <w:r w:rsidRPr="00523423">
        <w:rPr>
          <w:rFonts w:cs="Arial"/>
          <w:iCs/>
          <w:szCs w:val="22"/>
        </w:rPr>
        <w:t>zamówieniach publicznych”</w:t>
      </w:r>
      <w:r w:rsidRPr="00523423">
        <w:rPr>
          <w:rFonts w:cs="Arial"/>
          <w:b/>
          <w:bCs/>
          <w:i/>
          <w:iCs/>
          <w:szCs w:val="22"/>
        </w:rPr>
        <w:t>. </w:t>
      </w:r>
      <w:r w:rsidRPr="00523423">
        <w:rPr>
          <w:rFonts w:cs="Arial"/>
          <w:bCs/>
          <w:iCs/>
          <w:szCs w:val="22"/>
        </w:rPr>
        <w:t>Celem wydarzenia było przedstawienie aktualnych trendów i</w:t>
      </w:r>
      <w:r>
        <w:rPr>
          <w:rFonts w:cs="Arial"/>
          <w:bCs/>
          <w:iCs/>
          <w:szCs w:val="22"/>
        </w:rPr>
        <w:t> </w:t>
      </w:r>
      <w:r w:rsidRPr="00523423">
        <w:rPr>
          <w:rFonts w:cs="Arial"/>
          <w:bCs/>
          <w:iCs/>
          <w:szCs w:val="22"/>
        </w:rPr>
        <w:t xml:space="preserve">wyzwań w obszarze zamówień, a także wymiana dobrych praktyk i doświadczeń. Tematyka konferencji obejmowała m.in. takie tematy jak: kwestie bezpieczeństwa w zamówieniach, przyszłość ram prawnych zamówień publicznych, cyfryzacja i rozwiązania chmurowe czy zrównoważony rozwój w projektach budowlanych i mieszkaniowych. W jednym z paneli wydarzenia wziął udział Przemysław Grosfeld, Wiceprezes </w:t>
      </w:r>
      <w:r w:rsidR="000A3B99">
        <w:rPr>
          <w:rFonts w:cs="Arial"/>
          <w:bCs/>
          <w:iCs/>
          <w:szCs w:val="22"/>
        </w:rPr>
        <w:t>Urzędu</w:t>
      </w:r>
      <w:r w:rsidRPr="00523423">
        <w:rPr>
          <w:rFonts w:cs="Arial"/>
          <w:bCs/>
          <w:iCs/>
          <w:szCs w:val="22"/>
        </w:rPr>
        <w:t>. Dyskusja dotyczyła przyszłości ram prawnych, które będą regulować obszar zamówień publicznych.</w:t>
      </w:r>
    </w:p>
    <w:p w14:paraId="6F18E1CC" w14:textId="146D0C41" w:rsidR="00F27E06" w:rsidRPr="009E217A" w:rsidRDefault="00F27E06" w:rsidP="00F27E06">
      <w:pPr>
        <w:pStyle w:val="Nagwek4"/>
      </w:pPr>
      <w:r>
        <w:t xml:space="preserve">4. </w:t>
      </w:r>
      <w:r w:rsidRPr="009E217A">
        <w:t>Spotkanie ze środowiskiem naukowym</w:t>
      </w:r>
    </w:p>
    <w:p w14:paraId="289B4845" w14:textId="3AB25E7E" w:rsidR="00F27E06" w:rsidRPr="00523423" w:rsidRDefault="00F27E06" w:rsidP="00F27E06">
      <w:pPr>
        <w:shd w:val="clear" w:color="auto" w:fill="FFFFFF"/>
        <w:spacing w:before="120" w:line="360" w:lineRule="auto"/>
        <w:jc w:val="left"/>
        <w:rPr>
          <w:rFonts w:cs="Arial"/>
          <w:bCs/>
          <w:iCs/>
          <w:szCs w:val="22"/>
        </w:rPr>
      </w:pPr>
      <w:r w:rsidRPr="00430FBC">
        <w:rPr>
          <w:rFonts w:cs="Arial"/>
          <w:bCs/>
          <w:iCs/>
          <w:noProof/>
          <w:szCs w:val="22"/>
        </w:rPr>
        <w:drawing>
          <wp:anchor distT="0" distB="0" distL="114300" distR="114300" simplePos="0" relativeHeight="251686912" behindDoc="0" locked="0" layoutInCell="1" allowOverlap="1" wp14:anchorId="2A8FF9D0" wp14:editId="4434081C">
            <wp:simplePos x="0" y="0"/>
            <wp:positionH relativeFrom="column">
              <wp:posOffset>-474980</wp:posOffset>
            </wp:positionH>
            <wp:positionV relativeFrom="paragraph">
              <wp:posOffset>121285</wp:posOffset>
            </wp:positionV>
            <wp:extent cx="3841200" cy="2559600"/>
            <wp:effectExtent l="0" t="0" r="6985" b="0"/>
            <wp:wrapSquare wrapText="bothSides"/>
            <wp:docPr id="219221516" name="Obraz 219221516"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michals\Desktop\43f69fbf-9cc3-49fd-8df1-34c175e5018d.jfi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41200" cy="2559600"/>
                    </a:xfrm>
                    <a:prstGeom prst="rect">
                      <a:avLst/>
                    </a:prstGeom>
                    <a:noFill/>
                    <a:ln>
                      <a:noFill/>
                    </a:ln>
                  </pic:spPr>
                </pic:pic>
              </a:graphicData>
            </a:graphic>
          </wp:anchor>
        </w:drawing>
      </w:r>
      <w:r w:rsidRPr="00523423">
        <w:rPr>
          <w:rFonts w:cs="Arial"/>
          <w:bCs/>
          <w:iCs/>
          <w:szCs w:val="22"/>
        </w:rPr>
        <w:t>W Ministerstwie Nauki i Szkolnictwa Wyższego 2.04.2025 roku odbyło się spotkanie dotyczące zamówień publicznych w sektorze nauki. W</w:t>
      </w:r>
      <w:r>
        <w:rPr>
          <w:rFonts w:cs="Arial"/>
          <w:bCs/>
          <w:iCs/>
          <w:szCs w:val="22"/>
        </w:rPr>
        <w:t> </w:t>
      </w:r>
      <w:r w:rsidRPr="00523423">
        <w:rPr>
          <w:rFonts w:cs="Arial"/>
          <w:bCs/>
          <w:iCs/>
          <w:szCs w:val="22"/>
        </w:rPr>
        <w:t>wydarzeniu wzięli udział: Karolina Zioło-</w:t>
      </w:r>
      <w:proofErr w:type="spellStart"/>
      <w:r w:rsidRPr="00523423">
        <w:rPr>
          <w:rFonts w:cs="Arial"/>
          <w:bCs/>
          <w:iCs/>
          <w:szCs w:val="22"/>
        </w:rPr>
        <w:t>Pużuk</w:t>
      </w:r>
      <w:proofErr w:type="spellEnd"/>
      <w:r w:rsidRPr="00523423">
        <w:rPr>
          <w:rFonts w:cs="Arial"/>
          <w:bCs/>
          <w:iCs/>
          <w:szCs w:val="22"/>
        </w:rPr>
        <w:t>, Sekretarz Stanu w</w:t>
      </w:r>
      <w:r>
        <w:rPr>
          <w:rFonts w:cs="Arial"/>
          <w:bCs/>
          <w:iCs/>
          <w:szCs w:val="22"/>
        </w:rPr>
        <w:t> </w:t>
      </w:r>
      <w:r w:rsidR="000A3B99" w:rsidRPr="00523423">
        <w:rPr>
          <w:rFonts w:cs="Arial"/>
          <w:bCs/>
          <w:iCs/>
          <w:szCs w:val="22"/>
        </w:rPr>
        <w:t>Ministerstwie Nauki i Szkolnictwa Wyższego</w:t>
      </w:r>
      <w:r w:rsidRPr="00523423">
        <w:rPr>
          <w:rFonts w:cs="Arial"/>
          <w:bCs/>
          <w:iCs/>
          <w:szCs w:val="22"/>
        </w:rPr>
        <w:t>, Agnieszka Olszewska, Prezes Urzędu, dr</w:t>
      </w:r>
      <w:r>
        <w:rPr>
          <w:rFonts w:cs="Arial"/>
          <w:bCs/>
          <w:iCs/>
          <w:szCs w:val="22"/>
        </w:rPr>
        <w:t> </w:t>
      </w:r>
      <w:r w:rsidRPr="00523423">
        <w:rPr>
          <w:rFonts w:cs="Arial"/>
          <w:bCs/>
          <w:iCs/>
          <w:szCs w:val="22"/>
        </w:rPr>
        <w:t xml:space="preserve">Izabela Fundowicz, Dyrektor Departamentu Prawnego UZP oraz przedstawiciele środowiska naukowego. Uczestnicy spotkania formułowali pomysły dotyczące ewentualnych kierunków zmian w </w:t>
      </w:r>
      <w:r w:rsidR="00B23CCE">
        <w:rPr>
          <w:rFonts w:cs="Arial"/>
          <w:bCs/>
          <w:iCs/>
          <w:szCs w:val="22"/>
        </w:rPr>
        <w:t xml:space="preserve">ustawie </w:t>
      </w:r>
      <w:r w:rsidRPr="00523423">
        <w:rPr>
          <w:rFonts w:cs="Arial"/>
          <w:bCs/>
          <w:iCs/>
          <w:szCs w:val="22"/>
        </w:rPr>
        <w:t>Praw</w:t>
      </w:r>
      <w:r w:rsidR="00B23CCE">
        <w:rPr>
          <w:rFonts w:cs="Arial"/>
          <w:bCs/>
          <w:iCs/>
          <w:szCs w:val="22"/>
        </w:rPr>
        <w:t>o</w:t>
      </w:r>
      <w:r w:rsidRPr="00523423">
        <w:rPr>
          <w:rFonts w:cs="Arial"/>
          <w:bCs/>
          <w:iCs/>
          <w:szCs w:val="22"/>
        </w:rPr>
        <w:t xml:space="preserve"> zamówień publicznych. Znaczna część dyskusji skoncentrowana była wokół tworzenia praktycznych dokumentów dla zamawiających. W trakcie otwartej i merytorycznej debaty wybrzmiały wyzwania, z którymi mierzą się na co dzień zamawiający, a które dotyczą m.in. szacowania wartości zamówienia czy zamówień realizowanych w różnych wariantach trybu podstawowego. Podkreślona została także rola wytycznych i rekomendacji, które są w stanie pomóc w bardziej efektywnym wykorzystaniu narzędzi, jakie daje </w:t>
      </w:r>
      <w:r w:rsidR="00DE6EA5">
        <w:rPr>
          <w:rFonts w:cs="Arial"/>
          <w:bCs/>
          <w:iCs/>
          <w:szCs w:val="22"/>
        </w:rPr>
        <w:t xml:space="preserve">ustawa </w:t>
      </w:r>
      <w:r w:rsidRPr="00523423">
        <w:rPr>
          <w:rFonts w:cs="Arial"/>
          <w:bCs/>
          <w:iCs/>
          <w:szCs w:val="22"/>
        </w:rPr>
        <w:t>Prawo zamówień publicznych.</w:t>
      </w:r>
      <w:r w:rsidR="00DE6EA5">
        <w:rPr>
          <w:rFonts w:cs="Arial"/>
          <w:bCs/>
          <w:iCs/>
          <w:szCs w:val="22"/>
        </w:rPr>
        <w:t xml:space="preserve"> </w:t>
      </w:r>
      <w:r w:rsidRPr="00523423">
        <w:rPr>
          <w:rFonts w:cs="Arial"/>
          <w:szCs w:val="22"/>
        </w:rPr>
        <w:t>Temat szacowania wartości zamówienia stanowił już przedmiot prac grupy roboczej w przeszłości. Efektem tego zaangażowania jest publikacja z listopada 2022 roku, w której poruszona została kwestia łączenia odczynników w grupy na potrzeby szacowania wartości zamówienia (dokument jest dostępny na stronie UZP pod adresem https://www.gov.pl/web/uzp/grupy-odczynnikow-na-potrzeby-szacowania-wartosci-zamowienia3).</w:t>
      </w:r>
      <w:r w:rsidR="00326395">
        <w:rPr>
          <w:rFonts w:cs="Arial"/>
          <w:szCs w:val="22"/>
        </w:rPr>
        <w:t xml:space="preserve"> </w:t>
      </w:r>
    </w:p>
    <w:p w14:paraId="68304DF7" w14:textId="598AC8BC" w:rsidR="00F27E06" w:rsidRPr="00296479" w:rsidRDefault="00F27E06" w:rsidP="00F27E06">
      <w:pPr>
        <w:pStyle w:val="Nagwek4"/>
      </w:pPr>
      <w:r>
        <w:t xml:space="preserve">5. </w:t>
      </w:r>
      <w:r w:rsidRPr="00296479">
        <w:t>VI Forum Zamówień Publicznych na Dostawy i Usługi</w:t>
      </w:r>
    </w:p>
    <w:p w14:paraId="202BE0D6" w14:textId="61F3A76E" w:rsidR="00F27E06" w:rsidRPr="00523423" w:rsidRDefault="00F27E06" w:rsidP="00F27E06">
      <w:pPr>
        <w:shd w:val="clear" w:color="auto" w:fill="FFFFFF"/>
        <w:spacing w:before="120" w:line="360" w:lineRule="auto"/>
        <w:jc w:val="left"/>
        <w:rPr>
          <w:rFonts w:cs="Arial"/>
          <w:bCs/>
          <w:iCs/>
          <w:szCs w:val="22"/>
        </w:rPr>
      </w:pPr>
      <w:r w:rsidRPr="00C46908">
        <w:rPr>
          <w:rFonts w:cs="Arial"/>
          <w:bCs/>
          <w:iCs/>
          <w:noProof/>
          <w:szCs w:val="22"/>
        </w:rPr>
        <w:drawing>
          <wp:anchor distT="0" distB="0" distL="114300" distR="114300" simplePos="0" relativeHeight="251685888" behindDoc="0" locked="0" layoutInCell="1" allowOverlap="1" wp14:anchorId="7AF4C9EC" wp14:editId="05ED161C">
            <wp:simplePos x="0" y="0"/>
            <wp:positionH relativeFrom="column">
              <wp:posOffset>2401570</wp:posOffset>
            </wp:positionH>
            <wp:positionV relativeFrom="paragraph">
              <wp:posOffset>29210</wp:posOffset>
            </wp:positionV>
            <wp:extent cx="3812400" cy="2538000"/>
            <wp:effectExtent l="0" t="0" r="0" b="0"/>
            <wp:wrapSquare wrapText="bothSides"/>
            <wp:docPr id="219221515" name="Obraz 219221515"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michals\Desktop\ee5d7e29-7b5c-4173-a06d-7562de9be4b6.jfi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812400" cy="253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3423">
        <w:rPr>
          <w:rFonts w:cs="Arial"/>
          <w:bCs/>
          <w:iCs/>
          <w:szCs w:val="22"/>
        </w:rPr>
        <w:t xml:space="preserve">7.04.2025 roku w Krakowie odbyło się Forum Zamówień Publicznych na Dostawy i Usługi organizowane przez miesięcznik „Przetargi publiczne”, objęte patronatem Prezesa Urzędu. W sesji otwierającej wystąpiła Agnieszka Olszewska, Prezes </w:t>
      </w:r>
      <w:r w:rsidR="0068391A">
        <w:rPr>
          <w:rFonts w:cs="Arial"/>
          <w:bCs/>
          <w:iCs/>
          <w:szCs w:val="22"/>
        </w:rPr>
        <w:t>Urzędu</w:t>
      </w:r>
      <w:r w:rsidRPr="00523423">
        <w:rPr>
          <w:rFonts w:cs="Arial"/>
          <w:bCs/>
          <w:iCs/>
          <w:szCs w:val="22"/>
        </w:rPr>
        <w:t>. W swojej prezentacji omówiła efektywność procesu zakupów publicznych, a także bieżące wyzwania, z jakimi mierzą się uczestnicy rynku zamówień publicznych.</w:t>
      </w:r>
      <w:r w:rsidRPr="00523423">
        <w:rPr>
          <w:rFonts w:cs="Arial"/>
          <w:bCs/>
          <w:iCs/>
          <w:szCs w:val="22"/>
        </w:rPr>
        <w:br/>
        <w:t xml:space="preserve">Coroczne Forum to miejsce debat i rozmów na temat praktyki stosowania </w:t>
      </w:r>
      <w:r w:rsidR="0068391A">
        <w:rPr>
          <w:rFonts w:cs="Arial"/>
          <w:bCs/>
          <w:iCs/>
          <w:szCs w:val="22"/>
        </w:rPr>
        <w:t xml:space="preserve">ustawy </w:t>
      </w:r>
      <w:r w:rsidR="0068391A" w:rsidRPr="00523423">
        <w:rPr>
          <w:rFonts w:cs="Arial"/>
          <w:bCs/>
          <w:iCs/>
          <w:szCs w:val="22"/>
        </w:rPr>
        <w:t>Praw</w:t>
      </w:r>
      <w:r w:rsidR="0068391A">
        <w:rPr>
          <w:rFonts w:cs="Arial"/>
          <w:bCs/>
          <w:iCs/>
          <w:szCs w:val="22"/>
        </w:rPr>
        <w:t>o</w:t>
      </w:r>
      <w:r w:rsidR="0068391A" w:rsidRPr="00523423">
        <w:rPr>
          <w:rFonts w:cs="Arial"/>
          <w:bCs/>
          <w:iCs/>
          <w:szCs w:val="22"/>
        </w:rPr>
        <w:t xml:space="preserve"> </w:t>
      </w:r>
      <w:r w:rsidRPr="00523423">
        <w:rPr>
          <w:rFonts w:cs="Arial"/>
          <w:bCs/>
          <w:iCs/>
          <w:szCs w:val="22"/>
        </w:rPr>
        <w:t>zamówień publicznych. W ciągu 3 dni dyskusji i prelekcji poruszano m.in. kwestie prawidłowego oszacowania wartości zamówienia na dostawy i usługi oraz roli i znaczenia próbki w postępowaniu o udzielenie zamówienia.</w:t>
      </w:r>
    </w:p>
    <w:p w14:paraId="4E5D3EFE" w14:textId="78EFD8FB" w:rsidR="00F27E06" w:rsidRPr="006D5D23" w:rsidRDefault="00F27E06" w:rsidP="00F27E06">
      <w:pPr>
        <w:pStyle w:val="Nagwek4"/>
      </w:pPr>
      <w:r>
        <w:t xml:space="preserve">6. </w:t>
      </w:r>
      <w:r w:rsidRPr="006D5D23">
        <w:t>III Kongres Projektantów i Inżynierów</w:t>
      </w:r>
    </w:p>
    <w:p w14:paraId="6A467A86" w14:textId="5B6B212B" w:rsidR="00F27E06" w:rsidRPr="00523423" w:rsidRDefault="00F27E06" w:rsidP="00F27E06">
      <w:pPr>
        <w:shd w:val="clear" w:color="auto" w:fill="FFFFFF"/>
        <w:spacing w:before="120" w:line="360" w:lineRule="auto"/>
        <w:jc w:val="left"/>
        <w:rPr>
          <w:rFonts w:cs="Arial"/>
          <w:bCs/>
          <w:iCs/>
          <w:szCs w:val="22"/>
        </w:rPr>
      </w:pPr>
      <w:r w:rsidRPr="00F122F2">
        <w:rPr>
          <w:rFonts w:cs="Arial"/>
          <w:bCs/>
          <w:iCs/>
          <w:noProof/>
          <w:szCs w:val="22"/>
        </w:rPr>
        <w:drawing>
          <wp:anchor distT="0" distB="0" distL="114300" distR="114300" simplePos="0" relativeHeight="251684864" behindDoc="0" locked="0" layoutInCell="1" allowOverlap="1" wp14:anchorId="60810174" wp14:editId="779C27D1">
            <wp:simplePos x="0" y="0"/>
            <wp:positionH relativeFrom="column">
              <wp:posOffset>-468630</wp:posOffset>
            </wp:positionH>
            <wp:positionV relativeFrom="paragraph">
              <wp:posOffset>152400</wp:posOffset>
            </wp:positionV>
            <wp:extent cx="3456000" cy="2304000"/>
            <wp:effectExtent l="0" t="0" r="0" b="1270"/>
            <wp:wrapSquare wrapText="bothSides"/>
            <wp:docPr id="219221514" name="Obraz 219221514"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michals\Desktop\fb5537da-ffcb-4c0c-aeb4-199edaee3982.jfi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56000" cy="2304000"/>
                    </a:xfrm>
                    <a:prstGeom prst="rect">
                      <a:avLst/>
                    </a:prstGeom>
                    <a:noFill/>
                    <a:ln>
                      <a:noFill/>
                    </a:ln>
                  </pic:spPr>
                </pic:pic>
              </a:graphicData>
            </a:graphic>
          </wp:anchor>
        </w:drawing>
      </w:r>
      <w:r w:rsidRPr="00523423">
        <w:rPr>
          <w:rFonts w:cs="Arial"/>
          <w:bCs/>
          <w:iCs/>
          <w:szCs w:val="22"/>
        </w:rPr>
        <w:t>W Warszawie już po raz trzeci 10.04.2025 roku odbył się Kongres Projektantów i</w:t>
      </w:r>
      <w:r>
        <w:rPr>
          <w:rFonts w:cs="Arial"/>
          <w:bCs/>
          <w:iCs/>
          <w:szCs w:val="22"/>
        </w:rPr>
        <w:t> </w:t>
      </w:r>
      <w:r w:rsidRPr="00523423">
        <w:rPr>
          <w:rFonts w:cs="Arial"/>
          <w:bCs/>
          <w:iCs/>
          <w:szCs w:val="22"/>
        </w:rPr>
        <w:t xml:space="preserve">Inżynierów. Wydarzenie skupiło reprezentantów wielu branż i stało się miejscem dyskusji na temat wyzwań, które stoją przed polskim rynkiem inwestycji infrastrukturalnych. W debacie </w:t>
      </w:r>
      <w:r w:rsidRPr="00523423">
        <w:rPr>
          <w:rFonts w:cs="Arial"/>
          <w:bCs/>
          <w:i/>
          <w:iCs/>
          <w:szCs w:val="22"/>
        </w:rPr>
        <w:t>„</w:t>
      </w:r>
      <w:r w:rsidRPr="00523423">
        <w:rPr>
          <w:rFonts w:cs="Arial"/>
          <w:bCs/>
          <w:szCs w:val="22"/>
        </w:rPr>
        <w:t>Relacje generalnych wykonawców i projektantów – współpraca czy napięcie?”</w:t>
      </w:r>
      <w:r w:rsidRPr="00523423">
        <w:rPr>
          <w:rFonts w:cs="Arial"/>
          <w:bCs/>
          <w:iCs/>
          <w:szCs w:val="22"/>
        </w:rPr>
        <w:t xml:space="preserve"> wziął udział</w:t>
      </w:r>
      <w:r w:rsidRPr="00523423">
        <w:rPr>
          <w:rFonts w:cs="Arial"/>
          <w:b/>
          <w:bCs/>
          <w:iCs/>
          <w:szCs w:val="22"/>
        </w:rPr>
        <w:t xml:space="preserve"> </w:t>
      </w:r>
      <w:r w:rsidRPr="00523423">
        <w:rPr>
          <w:rFonts w:cs="Arial"/>
          <w:iCs/>
          <w:szCs w:val="22"/>
        </w:rPr>
        <w:t xml:space="preserve">Przemysław Grosfeld, Wiceprezes </w:t>
      </w:r>
      <w:r w:rsidR="0068391A">
        <w:rPr>
          <w:rFonts w:cs="Arial"/>
          <w:iCs/>
          <w:szCs w:val="22"/>
        </w:rPr>
        <w:t>Urzędu</w:t>
      </w:r>
      <w:r w:rsidRPr="00523423">
        <w:rPr>
          <w:rFonts w:cs="Arial"/>
          <w:iCs/>
          <w:szCs w:val="22"/>
        </w:rPr>
        <w:t>. Na scenie spotkali się przedstawiciele instytucji publicznych, projektantów, prawników oraz wykonawców, by otwarcie porozmawiać o realiach współpracy przy inwestycjach</w:t>
      </w:r>
      <w:r w:rsidRPr="00523423">
        <w:rPr>
          <w:rFonts w:cs="Arial"/>
          <w:bCs/>
          <w:iCs/>
          <w:szCs w:val="22"/>
        </w:rPr>
        <w:t xml:space="preserve"> infrastrukturalnych. Dyskutanci szukali odpowiedzi na takie pytania, jak: czy projektant jest pełnoprawnym partnerem czy tylko podwykonawcą bez wpływu; jakimi zasadami powinna cechować się dobra współpraca; czy umowy dają projektantom realne narzędzia działania, jak rozwiązać pojawiające się wyzwania w trakcie realizacji kontaktów.</w:t>
      </w:r>
    </w:p>
    <w:p w14:paraId="2CD7683B" w14:textId="21B0CA3F" w:rsidR="00F27E06" w:rsidRPr="006D5D23" w:rsidRDefault="00F27E06" w:rsidP="00F27E06">
      <w:pPr>
        <w:pStyle w:val="Nagwek4"/>
      </w:pPr>
      <w:r>
        <w:t xml:space="preserve">7. </w:t>
      </w:r>
      <w:proofErr w:type="spellStart"/>
      <w:r w:rsidRPr="006D5D23">
        <w:t>LocalTrends</w:t>
      </w:r>
      <w:proofErr w:type="spellEnd"/>
      <w:r w:rsidRPr="006D5D23">
        <w:t xml:space="preserve"> – Samorządowy Kongres Finansowy</w:t>
      </w:r>
    </w:p>
    <w:p w14:paraId="5EC67B72" w14:textId="37E45247" w:rsidR="00F27E06" w:rsidRPr="00523423" w:rsidRDefault="00F27E06" w:rsidP="00F27E06">
      <w:pPr>
        <w:shd w:val="clear" w:color="auto" w:fill="FFFFFF"/>
        <w:spacing w:before="120" w:line="360" w:lineRule="auto"/>
        <w:jc w:val="left"/>
        <w:rPr>
          <w:rFonts w:cs="Arial"/>
          <w:bCs/>
          <w:iCs/>
          <w:szCs w:val="22"/>
        </w:rPr>
      </w:pPr>
      <w:r w:rsidRPr="006D43A9">
        <w:rPr>
          <w:rFonts w:cs="Arial"/>
          <w:bCs/>
          <w:iCs/>
          <w:noProof/>
          <w:szCs w:val="22"/>
        </w:rPr>
        <w:drawing>
          <wp:anchor distT="0" distB="0" distL="114300" distR="114300" simplePos="0" relativeHeight="251683840" behindDoc="0" locked="0" layoutInCell="1" allowOverlap="1" wp14:anchorId="36F62454" wp14:editId="701725B0">
            <wp:simplePos x="0" y="0"/>
            <wp:positionH relativeFrom="column">
              <wp:posOffset>2890520</wp:posOffset>
            </wp:positionH>
            <wp:positionV relativeFrom="paragraph">
              <wp:posOffset>19685</wp:posOffset>
            </wp:positionV>
            <wp:extent cx="3456000" cy="2300400"/>
            <wp:effectExtent l="0" t="0" r="0" b="5080"/>
            <wp:wrapSquare wrapText="bothSides"/>
            <wp:docPr id="219221513" name="Obraz 219221513"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michals\Desktop\60710ca2-570f-4b9b-96e9-ad20d44500d9.jfi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456000" cy="2300400"/>
                    </a:xfrm>
                    <a:prstGeom prst="rect">
                      <a:avLst/>
                    </a:prstGeom>
                    <a:noFill/>
                    <a:ln>
                      <a:noFill/>
                    </a:ln>
                  </pic:spPr>
                </pic:pic>
              </a:graphicData>
            </a:graphic>
          </wp:anchor>
        </w:drawing>
      </w:r>
      <w:r w:rsidRPr="00523423">
        <w:rPr>
          <w:rFonts w:cs="Arial"/>
          <w:bCs/>
          <w:iCs/>
          <w:szCs w:val="22"/>
        </w:rPr>
        <w:t xml:space="preserve">15.04.2025 roku w Sopocie odbyła się kolejna edycja </w:t>
      </w:r>
      <w:proofErr w:type="spellStart"/>
      <w:r w:rsidRPr="00523423">
        <w:rPr>
          <w:rFonts w:cs="Arial"/>
          <w:bCs/>
          <w:iCs/>
          <w:szCs w:val="22"/>
        </w:rPr>
        <w:t>LocalTrends</w:t>
      </w:r>
      <w:proofErr w:type="spellEnd"/>
      <w:r w:rsidRPr="00523423">
        <w:rPr>
          <w:rFonts w:cs="Arial"/>
          <w:bCs/>
          <w:iCs/>
          <w:szCs w:val="22"/>
        </w:rPr>
        <w:t xml:space="preserve"> – Samorządowego Kongresu Finansowego. Dwa dni debat i dyskusji upłynęły pod znakiem szukania odpowiedzi na wyzwania samorządów w różnych obszarach życia gospodarczego i społecznego. W sesji dotyczącej efektywności zamówień publicznych i relacji w trójkącie zamawiający-wykonawca-finansujący wzięła udział Agnieszka Olszewska, Prezes </w:t>
      </w:r>
      <w:r w:rsidR="0068391A">
        <w:rPr>
          <w:rFonts w:cs="Arial"/>
          <w:bCs/>
          <w:iCs/>
          <w:szCs w:val="22"/>
        </w:rPr>
        <w:t>Urzędu</w:t>
      </w:r>
      <w:r w:rsidRPr="00523423">
        <w:rPr>
          <w:rFonts w:cs="Arial"/>
          <w:bCs/>
          <w:iCs/>
          <w:szCs w:val="22"/>
        </w:rPr>
        <w:t xml:space="preserve">. Uczestnicy debaty zgodzili się, że </w:t>
      </w:r>
      <w:r w:rsidR="0068391A">
        <w:rPr>
          <w:rFonts w:cs="Arial"/>
          <w:bCs/>
          <w:iCs/>
          <w:szCs w:val="22"/>
        </w:rPr>
        <w:t xml:space="preserve">ustawa </w:t>
      </w:r>
      <w:r w:rsidRPr="00523423">
        <w:rPr>
          <w:rFonts w:cs="Arial"/>
          <w:bCs/>
          <w:iCs/>
          <w:szCs w:val="22"/>
        </w:rPr>
        <w:t xml:space="preserve">Prawo zamówień publicznych nie wymaga rewolucji, a jedynie ewolucyjnych zmian doprecyzowujących. </w:t>
      </w:r>
      <w:proofErr w:type="spellStart"/>
      <w:r w:rsidRPr="00523423">
        <w:rPr>
          <w:rFonts w:cs="Arial"/>
          <w:bCs/>
          <w:iCs/>
          <w:szCs w:val="22"/>
        </w:rPr>
        <w:t>Paneliści</w:t>
      </w:r>
      <w:proofErr w:type="spellEnd"/>
      <w:r w:rsidRPr="00523423">
        <w:rPr>
          <w:rFonts w:cs="Arial"/>
          <w:bCs/>
          <w:iCs/>
          <w:szCs w:val="22"/>
        </w:rPr>
        <w:t xml:space="preserve"> stwierdzili, że kluczem do rozwoju jest dalsza profesjonalizacja uczestników rynku zamówień publicznych. </w:t>
      </w:r>
      <w:r w:rsidR="0068391A">
        <w:rPr>
          <w:rFonts w:cs="Arial"/>
          <w:bCs/>
          <w:iCs/>
          <w:szCs w:val="22"/>
        </w:rPr>
        <w:t xml:space="preserve">Pani </w:t>
      </w:r>
      <w:r w:rsidRPr="00523423">
        <w:rPr>
          <w:rFonts w:cs="Arial"/>
          <w:bCs/>
          <w:iCs/>
          <w:szCs w:val="22"/>
        </w:rPr>
        <w:t>Prezes Agnieszka Olszewska podkreśliła, że dlatego właśnie Urząd Zamówień Publicznych rozpoczął projekt edukacyjny pn. Akademii Zakupów Publicznych. Jego celem jest zwiększenie profesjonalizacji zamawiających i wykonawców. Działania realizowane w ramach projektu pokazują również, że odpowiednie przygotowanie zamówienia – zdefiniowanie przedmiotu, znajomość rynku, zapewnienie odpowiednich warunków udziału - pozwala na osiąganie większej efektywności i lepszą realizację celów zakupowych.</w:t>
      </w:r>
    </w:p>
    <w:p w14:paraId="7F7AA059" w14:textId="78809D40" w:rsidR="00F27E06" w:rsidRPr="006D5D23" w:rsidRDefault="00F27E06" w:rsidP="00F27E06">
      <w:pPr>
        <w:pStyle w:val="Nagwek4"/>
      </w:pPr>
      <w:r>
        <w:t xml:space="preserve">8. </w:t>
      </w:r>
      <w:r w:rsidRPr="006D5D23">
        <w:t>IX Forum Zamówień Publicznych dla Kadry Kierowniczej</w:t>
      </w:r>
    </w:p>
    <w:p w14:paraId="1E6671AB" w14:textId="77777777" w:rsidR="00F27E06" w:rsidRDefault="00F27E06" w:rsidP="00F27E06">
      <w:pPr>
        <w:shd w:val="clear" w:color="auto" w:fill="FFFFFF"/>
        <w:spacing w:before="120" w:line="360" w:lineRule="auto"/>
        <w:jc w:val="left"/>
        <w:rPr>
          <w:rFonts w:cs="Arial"/>
          <w:bCs/>
          <w:iCs/>
          <w:szCs w:val="22"/>
        </w:rPr>
      </w:pPr>
      <w:r w:rsidRPr="00163912">
        <w:rPr>
          <w:rFonts w:cs="Arial"/>
          <w:bCs/>
          <w:iCs/>
          <w:noProof/>
          <w:szCs w:val="22"/>
        </w:rPr>
        <w:drawing>
          <wp:inline distT="0" distB="0" distL="0" distR="0" wp14:anchorId="71D1F6A3" wp14:editId="1231A90D">
            <wp:extent cx="5759450" cy="2493010"/>
            <wp:effectExtent l="0" t="0" r="0" b="2540"/>
            <wp:docPr id="219221512" name="Obraz 219221512"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59450" cy="2493010"/>
                    </a:xfrm>
                    <a:prstGeom prst="rect">
                      <a:avLst/>
                    </a:prstGeom>
                  </pic:spPr>
                </pic:pic>
              </a:graphicData>
            </a:graphic>
          </wp:inline>
        </w:drawing>
      </w:r>
    </w:p>
    <w:p w14:paraId="5B235FFF" w14:textId="4D353799"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26.05.2025 roku w Gdańsku odbyło się IX Forum Zamówień Publicznych dla Kadry Kierowniczej</w:t>
      </w:r>
      <w:r w:rsidR="00326395">
        <w:rPr>
          <w:rFonts w:cs="Arial"/>
          <w:bCs/>
          <w:iCs/>
          <w:szCs w:val="22"/>
        </w:rPr>
        <w:t xml:space="preserve"> </w:t>
      </w:r>
      <w:r w:rsidRPr="00523423">
        <w:rPr>
          <w:rFonts w:cs="Arial"/>
          <w:bCs/>
          <w:iCs/>
          <w:szCs w:val="22"/>
        </w:rPr>
        <w:t>organizowane przez wydawcę miesięcznika "Przetargi publiczne".</w:t>
      </w:r>
      <w:r w:rsidR="00326395">
        <w:rPr>
          <w:rFonts w:cs="Arial"/>
          <w:bCs/>
          <w:iCs/>
          <w:szCs w:val="22"/>
        </w:rPr>
        <w:t xml:space="preserve"> </w:t>
      </w:r>
      <w:r w:rsidRPr="00523423">
        <w:rPr>
          <w:rFonts w:cs="Arial"/>
          <w:bCs/>
          <w:iCs/>
          <w:szCs w:val="22"/>
        </w:rPr>
        <w:t xml:space="preserve">Przez trzy dni uczestnicy brali udział w wielu interesujących wykładach dotyczących praw oraz obowiązków dyrektorów i naczelników działów zamówień publicznych. Gościem specjalnym wydarzenia była Agnieszka Olszewska, Prezes </w:t>
      </w:r>
      <w:r w:rsidR="004D5A56">
        <w:rPr>
          <w:rFonts w:cs="Arial"/>
          <w:bCs/>
          <w:iCs/>
          <w:szCs w:val="22"/>
        </w:rPr>
        <w:t>Urzędu</w:t>
      </w:r>
      <w:r w:rsidRPr="00523423">
        <w:rPr>
          <w:rFonts w:cs="Arial"/>
          <w:bCs/>
          <w:iCs/>
          <w:szCs w:val="22"/>
        </w:rPr>
        <w:t xml:space="preserve">. W swoim wystąpieniu omówiła aktualne wyzwania rynku zamówień publicznych. Jednym z prelegentów był także Marcin Kalmus, Dyrektor Biura </w:t>
      </w:r>
      <w:proofErr w:type="spellStart"/>
      <w:r w:rsidRPr="00523423">
        <w:rPr>
          <w:rFonts w:cs="Arial"/>
          <w:bCs/>
          <w:iCs/>
          <w:szCs w:val="22"/>
        </w:rPr>
        <w:t>Odwołań</w:t>
      </w:r>
      <w:proofErr w:type="spellEnd"/>
      <w:r w:rsidRPr="00523423">
        <w:rPr>
          <w:rFonts w:cs="Arial"/>
          <w:bCs/>
          <w:iCs/>
          <w:szCs w:val="22"/>
        </w:rPr>
        <w:t>, który uczestników Forum zapoznał z zagadnieniem planowanej pełnej elektronizacji procesu odwoławczego.</w:t>
      </w:r>
    </w:p>
    <w:p w14:paraId="7726A049" w14:textId="74300BCC" w:rsidR="00F27E06" w:rsidRPr="00254DFA" w:rsidRDefault="00F27E06" w:rsidP="00F27E06">
      <w:pPr>
        <w:pStyle w:val="Nagwek4"/>
      </w:pPr>
      <w:r>
        <w:t xml:space="preserve">9. </w:t>
      </w:r>
      <w:r w:rsidRPr="00254DFA">
        <w:t>Konferencja „Bezpieczeństwo gospodarcze UE”</w:t>
      </w:r>
    </w:p>
    <w:p w14:paraId="1FE00AE1" w14:textId="77777777" w:rsidR="00F27E06" w:rsidRDefault="00F27E06" w:rsidP="00F27E06">
      <w:pPr>
        <w:shd w:val="clear" w:color="auto" w:fill="FFFFFF"/>
        <w:spacing w:before="120" w:line="360" w:lineRule="auto"/>
        <w:jc w:val="left"/>
        <w:rPr>
          <w:rFonts w:cs="Arial"/>
          <w:bCs/>
          <w:iCs/>
          <w:szCs w:val="22"/>
        </w:rPr>
      </w:pPr>
      <w:r w:rsidRPr="001F0B06">
        <w:rPr>
          <w:rFonts w:cs="Arial"/>
          <w:bCs/>
          <w:iCs/>
          <w:noProof/>
          <w:szCs w:val="22"/>
        </w:rPr>
        <w:drawing>
          <wp:inline distT="0" distB="0" distL="0" distR="0" wp14:anchorId="7110B18B" wp14:editId="18599BFA">
            <wp:extent cx="5759450" cy="2444115"/>
            <wp:effectExtent l="0" t="0" r="0" b="0"/>
            <wp:docPr id="219221511" name="Obraz 219221511"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59450" cy="2444115"/>
                    </a:xfrm>
                    <a:prstGeom prst="rect">
                      <a:avLst/>
                    </a:prstGeom>
                  </pic:spPr>
                </pic:pic>
              </a:graphicData>
            </a:graphic>
          </wp:inline>
        </w:drawing>
      </w:r>
    </w:p>
    <w:p w14:paraId="710E250A" w14:textId="0DA2BF34"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27.05.2025 roku na PGE Narodowym w Warszawie odbyła się konferencja „Bezpieczeństwo gospodarcze UE”, organizowana przez Związek Pracodawców Producentów Materiałów dla Budownictwa wraz z m.in. Konfederacją Lewiatan, Stowarzyszeniem Producentów Pap oraz Stowarzyszeniem Producentów Cementu. Wydarzenie dotyczyło kwestii ochrony bezpieczeństwa gospodarczego Unii Europejskiej i działań, które zdecydują o jej przyszłości. W trakcie jednego z paneli uczestnicy szukali odpowiedzi na pytanie: "</w:t>
      </w:r>
      <w:r w:rsidRPr="00523423">
        <w:rPr>
          <w:rFonts w:cs="Arial"/>
          <w:bCs/>
          <w:szCs w:val="22"/>
        </w:rPr>
        <w:t>Czy zamówienia publiczne mogą być skutecznym narzędziem wzmacniającym gospodarkę Unii Europejskiej</w:t>
      </w:r>
      <w:r w:rsidRPr="00523423">
        <w:rPr>
          <w:rFonts w:cs="Arial"/>
          <w:bCs/>
          <w:iCs/>
          <w:szCs w:val="22"/>
        </w:rPr>
        <w:t xml:space="preserve">?". W dyskusji wziął udział Przemysław Grosfeld, Wiceprezes </w:t>
      </w:r>
      <w:r w:rsidR="004D5A56">
        <w:rPr>
          <w:rFonts w:cs="Arial"/>
          <w:bCs/>
          <w:iCs/>
          <w:szCs w:val="22"/>
        </w:rPr>
        <w:t>Urzędu</w:t>
      </w:r>
      <w:r w:rsidRPr="00523423">
        <w:rPr>
          <w:rFonts w:cs="Arial"/>
          <w:bCs/>
          <w:iCs/>
          <w:szCs w:val="22"/>
        </w:rPr>
        <w:t>, który opowiedział o zmianach ustawowych mających na celu wprowadzenie do polskiego porządku prawnego regulacji uwzględniających tezy wyroku Trybunału Sprawiedliwości Unii Europejskiej w tzw. sprawie Kolin.</w:t>
      </w:r>
    </w:p>
    <w:p w14:paraId="46AFDF87" w14:textId="011D8EB6" w:rsidR="00F27E06" w:rsidRPr="00502D43" w:rsidRDefault="00F27E06" w:rsidP="00F27E06">
      <w:pPr>
        <w:pStyle w:val="Nagwek4"/>
      </w:pPr>
      <w:r>
        <w:t xml:space="preserve">10. </w:t>
      </w:r>
      <w:r w:rsidRPr="00502D43">
        <w:t>XXX Szkoła Fundacji Rektorów Polskich</w:t>
      </w:r>
    </w:p>
    <w:p w14:paraId="641F1149" w14:textId="58E9265F" w:rsidR="00F27E06" w:rsidRPr="00523423" w:rsidRDefault="00F27E06" w:rsidP="00F27E06">
      <w:pPr>
        <w:shd w:val="clear" w:color="auto" w:fill="FFFFFF"/>
        <w:spacing w:before="120" w:line="360" w:lineRule="auto"/>
        <w:jc w:val="left"/>
        <w:rPr>
          <w:rFonts w:cs="Arial"/>
          <w:bCs/>
          <w:iCs/>
          <w:szCs w:val="22"/>
        </w:rPr>
      </w:pPr>
      <w:r w:rsidRPr="00B17FD6">
        <w:rPr>
          <w:rFonts w:cs="Arial"/>
          <w:bCs/>
          <w:iCs/>
          <w:noProof/>
          <w:szCs w:val="22"/>
        </w:rPr>
        <w:drawing>
          <wp:anchor distT="0" distB="0" distL="114300" distR="114300" simplePos="0" relativeHeight="251682816" behindDoc="0" locked="0" layoutInCell="1" allowOverlap="1" wp14:anchorId="214D5D66" wp14:editId="4F909199">
            <wp:simplePos x="0" y="0"/>
            <wp:positionH relativeFrom="column">
              <wp:posOffset>-429895</wp:posOffset>
            </wp:positionH>
            <wp:positionV relativeFrom="paragraph">
              <wp:posOffset>82550</wp:posOffset>
            </wp:positionV>
            <wp:extent cx="3240000" cy="2160000"/>
            <wp:effectExtent l="0" t="0" r="0" b="0"/>
            <wp:wrapSquare wrapText="bothSides"/>
            <wp:docPr id="219221510" name="Obraz 219221510"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michals\Desktop\e86be29c-f0cf-4ade-b7a1-9609e7b95d4f.jfi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3423">
        <w:rPr>
          <w:rFonts w:cs="Arial"/>
          <w:bCs/>
          <w:iCs/>
          <w:szCs w:val="22"/>
        </w:rPr>
        <w:t>W Ostródzie Fundacja Rektorów Polskich 2.06.2025 roku zorganizowała już po raz trzydziesty „Szkołę Zarządzania Strategicznego w szkolnictwie wyższym dla Kanclerzy, Dyrektorów, Kwestorów i</w:t>
      </w:r>
      <w:r>
        <w:rPr>
          <w:rFonts w:cs="Arial"/>
          <w:bCs/>
          <w:iCs/>
          <w:szCs w:val="22"/>
        </w:rPr>
        <w:t> </w:t>
      </w:r>
      <w:r w:rsidRPr="00523423">
        <w:rPr>
          <w:rFonts w:cs="Arial"/>
          <w:bCs/>
          <w:iCs/>
          <w:szCs w:val="22"/>
        </w:rPr>
        <w:t>Głównych Księgowych”.</w:t>
      </w:r>
      <w:r w:rsidRPr="00523423">
        <w:rPr>
          <w:rFonts w:cs="Arial"/>
          <w:bCs/>
          <w:i/>
          <w:iCs/>
          <w:szCs w:val="22"/>
        </w:rPr>
        <w:t xml:space="preserve"> </w:t>
      </w:r>
      <w:r w:rsidRPr="00523423">
        <w:rPr>
          <w:rFonts w:cs="Arial"/>
          <w:bCs/>
          <w:iCs/>
          <w:szCs w:val="22"/>
        </w:rPr>
        <w:t>Szkoły FRP są od szeregu lat organizowane przez Fundację Rektorów Polskich, stanowiąc cenne forum poszerzania wiedzy, wymiany doświadczeń oraz formułowania opinii przez kanclerzy i</w:t>
      </w:r>
      <w:r>
        <w:rPr>
          <w:rFonts w:cs="Arial"/>
          <w:bCs/>
          <w:iCs/>
          <w:szCs w:val="22"/>
        </w:rPr>
        <w:t> </w:t>
      </w:r>
      <w:r w:rsidRPr="00523423">
        <w:rPr>
          <w:rFonts w:cs="Arial"/>
          <w:bCs/>
          <w:iCs/>
          <w:szCs w:val="22"/>
        </w:rPr>
        <w:t>kwestorów uczelni członkowskich Konferencji Rektorów Akademickich Szkół Polskich. W</w:t>
      </w:r>
      <w:r>
        <w:rPr>
          <w:rFonts w:cs="Arial"/>
          <w:bCs/>
          <w:iCs/>
          <w:szCs w:val="22"/>
        </w:rPr>
        <w:t> </w:t>
      </w:r>
      <w:r w:rsidRPr="00523423">
        <w:rPr>
          <w:rFonts w:cs="Arial"/>
          <w:bCs/>
          <w:iCs/>
          <w:szCs w:val="22"/>
        </w:rPr>
        <w:t>spotkaniach regularnie uczestniczą przedstawiciele Urzędu Zamówień Publicznych. W</w:t>
      </w:r>
      <w:r>
        <w:rPr>
          <w:rFonts w:cs="Arial"/>
          <w:bCs/>
          <w:iCs/>
          <w:szCs w:val="22"/>
        </w:rPr>
        <w:t> </w:t>
      </w:r>
      <w:r w:rsidRPr="00523423">
        <w:rPr>
          <w:rFonts w:cs="Arial"/>
          <w:bCs/>
          <w:iCs/>
          <w:szCs w:val="22"/>
        </w:rPr>
        <w:t xml:space="preserve">tym roku w wydarzeniu wziął udział Przemysław Grosfeld, Wiceprezes </w:t>
      </w:r>
      <w:r w:rsidR="004D5A56">
        <w:rPr>
          <w:rFonts w:cs="Arial"/>
          <w:bCs/>
          <w:iCs/>
          <w:szCs w:val="22"/>
        </w:rPr>
        <w:t>Urzędu</w:t>
      </w:r>
      <w:r w:rsidRPr="00523423">
        <w:rPr>
          <w:rFonts w:cs="Arial"/>
          <w:bCs/>
          <w:iCs/>
          <w:szCs w:val="22"/>
        </w:rPr>
        <w:t xml:space="preserve">. W swojej prezentacji przedstawił przyszłe zmiany w </w:t>
      </w:r>
      <w:r w:rsidR="004D5A56">
        <w:rPr>
          <w:rFonts w:cs="Arial"/>
          <w:bCs/>
          <w:iCs/>
          <w:szCs w:val="22"/>
        </w:rPr>
        <w:t>ustawie Pzp</w:t>
      </w:r>
      <w:r w:rsidRPr="00523423">
        <w:rPr>
          <w:rFonts w:cs="Arial"/>
          <w:bCs/>
          <w:iCs/>
          <w:szCs w:val="22"/>
        </w:rPr>
        <w:t xml:space="preserve"> wynikające z toczących się obecnie procesów legislacyjnych. </w:t>
      </w:r>
    </w:p>
    <w:p w14:paraId="16E71628" w14:textId="53C1577A" w:rsidR="00F27E06" w:rsidRPr="00502D43" w:rsidRDefault="00F27E06" w:rsidP="00F27E06">
      <w:pPr>
        <w:pStyle w:val="Nagwek4"/>
      </w:pPr>
      <w:r>
        <w:t xml:space="preserve">11. </w:t>
      </w:r>
      <w:r w:rsidRPr="00502D43">
        <w:t>I Kongres Technologii i Wyrobów Medycznych</w:t>
      </w:r>
    </w:p>
    <w:p w14:paraId="3A49C0F1" w14:textId="77777777" w:rsidR="00F27E06" w:rsidRDefault="00F27E06" w:rsidP="00F27E06">
      <w:pPr>
        <w:shd w:val="clear" w:color="auto" w:fill="FFFFFF"/>
        <w:spacing w:before="120" w:line="360" w:lineRule="auto"/>
        <w:jc w:val="left"/>
        <w:rPr>
          <w:rFonts w:cs="Arial"/>
          <w:bCs/>
          <w:iCs/>
          <w:szCs w:val="22"/>
        </w:rPr>
      </w:pPr>
      <w:r w:rsidRPr="00FD6550">
        <w:rPr>
          <w:rFonts w:cs="Arial"/>
          <w:bCs/>
          <w:iCs/>
          <w:noProof/>
          <w:szCs w:val="22"/>
        </w:rPr>
        <w:drawing>
          <wp:inline distT="0" distB="0" distL="0" distR="0" wp14:anchorId="4370D4B0" wp14:editId="05EDE413">
            <wp:extent cx="5759450" cy="2428875"/>
            <wp:effectExtent l="0" t="0" r="0" b="9525"/>
            <wp:docPr id="219221509" name="Obraz 219221509"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59450" cy="2428875"/>
                    </a:xfrm>
                    <a:prstGeom prst="rect">
                      <a:avLst/>
                    </a:prstGeom>
                  </pic:spPr>
                </pic:pic>
              </a:graphicData>
            </a:graphic>
          </wp:inline>
        </w:drawing>
      </w:r>
    </w:p>
    <w:p w14:paraId="3A7BB12C" w14:textId="77777777"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 xml:space="preserve">Po raz pierwszy z inicjatywy Organizacji Pracodawców Przemysłu Medycznego TECHNOMED oraz </w:t>
      </w:r>
      <w:proofErr w:type="spellStart"/>
      <w:r w:rsidRPr="00523423">
        <w:rPr>
          <w:rFonts w:cs="Arial"/>
          <w:bCs/>
          <w:iCs/>
          <w:szCs w:val="22"/>
        </w:rPr>
        <w:t>EconMed</w:t>
      </w:r>
      <w:proofErr w:type="spellEnd"/>
      <w:r w:rsidRPr="00523423">
        <w:rPr>
          <w:rFonts w:cs="Arial"/>
          <w:bCs/>
          <w:iCs/>
          <w:szCs w:val="22"/>
        </w:rPr>
        <w:t xml:space="preserve"> Europe 4.06.2025 roku w Warszawie odbył się Kongres Technologii i Wyrobów Medycznych. Wydarzenie było w pełni dedykowane rynkowi wyrobów medycznych. Skupiło kluczowych przedstawicieli sektora publicznego, ekspertów z zakresu ochrony zdrowia oraz przemysłu. Dwa dni Kongresu stały się okazją do wymiany doświadczeń, a także sposobnością do dyskusji o przyszłości finansowania, regulacji i</w:t>
      </w:r>
      <w:r>
        <w:rPr>
          <w:rFonts w:cs="Arial"/>
          <w:bCs/>
          <w:iCs/>
          <w:szCs w:val="22"/>
        </w:rPr>
        <w:t> </w:t>
      </w:r>
      <w:r w:rsidRPr="00523423">
        <w:rPr>
          <w:rFonts w:cs="Arial"/>
          <w:bCs/>
          <w:iCs/>
          <w:szCs w:val="22"/>
        </w:rPr>
        <w:t xml:space="preserve">dostępu do nowoczesnych technologii medycznych w Polsce. </w:t>
      </w:r>
    </w:p>
    <w:p w14:paraId="3648B3BC" w14:textId="0371EEFF"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W panelu pn.</w:t>
      </w:r>
      <w:r w:rsidRPr="00523423">
        <w:rPr>
          <w:rFonts w:cs="Arial"/>
          <w:bCs/>
          <w:szCs w:val="22"/>
        </w:rPr>
        <w:t> „Wyroby medyczne w systemie szpitalnym. KPO i jego znaczenie. Reforma systemu zamówień publicznych”</w:t>
      </w:r>
      <w:r w:rsidRPr="00523423">
        <w:rPr>
          <w:rFonts w:cs="Arial"/>
          <w:bCs/>
          <w:iCs/>
          <w:szCs w:val="22"/>
        </w:rPr>
        <w:t xml:space="preserve"> wzięła udział Agnieszka Olszewska, Prezes </w:t>
      </w:r>
      <w:r w:rsidR="004D5A56">
        <w:rPr>
          <w:rFonts w:cs="Arial"/>
          <w:bCs/>
          <w:iCs/>
          <w:szCs w:val="22"/>
        </w:rPr>
        <w:t>Urzędu</w:t>
      </w:r>
      <w:r w:rsidRPr="00523423">
        <w:rPr>
          <w:rFonts w:cs="Arial"/>
          <w:bCs/>
          <w:iCs/>
          <w:szCs w:val="22"/>
        </w:rPr>
        <w:t>. W swoich wypowiedziach podkreśliła m.in. znaczenie edukacji w zakresie stosowania przepisów ustawy Prawo zamówień publicznych, w tym w szczególności poprzez wykorzystanie zaszytych w niej narzędzi realnie poprawiających proces przygotowania dokumentacji przetargowej. </w:t>
      </w:r>
    </w:p>
    <w:p w14:paraId="1E240978" w14:textId="7BA9E12C" w:rsidR="00F27E06" w:rsidRPr="00502D43" w:rsidRDefault="00F27E06" w:rsidP="00F27E06">
      <w:pPr>
        <w:pStyle w:val="Nagwek4"/>
      </w:pPr>
      <w:r>
        <w:t xml:space="preserve">12. </w:t>
      </w:r>
      <w:r w:rsidRPr="00502D43">
        <w:t>W chmurze nad państwem - cyfrowa przyszłość administracji publicznej</w:t>
      </w:r>
    </w:p>
    <w:p w14:paraId="678BEFB9" w14:textId="44EA5001" w:rsidR="00F27E06" w:rsidRPr="00523423" w:rsidRDefault="00F27E06" w:rsidP="00F27E06">
      <w:pPr>
        <w:shd w:val="clear" w:color="auto" w:fill="FFFFFF"/>
        <w:spacing w:before="120" w:line="360" w:lineRule="auto"/>
        <w:jc w:val="left"/>
        <w:rPr>
          <w:rFonts w:cs="Arial"/>
          <w:bCs/>
          <w:iCs/>
          <w:szCs w:val="22"/>
        </w:rPr>
      </w:pPr>
      <w:r w:rsidRPr="008613D0">
        <w:rPr>
          <w:rFonts w:cs="Arial"/>
          <w:bCs/>
          <w:iCs/>
          <w:noProof/>
          <w:szCs w:val="22"/>
        </w:rPr>
        <w:drawing>
          <wp:anchor distT="0" distB="0" distL="114300" distR="114300" simplePos="0" relativeHeight="251681792" behindDoc="0" locked="0" layoutInCell="1" allowOverlap="1" wp14:anchorId="38289F63" wp14:editId="583379F0">
            <wp:simplePos x="0" y="0"/>
            <wp:positionH relativeFrom="column">
              <wp:posOffset>3017520</wp:posOffset>
            </wp:positionH>
            <wp:positionV relativeFrom="paragraph">
              <wp:posOffset>82550</wp:posOffset>
            </wp:positionV>
            <wp:extent cx="3265200" cy="2448000"/>
            <wp:effectExtent l="0" t="0" r="0" b="9525"/>
            <wp:wrapSquare wrapText="bothSides"/>
            <wp:docPr id="219221508" name="Obraz 219221508"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michals\Desktop\ed05ef31-5297-459c-b50b-4624c9759b18.jfi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65200" cy="2448000"/>
                    </a:xfrm>
                    <a:prstGeom prst="rect">
                      <a:avLst/>
                    </a:prstGeom>
                    <a:noFill/>
                    <a:ln>
                      <a:noFill/>
                    </a:ln>
                  </pic:spPr>
                </pic:pic>
              </a:graphicData>
            </a:graphic>
          </wp:anchor>
        </w:drawing>
      </w:r>
      <w:r w:rsidRPr="00523423">
        <w:rPr>
          <w:rFonts w:cs="Arial"/>
          <w:bCs/>
          <w:iCs/>
          <w:szCs w:val="22"/>
        </w:rPr>
        <w:t>W siedzibie Związku Cyfrowa Polska 26.06.2025 roku odbyło się spotkanie pn. "W</w:t>
      </w:r>
      <w:r>
        <w:rPr>
          <w:rFonts w:cs="Arial"/>
          <w:bCs/>
          <w:iCs/>
          <w:szCs w:val="22"/>
        </w:rPr>
        <w:t> </w:t>
      </w:r>
      <w:r w:rsidRPr="00523423">
        <w:rPr>
          <w:rFonts w:cs="Arial"/>
          <w:bCs/>
          <w:iCs/>
          <w:szCs w:val="22"/>
        </w:rPr>
        <w:t xml:space="preserve">chmurze nad państwem - cyfrowa przyszłość administracji publicznej". Podczas wydarzenia zaprezentowany został raport „Polska administracja publiczna w drodze do chmury”, analizujący dotychczasowe doświadczenia sektora publicznego w nabywaniu usług chmurowych. W wydarzeniu wzięła udział Agnieszka Olszewska, Prezes </w:t>
      </w:r>
      <w:r w:rsidR="00826914">
        <w:rPr>
          <w:rFonts w:cs="Arial"/>
          <w:bCs/>
          <w:iCs/>
          <w:szCs w:val="22"/>
        </w:rPr>
        <w:t>Urzędu</w:t>
      </w:r>
      <w:r w:rsidRPr="00523423">
        <w:rPr>
          <w:rFonts w:cs="Arial"/>
          <w:bCs/>
          <w:iCs/>
          <w:szCs w:val="22"/>
        </w:rPr>
        <w:t>. Dyskusja w trakcie spotkania dotyczyła wyzwań, jakie stoją przed zamawiającymi publicznymi w kontekście zakupu usług chmurowych. Uczestnicy wywodzący się z administracji, środowisk naukowych oraz sektora IT potwierdzili konieczność dalszego zwiększania świadomości wśród uczestników rynku zamówień publicznych na temat tego bardzo ważnego sektora usług informatycznych.</w:t>
      </w:r>
    </w:p>
    <w:p w14:paraId="7E786FB5" w14:textId="06AC665D" w:rsidR="00F27E06" w:rsidRPr="00B46B7F" w:rsidRDefault="00F27E06" w:rsidP="00F27E06">
      <w:pPr>
        <w:pStyle w:val="Nagwek4"/>
      </w:pPr>
      <w:r>
        <w:t xml:space="preserve">13. </w:t>
      </w:r>
      <w:r w:rsidRPr="00B46B7F">
        <w:t>Seminarium „Rynek zamówień publicznych w systemie wartości prawa zamówień publicznych”</w:t>
      </w:r>
    </w:p>
    <w:p w14:paraId="6D627B59" w14:textId="244F7E27" w:rsidR="00F27E06" w:rsidRPr="00523423" w:rsidRDefault="00F27E06" w:rsidP="00F27E06">
      <w:pPr>
        <w:shd w:val="clear" w:color="auto" w:fill="FFFFFF"/>
        <w:spacing w:before="120" w:line="360" w:lineRule="auto"/>
        <w:jc w:val="left"/>
        <w:rPr>
          <w:rFonts w:cs="Arial"/>
          <w:bCs/>
          <w:iCs/>
          <w:szCs w:val="22"/>
        </w:rPr>
      </w:pPr>
      <w:r w:rsidRPr="008613D0">
        <w:rPr>
          <w:rFonts w:cs="Arial"/>
          <w:bCs/>
          <w:iCs/>
          <w:noProof/>
          <w:szCs w:val="22"/>
        </w:rPr>
        <w:drawing>
          <wp:anchor distT="0" distB="0" distL="114300" distR="114300" simplePos="0" relativeHeight="251680768" behindDoc="0" locked="0" layoutInCell="1" allowOverlap="1" wp14:anchorId="44CFCDC7" wp14:editId="25C01D1E">
            <wp:simplePos x="0" y="0"/>
            <wp:positionH relativeFrom="column">
              <wp:posOffset>-449580</wp:posOffset>
            </wp:positionH>
            <wp:positionV relativeFrom="paragraph">
              <wp:posOffset>51435</wp:posOffset>
            </wp:positionV>
            <wp:extent cx="3265200" cy="2448000"/>
            <wp:effectExtent l="0" t="0" r="0" b="9525"/>
            <wp:wrapSquare wrapText="bothSides"/>
            <wp:docPr id="219221507" name="Obraz 219221507"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michals\Desktop\e9f2cb4e-a750-4f22-b66a-3d81862f0dc1.jfif"/>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65200" cy="2448000"/>
                    </a:xfrm>
                    <a:prstGeom prst="rect">
                      <a:avLst/>
                    </a:prstGeom>
                    <a:noFill/>
                    <a:ln>
                      <a:noFill/>
                    </a:ln>
                  </pic:spPr>
                </pic:pic>
              </a:graphicData>
            </a:graphic>
          </wp:anchor>
        </w:drawing>
      </w:r>
      <w:r w:rsidRPr="00523423">
        <w:rPr>
          <w:rFonts w:cs="Arial"/>
          <w:bCs/>
          <w:iCs/>
          <w:szCs w:val="22"/>
        </w:rPr>
        <w:t>27.06.2025 roku na Wydziale Prawa i</w:t>
      </w:r>
      <w:r>
        <w:rPr>
          <w:rFonts w:cs="Arial"/>
          <w:bCs/>
          <w:iCs/>
          <w:szCs w:val="22"/>
        </w:rPr>
        <w:t> </w:t>
      </w:r>
      <w:r w:rsidRPr="00523423">
        <w:rPr>
          <w:rFonts w:cs="Arial"/>
          <w:bCs/>
          <w:iCs/>
          <w:szCs w:val="22"/>
        </w:rPr>
        <w:t>Administracji Uniwersytetu Mikołaja Kopernika w Toruniu odbyło się seminarium naukowe „Rynek zamówień publicznych w</w:t>
      </w:r>
      <w:r>
        <w:rPr>
          <w:rFonts w:cs="Arial"/>
          <w:bCs/>
          <w:iCs/>
          <w:szCs w:val="22"/>
        </w:rPr>
        <w:t> </w:t>
      </w:r>
      <w:r w:rsidRPr="00523423">
        <w:rPr>
          <w:rFonts w:cs="Arial"/>
          <w:bCs/>
          <w:iCs/>
          <w:szCs w:val="22"/>
        </w:rPr>
        <w:t>systemie wartości prawa zamówień publicznych”. Było to pierwsze z serii wydarzeń, których kulminacją miała być zaplanowana na 2026 rok Ogólnopolska Konferencja Naukowa „XXX- lecie funkcjonowania zamówień publicznych w</w:t>
      </w:r>
      <w:r>
        <w:rPr>
          <w:rFonts w:cs="Arial"/>
          <w:bCs/>
          <w:iCs/>
          <w:szCs w:val="22"/>
        </w:rPr>
        <w:t> </w:t>
      </w:r>
      <w:r w:rsidRPr="00523423">
        <w:rPr>
          <w:rFonts w:cs="Arial"/>
          <w:bCs/>
          <w:iCs/>
          <w:szCs w:val="22"/>
        </w:rPr>
        <w:t xml:space="preserve">Polsce”. Z ramienia Urzędu Zamówień Publicznych w Seminarium wzięli udział: Agnieszka Olszewska, Prezes </w:t>
      </w:r>
      <w:r w:rsidR="00B35F49" w:rsidRPr="00523423">
        <w:rPr>
          <w:rFonts w:cs="Arial"/>
          <w:bCs/>
          <w:iCs/>
          <w:szCs w:val="22"/>
        </w:rPr>
        <w:t>U</w:t>
      </w:r>
      <w:r w:rsidR="00B35F49">
        <w:rPr>
          <w:rFonts w:cs="Arial"/>
          <w:bCs/>
          <w:iCs/>
          <w:szCs w:val="22"/>
        </w:rPr>
        <w:t>rzędu</w:t>
      </w:r>
      <w:r w:rsidRPr="00523423">
        <w:rPr>
          <w:rFonts w:cs="Arial"/>
          <w:bCs/>
          <w:iCs/>
          <w:szCs w:val="22"/>
        </w:rPr>
        <w:t xml:space="preserve">, Przemysław </w:t>
      </w:r>
      <w:proofErr w:type="spellStart"/>
      <w:r w:rsidRPr="00523423">
        <w:rPr>
          <w:rFonts w:cs="Arial"/>
          <w:bCs/>
          <w:iCs/>
          <w:szCs w:val="22"/>
        </w:rPr>
        <w:t>Grosfled</w:t>
      </w:r>
      <w:proofErr w:type="spellEnd"/>
      <w:r w:rsidRPr="00523423">
        <w:rPr>
          <w:rFonts w:cs="Arial"/>
          <w:bCs/>
          <w:iCs/>
          <w:szCs w:val="22"/>
        </w:rPr>
        <w:t xml:space="preserve">, Wiceprezes </w:t>
      </w:r>
      <w:r w:rsidR="003317EC" w:rsidRPr="00523423">
        <w:rPr>
          <w:rFonts w:cs="Arial"/>
          <w:bCs/>
          <w:iCs/>
          <w:szCs w:val="22"/>
        </w:rPr>
        <w:t>U</w:t>
      </w:r>
      <w:r w:rsidR="003317EC">
        <w:rPr>
          <w:rFonts w:cs="Arial"/>
          <w:bCs/>
          <w:iCs/>
          <w:szCs w:val="22"/>
        </w:rPr>
        <w:t>rzędu</w:t>
      </w:r>
      <w:r w:rsidR="003317EC" w:rsidRPr="00523423">
        <w:rPr>
          <w:rFonts w:cs="Arial"/>
          <w:bCs/>
          <w:iCs/>
          <w:szCs w:val="22"/>
        </w:rPr>
        <w:t xml:space="preserve"> </w:t>
      </w:r>
      <w:r w:rsidRPr="00523423">
        <w:rPr>
          <w:rFonts w:cs="Arial"/>
          <w:bCs/>
          <w:iCs/>
          <w:szCs w:val="22"/>
        </w:rPr>
        <w:t>oraz Anna Dunajewska-Bańka, Naczelnik Wydziału Legislacji w</w:t>
      </w:r>
      <w:r>
        <w:rPr>
          <w:rFonts w:cs="Arial"/>
          <w:bCs/>
          <w:iCs/>
          <w:szCs w:val="22"/>
        </w:rPr>
        <w:t> </w:t>
      </w:r>
      <w:r w:rsidRPr="00523423">
        <w:rPr>
          <w:rFonts w:cs="Arial"/>
          <w:bCs/>
          <w:iCs/>
          <w:szCs w:val="22"/>
        </w:rPr>
        <w:t xml:space="preserve">Departamencie Prawnym. Zaproszeni naukowcy dzielili się swoimi refleksjami na temat wybranych zagadnień w ramach trzech paneli tematycznych: (1) Dostęp do rynku zamówień publicznych w systemie wartości prawa zamówień publicznych, (2) Europejski rynek zamówień publicznych. Zagadnienia wybrane, (3) Wybrane zagadnienia systemu zamówień publicznych. </w:t>
      </w:r>
    </w:p>
    <w:p w14:paraId="7622E443" w14:textId="5573C511" w:rsidR="00F27E06" w:rsidRPr="00A602E9" w:rsidRDefault="00F27E06" w:rsidP="00F27E06">
      <w:pPr>
        <w:pStyle w:val="Nagwek4"/>
      </w:pPr>
      <w:r>
        <w:t xml:space="preserve">14. </w:t>
      </w:r>
      <w:r w:rsidRPr="00A602E9">
        <w:t>XXXIV Forum Ekonomiczne</w:t>
      </w:r>
    </w:p>
    <w:p w14:paraId="339BE3F0" w14:textId="77777777" w:rsidR="00F27E06" w:rsidRDefault="00F27E06" w:rsidP="00F27E06">
      <w:pPr>
        <w:shd w:val="clear" w:color="auto" w:fill="FFFFFF"/>
        <w:spacing w:before="120" w:line="360" w:lineRule="auto"/>
        <w:jc w:val="left"/>
        <w:rPr>
          <w:rFonts w:cs="Arial"/>
          <w:bCs/>
          <w:iCs/>
          <w:szCs w:val="22"/>
        </w:rPr>
      </w:pPr>
      <w:r w:rsidRPr="00817E97">
        <w:rPr>
          <w:rFonts w:cs="Arial"/>
          <w:bCs/>
          <w:iCs/>
          <w:noProof/>
          <w:szCs w:val="22"/>
        </w:rPr>
        <w:drawing>
          <wp:inline distT="0" distB="0" distL="0" distR="0" wp14:anchorId="3392BB6A" wp14:editId="5E37453C">
            <wp:extent cx="5759450" cy="2444750"/>
            <wp:effectExtent l="0" t="0" r="0" b="0"/>
            <wp:docPr id="219221506" name="Obraz 219221506"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59450" cy="2444750"/>
                    </a:xfrm>
                    <a:prstGeom prst="rect">
                      <a:avLst/>
                    </a:prstGeom>
                  </pic:spPr>
                </pic:pic>
              </a:graphicData>
            </a:graphic>
          </wp:inline>
        </w:drawing>
      </w:r>
    </w:p>
    <w:p w14:paraId="7E8442EE" w14:textId="18A768B9"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W dniach 2-4 września 2025 roku w Karpaczu odbyła się XXXIV edycja Forum Ekonomicznego. Jak co roku było to miejsce spotkań, dyskusji na temat bieżących i</w:t>
      </w:r>
      <w:r>
        <w:rPr>
          <w:rFonts w:cs="Arial"/>
          <w:bCs/>
          <w:iCs/>
          <w:szCs w:val="22"/>
        </w:rPr>
        <w:t> </w:t>
      </w:r>
      <w:r w:rsidRPr="00523423">
        <w:rPr>
          <w:rFonts w:cs="Arial"/>
          <w:bCs/>
          <w:iCs/>
          <w:szCs w:val="22"/>
        </w:rPr>
        <w:t xml:space="preserve">przyszłych wyzwań rodzimej gospodarki. Z uwagi na istotny udział, jaki w ramach polskiego PKB stanowią zamówienia publiczne, w dyskusjach nie zabrakło ważnych wątków z punktu widzenia wszystkich uczestników zamówieniowego rynku. W trzech panelowych dyskusjach wzięła udział Agnieszka Olszewska, Prezes </w:t>
      </w:r>
      <w:r w:rsidR="003317EC" w:rsidRPr="00523423">
        <w:rPr>
          <w:rFonts w:cs="Arial"/>
          <w:bCs/>
          <w:iCs/>
          <w:szCs w:val="22"/>
        </w:rPr>
        <w:t>U</w:t>
      </w:r>
      <w:r w:rsidR="003317EC">
        <w:rPr>
          <w:rFonts w:cs="Arial"/>
          <w:bCs/>
          <w:iCs/>
          <w:szCs w:val="22"/>
        </w:rPr>
        <w:t>rzędu</w:t>
      </w:r>
      <w:r w:rsidRPr="00523423">
        <w:rPr>
          <w:rFonts w:cs="Arial"/>
          <w:bCs/>
          <w:iCs/>
          <w:szCs w:val="22"/>
        </w:rPr>
        <w:t>. </w:t>
      </w:r>
    </w:p>
    <w:p w14:paraId="33088F03" w14:textId="77777777" w:rsidR="00F27E06" w:rsidRPr="006445B6" w:rsidRDefault="00F27E06" w:rsidP="00F27E06">
      <w:pPr>
        <w:shd w:val="clear" w:color="auto" w:fill="FFFFFF"/>
        <w:spacing w:before="120" w:line="360" w:lineRule="auto"/>
        <w:jc w:val="left"/>
        <w:rPr>
          <w:rFonts w:cs="Arial"/>
          <w:iCs/>
          <w:color w:val="0070C0"/>
          <w:szCs w:val="22"/>
        </w:rPr>
      </w:pPr>
      <w:r w:rsidRPr="006445B6">
        <w:rPr>
          <w:rFonts w:cs="Arial"/>
          <w:iCs/>
          <w:color w:val="0070C0"/>
          <w:szCs w:val="22"/>
        </w:rPr>
        <w:t>„Siła budownictwa w polskiej gospodarce”</w:t>
      </w:r>
    </w:p>
    <w:p w14:paraId="6A6324F4" w14:textId="77777777"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 xml:space="preserve">Panel poświęcony był strategicznej roli sektora budowlanego jako jednego z głównych motorów wzrostu gospodarczego w Polsce. Uczestnicy dyskusji przyjrzeli się wpływowi branży na tworzenie miejsc pracy, rozwój innowacji i technologii, a także jej znaczeniu dla stabilności finansów publicznych poprzez generowanie podatków i inwestycji. </w:t>
      </w:r>
    </w:p>
    <w:p w14:paraId="788D8DB0" w14:textId="77777777" w:rsidR="00F27E06" w:rsidRPr="006445B6" w:rsidRDefault="00F27E06" w:rsidP="00F27E06">
      <w:pPr>
        <w:shd w:val="clear" w:color="auto" w:fill="FFFFFF"/>
        <w:spacing w:before="120" w:line="360" w:lineRule="auto"/>
        <w:jc w:val="left"/>
        <w:rPr>
          <w:rFonts w:cs="Arial"/>
          <w:iCs/>
          <w:color w:val="0070C0"/>
          <w:szCs w:val="22"/>
        </w:rPr>
      </w:pPr>
      <w:r w:rsidRPr="006445B6">
        <w:rPr>
          <w:rFonts w:cs="Arial"/>
          <w:iCs/>
          <w:color w:val="0070C0"/>
          <w:szCs w:val="22"/>
        </w:rPr>
        <w:t>„</w:t>
      </w:r>
      <w:proofErr w:type="spellStart"/>
      <w:r w:rsidRPr="006445B6">
        <w:rPr>
          <w:rFonts w:cs="Arial"/>
          <w:iCs/>
          <w:color w:val="0070C0"/>
          <w:szCs w:val="22"/>
        </w:rPr>
        <w:t>Made</w:t>
      </w:r>
      <w:proofErr w:type="spellEnd"/>
      <w:r w:rsidRPr="006445B6">
        <w:rPr>
          <w:rFonts w:cs="Arial"/>
          <w:iCs/>
          <w:color w:val="0070C0"/>
          <w:szCs w:val="22"/>
        </w:rPr>
        <w:t xml:space="preserve"> in Poland: cyfrowa siła na globalnym rynku”</w:t>
      </w:r>
    </w:p>
    <w:p w14:paraId="69818C1A" w14:textId="77777777"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Debata organizowana przez Związek Cyfrowa Polska była okazją do poszukania odpowiedzi na pytanie, jak budować globalną konkurencyjność polskiej gospodarki cyfrowej. W</w:t>
      </w:r>
      <w:r>
        <w:rPr>
          <w:rFonts w:cs="Arial"/>
          <w:bCs/>
          <w:iCs/>
          <w:szCs w:val="22"/>
        </w:rPr>
        <w:t> </w:t>
      </w:r>
      <w:r w:rsidRPr="00523423">
        <w:rPr>
          <w:rFonts w:cs="Arial"/>
          <w:bCs/>
          <w:iCs/>
          <w:szCs w:val="22"/>
        </w:rPr>
        <w:t xml:space="preserve">kontekście tematu dyskusji poruszano także zagadnienia udziału polskich wykonawców w postępowaniach o zamówienia publiczne za granicą. </w:t>
      </w:r>
    </w:p>
    <w:p w14:paraId="29E8A254" w14:textId="77777777" w:rsidR="00F27E06" w:rsidRPr="006445B6" w:rsidRDefault="00F27E06" w:rsidP="00F27E06">
      <w:pPr>
        <w:shd w:val="clear" w:color="auto" w:fill="FFFFFF"/>
        <w:spacing w:before="120" w:line="360" w:lineRule="auto"/>
        <w:jc w:val="left"/>
        <w:rPr>
          <w:rFonts w:cs="Arial"/>
          <w:iCs/>
          <w:color w:val="0070C0"/>
          <w:szCs w:val="22"/>
        </w:rPr>
      </w:pPr>
      <w:r w:rsidRPr="006445B6">
        <w:rPr>
          <w:rFonts w:cs="Arial"/>
          <w:iCs/>
          <w:color w:val="0070C0"/>
          <w:szCs w:val="22"/>
        </w:rPr>
        <w:t>„Repolonizacja zamówień publicznych – rzeczywistość czy teoria?”</w:t>
      </w:r>
    </w:p>
    <w:p w14:paraId="5CA84509" w14:textId="696950C7"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Debata zorganizowana przez Dziennik Gazetę Prawną</w:t>
      </w:r>
      <w:r w:rsidR="00326395">
        <w:rPr>
          <w:rFonts w:cs="Arial"/>
          <w:bCs/>
          <w:iCs/>
          <w:szCs w:val="22"/>
        </w:rPr>
        <w:t xml:space="preserve"> </w:t>
      </w:r>
      <w:r w:rsidRPr="00523423">
        <w:rPr>
          <w:rFonts w:cs="Arial"/>
          <w:bCs/>
          <w:iCs/>
          <w:szCs w:val="22"/>
        </w:rPr>
        <w:t xml:space="preserve">była poświęcona aktualnym tendencjom w polityce zamówień publicznych w Polsce, ze szczególnym uwzględnieniem koncepcji repolonizacji i jej wpływu na rynek. W trakcie dyskusji uwzględniono zarówno aspekty prawne, ekonomiczne, jak i praktyczne przykłady. Odniesiono się również do ostatniej nowelizacji </w:t>
      </w:r>
      <w:r w:rsidR="00C0010D">
        <w:rPr>
          <w:rFonts w:cs="Arial"/>
          <w:bCs/>
          <w:iCs/>
          <w:szCs w:val="22"/>
        </w:rPr>
        <w:t xml:space="preserve">ustawy </w:t>
      </w:r>
      <w:r w:rsidR="00C0010D" w:rsidRPr="00523423">
        <w:rPr>
          <w:rFonts w:cs="Arial"/>
          <w:bCs/>
          <w:iCs/>
          <w:szCs w:val="22"/>
        </w:rPr>
        <w:t>Praw</w:t>
      </w:r>
      <w:r w:rsidR="00C0010D">
        <w:rPr>
          <w:rFonts w:cs="Arial"/>
          <w:bCs/>
          <w:iCs/>
          <w:szCs w:val="22"/>
        </w:rPr>
        <w:t>o</w:t>
      </w:r>
      <w:r w:rsidR="00C0010D" w:rsidRPr="00523423">
        <w:rPr>
          <w:rFonts w:cs="Arial"/>
          <w:bCs/>
          <w:iCs/>
          <w:szCs w:val="22"/>
        </w:rPr>
        <w:t xml:space="preserve"> </w:t>
      </w:r>
      <w:r w:rsidRPr="00523423">
        <w:rPr>
          <w:rFonts w:cs="Arial"/>
          <w:bCs/>
          <w:iCs/>
          <w:szCs w:val="22"/>
        </w:rPr>
        <w:t xml:space="preserve">zamówień publicznych, która dotyczy udziału w postępowaniach wykonawców z państw trzecich niebędących stronami umów międzynarodowych. </w:t>
      </w:r>
    </w:p>
    <w:p w14:paraId="3E6D3FEA" w14:textId="6A3AB065" w:rsidR="00F27E06" w:rsidRPr="00231BA3" w:rsidRDefault="00F27E06" w:rsidP="00F27E06">
      <w:pPr>
        <w:pStyle w:val="Nagwek4"/>
      </w:pPr>
      <w:r>
        <w:t xml:space="preserve">15. </w:t>
      </w:r>
      <w:r w:rsidRPr="00231BA3">
        <w:t>XX Forum Przetargów Publicznych</w:t>
      </w:r>
    </w:p>
    <w:p w14:paraId="0039BF17" w14:textId="77777777" w:rsidR="00F27E06" w:rsidRDefault="00F27E06" w:rsidP="00F27E06">
      <w:pPr>
        <w:shd w:val="clear" w:color="auto" w:fill="FFFFFF"/>
        <w:spacing w:before="120" w:line="360" w:lineRule="auto"/>
        <w:jc w:val="left"/>
        <w:rPr>
          <w:rFonts w:cs="Arial"/>
          <w:bCs/>
          <w:iCs/>
          <w:szCs w:val="22"/>
        </w:rPr>
      </w:pPr>
      <w:r w:rsidRPr="00FE0F71">
        <w:rPr>
          <w:rFonts w:cs="Arial"/>
          <w:bCs/>
          <w:iCs/>
          <w:noProof/>
          <w:szCs w:val="22"/>
        </w:rPr>
        <w:drawing>
          <wp:inline distT="0" distB="0" distL="0" distR="0" wp14:anchorId="0BC27488" wp14:editId="57915085">
            <wp:extent cx="5759450" cy="2448560"/>
            <wp:effectExtent l="0" t="0" r="0" b="8890"/>
            <wp:docPr id="219221505" name="Obraz 219221505"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59450" cy="2448560"/>
                    </a:xfrm>
                    <a:prstGeom prst="rect">
                      <a:avLst/>
                    </a:prstGeom>
                  </pic:spPr>
                </pic:pic>
              </a:graphicData>
            </a:graphic>
          </wp:inline>
        </w:drawing>
      </w:r>
    </w:p>
    <w:p w14:paraId="426488FB" w14:textId="0B6A770F"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15.10.2025 roku w Jachrance już po raz 20 odbyło się </w:t>
      </w:r>
      <w:r w:rsidRPr="00523423">
        <w:rPr>
          <w:rFonts w:cs="Arial"/>
          <w:iCs/>
          <w:szCs w:val="22"/>
        </w:rPr>
        <w:t>Forum Przetargów Publicznych - platforma</w:t>
      </w:r>
      <w:r w:rsidRPr="00523423">
        <w:rPr>
          <w:rFonts w:cs="Arial"/>
          <w:bCs/>
          <w:iCs/>
          <w:szCs w:val="22"/>
        </w:rPr>
        <w:t xml:space="preserve"> wymiany wiedzy i doświadczeń dla wszystkich uczestników rynku zamówień publicznych. Honorowy patronat nad wydarzeniem objął Prezes Urzędu. Wśród uczestników i </w:t>
      </w:r>
      <w:proofErr w:type="spellStart"/>
      <w:r w:rsidRPr="00523423">
        <w:rPr>
          <w:rFonts w:cs="Arial"/>
          <w:bCs/>
          <w:iCs/>
          <w:szCs w:val="22"/>
        </w:rPr>
        <w:t>panelistów</w:t>
      </w:r>
      <w:proofErr w:type="spellEnd"/>
      <w:r w:rsidRPr="00523423">
        <w:rPr>
          <w:rFonts w:cs="Arial"/>
          <w:bCs/>
          <w:iCs/>
          <w:szCs w:val="22"/>
        </w:rPr>
        <w:t xml:space="preserve"> byli obecni przedstawiciele Urzędu. Wykład inauguracyjny wygłosiła Agnieszka Olszewska, Prezes </w:t>
      </w:r>
      <w:r w:rsidR="00A016EC" w:rsidRPr="00523423">
        <w:rPr>
          <w:rFonts w:cs="Arial"/>
          <w:bCs/>
          <w:iCs/>
          <w:szCs w:val="22"/>
        </w:rPr>
        <w:t>U</w:t>
      </w:r>
      <w:r w:rsidR="00A016EC">
        <w:rPr>
          <w:rFonts w:cs="Arial"/>
          <w:bCs/>
          <w:iCs/>
          <w:szCs w:val="22"/>
        </w:rPr>
        <w:t>rzędu</w:t>
      </w:r>
      <w:r w:rsidRPr="00523423">
        <w:rPr>
          <w:rFonts w:cs="Arial"/>
          <w:bCs/>
          <w:iCs/>
          <w:szCs w:val="22"/>
        </w:rPr>
        <w:t>, która zaprezentowała ok. 400 uczestnikom wydarzenia temat najważniejszych aspektów zarządzania zakupami publicznymi. W dalszej części odbyły się dwa panele dyskusyjne, także z udziałem reprezentantów Urzędu. W dyskusji dotyczącej wpływu doświadczeń praktycznych na nowelizacje ustawy Prawo zamówień publicznych i transformację rynku zamówień publicznych wzięła udział Izabela Fundowicz, Dyrektor Departamentu Prawnego. Z</w:t>
      </w:r>
      <w:r>
        <w:rPr>
          <w:rFonts w:cs="Arial"/>
          <w:bCs/>
          <w:iCs/>
          <w:szCs w:val="22"/>
        </w:rPr>
        <w:t> </w:t>
      </w:r>
      <w:r w:rsidRPr="00523423">
        <w:rPr>
          <w:rFonts w:cs="Arial"/>
          <w:bCs/>
          <w:iCs/>
          <w:szCs w:val="22"/>
        </w:rPr>
        <w:t>kolei w o wpływie rozwoju technologii na rynek zamówień publicznych rozmawiał Robert Król, Dyrektor Departamentu Danych i Informatyzacji.</w:t>
      </w:r>
    </w:p>
    <w:p w14:paraId="25E7E4CC" w14:textId="11E46EC2" w:rsidR="00F27E06" w:rsidRPr="00EB3225" w:rsidRDefault="00F27E06" w:rsidP="00F27E06">
      <w:pPr>
        <w:pStyle w:val="Nagwek4"/>
      </w:pPr>
      <w:r>
        <w:t xml:space="preserve">16. </w:t>
      </w:r>
      <w:r w:rsidRPr="00EB3225">
        <w:t>Kongres Bankowości Korporacyjnej i Inwestycyjnej</w:t>
      </w:r>
    </w:p>
    <w:p w14:paraId="4C411F47" w14:textId="0E6635F2" w:rsidR="00F27E06" w:rsidRPr="00523423" w:rsidRDefault="00F27E06" w:rsidP="00F27E06">
      <w:pPr>
        <w:shd w:val="clear" w:color="auto" w:fill="FFFFFF"/>
        <w:spacing w:before="120" w:line="360" w:lineRule="auto"/>
        <w:jc w:val="left"/>
        <w:rPr>
          <w:rFonts w:cs="Arial"/>
          <w:bCs/>
          <w:iCs/>
          <w:szCs w:val="22"/>
        </w:rPr>
      </w:pPr>
      <w:r w:rsidRPr="00556369">
        <w:rPr>
          <w:rFonts w:cs="Arial"/>
          <w:iCs/>
          <w:noProof/>
          <w:szCs w:val="22"/>
        </w:rPr>
        <w:drawing>
          <wp:anchor distT="0" distB="0" distL="114300" distR="114300" simplePos="0" relativeHeight="251679744" behindDoc="0" locked="0" layoutInCell="1" allowOverlap="1" wp14:anchorId="3556D4F7" wp14:editId="19898EC7">
            <wp:simplePos x="0" y="0"/>
            <wp:positionH relativeFrom="column">
              <wp:posOffset>2598420</wp:posOffset>
            </wp:positionH>
            <wp:positionV relativeFrom="paragraph">
              <wp:posOffset>31750</wp:posOffset>
            </wp:positionV>
            <wp:extent cx="3474000" cy="2314800"/>
            <wp:effectExtent l="0" t="0" r="0" b="0"/>
            <wp:wrapSquare wrapText="bothSides"/>
            <wp:docPr id="219221504" name="Obraz 219221504"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michals\Desktop\2566ec89-17c9-406d-9650-e45b614b238a.jfif"/>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474000" cy="231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3423">
        <w:rPr>
          <w:rFonts w:cs="Arial"/>
          <w:iCs/>
          <w:szCs w:val="22"/>
        </w:rPr>
        <w:t xml:space="preserve">Agnieszka Olszewska, Prezes </w:t>
      </w:r>
      <w:r w:rsidR="009A41E2">
        <w:rPr>
          <w:rFonts w:cs="Arial"/>
          <w:iCs/>
          <w:szCs w:val="22"/>
        </w:rPr>
        <w:t>Urzędu</w:t>
      </w:r>
      <w:r w:rsidR="009A41E2" w:rsidRPr="00523423">
        <w:rPr>
          <w:rFonts w:cs="Arial"/>
          <w:iCs/>
          <w:szCs w:val="22"/>
        </w:rPr>
        <w:t xml:space="preserve"> </w:t>
      </w:r>
      <w:r w:rsidRPr="00523423">
        <w:rPr>
          <w:rFonts w:cs="Arial"/>
          <w:iCs/>
          <w:szCs w:val="22"/>
        </w:rPr>
        <w:t>uczestniczyła w debacie o inwestycjach i standaryzacji kontraktów podczas Kongresu Bankowości Korporacyjnej i Inwestycyjnej, który odbył się 13.11.2025 roku w siedzibie Giełdy Papierów Wartościowych w Warszawie. Panel pt. „Inwestycje infrastrukturalne</w:t>
      </w:r>
      <w:r w:rsidRPr="00523423">
        <w:rPr>
          <w:rFonts w:cs="Arial"/>
          <w:bCs/>
          <w:iCs/>
          <w:szCs w:val="22"/>
        </w:rPr>
        <w:t xml:space="preserve"> – zamówienia publiczne – budowa polskiego kapitału” dotyczył roli zamówień publicznych w realizacji strategii gospodarczej państwa oraz wyzwań związanych z finansowaniem i realizacją dużych projektów infrastrukturalnych. W trakcie dyskusji zwrócono uwagę na znaczenie standaryzacji warunków kontraktowych oraz budowania potencjału finansowego polskich przedsiębiorstw wykonujących zamówienia publiczne. Pani Prezes podkreśliła znaczenie przejrzystego systemu zamówień publicznych jako fundamentu bezpieczeństwa inwestycyjnego i rozwoju polskiego kapitału w sektorze infrastrukturalnym.</w:t>
      </w:r>
    </w:p>
    <w:p w14:paraId="7959D755" w14:textId="3B5B3E6E" w:rsidR="00F27E06" w:rsidRPr="00EB3225" w:rsidRDefault="00F27E06" w:rsidP="00F27E06">
      <w:pPr>
        <w:pStyle w:val="Nagwek4"/>
      </w:pPr>
      <w:r>
        <w:t xml:space="preserve">17. </w:t>
      </w:r>
      <w:r w:rsidRPr="00EB3225">
        <w:t>Ogólnopolskie Forum Ekonomii Społecznej</w:t>
      </w:r>
    </w:p>
    <w:p w14:paraId="06A6D157" w14:textId="1037D743" w:rsidR="00F27E06" w:rsidRPr="00523423" w:rsidRDefault="00F27E06" w:rsidP="00F27E06">
      <w:pPr>
        <w:shd w:val="clear" w:color="auto" w:fill="FFFFFF"/>
        <w:spacing w:before="120" w:line="360" w:lineRule="auto"/>
        <w:jc w:val="left"/>
        <w:rPr>
          <w:rFonts w:cs="Arial"/>
          <w:bCs/>
          <w:iCs/>
          <w:szCs w:val="22"/>
        </w:rPr>
      </w:pPr>
      <w:r w:rsidRPr="00F10D1E">
        <w:rPr>
          <w:rFonts w:cs="Arial"/>
          <w:iCs/>
          <w:noProof/>
          <w:szCs w:val="22"/>
        </w:rPr>
        <w:drawing>
          <wp:anchor distT="0" distB="0" distL="114300" distR="114300" simplePos="0" relativeHeight="251678720" behindDoc="0" locked="0" layoutInCell="1" allowOverlap="1" wp14:anchorId="0A6DF356" wp14:editId="530A6045">
            <wp:simplePos x="0" y="0"/>
            <wp:positionH relativeFrom="column">
              <wp:posOffset>-436880</wp:posOffset>
            </wp:positionH>
            <wp:positionV relativeFrom="paragraph">
              <wp:posOffset>0</wp:posOffset>
            </wp:positionV>
            <wp:extent cx="3459600" cy="2304000"/>
            <wp:effectExtent l="0" t="0" r="7620" b="1270"/>
            <wp:wrapSquare wrapText="bothSides"/>
            <wp:docPr id="31" name="Obraz 31"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michals\Desktop\ebc2a775-0d9b-4e2a-952b-73f6f4a09845.jfif"/>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459600" cy="2304000"/>
                    </a:xfrm>
                    <a:prstGeom prst="rect">
                      <a:avLst/>
                    </a:prstGeom>
                    <a:noFill/>
                    <a:ln>
                      <a:noFill/>
                    </a:ln>
                  </pic:spPr>
                </pic:pic>
              </a:graphicData>
            </a:graphic>
          </wp:anchor>
        </w:drawing>
      </w:r>
      <w:r w:rsidRPr="00523423">
        <w:rPr>
          <w:rFonts w:cs="Arial"/>
          <w:iCs/>
          <w:szCs w:val="22"/>
        </w:rPr>
        <w:t xml:space="preserve">14.11.2025 r. Agnieszka Olszewska, Prezes Urzędu, uczestniczyła w panelu dyskusyjnym podczas Ogólnopolskiego Forum Ekonomii Społecznej. Sesja poświęcona była skutecznemu wykorzystaniu społecznych zamówień publicznych na rzecz rozwoju ekonomii społecznej w Polsce. W trakcie dyskusji Prezes </w:t>
      </w:r>
      <w:r w:rsidR="009A41E2" w:rsidRPr="00523423">
        <w:rPr>
          <w:rFonts w:cs="Arial"/>
          <w:iCs/>
          <w:szCs w:val="22"/>
        </w:rPr>
        <w:t>U</w:t>
      </w:r>
      <w:r w:rsidR="009A41E2">
        <w:rPr>
          <w:rFonts w:cs="Arial"/>
          <w:iCs/>
          <w:szCs w:val="22"/>
        </w:rPr>
        <w:t>rzędu</w:t>
      </w:r>
      <w:r w:rsidR="009A41E2" w:rsidRPr="00523423">
        <w:rPr>
          <w:rFonts w:cs="Arial"/>
          <w:iCs/>
          <w:szCs w:val="22"/>
        </w:rPr>
        <w:t xml:space="preserve"> </w:t>
      </w:r>
      <w:r w:rsidRPr="00523423">
        <w:rPr>
          <w:rFonts w:cs="Arial"/>
          <w:iCs/>
          <w:szCs w:val="22"/>
        </w:rPr>
        <w:t>podkreśliła, że uwzględnianie aspektów społecznych w zamówieniach publicznych przynosi istotne korzyści dla państwa, zamawiających i obywateli. Wskazała, że klauzule społeczne wzmacniają rolę zamówień jako narzędzia polityki społecznej – wspierają aktywizację zawodową osób zagrożonych wykluczeniem, promują godne warunki pracy, etyczny handel oraz dostępność usług i</w:t>
      </w:r>
      <w:r>
        <w:rPr>
          <w:rFonts w:cs="Arial"/>
          <w:iCs/>
          <w:szCs w:val="22"/>
        </w:rPr>
        <w:t> </w:t>
      </w:r>
      <w:r w:rsidRPr="00523423">
        <w:rPr>
          <w:rFonts w:cs="Arial"/>
          <w:iCs/>
          <w:szCs w:val="22"/>
        </w:rPr>
        <w:t>infrastruktury dla wszystkich użytkowników. W trakcie panelu Pani Prezes zwróciła uwagę, że zamówienia publiczne mogą realnie wspierać ekonomię społeczną, m.in. poprzez stosowanie zamówień zastrzeżonych dla podmiotów ekonomii społecznej. Podkreśliła, że środki wydatkowane w ramach zamówień publicznych to istotny instrument realizacji celów państwa, a udzielanie zamówień takim podmiotom generuje realną wartość dodaną – zysk przeznaczany jest na reintegrację społeczną i zawodową pracowników. W prelekcji nie zabrakło również odniesienia się do działań podejmowanych przez Urząd. Pani Prezes podkreśliła, że UZP prowadzi szerokie działania edukacyjne wspierające zamawiających w stosowaniu klauzul społecznych i instrumentów zastrzeżonych. Urząd promuje także praktyczne przykłady społecznie odpowiedzialnych zamówień</w:t>
      </w:r>
      <w:r w:rsidRPr="00523423">
        <w:rPr>
          <w:rFonts w:cs="Arial"/>
          <w:bCs/>
          <w:iCs/>
          <w:szCs w:val="22"/>
        </w:rPr>
        <w:t>, aby inspirować instytucje publiczne do świadomego korzystania z dostępnych narzędzi.</w:t>
      </w:r>
    </w:p>
    <w:p w14:paraId="48B9BB04" w14:textId="31A17DD7" w:rsidR="00F27E06" w:rsidRPr="00FD2BFC" w:rsidRDefault="00F27E06" w:rsidP="00F27E06">
      <w:pPr>
        <w:pStyle w:val="Nagwek4"/>
      </w:pPr>
      <w:r>
        <w:t xml:space="preserve">18. </w:t>
      </w:r>
      <w:r w:rsidRPr="00FD2BFC">
        <w:t>Wyzwania rynku zamówień publicznych w energetyce</w:t>
      </w:r>
    </w:p>
    <w:p w14:paraId="18485C13" w14:textId="2F9443AC" w:rsidR="00F27E06" w:rsidRPr="00523423" w:rsidRDefault="00F27E06" w:rsidP="00F27E06">
      <w:pPr>
        <w:shd w:val="clear" w:color="auto" w:fill="FFFFFF"/>
        <w:spacing w:before="120" w:line="360" w:lineRule="auto"/>
        <w:jc w:val="left"/>
        <w:rPr>
          <w:rFonts w:cs="Arial"/>
          <w:bCs/>
          <w:iCs/>
          <w:szCs w:val="22"/>
        </w:rPr>
      </w:pPr>
      <w:r w:rsidRPr="007B6791">
        <w:rPr>
          <w:rFonts w:cs="Arial"/>
          <w:bCs/>
          <w:iCs/>
          <w:noProof/>
          <w:szCs w:val="22"/>
        </w:rPr>
        <w:drawing>
          <wp:anchor distT="0" distB="0" distL="114300" distR="114300" simplePos="0" relativeHeight="251677696" behindDoc="0" locked="0" layoutInCell="1" allowOverlap="1" wp14:anchorId="696CEDC6" wp14:editId="771ED953">
            <wp:simplePos x="0" y="0"/>
            <wp:positionH relativeFrom="column">
              <wp:posOffset>2712720</wp:posOffset>
            </wp:positionH>
            <wp:positionV relativeFrom="paragraph">
              <wp:posOffset>79375</wp:posOffset>
            </wp:positionV>
            <wp:extent cx="3664800" cy="2379600"/>
            <wp:effectExtent l="0" t="0" r="0" b="1905"/>
            <wp:wrapSquare wrapText="bothSides"/>
            <wp:docPr id="30" name="Obraz 30"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michals\Desktop\42e609b8-949f-46ec-8353-892fade30a78.jfif"/>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64800" cy="2379600"/>
                    </a:xfrm>
                    <a:prstGeom prst="rect">
                      <a:avLst/>
                    </a:prstGeom>
                    <a:noFill/>
                    <a:ln>
                      <a:noFill/>
                    </a:ln>
                  </pic:spPr>
                </pic:pic>
              </a:graphicData>
            </a:graphic>
          </wp:anchor>
        </w:drawing>
      </w:r>
      <w:r w:rsidRPr="00523423">
        <w:rPr>
          <w:rFonts w:cs="Arial"/>
          <w:bCs/>
          <w:iCs/>
          <w:szCs w:val="22"/>
        </w:rPr>
        <w:t>19.11.2025 r.</w:t>
      </w:r>
      <w:r w:rsidR="00326395">
        <w:rPr>
          <w:rFonts w:cs="Arial"/>
          <w:bCs/>
          <w:iCs/>
          <w:szCs w:val="22"/>
        </w:rPr>
        <w:t xml:space="preserve"> </w:t>
      </w:r>
      <w:r>
        <w:rPr>
          <w:rFonts w:cs="Arial"/>
          <w:bCs/>
          <w:iCs/>
          <w:szCs w:val="22"/>
        </w:rPr>
        <w:t>P</w:t>
      </w:r>
      <w:r w:rsidRPr="00523423">
        <w:rPr>
          <w:rFonts w:cs="Arial"/>
          <w:bCs/>
          <w:iCs/>
          <w:szCs w:val="22"/>
        </w:rPr>
        <w:t>rezes Urzędu Agnieszka Olszewska wzięła udział w konferencji „</w:t>
      </w:r>
      <w:r w:rsidRPr="00523423">
        <w:rPr>
          <w:rFonts w:cs="Arial"/>
          <w:bCs/>
          <w:szCs w:val="22"/>
        </w:rPr>
        <w:t>Strategie sektora w transformującej się gospodarce”</w:t>
      </w:r>
      <w:r w:rsidRPr="00523423">
        <w:rPr>
          <w:rFonts w:cs="Arial"/>
          <w:bCs/>
          <w:iCs/>
          <w:szCs w:val="22"/>
        </w:rPr>
        <w:t xml:space="preserve">, zorganizowanej przez Izbę Gospodarczą Gazownictwa w Warszawie. Wydarzenie zgromadziło przedstawicieli administracji publicznej, największych spółek energetycznych oraz ekspertów rynku. Po wystąpieniu w charakterze gościa honorowego w sesji otwierającej wydarzenie Pani Prezes wzięła udział w panelu dyskusyjnym pt. „Wyzwania we współpracy pomiędzy Inwestorem a Dostawcą – realizacja planów zamówień w energetyce”, w którym poruszano m.in. kwestie implementacji nowych przepisów </w:t>
      </w:r>
      <w:r w:rsidR="00E22357">
        <w:rPr>
          <w:rFonts w:cs="Arial"/>
          <w:bCs/>
          <w:iCs/>
          <w:szCs w:val="22"/>
        </w:rPr>
        <w:t xml:space="preserve">ustawy Pzp </w:t>
      </w:r>
      <w:r w:rsidRPr="00523423">
        <w:rPr>
          <w:rFonts w:cs="Arial"/>
          <w:bCs/>
          <w:iCs/>
          <w:szCs w:val="22"/>
        </w:rPr>
        <w:t xml:space="preserve">dotyczących udziału wykonawców z państw trzecich, możliwości prowadzenia zdalnych rozpraw przed </w:t>
      </w:r>
      <w:r w:rsidR="00A6151F">
        <w:rPr>
          <w:rFonts w:cs="Arial"/>
          <w:bCs/>
          <w:iCs/>
          <w:szCs w:val="22"/>
        </w:rPr>
        <w:t>KIO</w:t>
      </w:r>
      <w:r w:rsidRPr="00523423">
        <w:rPr>
          <w:rFonts w:cs="Arial"/>
          <w:bCs/>
          <w:iCs/>
          <w:szCs w:val="22"/>
        </w:rPr>
        <w:t>, certyfikacji wykonawców oraz roli lokalnych wykonawców w inwestycjach.</w:t>
      </w:r>
    </w:p>
    <w:p w14:paraId="2B0113A7" w14:textId="169C0256" w:rsidR="00F27E06" w:rsidRPr="00952E91" w:rsidRDefault="00F27E06" w:rsidP="00F27E06">
      <w:pPr>
        <w:pStyle w:val="Nagwek4"/>
      </w:pPr>
      <w:r>
        <w:t xml:space="preserve">19. </w:t>
      </w:r>
      <w:r w:rsidRPr="00952E91">
        <w:t>Zamówienia publiczne XXI wieku</w:t>
      </w:r>
    </w:p>
    <w:p w14:paraId="635BC3D5" w14:textId="77777777" w:rsidR="00F27E06" w:rsidRDefault="00F27E06" w:rsidP="00F27E06">
      <w:pPr>
        <w:shd w:val="clear" w:color="auto" w:fill="FFFFFF"/>
        <w:spacing w:before="120" w:line="360" w:lineRule="auto"/>
        <w:jc w:val="left"/>
        <w:rPr>
          <w:rFonts w:cs="Arial"/>
          <w:bCs/>
          <w:iCs/>
          <w:szCs w:val="22"/>
        </w:rPr>
      </w:pPr>
      <w:r w:rsidRPr="008221CE">
        <w:rPr>
          <w:rFonts w:cs="Arial"/>
          <w:bCs/>
          <w:iCs/>
          <w:noProof/>
          <w:szCs w:val="22"/>
        </w:rPr>
        <w:drawing>
          <wp:inline distT="0" distB="0" distL="0" distR="0" wp14:anchorId="4F04AFCA" wp14:editId="0F4D22BE">
            <wp:extent cx="5759450" cy="2451735"/>
            <wp:effectExtent l="0" t="0" r="0" b="5715"/>
            <wp:docPr id="29" name="Obraz 29"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59450" cy="2451735"/>
                    </a:xfrm>
                    <a:prstGeom prst="rect">
                      <a:avLst/>
                    </a:prstGeom>
                  </pic:spPr>
                </pic:pic>
              </a:graphicData>
            </a:graphic>
          </wp:inline>
        </w:drawing>
      </w:r>
    </w:p>
    <w:p w14:paraId="5274BE3C" w14:textId="65F4F4B3"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 xml:space="preserve">25.11.2025 r. w Domu Kultury Kadr w Warszawie odbyła się konferencja „Zamówienia publiczne w XXI wieku”, organizowana przez firmę </w:t>
      </w:r>
      <w:proofErr w:type="spellStart"/>
      <w:r w:rsidRPr="00523423">
        <w:rPr>
          <w:rFonts w:cs="Arial"/>
          <w:bCs/>
          <w:iCs/>
          <w:szCs w:val="22"/>
        </w:rPr>
        <w:t>Marketplanet</w:t>
      </w:r>
      <w:proofErr w:type="spellEnd"/>
      <w:r w:rsidRPr="00523423">
        <w:rPr>
          <w:rFonts w:cs="Arial"/>
          <w:bCs/>
          <w:iCs/>
          <w:szCs w:val="22"/>
        </w:rPr>
        <w:t xml:space="preserve"> i jej platformę </w:t>
      </w:r>
      <w:proofErr w:type="spellStart"/>
      <w:r w:rsidRPr="00523423">
        <w:rPr>
          <w:rFonts w:cs="Arial"/>
          <w:bCs/>
          <w:iCs/>
          <w:szCs w:val="22"/>
        </w:rPr>
        <w:t>eZam</w:t>
      </w:r>
      <w:proofErr w:type="spellEnd"/>
      <w:r w:rsidRPr="00523423">
        <w:rPr>
          <w:rFonts w:cs="Arial"/>
          <w:bCs/>
          <w:iCs/>
          <w:szCs w:val="22"/>
        </w:rPr>
        <w:t xml:space="preserve">. W wydarzeniu uczestniczyło blisko 300 przedstawicieli administracji publicznej, instytucji zamawiających, wykonawców oraz ekspertów prawnych i technologicznych. Program konferencji obejmował prelekcje i panele dyskusyjne z udziałem przedstawicieli kluczowych instytucji i organizacji rynku zamówień publicznych. W konferencji wziął udział Marcin Kalmus, Dyrektor Biura </w:t>
      </w:r>
      <w:proofErr w:type="spellStart"/>
      <w:r w:rsidRPr="00523423">
        <w:rPr>
          <w:rFonts w:cs="Arial"/>
          <w:bCs/>
          <w:iCs/>
          <w:szCs w:val="22"/>
        </w:rPr>
        <w:t>Odwołań</w:t>
      </w:r>
      <w:proofErr w:type="spellEnd"/>
      <w:r w:rsidRPr="00523423">
        <w:rPr>
          <w:rFonts w:cs="Arial"/>
          <w:bCs/>
          <w:iCs/>
          <w:szCs w:val="22"/>
        </w:rPr>
        <w:t>. Reprezentował Urząd podczas debaty „Aktualny stan elektronizacji zamówień publicznych w Polsce – wyzwania, deregulacje, kierunki”. Rozmowa w trakcie panelu koncentrowała się wokół kwestii elektronizacji, rozumianej nie tylko jako technologia, ale traktowanej jako zmiana kultury organizacyjnej i sposobu komunikacji. Podkreślone zostało znaczenie solidnego przygotowania postępowania dla późniejszego dobrego efektu. Nie zabrakło również odniesień do sztucznej inteligencji, która, szczególnie przy analizie dużych zbiorów danych, jawi się jako przyszłość zarówno dla zamawiających, jak i wykonawców.</w:t>
      </w:r>
    </w:p>
    <w:p w14:paraId="63B2E74D" w14:textId="655E6148" w:rsidR="00F27E06" w:rsidRPr="00EA5BEF" w:rsidRDefault="00F27E06" w:rsidP="00F27E06">
      <w:pPr>
        <w:pStyle w:val="Nagwek4"/>
      </w:pPr>
      <w:r>
        <w:t xml:space="preserve">20. </w:t>
      </w:r>
      <w:r w:rsidRPr="00EA5BEF">
        <w:t>III Ogólnopolska Konferencja Zamówień Publicznych</w:t>
      </w:r>
    </w:p>
    <w:p w14:paraId="61605734" w14:textId="77777777" w:rsidR="00F27E06" w:rsidRDefault="00F27E06" w:rsidP="00F27E06">
      <w:pPr>
        <w:shd w:val="clear" w:color="auto" w:fill="FFFFFF"/>
        <w:spacing w:before="120" w:line="360" w:lineRule="auto"/>
        <w:jc w:val="left"/>
        <w:rPr>
          <w:rFonts w:cs="Arial"/>
          <w:bCs/>
          <w:iCs/>
          <w:szCs w:val="22"/>
        </w:rPr>
      </w:pPr>
      <w:r w:rsidRPr="00755E0A">
        <w:rPr>
          <w:rFonts w:cs="Arial"/>
          <w:bCs/>
          <w:iCs/>
          <w:noProof/>
          <w:szCs w:val="22"/>
        </w:rPr>
        <w:drawing>
          <wp:inline distT="0" distB="0" distL="0" distR="0" wp14:anchorId="702BD288" wp14:editId="12400DA5">
            <wp:extent cx="5759450" cy="2431415"/>
            <wp:effectExtent l="0" t="0" r="0" b="6985"/>
            <wp:docPr id="28" name="Obraz 28"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59450" cy="2431415"/>
                    </a:xfrm>
                    <a:prstGeom prst="rect">
                      <a:avLst/>
                    </a:prstGeom>
                  </pic:spPr>
                </pic:pic>
              </a:graphicData>
            </a:graphic>
          </wp:inline>
        </w:drawing>
      </w:r>
    </w:p>
    <w:p w14:paraId="47FE44C0" w14:textId="015C615B"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 xml:space="preserve">2.11.2025 roku pod patronatem Prezesa </w:t>
      </w:r>
      <w:r w:rsidR="006B7483">
        <w:rPr>
          <w:rFonts w:cs="Arial"/>
          <w:bCs/>
          <w:iCs/>
          <w:szCs w:val="22"/>
        </w:rPr>
        <w:t>Urzędu</w:t>
      </w:r>
      <w:r w:rsidR="006B7483" w:rsidRPr="00523423">
        <w:rPr>
          <w:rFonts w:cs="Arial"/>
          <w:bCs/>
          <w:iCs/>
          <w:szCs w:val="22"/>
        </w:rPr>
        <w:t xml:space="preserve"> </w:t>
      </w:r>
      <w:r w:rsidRPr="00523423">
        <w:rPr>
          <w:rFonts w:cs="Arial"/>
          <w:bCs/>
          <w:iCs/>
          <w:szCs w:val="22"/>
        </w:rPr>
        <w:t>odbyła się III Ogólnopolska Konferencji Zamówień Publicznych, zorganizowana w formule online przez Portal ZP. Wydarzenie dotyczyło w szczególności najnowszych zmian w Prawie zamówień publicznych, w tym zagadnień związanych z podniesieniem progu stosowania ustawy, projektowanych rozwiązań w zakresie certyfikacji wykonawców oraz zmian w procedurze odwoławczej od 13</w:t>
      </w:r>
      <w:r>
        <w:rPr>
          <w:rFonts w:cs="Arial"/>
          <w:bCs/>
          <w:iCs/>
          <w:szCs w:val="22"/>
        </w:rPr>
        <w:t> </w:t>
      </w:r>
      <w:r w:rsidRPr="00523423">
        <w:rPr>
          <w:rFonts w:cs="Arial"/>
          <w:bCs/>
          <w:iCs/>
          <w:szCs w:val="22"/>
        </w:rPr>
        <w:t xml:space="preserve">marca 2025 roku. W konferencji uczestniczyli przedstawiciele Urzędu Zamówień Publicznych. Marcin Kalmus, Dyrektor Biura </w:t>
      </w:r>
      <w:proofErr w:type="spellStart"/>
      <w:r w:rsidRPr="00523423">
        <w:rPr>
          <w:rFonts w:cs="Arial"/>
          <w:bCs/>
          <w:iCs/>
          <w:szCs w:val="22"/>
        </w:rPr>
        <w:t>Odwołań</w:t>
      </w:r>
      <w:proofErr w:type="spellEnd"/>
      <w:r w:rsidRPr="00523423">
        <w:rPr>
          <w:rFonts w:cs="Arial"/>
          <w:bCs/>
          <w:iCs/>
          <w:szCs w:val="22"/>
        </w:rPr>
        <w:t>, wziął udział w panelu dotyczącym rozwiązań, jakie zaczną obowiązywać w związku z wejściem w życie możliwości prowadzenia zdalnych rozpraw przed KIO. Mariusz Ciosek, Dyrektor Departamentu Kontroli Zamówień Publicznych, uczestniczył w panelu dotyczącym certyfikacji wykonawców.</w:t>
      </w:r>
    </w:p>
    <w:p w14:paraId="00A051F2" w14:textId="7EEB7717" w:rsidR="00F27E06" w:rsidRPr="00261A25" w:rsidRDefault="00F27E06" w:rsidP="00F27E06">
      <w:pPr>
        <w:pStyle w:val="Nagwek4"/>
      </w:pPr>
      <w:r>
        <w:t xml:space="preserve">21. </w:t>
      </w:r>
      <w:r w:rsidRPr="00261A25">
        <w:t>II Forum Innowacyjnych Zamówień Publicznych</w:t>
      </w:r>
    </w:p>
    <w:p w14:paraId="21745C60" w14:textId="77777777" w:rsidR="00F27E06" w:rsidRPr="00523423" w:rsidRDefault="00F27E06" w:rsidP="00F27E06">
      <w:pPr>
        <w:shd w:val="clear" w:color="auto" w:fill="FFFFFF"/>
        <w:spacing w:before="120" w:line="360" w:lineRule="auto"/>
        <w:jc w:val="left"/>
        <w:rPr>
          <w:rFonts w:cs="Arial"/>
          <w:b/>
          <w:bCs/>
          <w:szCs w:val="22"/>
        </w:rPr>
      </w:pPr>
      <w:r w:rsidRPr="007A5757">
        <w:rPr>
          <w:rFonts w:cs="Arial"/>
          <w:bCs/>
          <w:iCs/>
          <w:noProof/>
          <w:szCs w:val="22"/>
        </w:rPr>
        <w:drawing>
          <wp:anchor distT="0" distB="0" distL="114300" distR="114300" simplePos="0" relativeHeight="251676672" behindDoc="0" locked="0" layoutInCell="1" allowOverlap="1" wp14:anchorId="059AE2A9" wp14:editId="11803AFD">
            <wp:simplePos x="0" y="0"/>
            <wp:positionH relativeFrom="column">
              <wp:posOffset>-448945</wp:posOffset>
            </wp:positionH>
            <wp:positionV relativeFrom="paragraph">
              <wp:posOffset>83185</wp:posOffset>
            </wp:positionV>
            <wp:extent cx="3200400" cy="2131200"/>
            <wp:effectExtent l="0" t="0" r="0" b="2540"/>
            <wp:wrapSquare wrapText="bothSides"/>
            <wp:docPr id="27" name="Obraz 27"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michals\Desktop\1abe7c3e-8a3f-4bc3-b720-0908361db973.jfif"/>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00400" cy="2131200"/>
                    </a:xfrm>
                    <a:prstGeom prst="rect">
                      <a:avLst/>
                    </a:prstGeom>
                    <a:noFill/>
                    <a:ln>
                      <a:noFill/>
                    </a:ln>
                  </pic:spPr>
                </pic:pic>
              </a:graphicData>
            </a:graphic>
          </wp:anchor>
        </w:drawing>
      </w:r>
      <w:r w:rsidRPr="00523423">
        <w:rPr>
          <w:rFonts w:cs="Arial"/>
          <w:bCs/>
          <w:iCs/>
          <w:szCs w:val="22"/>
        </w:rPr>
        <w:t>3.12.2025 roku w Krakowie odbyło się II</w:t>
      </w:r>
      <w:r>
        <w:rPr>
          <w:rFonts w:cs="Arial"/>
          <w:bCs/>
          <w:iCs/>
          <w:szCs w:val="22"/>
        </w:rPr>
        <w:t> </w:t>
      </w:r>
      <w:r w:rsidRPr="00523423">
        <w:rPr>
          <w:rFonts w:cs="Arial"/>
          <w:bCs/>
          <w:iCs/>
          <w:szCs w:val="22"/>
        </w:rPr>
        <w:t xml:space="preserve">Forum Innowacyjnych Zamówień Publicznych, zorganizowane przez Narodowe Centrum Badań i Rozwoju. Wydarzenie dotyczyło praktycznych aspektów zamówień na rozwiązania innowacyjne oraz wykorzystania procedur wspierających rozwój nowoczesnych technologii w sektorze publicznym. W Forum wzięła udział Justyna Pożarowska, radca generalny w Departamencie Unii Europejskiej i Współpracy Międzynarodowej. W swoim wystąpieniu omówiła przykłady innowacji mogących stanowić przedmiot zamówienia — zarówno rozwiązań całkowicie nowych, ulepszonych, jak i nowych jedynie z perspektywy danego zamawiającego. Wskazała również elementy kluczowe dla prawidłowego przygotowania postępowania dotyczącego innowacji, podkreślając znaczenie wstępnych konsultacji rynkowych, starannego opisu potrzeb i wymagań, a także analizy potrzeb oraz możliwości ich zaspokojenia. Uczestniczyła również w dwóch panelach, odpowiadając na pytania zgłaszane przez przedstawicieli administracji i rynku. </w:t>
      </w:r>
    </w:p>
    <w:p w14:paraId="08088FD8" w14:textId="69AE2C34" w:rsidR="00F27E06" w:rsidRPr="002C5482" w:rsidRDefault="00F27E06" w:rsidP="00F27E06">
      <w:pPr>
        <w:pStyle w:val="Nagwek4"/>
      </w:pPr>
      <w:r>
        <w:t xml:space="preserve">22. </w:t>
      </w:r>
      <w:r w:rsidRPr="002C5482">
        <w:t xml:space="preserve">XIX Forum Informatyków Samorządowych Województwa Opolskiego </w:t>
      </w:r>
    </w:p>
    <w:p w14:paraId="4B82FC97" w14:textId="77777777" w:rsidR="00F27E06" w:rsidRDefault="00F27E06" w:rsidP="00F27E06">
      <w:pPr>
        <w:shd w:val="clear" w:color="auto" w:fill="FFFFFF"/>
        <w:spacing w:before="120" w:line="360" w:lineRule="auto"/>
        <w:jc w:val="left"/>
        <w:rPr>
          <w:rFonts w:cs="Arial"/>
          <w:szCs w:val="22"/>
        </w:rPr>
      </w:pPr>
      <w:r w:rsidRPr="00A53C9E">
        <w:rPr>
          <w:rFonts w:cs="Arial"/>
          <w:noProof/>
          <w:szCs w:val="22"/>
        </w:rPr>
        <w:drawing>
          <wp:inline distT="0" distB="0" distL="0" distR="0" wp14:anchorId="7A7D3B00" wp14:editId="20388F4C">
            <wp:extent cx="5759450" cy="2461260"/>
            <wp:effectExtent l="0" t="0" r="0" b="0"/>
            <wp:docPr id="24" name="Obraz 24"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59450" cy="2461260"/>
                    </a:xfrm>
                    <a:prstGeom prst="rect">
                      <a:avLst/>
                    </a:prstGeom>
                  </pic:spPr>
                </pic:pic>
              </a:graphicData>
            </a:graphic>
          </wp:inline>
        </w:drawing>
      </w:r>
    </w:p>
    <w:p w14:paraId="7B210801" w14:textId="500F89DE" w:rsidR="00F27E06" w:rsidRPr="00523423" w:rsidRDefault="00F27E06" w:rsidP="00F27E06">
      <w:pPr>
        <w:shd w:val="clear" w:color="auto" w:fill="FFFFFF"/>
        <w:spacing w:before="120" w:line="360" w:lineRule="auto"/>
        <w:jc w:val="left"/>
        <w:rPr>
          <w:rFonts w:cs="Arial"/>
          <w:szCs w:val="22"/>
        </w:rPr>
      </w:pPr>
      <w:r w:rsidRPr="00523423">
        <w:rPr>
          <w:rFonts w:cs="Arial"/>
          <w:szCs w:val="22"/>
        </w:rPr>
        <w:t>W Opolu 4.12.2025 roku odbyło się XIX</w:t>
      </w:r>
      <w:r w:rsidRPr="00523423">
        <w:rPr>
          <w:rFonts w:cs="Arial"/>
          <w:b/>
          <w:bCs/>
          <w:szCs w:val="22"/>
        </w:rPr>
        <w:t xml:space="preserve"> </w:t>
      </w:r>
      <w:r w:rsidRPr="00523423">
        <w:rPr>
          <w:rFonts w:cs="Arial"/>
          <w:szCs w:val="22"/>
        </w:rPr>
        <w:t>Forum Informatyków Samorządowych Województwa Opolskiego</w:t>
      </w:r>
      <w:r w:rsidRPr="00523423">
        <w:rPr>
          <w:rFonts w:cs="Arial"/>
          <w:b/>
          <w:bCs/>
          <w:szCs w:val="22"/>
        </w:rPr>
        <w:t xml:space="preserve">. </w:t>
      </w:r>
      <w:r w:rsidRPr="00523423">
        <w:rPr>
          <w:rFonts w:cs="Arial"/>
          <w:szCs w:val="22"/>
        </w:rPr>
        <w:t>To miejsce, w którym specjaliści ds. informatyki pracujący w samorządach mogą dzielić się wiedzą, doświadczeniem i rozwiązaniami dotyczącymi informatyzacji i</w:t>
      </w:r>
      <w:r>
        <w:rPr>
          <w:rFonts w:cs="Arial"/>
          <w:szCs w:val="22"/>
        </w:rPr>
        <w:t> </w:t>
      </w:r>
      <w:r w:rsidRPr="00523423">
        <w:rPr>
          <w:rFonts w:cs="Arial"/>
          <w:szCs w:val="22"/>
        </w:rPr>
        <w:t xml:space="preserve">zaawansowanej technologii w sektorze publicznym. Prezentowane tematy i prowadzone dyskusje związane były z aktualnymi problemami i zadaniami dla informatyków w administracji samorządowej. Podczas dwudniowego spotkania odbyły się również warsztaty z zakresu </w:t>
      </w:r>
      <w:proofErr w:type="spellStart"/>
      <w:r w:rsidRPr="00523423">
        <w:rPr>
          <w:rFonts w:cs="Arial"/>
          <w:szCs w:val="22"/>
        </w:rPr>
        <w:t>cyberbezpieczeństwa</w:t>
      </w:r>
      <w:proofErr w:type="spellEnd"/>
      <w:r w:rsidRPr="00523423">
        <w:rPr>
          <w:rFonts w:cs="Arial"/>
          <w:szCs w:val="22"/>
        </w:rPr>
        <w:t>, przedstawione zostały aktualne trendy i prognozy oraz zaprezentowane najnowsze rodzaje ataków i sposoby obrony przed nimi. W wydarzeniu wziął udział Robert Król</w:t>
      </w:r>
      <w:r w:rsidRPr="00523423">
        <w:rPr>
          <w:rFonts w:cs="Arial"/>
          <w:b/>
          <w:bCs/>
          <w:szCs w:val="22"/>
        </w:rPr>
        <w:t>,</w:t>
      </w:r>
      <w:r w:rsidRPr="00523423">
        <w:rPr>
          <w:rFonts w:cs="Arial"/>
          <w:szCs w:val="22"/>
        </w:rPr>
        <w:t xml:space="preserve"> Dyrektor Departamentu Danych i Informatyzacji UZP. W swoim wystąpieniu poruszył temat sztucznej inteligencji w orzecznictwie. To pokłosie m.in. eksperymentu realizowanego w UZP oraz KIO, w ramach którego sprawdzano, czy modele językowe są w stanie zdać egzamin na członka </w:t>
      </w:r>
      <w:r w:rsidR="00EC1AF2">
        <w:rPr>
          <w:rFonts w:cs="Arial"/>
          <w:szCs w:val="22"/>
        </w:rPr>
        <w:t>KIO</w:t>
      </w:r>
      <w:r w:rsidRPr="00523423">
        <w:rPr>
          <w:rFonts w:cs="Arial"/>
          <w:szCs w:val="22"/>
        </w:rPr>
        <w:t>. Link do Raportu z badań dotyczących sztucznej inteligencji w kontekście egzaminu na członka KIO jest dostępny pod adresem: https://arxiv.org/abs/2511.04205.</w:t>
      </w:r>
    </w:p>
    <w:p w14:paraId="3D3CFA1C" w14:textId="4E5D446C" w:rsidR="00F27E06" w:rsidRPr="00A60384" w:rsidRDefault="00F27E06" w:rsidP="00F27E06">
      <w:pPr>
        <w:pStyle w:val="Nagwek4"/>
      </w:pPr>
      <w:r>
        <w:t xml:space="preserve">23. </w:t>
      </w:r>
      <w:r w:rsidRPr="00A60384">
        <w:t>Konferencja Unii Producentów i Pracodawców Przemysłu Mięsnego</w:t>
      </w:r>
    </w:p>
    <w:p w14:paraId="6753E5CD" w14:textId="77777777" w:rsidR="00F27E06" w:rsidRDefault="00F27E06" w:rsidP="00F27E06">
      <w:pPr>
        <w:shd w:val="clear" w:color="auto" w:fill="FFFFFF"/>
        <w:spacing w:before="120" w:line="360" w:lineRule="auto"/>
        <w:jc w:val="left"/>
        <w:rPr>
          <w:rFonts w:cs="Arial"/>
          <w:bCs/>
          <w:iCs/>
          <w:szCs w:val="22"/>
        </w:rPr>
      </w:pPr>
      <w:r w:rsidRPr="00C95953">
        <w:rPr>
          <w:rFonts w:cs="Arial"/>
          <w:bCs/>
          <w:iCs/>
          <w:noProof/>
          <w:szCs w:val="22"/>
        </w:rPr>
        <w:drawing>
          <wp:inline distT="0" distB="0" distL="0" distR="0" wp14:anchorId="00572ABF" wp14:editId="0CF003DD">
            <wp:extent cx="5759450" cy="2449830"/>
            <wp:effectExtent l="0" t="0" r="0" b="7620"/>
            <wp:docPr id="23" name="Obraz 23"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59450" cy="2449830"/>
                    </a:xfrm>
                    <a:prstGeom prst="rect">
                      <a:avLst/>
                    </a:prstGeom>
                  </pic:spPr>
                </pic:pic>
              </a:graphicData>
            </a:graphic>
          </wp:inline>
        </w:drawing>
      </w:r>
    </w:p>
    <w:p w14:paraId="18A3DD51" w14:textId="7F28F11F"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 xml:space="preserve">Dialog z sieciami handlowymi, kierunki rozwoju polskiego sektora mięsnego oraz działania chroniące rynek przed napływem produktów z krajów trzecich - to trzy główne bloki tematyczne konferencji „Wspólna Polityka Rolna – rozwój czy stagnacja”, zorganizowanej 5.12.2025 roku przez Unię Producentów i Pracodawców Przemysłu Mięsnego. Wydarzenie skupiło przedstawicieli administracji, ekspertów, organizacji branżowych oraz producentów, dając przestrzeń do otwartego dialogu o przyszłości polskiej żywności. W panelu dotyczącym relacji przedstawicieli przemysłu mięsnego z sieciami handlowymi poruszony został temat zamówień publicznych. W debacie wziął udział Przemysław Grosfeld, Wiceprezes </w:t>
      </w:r>
      <w:r w:rsidR="009061C5" w:rsidRPr="00523423">
        <w:rPr>
          <w:rFonts w:cs="Arial"/>
          <w:bCs/>
          <w:iCs/>
          <w:szCs w:val="22"/>
        </w:rPr>
        <w:t>U</w:t>
      </w:r>
      <w:r w:rsidR="009061C5">
        <w:rPr>
          <w:rFonts w:cs="Arial"/>
          <w:bCs/>
          <w:iCs/>
          <w:szCs w:val="22"/>
        </w:rPr>
        <w:t>rzędu</w:t>
      </w:r>
      <w:r w:rsidRPr="00523423">
        <w:rPr>
          <w:rFonts w:cs="Arial"/>
          <w:bCs/>
          <w:iCs/>
          <w:szCs w:val="22"/>
        </w:rPr>
        <w:t>. W</w:t>
      </w:r>
      <w:r>
        <w:rPr>
          <w:rFonts w:cs="Arial"/>
          <w:bCs/>
          <w:iCs/>
          <w:szCs w:val="22"/>
        </w:rPr>
        <w:t> </w:t>
      </w:r>
      <w:r w:rsidRPr="00523423">
        <w:rPr>
          <w:rFonts w:cs="Arial"/>
          <w:bCs/>
          <w:iCs/>
          <w:szCs w:val="22"/>
        </w:rPr>
        <w:t>swojej wypowiedzi poruszył temat możliwości zamawiania produktów wysokiej jakości, w</w:t>
      </w:r>
      <w:r>
        <w:rPr>
          <w:rFonts w:cs="Arial"/>
          <w:bCs/>
          <w:iCs/>
          <w:szCs w:val="22"/>
        </w:rPr>
        <w:t> </w:t>
      </w:r>
      <w:r w:rsidRPr="00523423">
        <w:rPr>
          <w:rFonts w:cs="Arial"/>
          <w:bCs/>
          <w:iCs/>
          <w:szCs w:val="22"/>
        </w:rPr>
        <w:t>tym także produktów pochodzących od lokalnych producentów. Rozmowa dotyczyła również kryteriów jakościowych, które powinny mieć odpowiednio wysoką wagę, aby realnie wpływać na wybór najlepszych produktów i usług. Podkreślone zostało, że</w:t>
      </w:r>
      <w:r w:rsidR="00326395">
        <w:rPr>
          <w:rFonts w:cs="Arial"/>
          <w:bCs/>
          <w:iCs/>
          <w:szCs w:val="22"/>
        </w:rPr>
        <w:t xml:space="preserve"> </w:t>
      </w:r>
      <w:r w:rsidRPr="00523423">
        <w:rPr>
          <w:rFonts w:cs="Arial"/>
          <w:bCs/>
          <w:iCs/>
          <w:szCs w:val="22"/>
        </w:rPr>
        <w:t>UZP promuje stosowanie etykiet (oznaczeń jakości i środowiskowych) w zamówieniach publicznych, zgodnie z warunkami z art. 104 ust. 1 Pzp.</w:t>
      </w:r>
    </w:p>
    <w:p w14:paraId="616E18DB" w14:textId="38B07675" w:rsidR="00F27E06" w:rsidRPr="00A60384" w:rsidRDefault="00F27E06" w:rsidP="00F27E06">
      <w:pPr>
        <w:pStyle w:val="Nagwek4"/>
      </w:pPr>
      <w:r>
        <w:t xml:space="preserve">24. </w:t>
      </w:r>
      <w:r w:rsidRPr="00A60384">
        <w:t xml:space="preserve">V edycja </w:t>
      </w:r>
      <w:proofErr w:type="spellStart"/>
      <w:r w:rsidRPr="00A60384">
        <w:t>Moot</w:t>
      </w:r>
      <w:proofErr w:type="spellEnd"/>
      <w:r w:rsidRPr="00A60384">
        <w:t xml:space="preserve"> Court: „Zastępstwo procesowe przed Krajową Izbą Odwoławczą”</w:t>
      </w:r>
    </w:p>
    <w:p w14:paraId="57BC7EBF" w14:textId="60138316"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Wysoką wartość edukacyjną, sprzyjającą w konkretny sposób podnoszeniu poziomu profesjonalizacji kadr zamówień publicznych, ma organizowany regularnie co roku turniej zamówieniowy dla studentów prawa i administracji „</w:t>
      </w:r>
      <w:proofErr w:type="spellStart"/>
      <w:r w:rsidRPr="00523423">
        <w:rPr>
          <w:rFonts w:cs="Arial"/>
          <w:bCs/>
          <w:iCs/>
          <w:szCs w:val="22"/>
        </w:rPr>
        <w:t>Moot</w:t>
      </w:r>
      <w:proofErr w:type="spellEnd"/>
      <w:r w:rsidRPr="00523423">
        <w:rPr>
          <w:rFonts w:cs="Arial"/>
          <w:bCs/>
          <w:iCs/>
          <w:szCs w:val="22"/>
        </w:rPr>
        <w:t xml:space="preserve"> Court”. 8.12.2025 roku w </w:t>
      </w:r>
      <w:r w:rsidR="00EC1AF2">
        <w:rPr>
          <w:rFonts w:cs="Arial"/>
          <w:bCs/>
          <w:iCs/>
          <w:szCs w:val="22"/>
        </w:rPr>
        <w:t>KIO</w:t>
      </w:r>
      <w:r w:rsidRPr="00523423">
        <w:rPr>
          <w:rFonts w:cs="Arial"/>
          <w:bCs/>
          <w:iCs/>
          <w:szCs w:val="22"/>
        </w:rPr>
        <w:t xml:space="preserve"> odbył się piąty już finał tego turnieju, organizowanego przez Stowarzyszenie Prawa Zamówień Publicznych we współpracy z Sekcją Prawa Zamówień Publicznych przy ORA w Warszawie. Patronat honorowy nad V edycją objęli: Agnieszka Olszewska, Prezes </w:t>
      </w:r>
      <w:r w:rsidR="00DF43B1">
        <w:rPr>
          <w:rFonts w:cs="Arial"/>
          <w:bCs/>
          <w:iCs/>
          <w:szCs w:val="22"/>
        </w:rPr>
        <w:t>Urzędu</w:t>
      </w:r>
      <w:r w:rsidRPr="00523423">
        <w:rPr>
          <w:rFonts w:cs="Arial"/>
          <w:bCs/>
          <w:iCs/>
          <w:szCs w:val="22"/>
        </w:rPr>
        <w:t xml:space="preserve">, oraz Jan Kuzawiński, Prezes </w:t>
      </w:r>
      <w:r w:rsidR="00EC1AF2">
        <w:rPr>
          <w:rFonts w:cs="Arial"/>
          <w:bCs/>
          <w:iCs/>
          <w:szCs w:val="22"/>
        </w:rPr>
        <w:t>KIO</w:t>
      </w:r>
      <w:r w:rsidRPr="00523423">
        <w:rPr>
          <w:rFonts w:cs="Arial"/>
          <w:bCs/>
          <w:iCs/>
          <w:szCs w:val="22"/>
        </w:rPr>
        <w:t>.</w:t>
      </w:r>
    </w:p>
    <w:p w14:paraId="75574285" w14:textId="77777777" w:rsidR="00F27E06" w:rsidRDefault="00F27E06" w:rsidP="00F27E06">
      <w:pPr>
        <w:shd w:val="clear" w:color="auto" w:fill="FFFFFF"/>
        <w:spacing w:before="120" w:line="360" w:lineRule="auto"/>
        <w:jc w:val="left"/>
        <w:rPr>
          <w:rFonts w:cs="Arial"/>
          <w:bCs/>
          <w:iCs/>
          <w:szCs w:val="22"/>
        </w:rPr>
      </w:pPr>
      <w:r w:rsidRPr="00A43580">
        <w:rPr>
          <w:rFonts w:cs="Arial"/>
          <w:bCs/>
          <w:iCs/>
          <w:noProof/>
          <w:szCs w:val="22"/>
        </w:rPr>
        <w:drawing>
          <wp:inline distT="0" distB="0" distL="0" distR="0" wp14:anchorId="0EAC6106" wp14:editId="08A578D8">
            <wp:extent cx="5759450" cy="2459990"/>
            <wp:effectExtent l="0" t="0" r="0" b="0"/>
            <wp:docPr id="22" name="Obraz 22"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59450" cy="2459990"/>
                    </a:xfrm>
                    <a:prstGeom prst="rect">
                      <a:avLst/>
                    </a:prstGeom>
                  </pic:spPr>
                </pic:pic>
              </a:graphicData>
            </a:graphic>
          </wp:inline>
        </w:drawing>
      </w:r>
    </w:p>
    <w:p w14:paraId="2F9FE00E" w14:textId="77777777"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 xml:space="preserve">Podczas finału drużyny uczestniczyły w symulowanej rozprawie przed KIO, występując w roli pełnomocników wykonawców. Jury w składzie: Jan Kuzawiński, Michał Wojciechowski (Sekcja PZP ORA w Warszawie) oraz Wojciech Merkwa (SPZP) oceniało nie tylko poziom merytoryczny wystąpień, ale także opanowanie, reakcję na pytania i celność replik. Zespół zamawiającego reprezentowali członkowie SPZP: dr Irena Skubiszak, Paulina Sawicka, Żaklina Ossowska oraz Piotr Kunicki, </w:t>
      </w:r>
      <w:proofErr w:type="spellStart"/>
      <w:r w:rsidRPr="00523423">
        <w:rPr>
          <w:rFonts w:cs="Arial"/>
          <w:bCs/>
          <w:iCs/>
          <w:szCs w:val="22"/>
        </w:rPr>
        <w:t>Ph.D</w:t>
      </w:r>
      <w:proofErr w:type="spellEnd"/>
      <w:r w:rsidRPr="00523423">
        <w:rPr>
          <w:rFonts w:cs="Arial"/>
          <w:bCs/>
          <w:iCs/>
          <w:szCs w:val="22"/>
        </w:rPr>
        <w:t>.</w:t>
      </w:r>
    </w:p>
    <w:p w14:paraId="236336C1" w14:textId="77777777"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 xml:space="preserve">Zwycięzcą V edycji została drużyna z Uniwersytetu Szczecińskiego w składzie: Natalia </w:t>
      </w:r>
      <w:proofErr w:type="spellStart"/>
      <w:r w:rsidRPr="00523423">
        <w:rPr>
          <w:rFonts w:cs="Arial"/>
          <w:bCs/>
          <w:iCs/>
          <w:szCs w:val="22"/>
        </w:rPr>
        <w:t>Ochnicka</w:t>
      </w:r>
      <w:proofErr w:type="spellEnd"/>
      <w:r w:rsidRPr="00523423">
        <w:rPr>
          <w:rFonts w:cs="Arial"/>
          <w:bCs/>
          <w:iCs/>
          <w:szCs w:val="22"/>
        </w:rPr>
        <w:t xml:space="preserve"> oraz Weronika Lencewicz (opiekun: adw. Piotr </w:t>
      </w:r>
      <w:proofErr w:type="spellStart"/>
      <w:r w:rsidRPr="00523423">
        <w:rPr>
          <w:rFonts w:cs="Arial"/>
          <w:bCs/>
          <w:iCs/>
          <w:szCs w:val="22"/>
        </w:rPr>
        <w:t>Mazuro</w:t>
      </w:r>
      <w:proofErr w:type="spellEnd"/>
      <w:r w:rsidRPr="00523423">
        <w:rPr>
          <w:rFonts w:cs="Arial"/>
          <w:bCs/>
          <w:iCs/>
          <w:szCs w:val="22"/>
        </w:rPr>
        <w:t>).</w:t>
      </w:r>
    </w:p>
    <w:p w14:paraId="30385066" w14:textId="77777777" w:rsidR="00F27E06" w:rsidRPr="00523423" w:rsidRDefault="00F27E06" w:rsidP="00F27E06">
      <w:pPr>
        <w:shd w:val="clear" w:color="auto" w:fill="FFFFFF"/>
        <w:spacing w:before="120" w:line="360" w:lineRule="auto"/>
        <w:jc w:val="left"/>
        <w:rPr>
          <w:rFonts w:cs="Arial"/>
          <w:bCs/>
          <w:iCs/>
          <w:szCs w:val="22"/>
        </w:rPr>
      </w:pPr>
      <w:r w:rsidRPr="00523423">
        <w:rPr>
          <w:rFonts w:cs="Arial"/>
          <w:bCs/>
          <w:iCs/>
          <w:szCs w:val="22"/>
        </w:rPr>
        <w:t>II miejsce ex aequo zajęły drużyny z:</w:t>
      </w:r>
    </w:p>
    <w:p w14:paraId="7B711B10" w14:textId="77777777" w:rsidR="00F27E06" w:rsidRPr="00C43FB0" w:rsidRDefault="00F27E06" w:rsidP="00F27E06">
      <w:pPr>
        <w:pStyle w:val="Akapitzlist"/>
        <w:numPr>
          <w:ilvl w:val="0"/>
          <w:numId w:val="64"/>
        </w:numPr>
        <w:shd w:val="clear" w:color="auto" w:fill="FFFFFF"/>
        <w:spacing w:line="360" w:lineRule="auto"/>
        <w:jc w:val="left"/>
        <w:rPr>
          <w:rFonts w:cs="Arial"/>
          <w:iCs/>
          <w:sz w:val="22"/>
          <w:szCs w:val="22"/>
        </w:rPr>
      </w:pPr>
      <w:r w:rsidRPr="00C43FB0">
        <w:rPr>
          <w:rFonts w:cs="Arial"/>
          <w:iCs/>
          <w:sz w:val="22"/>
          <w:szCs w:val="22"/>
        </w:rPr>
        <w:t xml:space="preserve">Uniwersytetu im. Adama Mickiewicza w Poznaniu (opiekun: dr Jarosław Kola) – Jakub Bronka, Ewaryst Kowalczyk, </w:t>
      </w:r>
      <w:proofErr w:type="spellStart"/>
      <w:r w:rsidRPr="00C43FB0">
        <w:rPr>
          <w:rFonts w:cs="Arial"/>
          <w:iCs/>
          <w:sz w:val="22"/>
          <w:szCs w:val="22"/>
        </w:rPr>
        <w:t>Ellen</w:t>
      </w:r>
      <w:proofErr w:type="spellEnd"/>
      <w:r w:rsidRPr="00C43FB0">
        <w:rPr>
          <w:rFonts w:cs="Arial"/>
          <w:iCs/>
          <w:sz w:val="22"/>
          <w:szCs w:val="22"/>
        </w:rPr>
        <w:t xml:space="preserve"> Kuźma, Adam Popiel;</w:t>
      </w:r>
    </w:p>
    <w:p w14:paraId="3D2835FD" w14:textId="77777777" w:rsidR="00F27E06" w:rsidRPr="00C43FB0" w:rsidRDefault="00F27E06" w:rsidP="00F27E06">
      <w:pPr>
        <w:pStyle w:val="Akapitzlist"/>
        <w:numPr>
          <w:ilvl w:val="0"/>
          <w:numId w:val="64"/>
        </w:numPr>
        <w:shd w:val="clear" w:color="auto" w:fill="FFFFFF"/>
        <w:spacing w:line="360" w:lineRule="auto"/>
        <w:jc w:val="left"/>
        <w:rPr>
          <w:rFonts w:cs="Arial"/>
          <w:iCs/>
          <w:sz w:val="22"/>
          <w:szCs w:val="22"/>
        </w:rPr>
      </w:pPr>
      <w:r w:rsidRPr="00C43FB0">
        <w:rPr>
          <w:rFonts w:cs="Arial"/>
          <w:iCs/>
          <w:sz w:val="22"/>
          <w:szCs w:val="22"/>
        </w:rPr>
        <w:t xml:space="preserve">Akademii Leona Koźmińskiego (opiekun: dr hab. Joanna Studzińska) – Maja Budziak, Żaneta </w:t>
      </w:r>
      <w:proofErr w:type="spellStart"/>
      <w:r w:rsidRPr="00C43FB0">
        <w:rPr>
          <w:rFonts w:cs="Arial"/>
          <w:iCs/>
          <w:sz w:val="22"/>
          <w:szCs w:val="22"/>
        </w:rPr>
        <w:t>Sebastianowicz</w:t>
      </w:r>
      <w:proofErr w:type="spellEnd"/>
      <w:r w:rsidRPr="00C43FB0">
        <w:rPr>
          <w:rFonts w:cs="Arial"/>
          <w:iCs/>
          <w:sz w:val="22"/>
          <w:szCs w:val="22"/>
        </w:rPr>
        <w:t xml:space="preserve">, Alicja </w:t>
      </w:r>
      <w:proofErr w:type="spellStart"/>
      <w:r w:rsidRPr="00C43FB0">
        <w:rPr>
          <w:rFonts w:cs="Arial"/>
          <w:iCs/>
          <w:sz w:val="22"/>
          <w:szCs w:val="22"/>
        </w:rPr>
        <w:t>Ziemlińska</w:t>
      </w:r>
      <w:proofErr w:type="spellEnd"/>
      <w:r w:rsidRPr="00C43FB0">
        <w:rPr>
          <w:rFonts w:cs="Arial"/>
          <w:iCs/>
          <w:sz w:val="22"/>
          <w:szCs w:val="22"/>
        </w:rPr>
        <w:t>;</w:t>
      </w:r>
    </w:p>
    <w:p w14:paraId="4AAC0A72" w14:textId="77777777" w:rsidR="00F27E06" w:rsidRPr="00C43FB0" w:rsidRDefault="00F27E06" w:rsidP="00F27E06">
      <w:pPr>
        <w:pStyle w:val="Akapitzlist"/>
        <w:numPr>
          <w:ilvl w:val="0"/>
          <w:numId w:val="64"/>
        </w:numPr>
        <w:shd w:val="clear" w:color="auto" w:fill="FFFFFF"/>
        <w:spacing w:line="360" w:lineRule="auto"/>
        <w:jc w:val="left"/>
        <w:rPr>
          <w:rFonts w:cs="Arial"/>
          <w:iCs/>
          <w:sz w:val="22"/>
          <w:szCs w:val="22"/>
        </w:rPr>
      </w:pPr>
      <w:r w:rsidRPr="00C43FB0">
        <w:rPr>
          <w:rFonts w:cs="Arial"/>
          <w:iCs/>
          <w:sz w:val="22"/>
          <w:szCs w:val="22"/>
        </w:rPr>
        <w:t xml:space="preserve">Uniwersytetu Zielonogórskiego (opiekun: prof. UZ dr hab. Ewaryst Kowalczyk) – Martyna </w:t>
      </w:r>
      <w:proofErr w:type="spellStart"/>
      <w:r w:rsidRPr="00C43FB0">
        <w:rPr>
          <w:rFonts w:cs="Arial"/>
          <w:iCs/>
          <w:sz w:val="22"/>
          <w:szCs w:val="22"/>
        </w:rPr>
        <w:t>Dżaman</w:t>
      </w:r>
      <w:proofErr w:type="spellEnd"/>
      <w:r w:rsidRPr="00C43FB0">
        <w:rPr>
          <w:rFonts w:cs="Arial"/>
          <w:iCs/>
          <w:sz w:val="22"/>
          <w:szCs w:val="22"/>
        </w:rPr>
        <w:t xml:space="preserve">, Maciej </w:t>
      </w:r>
      <w:proofErr w:type="spellStart"/>
      <w:r w:rsidRPr="00C43FB0">
        <w:rPr>
          <w:rFonts w:cs="Arial"/>
          <w:iCs/>
          <w:sz w:val="22"/>
          <w:szCs w:val="22"/>
        </w:rPr>
        <w:t>Dziekoła</w:t>
      </w:r>
      <w:proofErr w:type="spellEnd"/>
      <w:r w:rsidRPr="00C43FB0">
        <w:rPr>
          <w:rFonts w:cs="Arial"/>
          <w:iCs/>
          <w:sz w:val="22"/>
          <w:szCs w:val="22"/>
        </w:rPr>
        <w:t>;</w:t>
      </w:r>
    </w:p>
    <w:p w14:paraId="45198198" w14:textId="77777777" w:rsidR="00F27E06" w:rsidRPr="00EC4B69" w:rsidRDefault="00F27E06" w:rsidP="00F27E06">
      <w:pPr>
        <w:pStyle w:val="Akapitzlist"/>
        <w:numPr>
          <w:ilvl w:val="0"/>
          <w:numId w:val="64"/>
        </w:numPr>
        <w:shd w:val="clear" w:color="auto" w:fill="FFFFFF"/>
        <w:spacing w:before="120" w:line="360" w:lineRule="auto"/>
        <w:jc w:val="left"/>
        <w:rPr>
          <w:rFonts w:cs="Arial"/>
          <w:szCs w:val="22"/>
        </w:rPr>
      </w:pPr>
      <w:r w:rsidRPr="00EC4B69">
        <w:rPr>
          <w:rFonts w:cs="Arial"/>
          <w:iCs/>
          <w:sz w:val="22"/>
          <w:szCs w:val="22"/>
        </w:rPr>
        <w:t xml:space="preserve">Uniwersytetu w Białymstoku (opiekun: dr hab. Jerzy </w:t>
      </w:r>
      <w:proofErr w:type="spellStart"/>
      <w:r w:rsidRPr="00EC4B69">
        <w:rPr>
          <w:rFonts w:cs="Arial"/>
          <w:iCs/>
          <w:sz w:val="22"/>
          <w:szCs w:val="22"/>
        </w:rPr>
        <w:t>Bieluk</w:t>
      </w:r>
      <w:proofErr w:type="spellEnd"/>
      <w:r w:rsidRPr="00EC4B69">
        <w:rPr>
          <w:rFonts w:cs="Arial"/>
          <w:iCs/>
          <w:sz w:val="22"/>
          <w:szCs w:val="22"/>
        </w:rPr>
        <w:t xml:space="preserve">) – Kinga Szymańska, Malwina </w:t>
      </w:r>
      <w:proofErr w:type="spellStart"/>
      <w:r w:rsidRPr="00EC4B69">
        <w:rPr>
          <w:rFonts w:cs="Arial"/>
          <w:iCs/>
          <w:sz w:val="22"/>
          <w:szCs w:val="22"/>
        </w:rPr>
        <w:t>Rębowska</w:t>
      </w:r>
      <w:proofErr w:type="spellEnd"/>
      <w:r w:rsidRPr="00EC4B69">
        <w:rPr>
          <w:rFonts w:cs="Arial"/>
          <w:iCs/>
          <w:sz w:val="22"/>
          <w:szCs w:val="22"/>
        </w:rPr>
        <w:t xml:space="preserve">, Aleksandra </w:t>
      </w:r>
      <w:proofErr w:type="spellStart"/>
      <w:r w:rsidRPr="00EC4B69">
        <w:rPr>
          <w:rFonts w:cs="Arial"/>
          <w:iCs/>
          <w:sz w:val="22"/>
          <w:szCs w:val="22"/>
        </w:rPr>
        <w:t>Żero</w:t>
      </w:r>
      <w:proofErr w:type="spellEnd"/>
      <w:r w:rsidRPr="00EC4B69">
        <w:rPr>
          <w:rFonts w:cs="Arial"/>
          <w:iCs/>
          <w:sz w:val="22"/>
          <w:szCs w:val="22"/>
        </w:rPr>
        <w:t>.</w:t>
      </w:r>
    </w:p>
    <w:p w14:paraId="35A9DDB3" w14:textId="77777777" w:rsidR="00C21D36" w:rsidRDefault="00C21D36" w:rsidP="005E03E6">
      <w:pPr>
        <w:shd w:val="clear" w:color="auto" w:fill="FFFFFF"/>
        <w:spacing w:line="360" w:lineRule="auto"/>
        <w:jc w:val="left"/>
        <w:rPr>
          <w:szCs w:val="22"/>
        </w:rPr>
      </w:pPr>
    </w:p>
    <w:p w14:paraId="436AF2E6" w14:textId="77777777" w:rsidR="00100D6C" w:rsidRDefault="00100D6C" w:rsidP="00F52FF1">
      <w:pPr>
        <w:jc w:val="left"/>
        <w:rPr>
          <w:szCs w:val="22"/>
        </w:rPr>
        <w:sectPr w:rsidR="00100D6C" w:rsidSect="007C29CC">
          <w:headerReference w:type="even" r:id="rId127"/>
          <w:headerReference w:type="default" r:id="rId128"/>
          <w:headerReference w:type="first" r:id="rId129"/>
          <w:pgSz w:w="11906" w:h="16838"/>
          <w:pgMar w:top="1418" w:right="1418" w:bottom="1418" w:left="1418" w:header="709" w:footer="709" w:gutter="0"/>
          <w:cols w:space="708"/>
          <w:docGrid w:linePitch="299"/>
        </w:sectPr>
      </w:pPr>
    </w:p>
    <w:p w14:paraId="0A1C0C7E" w14:textId="77777777" w:rsidR="00C8528E" w:rsidRDefault="00C8528E" w:rsidP="00AF6A2E">
      <w:pPr>
        <w:shd w:val="clear" w:color="auto" w:fill="FFFFFF"/>
        <w:rPr>
          <w:rFonts w:cs="Arial"/>
        </w:rPr>
      </w:pPr>
    </w:p>
    <w:sectPr w:rsidR="00C8528E" w:rsidSect="001C303B">
      <w:headerReference w:type="default" r:id="rId130"/>
      <w:footerReference w:type="default" r:id="rId131"/>
      <w:type w:val="oddPage"/>
      <w:pgSz w:w="11906" w:h="16838"/>
      <w:pgMar w:top="1418" w:right="1418" w:bottom="1418" w:left="1418" w:header="709" w:footer="709"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1FB9B0" w14:textId="77777777" w:rsidR="001140BA" w:rsidRDefault="001140BA">
      <w:r>
        <w:separator/>
      </w:r>
    </w:p>
    <w:p w14:paraId="6F236B7A" w14:textId="77777777" w:rsidR="001140BA" w:rsidRDefault="001140BA"/>
  </w:endnote>
  <w:endnote w:type="continuationSeparator" w:id="0">
    <w:p w14:paraId="56CE3F14" w14:textId="77777777" w:rsidR="001140BA" w:rsidRDefault="001140BA">
      <w:r>
        <w:continuationSeparator/>
      </w:r>
    </w:p>
    <w:p w14:paraId="4156D44F" w14:textId="77777777" w:rsidR="001140BA" w:rsidRDefault="001140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200247B" w:usb2="00000009" w:usb3="00000000" w:csb0="000001FF" w:csb1="00000000"/>
  </w:font>
  <w:font w:name="New York">
    <w:panose1 w:val="020405030605060203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Narrow">
    <w:charset w:val="00"/>
    <w:family w:val="swiss"/>
    <w:pitch w:val="variable"/>
    <w:sig w:usb0="20000287" w:usb1="00000003" w:usb2="00000000" w:usb3="00000000" w:csb0="000001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szCs w:val="20"/>
      </w:rPr>
      <w:id w:val="-1325119815"/>
      <w:docPartObj>
        <w:docPartGallery w:val="Page Numbers (Bottom of Page)"/>
        <w:docPartUnique/>
      </w:docPartObj>
    </w:sdtPr>
    <w:sdtContent>
      <w:p w14:paraId="63C7F248" w14:textId="376FC327" w:rsidR="00395325" w:rsidRPr="00960C6C" w:rsidRDefault="00000000" w:rsidP="00960C6C">
        <w:pPr>
          <w:pStyle w:val="Stopka"/>
          <w:jc w:val="center"/>
          <w:rPr>
            <w:sz w:val="20"/>
            <w:szCs w:val="20"/>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9945884"/>
      <w:docPartObj>
        <w:docPartGallery w:val="Page Numbers (Bottom of Page)"/>
        <w:docPartUnique/>
      </w:docPartObj>
    </w:sdtPr>
    <w:sdtContent>
      <w:p w14:paraId="6BC31E56" w14:textId="28528890" w:rsidR="00395325" w:rsidRPr="00281E03" w:rsidRDefault="00395325" w:rsidP="004C0B02">
        <w:pPr>
          <w:pStyle w:val="Stopka"/>
          <w:jc w:val="center"/>
        </w:pPr>
        <w:r>
          <w:fldChar w:fldCharType="begin"/>
        </w:r>
        <w:r>
          <w:instrText>PAGE   \* MERGEFORMAT</w:instrText>
        </w:r>
        <w:r>
          <w:fldChar w:fldCharType="separate"/>
        </w:r>
        <w:r>
          <w:rPr>
            <w:noProof/>
          </w:rPr>
          <w:t>133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A6EAF5" w14:textId="3C60B880" w:rsidR="00395325" w:rsidRPr="002B1721" w:rsidRDefault="00395325" w:rsidP="002B1721">
    <w:pPr>
      <w:pStyle w:val="Stopka"/>
      <w:spacing w:before="60"/>
      <w:jc w:val="center"/>
      <w:rPr>
        <w:rFonts w:cs="Arial"/>
        <w:color w:val="365F91"/>
        <w:sz w:val="20"/>
        <w:szCs w:val="20"/>
      </w:rPr>
    </w:pPr>
    <w:r>
      <w:rPr>
        <w:noProof/>
      </w:rPr>
      <mc:AlternateContent>
        <mc:Choice Requires="wps">
          <w:drawing>
            <wp:anchor distT="4294967294" distB="4294967294" distL="114300" distR="114300" simplePos="0" relativeHeight="251665408" behindDoc="0" locked="0" layoutInCell="1" allowOverlap="1" wp14:anchorId="189093E5" wp14:editId="7D867854">
              <wp:simplePos x="0" y="0"/>
              <wp:positionH relativeFrom="column">
                <wp:align>center</wp:align>
              </wp:positionH>
              <wp:positionV relativeFrom="paragraph">
                <wp:posOffset>13969</wp:posOffset>
              </wp:positionV>
              <wp:extent cx="1800225" cy="0"/>
              <wp:effectExtent l="0" t="0" r="9525" b="0"/>
              <wp:wrapNone/>
              <wp:docPr id="20"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0225" cy="0"/>
                      </a:xfrm>
                      <a:prstGeom prst="straightConnector1">
                        <a:avLst/>
                      </a:prstGeom>
                      <a:noFill/>
                      <a:ln w="9525">
                        <a:solidFill>
                          <a:srgbClr val="2E74B5"/>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type w14:anchorId="7FDF72ED" id="_x0000_t32" coordsize="21600,21600" o:spt="32" o:oned="t" path="m,l21600,21600e" filled="f">
              <v:path arrowok="t" fillok="f" o:connecttype="none"/>
              <o:lock v:ext="edit" shapetype="t"/>
            </v:shapetype>
            <v:shape id="AutoShape 10" o:spid="_x0000_s1026" type="#_x0000_t32" style="position:absolute;margin-left:0;margin-top:1.1pt;width:141.75pt;height:0;z-index:251665408;visibility:visible;mso-wrap-style:square;mso-width-percent:0;mso-height-percent:0;mso-wrap-distance-left:9pt;mso-wrap-distance-top:-6e-5mm;mso-wrap-distance-right:9pt;mso-wrap-distance-bottom:-6e-5mm;mso-position-horizontal:center;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" strokecolor="#2e74b5"/>
          </w:pict>
        </mc:Fallback>
      </mc:AlternateContent>
    </w:r>
    <w:r w:rsidRPr="00B60819">
      <w:rPr>
        <w:rFonts w:cs="Arial"/>
        <w:color w:val="365F91"/>
        <w:sz w:val="20"/>
        <w:szCs w:val="20"/>
      </w:rPr>
      <w:fldChar w:fldCharType="begin"/>
    </w:r>
    <w:r w:rsidRPr="00B60819">
      <w:rPr>
        <w:rFonts w:cs="Arial"/>
        <w:color w:val="365F91"/>
        <w:sz w:val="20"/>
        <w:szCs w:val="20"/>
      </w:rPr>
      <w:instrText xml:space="preserve"> PAGE   \* MERGEFORMAT </w:instrText>
    </w:r>
    <w:r w:rsidRPr="00B60819">
      <w:rPr>
        <w:rFonts w:cs="Arial"/>
        <w:color w:val="365F91"/>
        <w:sz w:val="20"/>
        <w:szCs w:val="20"/>
      </w:rPr>
      <w:fldChar w:fldCharType="separate"/>
    </w:r>
    <w:r w:rsidR="00515945">
      <w:rPr>
        <w:rFonts w:cs="Arial"/>
        <w:noProof/>
        <w:color w:val="365F91"/>
        <w:sz w:val="20"/>
        <w:szCs w:val="20"/>
      </w:rPr>
      <w:t>190</w:t>
    </w:r>
    <w:r w:rsidRPr="00B60819">
      <w:rPr>
        <w:rFonts w:cs="Arial"/>
        <w:color w:val="365F91"/>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89459" w14:textId="2E440305" w:rsidR="00395325" w:rsidRDefault="00395325">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DE3C59" w14:textId="77777777" w:rsidR="001140BA" w:rsidRDefault="001140BA">
      <w:r>
        <w:separator/>
      </w:r>
    </w:p>
  </w:footnote>
  <w:footnote w:type="continuationSeparator" w:id="0">
    <w:p w14:paraId="63BF074D" w14:textId="77777777" w:rsidR="001140BA" w:rsidRDefault="001140BA">
      <w:r>
        <w:continuationSeparator/>
      </w:r>
    </w:p>
    <w:p w14:paraId="3287F149" w14:textId="77777777" w:rsidR="001140BA" w:rsidRDefault="001140BA"/>
  </w:footnote>
  <w:footnote w:type="continuationNotice" w:id="1">
    <w:p w14:paraId="52224494" w14:textId="77777777" w:rsidR="001140BA" w:rsidRDefault="001140BA"/>
  </w:footnote>
  <w:footnote w:id="2">
    <w:p w14:paraId="526989F4" w14:textId="77777777" w:rsidR="00395325" w:rsidRDefault="00395325" w:rsidP="009147DA">
      <w:pPr>
        <w:pStyle w:val="Tekstprzypisudolnego"/>
      </w:pPr>
      <w:r>
        <w:rPr>
          <w:rStyle w:val="Odwoanieprzypisudolnego"/>
        </w:rPr>
        <w:footnoteRef/>
      </w:r>
      <w:r>
        <w:t xml:space="preserve"> </w:t>
      </w:r>
      <w:r w:rsidRPr="007B75EE">
        <w:t>Według szacunków GUS produkt krajowy brutto (PKB) w 202</w:t>
      </w:r>
      <w:r>
        <w:t>5</w:t>
      </w:r>
      <w:r w:rsidRPr="007B75EE">
        <w:t xml:space="preserve"> r</w:t>
      </w:r>
      <w:r>
        <w:t>. kształtował się na poziomie 3 894,0</w:t>
      </w:r>
      <w:r w:rsidRPr="007B75EE">
        <w:t xml:space="preserve"> mld zł</w:t>
      </w:r>
      <w:r>
        <w:t>.</w:t>
      </w:r>
      <w:r w:rsidRPr="007B75EE">
        <w:t xml:space="preserve"> (Biuletyn Statystyczny Nr </w:t>
      </w:r>
      <w:r>
        <w:t>2</w:t>
      </w:r>
      <w:r w:rsidRPr="007B75EE">
        <w:t>/202</w:t>
      </w:r>
      <w:r>
        <w:t>6</w:t>
      </w:r>
      <w:r w:rsidRPr="007B75EE">
        <w:t>).</w:t>
      </w:r>
    </w:p>
  </w:footnote>
  <w:footnote w:id="3">
    <w:p w14:paraId="672B44C6" w14:textId="77777777" w:rsidR="00395325" w:rsidRDefault="00395325" w:rsidP="002D612B">
      <w:pPr>
        <w:pStyle w:val="Tekstprzypisudolnego"/>
      </w:pPr>
      <w:r>
        <w:rPr>
          <w:rStyle w:val="Odwoanieprzypisudolnego"/>
        </w:rPr>
        <w:footnoteRef/>
      </w:r>
      <w:r>
        <w:t xml:space="preserve"> </w:t>
      </w:r>
      <w:r w:rsidRPr="00F12893">
        <w:t>Średni czas liczony jest od daty publikacji ogłoszenia o zamówieniu do daty zawarcia umowy wskazanej w ogłoszeniu o wyniku postępowania, a więc dotyczy zamówień udzielanych w trybie podstawowym oraz w trybie partnerstwa innowacyjnego. W przypadku postępowań, w których dopuszczono składanie ofert częściowych dane dotyczą poszczególnych części zamówienia.</w:t>
      </w:r>
    </w:p>
  </w:footnote>
  <w:footnote w:id="4">
    <w:p w14:paraId="5107B150" w14:textId="77777777" w:rsidR="00395325" w:rsidRPr="009F600B" w:rsidRDefault="00395325" w:rsidP="002D612B">
      <w:pPr>
        <w:pStyle w:val="Tekstprzypisudolnego"/>
      </w:pPr>
      <w:r>
        <w:rPr>
          <w:rStyle w:val="Odwoanieprzypisudolnego"/>
        </w:rPr>
        <w:footnoteRef/>
      </w:r>
      <w:r>
        <w:t xml:space="preserve"> Dane dotyczące średniego czasu trwania postępowania zostały pobrane portalu </w:t>
      </w:r>
      <w:r w:rsidRPr="007C1F22">
        <w:t>Public Procurement Data Space</w:t>
      </w:r>
      <w:r>
        <w:t xml:space="preserve"> (</w:t>
      </w:r>
      <w:hyperlink r:id="rId1" w:history="1">
        <w:r w:rsidRPr="00907DB5">
          <w:rPr>
            <w:rStyle w:val="Hipercze"/>
          </w:rPr>
          <w:t>https://public-procurement-data-space.europa.eu</w:t>
        </w:r>
      </w:hyperlink>
      <w:r>
        <w:t>), prowadzonego przez Komisję Europejską. Czas trwania postępowania liczony jest jako okres między datą składania ofert, a datą zawarcia umowy.</w:t>
      </w:r>
    </w:p>
  </w:footnote>
  <w:footnote w:id="5">
    <w:p w14:paraId="19C3FF9D" w14:textId="77777777" w:rsidR="00395325" w:rsidRPr="00152392" w:rsidRDefault="00395325" w:rsidP="000637FE">
      <w:pPr>
        <w:pStyle w:val="Tekstprzypisudolnego"/>
      </w:pPr>
      <w:r>
        <w:rPr>
          <w:rStyle w:val="Odwoanieprzypisudolnego"/>
        </w:rPr>
        <w:footnoteRef/>
      </w:r>
      <w:r>
        <w:t xml:space="preserve"> </w:t>
      </w:r>
      <w:r w:rsidRPr="00152392">
        <w:t>Dane obliczono z wykorzystaniem zmienionej metodologii. Poprzednia metoda identyfikowała zamówienia z kryterium wyłącznie cenowym na podstawie wagi liczbowej (wartość 100 lub 1), co skutkowało niepełnym pokryciem próby (ok. 67%) oraz ryzykiem błędnej klasyfikacji. Aktualna metodologia wyklucza ze zbioru ogłoszenia, w których wystąpił co najmniej jeden typ kryterium inny niż cena (jakość lub koszt), co pozwoliło objąć analizą 99% zamówień w próbie.</w:t>
      </w:r>
    </w:p>
  </w:footnote>
  <w:footnote w:id="6">
    <w:p w14:paraId="294F410A" w14:textId="77777777" w:rsidR="00395325" w:rsidRDefault="00395325" w:rsidP="009D6192">
      <w:pPr>
        <w:pStyle w:val="Tekstprzypisudolnego"/>
      </w:pPr>
      <w:r>
        <w:rPr>
          <w:rStyle w:val="Odwoanieprzypisudolnego"/>
        </w:rPr>
        <w:footnoteRef/>
      </w:r>
      <w:r>
        <w:t xml:space="preserve"> </w:t>
      </w:r>
      <w:r w:rsidRPr="00CD3C4F">
        <w:t>Dane dotyczące liczby ofert nie obejmują postępowań o udzielenie zamówienia publicznego w trybie negocjacji bez ogłoszenia i zamówienia z wolnej ręki. W przypadku postępowań, w których dopuszczono składanie ofert częściowych dane dotyczą poszczególnych części zamówienia.</w:t>
      </w:r>
    </w:p>
  </w:footnote>
  <w:footnote w:id="7">
    <w:p w14:paraId="6F3E1376" w14:textId="77777777" w:rsidR="00395325" w:rsidRDefault="00395325" w:rsidP="009D6192">
      <w:pPr>
        <w:pStyle w:val="Tekstprzypisudolnego"/>
      </w:pPr>
      <w:r>
        <w:rPr>
          <w:rStyle w:val="Odwoanieprzypisudolnego"/>
        </w:rPr>
        <w:footnoteRef/>
      </w:r>
      <w:r>
        <w:t xml:space="preserve"> </w:t>
      </w:r>
      <w:r w:rsidRPr="00CD3C4F">
        <w:t xml:space="preserve">Dane dotyczące liczby ofert nie obejmują postępowań o udzielenie zamówienia publicznego w trybie negocjacji bez ogłoszenia i zamówienia z wolnej ręki. </w:t>
      </w:r>
      <w:r>
        <w:t xml:space="preserve">Dane dotyczą średniej liczby ofert w postępowaniu bez względu na to czy dopuszczono </w:t>
      </w:r>
      <w:r w:rsidRPr="00CD3C4F">
        <w:t>składanie ofert częściowych</w:t>
      </w:r>
      <w:r>
        <w:t>.</w:t>
      </w:r>
    </w:p>
  </w:footnote>
  <w:footnote w:id="8">
    <w:p w14:paraId="7913F165" w14:textId="77777777" w:rsidR="00395325" w:rsidRDefault="00395325" w:rsidP="009D6192">
      <w:pPr>
        <w:pStyle w:val="Tekstprzypisudolnego"/>
      </w:pPr>
      <w:r>
        <w:rPr>
          <w:rStyle w:val="Odwoanieprzypisudolnego"/>
        </w:rPr>
        <w:footnoteRef/>
      </w:r>
      <w:r>
        <w:t xml:space="preserve"> </w:t>
      </w:r>
      <w:r w:rsidRPr="005F7BEC">
        <w:t xml:space="preserve">Art. 259 </w:t>
      </w:r>
      <w:r>
        <w:t xml:space="preserve">ustawy </w:t>
      </w:r>
      <w:r w:rsidRPr="005F7BEC">
        <w:t>Pzp przewiduje częściowe unieważnienie postępowania o udzielenie zamówienia, jeżeli przyczyna unieważnienia postępowania dotyczy tylko części zamówienia</w:t>
      </w:r>
      <w:r>
        <w:t xml:space="preserve">, w przypadku, gdy </w:t>
      </w:r>
      <w:r w:rsidRPr="005F7BEC">
        <w:t>zamawiający dopuścił możliwość składania ofert częściowych</w:t>
      </w:r>
      <w:r>
        <w:t>.</w:t>
      </w:r>
    </w:p>
  </w:footnote>
  <w:footnote w:id="9">
    <w:p w14:paraId="32AB2F8A" w14:textId="77777777" w:rsidR="00395325" w:rsidRDefault="00395325" w:rsidP="0033037B">
      <w:pPr>
        <w:pStyle w:val="Tekstprzypisudolnego"/>
      </w:pPr>
      <w:r>
        <w:rPr>
          <w:rStyle w:val="Odwoanieprzypisudolnego"/>
        </w:rPr>
        <w:footnoteRef/>
      </w:r>
      <w:r>
        <w:t xml:space="preserve"> Kraj podmiotu identyfikowany jest wyłącznie poprzez miejsce zamieszkania lub siedzibę podane w treści</w:t>
      </w:r>
    </w:p>
    <w:p w14:paraId="6C4B9174" w14:textId="77777777" w:rsidR="00395325" w:rsidRDefault="00395325" w:rsidP="0033037B">
      <w:pPr>
        <w:pStyle w:val="Tekstprzypisudolnego"/>
      </w:pPr>
      <w:r>
        <w:t>ogłoszenia o udzieleniu zamówienia. Nie jest badana struktura własnościowa przedsiębiorców z uwagi na brak</w:t>
      </w:r>
    </w:p>
    <w:p w14:paraId="2A18048E" w14:textId="77777777" w:rsidR="00395325" w:rsidRDefault="00395325" w:rsidP="0033037B">
      <w:pPr>
        <w:pStyle w:val="Tekstprzypisudolnego"/>
      </w:pPr>
      <w:r>
        <w:t>informacji w tym zakresie w publikowanych ogłoszeniach.</w:t>
      </w:r>
    </w:p>
  </w:footnote>
  <w:footnote w:id="10">
    <w:p w14:paraId="76738756" w14:textId="77777777" w:rsidR="00395325" w:rsidRDefault="00395325" w:rsidP="0033037B">
      <w:pPr>
        <w:pStyle w:val="Tekstprzypisudolnego"/>
      </w:pPr>
      <w:r>
        <w:rPr>
          <w:rStyle w:val="Odwoanieprzypisudolnego"/>
        </w:rPr>
        <w:footnoteRef/>
      </w:r>
      <w:r>
        <w:t xml:space="preserve"> W opracowaniu nie uwzględniono zamówień o wartości mniejszej niż progi unijne, udzielanych polskim</w:t>
      </w:r>
    </w:p>
    <w:p w14:paraId="491BE095" w14:textId="77777777" w:rsidR="00395325" w:rsidRDefault="00395325" w:rsidP="0033037B">
      <w:pPr>
        <w:pStyle w:val="Tekstprzypisudolnego"/>
      </w:pPr>
      <w:r>
        <w:t>przedsiębiorcom na rynku europejskim, z uwagi na brak publikacji tego rodzaju ogłoszeń w Dzienniku Urzędowym</w:t>
      </w:r>
    </w:p>
    <w:p w14:paraId="4D839529" w14:textId="77777777" w:rsidR="00395325" w:rsidRDefault="00395325" w:rsidP="0033037B">
      <w:pPr>
        <w:pStyle w:val="Tekstprzypisudolnego"/>
      </w:pPr>
      <w:r>
        <w:t>UE.</w:t>
      </w:r>
    </w:p>
  </w:footnote>
  <w:footnote w:id="11">
    <w:p w14:paraId="4BFE285A" w14:textId="77777777" w:rsidR="00395325" w:rsidRDefault="00395325" w:rsidP="0033037B">
      <w:pPr>
        <w:pStyle w:val="Tekstprzypisudolnego"/>
      </w:pPr>
      <w:r>
        <w:rPr>
          <w:rStyle w:val="Odwoanieprzypisudolnego"/>
        </w:rPr>
        <w:footnoteRef/>
      </w:r>
      <w:r>
        <w:t xml:space="preserve"> Wskazana wartość może być zaniżona w stosunku do faktycznej z uwagi na brak w części ogłoszeń informacji</w:t>
      </w:r>
    </w:p>
    <w:p w14:paraId="705ED218" w14:textId="77777777" w:rsidR="00395325" w:rsidRDefault="00395325" w:rsidP="0033037B">
      <w:pPr>
        <w:pStyle w:val="Tekstprzypisudolnego"/>
      </w:pPr>
      <w:r>
        <w:t>na temat wartości udzielonego zamówienia.</w:t>
      </w:r>
    </w:p>
  </w:footnote>
  <w:footnote w:id="12">
    <w:p w14:paraId="08421758" w14:textId="2151E021" w:rsidR="00395325" w:rsidRDefault="00395325" w:rsidP="00A078EB">
      <w:pPr>
        <w:pStyle w:val="Tekstprzypisudolnego"/>
      </w:pPr>
      <w:r>
        <w:rPr>
          <w:rStyle w:val="Odwoanieprzypisudolnego"/>
        </w:rPr>
        <w:footnoteRef/>
      </w:r>
      <w:r>
        <w:t xml:space="preserve"> </w:t>
      </w:r>
      <w:r w:rsidRPr="006929CF">
        <w:rPr>
          <w:rFonts w:cs="Arial"/>
          <w:b/>
          <w:bCs/>
          <w:szCs w:val="18"/>
          <w:u w:val="single"/>
        </w:rPr>
        <w:t>UWAGA:</w:t>
      </w:r>
      <w:r w:rsidRPr="006929CF">
        <w:rPr>
          <w:rFonts w:cs="Arial"/>
          <w:szCs w:val="18"/>
        </w:rPr>
        <w:t xml:space="preserve"> Łączna liczba zamawiających, którzy udzielili społecznych zamówień publicznych jest mniejsza niż suma liczby zamawiających, którzy w udzielonych zamówieniach uwzględnili aspekty społeczne (na podst. art. 94 ust. 1, art. 100 ust. 1, art. 242 ust. 2, art. 95 ust. 1, art. 96 ust. 1, art. 104 ustawy Pzp) oraz liczby zamawiających, którzy udzielili zamówień zastrzeżonych na usługi zdrowotne, społeczne lub kulturalne, o których mowa w art. 361 ust. 1 lub art. 392 ust. 3 ustawy Pzp </w:t>
      </w:r>
      <w:r w:rsidRPr="006929CF">
        <w:rPr>
          <w:rFonts w:cs="Arial"/>
          <w:b/>
          <w:bCs/>
          <w:szCs w:val="18"/>
        </w:rPr>
        <w:t>ze względu na przypadki występowania w obu zestawieniach tych samych jednostek</w:t>
      </w:r>
      <w:r w:rsidRPr="006929CF">
        <w:rPr>
          <w:rFonts w:cs="Arial"/>
          <w:bCs/>
          <w:szCs w:val="18"/>
        </w:rPr>
        <w:t>.</w:t>
      </w:r>
    </w:p>
  </w:footnote>
  <w:footnote w:id="13">
    <w:p w14:paraId="72EF4E1B" w14:textId="7614882D" w:rsidR="00395325" w:rsidRDefault="00395325" w:rsidP="00A078EB">
      <w:pPr>
        <w:pStyle w:val="Tekstprzypisudolnego"/>
      </w:pPr>
      <w:r>
        <w:rPr>
          <w:rStyle w:val="Odwoanieprzypisudolnego"/>
        </w:rPr>
        <w:footnoteRef/>
      </w:r>
      <w:r>
        <w:t xml:space="preserve"> </w:t>
      </w:r>
      <w:r w:rsidRPr="006F10DD">
        <w:rPr>
          <w:b/>
          <w:bCs/>
          <w:u w:val="single"/>
        </w:rPr>
        <w:t>UWAGA:</w:t>
      </w:r>
      <w:r w:rsidRPr="006F10DD">
        <w:t xml:space="preserve"> Łączna liczba zamawiających, którzy udzielili społecznych zamówień publicznych</w:t>
      </w:r>
      <w:r>
        <w:t>,</w:t>
      </w:r>
      <w:r w:rsidRPr="006F10DD">
        <w:t xml:space="preserve"> jest mniejsza niż suma liczby zamawiających, którzy w udzielonych zamówieniach uwzględnili aspekty społeczne (na podst. art. 94 ust. 1, art. 100 ust. 1, art. 242 ust. 2, art. 95 ust. 1, art. 96 ust. 1, art. 104 ustawy Pzp) oraz liczby zamawiających, którzy udzielili zamówień zastrzeżonych na usługi zdrowotne, społeczne lub kulturalne, o których mowa w art. 361 ust. 1 lub art. 392 ust. 3 ustawy Pzp </w:t>
      </w:r>
      <w:r w:rsidRPr="006F10DD">
        <w:rPr>
          <w:b/>
          <w:bCs/>
        </w:rPr>
        <w:t>ze względu na przypadki występowania w obu zestawieniach tych samych jednostek</w:t>
      </w:r>
      <w:r w:rsidRPr="006F10DD">
        <w:rPr>
          <w:bCs/>
        </w:rPr>
        <w:t>.</w:t>
      </w:r>
    </w:p>
  </w:footnote>
  <w:footnote w:id="14">
    <w:p w14:paraId="4CF91630" w14:textId="77777777" w:rsidR="00395325" w:rsidRDefault="00395325" w:rsidP="0054635B">
      <w:pPr>
        <w:pStyle w:val="Tekstprzypisudolnego"/>
      </w:pPr>
      <w:r>
        <w:rPr>
          <w:rStyle w:val="Odwoanieprzypisudolnego"/>
        </w:rPr>
        <w:footnoteRef/>
      </w:r>
      <w:r>
        <w:t xml:space="preserve"> </w:t>
      </w:r>
      <w:r w:rsidRPr="00654B7C">
        <w:rPr>
          <w:szCs w:val="18"/>
        </w:rPr>
        <w:t>Z uwagi na brak części informacji w upublicznianej przez Komisję Europejską bazie danych dotyczącej ogłoszeń publikowanych w TED, nie jest możliwe uwzględnienie danych z ogłoszeń publikowanych w Dz. Urz. UE.</w:t>
      </w:r>
    </w:p>
  </w:footnote>
  <w:footnote w:id="15">
    <w:p w14:paraId="61CADC38" w14:textId="77777777" w:rsidR="00395325" w:rsidRPr="00654B7C" w:rsidRDefault="00395325" w:rsidP="00644325">
      <w:pPr>
        <w:pStyle w:val="Tekstprzypisudolnego"/>
        <w:rPr>
          <w:szCs w:val="18"/>
        </w:rPr>
      </w:pPr>
      <w:r w:rsidRPr="00654B7C">
        <w:rPr>
          <w:rStyle w:val="Odwoanieprzypisudolnego"/>
          <w:szCs w:val="18"/>
        </w:rPr>
        <w:footnoteRef/>
      </w:r>
      <w:r w:rsidRPr="00654B7C">
        <w:rPr>
          <w:szCs w:val="18"/>
        </w:rPr>
        <w:t xml:space="preserve"> Z uwagi na brak części informacji w upublicznianej przez Komisję Europejską bazie danych dotyczącej ogłoszeń publikowanych w TED, nie jest możliwe uwzględnienie danych z ogłoszeń publikowanych w Dz. Urz. UE.</w:t>
      </w:r>
    </w:p>
  </w:footnote>
  <w:footnote w:id="16">
    <w:p w14:paraId="6E14B64D" w14:textId="77777777" w:rsidR="00395325" w:rsidRPr="003655A5" w:rsidRDefault="00395325" w:rsidP="00644325">
      <w:pPr>
        <w:pStyle w:val="Tekstprzypisudolnego"/>
        <w:rPr>
          <w:szCs w:val="18"/>
        </w:rPr>
      </w:pPr>
      <w:r>
        <w:rPr>
          <w:rStyle w:val="Odwoanieprzypisudolnego"/>
        </w:rPr>
        <w:footnoteRef/>
      </w:r>
      <w:r>
        <w:t xml:space="preserve"> </w:t>
      </w:r>
      <w:r w:rsidRPr="00654B7C">
        <w:rPr>
          <w:szCs w:val="18"/>
        </w:rPr>
        <w:t>Z uwagi na brak części informacji w upublicznianej przez Komisję Europejską bazie danych dotyczącej ogłoszeń publikowanych w TED, nie jest możliwe uwzględnienie danych z ogłoszeń publikowanych w Dz. Urz. UE.</w:t>
      </w:r>
    </w:p>
  </w:footnote>
  <w:footnote w:id="17">
    <w:p w14:paraId="28BCC9B7" w14:textId="435205E2" w:rsidR="00395325" w:rsidRDefault="00395325">
      <w:pPr>
        <w:pStyle w:val="Tekstprzypisudolnego"/>
      </w:pPr>
      <w:r>
        <w:rPr>
          <w:rStyle w:val="Odwoanieprzypisudolnego"/>
        </w:rPr>
        <w:footnoteRef/>
      </w:r>
      <w:r>
        <w:t xml:space="preserve"> Ustawa </w:t>
      </w:r>
      <w:r w:rsidRPr="003F2D57">
        <w:t>z dnia 9 lipca 2025 r. o zmianie ustawy – Prawo zamówień publicznych oraz ustawy o umowie koncesji na roboty budowlane lub usługi</w:t>
      </w:r>
      <w:r>
        <w:t xml:space="preserve"> (Dz. U. poz. 1165).</w:t>
      </w:r>
    </w:p>
  </w:footnote>
  <w:footnote w:id="18">
    <w:p w14:paraId="02D913B7" w14:textId="21D4EBBB" w:rsidR="00395325" w:rsidRDefault="00395325" w:rsidP="002250CC">
      <w:pPr>
        <w:pStyle w:val="Tekstprzypisudolnego"/>
      </w:pPr>
      <w:r>
        <w:rPr>
          <w:rStyle w:val="Odwoanieprzypisudolnego"/>
        </w:rPr>
        <w:footnoteRef/>
      </w:r>
      <w:r>
        <w:t xml:space="preserve"> Wskazana liczba obejmuje wnioski niezależnie od daty wpływu.</w:t>
      </w:r>
    </w:p>
  </w:footnote>
  <w:footnote w:id="19">
    <w:p w14:paraId="2504B7F4" w14:textId="22BBA8C9" w:rsidR="00395325" w:rsidRPr="00DE34A3" w:rsidRDefault="00395325" w:rsidP="001F1338">
      <w:pPr>
        <w:pStyle w:val="Tekstprzypisudolnego"/>
        <w:rPr>
          <w:rFonts w:cs="Arial"/>
          <w:szCs w:val="18"/>
        </w:rPr>
      </w:pPr>
      <w:r w:rsidRPr="00DE34A3">
        <w:rPr>
          <w:rStyle w:val="Odwoanieprzypisudolnego"/>
          <w:rFonts w:cs="Arial"/>
          <w:szCs w:val="18"/>
        </w:rPr>
        <w:footnoteRef/>
      </w:r>
      <w:r w:rsidRPr="00DE34A3">
        <w:rPr>
          <w:rFonts w:cs="Arial"/>
          <w:szCs w:val="18"/>
        </w:rPr>
        <w:t xml:space="preserve"> Wyrok z dnia 22 października 2024 r. w sprawie C-652/22 </w:t>
      </w:r>
      <w:r w:rsidRPr="00DE34A3">
        <w:rPr>
          <w:rFonts w:cs="Arial"/>
          <w:i/>
          <w:iCs/>
          <w:szCs w:val="18"/>
        </w:rPr>
        <w:t>Kolin Inşaat Turizm Sanayi ve Ticaret AȘ przeciwko Državna komisija za kontrolu postupaka javne nabave</w:t>
      </w:r>
      <w:r w:rsidRPr="00DE34A3">
        <w:rPr>
          <w:rFonts w:cs="Arial"/>
          <w:szCs w:val="18"/>
        </w:rPr>
        <w:t>, ECLI: ECLI:EU:C:2024:910.</w:t>
      </w:r>
    </w:p>
  </w:footnote>
  <w:footnote w:id="20">
    <w:p w14:paraId="4111C38A" w14:textId="6E29462E" w:rsidR="00395325" w:rsidRPr="00463E25" w:rsidRDefault="00395325" w:rsidP="001F1338">
      <w:pPr>
        <w:pStyle w:val="Tekstprzypisudolnego"/>
        <w:rPr>
          <w:rFonts w:cs="Arial"/>
          <w:szCs w:val="18"/>
        </w:rPr>
      </w:pPr>
      <w:r w:rsidRPr="00463E25">
        <w:rPr>
          <w:rStyle w:val="Odwoanieprzypisudolnego"/>
          <w:rFonts w:cs="Arial"/>
          <w:szCs w:val="18"/>
        </w:rPr>
        <w:footnoteRef/>
      </w:r>
      <w:r w:rsidRPr="00463E25">
        <w:rPr>
          <w:rFonts w:cs="Arial"/>
          <w:szCs w:val="18"/>
        </w:rPr>
        <w:t xml:space="preserve"> </w:t>
      </w:r>
      <w:r w:rsidRPr="00463E25">
        <w:rPr>
          <w:rFonts w:cs="Arial"/>
          <w:color w:val="000000"/>
          <w:szCs w:val="18"/>
        </w:rPr>
        <w:t>Na podstawie pytań zebranych w trakcie prac grupy Komisja opracowała w 2025 r. odpowiedzi Q&amp;A dotyczące skutków wyroku TSUE w tych sprawach</w:t>
      </w:r>
      <w:r>
        <w:rPr>
          <w:rFonts w:cs="Arial"/>
          <w:color w:val="000000"/>
          <w:szCs w:val="18"/>
        </w:rPr>
        <w:t>.</w:t>
      </w:r>
    </w:p>
  </w:footnote>
  <w:footnote w:id="21">
    <w:p w14:paraId="357F35FD" w14:textId="041E4C3A" w:rsidR="00395325" w:rsidRPr="004462BE" w:rsidRDefault="00395325" w:rsidP="00E21813">
      <w:pPr>
        <w:pStyle w:val="Tekstprzypisudolnego"/>
        <w:rPr>
          <w:rFonts w:cs="Arial"/>
          <w:szCs w:val="18"/>
        </w:rPr>
      </w:pPr>
      <w:r w:rsidRPr="004462BE">
        <w:rPr>
          <w:rStyle w:val="Odwoanieprzypisudolnego"/>
          <w:rFonts w:cs="Arial"/>
          <w:szCs w:val="18"/>
        </w:rPr>
        <w:footnoteRef/>
      </w:r>
      <w:r w:rsidRPr="004462BE">
        <w:rPr>
          <w:rFonts w:cs="Arial"/>
          <w:szCs w:val="18"/>
        </w:rPr>
        <w:t xml:space="preserve"> wyrok z dnia 13 marca 2025 r. w sprawie C-266/22 </w:t>
      </w:r>
      <w:r w:rsidRPr="004462BE">
        <w:rPr>
          <w:rFonts w:cs="Arial"/>
          <w:i/>
          <w:iCs/>
          <w:szCs w:val="18"/>
        </w:rPr>
        <w:t>CRRC Qingdao Sifang CO LTD et Astra Vagoane Călători S.A. przeciwko Autoritatea pentru Reformă Feroviară i Alstom Ferroviaria S.P.A.</w:t>
      </w:r>
      <w:r w:rsidRPr="004462BE">
        <w:rPr>
          <w:rFonts w:cs="Arial"/>
          <w:szCs w:val="18"/>
        </w:rPr>
        <w:t>, ECLI: ECLI:EU:C:2025:178</w:t>
      </w:r>
      <w:r>
        <w:rPr>
          <w:rFonts w:cs="Arial"/>
          <w:szCs w:val="18"/>
        </w:rPr>
        <w:t>.</w:t>
      </w:r>
    </w:p>
  </w:footnote>
  <w:footnote w:id="22">
    <w:p w14:paraId="6C42157C" w14:textId="270B864D" w:rsidR="00395325" w:rsidRPr="004002D9" w:rsidRDefault="00395325" w:rsidP="005223A4">
      <w:pPr>
        <w:pStyle w:val="Tekstprzypisudolnego"/>
        <w:rPr>
          <w:rFonts w:cs="Arial"/>
          <w:szCs w:val="18"/>
        </w:rPr>
      </w:pPr>
      <w:r w:rsidRPr="004002D9">
        <w:rPr>
          <w:rStyle w:val="Odwoanieprzypisudolnego"/>
          <w:rFonts w:cs="Arial"/>
          <w:szCs w:val="18"/>
        </w:rPr>
        <w:footnoteRef/>
      </w:r>
      <w:r w:rsidRPr="004002D9">
        <w:rPr>
          <w:rFonts w:cs="Arial"/>
          <w:szCs w:val="18"/>
        </w:rPr>
        <w:t xml:space="preserve"> rozporządzenie Parlamentu Europejskiego i Rady (UE) 2024/1735 z dnia 13 czerwca 2024 r. w sprawie ustanowienia ram środków na rzecz wzmocnienia europejskiego ekosystemu produkcji technologii neutralnych emisyjnie i zmieniające rozporządzenie (UE) 2018/1724.</w:t>
      </w:r>
    </w:p>
  </w:footnote>
  <w:footnote w:id="23">
    <w:p w14:paraId="3E3F1D13" w14:textId="47C67E80" w:rsidR="00395325" w:rsidRPr="004002D9" w:rsidRDefault="00395325" w:rsidP="005223A4">
      <w:pPr>
        <w:pStyle w:val="Tekstprzypisudolnego"/>
        <w:rPr>
          <w:rFonts w:cs="Arial"/>
          <w:szCs w:val="18"/>
        </w:rPr>
      </w:pPr>
      <w:r w:rsidRPr="004002D9">
        <w:rPr>
          <w:rStyle w:val="Odwoanieprzypisudolnego"/>
          <w:rFonts w:cs="Arial"/>
          <w:szCs w:val="18"/>
        </w:rPr>
        <w:footnoteRef/>
      </w:r>
      <w:r w:rsidRPr="004002D9">
        <w:rPr>
          <w:rFonts w:cs="Arial"/>
          <w:szCs w:val="18"/>
        </w:rPr>
        <w:t xml:space="preserve"> rozporządzenie Parlamentu Europejskiego i Rady (UE) 2022/1031 z dnia 23 czerwca 2022 r. w sprawie dostępu wykonawców, towarów i usług z państw trzecich do unijnych rynków zamówień publicznych i koncesji oraz procedur wspierających negocjacje dotyczące dostępu unijnych wykonawców, towarów i usług do rynków zamówień publicznych i koncesji państw trzecich (Instrument Zamówień Międzynarodowych – IZM).</w:t>
      </w:r>
    </w:p>
  </w:footnote>
  <w:footnote w:id="24">
    <w:p w14:paraId="33BA96DA" w14:textId="1E15A592" w:rsidR="00395325" w:rsidRPr="00EE271C" w:rsidRDefault="00395325" w:rsidP="003B2931">
      <w:pPr>
        <w:pStyle w:val="Tekstprzypisudolnego"/>
        <w:jc w:val="both"/>
        <w:rPr>
          <w:rFonts w:cs="Arial"/>
          <w:szCs w:val="18"/>
        </w:rPr>
      </w:pPr>
      <w:r w:rsidRPr="00EE271C">
        <w:rPr>
          <w:rStyle w:val="Odwoanieprzypisudolnego"/>
          <w:rFonts w:cs="Arial"/>
          <w:szCs w:val="18"/>
        </w:rPr>
        <w:footnoteRef/>
      </w:r>
      <w:r w:rsidRPr="00EE271C">
        <w:rPr>
          <w:rFonts w:cs="Arial"/>
          <w:szCs w:val="18"/>
        </w:rPr>
        <w:t xml:space="preserve"> dyrektywa 2004/18/WE Parlamentu Europejskiego i Rady z dnia 31 marca 2004 r. w sprawie koordynacji procedur udzielania zamówień publicznych na roboty budowlane, dostawy i usługi (Dz.U. L 134 z 30.04.2004, s. 114, ze zm.), uchylona dyrektywą Parlamentu Europejskiego i Rady 2014/24/UE z dnia 26 lutego 2014 r. (Dz.U. L 94 z 28.03.2014, s. 65).</w:t>
      </w:r>
    </w:p>
  </w:footnote>
  <w:footnote w:id="25">
    <w:p w14:paraId="1839F21A" w14:textId="01F5EAE1" w:rsidR="00395325" w:rsidRPr="00EE271C" w:rsidRDefault="00395325" w:rsidP="003B2931">
      <w:pPr>
        <w:pStyle w:val="Tekstprzypisudolnego"/>
        <w:jc w:val="both"/>
        <w:rPr>
          <w:rFonts w:cs="Arial"/>
          <w:szCs w:val="18"/>
        </w:rPr>
      </w:pPr>
      <w:r w:rsidRPr="00EE271C">
        <w:rPr>
          <w:rStyle w:val="Odwoanieprzypisudolnego"/>
          <w:rFonts w:cs="Arial"/>
          <w:szCs w:val="18"/>
        </w:rPr>
        <w:footnoteRef/>
      </w:r>
      <w:r w:rsidRPr="00EE271C">
        <w:rPr>
          <w:rFonts w:cs="Arial"/>
          <w:szCs w:val="18"/>
        </w:rPr>
        <w:t xml:space="preserve"> dyrektywa Parlamentu Europejskiego i Rady 2014/24/UE z dnia 26 lutego 2014 r. w sprawie zamówień publicznych, uchylająca dyrektywę 2004/18/WE (Dz. Urz. UE nr L 94 z 28.03.2014, str. 65).</w:t>
      </w:r>
    </w:p>
  </w:footnote>
  <w:footnote w:id="26">
    <w:p w14:paraId="02099F2C" w14:textId="418DCA10" w:rsidR="00395325" w:rsidRPr="002362F3" w:rsidRDefault="00395325" w:rsidP="003B2931">
      <w:pPr>
        <w:pStyle w:val="Tekstprzypisudolnego"/>
        <w:jc w:val="both"/>
        <w:rPr>
          <w:rFonts w:cs="Arial"/>
          <w:szCs w:val="18"/>
        </w:rPr>
      </w:pPr>
      <w:r w:rsidRPr="002362F3">
        <w:rPr>
          <w:rStyle w:val="Odwoanieprzypisudolnego"/>
          <w:rFonts w:cs="Arial"/>
          <w:szCs w:val="18"/>
        </w:rPr>
        <w:footnoteRef/>
      </w:r>
      <w:r w:rsidRPr="002362F3">
        <w:rPr>
          <w:rFonts w:cs="Arial"/>
          <w:szCs w:val="18"/>
        </w:rPr>
        <w:t xml:space="preserve"> rozporządzenie (WE) nr 1370/2007 Parlamentu Europejskiego i Rady z dnia 23 października 2007 r. dotyczące usług publicznych w zakresie kolejowego i drogowego transportu pasażerskiego oraz uchylające rozporządzenia Rady (EWG) nr 1191/69 i (EWG) nr 1107/70 (Dz.U. L 315 z 3.12.2007, s. 1), zmienione rozporządzeniem (UE) 2016/2338 Parlamentu Europejskiego i Rady z dnia 14 grudnia 2016 r. (Dz.U. L 354 z 23.12.2016, s. 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982F7" w14:textId="77777777" w:rsidR="00395325" w:rsidRPr="00A855CF" w:rsidRDefault="00395325" w:rsidP="002B1721">
    <w:pPr>
      <w:pStyle w:val="Nagwek"/>
      <w:jc w:val="center"/>
      <w:rPr>
        <w:color w:val="2E74B5"/>
        <w:sz w:val="20"/>
        <w:szCs w:val="20"/>
      </w:rPr>
    </w:pPr>
    <w:r w:rsidRPr="00A855CF">
      <w:rPr>
        <w:color w:val="2E74B5"/>
        <w:sz w:val="20"/>
        <w:szCs w:val="20"/>
      </w:rPr>
      <w:t>Urząd Zamówień Publicznych</w:t>
    </w:r>
  </w:p>
  <w:p w14:paraId="0111EEF6" w14:textId="0CCAA507" w:rsidR="00395325" w:rsidRPr="00A855CF" w:rsidRDefault="00395325" w:rsidP="002B1721">
    <w:pPr>
      <w:pStyle w:val="Nagwek"/>
      <w:jc w:val="center"/>
      <w:rPr>
        <w:i/>
        <w:color w:val="2E74B5"/>
        <w:sz w:val="20"/>
        <w:szCs w:val="20"/>
      </w:rPr>
    </w:pPr>
    <w:r>
      <w:rPr>
        <w:noProof/>
      </w:rPr>
      <mc:AlternateContent>
        <mc:Choice Requires="wps">
          <w:drawing>
            <wp:anchor distT="4294967294" distB="4294967294" distL="114300" distR="114300" simplePos="0" relativeHeight="251663360" behindDoc="0" locked="0" layoutInCell="1" allowOverlap="1" wp14:anchorId="7F49A7C4" wp14:editId="47B5FF0E">
              <wp:simplePos x="0" y="0"/>
              <wp:positionH relativeFrom="column">
                <wp:posOffset>1270</wp:posOffset>
              </wp:positionH>
              <wp:positionV relativeFrom="paragraph">
                <wp:posOffset>215264</wp:posOffset>
              </wp:positionV>
              <wp:extent cx="5732145" cy="0"/>
              <wp:effectExtent l="0" t="0" r="12700" b="0"/>
              <wp:wrapNone/>
              <wp:docPr id="1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2145" cy="0"/>
                      </a:xfrm>
                      <a:prstGeom prst="straightConnector1">
                        <a:avLst/>
                      </a:prstGeom>
                      <a:noFill/>
                      <a:ln w="9525">
                        <a:solidFill>
                          <a:srgbClr val="2E74B5"/>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100000</wp14:pctWidth>
              </wp14:sizeRelH>
              <wp14:sizeRelV relativeFrom="page">
                <wp14:pctHeight>0</wp14:pctHeight>
              </wp14:sizeRelV>
            </wp:anchor>
          </w:drawing>
        </mc:Choice>
        <mc:Fallback>
          <w:pict>
            <v:shapetype w14:anchorId="63AB1F2A" id="_x0000_t32" coordsize="21600,21600" o:spt="32" o:oned="t" path="m,l21600,21600e" filled="f">
              <v:path arrowok="t" fillok="f" o:connecttype="none"/>
              <o:lock v:ext="edit" shapetype="t"/>
            </v:shapetype>
            <v:shape id="AutoShape 2" o:spid="_x0000_s1026" type="#_x0000_t32" style="position:absolute;margin-left:.1pt;margin-top:16.95pt;width:451.35pt;height:0;z-index:251663360;visibility:visible;mso-wrap-style:square;mso-width-percent:1000;mso-height-percent:0;mso-wrap-distance-left:9pt;mso-wrap-distance-top:-6e-5mm;mso-wrap-distance-right:9pt;mso-wrap-distance-bottom:-6e-5mm;mso-position-horizontal:absolute;mso-position-horizontal-relative:text;mso-position-vertical:absolute;mso-position-vertical-relative:text;mso-width-percent:100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" strokecolor="#2e74b5"/>
          </w:pict>
        </mc:Fallback>
      </mc:AlternateContent>
    </w:r>
    <w:r>
      <w:rPr>
        <w:i/>
        <w:color w:val="2E74B5"/>
        <w:sz w:val="20"/>
        <w:szCs w:val="20"/>
      </w:rPr>
      <w:t>Sprawozdanie z funkcjonowania</w:t>
    </w:r>
    <w:r w:rsidRPr="00A855CF">
      <w:rPr>
        <w:i/>
        <w:color w:val="2E74B5"/>
        <w:sz w:val="20"/>
        <w:szCs w:val="20"/>
      </w:rPr>
      <w:t xml:space="preserve"> systemu zamówień publicznych w 20</w:t>
    </w:r>
    <w:r>
      <w:rPr>
        <w:i/>
        <w:color w:val="2E74B5"/>
        <w:sz w:val="20"/>
        <w:szCs w:val="20"/>
      </w:rPr>
      <w:t>25</w:t>
    </w:r>
    <w:r w:rsidRPr="00A855CF">
      <w:rPr>
        <w:i/>
        <w:color w:val="2E74B5"/>
        <w:sz w:val="20"/>
        <w:szCs w:val="20"/>
      </w:rPr>
      <w:t xml:space="preserve"> r.</w:t>
    </w:r>
  </w:p>
  <w:p w14:paraId="280913CF" w14:textId="77777777" w:rsidR="00395325" w:rsidRDefault="00395325">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56CC5C" w14:textId="77777777" w:rsidR="00395325" w:rsidRPr="0045523F" w:rsidRDefault="00395325" w:rsidP="0045523F">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52327" w14:textId="77777777" w:rsidR="00395325" w:rsidRPr="0045523F" w:rsidRDefault="00395325" w:rsidP="0045523F">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2659A" w14:textId="77777777" w:rsidR="00395325" w:rsidRPr="00F51D34" w:rsidRDefault="00395325" w:rsidP="00AE658B">
    <w:pPr>
      <w:pStyle w:val="Nagwek"/>
      <w:jc w:val="right"/>
      <w:rPr>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9DFFC" w14:textId="77777777" w:rsidR="00395325" w:rsidRPr="0045523F" w:rsidRDefault="00395325" w:rsidP="0045523F">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D3795" w14:textId="77777777" w:rsidR="00395325" w:rsidRPr="0045523F" w:rsidRDefault="00395325" w:rsidP="0045523F">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D008FD" w14:textId="77777777" w:rsidR="00395325" w:rsidRPr="00F51D34" w:rsidRDefault="00395325" w:rsidP="00AE658B">
    <w:pPr>
      <w:pStyle w:val="Nagwek"/>
      <w:jc w:val="right"/>
      <w:rPr>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F4B2D" w14:textId="0D66FF6A" w:rsidR="00395325" w:rsidRPr="0045523F" w:rsidRDefault="00395325" w:rsidP="0045523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1"/>
    <w:name w:val="WW8Num5"/>
    <w:lvl w:ilvl="0">
      <w:start w:val="1"/>
      <w:numFmt w:val="bullet"/>
      <w:lvlText w:val=""/>
      <w:lvlJc w:val="left"/>
      <w:pPr>
        <w:tabs>
          <w:tab w:val="num" w:pos="1069"/>
        </w:tabs>
        <w:ind w:left="1069" w:hanging="360"/>
      </w:pPr>
      <w:rPr>
        <w:rFonts w:ascii="Symbol" w:hAnsi="Symbol"/>
      </w:rPr>
    </w:lvl>
  </w:abstractNum>
  <w:abstractNum w:abstractNumId="1" w15:restartNumberingAfterBreak="0">
    <w:nsid w:val="00000002"/>
    <w:multiLevelType w:val="singleLevel"/>
    <w:tmpl w:val="00000002"/>
    <w:name w:val="WW8Num10"/>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3"/>
    <w:multiLevelType w:val="singleLevel"/>
    <w:tmpl w:val="00000003"/>
    <w:name w:val="WW8Num11"/>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04"/>
    <w:multiLevelType w:val="multilevel"/>
    <w:tmpl w:val="00000004"/>
    <w:name w:val="WW8Num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 w15:restartNumberingAfterBreak="0">
    <w:nsid w:val="00000005"/>
    <w:multiLevelType w:val="singleLevel"/>
    <w:tmpl w:val="00000005"/>
    <w:name w:val="WW8Num16"/>
    <w:lvl w:ilvl="0">
      <w:start w:val="1"/>
      <w:numFmt w:val="bullet"/>
      <w:lvlText w:val=""/>
      <w:lvlJc w:val="left"/>
      <w:pPr>
        <w:tabs>
          <w:tab w:val="num" w:pos="720"/>
        </w:tabs>
        <w:ind w:left="720" w:hanging="360"/>
      </w:pPr>
      <w:rPr>
        <w:rFonts w:ascii="Symbol" w:hAnsi="Symbol"/>
      </w:rPr>
    </w:lvl>
  </w:abstractNum>
  <w:abstractNum w:abstractNumId="5" w15:restartNumberingAfterBreak="0">
    <w:nsid w:val="00000006"/>
    <w:multiLevelType w:val="multilevel"/>
    <w:tmpl w:val="00000006"/>
    <w:name w:val="WW8Num1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6" w15:restartNumberingAfterBreak="0">
    <w:nsid w:val="00000007"/>
    <w:multiLevelType w:val="singleLevel"/>
    <w:tmpl w:val="00000007"/>
    <w:name w:val="WW8Num19"/>
    <w:lvl w:ilvl="0">
      <w:start w:val="1"/>
      <w:numFmt w:val="bullet"/>
      <w:lvlText w:val=""/>
      <w:lvlJc w:val="left"/>
      <w:pPr>
        <w:tabs>
          <w:tab w:val="num" w:pos="720"/>
        </w:tabs>
        <w:ind w:left="720" w:hanging="360"/>
      </w:pPr>
      <w:rPr>
        <w:rFonts w:ascii="Symbol" w:hAnsi="Symbol"/>
      </w:rPr>
    </w:lvl>
  </w:abstractNum>
  <w:abstractNum w:abstractNumId="7" w15:restartNumberingAfterBreak="0">
    <w:nsid w:val="00000008"/>
    <w:multiLevelType w:val="singleLevel"/>
    <w:tmpl w:val="00000008"/>
    <w:name w:val="WW8Num24"/>
    <w:lvl w:ilvl="0">
      <w:start w:val="1"/>
      <w:numFmt w:val="bullet"/>
      <w:lvlText w:val=""/>
      <w:lvlJc w:val="left"/>
      <w:pPr>
        <w:tabs>
          <w:tab w:val="num" w:pos="720"/>
        </w:tabs>
        <w:ind w:left="720" w:hanging="360"/>
      </w:pPr>
      <w:rPr>
        <w:rFonts w:ascii="Symbol" w:hAnsi="Symbol"/>
      </w:rPr>
    </w:lvl>
  </w:abstractNum>
  <w:abstractNum w:abstractNumId="8" w15:restartNumberingAfterBreak="0">
    <w:nsid w:val="01887939"/>
    <w:multiLevelType w:val="hybridMultilevel"/>
    <w:tmpl w:val="7ED2CE22"/>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1C76E3C"/>
    <w:multiLevelType w:val="hybridMultilevel"/>
    <w:tmpl w:val="A8A652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1DA3B93"/>
    <w:multiLevelType w:val="hybridMultilevel"/>
    <w:tmpl w:val="6374F1F8"/>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2BE7067"/>
    <w:multiLevelType w:val="hybridMultilevel"/>
    <w:tmpl w:val="EC88A046"/>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36442EF"/>
    <w:multiLevelType w:val="hybridMultilevel"/>
    <w:tmpl w:val="0A6E5A02"/>
    <w:lvl w:ilvl="0" w:tplc="85A0ED56">
      <w:start w:val="1"/>
      <w:numFmt w:val="decimal"/>
      <w:lvlText w:val="%1)"/>
      <w:lvlJc w:val="right"/>
      <w:pPr>
        <w:ind w:left="720" w:hanging="360"/>
      </w:pPr>
      <w:rPr>
        <w:rFonts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036D2A93"/>
    <w:multiLevelType w:val="hybridMultilevel"/>
    <w:tmpl w:val="BCEC301E"/>
    <w:lvl w:ilvl="0" w:tplc="558EB098">
      <w:start w:val="1"/>
      <w:numFmt w:val="decimal"/>
      <w:lvlText w:val="%1."/>
      <w:lvlJc w:val="left"/>
      <w:pPr>
        <w:ind w:left="720" w:hanging="360"/>
      </w:pPr>
      <w:rPr>
        <w:rFonts w:hint="default"/>
        <w:b w:val="0"/>
        <w:bCs/>
        <w:i w:val="0"/>
        <w:iCs w:val="0"/>
      </w:rPr>
    </w:lvl>
    <w:lvl w:ilvl="1" w:tplc="A3DA7050">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459060F"/>
    <w:multiLevelType w:val="multilevel"/>
    <w:tmpl w:val="572A6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46D022F"/>
    <w:multiLevelType w:val="hybridMultilevel"/>
    <w:tmpl w:val="E9922076"/>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4D46025"/>
    <w:multiLevelType w:val="hybridMultilevel"/>
    <w:tmpl w:val="9294DD7C"/>
    <w:lvl w:ilvl="0" w:tplc="622A4002">
      <w:start w:val="1"/>
      <w:numFmt w:val="bullet"/>
      <w:lvlText w:val=""/>
      <w:lvlJc w:val="left"/>
      <w:pPr>
        <w:ind w:left="1080" w:hanging="360"/>
      </w:pPr>
      <w:rPr>
        <w:rFonts w:ascii="Wingdings" w:hAnsi="Wingdings" w:hint="default"/>
        <w:b/>
        <w:color w:val="2E74B5"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 w15:restartNumberingAfterBreak="0">
    <w:nsid w:val="0591309F"/>
    <w:multiLevelType w:val="hybridMultilevel"/>
    <w:tmpl w:val="19C2AB34"/>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 w15:restartNumberingAfterBreak="0">
    <w:nsid w:val="060A6917"/>
    <w:multiLevelType w:val="hybridMultilevel"/>
    <w:tmpl w:val="BCEC301E"/>
    <w:lvl w:ilvl="0" w:tplc="FFFFFFFF">
      <w:start w:val="1"/>
      <w:numFmt w:val="decimal"/>
      <w:lvlText w:val="%1."/>
      <w:lvlJc w:val="left"/>
      <w:pPr>
        <w:ind w:left="720" w:hanging="360"/>
      </w:pPr>
      <w:rPr>
        <w:rFonts w:hint="default"/>
        <w:b w:val="0"/>
        <w:bCs/>
        <w:i w:val="0"/>
        <w:iCs w:val="0"/>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8305210"/>
    <w:multiLevelType w:val="multilevel"/>
    <w:tmpl w:val="F06C192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0C887843"/>
    <w:multiLevelType w:val="hybridMultilevel"/>
    <w:tmpl w:val="0A6E5A02"/>
    <w:lvl w:ilvl="0" w:tplc="85A0ED56">
      <w:start w:val="1"/>
      <w:numFmt w:val="decimal"/>
      <w:lvlText w:val="%1)"/>
      <w:lvlJc w:val="right"/>
      <w:pPr>
        <w:ind w:left="720" w:hanging="360"/>
      </w:pPr>
      <w:rPr>
        <w:rFonts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0EB854A1"/>
    <w:multiLevelType w:val="hybridMultilevel"/>
    <w:tmpl w:val="F46C775A"/>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05F4294"/>
    <w:multiLevelType w:val="hybridMultilevel"/>
    <w:tmpl w:val="EF0C5C50"/>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3474734"/>
    <w:multiLevelType w:val="hybridMultilevel"/>
    <w:tmpl w:val="746E3340"/>
    <w:lvl w:ilvl="0" w:tplc="FFFFFFFF">
      <w:start w:val="1"/>
      <w:numFmt w:val="decimal"/>
      <w:lvlText w:val="%1."/>
      <w:lvlJc w:val="left"/>
      <w:pPr>
        <w:ind w:left="360" w:hanging="360"/>
      </w:pPr>
      <w:rPr>
        <w:rFonts w:hint="default"/>
        <w:b w:val="0"/>
        <w:bCs/>
        <w:i w:val="0"/>
        <w:iCs w:val="0"/>
      </w:r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14A354F9"/>
    <w:multiLevelType w:val="hybridMultilevel"/>
    <w:tmpl w:val="3F564F00"/>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6975F8B"/>
    <w:multiLevelType w:val="hybridMultilevel"/>
    <w:tmpl w:val="2228C070"/>
    <w:lvl w:ilvl="0" w:tplc="676AD632">
      <w:start w:val="1"/>
      <w:numFmt w:val="decimal"/>
      <w:lvlText w:val="%1)"/>
      <w:lvlJc w:val="left"/>
      <w:pPr>
        <w:ind w:left="1416" w:hanging="708"/>
      </w:pPr>
      <w:rPr>
        <w:rFonts w:hint="default"/>
        <w:sz w:val="22"/>
        <w:szCs w:val="22"/>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6" w15:restartNumberingAfterBreak="0">
    <w:nsid w:val="18023143"/>
    <w:multiLevelType w:val="hybridMultilevel"/>
    <w:tmpl w:val="14A07C66"/>
    <w:lvl w:ilvl="0" w:tplc="C68220CA">
      <w:start w:val="1"/>
      <w:numFmt w:val="decimal"/>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88E42F3"/>
    <w:multiLevelType w:val="hybridMultilevel"/>
    <w:tmpl w:val="67A83604"/>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9893FFD"/>
    <w:multiLevelType w:val="hybridMultilevel"/>
    <w:tmpl w:val="2FBA5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78773D"/>
    <w:multiLevelType w:val="multilevel"/>
    <w:tmpl w:val="70FAA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B9846BA"/>
    <w:multiLevelType w:val="hybridMultilevel"/>
    <w:tmpl w:val="2B4A17B4"/>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E3F1FF5"/>
    <w:multiLevelType w:val="hybridMultilevel"/>
    <w:tmpl w:val="E640AD4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F4F3EE5"/>
    <w:multiLevelType w:val="hybridMultilevel"/>
    <w:tmpl w:val="BCEC301E"/>
    <w:lvl w:ilvl="0" w:tplc="558EB098">
      <w:start w:val="1"/>
      <w:numFmt w:val="decimal"/>
      <w:lvlText w:val="%1."/>
      <w:lvlJc w:val="left"/>
      <w:pPr>
        <w:ind w:left="360" w:hanging="360"/>
      </w:pPr>
      <w:rPr>
        <w:rFonts w:hint="default"/>
        <w:b w:val="0"/>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 w15:restartNumberingAfterBreak="0">
    <w:nsid w:val="1FDE45EA"/>
    <w:multiLevelType w:val="hybridMultilevel"/>
    <w:tmpl w:val="BCEC301E"/>
    <w:lvl w:ilvl="0" w:tplc="558EB098">
      <w:start w:val="1"/>
      <w:numFmt w:val="decimal"/>
      <w:lvlText w:val="%1."/>
      <w:lvlJc w:val="left"/>
      <w:pPr>
        <w:ind w:left="360" w:hanging="360"/>
      </w:pPr>
      <w:rPr>
        <w:rFonts w:hint="default"/>
        <w:b w:val="0"/>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4" w15:restartNumberingAfterBreak="0">
    <w:nsid w:val="21061C64"/>
    <w:multiLevelType w:val="hybridMultilevel"/>
    <w:tmpl w:val="34C61976"/>
    <w:lvl w:ilvl="0" w:tplc="23640834">
      <w:start w:val="1"/>
      <w:numFmt w:val="decimal"/>
      <w:lvlText w:val="%1."/>
      <w:lvlJc w:val="left"/>
      <w:pPr>
        <w:tabs>
          <w:tab w:val="num" w:pos="360"/>
        </w:tabs>
        <w:ind w:left="360" w:hanging="360"/>
      </w:pPr>
      <w:rPr>
        <w:rFonts w:hint="default"/>
      </w:rPr>
    </w:lvl>
    <w:lvl w:ilvl="1" w:tplc="04150003">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225A1E1C"/>
    <w:multiLevelType w:val="multilevel"/>
    <w:tmpl w:val="A1720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3716D1A"/>
    <w:multiLevelType w:val="hybridMultilevel"/>
    <w:tmpl w:val="BCEC301E"/>
    <w:lvl w:ilvl="0" w:tplc="558EB098">
      <w:start w:val="1"/>
      <w:numFmt w:val="decimal"/>
      <w:lvlText w:val="%1."/>
      <w:lvlJc w:val="left"/>
      <w:pPr>
        <w:ind w:left="360" w:hanging="360"/>
      </w:pPr>
      <w:rPr>
        <w:rFonts w:hint="default"/>
        <w:b w:val="0"/>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7" w15:restartNumberingAfterBreak="0">
    <w:nsid w:val="26152AB1"/>
    <w:multiLevelType w:val="hybridMultilevel"/>
    <w:tmpl w:val="0D2833DE"/>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7174D83"/>
    <w:multiLevelType w:val="hybridMultilevel"/>
    <w:tmpl w:val="BDAAC89E"/>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8C37ADC"/>
    <w:multiLevelType w:val="hybridMultilevel"/>
    <w:tmpl w:val="A43AB2CA"/>
    <w:lvl w:ilvl="0" w:tplc="85A0ED56">
      <w:start w:val="1"/>
      <w:numFmt w:val="decimal"/>
      <w:lvlText w:val="%1)"/>
      <w:lvlJc w:val="right"/>
      <w:pPr>
        <w:ind w:left="720" w:hanging="360"/>
      </w:pPr>
      <w:rPr>
        <w:rFonts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2C155AD2"/>
    <w:multiLevelType w:val="hybridMultilevel"/>
    <w:tmpl w:val="0D90B468"/>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C7B2C9D"/>
    <w:multiLevelType w:val="hybridMultilevel"/>
    <w:tmpl w:val="80FCA852"/>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D1B26FA"/>
    <w:multiLevelType w:val="hybridMultilevel"/>
    <w:tmpl w:val="EDC40192"/>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5967554"/>
    <w:multiLevelType w:val="hybridMultilevel"/>
    <w:tmpl w:val="F04069D8"/>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8AF4F5D"/>
    <w:multiLevelType w:val="hybridMultilevel"/>
    <w:tmpl w:val="E2C896C6"/>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98B4A7F"/>
    <w:multiLevelType w:val="hybridMultilevel"/>
    <w:tmpl w:val="6F6E55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9F409C6"/>
    <w:multiLevelType w:val="multilevel"/>
    <w:tmpl w:val="54781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08F6061"/>
    <w:multiLevelType w:val="hybridMultilevel"/>
    <w:tmpl w:val="7A5A45B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40A37D32"/>
    <w:multiLevelType w:val="hybridMultilevel"/>
    <w:tmpl w:val="5032E4A0"/>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127408C"/>
    <w:multiLevelType w:val="hybridMultilevel"/>
    <w:tmpl w:val="FACCEC74"/>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2061583"/>
    <w:multiLevelType w:val="hybridMultilevel"/>
    <w:tmpl w:val="D6C6E2FC"/>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2947CC7"/>
    <w:multiLevelType w:val="hybridMultilevel"/>
    <w:tmpl w:val="50A2DDF4"/>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4E24556"/>
    <w:multiLevelType w:val="hybridMultilevel"/>
    <w:tmpl w:val="83D04170"/>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511639D"/>
    <w:multiLevelType w:val="hybridMultilevel"/>
    <w:tmpl w:val="B2D04C08"/>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65744AA"/>
    <w:multiLevelType w:val="hybridMultilevel"/>
    <w:tmpl w:val="D1809D1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467B13D8"/>
    <w:multiLevelType w:val="hybridMultilevel"/>
    <w:tmpl w:val="DF00935A"/>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9754C2F"/>
    <w:multiLevelType w:val="hybridMultilevel"/>
    <w:tmpl w:val="BCEC301E"/>
    <w:lvl w:ilvl="0" w:tplc="FFFFFFFF">
      <w:start w:val="1"/>
      <w:numFmt w:val="decimal"/>
      <w:lvlText w:val="%1."/>
      <w:lvlJc w:val="left"/>
      <w:pPr>
        <w:ind w:left="720" w:hanging="360"/>
      </w:pPr>
      <w:rPr>
        <w:rFonts w:hint="default"/>
        <w:b w:val="0"/>
        <w:bCs/>
        <w:i w:val="0"/>
        <w:iCs w:val="0"/>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4AE150CD"/>
    <w:multiLevelType w:val="hybridMultilevel"/>
    <w:tmpl w:val="2A22D538"/>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D8E1726"/>
    <w:multiLevelType w:val="hybridMultilevel"/>
    <w:tmpl w:val="89B8D28A"/>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503E2789"/>
    <w:multiLevelType w:val="hybridMultilevel"/>
    <w:tmpl w:val="BF86004A"/>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1A03FC2"/>
    <w:multiLevelType w:val="hybridMultilevel"/>
    <w:tmpl w:val="50984EB2"/>
    <w:lvl w:ilvl="0" w:tplc="04150003">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5A4B3EE5"/>
    <w:multiLevelType w:val="hybridMultilevel"/>
    <w:tmpl w:val="0C7AFBE2"/>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B326382"/>
    <w:multiLevelType w:val="hybridMultilevel"/>
    <w:tmpl w:val="8BB04996"/>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D097D3C"/>
    <w:multiLevelType w:val="hybridMultilevel"/>
    <w:tmpl w:val="90C2E1C6"/>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5DD91EBC"/>
    <w:multiLevelType w:val="hybridMultilevel"/>
    <w:tmpl w:val="908CC0A0"/>
    <w:lvl w:ilvl="0" w:tplc="622A4002">
      <w:start w:val="1"/>
      <w:numFmt w:val="bullet"/>
      <w:lvlText w:val=""/>
      <w:lvlJc w:val="left"/>
      <w:pPr>
        <w:ind w:left="1069" w:hanging="360"/>
      </w:pPr>
      <w:rPr>
        <w:rFonts w:ascii="Wingdings" w:hAnsi="Wingdings" w:hint="default"/>
        <w:b/>
        <w:color w:val="2E74B5" w:themeColor="accent1" w:themeShade="BF"/>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65" w15:restartNumberingAfterBreak="0">
    <w:nsid w:val="5E5113CA"/>
    <w:multiLevelType w:val="hybridMultilevel"/>
    <w:tmpl w:val="B46AC79E"/>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F737D55"/>
    <w:multiLevelType w:val="hybridMultilevel"/>
    <w:tmpl w:val="DE32B76A"/>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61FB16B1"/>
    <w:multiLevelType w:val="hybridMultilevel"/>
    <w:tmpl w:val="BCEC301E"/>
    <w:lvl w:ilvl="0" w:tplc="558EB098">
      <w:start w:val="1"/>
      <w:numFmt w:val="decimal"/>
      <w:lvlText w:val="%1."/>
      <w:lvlJc w:val="left"/>
      <w:pPr>
        <w:ind w:left="360" w:hanging="360"/>
      </w:pPr>
      <w:rPr>
        <w:rFonts w:hint="default"/>
        <w:b w:val="0"/>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8" w15:restartNumberingAfterBreak="0">
    <w:nsid w:val="620E009D"/>
    <w:multiLevelType w:val="hybridMultilevel"/>
    <w:tmpl w:val="4692AB4C"/>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622A281E"/>
    <w:multiLevelType w:val="hybridMultilevel"/>
    <w:tmpl w:val="6416079C"/>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5BA5036"/>
    <w:multiLevelType w:val="hybridMultilevel"/>
    <w:tmpl w:val="F1142EFE"/>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7323B20"/>
    <w:multiLevelType w:val="hybridMultilevel"/>
    <w:tmpl w:val="0CE0648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D72047B"/>
    <w:multiLevelType w:val="hybridMultilevel"/>
    <w:tmpl w:val="10F8635C"/>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FD87EF4"/>
    <w:multiLevelType w:val="hybridMultilevel"/>
    <w:tmpl w:val="5392785A"/>
    <w:lvl w:ilvl="0" w:tplc="A0A2D006">
      <w:start w:val="1"/>
      <w:numFmt w:val="bullet"/>
      <w:lvlText w:val=""/>
      <w:lvlJc w:val="left"/>
      <w:pPr>
        <w:ind w:left="720" w:hanging="360"/>
      </w:pPr>
      <w:rPr>
        <w:rFonts w:ascii="Wingdings" w:hAnsi="Wingdings" w:hint="default"/>
        <w:b/>
        <w:color w:val="2E74B5" w:themeColor="accent1" w:themeShade="BF"/>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FE02C78"/>
    <w:multiLevelType w:val="hybridMultilevel"/>
    <w:tmpl w:val="55E220C6"/>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6FEB4787"/>
    <w:multiLevelType w:val="hybridMultilevel"/>
    <w:tmpl w:val="BCEC301E"/>
    <w:lvl w:ilvl="0" w:tplc="558EB098">
      <w:start w:val="1"/>
      <w:numFmt w:val="decimal"/>
      <w:lvlText w:val="%1."/>
      <w:lvlJc w:val="left"/>
      <w:pPr>
        <w:ind w:left="360" w:hanging="360"/>
      </w:pPr>
      <w:rPr>
        <w:rFonts w:hint="default"/>
        <w:b w:val="0"/>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6" w15:restartNumberingAfterBreak="0">
    <w:nsid w:val="72FB5939"/>
    <w:multiLevelType w:val="hybridMultilevel"/>
    <w:tmpl w:val="5964E62E"/>
    <w:lvl w:ilvl="0" w:tplc="85A0ED56">
      <w:start w:val="1"/>
      <w:numFmt w:val="decimal"/>
      <w:lvlText w:val="%1)"/>
      <w:lvlJc w:val="right"/>
      <w:pPr>
        <w:ind w:left="365" w:hanging="360"/>
      </w:pPr>
      <w:rPr>
        <w:rFonts w:hint="default"/>
        <w:sz w:val="22"/>
        <w:szCs w:val="22"/>
      </w:rPr>
    </w:lvl>
    <w:lvl w:ilvl="1" w:tplc="04150017">
      <w:start w:val="1"/>
      <w:numFmt w:val="lowerLetter"/>
      <w:lvlText w:val="%2)"/>
      <w:lvlJc w:val="left"/>
      <w:pPr>
        <w:ind w:left="1085" w:hanging="360"/>
      </w:pPr>
    </w:lvl>
    <w:lvl w:ilvl="2" w:tplc="0415001B" w:tentative="1">
      <w:start w:val="1"/>
      <w:numFmt w:val="lowerRoman"/>
      <w:lvlText w:val="%3."/>
      <w:lvlJc w:val="right"/>
      <w:pPr>
        <w:ind w:left="1805" w:hanging="180"/>
      </w:pPr>
    </w:lvl>
    <w:lvl w:ilvl="3" w:tplc="0415000F" w:tentative="1">
      <w:start w:val="1"/>
      <w:numFmt w:val="decimal"/>
      <w:lvlText w:val="%4."/>
      <w:lvlJc w:val="left"/>
      <w:pPr>
        <w:ind w:left="2525" w:hanging="360"/>
      </w:pPr>
    </w:lvl>
    <w:lvl w:ilvl="4" w:tplc="04150019" w:tentative="1">
      <w:start w:val="1"/>
      <w:numFmt w:val="lowerLetter"/>
      <w:lvlText w:val="%5."/>
      <w:lvlJc w:val="left"/>
      <w:pPr>
        <w:ind w:left="3245" w:hanging="360"/>
      </w:pPr>
    </w:lvl>
    <w:lvl w:ilvl="5" w:tplc="0415001B" w:tentative="1">
      <w:start w:val="1"/>
      <w:numFmt w:val="lowerRoman"/>
      <w:lvlText w:val="%6."/>
      <w:lvlJc w:val="right"/>
      <w:pPr>
        <w:ind w:left="3965" w:hanging="180"/>
      </w:pPr>
    </w:lvl>
    <w:lvl w:ilvl="6" w:tplc="0415000F" w:tentative="1">
      <w:start w:val="1"/>
      <w:numFmt w:val="decimal"/>
      <w:lvlText w:val="%7."/>
      <w:lvlJc w:val="left"/>
      <w:pPr>
        <w:ind w:left="4685" w:hanging="360"/>
      </w:pPr>
    </w:lvl>
    <w:lvl w:ilvl="7" w:tplc="04150019" w:tentative="1">
      <w:start w:val="1"/>
      <w:numFmt w:val="lowerLetter"/>
      <w:lvlText w:val="%8."/>
      <w:lvlJc w:val="left"/>
      <w:pPr>
        <w:ind w:left="5405" w:hanging="360"/>
      </w:pPr>
    </w:lvl>
    <w:lvl w:ilvl="8" w:tplc="0415001B" w:tentative="1">
      <w:start w:val="1"/>
      <w:numFmt w:val="lowerRoman"/>
      <w:lvlText w:val="%9."/>
      <w:lvlJc w:val="right"/>
      <w:pPr>
        <w:ind w:left="6125" w:hanging="180"/>
      </w:pPr>
    </w:lvl>
  </w:abstractNum>
  <w:abstractNum w:abstractNumId="77" w15:restartNumberingAfterBreak="0">
    <w:nsid w:val="74C03716"/>
    <w:multiLevelType w:val="hybridMultilevel"/>
    <w:tmpl w:val="1F32403C"/>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765F7A92"/>
    <w:multiLevelType w:val="hybridMultilevel"/>
    <w:tmpl w:val="1B7CB264"/>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78747F9"/>
    <w:multiLevelType w:val="hybridMultilevel"/>
    <w:tmpl w:val="D1809D1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77930F4F"/>
    <w:multiLevelType w:val="hybridMultilevel"/>
    <w:tmpl w:val="D99A7EBC"/>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7D0B5B70"/>
    <w:multiLevelType w:val="hybridMultilevel"/>
    <w:tmpl w:val="3F621D8A"/>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EE868EA"/>
    <w:multiLevelType w:val="multilevel"/>
    <w:tmpl w:val="1E54DC10"/>
    <w:lvl w:ilvl="0">
      <w:start w:val="1"/>
      <w:numFmt w:val="decimal"/>
      <w:lvlText w:val="%1."/>
      <w:lvlJc w:val="center"/>
      <w:pPr>
        <w:ind w:left="360" w:hanging="360"/>
      </w:pPr>
      <w:rPr>
        <w:rFonts w:hint="default"/>
        <w:b/>
        <w:bCs/>
        <w:sz w:val="22"/>
        <w:szCs w:val="22"/>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num w:numId="1" w16cid:durableId="1011487686">
    <w:abstractNumId w:val="34"/>
  </w:num>
  <w:num w:numId="2" w16cid:durableId="13246207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45681284">
    <w:abstractNumId w:val="47"/>
  </w:num>
  <w:num w:numId="4" w16cid:durableId="202064108">
    <w:abstractNumId w:val="50"/>
  </w:num>
  <w:num w:numId="5" w16cid:durableId="2138406865">
    <w:abstractNumId w:val="16"/>
  </w:num>
  <w:num w:numId="6" w16cid:durableId="334504162">
    <w:abstractNumId w:val="69"/>
  </w:num>
  <w:num w:numId="7" w16cid:durableId="538902788">
    <w:abstractNumId w:val="80"/>
  </w:num>
  <w:num w:numId="8" w16cid:durableId="2099475671">
    <w:abstractNumId w:val="66"/>
  </w:num>
  <w:num w:numId="9" w16cid:durableId="1779182347">
    <w:abstractNumId w:val="53"/>
  </w:num>
  <w:num w:numId="10" w16cid:durableId="1322077524">
    <w:abstractNumId w:val="25"/>
  </w:num>
  <w:num w:numId="11" w16cid:durableId="644699669">
    <w:abstractNumId w:val="81"/>
  </w:num>
  <w:num w:numId="12" w16cid:durableId="278219901">
    <w:abstractNumId w:val="55"/>
  </w:num>
  <w:num w:numId="13" w16cid:durableId="2073625032">
    <w:abstractNumId w:val="63"/>
  </w:num>
  <w:num w:numId="14" w16cid:durableId="965698593">
    <w:abstractNumId w:val="40"/>
  </w:num>
  <w:num w:numId="15" w16cid:durableId="1440299343">
    <w:abstractNumId w:val="54"/>
  </w:num>
  <w:num w:numId="16" w16cid:durableId="880020184">
    <w:abstractNumId w:val="79"/>
  </w:num>
  <w:num w:numId="17" w16cid:durableId="50811481">
    <w:abstractNumId w:val="76"/>
  </w:num>
  <w:num w:numId="18" w16cid:durableId="83963583">
    <w:abstractNumId w:val="20"/>
  </w:num>
  <w:num w:numId="19" w16cid:durableId="191773032">
    <w:abstractNumId w:val="39"/>
  </w:num>
  <w:num w:numId="20" w16cid:durableId="1622225579">
    <w:abstractNumId w:val="21"/>
  </w:num>
  <w:num w:numId="21" w16cid:durableId="296497366">
    <w:abstractNumId w:val="41"/>
  </w:num>
  <w:num w:numId="22" w16cid:durableId="1569801230">
    <w:abstractNumId w:val="58"/>
  </w:num>
  <w:num w:numId="23" w16cid:durableId="321737522">
    <w:abstractNumId w:val="12"/>
  </w:num>
  <w:num w:numId="24" w16cid:durableId="1239096079">
    <w:abstractNumId w:val="13"/>
  </w:num>
  <w:num w:numId="25" w16cid:durableId="955452127">
    <w:abstractNumId w:val="56"/>
  </w:num>
  <w:num w:numId="26" w16cid:durableId="1491021980">
    <w:abstractNumId w:val="18"/>
  </w:num>
  <w:num w:numId="27" w16cid:durableId="974914254">
    <w:abstractNumId w:val="73"/>
  </w:num>
  <w:num w:numId="28" w16cid:durableId="1997226835">
    <w:abstractNumId w:val="74"/>
  </w:num>
  <w:num w:numId="29" w16cid:durableId="179661879">
    <w:abstractNumId w:val="19"/>
  </w:num>
  <w:num w:numId="30" w16cid:durableId="420414029">
    <w:abstractNumId w:val="49"/>
  </w:num>
  <w:num w:numId="31" w16cid:durableId="1497527764">
    <w:abstractNumId w:val="57"/>
  </w:num>
  <w:num w:numId="32" w16cid:durableId="1664969459">
    <w:abstractNumId w:val="29"/>
  </w:num>
  <w:num w:numId="33" w16cid:durableId="49237251">
    <w:abstractNumId w:val="44"/>
  </w:num>
  <w:num w:numId="34" w16cid:durableId="1028213733">
    <w:abstractNumId w:val="59"/>
  </w:num>
  <w:num w:numId="35" w16cid:durableId="1689794528">
    <w:abstractNumId w:val="33"/>
  </w:num>
  <w:num w:numId="36" w16cid:durableId="1756780946">
    <w:abstractNumId w:val="32"/>
  </w:num>
  <w:num w:numId="37" w16cid:durableId="444270468">
    <w:abstractNumId w:val="9"/>
  </w:num>
  <w:num w:numId="38" w16cid:durableId="1748575655">
    <w:abstractNumId w:val="67"/>
  </w:num>
  <w:num w:numId="39" w16cid:durableId="246892284">
    <w:abstractNumId w:val="75"/>
  </w:num>
  <w:num w:numId="40" w16cid:durableId="2026052751">
    <w:abstractNumId w:val="36"/>
  </w:num>
  <w:num w:numId="41" w16cid:durableId="939993942">
    <w:abstractNumId w:val="23"/>
  </w:num>
  <w:num w:numId="42" w16cid:durableId="552423039">
    <w:abstractNumId w:val="31"/>
  </w:num>
  <w:num w:numId="43" w16cid:durableId="1787651050">
    <w:abstractNumId w:val="71"/>
  </w:num>
  <w:num w:numId="44" w16cid:durableId="475297505">
    <w:abstractNumId w:val="82"/>
  </w:num>
  <w:num w:numId="45" w16cid:durableId="598026513">
    <w:abstractNumId w:val="72"/>
  </w:num>
  <w:num w:numId="46" w16cid:durableId="1506626932">
    <w:abstractNumId w:val="43"/>
  </w:num>
  <w:num w:numId="47" w16cid:durableId="846791850">
    <w:abstractNumId w:val="24"/>
  </w:num>
  <w:num w:numId="48" w16cid:durableId="2048292152">
    <w:abstractNumId w:val="15"/>
  </w:num>
  <w:num w:numId="49" w16cid:durableId="1735278381">
    <w:abstractNumId w:val="61"/>
  </w:num>
  <w:num w:numId="50" w16cid:durableId="1955332338">
    <w:abstractNumId w:val="52"/>
  </w:num>
  <w:num w:numId="51" w16cid:durableId="714429330">
    <w:abstractNumId w:val="77"/>
  </w:num>
  <w:num w:numId="52" w16cid:durableId="560556054">
    <w:abstractNumId w:val="37"/>
  </w:num>
  <w:num w:numId="53" w16cid:durableId="594675086">
    <w:abstractNumId w:val="60"/>
  </w:num>
  <w:num w:numId="54" w16cid:durableId="835464888">
    <w:abstractNumId w:val="64"/>
  </w:num>
  <w:num w:numId="55" w16cid:durableId="1827628049">
    <w:abstractNumId w:val="8"/>
  </w:num>
  <w:num w:numId="56" w16cid:durableId="474682980">
    <w:abstractNumId w:val="42"/>
  </w:num>
  <w:num w:numId="57" w16cid:durableId="1785424691">
    <w:abstractNumId w:val="27"/>
  </w:num>
  <w:num w:numId="58" w16cid:durableId="1421097481">
    <w:abstractNumId w:val="48"/>
  </w:num>
  <w:num w:numId="59" w16cid:durableId="1776975245">
    <w:abstractNumId w:val="38"/>
  </w:num>
  <w:num w:numId="60" w16cid:durableId="27266509">
    <w:abstractNumId w:val="78"/>
  </w:num>
  <w:num w:numId="61" w16cid:durableId="337315138">
    <w:abstractNumId w:val="26"/>
  </w:num>
  <w:num w:numId="62" w16cid:durableId="613951152">
    <w:abstractNumId w:val="11"/>
  </w:num>
  <w:num w:numId="63" w16cid:durableId="165167860">
    <w:abstractNumId w:val="10"/>
  </w:num>
  <w:num w:numId="64" w16cid:durableId="1908417228">
    <w:abstractNumId w:val="70"/>
  </w:num>
  <w:num w:numId="65" w16cid:durableId="1351880171">
    <w:abstractNumId w:val="17"/>
  </w:num>
  <w:num w:numId="66" w16cid:durableId="1350989456">
    <w:abstractNumId w:val="35"/>
  </w:num>
  <w:num w:numId="67" w16cid:durableId="1580560225">
    <w:abstractNumId w:val="14"/>
  </w:num>
  <w:num w:numId="68" w16cid:durableId="1315908636">
    <w:abstractNumId w:val="46"/>
  </w:num>
  <w:num w:numId="69" w16cid:durableId="1170028206">
    <w:abstractNumId w:val="45"/>
  </w:num>
  <w:num w:numId="70" w16cid:durableId="297344254">
    <w:abstractNumId w:val="51"/>
  </w:num>
  <w:num w:numId="71" w16cid:durableId="1965891050">
    <w:abstractNumId w:val="28"/>
  </w:num>
  <w:num w:numId="72" w16cid:durableId="1646857351">
    <w:abstractNumId w:val="68"/>
  </w:num>
  <w:num w:numId="73" w16cid:durableId="550045413">
    <w:abstractNumId w:val="62"/>
  </w:num>
  <w:num w:numId="74" w16cid:durableId="24721472">
    <w:abstractNumId w:val="30"/>
  </w:num>
  <w:num w:numId="75" w16cid:durableId="635911452">
    <w:abstractNumId w:val="65"/>
  </w:num>
  <w:num w:numId="76" w16cid:durableId="778527313">
    <w:abstractNumId w:val="22"/>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mirrorMargins/>
  <w:activeWritingStyle w:appName="MSWord" w:lang="en-US" w:vendorID="64" w:dllVersion="6" w:nlCheck="1" w:checkStyle="1"/>
  <w:activeWritingStyle w:appName="MSWord" w:lang="en-GB" w:vendorID="64" w:dllVersion="6" w:nlCheck="1" w:checkStyle="0"/>
  <w:activeWritingStyle w:appName="MSWord" w:lang="pl-PL" w:vendorID="64" w:dllVersion="0" w:nlCheck="1" w:checkStyle="0"/>
  <w:activeWritingStyle w:appName="MSWord" w:lang="en-US"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101"/>
    <w:rsid w:val="00000128"/>
    <w:rsid w:val="00000263"/>
    <w:rsid w:val="000002BD"/>
    <w:rsid w:val="000002C2"/>
    <w:rsid w:val="00000499"/>
    <w:rsid w:val="00000533"/>
    <w:rsid w:val="00000726"/>
    <w:rsid w:val="00000791"/>
    <w:rsid w:val="000007F5"/>
    <w:rsid w:val="00000833"/>
    <w:rsid w:val="000008D4"/>
    <w:rsid w:val="00000908"/>
    <w:rsid w:val="00000970"/>
    <w:rsid w:val="00000A7D"/>
    <w:rsid w:val="00000B1F"/>
    <w:rsid w:val="00000B6C"/>
    <w:rsid w:val="00000FA4"/>
    <w:rsid w:val="00001078"/>
    <w:rsid w:val="0000119A"/>
    <w:rsid w:val="00001298"/>
    <w:rsid w:val="00001715"/>
    <w:rsid w:val="0000172D"/>
    <w:rsid w:val="000017BD"/>
    <w:rsid w:val="0000185C"/>
    <w:rsid w:val="000018B4"/>
    <w:rsid w:val="000019AC"/>
    <w:rsid w:val="00001AD7"/>
    <w:rsid w:val="00001BA9"/>
    <w:rsid w:val="00001BD9"/>
    <w:rsid w:val="00001BE6"/>
    <w:rsid w:val="00001C22"/>
    <w:rsid w:val="00001C70"/>
    <w:rsid w:val="00001C78"/>
    <w:rsid w:val="00001CF1"/>
    <w:rsid w:val="00001CFA"/>
    <w:rsid w:val="00001CFE"/>
    <w:rsid w:val="00001DE8"/>
    <w:rsid w:val="00001E57"/>
    <w:rsid w:val="000020F9"/>
    <w:rsid w:val="000021E8"/>
    <w:rsid w:val="000022C2"/>
    <w:rsid w:val="000022E7"/>
    <w:rsid w:val="00002360"/>
    <w:rsid w:val="0000258B"/>
    <w:rsid w:val="000027C8"/>
    <w:rsid w:val="000028F1"/>
    <w:rsid w:val="0000291B"/>
    <w:rsid w:val="000029B7"/>
    <w:rsid w:val="00002A05"/>
    <w:rsid w:val="00002EC5"/>
    <w:rsid w:val="000030CD"/>
    <w:rsid w:val="000031C3"/>
    <w:rsid w:val="00003432"/>
    <w:rsid w:val="00003516"/>
    <w:rsid w:val="000036FD"/>
    <w:rsid w:val="00003731"/>
    <w:rsid w:val="00003932"/>
    <w:rsid w:val="00003CBA"/>
    <w:rsid w:val="00003CC2"/>
    <w:rsid w:val="00003D3A"/>
    <w:rsid w:val="00003D4E"/>
    <w:rsid w:val="00003DDF"/>
    <w:rsid w:val="00003EFD"/>
    <w:rsid w:val="00004126"/>
    <w:rsid w:val="00004298"/>
    <w:rsid w:val="000042A9"/>
    <w:rsid w:val="000042C0"/>
    <w:rsid w:val="00004378"/>
    <w:rsid w:val="000043E6"/>
    <w:rsid w:val="00004563"/>
    <w:rsid w:val="000045AB"/>
    <w:rsid w:val="0000462D"/>
    <w:rsid w:val="000048E1"/>
    <w:rsid w:val="00004A62"/>
    <w:rsid w:val="00004B80"/>
    <w:rsid w:val="00004E5D"/>
    <w:rsid w:val="00004FF4"/>
    <w:rsid w:val="0000500D"/>
    <w:rsid w:val="00005099"/>
    <w:rsid w:val="00005256"/>
    <w:rsid w:val="0000528F"/>
    <w:rsid w:val="0000562E"/>
    <w:rsid w:val="00005868"/>
    <w:rsid w:val="00005980"/>
    <w:rsid w:val="0000598C"/>
    <w:rsid w:val="000059E3"/>
    <w:rsid w:val="00005AAC"/>
    <w:rsid w:val="00005B75"/>
    <w:rsid w:val="00005B8C"/>
    <w:rsid w:val="00005BA2"/>
    <w:rsid w:val="00005C67"/>
    <w:rsid w:val="00005D5A"/>
    <w:rsid w:val="00005F15"/>
    <w:rsid w:val="00006275"/>
    <w:rsid w:val="0000644F"/>
    <w:rsid w:val="00006468"/>
    <w:rsid w:val="000064A6"/>
    <w:rsid w:val="00006592"/>
    <w:rsid w:val="000065DF"/>
    <w:rsid w:val="00006720"/>
    <w:rsid w:val="00006841"/>
    <w:rsid w:val="000068E1"/>
    <w:rsid w:val="0000698F"/>
    <w:rsid w:val="00006A96"/>
    <w:rsid w:val="00006FE9"/>
    <w:rsid w:val="00007035"/>
    <w:rsid w:val="00007081"/>
    <w:rsid w:val="000072B5"/>
    <w:rsid w:val="000075BF"/>
    <w:rsid w:val="000075FB"/>
    <w:rsid w:val="0000783B"/>
    <w:rsid w:val="0000798A"/>
    <w:rsid w:val="00007A00"/>
    <w:rsid w:val="00007A21"/>
    <w:rsid w:val="00007B10"/>
    <w:rsid w:val="00007B80"/>
    <w:rsid w:val="00007F1A"/>
    <w:rsid w:val="00010067"/>
    <w:rsid w:val="00010301"/>
    <w:rsid w:val="00010377"/>
    <w:rsid w:val="000103B0"/>
    <w:rsid w:val="00010509"/>
    <w:rsid w:val="00010591"/>
    <w:rsid w:val="000106E5"/>
    <w:rsid w:val="00010760"/>
    <w:rsid w:val="00010A62"/>
    <w:rsid w:val="00010BF4"/>
    <w:rsid w:val="00010C55"/>
    <w:rsid w:val="00010C7F"/>
    <w:rsid w:val="00010D0D"/>
    <w:rsid w:val="00010D0F"/>
    <w:rsid w:val="00010DC6"/>
    <w:rsid w:val="00010E05"/>
    <w:rsid w:val="00010E12"/>
    <w:rsid w:val="00010E91"/>
    <w:rsid w:val="00010FCE"/>
    <w:rsid w:val="00010FDF"/>
    <w:rsid w:val="00011000"/>
    <w:rsid w:val="00011060"/>
    <w:rsid w:val="0001108A"/>
    <w:rsid w:val="000110B6"/>
    <w:rsid w:val="0001114C"/>
    <w:rsid w:val="0001118B"/>
    <w:rsid w:val="00011195"/>
    <w:rsid w:val="00011316"/>
    <w:rsid w:val="000113C3"/>
    <w:rsid w:val="00011464"/>
    <w:rsid w:val="000116BC"/>
    <w:rsid w:val="00011889"/>
    <w:rsid w:val="00011958"/>
    <w:rsid w:val="00011AAD"/>
    <w:rsid w:val="00011C4D"/>
    <w:rsid w:val="00011DD0"/>
    <w:rsid w:val="00011DFE"/>
    <w:rsid w:val="00011F45"/>
    <w:rsid w:val="00012033"/>
    <w:rsid w:val="000120C1"/>
    <w:rsid w:val="00012153"/>
    <w:rsid w:val="00012165"/>
    <w:rsid w:val="00012186"/>
    <w:rsid w:val="00012222"/>
    <w:rsid w:val="0001239C"/>
    <w:rsid w:val="0001252E"/>
    <w:rsid w:val="00012570"/>
    <w:rsid w:val="000125C4"/>
    <w:rsid w:val="000125FB"/>
    <w:rsid w:val="000126F1"/>
    <w:rsid w:val="00012846"/>
    <w:rsid w:val="000129DD"/>
    <w:rsid w:val="00012BC5"/>
    <w:rsid w:val="00012C86"/>
    <w:rsid w:val="00012DCF"/>
    <w:rsid w:val="00012E8D"/>
    <w:rsid w:val="0001308D"/>
    <w:rsid w:val="000130EE"/>
    <w:rsid w:val="0001327F"/>
    <w:rsid w:val="000132E0"/>
    <w:rsid w:val="000133B8"/>
    <w:rsid w:val="000134C2"/>
    <w:rsid w:val="000135FE"/>
    <w:rsid w:val="00013844"/>
    <w:rsid w:val="00013865"/>
    <w:rsid w:val="000138A2"/>
    <w:rsid w:val="000138A7"/>
    <w:rsid w:val="00013938"/>
    <w:rsid w:val="00013986"/>
    <w:rsid w:val="00013AD7"/>
    <w:rsid w:val="00013B50"/>
    <w:rsid w:val="00013E29"/>
    <w:rsid w:val="00013EE4"/>
    <w:rsid w:val="00013F03"/>
    <w:rsid w:val="00013FA3"/>
    <w:rsid w:val="00014183"/>
    <w:rsid w:val="0001433B"/>
    <w:rsid w:val="00014A42"/>
    <w:rsid w:val="00014A57"/>
    <w:rsid w:val="00014D62"/>
    <w:rsid w:val="00014F5E"/>
    <w:rsid w:val="00014F84"/>
    <w:rsid w:val="00014FC9"/>
    <w:rsid w:val="0001502A"/>
    <w:rsid w:val="0001505E"/>
    <w:rsid w:val="0001506F"/>
    <w:rsid w:val="000150CC"/>
    <w:rsid w:val="000151C0"/>
    <w:rsid w:val="000153D6"/>
    <w:rsid w:val="000153DF"/>
    <w:rsid w:val="00015492"/>
    <w:rsid w:val="00015532"/>
    <w:rsid w:val="0001558F"/>
    <w:rsid w:val="0001568B"/>
    <w:rsid w:val="0001573A"/>
    <w:rsid w:val="0001582F"/>
    <w:rsid w:val="00015AB9"/>
    <w:rsid w:val="00015AC0"/>
    <w:rsid w:val="00015BD3"/>
    <w:rsid w:val="00015F45"/>
    <w:rsid w:val="00015FD0"/>
    <w:rsid w:val="00015FE1"/>
    <w:rsid w:val="0001608D"/>
    <w:rsid w:val="000160CB"/>
    <w:rsid w:val="0001684F"/>
    <w:rsid w:val="0001686F"/>
    <w:rsid w:val="00016901"/>
    <w:rsid w:val="0001695F"/>
    <w:rsid w:val="00016AF6"/>
    <w:rsid w:val="00016B26"/>
    <w:rsid w:val="00016B98"/>
    <w:rsid w:val="00016BF3"/>
    <w:rsid w:val="00016D34"/>
    <w:rsid w:val="00016D35"/>
    <w:rsid w:val="00016DD0"/>
    <w:rsid w:val="000170BC"/>
    <w:rsid w:val="000170CA"/>
    <w:rsid w:val="00017156"/>
    <w:rsid w:val="00017185"/>
    <w:rsid w:val="000171DF"/>
    <w:rsid w:val="000172D8"/>
    <w:rsid w:val="000173DB"/>
    <w:rsid w:val="00017549"/>
    <w:rsid w:val="00017592"/>
    <w:rsid w:val="000179CA"/>
    <w:rsid w:val="00017AEA"/>
    <w:rsid w:val="00017C65"/>
    <w:rsid w:val="00017D29"/>
    <w:rsid w:val="00020255"/>
    <w:rsid w:val="0002062D"/>
    <w:rsid w:val="00020698"/>
    <w:rsid w:val="00020843"/>
    <w:rsid w:val="000208DC"/>
    <w:rsid w:val="00020AA2"/>
    <w:rsid w:val="00020AE9"/>
    <w:rsid w:val="00020B92"/>
    <w:rsid w:val="00020CB3"/>
    <w:rsid w:val="00020D59"/>
    <w:rsid w:val="00020D9F"/>
    <w:rsid w:val="00020FB4"/>
    <w:rsid w:val="000210AA"/>
    <w:rsid w:val="000210CB"/>
    <w:rsid w:val="0002115A"/>
    <w:rsid w:val="0002118F"/>
    <w:rsid w:val="00021218"/>
    <w:rsid w:val="0002125E"/>
    <w:rsid w:val="000215EC"/>
    <w:rsid w:val="00021634"/>
    <w:rsid w:val="000216F8"/>
    <w:rsid w:val="0002184B"/>
    <w:rsid w:val="00021BF2"/>
    <w:rsid w:val="00021D88"/>
    <w:rsid w:val="000220DC"/>
    <w:rsid w:val="000220FA"/>
    <w:rsid w:val="00022204"/>
    <w:rsid w:val="00022460"/>
    <w:rsid w:val="0002257D"/>
    <w:rsid w:val="00022735"/>
    <w:rsid w:val="000228AD"/>
    <w:rsid w:val="00022949"/>
    <w:rsid w:val="000229F6"/>
    <w:rsid w:val="00022A09"/>
    <w:rsid w:val="00022A5C"/>
    <w:rsid w:val="00022A90"/>
    <w:rsid w:val="00022AD3"/>
    <w:rsid w:val="00022CB5"/>
    <w:rsid w:val="00022D1C"/>
    <w:rsid w:val="00022DF4"/>
    <w:rsid w:val="00022E16"/>
    <w:rsid w:val="00022E26"/>
    <w:rsid w:val="00022FD5"/>
    <w:rsid w:val="0002306B"/>
    <w:rsid w:val="00023236"/>
    <w:rsid w:val="00023657"/>
    <w:rsid w:val="00023683"/>
    <w:rsid w:val="0002368D"/>
    <w:rsid w:val="00023940"/>
    <w:rsid w:val="00023A73"/>
    <w:rsid w:val="00023B1D"/>
    <w:rsid w:val="00023BCD"/>
    <w:rsid w:val="00023C53"/>
    <w:rsid w:val="00023DA9"/>
    <w:rsid w:val="00023E49"/>
    <w:rsid w:val="00023E83"/>
    <w:rsid w:val="00023F4F"/>
    <w:rsid w:val="00023FB2"/>
    <w:rsid w:val="00024266"/>
    <w:rsid w:val="000245F2"/>
    <w:rsid w:val="00024795"/>
    <w:rsid w:val="00024807"/>
    <w:rsid w:val="00024B86"/>
    <w:rsid w:val="00024BEC"/>
    <w:rsid w:val="00024DAB"/>
    <w:rsid w:val="00024F63"/>
    <w:rsid w:val="00025023"/>
    <w:rsid w:val="00025255"/>
    <w:rsid w:val="000252E4"/>
    <w:rsid w:val="0002537F"/>
    <w:rsid w:val="000253B0"/>
    <w:rsid w:val="00025470"/>
    <w:rsid w:val="0002589A"/>
    <w:rsid w:val="000259A8"/>
    <w:rsid w:val="00025A8F"/>
    <w:rsid w:val="00025B58"/>
    <w:rsid w:val="00025B71"/>
    <w:rsid w:val="00025C8F"/>
    <w:rsid w:val="00025D26"/>
    <w:rsid w:val="00025D6F"/>
    <w:rsid w:val="00025E85"/>
    <w:rsid w:val="00025ED5"/>
    <w:rsid w:val="00025F36"/>
    <w:rsid w:val="000260CB"/>
    <w:rsid w:val="0002619F"/>
    <w:rsid w:val="000261F9"/>
    <w:rsid w:val="0002679D"/>
    <w:rsid w:val="000267DE"/>
    <w:rsid w:val="00026805"/>
    <w:rsid w:val="0002689B"/>
    <w:rsid w:val="00026945"/>
    <w:rsid w:val="00026A23"/>
    <w:rsid w:val="00026E58"/>
    <w:rsid w:val="00026ED4"/>
    <w:rsid w:val="00026F33"/>
    <w:rsid w:val="00026F91"/>
    <w:rsid w:val="0002715D"/>
    <w:rsid w:val="000272F4"/>
    <w:rsid w:val="00027327"/>
    <w:rsid w:val="0002749A"/>
    <w:rsid w:val="00027846"/>
    <w:rsid w:val="00027862"/>
    <w:rsid w:val="0002786A"/>
    <w:rsid w:val="0002789E"/>
    <w:rsid w:val="00027924"/>
    <w:rsid w:val="00027A97"/>
    <w:rsid w:val="00027B52"/>
    <w:rsid w:val="00027B63"/>
    <w:rsid w:val="00027BD4"/>
    <w:rsid w:val="00027C2E"/>
    <w:rsid w:val="00027C87"/>
    <w:rsid w:val="00027CA1"/>
    <w:rsid w:val="00027D09"/>
    <w:rsid w:val="00027D67"/>
    <w:rsid w:val="00027FE4"/>
    <w:rsid w:val="00030043"/>
    <w:rsid w:val="00030248"/>
    <w:rsid w:val="00030267"/>
    <w:rsid w:val="000303DA"/>
    <w:rsid w:val="000305D9"/>
    <w:rsid w:val="0003062A"/>
    <w:rsid w:val="00030690"/>
    <w:rsid w:val="00030889"/>
    <w:rsid w:val="00030933"/>
    <w:rsid w:val="00030954"/>
    <w:rsid w:val="00030956"/>
    <w:rsid w:val="00030C7D"/>
    <w:rsid w:val="00030CA1"/>
    <w:rsid w:val="00030E06"/>
    <w:rsid w:val="00030E41"/>
    <w:rsid w:val="0003113D"/>
    <w:rsid w:val="00031143"/>
    <w:rsid w:val="0003119B"/>
    <w:rsid w:val="000312A2"/>
    <w:rsid w:val="000312AA"/>
    <w:rsid w:val="000312D6"/>
    <w:rsid w:val="00031319"/>
    <w:rsid w:val="0003141C"/>
    <w:rsid w:val="000315F9"/>
    <w:rsid w:val="00031644"/>
    <w:rsid w:val="0003169A"/>
    <w:rsid w:val="00031719"/>
    <w:rsid w:val="00031B7E"/>
    <w:rsid w:val="00031D92"/>
    <w:rsid w:val="00031FB2"/>
    <w:rsid w:val="0003212E"/>
    <w:rsid w:val="0003220B"/>
    <w:rsid w:val="00032315"/>
    <w:rsid w:val="000326F5"/>
    <w:rsid w:val="00032807"/>
    <w:rsid w:val="00032877"/>
    <w:rsid w:val="00032941"/>
    <w:rsid w:val="00032A15"/>
    <w:rsid w:val="00032AF8"/>
    <w:rsid w:val="00032B27"/>
    <w:rsid w:val="00032B48"/>
    <w:rsid w:val="00032D04"/>
    <w:rsid w:val="00032D1E"/>
    <w:rsid w:val="00032F44"/>
    <w:rsid w:val="0003309B"/>
    <w:rsid w:val="000330F7"/>
    <w:rsid w:val="000331B4"/>
    <w:rsid w:val="00033391"/>
    <w:rsid w:val="000333EA"/>
    <w:rsid w:val="00033572"/>
    <w:rsid w:val="000338CC"/>
    <w:rsid w:val="000338D6"/>
    <w:rsid w:val="00033923"/>
    <w:rsid w:val="00033A2B"/>
    <w:rsid w:val="00033C0B"/>
    <w:rsid w:val="00033C8B"/>
    <w:rsid w:val="00033CC3"/>
    <w:rsid w:val="00033D34"/>
    <w:rsid w:val="00033EFC"/>
    <w:rsid w:val="00033F20"/>
    <w:rsid w:val="00033F6C"/>
    <w:rsid w:val="00034069"/>
    <w:rsid w:val="00034159"/>
    <w:rsid w:val="0003416D"/>
    <w:rsid w:val="00034255"/>
    <w:rsid w:val="0003434C"/>
    <w:rsid w:val="00034375"/>
    <w:rsid w:val="0003442F"/>
    <w:rsid w:val="0003448E"/>
    <w:rsid w:val="000347E4"/>
    <w:rsid w:val="0003481E"/>
    <w:rsid w:val="00034A45"/>
    <w:rsid w:val="00034C98"/>
    <w:rsid w:val="00034CDE"/>
    <w:rsid w:val="00034E11"/>
    <w:rsid w:val="00034E8D"/>
    <w:rsid w:val="00034F72"/>
    <w:rsid w:val="00034FA4"/>
    <w:rsid w:val="000352B5"/>
    <w:rsid w:val="000352CD"/>
    <w:rsid w:val="00035370"/>
    <w:rsid w:val="000356C9"/>
    <w:rsid w:val="00035773"/>
    <w:rsid w:val="000357DB"/>
    <w:rsid w:val="00035848"/>
    <w:rsid w:val="00035908"/>
    <w:rsid w:val="00035B66"/>
    <w:rsid w:val="00035C05"/>
    <w:rsid w:val="00035C26"/>
    <w:rsid w:val="00035ECE"/>
    <w:rsid w:val="0003616A"/>
    <w:rsid w:val="00036352"/>
    <w:rsid w:val="0003639A"/>
    <w:rsid w:val="00036672"/>
    <w:rsid w:val="00036791"/>
    <w:rsid w:val="00036B76"/>
    <w:rsid w:val="00036BD4"/>
    <w:rsid w:val="00036BD9"/>
    <w:rsid w:val="00036DA3"/>
    <w:rsid w:val="00036DAF"/>
    <w:rsid w:val="00036E2C"/>
    <w:rsid w:val="00036F51"/>
    <w:rsid w:val="000370FD"/>
    <w:rsid w:val="0003723A"/>
    <w:rsid w:val="000373AD"/>
    <w:rsid w:val="000373E5"/>
    <w:rsid w:val="0003758E"/>
    <w:rsid w:val="000376CB"/>
    <w:rsid w:val="000378E8"/>
    <w:rsid w:val="00037AA6"/>
    <w:rsid w:val="00037B06"/>
    <w:rsid w:val="00037B9B"/>
    <w:rsid w:val="00037BA7"/>
    <w:rsid w:val="00037C07"/>
    <w:rsid w:val="00037C6E"/>
    <w:rsid w:val="00037F04"/>
    <w:rsid w:val="000400AC"/>
    <w:rsid w:val="0004017A"/>
    <w:rsid w:val="00040287"/>
    <w:rsid w:val="00040408"/>
    <w:rsid w:val="00040521"/>
    <w:rsid w:val="00040656"/>
    <w:rsid w:val="000407FB"/>
    <w:rsid w:val="00040908"/>
    <w:rsid w:val="0004098D"/>
    <w:rsid w:val="00040C4B"/>
    <w:rsid w:val="00040CB5"/>
    <w:rsid w:val="00040CC2"/>
    <w:rsid w:val="00040CEF"/>
    <w:rsid w:val="00040E13"/>
    <w:rsid w:val="00040FEF"/>
    <w:rsid w:val="0004148C"/>
    <w:rsid w:val="00041636"/>
    <w:rsid w:val="00041647"/>
    <w:rsid w:val="00041775"/>
    <w:rsid w:val="000418BB"/>
    <w:rsid w:val="00041B49"/>
    <w:rsid w:val="00041B7E"/>
    <w:rsid w:val="00041D78"/>
    <w:rsid w:val="00041E29"/>
    <w:rsid w:val="00041F66"/>
    <w:rsid w:val="00041FA5"/>
    <w:rsid w:val="00042049"/>
    <w:rsid w:val="00042341"/>
    <w:rsid w:val="00042359"/>
    <w:rsid w:val="000423CB"/>
    <w:rsid w:val="00042467"/>
    <w:rsid w:val="00042673"/>
    <w:rsid w:val="00042693"/>
    <w:rsid w:val="00042840"/>
    <w:rsid w:val="000428AB"/>
    <w:rsid w:val="0004291B"/>
    <w:rsid w:val="00042D1D"/>
    <w:rsid w:val="00042FD6"/>
    <w:rsid w:val="00043054"/>
    <w:rsid w:val="00043105"/>
    <w:rsid w:val="0004314A"/>
    <w:rsid w:val="0004325B"/>
    <w:rsid w:val="0004348E"/>
    <w:rsid w:val="00043623"/>
    <w:rsid w:val="000437DD"/>
    <w:rsid w:val="000438EE"/>
    <w:rsid w:val="00043A68"/>
    <w:rsid w:val="00043DDD"/>
    <w:rsid w:val="00043EE4"/>
    <w:rsid w:val="00043EFA"/>
    <w:rsid w:val="00043F32"/>
    <w:rsid w:val="00043F4F"/>
    <w:rsid w:val="00043FB1"/>
    <w:rsid w:val="000440CB"/>
    <w:rsid w:val="00044113"/>
    <w:rsid w:val="000442D3"/>
    <w:rsid w:val="000443C5"/>
    <w:rsid w:val="00044662"/>
    <w:rsid w:val="00044704"/>
    <w:rsid w:val="0004484B"/>
    <w:rsid w:val="00044A8D"/>
    <w:rsid w:val="00044BD1"/>
    <w:rsid w:val="00044E9F"/>
    <w:rsid w:val="00044F95"/>
    <w:rsid w:val="00044FA2"/>
    <w:rsid w:val="00044FE0"/>
    <w:rsid w:val="0004500C"/>
    <w:rsid w:val="00045010"/>
    <w:rsid w:val="0004506B"/>
    <w:rsid w:val="00045123"/>
    <w:rsid w:val="00045991"/>
    <w:rsid w:val="000459D8"/>
    <w:rsid w:val="00045A24"/>
    <w:rsid w:val="00045BE6"/>
    <w:rsid w:val="00045CB3"/>
    <w:rsid w:val="00045D4C"/>
    <w:rsid w:val="00045F65"/>
    <w:rsid w:val="00045FCA"/>
    <w:rsid w:val="000461E2"/>
    <w:rsid w:val="0004632A"/>
    <w:rsid w:val="0004637F"/>
    <w:rsid w:val="000463D5"/>
    <w:rsid w:val="00046468"/>
    <w:rsid w:val="000464A7"/>
    <w:rsid w:val="00046633"/>
    <w:rsid w:val="00046790"/>
    <w:rsid w:val="0004681E"/>
    <w:rsid w:val="00046B62"/>
    <w:rsid w:val="00046B72"/>
    <w:rsid w:val="00046BDE"/>
    <w:rsid w:val="00046C0A"/>
    <w:rsid w:val="00046E9C"/>
    <w:rsid w:val="000472DE"/>
    <w:rsid w:val="00047324"/>
    <w:rsid w:val="0004744C"/>
    <w:rsid w:val="000474E0"/>
    <w:rsid w:val="000474EB"/>
    <w:rsid w:val="0004751E"/>
    <w:rsid w:val="0004762C"/>
    <w:rsid w:val="00047687"/>
    <w:rsid w:val="00047980"/>
    <w:rsid w:val="00047A47"/>
    <w:rsid w:val="00047B39"/>
    <w:rsid w:val="00047B5F"/>
    <w:rsid w:val="00047BB9"/>
    <w:rsid w:val="00047F71"/>
    <w:rsid w:val="00050055"/>
    <w:rsid w:val="0005009F"/>
    <w:rsid w:val="00050314"/>
    <w:rsid w:val="000503E5"/>
    <w:rsid w:val="000504FD"/>
    <w:rsid w:val="00050611"/>
    <w:rsid w:val="0005062A"/>
    <w:rsid w:val="000507ED"/>
    <w:rsid w:val="00050992"/>
    <w:rsid w:val="00050A6D"/>
    <w:rsid w:val="00050ACA"/>
    <w:rsid w:val="00050BEE"/>
    <w:rsid w:val="00050C48"/>
    <w:rsid w:val="00050C7F"/>
    <w:rsid w:val="00050F0D"/>
    <w:rsid w:val="00050F14"/>
    <w:rsid w:val="00050F4F"/>
    <w:rsid w:val="00051026"/>
    <w:rsid w:val="0005112B"/>
    <w:rsid w:val="00051289"/>
    <w:rsid w:val="000513A6"/>
    <w:rsid w:val="0005145F"/>
    <w:rsid w:val="000514BD"/>
    <w:rsid w:val="00051600"/>
    <w:rsid w:val="00051632"/>
    <w:rsid w:val="000517A6"/>
    <w:rsid w:val="0005187F"/>
    <w:rsid w:val="0005199C"/>
    <w:rsid w:val="00051AA9"/>
    <w:rsid w:val="00051B36"/>
    <w:rsid w:val="00051CBC"/>
    <w:rsid w:val="00051EC6"/>
    <w:rsid w:val="00051F63"/>
    <w:rsid w:val="00051F72"/>
    <w:rsid w:val="0005206B"/>
    <w:rsid w:val="00052078"/>
    <w:rsid w:val="000521F8"/>
    <w:rsid w:val="00052283"/>
    <w:rsid w:val="0005238D"/>
    <w:rsid w:val="00052497"/>
    <w:rsid w:val="000525EA"/>
    <w:rsid w:val="000529E8"/>
    <w:rsid w:val="00052D93"/>
    <w:rsid w:val="00052E0A"/>
    <w:rsid w:val="00052E87"/>
    <w:rsid w:val="00052E91"/>
    <w:rsid w:val="00052F48"/>
    <w:rsid w:val="00052F64"/>
    <w:rsid w:val="00052F6B"/>
    <w:rsid w:val="000530CE"/>
    <w:rsid w:val="0005314E"/>
    <w:rsid w:val="000531B0"/>
    <w:rsid w:val="0005325C"/>
    <w:rsid w:val="00053369"/>
    <w:rsid w:val="00053426"/>
    <w:rsid w:val="000534C5"/>
    <w:rsid w:val="000534DF"/>
    <w:rsid w:val="0005354E"/>
    <w:rsid w:val="00053703"/>
    <w:rsid w:val="000537DC"/>
    <w:rsid w:val="0005389F"/>
    <w:rsid w:val="000538E5"/>
    <w:rsid w:val="00053A6A"/>
    <w:rsid w:val="00053B2C"/>
    <w:rsid w:val="00053B8E"/>
    <w:rsid w:val="00053C89"/>
    <w:rsid w:val="00053DAD"/>
    <w:rsid w:val="00053DEB"/>
    <w:rsid w:val="00053E49"/>
    <w:rsid w:val="00053F05"/>
    <w:rsid w:val="000542F7"/>
    <w:rsid w:val="0005473C"/>
    <w:rsid w:val="00054828"/>
    <w:rsid w:val="00054A17"/>
    <w:rsid w:val="00054A22"/>
    <w:rsid w:val="00054AFB"/>
    <w:rsid w:val="00054DF9"/>
    <w:rsid w:val="00055011"/>
    <w:rsid w:val="00055027"/>
    <w:rsid w:val="000551BB"/>
    <w:rsid w:val="00055548"/>
    <w:rsid w:val="00055573"/>
    <w:rsid w:val="000559D5"/>
    <w:rsid w:val="00055A0C"/>
    <w:rsid w:val="00055AD2"/>
    <w:rsid w:val="00055AE3"/>
    <w:rsid w:val="00055AF1"/>
    <w:rsid w:val="00055B98"/>
    <w:rsid w:val="00055F79"/>
    <w:rsid w:val="000560EA"/>
    <w:rsid w:val="000561AB"/>
    <w:rsid w:val="00056387"/>
    <w:rsid w:val="00056676"/>
    <w:rsid w:val="0005670B"/>
    <w:rsid w:val="0005686A"/>
    <w:rsid w:val="000568AB"/>
    <w:rsid w:val="000568B6"/>
    <w:rsid w:val="00056900"/>
    <w:rsid w:val="00056AE2"/>
    <w:rsid w:val="00056C38"/>
    <w:rsid w:val="00056C4A"/>
    <w:rsid w:val="00056C7C"/>
    <w:rsid w:val="00056C8E"/>
    <w:rsid w:val="00056D42"/>
    <w:rsid w:val="00056FCE"/>
    <w:rsid w:val="00056FE3"/>
    <w:rsid w:val="00057113"/>
    <w:rsid w:val="000571F1"/>
    <w:rsid w:val="00057349"/>
    <w:rsid w:val="0005734E"/>
    <w:rsid w:val="00057628"/>
    <w:rsid w:val="0005777E"/>
    <w:rsid w:val="0005777F"/>
    <w:rsid w:val="0005798F"/>
    <w:rsid w:val="000579FB"/>
    <w:rsid w:val="00057A04"/>
    <w:rsid w:val="00057A6B"/>
    <w:rsid w:val="00057AB8"/>
    <w:rsid w:val="00057ACD"/>
    <w:rsid w:val="00057C94"/>
    <w:rsid w:val="00057D46"/>
    <w:rsid w:val="00057F03"/>
    <w:rsid w:val="00057FDA"/>
    <w:rsid w:val="00060146"/>
    <w:rsid w:val="0006045B"/>
    <w:rsid w:val="00060565"/>
    <w:rsid w:val="00060588"/>
    <w:rsid w:val="000605B8"/>
    <w:rsid w:val="00060693"/>
    <w:rsid w:val="0006073F"/>
    <w:rsid w:val="000607C3"/>
    <w:rsid w:val="000608E7"/>
    <w:rsid w:val="00060A8C"/>
    <w:rsid w:val="00060B20"/>
    <w:rsid w:val="00060BD3"/>
    <w:rsid w:val="00060BEF"/>
    <w:rsid w:val="00060D20"/>
    <w:rsid w:val="00060E64"/>
    <w:rsid w:val="00060E79"/>
    <w:rsid w:val="00060F30"/>
    <w:rsid w:val="00060FF7"/>
    <w:rsid w:val="00061165"/>
    <w:rsid w:val="000611B0"/>
    <w:rsid w:val="0006127C"/>
    <w:rsid w:val="000613C7"/>
    <w:rsid w:val="00061AA2"/>
    <w:rsid w:val="00061BB1"/>
    <w:rsid w:val="00061D32"/>
    <w:rsid w:val="0006210A"/>
    <w:rsid w:val="0006210E"/>
    <w:rsid w:val="00062197"/>
    <w:rsid w:val="0006225D"/>
    <w:rsid w:val="0006229C"/>
    <w:rsid w:val="000622CD"/>
    <w:rsid w:val="00062518"/>
    <w:rsid w:val="0006256A"/>
    <w:rsid w:val="00062585"/>
    <w:rsid w:val="000625EC"/>
    <w:rsid w:val="000626C5"/>
    <w:rsid w:val="000627E2"/>
    <w:rsid w:val="00062A21"/>
    <w:rsid w:val="00062BB1"/>
    <w:rsid w:val="00062C59"/>
    <w:rsid w:val="00062C7E"/>
    <w:rsid w:val="00062CBD"/>
    <w:rsid w:val="00062DEB"/>
    <w:rsid w:val="00062E53"/>
    <w:rsid w:val="00063419"/>
    <w:rsid w:val="000634DC"/>
    <w:rsid w:val="000634DE"/>
    <w:rsid w:val="00063717"/>
    <w:rsid w:val="0006375D"/>
    <w:rsid w:val="000637F3"/>
    <w:rsid w:val="000637FE"/>
    <w:rsid w:val="00063962"/>
    <w:rsid w:val="000639EE"/>
    <w:rsid w:val="00063E46"/>
    <w:rsid w:val="00063E94"/>
    <w:rsid w:val="00063FD2"/>
    <w:rsid w:val="00063FE1"/>
    <w:rsid w:val="00063FFB"/>
    <w:rsid w:val="0006401E"/>
    <w:rsid w:val="000640F1"/>
    <w:rsid w:val="00064158"/>
    <w:rsid w:val="0006428D"/>
    <w:rsid w:val="000642CC"/>
    <w:rsid w:val="000642EA"/>
    <w:rsid w:val="00064393"/>
    <w:rsid w:val="000643FA"/>
    <w:rsid w:val="00064752"/>
    <w:rsid w:val="0006482F"/>
    <w:rsid w:val="00064978"/>
    <w:rsid w:val="00064A14"/>
    <w:rsid w:val="00064B6F"/>
    <w:rsid w:val="00064DBD"/>
    <w:rsid w:val="00064F76"/>
    <w:rsid w:val="0006506F"/>
    <w:rsid w:val="00065180"/>
    <w:rsid w:val="00065272"/>
    <w:rsid w:val="000654C5"/>
    <w:rsid w:val="0006564B"/>
    <w:rsid w:val="00065919"/>
    <w:rsid w:val="00065CED"/>
    <w:rsid w:val="00065EBD"/>
    <w:rsid w:val="00065EF8"/>
    <w:rsid w:val="00065EFE"/>
    <w:rsid w:val="00065F80"/>
    <w:rsid w:val="00065F9A"/>
    <w:rsid w:val="000660A4"/>
    <w:rsid w:val="000660EB"/>
    <w:rsid w:val="000663C4"/>
    <w:rsid w:val="00066712"/>
    <w:rsid w:val="00066778"/>
    <w:rsid w:val="000667B5"/>
    <w:rsid w:val="000669B9"/>
    <w:rsid w:val="00066A5F"/>
    <w:rsid w:val="00066B05"/>
    <w:rsid w:val="00066C5B"/>
    <w:rsid w:val="00066D4B"/>
    <w:rsid w:val="00066FDE"/>
    <w:rsid w:val="00067242"/>
    <w:rsid w:val="0006732D"/>
    <w:rsid w:val="00067404"/>
    <w:rsid w:val="000674F6"/>
    <w:rsid w:val="00067745"/>
    <w:rsid w:val="000677E4"/>
    <w:rsid w:val="00067840"/>
    <w:rsid w:val="0006796E"/>
    <w:rsid w:val="00067A30"/>
    <w:rsid w:val="00067AAC"/>
    <w:rsid w:val="00067C45"/>
    <w:rsid w:val="00067E2C"/>
    <w:rsid w:val="00067E44"/>
    <w:rsid w:val="00067E5B"/>
    <w:rsid w:val="00067FF5"/>
    <w:rsid w:val="000700B6"/>
    <w:rsid w:val="0007015B"/>
    <w:rsid w:val="000701E1"/>
    <w:rsid w:val="00070365"/>
    <w:rsid w:val="000703AB"/>
    <w:rsid w:val="0007046E"/>
    <w:rsid w:val="00070599"/>
    <w:rsid w:val="000705C5"/>
    <w:rsid w:val="000705D8"/>
    <w:rsid w:val="0007068A"/>
    <w:rsid w:val="00070777"/>
    <w:rsid w:val="0007096F"/>
    <w:rsid w:val="00070991"/>
    <w:rsid w:val="000709CD"/>
    <w:rsid w:val="00070AB2"/>
    <w:rsid w:val="00070B77"/>
    <w:rsid w:val="00070C57"/>
    <w:rsid w:val="00070DF0"/>
    <w:rsid w:val="00070FA6"/>
    <w:rsid w:val="00070FB6"/>
    <w:rsid w:val="00071035"/>
    <w:rsid w:val="000710E4"/>
    <w:rsid w:val="00071109"/>
    <w:rsid w:val="00071342"/>
    <w:rsid w:val="0007152A"/>
    <w:rsid w:val="00071674"/>
    <w:rsid w:val="000717BF"/>
    <w:rsid w:val="000717F8"/>
    <w:rsid w:val="000718AC"/>
    <w:rsid w:val="000718EF"/>
    <w:rsid w:val="00071975"/>
    <w:rsid w:val="000719EC"/>
    <w:rsid w:val="00071BE8"/>
    <w:rsid w:val="00071BF5"/>
    <w:rsid w:val="00071C63"/>
    <w:rsid w:val="00071CF3"/>
    <w:rsid w:val="00071D6A"/>
    <w:rsid w:val="000720DE"/>
    <w:rsid w:val="00072278"/>
    <w:rsid w:val="0007229C"/>
    <w:rsid w:val="000722FD"/>
    <w:rsid w:val="000723D6"/>
    <w:rsid w:val="0007245C"/>
    <w:rsid w:val="000725EE"/>
    <w:rsid w:val="000728B6"/>
    <w:rsid w:val="00072920"/>
    <w:rsid w:val="00072A2E"/>
    <w:rsid w:val="00072BB7"/>
    <w:rsid w:val="00072C18"/>
    <w:rsid w:val="00072C52"/>
    <w:rsid w:val="00072D29"/>
    <w:rsid w:val="00072D5D"/>
    <w:rsid w:val="00072F93"/>
    <w:rsid w:val="000730F1"/>
    <w:rsid w:val="00073176"/>
    <w:rsid w:val="00073378"/>
    <w:rsid w:val="000733EE"/>
    <w:rsid w:val="00073583"/>
    <w:rsid w:val="0007358D"/>
    <w:rsid w:val="000737BE"/>
    <w:rsid w:val="00073883"/>
    <w:rsid w:val="00073886"/>
    <w:rsid w:val="000738FE"/>
    <w:rsid w:val="0007392A"/>
    <w:rsid w:val="00073B0A"/>
    <w:rsid w:val="00073B56"/>
    <w:rsid w:val="00073C55"/>
    <w:rsid w:val="00073D25"/>
    <w:rsid w:val="00073D9E"/>
    <w:rsid w:val="00073EA8"/>
    <w:rsid w:val="00073EF4"/>
    <w:rsid w:val="00073F79"/>
    <w:rsid w:val="00074288"/>
    <w:rsid w:val="000743CE"/>
    <w:rsid w:val="00074612"/>
    <w:rsid w:val="00074618"/>
    <w:rsid w:val="00074793"/>
    <w:rsid w:val="000747BB"/>
    <w:rsid w:val="00074909"/>
    <w:rsid w:val="00074930"/>
    <w:rsid w:val="00074970"/>
    <w:rsid w:val="00074991"/>
    <w:rsid w:val="00074B2F"/>
    <w:rsid w:val="00074B37"/>
    <w:rsid w:val="00074DDD"/>
    <w:rsid w:val="00075093"/>
    <w:rsid w:val="00075112"/>
    <w:rsid w:val="0007513F"/>
    <w:rsid w:val="00075274"/>
    <w:rsid w:val="00075303"/>
    <w:rsid w:val="00075460"/>
    <w:rsid w:val="00075498"/>
    <w:rsid w:val="00075635"/>
    <w:rsid w:val="0007566F"/>
    <w:rsid w:val="0007568F"/>
    <w:rsid w:val="000756F0"/>
    <w:rsid w:val="00075774"/>
    <w:rsid w:val="000758AA"/>
    <w:rsid w:val="000758FA"/>
    <w:rsid w:val="00075961"/>
    <w:rsid w:val="00075A09"/>
    <w:rsid w:val="00075A59"/>
    <w:rsid w:val="00075AD0"/>
    <w:rsid w:val="00075CA8"/>
    <w:rsid w:val="00075D4D"/>
    <w:rsid w:val="00075E31"/>
    <w:rsid w:val="00076239"/>
    <w:rsid w:val="00076322"/>
    <w:rsid w:val="0007632D"/>
    <w:rsid w:val="0007640C"/>
    <w:rsid w:val="000764A2"/>
    <w:rsid w:val="000764C7"/>
    <w:rsid w:val="000766D0"/>
    <w:rsid w:val="000766D9"/>
    <w:rsid w:val="0007670E"/>
    <w:rsid w:val="000767C0"/>
    <w:rsid w:val="000767D3"/>
    <w:rsid w:val="000768EF"/>
    <w:rsid w:val="00076A00"/>
    <w:rsid w:val="00076A0E"/>
    <w:rsid w:val="00076C3B"/>
    <w:rsid w:val="00076C52"/>
    <w:rsid w:val="00076F8D"/>
    <w:rsid w:val="00076F94"/>
    <w:rsid w:val="0007718D"/>
    <w:rsid w:val="000771C9"/>
    <w:rsid w:val="00077235"/>
    <w:rsid w:val="0007744E"/>
    <w:rsid w:val="00077643"/>
    <w:rsid w:val="0007782C"/>
    <w:rsid w:val="00077A72"/>
    <w:rsid w:val="00077BF3"/>
    <w:rsid w:val="00077D3C"/>
    <w:rsid w:val="00080237"/>
    <w:rsid w:val="00080270"/>
    <w:rsid w:val="000802A6"/>
    <w:rsid w:val="000803D0"/>
    <w:rsid w:val="000806EE"/>
    <w:rsid w:val="000807BC"/>
    <w:rsid w:val="00081258"/>
    <w:rsid w:val="00081481"/>
    <w:rsid w:val="00081530"/>
    <w:rsid w:val="000816B3"/>
    <w:rsid w:val="0008177F"/>
    <w:rsid w:val="0008179A"/>
    <w:rsid w:val="000818BD"/>
    <w:rsid w:val="000818DF"/>
    <w:rsid w:val="000819F0"/>
    <w:rsid w:val="00081AE1"/>
    <w:rsid w:val="00081E98"/>
    <w:rsid w:val="0008218C"/>
    <w:rsid w:val="000822EE"/>
    <w:rsid w:val="0008244F"/>
    <w:rsid w:val="0008247A"/>
    <w:rsid w:val="000824C0"/>
    <w:rsid w:val="00082551"/>
    <w:rsid w:val="0008272B"/>
    <w:rsid w:val="0008285D"/>
    <w:rsid w:val="00082A2E"/>
    <w:rsid w:val="00082D26"/>
    <w:rsid w:val="00082FB8"/>
    <w:rsid w:val="0008302E"/>
    <w:rsid w:val="0008308B"/>
    <w:rsid w:val="0008310F"/>
    <w:rsid w:val="000831A4"/>
    <w:rsid w:val="000832B5"/>
    <w:rsid w:val="000832D1"/>
    <w:rsid w:val="000832E1"/>
    <w:rsid w:val="0008331B"/>
    <w:rsid w:val="00083370"/>
    <w:rsid w:val="000833EF"/>
    <w:rsid w:val="000834F8"/>
    <w:rsid w:val="000835B8"/>
    <w:rsid w:val="00083723"/>
    <w:rsid w:val="000837C5"/>
    <w:rsid w:val="000839DD"/>
    <w:rsid w:val="00083AAB"/>
    <w:rsid w:val="00083BD3"/>
    <w:rsid w:val="00083C15"/>
    <w:rsid w:val="00083C5B"/>
    <w:rsid w:val="00083DF8"/>
    <w:rsid w:val="0008400F"/>
    <w:rsid w:val="0008402E"/>
    <w:rsid w:val="00084117"/>
    <w:rsid w:val="0008411E"/>
    <w:rsid w:val="0008428A"/>
    <w:rsid w:val="0008432E"/>
    <w:rsid w:val="000844CF"/>
    <w:rsid w:val="000845A5"/>
    <w:rsid w:val="000846A9"/>
    <w:rsid w:val="000846B7"/>
    <w:rsid w:val="00084709"/>
    <w:rsid w:val="0008481A"/>
    <w:rsid w:val="00084844"/>
    <w:rsid w:val="0008484F"/>
    <w:rsid w:val="00084941"/>
    <w:rsid w:val="000849BB"/>
    <w:rsid w:val="000849C6"/>
    <w:rsid w:val="00084ACB"/>
    <w:rsid w:val="00084ACF"/>
    <w:rsid w:val="00084B4D"/>
    <w:rsid w:val="00084C34"/>
    <w:rsid w:val="00084D1C"/>
    <w:rsid w:val="00084E0F"/>
    <w:rsid w:val="00084FEB"/>
    <w:rsid w:val="000851C2"/>
    <w:rsid w:val="000852D1"/>
    <w:rsid w:val="000853BC"/>
    <w:rsid w:val="000853C4"/>
    <w:rsid w:val="00085460"/>
    <w:rsid w:val="0008578F"/>
    <w:rsid w:val="00085808"/>
    <w:rsid w:val="00085889"/>
    <w:rsid w:val="000858C7"/>
    <w:rsid w:val="00085A2E"/>
    <w:rsid w:val="00085AF1"/>
    <w:rsid w:val="00085C88"/>
    <w:rsid w:val="00085D9B"/>
    <w:rsid w:val="00085EB9"/>
    <w:rsid w:val="00085F50"/>
    <w:rsid w:val="00085FBC"/>
    <w:rsid w:val="00086059"/>
    <w:rsid w:val="0008609F"/>
    <w:rsid w:val="00086272"/>
    <w:rsid w:val="0008627A"/>
    <w:rsid w:val="0008635F"/>
    <w:rsid w:val="00086387"/>
    <w:rsid w:val="00086428"/>
    <w:rsid w:val="00086429"/>
    <w:rsid w:val="000865A6"/>
    <w:rsid w:val="0008663A"/>
    <w:rsid w:val="00086788"/>
    <w:rsid w:val="0008689C"/>
    <w:rsid w:val="00086E03"/>
    <w:rsid w:val="00086E16"/>
    <w:rsid w:val="00086EC3"/>
    <w:rsid w:val="00086F57"/>
    <w:rsid w:val="000870E0"/>
    <w:rsid w:val="00087117"/>
    <w:rsid w:val="0008726E"/>
    <w:rsid w:val="0008729E"/>
    <w:rsid w:val="000873BD"/>
    <w:rsid w:val="00087558"/>
    <w:rsid w:val="00087723"/>
    <w:rsid w:val="00087980"/>
    <w:rsid w:val="00087B5C"/>
    <w:rsid w:val="00087E93"/>
    <w:rsid w:val="00087EDE"/>
    <w:rsid w:val="000901A1"/>
    <w:rsid w:val="00090328"/>
    <w:rsid w:val="0009033A"/>
    <w:rsid w:val="00090375"/>
    <w:rsid w:val="00090578"/>
    <w:rsid w:val="000907B1"/>
    <w:rsid w:val="00090898"/>
    <w:rsid w:val="0009089C"/>
    <w:rsid w:val="000909AD"/>
    <w:rsid w:val="00090A33"/>
    <w:rsid w:val="00090E7D"/>
    <w:rsid w:val="00090F90"/>
    <w:rsid w:val="00090FF5"/>
    <w:rsid w:val="00091058"/>
    <w:rsid w:val="0009112E"/>
    <w:rsid w:val="00091461"/>
    <w:rsid w:val="000914A0"/>
    <w:rsid w:val="000914FE"/>
    <w:rsid w:val="0009153C"/>
    <w:rsid w:val="000916B9"/>
    <w:rsid w:val="0009176B"/>
    <w:rsid w:val="00091918"/>
    <w:rsid w:val="0009196D"/>
    <w:rsid w:val="00091C49"/>
    <w:rsid w:val="00091C96"/>
    <w:rsid w:val="00091CC6"/>
    <w:rsid w:val="00091CCF"/>
    <w:rsid w:val="00091E3D"/>
    <w:rsid w:val="00091F4E"/>
    <w:rsid w:val="00092062"/>
    <w:rsid w:val="000920A8"/>
    <w:rsid w:val="000920DD"/>
    <w:rsid w:val="000921A3"/>
    <w:rsid w:val="000922ED"/>
    <w:rsid w:val="00092389"/>
    <w:rsid w:val="000923F1"/>
    <w:rsid w:val="000924CC"/>
    <w:rsid w:val="0009276B"/>
    <w:rsid w:val="0009284F"/>
    <w:rsid w:val="00092A5D"/>
    <w:rsid w:val="00092B1C"/>
    <w:rsid w:val="00092BB7"/>
    <w:rsid w:val="00092C74"/>
    <w:rsid w:val="00092CC3"/>
    <w:rsid w:val="00092E32"/>
    <w:rsid w:val="00092ED1"/>
    <w:rsid w:val="00093051"/>
    <w:rsid w:val="000931CB"/>
    <w:rsid w:val="0009320A"/>
    <w:rsid w:val="000934DF"/>
    <w:rsid w:val="00093540"/>
    <w:rsid w:val="00093589"/>
    <w:rsid w:val="00093598"/>
    <w:rsid w:val="000938DC"/>
    <w:rsid w:val="000939F9"/>
    <w:rsid w:val="00093A40"/>
    <w:rsid w:val="00093A90"/>
    <w:rsid w:val="00093A9B"/>
    <w:rsid w:val="00093BCC"/>
    <w:rsid w:val="0009400A"/>
    <w:rsid w:val="000940EC"/>
    <w:rsid w:val="000941FB"/>
    <w:rsid w:val="00094412"/>
    <w:rsid w:val="00094482"/>
    <w:rsid w:val="000944AF"/>
    <w:rsid w:val="00094625"/>
    <w:rsid w:val="0009490D"/>
    <w:rsid w:val="000949A6"/>
    <w:rsid w:val="00094A2D"/>
    <w:rsid w:val="00094A86"/>
    <w:rsid w:val="00094BC7"/>
    <w:rsid w:val="00094CDD"/>
    <w:rsid w:val="00094D51"/>
    <w:rsid w:val="00094E18"/>
    <w:rsid w:val="00094E5B"/>
    <w:rsid w:val="00094EBB"/>
    <w:rsid w:val="00095004"/>
    <w:rsid w:val="00095138"/>
    <w:rsid w:val="000951B5"/>
    <w:rsid w:val="000952AB"/>
    <w:rsid w:val="000952E1"/>
    <w:rsid w:val="0009532B"/>
    <w:rsid w:val="0009533F"/>
    <w:rsid w:val="000953A0"/>
    <w:rsid w:val="00095446"/>
    <w:rsid w:val="00095456"/>
    <w:rsid w:val="00095462"/>
    <w:rsid w:val="000955E8"/>
    <w:rsid w:val="00095C83"/>
    <w:rsid w:val="00095DD0"/>
    <w:rsid w:val="00095DF0"/>
    <w:rsid w:val="00095E8B"/>
    <w:rsid w:val="00095ED5"/>
    <w:rsid w:val="00095F2F"/>
    <w:rsid w:val="00096037"/>
    <w:rsid w:val="000960CB"/>
    <w:rsid w:val="00096137"/>
    <w:rsid w:val="000961EC"/>
    <w:rsid w:val="00096234"/>
    <w:rsid w:val="00096963"/>
    <w:rsid w:val="000969F9"/>
    <w:rsid w:val="00096A8F"/>
    <w:rsid w:val="00096C0E"/>
    <w:rsid w:val="00096C5C"/>
    <w:rsid w:val="00096C72"/>
    <w:rsid w:val="00096E01"/>
    <w:rsid w:val="00096F06"/>
    <w:rsid w:val="00096F46"/>
    <w:rsid w:val="000971A0"/>
    <w:rsid w:val="000971D5"/>
    <w:rsid w:val="000971EC"/>
    <w:rsid w:val="00097202"/>
    <w:rsid w:val="00097213"/>
    <w:rsid w:val="00097565"/>
    <w:rsid w:val="000976E9"/>
    <w:rsid w:val="00097703"/>
    <w:rsid w:val="000977B2"/>
    <w:rsid w:val="000978CC"/>
    <w:rsid w:val="0009791A"/>
    <w:rsid w:val="00097920"/>
    <w:rsid w:val="00097A57"/>
    <w:rsid w:val="00097BD5"/>
    <w:rsid w:val="00097E32"/>
    <w:rsid w:val="00097E6C"/>
    <w:rsid w:val="000A02D5"/>
    <w:rsid w:val="000A0424"/>
    <w:rsid w:val="000A0441"/>
    <w:rsid w:val="000A0526"/>
    <w:rsid w:val="000A06C4"/>
    <w:rsid w:val="000A06ED"/>
    <w:rsid w:val="000A080B"/>
    <w:rsid w:val="000A0B60"/>
    <w:rsid w:val="000A0B9A"/>
    <w:rsid w:val="000A0CEE"/>
    <w:rsid w:val="000A0D51"/>
    <w:rsid w:val="000A0DCC"/>
    <w:rsid w:val="000A0F4D"/>
    <w:rsid w:val="000A0F53"/>
    <w:rsid w:val="000A108F"/>
    <w:rsid w:val="000A11D1"/>
    <w:rsid w:val="000A1253"/>
    <w:rsid w:val="000A12FA"/>
    <w:rsid w:val="000A1301"/>
    <w:rsid w:val="000A1377"/>
    <w:rsid w:val="000A1436"/>
    <w:rsid w:val="000A14F0"/>
    <w:rsid w:val="000A1650"/>
    <w:rsid w:val="000A171D"/>
    <w:rsid w:val="000A17C6"/>
    <w:rsid w:val="000A17FA"/>
    <w:rsid w:val="000A1884"/>
    <w:rsid w:val="000A18D6"/>
    <w:rsid w:val="000A18F1"/>
    <w:rsid w:val="000A1988"/>
    <w:rsid w:val="000A1A83"/>
    <w:rsid w:val="000A1C2D"/>
    <w:rsid w:val="000A1D59"/>
    <w:rsid w:val="000A20EF"/>
    <w:rsid w:val="000A2348"/>
    <w:rsid w:val="000A234F"/>
    <w:rsid w:val="000A2373"/>
    <w:rsid w:val="000A251C"/>
    <w:rsid w:val="000A285B"/>
    <w:rsid w:val="000A2A22"/>
    <w:rsid w:val="000A2AA0"/>
    <w:rsid w:val="000A2BE0"/>
    <w:rsid w:val="000A2C91"/>
    <w:rsid w:val="000A2DBD"/>
    <w:rsid w:val="000A2F8B"/>
    <w:rsid w:val="000A2FC0"/>
    <w:rsid w:val="000A324C"/>
    <w:rsid w:val="000A328E"/>
    <w:rsid w:val="000A32F4"/>
    <w:rsid w:val="000A33DF"/>
    <w:rsid w:val="000A340C"/>
    <w:rsid w:val="000A3489"/>
    <w:rsid w:val="000A396D"/>
    <w:rsid w:val="000A3B56"/>
    <w:rsid w:val="000A3B99"/>
    <w:rsid w:val="000A3C13"/>
    <w:rsid w:val="000A3C20"/>
    <w:rsid w:val="000A3E69"/>
    <w:rsid w:val="000A3EAE"/>
    <w:rsid w:val="000A3ECC"/>
    <w:rsid w:val="000A4026"/>
    <w:rsid w:val="000A4075"/>
    <w:rsid w:val="000A408C"/>
    <w:rsid w:val="000A40F6"/>
    <w:rsid w:val="000A4127"/>
    <w:rsid w:val="000A41DC"/>
    <w:rsid w:val="000A42A2"/>
    <w:rsid w:val="000A42EF"/>
    <w:rsid w:val="000A4ACF"/>
    <w:rsid w:val="000A4B0B"/>
    <w:rsid w:val="000A4B6A"/>
    <w:rsid w:val="000A4C67"/>
    <w:rsid w:val="000A501A"/>
    <w:rsid w:val="000A5341"/>
    <w:rsid w:val="000A546A"/>
    <w:rsid w:val="000A551F"/>
    <w:rsid w:val="000A5523"/>
    <w:rsid w:val="000A56BC"/>
    <w:rsid w:val="000A5835"/>
    <w:rsid w:val="000A58D6"/>
    <w:rsid w:val="000A5A0A"/>
    <w:rsid w:val="000A5A96"/>
    <w:rsid w:val="000A5AB9"/>
    <w:rsid w:val="000A5ABE"/>
    <w:rsid w:val="000A5B4F"/>
    <w:rsid w:val="000A5CC8"/>
    <w:rsid w:val="000A5E27"/>
    <w:rsid w:val="000A5EE7"/>
    <w:rsid w:val="000A5FBA"/>
    <w:rsid w:val="000A6005"/>
    <w:rsid w:val="000A60F8"/>
    <w:rsid w:val="000A615F"/>
    <w:rsid w:val="000A63B5"/>
    <w:rsid w:val="000A641A"/>
    <w:rsid w:val="000A641B"/>
    <w:rsid w:val="000A654B"/>
    <w:rsid w:val="000A679E"/>
    <w:rsid w:val="000A67DF"/>
    <w:rsid w:val="000A6869"/>
    <w:rsid w:val="000A6989"/>
    <w:rsid w:val="000A6CE4"/>
    <w:rsid w:val="000A6D14"/>
    <w:rsid w:val="000A6D8A"/>
    <w:rsid w:val="000A6ED1"/>
    <w:rsid w:val="000A7327"/>
    <w:rsid w:val="000A7352"/>
    <w:rsid w:val="000A76F6"/>
    <w:rsid w:val="000A76FC"/>
    <w:rsid w:val="000A7790"/>
    <w:rsid w:val="000A7958"/>
    <w:rsid w:val="000A7B71"/>
    <w:rsid w:val="000A7E2B"/>
    <w:rsid w:val="000A7F21"/>
    <w:rsid w:val="000A7FE3"/>
    <w:rsid w:val="000B0168"/>
    <w:rsid w:val="000B02EC"/>
    <w:rsid w:val="000B093F"/>
    <w:rsid w:val="000B0997"/>
    <w:rsid w:val="000B0B2C"/>
    <w:rsid w:val="000B0B9A"/>
    <w:rsid w:val="000B0C41"/>
    <w:rsid w:val="000B0E54"/>
    <w:rsid w:val="000B1088"/>
    <w:rsid w:val="000B13C0"/>
    <w:rsid w:val="000B1410"/>
    <w:rsid w:val="000B1509"/>
    <w:rsid w:val="000B1714"/>
    <w:rsid w:val="000B1724"/>
    <w:rsid w:val="000B1751"/>
    <w:rsid w:val="000B1866"/>
    <w:rsid w:val="000B192F"/>
    <w:rsid w:val="000B19C3"/>
    <w:rsid w:val="000B1B6E"/>
    <w:rsid w:val="000B1BF8"/>
    <w:rsid w:val="000B1C47"/>
    <w:rsid w:val="000B1C95"/>
    <w:rsid w:val="000B1D91"/>
    <w:rsid w:val="000B204E"/>
    <w:rsid w:val="000B2134"/>
    <w:rsid w:val="000B2305"/>
    <w:rsid w:val="000B243A"/>
    <w:rsid w:val="000B25D4"/>
    <w:rsid w:val="000B25D7"/>
    <w:rsid w:val="000B26C0"/>
    <w:rsid w:val="000B2724"/>
    <w:rsid w:val="000B2771"/>
    <w:rsid w:val="000B2843"/>
    <w:rsid w:val="000B29B4"/>
    <w:rsid w:val="000B2A6A"/>
    <w:rsid w:val="000B2B0D"/>
    <w:rsid w:val="000B2B98"/>
    <w:rsid w:val="000B2BBA"/>
    <w:rsid w:val="000B2C71"/>
    <w:rsid w:val="000B2C9A"/>
    <w:rsid w:val="000B2CBA"/>
    <w:rsid w:val="000B2D33"/>
    <w:rsid w:val="000B2D73"/>
    <w:rsid w:val="000B2EE5"/>
    <w:rsid w:val="000B2F35"/>
    <w:rsid w:val="000B2FBA"/>
    <w:rsid w:val="000B2FE9"/>
    <w:rsid w:val="000B3163"/>
    <w:rsid w:val="000B3180"/>
    <w:rsid w:val="000B32CC"/>
    <w:rsid w:val="000B32FA"/>
    <w:rsid w:val="000B38B1"/>
    <w:rsid w:val="000B391C"/>
    <w:rsid w:val="000B3A61"/>
    <w:rsid w:val="000B3AB3"/>
    <w:rsid w:val="000B3C8D"/>
    <w:rsid w:val="000B3D01"/>
    <w:rsid w:val="000B3E29"/>
    <w:rsid w:val="000B3FBB"/>
    <w:rsid w:val="000B4028"/>
    <w:rsid w:val="000B406A"/>
    <w:rsid w:val="000B412C"/>
    <w:rsid w:val="000B420B"/>
    <w:rsid w:val="000B421D"/>
    <w:rsid w:val="000B4230"/>
    <w:rsid w:val="000B4260"/>
    <w:rsid w:val="000B42BB"/>
    <w:rsid w:val="000B444D"/>
    <w:rsid w:val="000B44F1"/>
    <w:rsid w:val="000B45B7"/>
    <w:rsid w:val="000B4633"/>
    <w:rsid w:val="000B4736"/>
    <w:rsid w:val="000B492B"/>
    <w:rsid w:val="000B4C38"/>
    <w:rsid w:val="000B52FC"/>
    <w:rsid w:val="000B5363"/>
    <w:rsid w:val="000B53CC"/>
    <w:rsid w:val="000B5462"/>
    <w:rsid w:val="000B566B"/>
    <w:rsid w:val="000B57FC"/>
    <w:rsid w:val="000B582A"/>
    <w:rsid w:val="000B59E1"/>
    <w:rsid w:val="000B5A94"/>
    <w:rsid w:val="000B5C49"/>
    <w:rsid w:val="000B5C8C"/>
    <w:rsid w:val="000B6236"/>
    <w:rsid w:val="000B6243"/>
    <w:rsid w:val="000B6259"/>
    <w:rsid w:val="000B62AA"/>
    <w:rsid w:val="000B62F9"/>
    <w:rsid w:val="000B6414"/>
    <w:rsid w:val="000B645B"/>
    <w:rsid w:val="000B6542"/>
    <w:rsid w:val="000B6559"/>
    <w:rsid w:val="000B66C8"/>
    <w:rsid w:val="000B6877"/>
    <w:rsid w:val="000B6A1B"/>
    <w:rsid w:val="000B6AF8"/>
    <w:rsid w:val="000B6B49"/>
    <w:rsid w:val="000B6EA8"/>
    <w:rsid w:val="000B6EBF"/>
    <w:rsid w:val="000B6F0C"/>
    <w:rsid w:val="000B6FD2"/>
    <w:rsid w:val="000B7149"/>
    <w:rsid w:val="000B73A3"/>
    <w:rsid w:val="000B749E"/>
    <w:rsid w:val="000B75D5"/>
    <w:rsid w:val="000B76AF"/>
    <w:rsid w:val="000B788F"/>
    <w:rsid w:val="000B78BA"/>
    <w:rsid w:val="000B7AB3"/>
    <w:rsid w:val="000B7B65"/>
    <w:rsid w:val="000B7C48"/>
    <w:rsid w:val="000B7CD7"/>
    <w:rsid w:val="000B7DFF"/>
    <w:rsid w:val="000B7F1D"/>
    <w:rsid w:val="000C0267"/>
    <w:rsid w:val="000C0271"/>
    <w:rsid w:val="000C0430"/>
    <w:rsid w:val="000C04A5"/>
    <w:rsid w:val="000C0580"/>
    <w:rsid w:val="000C0B15"/>
    <w:rsid w:val="000C0B1D"/>
    <w:rsid w:val="000C0B9D"/>
    <w:rsid w:val="000C0E7F"/>
    <w:rsid w:val="000C0EB2"/>
    <w:rsid w:val="000C0EF3"/>
    <w:rsid w:val="000C0F2F"/>
    <w:rsid w:val="000C0F8A"/>
    <w:rsid w:val="000C1065"/>
    <w:rsid w:val="000C10F0"/>
    <w:rsid w:val="000C12B5"/>
    <w:rsid w:val="000C12EC"/>
    <w:rsid w:val="000C1428"/>
    <w:rsid w:val="000C14CD"/>
    <w:rsid w:val="000C1522"/>
    <w:rsid w:val="000C164E"/>
    <w:rsid w:val="000C1669"/>
    <w:rsid w:val="000C1677"/>
    <w:rsid w:val="000C1691"/>
    <w:rsid w:val="000C1816"/>
    <w:rsid w:val="000C1871"/>
    <w:rsid w:val="000C187A"/>
    <w:rsid w:val="000C1A6B"/>
    <w:rsid w:val="000C1B71"/>
    <w:rsid w:val="000C1B75"/>
    <w:rsid w:val="000C1D22"/>
    <w:rsid w:val="000C1DA1"/>
    <w:rsid w:val="000C211E"/>
    <w:rsid w:val="000C212B"/>
    <w:rsid w:val="000C2139"/>
    <w:rsid w:val="000C23F9"/>
    <w:rsid w:val="000C2483"/>
    <w:rsid w:val="000C2942"/>
    <w:rsid w:val="000C2974"/>
    <w:rsid w:val="000C2AE0"/>
    <w:rsid w:val="000C2E32"/>
    <w:rsid w:val="000C2ED0"/>
    <w:rsid w:val="000C3032"/>
    <w:rsid w:val="000C31AC"/>
    <w:rsid w:val="000C31CE"/>
    <w:rsid w:val="000C3200"/>
    <w:rsid w:val="000C324F"/>
    <w:rsid w:val="000C32B9"/>
    <w:rsid w:val="000C32BE"/>
    <w:rsid w:val="000C33E0"/>
    <w:rsid w:val="000C34F1"/>
    <w:rsid w:val="000C356D"/>
    <w:rsid w:val="000C3673"/>
    <w:rsid w:val="000C36AA"/>
    <w:rsid w:val="000C3AEE"/>
    <w:rsid w:val="000C3B78"/>
    <w:rsid w:val="000C3BA8"/>
    <w:rsid w:val="000C3F59"/>
    <w:rsid w:val="000C417C"/>
    <w:rsid w:val="000C4380"/>
    <w:rsid w:val="000C4561"/>
    <w:rsid w:val="000C4562"/>
    <w:rsid w:val="000C4580"/>
    <w:rsid w:val="000C4764"/>
    <w:rsid w:val="000C4787"/>
    <w:rsid w:val="000C481A"/>
    <w:rsid w:val="000C4AC8"/>
    <w:rsid w:val="000C4CAC"/>
    <w:rsid w:val="000C4D51"/>
    <w:rsid w:val="000C4EAC"/>
    <w:rsid w:val="000C4ECB"/>
    <w:rsid w:val="000C5003"/>
    <w:rsid w:val="000C520B"/>
    <w:rsid w:val="000C5220"/>
    <w:rsid w:val="000C524D"/>
    <w:rsid w:val="000C5297"/>
    <w:rsid w:val="000C5408"/>
    <w:rsid w:val="000C58EF"/>
    <w:rsid w:val="000C59B4"/>
    <w:rsid w:val="000C5D27"/>
    <w:rsid w:val="000C5E05"/>
    <w:rsid w:val="000C5EEA"/>
    <w:rsid w:val="000C6164"/>
    <w:rsid w:val="000C616C"/>
    <w:rsid w:val="000C62EF"/>
    <w:rsid w:val="000C63AC"/>
    <w:rsid w:val="000C6573"/>
    <w:rsid w:val="000C66F5"/>
    <w:rsid w:val="000C6700"/>
    <w:rsid w:val="000C6985"/>
    <w:rsid w:val="000C6A61"/>
    <w:rsid w:val="000C6C70"/>
    <w:rsid w:val="000C6D59"/>
    <w:rsid w:val="000C6DE3"/>
    <w:rsid w:val="000C6F95"/>
    <w:rsid w:val="000C72FD"/>
    <w:rsid w:val="000C7328"/>
    <w:rsid w:val="000C7383"/>
    <w:rsid w:val="000C74D0"/>
    <w:rsid w:val="000C753F"/>
    <w:rsid w:val="000C763F"/>
    <w:rsid w:val="000C76C9"/>
    <w:rsid w:val="000C7724"/>
    <w:rsid w:val="000C772B"/>
    <w:rsid w:val="000C77E4"/>
    <w:rsid w:val="000C7836"/>
    <w:rsid w:val="000C785F"/>
    <w:rsid w:val="000C78EB"/>
    <w:rsid w:val="000C79C6"/>
    <w:rsid w:val="000C79EA"/>
    <w:rsid w:val="000C7F30"/>
    <w:rsid w:val="000C7F57"/>
    <w:rsid w:val="000C7F61"/>
    <w:rsid w:val="000D00F9"/>
    <w:rsid w:val="000D017A"/>
    <w:rsid w:val="000D03E2"/>
    <w:rsid w:val="000D06F8"/>
    <w:rsid w:val="000D0857"/>
    <w:rsid w:val="000D087A"/>
    <w:rsid w:val="000D0892"/>
    <w:rsid w:val="000D08F2"/>
    <w:rsid w:val="000D0A60"/>
    <w:rsid w:val="000D0D87"/>
    <w:rsid w:val="000D0DEF"/>
    <w:rsid w:val="000D0EDE"/>
    <w:rsid w:val="000D0EFE"/>
    <w:rsid w:val="000D1203"/>
    <w:rsid w:val="000D1443"/>
    <w:rsid w:val="000D14A4"/>
    <w:rsid w:val="000D157B"/>
    <w:rsid w:val="000D15A1"/>
    <w:rsid w:val="000D15DB"/>
    <w:rsid w:val="000D1600"/>
    <w:rsid w:val="000D1661"/>
    <w:rsid w:val="000D18A2"/>
    <w:rsid w:val="000D193D"/>
    <w:rsid w:val="000D1A31"/>
    <w:rsid w:val="000D1A8F"/>
    <w:rsid w:val="000D1BB8"/>
    <w:rsid w:val="000D1BC9"/>
    <w:rsid w:val="000D1CB6"/>
    <w:rsid w:val="000D1DE4"/>
    <w:rsid w:val="000D1ECA"/>
    <w:rsid w:val="000D1FCC"/>
    <w:rsid w:val="000D2114"/>
    <w:rsid w:val="000D2347"/>
    <w:rsid w:val="000D23E4"/>
    <w:rsid w:val="000D24F7"/>
    <w:rsid w:val="000D251D"/>
    <w:rsid w:val="000D2677"/>
    <w:rsid w:val="000D26E6"/>
    <w:rsid w:val="000D2767"/>
    <w:rsid w:val="000D276A"/>
    <w:rsid w:val="000D28B9"/>
    <w:rsid w:val="000D295A"/>
    <w:rsid w:val="000D29C0"/>
    <w:rsid w:val="000D29C4"/>
    <w:rsid w:val="000D2A5E"/>
    <w:rsid w:val="000D2A90"/>
    <w:rsid w:val="000D2BCE"/>
    <w:rsid w:val="000D2C70"/>
    <w:rsid w:val="000D2DF4"/>
    <w:rsid w:val="000D301F"/>
    <w:rsid w:val="000D317A"/>
    <w:rsid w:val="000D31BE"/>
    <w:rsid w:val="000D31E1"/>
    <w:rsid w:val="000D3261"/>
    <w:rsid w:val="000D32E2"/>
    <w:rsid w:val="000D332B"/>
    <w:rsid w:val="000D34BC"/>
    <w:rsid w:val="000D3580"/>
    <w:rsid w:val="000D3760"/>
    <w:rsid w:val="000D37D7"/>
    <w:rsid w:val="000D3848"/>
    <w:rsid w:val="000D3A79"/>
    <w:rsid w:val="000D3A93"/>
    <w:rsid w:val="000D3CD8"/>
    <w:rsid w:val="000D3E66"/>
    <w:rsid w:val="000D41B0"/>
    <w:rsid w:val="000D41F9"/>
    <w:rsid w:val="000D4270"/>
    <w:rsid w:val="000D42EE"/>
    <w:rsid w:val="000D43D1"/>
    <w:rsid w:val="000D43F7"/>
    <w:rsid w:val="000D447E"/>
    <w:rsid w:val="000D459F"/>
    <w:rsid w:val="000D46A4"/>
    <w:rsid w:val="000D4731"/>
    <w:rsid w:val="000D4813"/>
    <w:rsid w:val="000D483C"/>
    <w:rsid w:val="000D4A15"/>
    <w:rsid w:val="000D4ABE"/>
    <w:rsid w:val="000D4DD0"/>
    <w:rsid w:val="000D4FAB"/>
    <w:rsid w:val="000D52AF"/>
    <w:rsid w:val="000D54A5"/>
    <w:rsid w:val="000D5650"/>
    <w:rsid w:val="000D56D2"/>
    <w:rsid w:val="000D5CC7"/>
    <w:rsid w:val="000D5F0C"/>
    <w:rsid w:val="000D5FC4"/>
    <w:rsid w:val="000D5FCE"/>
    <w:rsid w:val="000D6092"/>
    <w:rsid w:val="000D609D"/>
    <w:rsid w:val="000D61AE"/>
    <w:rsid w:val="000D62DB"/>
    <w:rsid w:val="000D6473"/>
    <w:rsid w:val="000D6720"/>
    <w:rsid w:val="000D6CD2"/>
    <w:rsid w:val="000D6E08"/>
    <w:rsid w:val="000D6E5C"/>
    <w:rsid w:val="000D6F31"/>
    <w:rsid w:val="000D6FFA"/>
    <w:rsid w:val="000D7535"/>
    <w:rsid w:val="000D7543"/>
    <w:rsid w:val="000D7686"/>
    <w:rsid w:val="000D7798"/>
    <w:rsid w:val="000D784F"/>
    <w:rsid w:val="000D786B"/>
    <w:rsid w:val="000D78E1"/>
    <w:rsid w:val="000D7AC2"/>
    <w:rsid w:val="000D7B70"/>
    <w:rsid w:val="000D7C68"/>
    <w:rsid w:val="000D7D92"/>
    <w:rsid w:val="000D7DE3"/>
    <w:rsid w:val="000E00B7"/>
    <w:rsid w:val="000E01E7"/>
    <w:rsid w:val="000E025A"/>
    <w:rsid w:val="000E0280"/>
    <w:rsid w:val="000E02A7"/>
    <w:rsid w:val="000E03FF"/>
    <w:rsid w:val="000E049A"/>
    <w:rsid w:val="000E0604"/>
    <w:rsid w:val="000E0855"/>
    <w:rsid w:val="000E0A16"/>
    <w:rsid w:val="000E0A62"/>
    <w:rsid w:val="000E0AEC"/>
    <w:rsid w:val="000E0E30"/>
    <w:rsid w:val="000E108B"/>
    <w:rsid w:val="000E10B1"/>
    <w:rsid w:val="000E111A"/>
    <w:rsid w:val="000E120D"/>
    <w:rsid w:val="000E13BE"/>
    <w:rsid w:val="000E17FB"/>
    <w:rsid w:val="000E18E0"/>
    <w:rsid w:val="000E1B8A"/>
    <w:rsid w:val="000E1E3B"/>
    <w:rsid w:val="000E1F39"/>
    <w:rsid w:val="000E1FE4"/>
    <w:rsid w:val="000E211C"/>
    <w:rsid w:val="000E22CD"/>
    <w:rsid w:val="000E2307"/>
    <w:rsid w:val="000E25D7"/>
    <w:rsid w:val="000E265A"/>
    <w:rsid w:val="000E2695"/>
    <w:rsid w:val="000E2A36"/>
    <w:rsid w:val="000E2CD3"/>
    <w:rsid w:val="000E2DFE"/>
    <w:rsid w:val="000E2E18"/>
    <w:rsid w:val="000E2EC3"/>
    <w:rsid w:val="000E2EE7"/>
    <w:rsid w:val="000E2F6C"/>
    <w:rsid w:val="000E2FE4"/>
    <w:rsid w:val="000E3125"/>
    <w:rsid w:val="000E317E"/>
    <w:rsid w:val="000E325A"/>
    <w:rsid w:val="000E3263"/>
    <w:rsid w:val="000E34CF"/>
    <w:rsid w:val="000E34F0"/>
    <w:rsid w:val="000E36B0"/>
    <w:rsid w:val="000E36EB"/>
    <w:rsid w:val="000E390A"/>
    <w:rsid w:val="000E3976"/>
    <w:rsid w:val="000E3A5B"/>
    <w:rsid w:val="000E3AAB"/>
    <w:rsid w:val="000E3C14"/>
    <w:rsid w:val="000E3E11"/>
    <w:rsid w:val="000E3F09"/>
    <w:rsid w:val="000E3F67"/>
    <w:rsid w:val="000E3FA1"/>
    <w:rsid w:val="000E402B"/>
    <w:rsid w:val="000E4218"/>
    <w:rsid w:val="000E4269"/>
    <w:rsid w:val="000E42A9"/>
    <w:rsid w:val="000E4334"/>
    <w:rsid w:val="000E43C1"/>
    <w:rsid w:val="000E4605"/>
    <w:rsid w:val="000E466F"/>
    <w:rsid w:val="000E46BA"/>
    <w:rsid w:val="000E483D"/>
    <w:rsid w:val="000E4850"/>
    <w:rsid w:val="000E491F"/>
    <w:rsid w:val="000E4998"/>
    <w:rsid w:val="000E4B48"/>
    <w:rsid w:val="000E4B85"/>
    <w:rsid w:val="000E4D7E"/>
    <w:rsid w:val="000E4EB3"/>
    <w:rsid w:val="000E4F49"/>
    <w:rsid w:val="000E501C"/>
    <w:rsid w:val="000E504C"/>
    <w:rsid w:val="000E5199"/>
    <w:rsid w:val="000E5331"/>
    <w:rsid w:val="000E53A6"/>
    <w:rsid w:val="000E5502"/>
    <w:rsid w:val="000E57A5"/>
    <w:rsid w:val="000E580D"/>
    <w:rsid w:val="000E58FE"/>
    <w:rsid w:val="000E5A03"/>
    <w:rsid w:val="000E5A0D"/>
    <w:rsid w:val="000E5B21"/>
    <w:rsid w:val="000E5B4B"/>
    <w:rsid w:val="000E5BEC"/>
    <w:rsid w:val="000E5C5D"/>
    <w:rsid w:val="000E5C83"/>
    <w:rsid w:val="000E5CFC"/>
    <w:rsid w:val="000E5D08"/>
    <w:rsid w:val="000E5D09"/>
    <w:rsid w:val="000E5EB0"/>
    <w:rsid w:val="000E5F28"/>
    <w:rsid w:val="000E5F59"/>
    <w:rsid w:val="000E5F5C"/>
    <w:rsid w:val="000E6044"/>
    <w:rsid w:val="000E6300"/>
    <w:rsid w:val="000E6363"/>
    <w:rsid w:val="000E6565"/>
    <w:rsid w:val="000E684A"/>
    <w:rsid w:val="000E68B3"/>
    <w:rsid w:val="000E6917"/>
    <w:rsid w:val="000E6975"/>
    <w:rsid w:val="000E69DD"/>
    <w:rsid w:val="000E6B4C"/>
    <w:rsid w:val="000E6CD1"/>
    <w:rsid w:val="000E6FC1"/>
    <w:rsid w:val="000E7203"/>
    <w:rsid w:val="000E72A8"/>
    <w:rsid w:val="000E7304"/>
    <w:rsid w:val="000E7437"/>
    <w:rsid w:val="000E7457"/>
    <w:rsid w:val="000E7555"/>
    <w:rsid w:val="000E77B4"/>
    <w:rsid w:val="000E784E"/>
    <w:rsid w:val="000E7B55"/>
    <w:rsid w:val="000E7BFC"/>
    <w:rsid w:val="000E7C24"/>
    <w:rsid w:val="000E7C6C"/>
    <w:rsid w:val="000E7D02"/>
    <w:rsid w:val="000E7D39"/>
    <w:rsid w:val="000E7E15"/>
    <w:rsid w:val="000E7FED"/>
    <w:rsid w:val="000F0299"/>
    <w:rsid w:val="000F034D"/>
    <w:rsid w:val="000F039F"/>
    <w:rsid w:val="000F04B9"/>
    <w:rsid w:val="000F066F"/>
    <w:rsid w:val="000F0794"/>
    <w:rsid w:val="000F07BB"/>
    <w:rsid w:val="000F0A01"/>
    <w:rsid w:val="000F0A21"/>
    <w:rsid w:val="000F0B45"/>
    <w:rsid w:val="000F0D71"/>
    <w:rsid w:val="000F0F45"/>
    <w:rsid w:val="000F0F7B"/>
    <w:rsid w:val="000F0F8B"/>
    <w:rsid w:val="000F0FCA"/>
    <w:rsid w:val="000F1575"/>
    <w:rsid w:val="000F1580"/>
    <w:rsid w:val="000F15AF"/>
    <w:rsid w:val="000F1666"/>
    <w:rsid w:val="000F16FA"/>
    <w:rsid w:val="000F1742"/>
    <w:rsid w:val="000F18B5"/>
    <w:rsid w:val="000F18FF"/>
    <w:rsid w:val="000F1C3A"/>
    <w:rsid w:val="000F1CD1"/>
    <w:rsid w:val="000F1D09"/>
    <w:rsid w:val="000F1E2E"/>
    <w:rsid w:val="000F1EEC"/>
    <w:rsid w:val="000F1FD7"/>
    <w:rsid w:val="000F2144"/>
    <w:rsid w:val="000F216D"/>
    <w:rsid w:val="000F21F8"/>
    <w:rsid w:val="000F233B"/>
    <w:rsid w:val="000F235F"/>
    <w:rsid w:val="000F2575"/>
    <w:rsid w:val="000F25FF"/>
    <w:rsid w:val="000F277F"/>
    <w:rsid w:val="000F279C"/>
    <w:rsid w:val="000F285F"/>
    <w:rsid w:val="000F2891"/>
    <w:rsid w:val="000F2936"/>
    <w:rsid w:val="000F29A6"/>
    <w:rsid w:val="000F2D32"/>
    <w:rsid w:val="000F2E5C"/>
    <w:rsid w:val="000F30C9"/>
    <w:rsid w:val="000F312D"/>
    <w:rsid w:val="000F31C2"/>
    <w:rsid w:val="000F33CE"/>
    <w:rsid w:val="000F3555"/>
    <w:rsid w:val="000F35A6"/>
    <w:rsid w:val="000F35EE"/>
    <w:rsid w:val="000F361F"/>
    <w:rsid w:val="000F372B"/>
    <w:rsid w:val="000F38A4"/>
    <w:rsid w:val="000F38D6"/>
    <w:rsid w:val="000F392A"/>
    <w:rsid w:val="000F3A83"/>
    <w:rsid w:val="000F3AFF"/>
    <w:rsid w:val="000F3CA3"/>
    <w:rsid w:val="000F3D1E"/>
    <w:rsid w:val="000F3DC5"/>
    <w:rsid w:val="000F3E21"/>
    <w:rsid w:val="000F4102"/>
    <w:rsid w:val="000F4133"/>
    <w:rsid w:val="000F419C"/>
    <w:rsid w:val="000F4259"/>
    <w:rsid w:val="000F4396"/>
    <w:rsid w:val="000F43D0"/>
    <w:rsid w:val="000F462E"/>
    <w:rsid w:val="000F4783"/>
    <w:rsid w:val="000F47A9"/>
    <w:rsid w:val="000F4B05"/>
    <w:rsid w:val="000F4BD3"/>
    <w:rsid w:val="000F4C20"/>
    <w:rsid w:val="000F4D14"/>
    <w:rsid w:val="000F4D37"/>
    <w:rsid w:val="000F4D7D"/>
    <w:rsid w:val="000F4E45"/>
    <w:rsid w:val="000F5051"/>
    <w:rsid w:val="000F50C9"/>
    <w:rsid w:val="000F51D1"/>
    <w:rsid w:val="000F52EF"/>
    <w:rsid w:val="000F5312"/>
    <w:rsid w:val="000F54AE"/>
    <w:rsid w:val="000F56F5"/>
    <w:rsid w:val="000F5894"/>
    <w:rsid w:val="000F5A58"/>
    <w:rsid w:val="000F5AAE"/>
    <w:rsid w:val="000F5AC4"/>
    <w:rsid w:val="000F5B60"/>
    <w:rsid w:val="000F5C72"/>
    <w:rsid w:val="000F5CC0"/>
    <w:rsid w:val="000F5D17"/>
    <w:rsid w:val="000F5DD3"/>
    <w:rsid w:val="000F5F94"/>
    <w:rsid w:val="000F608D"/>
    <w:rsid w:val="000F6198"/>
    <w:rsid w:val="000F61C4"/>
    <w:rsid w:val="000F62C6"/>
    <w:rsid w:val="000F6361"/>
    <w:rsid w:val="000F6551"/>
    <w:rsid w:val="000F6893"/>
    <w:rsid w:val="000F6975"/>
    <w:rsid w:val="000F6ADC"/>
    <w:rsid w:val="000F6BF7"/>
    <w:rsid w:val="000F6D39"/>
    <w:rsid w:val="000F6DC5"/>
    <w:rsid w:val="000F6F84"/>
    <w:rsid w:val="000F701B"/>
    <w:rsid w:val="000F7304"/>
    <w:rsid w:val="000F73B0"/>
    <w:rsid w:val="000F792D"/>
    <w:rsid w:val="000F7989"/>
    <w:rsid w:val="000F7ADE"/>
    <w:rsid w:val="000F7C24"/>
    <w:rsid w:val="000F7C79"/>
    <w:rsid w:val="000F7CB7"/>
    <w:rsid w:val="000F7DB2"/>
    <w:rsid w:val="000F7EC7"/>
    <w:rsid w:val="00100102"/>
    <w:rsid w:val="001001A5"/>
    <w:rsid w:val="001003A4"/>
    <w:rsid w:val="0010040F"/>
    <w:rsid w:val="0010041F"/>
    <w:rsid w:val="00100457"/>
    <w:rsid w:val="001005FE"/>
    <w:rsid w:val="0010078C"/>
    <w:rsid w:val="001007AA"/>
    <w:rsid w:val="0010087F"/>
    <w:rsid w:val="001008AD"/>
    <w:rsid w:val="001009D4"/>
    <w:rsid w:val="001009D9"/>
    <w:rsid w:val="00100A3A"/>
    <w:rsid w:val="00100B1F"/>
    <w:rsid w:val="00100CFA"/>
    <w:rsid w:val="00100D6C"/>
    <w:rsid w:val="00100E2B"/>
    <w:rsid w:val="00100E93"/>
    <w:rsid w:val="00100EDB"/>
    <w:rsid w:val="00100F79"/>
    <w:rsid w:val="001010ED"/>
    <w:rsid w:val="00101120"/>
    <w:rsid w:val="00101473"/>
    <w:rsid w:val="00101625"/>
    <w:rsid w:val="001018AB"/>
    <w:rsid w:val="00101B51"/>
    <w:rsid w:val="00101B54"/>
    <w:rsid w:val="00101BC1"/>
    <w:rsid w:val="00101BC4"/>
    <w:rsid w:val="00101D6A"/>
    <w:rsid w:val="00101D79"/>
    <w:rsid w:val="00101E77"/>
    <w:rsid w:val="00101F35"/>
    <w:rsid w:val="00101F5F"/>
    <w:rsid w:val="001020E7"/>
    <w:rsid w:val="00102773"/>
    <w:rsid w:val="001027DF"/>
    <w:rsid w:val="00102920"/>
    <w:rsid w:val="00102972"/>
    <w:rsid w:val="001029A7"/>
    <w:rsid w:val="00102A37"/>
    <w:rsid w:val="00102E85"/>
    <w:rsid w:val="001033C7"/>
    <w:rsid w:val="001034C8"/>
    <w:rsid w:val="001034FA"/>
    <w:rsid w:val="00103565"/>
    <w:rsid w:val="00103579"/>
    <w:rsid w:val="001036CE"/>
    <w:rsid w:val="00103768"/>
    <w:rsid w:val="00103ABD"/>
    <w:rsid w:val="00103B53"/>
    <w:rsid w:val="00103D8D"/>
    <w:rsid w:val="00103DB4"/>
    <w:rsid w:val="00103EAB"/>
    <w:rsid w:val="00103F76"/>
    <w:rsid w:val="00103FE1"/>
    <w:rsid w:val="00104055"/>
    <w:rsid w:val="001043BA"/>
    <w:rsid w:val="001043FC"/>
    <w:rsid w:val="001045C2"/>
    <w:rsid w:val="0010462F"/>
    <w:rsid w:val="00104649"/>
    <w:rsid w:val="0010476D"/>
    <w:rsid w:val="00104874"/>
    <w:rsid w:val="00104FA3"/>
    <w:rsid w:val="00105012"/>
    <w:rsid w:val="00105137"/>
    <w:rsid w:val="00105191"/>
    <w:rsid w:val="00105332"/>
    <w:rsid w:val="0010538B"/>
    <w:rsid w:val="001053EB"/>
    <w:rsid w:val="001053F0"/>
    <w:rsid w:val="00105422"/>
    <w:rsid w:val="0010559B"/>
    <w:rsid w:val="00105E15"/>
    <w:rsid w:val="00105E36"/>
    <w:rsid w:val="00105E5B"/>
    <w:rsid w:val="00105E5D"/>
    <w:rsid w:val="001060A0"/>
    <w:rsid w:val="0010620D"/>
    <w:rsid w:val="001062A0"/>
    <w:rsid w:val="0010642F"/>
    <w:rsid w:val="0010645D"/>
    <w:rsid w:val="001065CA"/>
    <w:rsid w:val="0010660D"/>
    <w:rsid w:val="00106668"/>
    <w:rsid w:val="00106794"/>
    <w:rsid w:val="001067D0"/>
    <w:rsid w:val="00106904"/>
    <w:rsid w:val="0010694F"/>
    <w:rsid w:val="0010696B"/>
    <w:rsid w:val="00106B1A"/>
    <w:rsid w:val="00106C47"/>
    <w:rsid w:val="00106CA6"/>
    <w:rsid w:val="00106E4E"/>
    <w:rsid w:val="00106ED8"/>
    <w:rsid w:val="001070C8"/>
    <w:rsid w:val="001070E4"/>
    <w:rsid w:val="00107229"/>
    <w:rsid w:val="001073B0"/>
    <w:rsid w:val="00107486"/>
    <w:rsid w:val="001074C0"/>
    <w:rsid w:val="001074E2"/>
    <w:rsid w:val="0010751B"/>
    <w:rsid w:val="0010752C"/>
    <w:rsid w:val="0010754E"/>
    <w:rsid w:val="0010767D"/>
    <w:rsid w:val="0010769B"/>
    <w:rsid w:val="00107705"/>
    <w:rsid w:val="0010797B"/>
    <w:rsid w:val="001079E1"/>
    <w:rsid w:val="001079FA"/>
    <w:rsid w:val="00107B03"/>
    <w:rsid w:val="00107C1F"/>
    <w:rsid w:val="00107C9B"/>
    <w:rsid w:val="00107E45"/>
    <w:rsid w:val="00107F5B"/>
    <w:rsid w:val="0011002E"/>
    <w:rsid w:val="0011003D"/>
    <w:rsid w:val="00110096"/>
    <w:rsid w:val="00110343"/>
    <w:rsid w:val="00110540"/>
    <w:rsid w:val="001105D2"/>
    <w:rsid w:val="001106E8"/>
    <w:rsid w:val="0011073B"/>
    <w:rsid w:val="001107B8"/>
    <w:rsid w:val="00110816"/>
    <w:rsid w:val="00110934"/>
    <w:rsid w:val="00110941"/>
    <w:rsid w:val="00110947"/>
    <w:rsid w:val="00110C18"/>
    <w:rsid w:val="00110C5A"/>
    <w:rsid w:val="00110C92"/>
    <w:rsid w:val="00110CAA"/>
    <w:rsid w:val="00110D05"/>
    <w:rsid w:val="00110D8D"/>
    <w:rsid w:val="00111015"/>
    <w:rsid w:val="0011105A"/>
    <w:rsid w:val="001110BE"/>
    <w:rsid w:val="00111131"/>
    <w:rsid w:val="00111221"/>
    <w:rsid w:val="001113AA"/>
    <w:rsid w:val="001113EC"/>
    <w:rsid w:val="0011142A"/>
    <w:rsid w:val="00111589"/>
    <w:rsid w:val="00111739"/>
    <w:rsid w:val="00111791"/>
    <w:rsid w:val="001118F6"/>
    <w:rsid w:val="00111947"/>
    <w:rsid w:val="0011199C"/>
    <w:rsid w:val="00111A58"/>
    <w:rsid w:val="00111B33"/>
    <w:rsid w:val="00111B5D"/>
    <w:rsid w:val="00111BFF"/>
    <w:rsid w:val="00111C8E"/>
    <w:rsid w:val="00111F8B"/>
    <w:rsid w:val="00112072"/>
    <w:rsid w:val="0011216E"/>
    <w:rsid w:val="0011218B"/>
    <w:rsid w:val="0011231F"/>
    <w:rsid w:val="0011241A"/>
    <w:rsid w:val="001124D3"/>
    <w:rsid w:val="00112601"/>
    <w:rsid w:val="00112668"/>
    <w:rsid w:val="001126D2"/>
    <w:rsid w:val="00112891"/>
    <w:rsid w:val="00112983"/>
    <w:rsid w:val="00112B0D"/>
    <w:rsid w:val="00112C80"/>
    <w:rsid w:val="00112DB1"/>
    <w:rsid w:val="00112ECD"/>
    <w:rsid w:val="00112F32"/>
    <w:rsid w:val="00113011"/>
    <w:rsid w:val="001130A5"/>
    <w:rsid w:val="00113232"/>
    <w:rsid w:val="001133A0"/>
    <w:rsid w:val="001133DB"/>
    <w:rsid w:val="00113836"/>
    <w:rsid w:val="001139D6"/>
    <w:rsid w:val="00113E0F"/>
    <w:rsid w:val="001140BA"/>
    <w:rsid w:val="001140BD"/>
    <w:rsid w:val="00114131"/>
    <w:rsid w:val="00114159"/>
    <w:rsid w:val="0011428D"/>
    <w:rsid w:val="00114291"/>
    <w:rsid w:val="00114348"/>
    <w:rsid w:val="00114564"/>
    <w:rsid w:val="001146E2"/>
    <w:rsid w:val="00114743"/>
    <w:rsid w:val="00114852"/>
    <w:rsid w:val="0011495F"/>
    <w:rsid w:val="00114981"/>
    <w:rsid w:val="001149CA"/>
    <w:rsid w:val="00114B00"/>
    <w:rsid w:val="00114B62"/>
    <w:rsid w:val="00114C09"/>
    <w:rsid w:val="00114CB5"/>
    <w:rsid w:val="00114CE1"/>
    <w:rsid w:val="00114CE6"/>
    <w:rsid w:val="00114DAE"/>
    <w:rsid w:val="00114E4A"/>
    <w:rsid w:val="00114F29"/>
    <w:rsid w:val="00114F79"/>
    <w:rsid w:val="00115197"/>
    <w:rsid w:val="00115208"/>
    <w:rsid w:val="00115337"/>
    <w:rsid w:val="00115500"/>
    <w:rsid w:val="00115741"/>
    <w:rsid w:val="001157B1"/>
    <w:rsid w:val="001158DD"/>
    <w:rsid w:val="00115A1F"/>
    <w:rsid w:val="00115CC8"/>
    <w:rsid w:val="00115F65"/>
    <w:rsid w:val="00115FEB"/>
    <w:rsid w:val="0011609B"/>
    <w:rsid w:val="001162AE"/>
    <w:rsid w:val="0011637B"/>
    <w:rsid w:val="001163EF"/>
    <w:rsid w:val="00116598"/>
    <w:rsid w:val="00116B0A"/>
    <w:rsid w:val="00116BF5"/>
    <w:rsid w:val="00116E08"/>
    <w:rsid w:val="0011707D"/>
    <w:rsid w:val="0011727C"/>
    <w:rsid w:val="0011742D"/>
    <w:rsid w:val="00117502"/>
    <w:rsid w:val="001177FD"/>
    <w:rsid w:val="001178F2"/>
    <w:rsid w:val="00117977"/>
    <w:rsid w:val="00117AB0"/>
    <w:rsid w:val="00117AB2"/>
    <w:rsid w:val="00117AED"/>
    <w:rsid w:val="00117B74"/>
    <w:rsid w:val="00117D7B"/>
    <w:rsid w:val="00117FF2"/>
    <w:rsid w:val="001200D8"/>
    <w:rsid w:val="00120223"/>
    <w:rsid w:val="00120342"/>
    <w:rsid w:val="00120397"/>
    <w:rsid w:val="00120571"/>
    <w:rsid w:val="00120634"/>
    <w:rsid w:val="00120721"/>
    <w:rsid w:val="00120849"/>
    <w:rsid w:val="001208AA"/>
    <w:rsid w:val="00120911"/>
    <w:rsid w:val="001209E9"/>
    <w:rsid w:val="00120A11"/>
    <w:rsid w:val="00120A9B"/>
    <w:rsid w:val="00120B85"/>
    <w:rsid w:val="00120D8E"/>
    <w:rsid w:val="00120DBE"/>
    <w:rsid w:val="0012107C"/>
    <w:rsid w:val="00121332"/>
    <w:rsid w:val="001215A2"/>
    <w:rsid w:val="00121852"/>
    <w:rsid w:val="00121AFB"/>
    <w:rsid w:val="00121C09"/>
    <w:rsid w:val="00121D31"/>
    <w:rsid w:val="00121E04"/>
    <w:rsid w:val="0012200A"/>
    <w:rsid w:val="00122334"/>
    <w:rsid w:val="0012246A"/>
    <w:rsid w:val="0012251F"/>
    <w:rsid w:val="001225F9"/>
    <w:rsid w:val="00122624"/>
    <w:rsid w:val="00122656"/>
    <w:rsid w:val="0012288F"/>
    <w:rsid w:val="00122C5B"/>
    <w:rsid w:val="00122DAD"/>
    <w:rsid w:val="00122EBB"/>
    <w:rsid w:val="00122F91"/>
    <w:rsid w:val="00122FBF"/>
    <w:rsid w:val="001232E0"/>
    <w:rsid w:val="001233B2"/>
    <w:rsid w:val="001234F4"/>
    <w:rsid w:val="00123563"/>
    <w:rsid w:val="0012364B"/>
    <w:rsid w:val="0012365F"/>
    <w:rsid w:val="00123704"/>
    <w:rsid w:val="00123712"/>
    <w:rsid w:val="00123790"/>
    <w:rsid w:val="00123876"/>
    <w:rsid w:val="00123920"/>
    <w:rsid w:val="00123B4D"/>
    <w:rsid w:val="00123E7D"/>
    <w:rsid w:val="0012429B"/>
    <w:rsid w:val="001242CC"/>
    <w:rsid w:val="00124538"/>
    <w:rsid w:val="00124700"/>
    <w:rsid w:val="001248A1"/>
    <w:rsid w:val="001249D4"/>
    <w:rsid w:val="00124B5D"/>
    <w:rsid w:val="00124C46"/>
    <w:rsid w:val="00124C97"/>
    <w:rsid w:val="00124CBA"/>
    <w:rsid w:val="00124E05"/>
    <w:rsid w:val="00124E23"/>
    <w:rsid w:val="00124E69"/>
    <w:rsid w:val="0012500E"/>
    <w:rsid w:val="0012509E"/>
    <w:rsid w:val="00125292"/>
    <w:rsid w:val="00125372"/>
    <w:rsid w:val="00125522"/>
    <w:rsid w:val="001255CD"/>
    <w:rsid w:val="00125706"/>
    <w:rsid w:val="0012573A"/>
    <w:rsid w:val="00125847"/>
    <w:rsid w:val="00125877"/>
    <w:rsid w:val="00125A0A"/>
    <w:rsid w:val="00125B10"/>
    <w:rsid w:val="00125C10"/>
    <w:rsid w:val="00125D7F"/>
    <w:rsid w:val="00125E6F"/>
    <w:rsid w:val="00125FCB"/>
    <w:rsid w:val="001260C7"/>
    <w:rsid w:val="0012626B"/>
    <w:rsid w:val="0012626D"/>
    <w:rsid w:val="00126278"/>
    <w:rsid w:val="001262F0"/>
    <w:rsid w:val="001264C7"/>
    <w:rsid w:val="00126539"/>
    <w:rsid w:val="00126644"/>
    <w:rsid w:val="00126662"/>
    <w:rsid w:val="001267BE"/>
    <w:rsid w:val="001269E0"/>
    <w:rsid w:val="00126C48"/>
    <w:rsid w:val="00126D08"/>
    <w:rsid w:val="00126F9B"/>
    <w:rsid w:val="00127186"/>
    <w:rsid w:val="001271CA"/>
    <w:rsid w:val="00127202"/>
    <w:rsid w:val="0012733B"/>
    <w:rsid w:val="001273C6"/>
    <w:rsid w:val="00127417"/>
    <w:rsid w:val="00127524"/>
    <w:rsid w:val="001276B6"/>
    <w:rsid w:val="001276E7"/>
    <w:rsid w:val="001277D1"/>
    <w:rsid w:val="00127810"/>
    <w:rsid w:val="00127C40"/>
    <w:rsid w:val="00127C89"/>
    <w:rsid w:val="00127C97"/>
    <w:rsid w:val="00127D2F"/>
    <w:rsid w:val="00127DE8"/>
    <w:rsid w:val="00127E40"/>
    <w:rsid w:val="00127ED8"/>
    <w:rsid w:val="00130029"/>
    <w:rsid w:val="001300A7"/>
    <w:rsid w:val="001300B4"/>
    <w:rsid w:val="0013016E"/>
    <w:rsid w:val="001301B2"/>
    <w:rsid w:val="00130209"/>
    <w:rsid w:val="001302D8"/>
    <w:rsid w:val="00130320"/>
    <w:rsid w:val="00130357"/>
    <w:rsid w:val="00130386"/>
    <w:rsid w:val="0013040C"/>
    <w:rsid w:val="0013070F"/>
    <w:rsid w:val="00130726"/>
    <w:rsid w:val="00130920"/>
    <w:rsid w:val="00130B28"/>
    <w:rsid w:val="00130B2D"/>
    <w:rsid w:val="00130B7C"/>
    <w:rsid w:val="00130B8F"/>
    <w:rsid w:val="00130BB1"/>
    <w:rsid w:val="00130D19"/>
    <w:rsid w:val="00130DA9"/>
    <w:rsid w:val="00130E72"/>
    <w:rsid w:val="00130F55"/>
    <w:rsid w:val="0013109C"/>
    <w:rsid w:val="00131159"/>
    <w:rsid w:val="001311C0"/>
    <w:rsid w:val="001314A8"/>
    <w:rsid w:val="001314B8"/>
    <w:rsid w:val="00131560"/>
    <w:rsid w:val="001315AA"/>
    <w:rsid w:val="00131647"/>
    <w:rsid w:val="00131676"/>
    <w:rsid w:val="00131726"/>
    <w:rsid w:val="00131883"/>
    <w:rsid w:val="001319BF"/>
    <w:rsid w:val="00131AEE"/>
    <w:rsid w:val="00131AF3"/>
    <w:rsid w:val="00131B6E"/>
    <w:rsid w:val="00131BF8"/>
    <w:rsid w:val="00131D07"/>
    <w:rsid w:val="0013201D"/>
    <w:rsid w:val="00132197"/>
    <w:rsid w:val="001323EE"/>
    <w:rsid w:val="00132496"/>
    <w:rsid w:val="0013249C"/>
    <w:rsid w:val="001324B1"/>
    <w:rsid w:val="001324CE"/>
    <w:rsid w:val="00132595"/>
    <w:rsid w:val="001326C5"/>
    <w:rsid w:val="00132888"/>
    <w:rsid w:val="00132955"/>
    <w:rsid w:val="001329EF"/>
    <w:rsid w:val="00132E93"/>
    <w:rsid w:val="00133059"/>
    <w:rsid w:val="00133193"/>
    <w:rsid w:val="00133261"/>
    <w:rsid w:val="001334D5"/>
    <w:rsid w:val="0013365A"/>
    <w:rsid w:val="00133801"/>
    <w:rsid w:val="0013398E"/>
    <w:rsid w:val="00133A94"/>
    <w:rsid w:val="00133B41"/>
    <w:rsid w:val="00133C40"/>
    <w:rsid w:val="00133DCA"/>
    <w:rsid w:val="00134096"/>
    <w:rsid w:val="001341DA"/>
    <w:rsid w:val="001343AE"/>
    <w:rsid w:val="001343D6"/>
    <w:rsid w:val="001344F3"/>
    <w:rsid w:val="00134806"/>
    <w:rsid w:val="00134901"/>
    <w:rsid w:val="00134BF2"/>
    <w:rsid w:val="00134BF6"/>
    <w:rsid w:val="00134C3E"/>
    <w:rsid w:val="00134D97"/>
    <w:rsid w:val="00134EEA"/>
    <w:rsid w:val="0013500F"/>
    <w:rsid w:val="00135073"/>
    <w:rsid w:val="00135183"/>
    <w:rsid w:val="00135486"/>
    <w:rsid w:val="00135534"/>
    <w:rsid w:val="00135629"/>
    <w:rsid w:val="00135705"/>
    <w:rsid w:val="00135802"/>
    <w:rsid w:val="0013582C"/>
    <w:rsid w:val="001358B2"/>
    <w:rsid w:val="0013591E"/>
    <w:rsid w:val="00135951"/>
    <w:rsid w:val="00135BCA"/>
    <w:rsid w:val="00135BF8"/>
    <w:rsid w:val="00135C73"/>
    <w:rsid w:val="00135DD6"/>
    <w:rsid w:val="00135F10"/>
    <w:rsid w:val="00135F86"/>
    <w:rsid w:val="00136132"/>
    <w:rsid w:val="0013642A"/>
    <w:rsid w:val="00136728"/>
    <w:rsid w:val="0013672C"/>
    <w:rsid w:val="0013680F"/>
    <w:rsid w:val="001368C3"/>
    <w:rsid w:val="001368C9"/>
    <w:rsid w:val="001369B2"/>
    <w:rsid w:val="00136A86"/>
    <w:rsid w:val="00136B4C"/>
    <w:rsid w:val="00136BC9"/>
    <w:rsid w:val="00136D81"/>
    <w:rsid w:val="00136E69"/>
    <w:rsid w:val="00136ED3"/>
    <w:rsid w:val="00136F4E"/>
    <w:rsid w:val="00136F81"/>
    <w:rsid w:val="00137054"/>
    <w:rsid w:val="001371F1"/>
    <w:rsid w:val="001374E9"/>
    <w:rsid w:val="00137504"/>
    <w:rsid w:val="00137693"/>
    <w:rsid w:val="001377A1"/>
    <w:rsid w:val="001378DB"/>
    <w:rsid w:val="001379CD"/>
    <w:rsid w:val="00137A0B"/>
    <w:rsid w:val="00137BB8"/>
    <w:rsid w:val="00137CF2"/>
    <w:rsid w:val="00137D38"/>
    <w:rsid w:val="00137D41"/>
    <w:rsid w:val="00137D76"/>
    <w:rsid w:val="00137FB4"/>
    <w:rsid w:val="001400F2"/>
    <w:rsid w:val="00140169"/>
    <w:rsid w:val="001402E6"/>
    <w:rsid w:val="00140304"/>
    <w:rsid w:val="0014031D"/>
    <w:rsid w:val="00140345"/>
    <w:rsid w:val="001403BC"/>
    <w:rsid w:val="00140475"/>
    <w:rsid w:val="001404E6"/>
    <w:rsid w:val="00140558"/>
    <w:rsid w:val="0014064C"/>
    <w:rsid w:val="00140A8F"/>
    <w:rsid w:val="00140AFE"/>
    <w:rsid w:val="00140C7C"/>
    <w:rsid w:val="00140D31"/>
    <w:rsid w:val="00140F40"/>
    <w:rsid w:val="00141468"/>
    <w:rsid w:val="001416EA"/>
    <w:rsid w:val="00141745"/>
    <w:rsid w:val="001417F6"/>
    <w:rsid w:val="0014192F"/>
    <w:rsid w:val="00141A68"/>
    <w:rsid w:val="00141A8E"/>
    <w:rsid w:val="00141C88"/>
    <w:rsid w:val="00141D41"/>
    <w:rsid w:val="00141DB9"/>
    <w:rsid w:val="00141E7B"/>
    <w:rsid w:val="00141E9E"/>
    <w:rsid w:val="00141F41"/>
    <w:rsid w:val="0014226C"/>
    <w:rsid w:val="0014233D"/>
    <w:rsid w:val="00142386"/>
    <w:rsid w:val="001424AA"/>
    <w:rsid w:val="001425FE"/>
    <w:rsid w:val="0014265C"/>
    <w:rsid w:val="001428B0"/>
    <w:rsid w:val="00142AA1"/>
    <w:rsid w:val="00142C42"/>
    <w:rsid w:val="00142DBE"/>
    <w:rsid w:val="00143110"/>
    <w:rsid w:val="001431E9"/>
    <w:rsid w:val="0014321A"/>
    <w:rsid w:val="0014329D"/>
    <w:rsid w:val="00143395"/>
    <w:rsid w:val="001433B0"/>
    <w:rsid w:val="001433B1"/>
    <w:rsid w:val="001434F0"/>
    <w:rsid w:val="001434F6"/>
    <w:rsid w:val="0014355D"/>
    <w:rsid w:val="001435EA"/>
    <w:rsid w:val="0014388A"/>
    <w:rsid w:val="00143A07"/>
    <w:rsid w:val="00143A6A"/>
    <w:rsid w:val="00143A8A"/>
    <w:rsid w:val="00143C9D"/>
    <w:rsid w:val="00143D5E"/>
    <w:rsid w:val="00143E21"/>
    <w:rsid w:val="00144049"/>
    <w:rsid w:val="0014405F"/>
    <w:rsid w:val="001440E4"/>
    <w:rsid w:val="00144107"/>
    <w:rsid w:val="001442AB"/>
    <w:rsid w:val="0014436C"/>
    <w:rsid w:val="00144480"/>
    <w:rsid w:val="00144600"/>
    <w:rsid w:val="001446BB"/>
    <w:rsid w:val="00144814"/>
    <w:rsid w:val="001449F5"/>
    <w:rsid w:val="00144A3E"/>
    <w:rsid w:val="00144AD4"/>
    <w:rsid w:val="00144C3E"/>
    <w:rsid w:val="00144E45"/>
    <w:rsid w:val="00144E85"/>
    <w:rsid w:val="00145195"/>
    <w:rsid w:val="00145244"/>
    <w:rsid w:val="0014531C"/>
    <w:rsid w:val="0014550F"/>
    <w:rsid w:val="0014555E"/>
    <w:rsid w:val="0014567A"/>
    <w:rsid w:val="0014572C"/>
    <w:rsid w:val="00145819"/>
    <w:rsid w:val="00145826"/>
    <w:rsid w:val="001458FF"/>
    <w:rsid w:val="001459BF"/>
    <w:rsid w:val="00145A53"/>
    <w:rsid w:val="00145B1F"/>
    <w:rsid w:val="00145B4A"/>
    <w:rsid w:val="00145B54"/>
    <w:rsid w:val="00145C22"/>
    <w:rsid w:val="00145CA0"/>
    <w:rsid w:val="00145F2F"/>
    <w:rsid w:val="00145F40"/>
    <w:rsid w:val="0014618A"/>
    <w:rsid w:val="001463C9"/>
    <w:rsid w:val="00146490"/>
    <w:rsid w:val="001464C3"/>
    <w:rsid w:val="001464F3"/>
    <w:rsid w:val="00146603"/>
    <w:rsid w:val="0014676D"/>
    <w:rsid w:val="00146808"/>
    <w:rsid w:val="00146848"/>
    <w:rsid w:val="00146AC7"/>
    <w:rsid w:val="00146B73"/>
    <w:rsid w:val="00146BD3"/>
    <w:rsid w:val="00146BEF"/>
    <w:rsid w:val="00146C10"/>
    <w:rsid w:val="00146E39"/>
    <w:rsid w:val="00146E64"/>
    <w:rsid w:val="00146FAA"/>
    <w:rsid w:val="00147213"/>
    <w:rsid w:val="00147584"/>
    <w:rsid w:val="00147802"/>
    <w:rsid w:val="0014798E"/>
    <w:rsid w:val="00147AD6"/>
    <w:rsid w:val="00147CAC"/>
    <w:rsid w:val="00147CD0"/>
    <w:rsid w:val="00147CFE"/>
    <w:rsid w:val="00147EF0"/>
    <w:rsid w:val="00147F03"/>
    <w:rsid w:val="0015009B"/>
    <w:rsid w:val="0015015E"/>
    <w:rsid w:val="001501DC"/>
    <w:rsid w:val="001502D2"/>
    <w:rsid w:val="00150404"/>
    <w:rsid w:val="001504C8"/>
    <w:rsid w:val="0015051D"/>
    <w:rsid w:val="001505BB"/>
    <w:rsid w:val="0015066E"/>
    <w:rsid w:val="00150C12"/>
    <w:rsid w:val="00150C67"/>
    <w:rsid w:val="00150E4A"/>
    <w:rsid w:val="00150EC0"/>
    <w:rsid w:val="00151023"/>
    <w:rsid w:val="001510B2"/>
    <w:rsid w:val="00151195"/>
    <w:rsid w:val="0015139D"/>
    <w:rsid w:val="00151594"/>
    <w:rsid w:val="0015162D"/>
    <w:rsid w:val="001516B0"/>
    <w:rsid w:val="001517F2"/>
    <w:rsid w:val="001518E7"/>
    <w:rsid w:val="001519FA"/>
    <w:rsid w:val="00151B5B"/>
    <w:rsid w:val="00151BBC"/>
    <w:rsid w:val="00151D54"/>
    <w:rsid w:val="00151DDD"/>
    <w:rsid w:val="00151F62"/>
    <w:rsid w:val="00151F7C"/>
    <w:rsid w:val="00151FAB"/>
    <w:rsid w:val="00152013"/>
    <w:rsid w:val="00152021"/>
    <w:rsid w:val="001521EE"/>
    <w:rsid w:val="001522CD"/>
    <w:rsid w:val="00152327"/>
    <w:rsid w:val="00152432"/>
    <w:rsid w:val="001525B3"/>
    <w:rsid w:val="00152678"/>
    <w:rsid w:val="001526A0"/>
    <w:rsid w:val="00152881"/>
    <w:rsid w:val="001528EC"/>
    <w:rsid w:val="001529B6"/>
    <w:rsid w:val="00152C57"/>
    <w:rsid w:val="00152C8A"/>
    <w:rsid w:val="00152D2C"/>
    <w:rsid w:val="00152F24"/>
    <w:rsid w:val="00152FAF"/>
    <w:rsid w:val="0015311E"/>
    <w:rsid w:val="0015313A"/>
    <w:rsid w:val="001531DE"/>
    <w:rsid w:val="0015329B"/>
    <w:rsid w:val="001533D3"/>
    <w:rsid w:val="00153717"/>
    <w:rsid w:val="00153A37"/>
    <w:rsid w:val="00153AD5"/>
    <w:rsid w:val="00154018"/>
    <w:rsid w:val="0015414C"/>
    <w:rsid w:val="0015425F"/>
    <w:rsid w:val="001542C0"/>
    <w:rsid w:val="00154377"/>
    <w:rsid w:val="001543A4"/>
    <w:rsid w:val="00154438"/>
    <w:rsid w:val="001544B7"/>
    <w:rsid w:val="00154578"/>
    <w:rsid w:val="001546A7"/>
    <w:rsid w:val="00154783"/>
    <w:rsid w:val="0015481F"/>
    <w:rsid w:val="0015497C"/>
    <w:rsid w:val="00154BBD"/>
    <w:rsid w:val="00154C06"/>
    <w:rsid w:val="00154EDA"/>
    <w:rsid w:val="00154EDE"/>
    <w:rsid w:val="00154F47"/>
    <w:rsid w:val="001551B2"/>
    <w:rsid w:val="001552A0"/>
    <w:rsid w:val="00155337"/>
    <w:rsid w:val="00155587"/>
    <w:rsid w:val="001555DC"/>
    <w:rsid w:val="00155831"/>
    <w:rsid w:val="001559C9"/>
    <w:rsid w:val="00155A14"/>
    <w:rsid w:val="00155B68"/>
    <w:rsid w:val="00155BEF"/>
    <w:rsid w:val="00155CEF"/>
    <w:rsid w:val="00155EFE"/>
    <w:rsid w:val="0015601C"/>
    <w:rsid w:val="0015611B"/>
    <w:rsid w:val="0015631C"/>
    <w:rsid w:val="001563B7"/>
    <w:rsid w:val="00156454"/>
    <w:rsid w:val="0015675E"/>
    <w:rsid w:val="001567F6"/>
    <w:rsid w:val="001568B2"/>
    <w:rsid w:val="001568CB"/>
    <w:rsid w:val="0015694D"/>
    <w:rsid w:val="00156985"/>
    <w:rsid w:val="00156A4B"/>
    <w:rsid w:val="00156AC1"/>
    <w:rsid w:val="00156C74"/>
    <w:rsid w:val="00156CA0"/>
    <w:rsid w:val="0015715D"/>
    <w:rsid w:val="001571F4"/>
    <w:rsid w:val="0015722E"/>
    <w:rsid w:val="00157244"/>
    <w:rsid w:val="0015733C"/>
    <w:rsid w:val="00157346"/>
    <w:rsid w:val="001574B4"/>
    <w:rsid w:val="00157590"/>
    <w:rsid w:val="001575B5"/>
    <w:rsid w:val="001577BB"/>
    <w:rsid w:val="001577DB"/>
    <w:rsid w:val="0015786F"/>
    <w:rsid w:val="001578C7"/>
    <w:rsid w:val="00157BA7"/>
    <w:rsid w:val="00157D20"/>
    <w:rsid w:val="00157E5C"/>
    <w:rsid w:val="00157EDE"/>
    <w:rsid w:val="00157F70"/>
    <w:rsid w:val="00160061"/>
    <w:rsid w:val="001601C0"/>
    <w:rsid w:val="001604A0"/>
    <w:rsid w:val="001605C0"/>
    <w:rsid w:val="0016082B"/>
    <w:rsid w:val="00160971"/>
    <w:rsid w:val="00160A96"/>
    <w:rsid w:val="00160B1F"/>
    <w:rsid w:val="00160E39"/>
    <w:rsid w:val="00160E54"/>
    <w:rsid w:val="001610D6"/>
    <w:rsid w:val="001612F1"/>
    <w:rsid w:val="00161316"/>
    <w:rsid w:val="00161353"/>
    <w:rsid w:val="001614EB"/>
    <w:rsid w:val="00161625"/>
    <w:rsid w:val="00161627"/>
    <w:rsid w:val="001618A2"/>
    <w:rsid w:val="001618CE"/>
    <w:rsid w:val="00161960"/>
    <w:rsid w:val="00161A2B"/>
    <w:rsid w:val="00161CA2"/>
    <w:rsid w:val="00161CA4"/>
    <w:rsid w:val="00161D1A"/>
    <w:rsid w:val="00161DF6"/>
    <w:rsid w:val="00161EC5"/>
    <w:rsid w:val="0016201C"/>
    <w:rsid w:val="00162102"/>
    <w:rsid w:val="00162116"/>
    <w:rsid w:val="00162193"/>
    <w:rsid w:val="001621CD"/>
    <w:rsid w:val="00162242"/>
    <w:rsid w:val="001622B7"/>
    <w:rsid w:val="0016252E"/>
    <w:rsid w:val="00162582"/>
    <w:rsid w:val="00162652"/>
    <w:rsid w:val="001626D7"/>
    <w:rsid w:val="001627B0"/>
    <w:rsid w:val="00162CF1"/>
    <w:rsid w:val="00162D11"/>
    <w:rsid w:val="00162DBB"/>
    <w:rsid w:val="001631CF"/>
    <w:rsid w:val="00163256"/>
    <w:rsid w:val="0016328B"/>
    <w:rsid w:val="001634FE"/>
    <w:rsid w:val="0016352F"/>
    <w:rsid w:val="0016357C"/>
    <w:rsid w:val="00163796"/>
    <w:rsid w:val="001637C9"/>
    <w:rsid w:val="001637F7"/>
    <w:rsid w:val="0016384E"/>
    <w:rsid w:val="00163936"/>
    <w:rsid w:val="00163A72"/>
    <w:rsid w:val="00163AB8"/>
    <w:rsid w:val="00163AED"/>
    <w:rsid w:val="00163B6D"/>
    <w:rsid w:val="00163E7E"/>
    <w:rsid w:val="0016418F"/>
    <w:rsid w:val="001641FC"/>
    <w:rsid w:val="00164463"/>
    <w:rsid w:val="00164549"/>
    <w:rsid w:val="00164793"/>
    <w:rsid w:val="001647DB"/>
    <w:rsid w:val="00164954"/>
    <w:rsid w:val="001649DB"/>
    <w:rsid w:val="00164A46"/>
    <w:rsid w:val="00164C0B"/>
    <w:rsid w:val="00164D98"/>
    <w:rsid w:val="00164E0F"/>
    <w:rsid w:val="001650B2"/>
    <w:rsid w:val="0016557D"/>
    <w:rsid w:val="00165A76"/>
    <w:rsid w:val="00165BCF"/>
    <w:rsid w:val="00165D1E"/>
    <w:rsid w:val="00166064"/>
    <w:rsid w:val="00166128"/>
    <w:rsid w:val="00166189"/>
    <w:rsid w:val="00166198"/>
    <w:rsid w:val="0016626E"/>
    <w:rsid w:val="001665A9"/>
    <w:rsid w:val="0016668D"/>
    <w:rsid w:val="00166747"/>
    <w:rsid w:val="001667A7"/>
    <w:rsid w:val="0016689E"/>
    <w:rsid w:val="00166905"/>
    <w:rsid w:val="00166D82"/>
    <w:rsid w:val="001670A6"/>
    <w:rsid w:val="001670EA"/>
    <w:rsid w:val="00167136"/>
    <w:rsid w:val="001673DA"/>
    <w:rsid w:val="00167404"/>
    <w:rsid w:val="00167555"/>
    <w:rsid w:val="001675A6"/>
    <w:rsid w:val="001675B8"/>
    <w:rsid w:val="00167704"/>
    <w:rsid w:val="00167883"/>
    <w:rsid w:val="00167985"/>
    <w:rsid w:val="00167A65"/>
    <w:rsid w:val="00167C46"/>
    <w:rsid w:val="00167F4C"/>
    <w:rsid w:val="00170157"/>
    <w:rsid w:val="0017024F"/>
    <w:rsid w:val="0017030A"/>
    <w:rsid w:val="001703B8"/>
    <w:rsid w:val="001703F7"/>
    <w:rsid w:val="00170451"/>
    <w:rsid w:val="0017046D"/>
    <w:rsid w:val="00170523"/>
    <w:rsid w:val="0017063E"/>
    <w:rsid w:val="001706E9"/>
    <w:rsid w:val="0017078D"/>
    <w:rsid w:val="00170815"/>
    <w:rsid w:val="0017091E"/>
    <w:rsid w:val="001709E2"/>
    <w:rsid w:val="00170BBD"/>
    <w:rsid w:val="00170C75"/>
    <w:rsid w:val="00170DAE"/>
    <w:rsid w:val="001710AE"/>
    <w:rsid w:val="001710D4"/>
    <w:rsid w:val="00171421"/>
    <w:rsid w:val="00171570"/>
    <w:rsid w:val="00171734"/>
    <w:rsid w:val="00171783"/>
    <w:rsid w:val="0017179A"/>
    <w:rsid w:val="001718EE"/>
    <w:rsid w:val="001719C2"/>
    <w:rsid w:val="001719D8"/>
    <w:rsid w:val="001719D9"/>
    <w:rsid w:val="00171A4E"/>
    <w:rsid w:val="00171CA6"/>
    <w:rsid w:val="00171E6E"/>
    <w:rsid w:val="00171F13"/>
    <w:rsid w:val="00171FCE"/>
    <w:rsid w:val="00172058"/>
    <w:rsid w:val="00172239"/>
    <w:rsid w:val="001722A0"/>
    <w:rsid w:val="00172303"/>
    <w:rsid w:val="001725AC"/>
    <w:rsid w:val="001725D5"/>
    <w:rsid w:val="00172784"/>
    <w:rsid w:val="001727BC"/>
    <w:rsid w:val="001727E2"/>
    <w:rsid w:val="0017283C"/>
    <w:rsid w:val="00172AB0"/>
    <w:rsid w:val="00172D14"/>
    <w:rsid w:val="00172E29"/>
    <w:rsid w:val="0017315A"/>
    <w:rsid w:val="0017316A"/>
    <w:rsid w:val="001732FF"/>
    <w:rsid w:val="00173422"/>
    <w:rsid w:val="00173494"/>
    <w:rsid w:val="00173647"/>
    <w:rsid w:val="0017366F"/>
    <w:rsid w:val="001736FF"/>
    <w:rsid w:val="00173808"/>
    <w:rsid w:val="00173C7F"/>
    <w:rsid w:val="00173ECD"/>
    <w:rsid w:val="00173F27"/>
    <w:rsid w:val="00174081"/>
    <w:rsid w:val="001740E4"/>
    <w:rsid w:val="00174148"/>
    <w:rsid w:val="0017445D"/>
    <w:rsid w:val="00174565"/>
    <w:rsid w:val="001745A0"/>
    <w:rsid w:val="00174612"/>
    <w:rsid w:val="001747D7"/>
    <w:rsid w:val="0017482C"/>
    <w:rsid w:val="001749F1"/>
    <w:rsid w:val="00174A1D"/>
    <w:rsid w:val="00174A3C"/>
    <w:rsid w:val="00174A42"/>
    <w:rsid w:val="00174A53"/>
    <w:rsid w:val="00174AEA"/>
    <w:rsid w:val="00174C72"/>
    <w:rsid w:val="00174E8C"/>
    <w:rsid w:val="00174FBC"/>
    <w:rsid w:val="00175056"/>
    <w:rsid w:val="001750C4"/>
    <w:rsid w:val="001750D0"/>
    <w:rsid w:val="001751E4"/>
    <w:rsid w:val="00175212"/>
    <w:rsid w:val="00175275"/>
    <w:rsid w:val="00175654"/>
    <w:rsid w:val="0017571E"/>
    <w:rsid w:val="0017575C"/>
    <w:rsid w:val="001757A0"/>
    <w:rsid w:val="00175869"/>
    <w:rsid w:val="001759C0"/>
    <w:rsid w:val="001759C8"/>
    <w:rsid w:val="00175A41"/>
    <w:rsid w:val="00175B23"/>
    <w:rsid w:val="00175BF4"/>
    <w:rsid w:val="00175C15"/>
    <w:rsid w:val="00175ECE"/>
    <w:rsid w:val="00175F3B"/>
    <w:rsid w:val="00175FD4"/>
    <w:rsid w:val="0017603C"/>
    <w:rsid w:val="0017605E"/>
    <w:rsid w:val="001760F6"/>
    <w:rsid w:val="001761E3"/>
    <w:rsid w:val="001762B9"/>
    <w:rsid w:val="00176372"/>
    <w:rsid w:val="0017644A"/>
    <w:rsid w:val="00176584"/>
    <w:rsid w:val="00176868"/>
    <w:rsid w:val="00176893"/>
    <w:rsid w:val="00176A10"/>
    <w:rsid w:val="00176D88"/>
    <w:rsid w:val="001770DD"/>
    <w:rsid w:val="00177122"/>
    <w:rsid w:val="00177124"/>
    <w:rsid w:val="00177128"/>
    <w:rsid w:val="00177391"/>
    <w:rsid w:val="00177692"/>
    <w:rsid w:val="0017772F"/>
    <w:rsid w:val="001779B2"/>
    <w:rsid w:val="001779D7"/>
    <w:rsid w:val="00177CB5"/>
    <w:rsid w:val="00177CEB"/>
    <w:rsid w:val="00177D7F"/>
    <w:rsid w:val="00177FEA"/>
    <w:rsid w:val="001800E2"/>
    <w:rsid w:val="001800FC"/>
    <w:rsid w:val="0018010E"/>
    <w:rsid w:val="001802CC"/>
    <w:rsid w:val="001805C0"/>
    <w:rsid w:val="00180608"/>
    <w:rsid w:val="0018090A"/>
    <w:rsid w:val="00180AC9"/>
    <w:rsid w:val="00180CBB"/>
    <w:rsid w:val="00180CC0"/>
    <w:rsid w:val="00180DE5"/>
    <w:rsid w:val="00180EB9"/>
    <w:rsid w:val="00180F27"/>
    <w:rsid w:val="0018116B"/>
    <w:rsid w:val="0018120F"/>
    <w:rsid w:val="0018129E"/>
    <w:rsid w:val="0018132C"/>
    <w:rsid w:val="0018132E"/>
    <w:rsid w:val="001813F1"/>
    <w:rsid w:val="001817BD"/>
    <w:rsid w:val="001818D8"/>
    <w:rsid w:val="001818FC"/>
    <w:rsid w:val="001819E5"/>
    <w:rsid w:val="00181A2A"/>
    <w:rsid w:val="00181E01"/>
    <w:rsid w:val="00181F0B"/>
    <w:rsid w:val="00182114"/>
    <w:rsid w:val="0018216C"/>
    <w:rsid w:val="001821FB"/>
    <w:rsid w:val="0018229D"/>
    <w:rsid w:val="001822AC"/>
    <w:rsid w:val="00182402"/>
    <w:rsid w:val="0018256E"/>
    <w:rsid w:val="0018269E"/>
    <w:rsid w:val="001827D1"/>
    <w:rsid w:val="00182804"/>
    <w:rsid w:val="00182911"/>
    <w:rsid w:val="0018298A"/>
    <w:rsid w:val="00182C01"/>
    <w:rsid w:val="00182D11"/>
    <w:rsid w:val="00182D35"/>
    <w:rsid w:val="00182D93"/>
    <w:rsid w:val="00182F0E"/>
    <w:rsid w:val="00182F17"/>
    <w:rsid w:val="00182FBB"/>
    <w:rsid w:val="001830A4"/>
    <w:rsid w:val="0018311F"/>
    <w:rsid w:val="00183270"/>
    <w:rsid w:val="00183476"/>
    <w:rsid w:val="0018355A"/>
    <w:rsid w:val="00183561"/>
    <w:rsid w:val="00183613"/>
    <w:rsid w:val="00183630"/>
    <w:rsid w:val="001838F6"/>
    <w:rsid w:val="00183AB5"/>
    <w:rsid w:val="00183BC1"/>
    <w:rsid w:val="00183C29"/>
    <w:rsid w:val="00183D53"/>
    <w:rsid w:val="00183DF6"/>
    <w:rsid w:val="0018409E"/>
    <w:rsid w:val="0018455D"/>
    <w:rsid w:val="0018455E"/>
    <w:rsid w:val="00184607"/>
    <w:rsid w:val="0018461C"/>
    <w:rsid w:val="001846D5"/>
    <w:rsid w:val="0018487E"/>
    <w:rsid w:val="00184BF8"/>
    <w:rsid w:val="00184D5A"/>
    <w:rsid w:val="00184F89"/>
    <w:rsid w:val="00185348"/>
    <w:rsid w:val="001854C8"/>
    <w:rsid w:val="00185658"/>
    <w:rsid w:val="00185772"/>
    <w:rsid w:val="00185788"/>
    <w:rsid w:val="00185836"/>
    <w:rsid w:val="001859E4"/>
    <w:rsid w:val="00185A8C"/>
    <w:rsid w:val="00185AB7"/>
    <w:rsid w:val="00185C45"/>
    <w:rsid w:val="00185DA4"/>
    <w:rsid w:val="00185DA7"/>
    <w:rsid w:val="00185E21"/>
    <w:rsid w:val="00185F7C"/>
    <w:rsid w:val="00186032"/>
    <w:rsid w:val="001861B3"/>
    <w:rsid w:val="00186232"/>
    <w:rsid w:val="00186239"/>
    <w:rsid w:val="0018631B"/>
    <w:rsid w:val="0018638A"/>
    <w:rsid w:val="00186464"/>
    <w:rsid w:val="00186530"/>
    <w:rsid w:val="001865DB"/>
    <w:rsid w:val="001866BC"/>
    <w:rsid w:val="00186B25"/>
    <w:rsid w:val="00186C48"/>
    <w:rsid w:val="00186D56"/>
    <w:rsid w:val="00186DDA"/>
    <w:rsid w:val="00186E6C"/>
    <w:rsid w:val="00186EBD"/>
    <w:rsid w:val="00187184"/>
    <w:rsid w:val="001872DA"/>
    <w:rsid w:val="00187300"/>
    <w:rsid w:val="0018746B"/>
    <w:rsid w:val="001874AC"/>
    <w:rsid w:val="00187664"/>
    <w:rsid w:val="0018778E"/>
    <w:rsid w:val="001877D6"/>
    <w:rsid w:val="001878AA"/>
    <w:rsid w:val="001879D1"/>
    <w:rsid w:val="00187A24"/>
    <w:rsid w:val="00187A7B"/>
    <w:rsid w:val="00187B7C"/>
    <w:rsid w:val="00187CFA"/>
    <w:rsid w:val="001902A2"/>
    <w:rsid w:val="0019049A"/>
    <w:rsid w:val="001905B6"/>
    <w:rsid w:val="001906CF"/>
    <w:rsid w:val="00190775"/>
    <w:rsid w:val="00190784"/>
    <w:rsid w:val="00190A07"/>
    <w:rsid w:val="00190ADD"/>
    <w:rsid w:val="00190B97"/>
    <w:rsid w:val="00190D57"/>
    <w:rsid w:val="00190D9D"/>
    <w:rsid w:val="00190F31"/>
    <w:rsid w:val="001910FA"/>
    <w:rsid w:val="0019130F"/>
    <w:rsid w:val="0019148A"/>
    <w:rsid w:val="001914DB"/>
    <w:rsid w:val="001915AE"/>
    <w:rsid w:val="00191916"/>
    <w:rsid w:val="00191A24"/>
    <w:rsid w:val="00191A2A"/>
    <w:rsid w:val="00191A9F"/>
    <w:rsid w:val="00191AEF"/>
    <w:rsid w:val="00191AF8"/>
    <w:rsid w:val="00191AFD"/>
    <w:rsid w:val="00191C90"/>
    <w:rsid w:val="00191D75"/>
    <w:rsid w:val="00191DEC"/>
    <w:rsid w:val="00191E8D"/>
    <w:rsid w:val="00191EB7"/>
    <w:rsid w:val="00192086"/>
    <w:rsid w:val="001920A5"/>
    <w:rsid w:val="0019218C"/>
    <w:rsid w:val="00192226"/>
    <w:rsid w:val="0019231B"/>
    <w:rsid w:val="0019231E"/>
    <w:rsid w:val="00192368"/>
    <w:rsid w:val="00192405"/>
    <w:rsid w:val="00192454"/>
    <w:rsid w:val="001924EE"/>
    <w:rsid w:val="00192580"/>
    <w:rsid w:val="00192594"/>
    <w:rsid w:val="00192695"/>
    <w:rsid w:val="0019277C"/>
    <w:rsid w:val="001927B7"/>
    <w:rsid w:val="001928E5"/>
    <w:rsid w:val="00192BB8"/>
    <w:rsid w:val="00192D72"/>
    <w:rsid w:val="00192EC7"/>
    <w:rsid w:val="00192FBD"/>
    <w:rsid w:val="00192FBE"/>
    <w:rsid w:val="00193028"/>
    <w:rsid w:val="00193093"/>
    <w:rsid w:val="0019329E"/>
    <w:rsid w:val="001933C5"/>
    <w:rsid w:val="00193412"/>
    <w:rsid w:val="00193444"/>
    <w:rsid w:val="00193594"/>
    <w:rsid w:val="00193A39"/>
    <w:rsid w:val="00193A47"/>
    <w:rsid w:val="00193A7F"/>
    <w:rsid w:val="00193C77"/>
    <w:rsid w:val="001940D0"/>
    <w:rsid w:val="001943DE"/>
    <w:rsid w:val="001945B1"/>
    <w:rsid w:val="0019472E"/>
    <w:rsid w:val="00194AB6"/>
    <w:rsid w:val="00194AFA"/>
    <w:rsid w:val="00194B0E"/>
    <w:rsid w:val="00194C00"/>
    <w:rsid w:val="00194C4A"/>
    <w:rsid w:val="00194E93"/>
    <w:rsid w:val="001950A7"/>
    <w:rsid w:val="001950F7"/>
    <w:rsid w:val="00195130"/>
    <w:rsid w:val="00195283"/>
    <w:rsid w:val="001952F4"/>
    <w:rsid w:val="0019538B"/>
    <w:rsid w:val="001953A5"/>
    <w:rsid w:val="001953B0"/>
    <w:rsid w:val="001953CB"/>
    <w:rsid w:val="001953F9"/>
    <w:rsid w:val="00195448"/>
    <w:rsid w:val="0019547C"/>
    <w:rsid w:val="001954D7"/>
    <w:rsid w:val="001956A5"/>
    <w:rsid w:val="0019578E"/>
    <w:rsid w:val="0019583C"/>
    <w:rsid w:val="001959C7"/>
    <w:rsid w:val="00195A12"/>
    <w:rsid w:val="00195A5C"/>
    <w:rsid w:val="00195ACA"/>
    <w:rsid w:val="00195C48"/>
    <w:rsid w:val="00195C98"/>
    <w:rsid w:val="00195F4A"/>
    <w:rsid w:val="0019614A"/>
    <w:rsid w:val="001962A5"/>
    <w:rsid w:val="00196335"/>
    <w:rsid w:val="00196524"/>
    <w:rsid w:val="001966EE"/>
    <w:rsid w:val="00196845"/>
    <w:rsid w:val="001968A9"/>
    <w:rsid w:val="00196BE0"/>
    <w:rsid w:val="00196D37"/>
    <w:rsid w:val="00196D93"/>
    <w:rsid w:val="00196F16"/>
    <w:rsid w:val="00196FBE"/>
    <w:rsid w:val="00197169"/>
    <w:rsid w:val="001971ED"/>
    <w:rsid w:val="0019739C"/>
    <w:rsid w:val="0019749B"/>
    <w:rsid w:val="00197797"/>
    <w:rsid w:val="00197815"/>
    <w:rsid w:val="00197AC6"/>
    <w:rsid w:val="00197AD7"/>
    <w:rsid w:val="00197BEE"/>
    <w:rsid w:val="00197C9A"/>
    <w:rsid w:val="00197E12"/>
    <w:rsid w:val="00197F15"/>
    <w:rsid w:val="001A01EC"/>
    <w:rsid w:val="001A0373"/>
    <w:rsid w:val="001A0711"/>
    <w:rsid w:val="001A0A55"/>
    <w:rsid w:val="001A0B8B"/>
    <w:rsid w:val="001A0E4A"/>
    <w:rsid w:val="001A0F78"/>
    <w:rsid w:val="001A0FFE"/>
    <w:rsid w:val="001A10AC"/>
    <w:rsid w:val="001A116F"/>
    <w:rsid w:val="001A12C7"/>
    <w:rsid w:val="001A12EB"/>
    <w:rsid w:val="001A133A"/>
    <w:rsid w:val="001A143D"/>
    <w:rsid w:val="001A160E"/>
    <w:rsid w:val="001A1635"/>
    <w:rsid w:val="001A16B8"/>
    <w:rsid w:val="001A1828"/>
    <w:rsid w:val="001A18DA"/>
    <w:rsid w:val="001A19E0"/>
    <w:rsid w:val="001A1AAE"/>
    <w:rsid w:val="001A1C9D"/>
    <w:rsid w:val="001A1E05"/>
    <w:rsid w:val="001A1F7A"/>
    <w:rsid w:val="001A201E"/>
    <w:rsid w:val="001A20AF"/>
    <w:rsid w:val="001A231D"/>
    <w:rsid w:val="001A2679"/>
    <w:rsid w:val="001A277E"/>
    <w:rsid w:val="001A27FE"/>
    <w:rsid w:val="001A295B"/>
    <w:rsid w:val="001A2AB1"/>
    <w:rsid w:val="001A2C55"/>
    <w:rsid w:val="001A2CE0"/>
    <w:rsid w:val="001A2EF8"/>
    <w:rsid w:val="001A2FFC"/>
    <w:rsid w:val="001A301B"/>
    <w:rsid w:val="001A3115"/>
    <w:rsid w:val="001A3128"/>
    <w:rsid w:val="001A335D"/>
    <w:rsid w:val="001A349B"/>
    <w:rsid w:val="001A34A2"/>
    <w:rsid w:val="001A35F9"/>
    <w:rsid w:val="001A35FF"/>
    <w:rsid w:val="001A3610"/>
    <w:rsid w:val="001A36BA"/>
    <w:rsid w:val="001A374C"/>
    <w:rsid w:val="001A38F2"/>
    <w:rsid w:val="001A39E7"/>
    <w:rsid w:val="001A3AAA"/>
    <w:rsid w:val="001A3BB5"/>
    <w:rsid w:val="001A3D2E"/>
    <w:rsid w:val="001A401F"/>
    <w:rsid w:val="001A41DE"/>
    <w:rsid w:val="001A420E"/>
    <w:rsid w:val="001A4227"/>
    <w:rsid w:val="001A4266"/>
    <w:rsid w:val="001A426A"/>
    <w:rsid w:val="001A43BE"/>
    <w:rsid w:val="001A43C4"/>
    <w:rsid w:val="001A4514"/>
    <w:rsid w:val="001A452A"/>
    <w:rsid w:val="001A4849"/>
    <w:rsid w:val="001A48E0"/>
    <w:rsid w:val="001A4905"/>
    <w:rsid w:val="001A491F"/>
    <w:rsid w:val="001A496A"/>
    <w:rsid w:val="001A4A5D"/>
    <w:rsid w:val="001A4BA7"/>
    <w:rsid w:val="001A4BEA"/>
    <w:rsid w:val="001A4C40"/>
    <w:rsid w:val="001A4C7B"/>
    <w:rsid w:val="001A4D19"/>
    <w:rsid w:val="001A4DE2"/>
    <w:rsid w:val="001A4E03"/>
    <w:rsid w:val="001A4E04"/>
    <w:rsid w:val="001A4E95"/>
    <w:rsid w:val="001A4FC4"/>
    <w:rsid w:val="001A501A"/>
    <w:rsid w:val="001A5171"/>
    <w:rsid w:val="001A517E"/>
    <w:rsid w:val="001A51BF"/>
    <w:rsid w:val="001A5404"/>
    <w:rsid w:val="001A5699"/>
    <w:rsid w:val="001A577D"/>
    <w:rsid w:val="001A5800"/>
    <w:rsid w:val="001A5977"/>
    <w:rsid w:val="001A59A5"/>
    <w:rsid w:val="001A5A1F"/>
    <w:rsid w:val="001A5AEE"/>
    <w:rsid w:val="001A5BAC"/>
    <w:rsid w:val="001A5BBB"/>
    <w:rsid w:val="001A5BE8"/>
    <w:rsid w:val="001A5D4E"/>
    <w:rsid w:val="001A5D71"/>
    <w:rsid w:val="001A5E07"/>
    <w:rsid w:val="001A5E85"/>
    <w:rsid w:val="001A5FE0"/>
    <w:rsid w:val="001A612C"/>
    <w:rsid w:val="001A61EB"/>
    <w:rsid w:val="001A6357"/>
    <w:rsid w:val="001A64A7"/>
    <w:rsid w:val="001A64C7"/>
    <w:rsid w:val="001A64DD"/>
    <w:rsid w:val="001A6683"/>
    <w:rsid w:val="001A6776"/>
    <w:rsid w:val="001A68E4"/>
    <w:rsid w:val="001A6900"/>
    <w:rsid w:val="001A6991"/>
    <w:rsid w:val="001A6B07"/>
    <w:rsid w:val="001A6E0F"/>
    <w:rsid w:val="001A6F72"/>
    <w:rsid w:val="001A7027"/>
    <w:rsid w:val="001A7053"/>
    <w:rsid w:val="001A71C8"/>
    <w:rsid w:val="001A7261"/>
    <w:rsid w:val="001A738E"/>
    <w:rsid w:val="001A7432"/>
    <w:rsid w:val="001A75D5"/>
    <w:rsid w:val="001A7661"/>
    <w:rsid w:val="001A76F3"/>
    <w:rsid w:val="001A774F"/>
    <w:rsid w:val="001A79B6"/>
    <w:rsid w:val="001A7A4C"/>
    <w:rsid w:val="001A7CCD"/>
    <w:rsid w:val="001A7F67"/>
    <w:rsid w:val="001A7FA9"/>
    <w:rsid w:val="001B01FB"/>
    <w:rsid w:val="001B023F"/>
    <w:rsid w:val="001B042F"/>
    <w:rsid w:val="001B051E"/>
    <w:rsid w:val="001B0746"/>
    <w:rsid w:val="001B084E"/>
    <w:rsid w:val="001B08F3"/>
    <w:rsid w:val="001B09FC"/>
    <w:rsid w:val="001B0A7D"/>
    <w:rsid w:val="001B0AD3"/>
    <w:rsid w:val="001B0B3D"/>
    <w:rsid w:val="001B0B84"/>
    <w:rsid w:val="001B0BBA"/>
    <w:rsid w:val="001B0D58"/>
    <w:rsid w:val="001B0E2A"/>
    <w:rsid w:val="001B0FDB"/>
    <w:rsid w:val="001B102E"/>
    <w:rsid w:val="001B10FA"/>
    <w:rsid w:val="001B1140"/>
    <w:rsid w:val="001B12E5"/>
    <w:rsid w:val="001B1314"/>
    <w:rsid w:val="001B138F"/>
    <w:rsid w:val="001B1627"/>
    <w:rsid w:val="001B16B0"/>
    <w:rsid w:val="001B188E"/>
    <w:rsid w:val="001B1BAC"/>
    <w:rsid w:val="001B1CE5"/>
    <w:rsid w:val="001B1D06"/>
    <w:rsid w:val="001B1D90"/>
    <w:rsid w:val="001B1F1B"/>
    <w:rsid w:val="001B2013"/>
    <w:rsid w:val="001B2045"/>
    <w:rsid w:val="001B20A8"/>
    <w:rsid w:val="001B216C"/>
    <w:rsid w:val="001B2188"/>
    <w:rsid w:val="001B21A1"/>
    <w:rsid w:val="001B2257"/>
    <w:rsid w:val="001B2463"/>
    <w:rsid w:val="001B2529"/>
    <w:rsid w:val="001B2586"/>
    <w:rsid w:val="001B25A0"/>
    <w:rsid w:val="001B25BD"/>
    <w:rsid w:val="001B26FE"/>
    <w:rsid w:val="001B2843"/>
    <w:rsid w:val="001B295A"/>
    <w:rsid w:val="001B29A1"/>
    <w:rsid w:val="001B29D2"/>
    <w:rsid w:val="001B29D5"/>
    <w:rsid w:val="001B2A07"/>
    <w:rsid w:val="001B2B42"/>
    <w:rsid w:val="001B2B9F"/>
    <w:rsid w:val="001B2BE6"/>
    <w:rsid w:val="001B2D9D"/>
    <w:rsid w:val="001B2DF1"/>
    <w:rsid w:val="001B302E"/>
    <w:rsid w:val="001B3066"/>
    <w:rsid w:val="001B3164"/>
    <w:rsid w:val="001B3178"/>
    <w:rsid w:val="001B3209"/>
    <w:rsid w:val="001B32FF"/>
    <w:rsid w:val="001B330E"/>
    <w:rsid w:val="001B365B"/>
    <w:rsid w:val="001B36CE"/>
    <w:rsid w:val="001B36F9"/>
    <w:rsid w:val="001B3701"/>
    <w:rsid w:val="001B3710"/>
    <w:rsid w:val="001B37CD"/>
    <w:rsid w:val="001B37F4"/>
    <w:rsid w:val="001B384F"/>
    <w:rsid w:val="001B3AF6"/>
    <w:rsid w:val="001B3B18"/>
    <w:rsid w:val="001B3B1F"/>
    <w:rsid w:val="001B3BCC"/>
    <w:rsid w:val="001B3DAD"/>
    <w:rsid w:val="001B3EB0"/>
    <w:rsid w:val="001B3FA4"/>
    <w:rsid w:val="001B3FC4"/>
    <w:rsid w:val="001B4219"/>
    <w:rsid w:val="001B42BA"/>
    <w:rsid w:val="001B42F0"/>
    <w:rsid w:val="001B4836"/>
    <w:rsid w:val="001B4863"/>
    <w:rsid w:val="001B49C8"/>
    <w:rsid w:val="001B49EC"/>
    <w:rsid w:val="001B4A13"/>
    <w:rsid w:val="001B4A58"/>
    <w:rsid w:val="001B4A81"/>
    <w:rsid w:val="001B4ADC"/>
    <w:rsid w:val="001B4B75"/>
    <w:rsid w:val="001B4BC1"/>
    <w:rsid w:val="001B4D31"/>
    <w:rsid w:val="001B4D4A"/>
    <w:rsid w:val="001B4D7D"/>
    <w:rsid w:val="001B4E41"/>
    <w:rsid w:val="001B4F43"/>
    <w:rsid w:val="001B50AF"/>
    <w:rsid w:val="001B5154"/>
    <w:rsid w:val="001B51EB"/>
    <w:rsid w:val="001B549F"/>
    <w:rsid w:val="001B5696"/>
    <w:rsid w:val="001B57E2"/>
    <w:rsid w:val="001B5870"/>
    <w:rsid w:val="001B5924"/>
    <w:rsid w:val="001B597B"/>
    <w:rsid w:val="001B5AAD"/>
    <w:rsid w:val="001B5B23"/>
    <w:rsid w:val="001B5CF7"/>
    <w:rsid w:val="001B5F9F"/>
    <w:rsid w:val="001B601D"/>
    <w:rsid w:val="001B6031"/>
    <w:rsid w:val="001B60CA"/>
    <w:rsid w:val="001B61F0"/>
    <w:rsid w:val="001B62A6"/>
    <w:rsid w:val="001B63A2"/>
    <w:rsid w:val="001B6489"/>
    <w:rsid w:val="001B6514"/>
    <w:rsid w:val="001B6719"/>
    <w:rsid w:val="001B6900"/>
    <w:rsid w:val="001B6951"/>
    <w:rsid w:val="001B6B44"/>
    <w:rsid w:val="001B6E04"/>
    <w:rsid w:val="001B6E05"/>
    <w:rsid w:val="001B6E18"/>
    <w:rsid w:val="001B6F6A"/>
    <w:rsid w:val="001B6F86"/>
    <w:rsid w:val="001B7033"/>
    <w:rsid w:val="001B73CF"/>
    <w:rsid w:val="001B75E0"/>
    <w:rsid w:val="001B76BC"/>
    <w:rsid w:val="001B76D1"/>
    <w:rsid w:val="001B7887"/>
    <w:rsid w:val="001B7A7B"/>
    <w:rsid w:val="001B7B25"/>
    <w:rsid w:val="001B7B8F"/>
    <w:rsid w:val="001B7C53"/>
    <w:rsid w:val="001B7F72"/>
    <w:rsid w:val="001C00E5"/>
    <w:rsid w:val="001C0217"/>
    <w:rsid w:val="001C0225"/>
    <w:rsid w:val="001C0248"/>
    <w:rsid w:val="001C0495"/>
    <w:rsid w:val="001C059D"/>
    <w:rsid w:val="001C0673"/>
    <w:rsid w:val="001C0795"/>
    <w:rsid w:val="001C081E"/>
    <w:rsid w:val="001C08CE"/>
    <w:rsid w:val="001C092F"/>
    <w:rsid w:val="001C0B7A"/>
    <w:rsid w:val="001C0CE1"/>
    <w:rsid w:val="001C0E27"/>
    <w:rsid w:val="001C0F70"/>
    <w:rsid w:val="001C0FD6"/>
    <w:rsid w:val="001C105D"/>
    <w:rsid w:val="001C128F"/>
    <w:rsid w:val="001C132F"/>
    <w:rsid w:val="001C1350"/>
    <w:rsid w:val="001C14A2"/>
    <w:rsid w:val="001C1517"/>
    <w:rsid w:val="001C1557"/>
    <w:rsid w:val="001C1690"/>
    <w:rsid w:val="001C1788"/>
    <w:rsid w:val="001C1A23"/>
    <w:rsid w:val="001C1DB8"/>
    <w:rsid w:val="001C1FB4"/>
    <w:rsid w:val="001C1FE9"/>
    <w:rsid w:val="001C1FF1"/>
    <w:rsid w:val="001C2009"/>
    <w:rsid w:val="001C208E"/>
    <w:rsid w:val="001C231B"/>
    <w:rsid w:val="001C2320"/>
    <w:rsid w:val="001C236B"/>
    <w:rsid w:val="001C236F"/>
    <w:rsid w:val="001C2419"/>
    <w:rsid w:val="001C2558"/>
    <w:rsid w:val="001C267B"/>
    <w:rsid w:val="001C276D"/>
    <w:rsid w:val="001C2808"/>
    <w:rsid w:val="001C292A"/>
    <w:rsid w:val="001C2A8A"/>
    <w:rsid w:val="001C2B16"/>
    <w:rsid w:val="001C2B8A"/>
    <w:rsid w:val="001C2BB6"/>
    <w:rsid w:val="001C2C62"/>
    <w:rsid w:val="001C2D01"/>
    <w:rsid w:val="001C2DD7"/>
    <w:rsid w:val="001C2DF9"/>
    <w:rsid w:val="001C2E7C"/>
    <w:rsid w:val="001C2F67"/>
    <w:rsid w:val="001C303B"/>
    <w:rsid w:val="001C314E"/>
    <w:rsid w:val="001C31F8"/>
    <w:rsid w:val="001C354D"/>
    <w:rsid w:val="001C37AF"/>
    <w:rsid w:val="001C3823"/>
    <w:rsid w:val="001C386A"/>
    <w:rsid w:val="001C396E"/>
    <w:rsid w:val="001C3A25"/>
    <w:rsid w:val="001C3B3B"/>
    <w:rsid w:val="001C3B72"/>
    <w:rsid w:val="001C3C6D"/>
    <w:rsid w:val="001C3CB3"/>
    <w:rsid w:val="001C3F2A"/>
    <w:rsid w:val="001C3F4A"/>
    <w:rsid w:val="001C411F"/>
    <w:rsid w:val="001C41F2"/>
    <w:rsid w:val="001C42DB"/>
    <w:rsid w:val="001C42E5"/>
    <w:rsid w:val="001C44D4"/>
    <w:rsid w:val="001C4523"/>
    <w:rsid w:val="001C45AB"/>
    <w:rsid w:val="001C46BB"/>
    <w:rsid w:val="001C4872"/>
    <w:rsid w:val="001C4D50"/>
    <w:rsid w:val="001C4DB8"/>
    <w:rsid w:val="001C4E45"/>
    <w:rsid w:val="001C4EEE"/>
    <w:rsid w:val="001C4EF4"/>
    <w:rsid w:val="001C50F7"/>
    <w:rsid w:val="001C5266"/>
    <w:rsid w:val="001C54C7"/>
    <w:rsid w:val="001C5568"/>
    <w:rsid w:val="001C55C0"/>
    <w:rsid w:val="001C55D6"/>
    <w:rsid w:val="001C5631"/>
    <w:rsid w:val="001C57DC"/>
    <w:rsid w:val="001C5A00"/>
    <w:rsid w:val="001C5B9C"/>
    <w:rsid w:val="001C5C12"/>
    <w:rsid w:val="001C5C4B"/>
    <w:rsid w:val="001C5C90"/>
    <w:rsid w:val="001C5CD5"/>
    <w:rsid w:val="001C5E64"/>
    <w:rsid w:val="001C5F36"/>
    <w:rsid w:val="001C5F7E"/>
    <w:rsid w:val="001C5FBA"/>
    <w:rsid w:val="001C5FE9"/>
    <w:rsid w:val="001C6074"/>
    <w:rsid w:val="001C63C3"/>
    <w:rsid w:val="001C63E3"/>
    <w:rsid w:val="001C657A"/>
    <w:rsid w:val="001C658A"/>
    <w:rsid w:val="001C6595"/>
    <w:rsid w:val="001C65B0"/>
    <w:rsid w:val="001C6AB7"/>
    <w:rsid w:val="001C6AD8"/>
    <w:rsid w:val="001C6E39"/>
    <w:rsid w:val="001C6F02"/>
    <w:rsid w:val="001C6F8E"/>
    <w:rsid w:val="001C74FE"/>
    <w:rsid w:val="001C75D7"/>
    <w:rsid w:val="001C788E"/>
    <w:rsid w:val="001C7AD5"/>
    <w:rsid w:val="001C7BE9"/>
    <w:rsid w:val="001C7C33"/>
    <w:rsid w:val="001C7CBC"/>
    <w:rsid w:val="001C7EF8"/>
    <w:rsid w:val="001D01B9"/>
    <w:rsid w:val="001D0213"/>
    <w:rsid w:val="001D02A3"/>
    <w:rsid w:val="001D02DB"/>
    <w:rsid w:val="001D03CA"/>
    <w:rsid w:val="001D0764"/>
    <w:rsid w:val="001D07BE"/>
    <w:rsid w:val="001D0950"/>
    <w:rsid w:val="001D09C9"/>
    <w:rsid w:val="001D0A2F"/>
    <w:rsid w:val="001D0A33"/>
    <w:rsid w:val="001D0A43"/>
    <w:rsid w:val="001D0ADB"/>
    <w:rsid w:val="001D0BB0"/>
    <w:rsid w:val="001D0C4E"/>
    <w:rsid w:val="001D0CB7"/>
    <w:rsid w:val="001D0CCE"/>
    <w:rsid w:val="001D0D11"/>
    <w:rsid w:val="001D0DD0"/>
    <w:rsid w:val="001D0FF7"/>
    <w:rsid w:val="001D12A9"/>
    <w:rsid w:val="001D1325"/>
    <w:rsid w:val="001D13D6"/>
    <w:rsid w:val="001D1466"/>
    <w:rsid w:val="001D1545"/>
    <w:rsid w:val="001D160C"/>
    <w:rsid w:val="001D16A9"/>
    <w:rsid w:val="001D1ACB"/>
    <w:rsid w:val="001D1BE7"/>
    <w:rsid w:val="001D1C02"/>
    <w:rsid w:val="001D1D39"/>
    <w:rsid w:val="001D1D56"/>
    <w:rsid w:val="001D1E7A"/>
    <w:rsid w:val="001D1E7E"/>
    <w:rsid w:val="001D1F73"/>
    <w:rsid w:val="001D210C"/>
    <w:rsid w:val="001D2123"/>
    <w:rsid w:val="001D22E9"/>
    <w:rsid w:val="001D2325"/>
    <w:rsid w:val="001D245F"/>
    <w:rsid w:val="001D2558"/>
    <w:rsid w:val="001D257D"/>
    <w:rsid w:val="001D258B"/>
    <w:rsid w:val="001D25AF"/>
    <w:rsid w:val="001D26BB"/>
    <w:rsid w:val="001D26FC"/>
    <w:rsid w:val="001D2779"/>
    <w:rsid w:val="001D28CE"/>
    <w:rsid w:val="001D293C"/>
    <w:rsid w:val="001D29F7"/>
    <w:rsid w:val="001D2BE6"/>
    <w:rsid w:val="001D2BE9"/>
    <w:rsid w:val="001D2EE3"/>
    <w:rsid w:val="001D2F2E"/>
    <w:rsid w:val="001D312E"/>
    <w:rsid w:val="001D3255"/>
    <w:rsid w:val="001D32E4"/>
    <w:rsid w:val="001D3428"/>
    <w:rsid w:val="001D35E6"/>
    <w:rsid w:val="001D388D"/>
    <w:rsid w:val="001D38AF"/>
    <w:rsid w:val="001D3972"/>
    <w:rsid w:val="001D3A39"/>
    <w:rsid w:val="001D3B2D"/>
    <w:rsid w:val="001D3B52"/>
    <w:rsid w:val="001D3BEA"/>
    <w:rsid w:val="001D3DC2"/>
    <w:rsid w:val="001D3E36"/>
    <w:rsid w:val="001D4269"/>
    <w:rsid w:val="001D42E8"/>
    <w:rsid w:val="001D4379"/>
    <w:rsid w:val="001D45B5"/>
    <w:rsid w:val="001D45FA"/>
    <w:rsid w:val="001D4656"/>
    <w:rsid w:val="001D46A1"/>
    <w:rsid w:val="001D48D0"/>
    <w:rsid w:val="001D4924"/>
    <w:rsid w:val="001D4CF4"/>
    <w:rsid w:val="001D4E37"/>
    <w:rsid w:val="001D50F3"/>
    <w:rsid w:val="001D510B"/>
    <w:rsid w:val="001D5147"/>
    <w:rsid w:val="001D5195"/>
    <w:rsid w:val="001D51D9"/>
    <w:rsid w:val="001D527B"/>
    <w:rsid w:val="001D532B"/>
    <w:rsid w:val="001D540A"/>
    <w:rsid w:val="001D540F"/>
    <w:rsid w:val="001D5437"/>
    <w:rsid w:val="001D54FD"/>
    <w:rsid w:val="001D5517"/>
    <w:rsid w:val="001D553F"/>
    <w:rsid w:val="001D5563"/>
    <w:rsid w:val="001D560C"/>
    <w:rsid w:val="001D58E4"/>
    <w:rsid w:val="001D5917"/>
    <w:rsid w:val="001D5A63"/>
    <w:rsid w:val="001D5A80"/>
    <w:rsid w:val="001D5C8E"/>
    <w:rsid w:val="001D5DAC"/>
    <w:rsid w:val="001D6003"/>
    <w:rsid w:val="001D6009"/>
    <w:rsid w:val="001D60D8"/>
    <w:rsid w:val="001D60F4"/>
    <w:rsid w:val="001D6171"/>
    <w:rsid w:val="001D6186"/>
    <w:rsid w:val="001D6268"/>
    <w:rsid w:val="001D6327"/>
    <w:rsid w:val="001D63ED"/>
    <w:rsid w:val="001D6569"/>
    <w:rsid w:val="001D6981"/>
    <w:rsid w:val="001D69AE"/>
    <w:rsid w:val="001D69C0"/>
    <w:rsid w:val="001D6D1F"/>
    <w:rsid w:val="001D6DEA"/>
    <w:rsid w:val="001D6E0F"/>
    <w:rsid w:val="001D6E1D"/>
    <w:rsid w:val="001D6EB3"/>
    <w:rsid w:val="001D6F34"/>
    <w:rsid w:val="001D6FAE"/>
    <w:rsid w:val="001D700D"/>
    <w:rsid w:val="001D71BC"/>
    <w:rsid w:val="001D7258"/>
    <w:rsid w:val="001D72D0"/>
    <w:rsid w:val="001D74AA"/>
    <w:rsid w:val="001D752F"/>
    <w:rsid w:val="001D7584"/>
    <w:rsid w:val="001D7742"/>
    <w:rsid w:val="001D7811"/>
    <w:rsid w:val="001D79C1"/>
    <w:rsid w:val="001D79C7"/>
    <w:rsid w:val="001D7AE0"/>
    <w:rsid w:val="001D7B05"/>
    <w:rsid w:val="001D7BB2"/>
    <w:rsid w:val="001D7C9E"/>
    <w:rsid w:val="001D7CD2"/>
    <w:rsid w:val="001D7D05"/>
    <w:rsid w:val="001D7D36"/>
    <w:rsid w:val="001D7D70"/>
    <w:rsid w:val="001D7DCA"/>
    <w:rsid w:val="001D7F2A"/>
    <w:rsid w:val="001D7F5C"/>
    <w:rsid w:val="001E01D6"/>
    <w:rsid w:val="001E027C"/>
    <w:rsid w:val="001E03D6"/>
    <w:rsid w:val="001E042C"/>
    <w:rsid w:val="001E06B6"/>
    <w:rsid w:val="001E0875"/>
    <w:rsid w:val="001E089D"/>
    <w:rsid w:val="001E097F"/>
    <w:rsid w:val="001E0A8A"/>
    <w:rsid w:val="001E0B21"/>
    <w:rsid w:val="001E0C2A"/>
    <w:rsid w:val="001E0C6E"/>
    <w:rsid w:val="001E0E2E"/>
    <w:rsid w:val="001E0ECD"/>
    <w:rsid w:val="001E104E"/>
    <w:rsid w:val="001E13A5"/>
    <w:rsid w:val="001E13A7"/>
    <w:rsid w:val="001E1426"/>
    <w:rsid w:val="001E146B"/>
    <w:rsid w:val="001E1487"/>
    <w:rsid w:val="001E162E"/>
    <w:rsid w:val="001E1705"/>
    <w:rsid w:val="001E17EB"/>
    <w:rsid w:val="001E1A5F"/>
    <w:rsid w:val="001E1B27"/>
    <w:rsid w:val="001E1D05"/>
    <w:rsid w:val="001E1D57"/>
    <w:rsid w:val="001E1FCE"/>
    <w:rsid w:val="001E2028"/>
    <w:rsid w:val="001E20A5"/>
    <w:rsid w:val="001E20C5"/>
    <w:rsid w:val="001E20E4"/>
    <w:rsid w:val="001E21C7"/>
    <w:rsid w:val="001E2246"/>
    <w:rsid w:val="001E236A"/>
    <w:rsid w:val="001E2381"/>
    <w:rsid w:val="001E239A"/>
    <w:rsid w:val="001E23FD"/>
    <w:rsid w:val="001E267A"/>
    <w:rsid w:val="001E26C4"/>
    <w:rsid w:val="001E26F3"/>
    <w:rsid w:val="001E2727"/>
    <w:rsid w:val="001E2758"/>
    <w:rsid w:val="001E2798"/>
    <w:rsid w:val="001E27F9"/>
    <w:rsid w:val="001E282B"/>
    <w:rsid w:val="001E2891"/>
    <w:rsid w:val="001E28F0"/>
    <w:rsid w:val="001E29AF"/>
    <w:rsid w:val="001E2B1D"/>
    <w:rsid w:val="001E2B26"/>
    <w:rsid w:val="001E2B66"/>
    <w:rsid w:val="001E2F9A"/>
    <w:rsid w:val="001E3009"/>
    <w:rsid w:val="001E3202"/>
    <w:rsid w:val="001E329D"/>
    <w:rsid w:val="001E32C1"/>
    <w:rsid w:val="001E32FD"/>
    <w:rsid w:val="001E336D"/>
    <w:rsid w:val="001E3380"/>
    <w:rsid w:val="001E339D"/>
    <w:rsid w:val="001E33C1"/>
    <w:rsid w:val="001E34D7"/>
    <w:rsid w:val="001E34E7"/>
    <w:rsid w:val="001E3552"/>
    <w:rsid w:val="001E370C"/>
    <w:rsid w:val="001E3AC9"/>
    <w:rsid w:val="001E3CE0"/>
    <w:rsid w:val="001E3D39"/>
    <w:rsid w:val="001E3DA3"/>
    <w:rsid w:val="001E3F82"/>
    <w:rsid w:val="001E40DE"/>
    <w:rsid w:val="001E4253"/>
    <w:rsid w:val="001E42DE"/>
    <w:rsid w:val="001E4395"/>
    <w:rsid w:val="001E4490"/>
    <w:rsid w:val="001E4684"/>
    <w:rsid w:val="001E46C6"/>
    <w:rsid w:val="001E46CC"/>
    <w:rsid w:val="001E4735"/>
    <w:rsid w:val="001E4740"/>
    <w:rsid w:val="001E48DC"/>
    <w:rsid w:val="001E49A3"/>
    <w:rsid w:val="001E4AE7"/>
    <w:rsid w:val="001E4AF9"/>
    <w:rsid w:val="001E4B3B"/>
    <w:rsid w:val="001E4BC1"/>
    <w:rsid w:val="001E4BED"/>
    <w:rsid w:val="001E4C5F"/>
    <w:rsid w:val="001E4FA5"/>
    <w:rsid w:val="001E514A"/>
    <w:rsid w:val="001E51BA"/>
    <w:rsid w:val="001E527E"/>
    <w:rsid w:val="001E5298"/>
    <w:rsid w:val="001E52CC"/>
    <w:rsid w:val="001E5437"/>
    <w:rsid w:val="001E54FB"/>
    <w:rsid w:val="001E557A"/>
    <w:rsid w:val="001E55AC"/>
    <w:rsid w:val="001E57C6"/>
    <w:rsid w:val="001E591A"/>
    <w:rsid w:val="001E5B03"/>
    <w:rsid w:val="001E5B81"/>
    <w:rsid w:val="001E5D8C"/>
    <w:rsid w:val="001E6197"/>
    <w:rsid w:val="001E6376"/>
    <w:rsid w:val="001E6380"/>
    <w:rsid w:val="001E64AD"/>
    <w:rsid w:val="001E64D2"/>
    <w:rsid w:val="001E65C1"/>
    <w:rsid w:val="001E65D6"/>
    <w:rsid w:val="001E66B7"/>
    <w:rsid w:val="001E68D7"/>
    <w:rsid w:val="001E6B17"/>
    <w:rsid w:val="001E6B2D"/>
    <w:rsid w:val="001E6B6D"/>
    <w:rsid w:val="001E6C16"/>
    <w:rsid w:val="001E6D4C"/>
    <w:rsid w:val="001E6DEC"/>
    <w:rsid w:val="001E6FAD"/>
    <w:rsid w:val="001E70D5"/>
    <w:rsid w:val="001E70FC"/>
    <w:rsid w:val="001E72C5"/>
    <w:rsid w:val="001E72F3"/>
    <w:rsid w:val="001E7329"/>
    <w:rsid w:val="001E741C"/>
    <w:rsid w:val="001E74B6"/>
    <w:rsid w:val="001E756B"/>
    <w:rsid w:val="001E75E1"/>
    <w:rsid w:val="001E77F7"/>
    <w:rsid w:val="001E78E3"/>
    <w:rsid w:val="001E792D"/>
    <w:rsid w:val="001E7BE3"/>
    <w:rsid w:val="001E7BF1"/>
    <w:rsid w:val="001E7C39"/>
    <w:rsid w:val="001E7C3B"/>
    <w:rsid w:val="001E7D51"/>
    <w:rsid w:val="001E7D7C"/>
    <w:rsid w:val="001E7F61"/>
    <w:rsid w:val="001E7FCD"/>
    <w:rsid w:val="001F0124"/>
    <w:rsid w:val="001F0130"/>
    <w:rsid w:val="001F02F6"/>
    <w:rsid w:val="001F0421"/>
    <w:rsid w:val="001F0446"/>
    <w:rsid w:val="001F0845"/>
    <w:rsid w:val="001F0BA1"/>
    <w:rsid w:val="001F0F88"/>
    <w:rsid w:val="001F10E2"/>
    <w:rsid w:val="001F11D8"/>
    <w:rsid w:val="001F11F2"/>
    <w:rsid w:val="001F122B"/>
    <w:rsid w:val="001F12EF"/>
    <w:rsid w:val="001F1338"/>
    <w:rsid w:val="001F136A"/>
    <w:rsid w:val="001F13C0"/>
    <w:rsid w:val="001F1558"/>
    <w:rsid w:val="001F15DB"/>
    <w:rsid w:val="001F1655"/>
    <w:rsid w:val="001F16C3"/>
    <w:rsid w:val="001F181A"/>
    <w:rsid w:val="001F18C9"/>
    <w:rsid w:val="001F1A43"/>
    <w:rsid w:val="001F1B1D"/>
    <w:rsid w:val="001F1BAF"/>
    <w:rsid w:val="001F1C3C"/>
    <w:rsid w:val="001F1C9F"/>
    <w:rsid w:val="001F205C"/>
    <w:rsid w:val="001F2134"/>
    <w:rsid w:val="001F21EC"/>
    <w:rsid w:val="001F23EA"/>
    <w:rsid w:val="001F2405"/>
    <w:rsid w:val="001F2612"/>
    <w:rsid w:val="001F267C"/>
    <w:rsid w:val="001F281E"/>
    <w:rsid w:val="001F29B2"/>
    <w:rsid w:val="001F2CCC"/>
    <w:rsid w:val="001F2D2A"/>
    <w:rsid w:val="001F2E32"/>
    <w:rsid w:val="001F2EE3"/>
    <w:rsid w:val="001F2F7A"/>
    <w:rsid w:val="001F3015"/>
    <w:rsid w:val="001F30B6"/>
    <w:rsid w:val="001F333F"/>
    <w:rsid w:val="001F33F2"/>
    <w:rsid w:val="001F359F"/>
    <w:rsid w:val="001F35AA"/>
    <w:rsid w:val="001F3742"/>
    <w:rsid w:val="001F37FC"/>
    <w:rsid w:val="001F3868"/>
    <w:rsid w:val="001F3881"/>
    <w:rsid w:val="001F39A0"/>
    <w:rsid w:val="001F39B8"/>
    <w:rsid w:val="001F3C58"/>
    <w:rsid w:val="001F3C5E"/>
    <w:rsid w:val="001F3C83"/>
    <w:rsid w:val="001F3D68"/>
    <w:rsid w:val="001F3E2E"/>
    <w:rsid w:val="001F3F03"/>
    <w:rsid w:val="001F400F"/>
    <w:rsid w:val="001F42C1"/>
    <w:rsid w:val="001F443F"/>
    <w:rsid w:val="001F44CC"/>
    <w:rsid w:val="001F44E1"/>
    <w:rsid w:val="001F4624"/>
    <w:rsid w:val="001F4633"/>
    <w:rsid w:val="001F4645"/>
    <w:rsid w:val="001F48A0"/>
    <w:rsid w:val="001F4946"/>
    <w:rsid w:val="001F4B18"/>
    <w:rsid w:val="001F4EC6"/>
    <w:rsid w:val="001F4F05"/>
    <w:rsid w:val="001F4F42"/>
    <w:rsid w:val="001F52A5"/>
    <w:rsid w:val="001F52F1"/>
    <w:rsid w:val="001F533A"/>
    <w:rsid w:val="001F5459"/>
    <w:rsid w:val="001F54F3"/>
    <w:rsid w:val="001F56B8"/>
    <w:rsid w:val="001F56E1"/>
    <w:rsid w:val="001F5792"/>
    <w:rsid w:val="001F57D5"/>
    <w:rsid w:val="001F57E6"/>
    <w:rsid w:val="001F5835"/>
    <w:rsid w:val="001F584D"/>
    <w:rsid w:val="001F5932"/>
    <w:rsid w:val="001F5977"/>
    <w:rsid w:val="001F59F1"/>
    <w:rsid w:val="001F5BF1"/>
    <w:rsid w:val="001F5CEA"/>
    <w:rsid w:val="001F5FE6"/>
    <w:rsid w:val="001F6007"/>
    <w:rsid w:val="001F617E"/>
    <w:rsid w:val="001F6204"/>
    <w:rsid w:val="001F6397"/>
    <w:rsid w:val="001F643F"/>
    <w:rsid w:val="001F6514"/>
    <w:rsid w:val="001F65E8"/>
    <w:rsid w:val="001F66E0"/>
    <w:rsid w:val="001F6896"/>
    <w:rsid w:val="001F68CA"/>
    <w:rsid w:val="001F68E4"/>
    <w:rsid w:val="001F6BAD"/>
    <w:rsid w:val="001F6CC3"/>
    <w:rsid w:val="001F6D35"/>
    <w:rsid w:val="001F6DE7"/>
    <w:rsid w:val="001F6EC1"/>
    <w:rsid w:val="001F7380"/>
    <w:rsid w:val="001F7418"/>
    <w:rsid w:val="001F74F5"/>
    <w:rsid w:val="001F752F"/>
    <w:rsid w:val="001F7543"/>
    <w:rsid w:val="001F7556"/>
    <w:rsid w:val="001F762C"/>
    <w:rsid w:val="001F7871"/>
    <w:rsid w:val="001F79C0"/>
    <w:rsid w:val="001F7A51"/>
    <w:rsid w:val="001F7AEB"/>
    <w:rsid w:val="001F7DA0"/>
    <w:rsid w:val="001F7DF1"/>
    <w:rsid w:val="001F7E56"/>
    <w:rsid w:val="001F7F23"/>
    <w:rsid w:val="001F7FF0"/>
    <w:rsid w:val="00200024"/>
    <w:rsid w:val="0020005E"/>
    <w:rsid w:val="0020017E"/>
    <w:rsid w:val="00200188"/>
    <w:rsid w:val="002005A1"/>
    <w:rsid w:val="002005FF"/>
    <w:rsid w:val="0020060E"/>
    <w:rsid w:val="00200A09"/>
    <w:rsid w:val="00200ABA"/>
    <w:rsid w:val="00200D5A"/>
    <w:rsid w:val="00200D86"/>
    <w:rsid w:val="00200E73"/>
    <w:rsid w:val="00200EF3"/>
    <w:rsid w:val="00200F15"/>
    <w:rsid w:val="00200F69"/>
    <w:rsid w:val="00201048"/>
    <w:rsid w:val="00201403"/>
    <w:rsid w:val="0020147F"/>
    <w:rsid w:val="002015EA"/>
    <w:rsid w:val="0020190B"/>
    <w:rsid w:val="00201930"/>
    <w:rsid w:val="00201E80"/>
    <w:rsid w:val="00201EC9"/>
    <w:rsid w:val="00201F54"/>
    <w:rsid w:val="00202140"/>
    <w:rsid w:val="00202175"/>
    <w:rsid w:val="00202295"/>
    <w:rsid w:val="00202670"/>
    <w:rsid w:val="002026BB"/>
    <w:rsid w:val="002027D8"/>
    <w:rsid w:val="00202983"/>
    <w:rsid w:val="00202A95"/>
    <w:rsid w:val="00202BC2"/>
    <w:rsid w:val="00202BF0"/>
    <w:rsid w:val="00202C13"/>
    <w:rsid w:val="00202D2B"/>
    <w:rsid w:val="00202D44"/>
    <w:rsid w:val="00202E6C"/>
    <w:rsid w:val="00202EF4"/>
    <w:rsid w:val="00202F64"/>
    <w:rsid w:val="00202FA1"/>
    <w:rsid w:val="00203157"/>
    <w:rsid w:val="00203211"/>
    <w:rsid w:val="002032DD"/>
    <w:rsid w:val="002034D2"/>
    <w:rsid w:val="0020354F"/>
    <w:rsid w:val="0020363D"/>
    <w:rsid w:val="0020373F"/>
    <w:rsid w:val="00203866"/>
    <w:rsid w:val="0020394B"/>
    <w:rsid w:val="00203AAC"/>
    <w:rsid w:val="00203B43"/>
    <w:rsid w:val="00203BA8"/>
    <w:rsid w:val="00203BAE"/>
    <w:rsid w:val="00203CDA"/>
    <w:rsid w:val="00203D20"/>
    <w:rsid w:val="00204008"/>
    <w:rsid w:val="00204590"/>
    <w:rsid w:val="00204631"/>
    <w:rsid w:val="0020469B"/>
    <w:rsid w:val="002048EC"/>
    <w:rsid w:val="00204950"/>
    <w:rsid w:val="002049A1"/>
    <w:rsid w:val="00204B14"/>
    <w:rsid w:val="00204CCE"/>
    <w:rsid w:val="00204DE0"/>
    <w:rsid w:val="00204EF6"/>
    <w:rsid w:val="00204EF8"/>
    <w:rsid w:val="0020504E"/>
    <w:rsid w:val="0020513C"/>
    <w:rsid w:val="00205241"/>
    <w:rsid w:val="002054BC"/>
    <w:rsid w:val="002055A9"/>
    <w:rsid w:val="002057CC"/>
    <w:rsid w:val="002058CD"/>
    <w:rsid w:val="00205C50"/>
    <w:rsid w:val="00205DC6"/>
    <w:rsid w:val="00205F9A"/>
    <w:rsid w:val="00206121"/>
    <w:rsid w:val="0020619C"/>
    <w:rsid w:val="002062D2"/>
    <w:rsid w:val="0020636A"/>
    <w:rsid w:val="002064D6"/>
    <w:rsid w:val="002064DE"/>
    <w:rsid w:val="00206582"/>
    <w:rsid w:val="0020665A"/>
    <w:rsid w:val="002066F1"/>
    <w:rsid w:val="002068B1"/>
    <w:rsid w:val="0020694C"/>
    <w:rsid w:val="002069F0"/>
    <w:rsid w:val="00206B87"/>
    <w:rsid w:val="00206BEB"/>
    <w:rsid w:val="00206C32"/>
    <w:rsid w:val="00206CA9"/>
    <w:rsid w:val="00206FEA"/>
    <w:rsid w:val="002070E9"/>
    <w:rsid w:val="0020720B"/>
    <w:rsid w:val="0020745B"/>
    <w:rsid w:val="00207528"/>
    <w:rsid w:val="0020758E"/>
    <w:rsid w:val="00207730"/>
    <w:rsid w:val="002077FD"/>
    <w:rsid w:val="00207872"/>
    <w:rsid w:val="00207908"/>
    <w:rsid w:val="00207B11"/>
    <w:rsid w:val="00207B73"/>
    <w:rsid w:val="00207BB8"/>
    <w:rsid w:val="00207C08"/>
    <w:rsid w:val="00207E03"/>
    <w:rsid w:val="00207E58"/>
    <w:rsid w:val="00207E7C"/>
    <w:rsid w:val="00207F5F"/>
    <w:rsid w:val="0021003B"/>
    <w:rsid w:val="00210094"/>
    <w:rsid w:val="00210101"/>
    <w:rsid w:val="0021019F"/>
    <w:rsid w:val="002102BB"/>
    <w:rsid w:val="0021057B"/>
    <w:rsid w:val="00210898"/>
    <w:rsid w:val="00210920"/>
    <w:rsid w:val="002109D5"/>
    <w:rsid w:val="00210B9F"/>
    <w:rsid w:val="00210C01"/>
    <w:rsid w:val="00210C25"/>
    <w:rsid w:val="00210D54"/>
    <w:rsid w:val="00210DA5"/>
    <w:rsid w:val="00210DFE"/>
    <w:rsid w:val="00210EB7"/>
    <w:rsid w:val="0021100E"/>
    <w:rsid w:val="00211101"/>
    <w:rsid w:val="00211450"/>
    <w:rsid w:val="00211566"/>
    <w:rsid w:val="00211596"/>
    <w:rsid w:val="002115F4"/>
    <w:rsid w:val="00211B45"/>
    <w:rsid w:val="00211B7D"/>
    <w:rsid w:val="00211C36"/>
    <w:rsid w:val="00211E42"/>
    <w:rsid w:val="00211FB4"/>
    <w:rsid w:val="002121C3"/>
    <w:rsid w:val="002121EF"/>
    <w:rsid w:val="00212272"/>
    <w:rsid w:val="00212352"/>
    <w:rsid w:val="00212433"/>
    <w:rsid w:val="00212675"/>
    <w:rsid w:val="0021268C"/>
    <w:rsid w:val="0021281F"/>
    <w:rsid w:val="0021295F"/>
    <w:rsid w:val="00212A4D"/>
    <w:rsid w:val="00212AB9"/>
    <w:rsid w:val="00212B6A"/>
    <w:rsid w:val="00212B78"/>
    <w:rsid w:val="00212C9C"/>
    <w:rsid w:val="00212CC0"/>
    <w:rsid w:val="00212F79"/>
    <w:rsid w:val="0021345D"/>
    <w:rsid w:val="002136BD"/>
    <w:rsid w:val="002137B0"/>
    <w:rsid w:val="00213925"/>
    <w:rsid w:val="00213ABC"/>
    <w:rsid w:val="00213B92"/>
    <w:rsid w:val="00213C87"/>
    <w:rsid w:val="00213DA6"/>
    <w:rsid w:val="0021409A"/>
    <w:rsid w:val="002140A7"/>
    <w:rsid w:val="00214189"/>
    <w:rsid w:val="002142A3"/>
    <w:rsid w:val="002142ED"/>
    <w:rsid w:val="0021434F"/>
    <w:rsid w:val="002143C7"/>
    <w:rsid w:val="002144C1"/>
    <w:rsid w:val="002144D4"/>
    <w:rsid w:val="002144FE"/>
    <w:rsid w:val="00214532"/>
    <w:rsid w:val="002146E3"/>
    <w:rsid w:val="00214922"/>
    <w:rsid w:val="00214993"/>
    <w:rsid w:val="00214B0D"/>
    <w:rsid w:val="00214B69"/>
    <w:rsid w:val="00214C6F"/>
    <w:rsid w:val="00214F58"/>
    <w:rsid w:val="00215045"/>
    <w:rsid w:val="002150BD"/>
    <w:rsid w:val="00215168"/>
    <w:rsid w:val="002152FA"/>
    <w:rsid w:val="0021533A"/>
    <w:rsid w:val="0021546F"/>
    <w:rsid w:val="002158AB"/>
    <w:rsid w:val="00215963"/>
    <w:rsid w:val="002159D3"/>
    <w:rsid w:val="00215B05"/>
    <w:rsid w:val="00215BB9"/>
    <w:rsid w:val="00215BBF"/>
    <w:rsid w:val="00215D40"/>
    <w:rsid w:val="00215DCD"/>
    <w:rsid w:val="00215F12"/>
    <w:rsid w:val="00215F30"/>
    <w:rsid w:val="002160A6"/>
    <w:rsid w:val="002162D4"/>
    <w:rsid w:val="0021632D"/>
    <w:rsid w:val="00216382"/>
    <w:rsid w:val="002163E7"/>
    <w:rsid w:val="00216432"/>
    <w:rsid w:val="00216651"/>
    <w:rsid w:val="0021677E"/>
    <w:rsid w:val="00216850"/>
    <w:rsid w:val="00216909"/>
    <w:rsid w:val="00216AD7"/>
    <w:rsid w:val="00216C36"/>
    <w:rsid w:val="00216CAF"/>
    <w:rsid w:val="00216CD5"/>
    <w:rsid w:val="00216CF0"/>
    <w:rsid w:val="00216D4B"/>
    <w:rsid w:val="00216F41"/>
    <w:rsid w:val="00216FCD"/>
    <w:rsid w:val="00217041"/>
    <w:rsid w:val="00217060"/>
    <w:rsid w:val="002171BC"/>
    <w:rsid w:val="00217216"/>
    <w:rsid w:val="00217429"/>
    <w:rsid w:val="002174D0"/>
    <w:rsid w:val="002176EC"/>
    <w:rsid w:val="002176F0"/>
    <w:rsid w:val="00217815"/>
    <w:rsid w:val="0021790E"/>
    <w:rsid w:val="00217AD4"/>
    <w:rsid w:val="00217BFC"/>
    <w:rsid w:val="00217E14"/>
    <w:rsid w:val="00217E7C"/>
    <w:rsid w:val="00217F9B"/>
    <w:rsid w:val="00220119"/>
    <w:rsid w:val="00220272"/>
    <w:rsid w:val="00220276"/>
    <w:rsid w:val="00220354"/>
    <w:rsid w:val="002204FB"/>
    <w:rsid w:val="00220531"/>
    <w:rsid w:val="002206B9"/>
    <w:rsid w:val="002206F2"/>
    <w:rsid w:val="0022070A"/>
    <w:rsid w:val="0022073D"/>
    <w:rsid w:val="00220789"/>
    <w:rsid w:val="002208B9"/>
    <w:rsid w:val="002209E3"/>
    <w:rsid w:val="00220A96"/>
    <w:rsid w:val="00220BC8"/>
    <w:rsid w:val="00220C58"/>
    <w:rsid w:val="00220E53"/>
    <w:rsid w:val="00220E58"/>
    <w:rsid w:val="00220E60"/>
    <w:rsid w:val="00220FC2"/>
    <w:rsid w:val="00221042"/>
    <w:rsid w:val="0022105E"/>
    <w:rsid w:val="002211CC"/>
    <w:rsid w:val="0022152C"/>
    <w:rsid w:val="00221665"/>
    <w:rsid w:val="002216F1"/>
    <w:rsid w:val="002218C6"/>
    <w:rsid w:val="00221AD9"/>
    <w:rsid w:val="00221C84"/>
    <w:rsid w:val="00221E03"/>
    <w:rsid w:val="00221EC0"/>
    <w:rsid w:val="00222140"/>
    <w:rsid w:val="00222464"/>
    <w:rsid w:val="002224BE"/>
    <w:rsid w:val="002224E4"/>
    <w:rsid w:val="00222578"/>
    <w:rsid w:val="0022265D"/>
    <w:rsid w:val="0022269C"/>
    <w:rsid w:val="00222717"/>
    <w:rsid w:val="0022287C"/>
    <w:rsid w:val="00222B4E"/>
    <w:rsid w:val="00222F2E"/>
    <w:rsid w:val="0022310D"/>
    <w:rsid w:val="00223249"/>
    <w:rsid w:val="00223312"/>
    <w:rsid w:val="00223370"/>
    <w:rsid w:val="0022340D"/>
    <w:rsid w:val="002234EC"/>
    <w:rsid w:val="00223555"/>
    <w:rsid w:val="00223AF7"/>
    <w:rsid w:val="00223B67"/>
    <w:rsid w:val="00223C2A"/>
    <w:rsid w:val="00223D84"/>
    <w:rsid w:val="00223DE9"/>
    <w:rsid w:val="00224061"/>
    <w:rsid w:val="002240AF"/>
    <w:rsid w:val="002241D2"/>
    <w:rsid w:val="002242AB"/>
    <w:rsid w:val="00224584"/>
    <w:rsid w:val="002246AA"/>
    <w:rsid w:val="00224701"/>
    <w:rsid w:val="002249E5"/>
    <w:rsid w:val="00224ABB"/>
    <w:rsid w:val="00224AF6"/>
    <w:rsid w:val="00224CB5"/>
    <w:rsid w:val="00224D31"/>
    <w:rsid w:val="00224D3D"/>
    <w:rsid w:val="00224EE9"/>
    <w:rsid w:val="002250C8"/>
    <w:rsid w:val="002250CC"/>
    <w:rsid w:val="0022516A"/>
    <w:rsid w:val="0022517A"/>
    <w:rsid w:val="002252B0"/>
    <w:rsid w:val="00225561"/>
    <w:rsid w:val="0022569E"/>
    <w:rsid w:val="002256D1"/>
    <w:rsid w:val="00225BDE"/>
    <w:rsid w:val="00225C96"/>
    <w:rsid w:val="00225CA6"/>
    <w:rsid w:val="00225FFC"/>
    <w:rsid w:val="00226131"/>
    <w:rsid w:val="002261B0"/>
    <w:rsid w:val="002261BC"/>
    <w:rsid w:val="002262EB"/>
    <w:rsid w:val="002263C5"/>
    <w:rsid w:val="00226506"/>
    <w:rsid w:val="0022652E"/>
    <w:rsid w:val="00226661"/>
    <w:rsid w:val="002267B6"/>
    <w:rsid w:val="00226AF4"/>
    <w:rsid w:val="00226B82"/>
    <w:rsid w:val="00226BA8"/>
    <w:rsid w:val="00226DF2"/>
    <w:rsid w:val="00226DFA"/>
    <w:rsid w:val="00226F65"/>
    <w:rsid w:val="0022704F"/>
    <w:rsid w:val="002271F3"/>
    <w:rsid w:val="00227320"/>
    <w:rsid w:val="00227365"/>
    <w:rsid w:val="0022755F"/>
    <w:rsid w:val="00227732"/>
    <w:rsid w:val="00227818"/>
    <w:rsid w:val="002278A5"/>
    <w:rsid w:val="002278BF"/>
    <w:rsid w:val="002279FB"/>
    <w:rsid w:val="00227B01"/>
    <w:rsid w:val="00227EAE"/>
    <w:rsid w:val="00227ED2"/>
    <w:rsid w:val="00227EE5"/>
    <w:rsid w:val="002302C9"/>
    <w:rsid w:val="00230401"/>
    <w:rsid w:val="00230423"/>
    <w:rsid w:val="002304A4"/>
    <w:rsid w:val="002305EA"/>
    <w:rsid w:val="00230938"/>
    <w:rsid w:val="00230941"/>
    <w:rsid w:val="00230B5F"/>
    <w:rsid w:val="00230BED"/>
    <w:rsid w:val="00230C7D"/>
    <w:rsid w:val="00230D83"/>
    <w:rsid w:val="00230EAB"/>
    <w:rsid w:val="00230FE7"/>
    <w:rsid w:val="002311A7"/>
    <w:rsid w:val="0023123A"/>
    <w:rsid w:val="0023136A"/>
    <w:rsid w:val="00231417"/>
    <w:rsid w:val="002315B3"/>
    <w:rsid w:val="00231787"/>
    <w:rsid w:val="002317B3"/>
    <w:rsid w:val="00231837"/>
    <w:rsid w:val="00231854"/>
    <w:rsid w:val="00231867"/>
    <w:rsid w:val="0023190E"/>
    <w:rsid w:val="00231A41"/>
    <w:rsid w:val="00231AC3"/>
    <w:rsid w:val="00231AD1"/>
    <w:rsid w:val="00231D39"/>
    <w:rsid w:val="00231F47"/>
    <w:rsid w:val="00232428"/>
    <w:rsid w:val="00232532"/>
    <w:rsid w:val="00232597"/>
    <w:rsid w:val="002325C6"/>
    <w:rsid w:val="002325F2"/>
    <w:rsid w:val="002326D3"/>
    <w:rsid w:val="00232715"/>
    <w:rsid w:val="0023288B"/>
    <w:rsid w:val="00232B11"/>
    <w:rsid w:val="00232B5C"/>
    <w:rsid w:val="00232C72"/>
    <w:rsid w:val="00232CAE"/>
    <w:rsid w:val="00232D69"/>
    <w:rsid w:val="00232D74"/>
    <w:rsid w:val="00232EB9"/>
    <w:rsid w:val="00232F60"/>
    <w:rsid w:val="002331DF"/>
    <w:rsid w:val="00233247"/>
    <w:rsid w:val="00233299"/>
    <w:rsid w:val="00233490"/>
    <w:rsid w:val="002334BF"/>
    <w:rsid w:val="002334D3"/>
    <w:rsid w:val="002334EA"/>
    <w:rsid w:val="00233622"/>
    <w:rsid w:val="00233634"/>
    <w:rsid w:val="0023371B"/>
    <w:rsid w:val="002337AB"/>
    <w:rsid w:val="00233807"/>
    <w:rsid w:val="0023386D"/>
    <w:rsid w:val="00233911"/>
    <w:rsid w:val="002339A8"/>
    <w:rsid w:val="00233C33"/>
    <w:rsid w:val="00233D1B"/>
    <w:rsid w:val="00233F30"/>
    <w:rsid w:val="00234007"/>
    <w:rsid w:val="002340B1"/>
    <w:rsid w:val="00234258"/>
    <w:rsid w:val="00234372"/>
    <w:rsid w:val="0023440E"/>
    <w:rsid w:val="002344F5"/>
    <w:rsid w:val="00234661"/>
    <w:rsid w:val="0023470A"/>
    <w:rsid w:val="002348B2"/>
    <w:rsid w:val="002348C9"/>
    <w:rsid w:val="002349CB"/>
    <w:rsid w:val="00234B67"/>
    <w:rsid w:val="00234D42"/>
    <w:rsid w:val="00234E37"/>
    <w:rsid w:val="00234EA1"/>
    <w:rsid w:val="00234FC2"/>
    <w:rsid w:val="00234FFA"/>
    <w:rsid w:val="0023504A"/>
    <w:rsid w:val="002350B9"/>
    <w:rsid w:val="002350F4"/>
    <w:rsid w:val="00235144"/>
    <w:rsid w:val="002352EE"/>
    <w:rsid w:val="00235320"/>
    <w:rsid w:val="00235358"/>
    <w:rsid w:val="002353C1"/>
    <w:rsid w:val="0023547E"/>
    <w:rsid w:val="00235481"/>
    <w:rsid w:val="002354AB"/>
    <w:rsid w:val="002355BB"/>
    <w:rsid w:val="00235676"/>
    <w:rsid w:val="0023568F"/>
    <w:rsid w:val="00235818"/>
    <w:rsid w:val="002358CE"/>
    <w:rsid w:val="00235953"/>
    <w:rsid w:val="00235963"/>
    <w:rsid w:val="00235AD4"/>
    <w:rsid w:val="00235BA0"/>
    <w:rsid w:val="00235C04"/>
    <w:rsid w:val="00235EDF"/>
    <w:rsid w:val="00235FE5"/>
    <w:rsid w:val="00235FF8"/>
    <w:rsid w:val="0023621F"/>
    <w:rsid w:val="0023622D"/>
    <w:rsid w:val="002362F3"/>
    <w:rsid w:val="00236354"/>
    <w:rsid w:val="0023654F"/>
    <w:rsid w:val="0023663B"/>
    <w:rsid w:val="00236AFC"/>
    <w:rsid w:val="00236C3D"/>
    <w:rsid w:val="00236DEC"/>
    <w:rsid w:val="00236E40"/>
    <w:rsid w:val="0023716A"/>
    <w:rsid w:val="0023717F"/>
    <w:rsid w:val="002372CC"/>
    <w:rsid w:val="002372DE"/>
    <w:rsid w:val="00237416"/>
    <w:rsid w:val="0023746C"/>
    <w:rsid w:val="002376C1"/>
    <w:rsid w:val="00237714"/>
    <w:rsid w:val="00237759"/>
    <w:rsid w:val="0023780E"/>
    <w:rsid w:val="0023783D"/>
    <w:rsid w:val="0023797F"/>
    <w:rsid w:val="00237C56"/>
    <w:rsid w:val="00237DD8"/>
    <w:rsid w:val="00237EEF"/>
    <w:rsid w:val="00237F14"/>
    <w:rsid w:val="00240442"/>
    <w:rsid w:val="00240538"/>
    <w:rsid w:val="0024060E"/>
    <w:rsid w:val="0024082F"/>
    <w:rsid w:val="00240848"/>
    <w:rsid w:val="002408A3"/>
    <w:rsid w:val="00240B46"/>
    <w:rsid w:val="00240B64"/>
    <w:rsid w:val="00240D8C"/>
    <w:rsid w:val="00240F5F"/>
    <w:rsid w:val="00240FBD"/>
    <w:rsid w:val="00240FC4"/>
    <w:rsid w:val="0024104B"/>
    <w:rsid w:val="002410E2"/>
    <w:rsid w:val="00241164"/>
    <w:rsid w:val="0024120B"/>
    <w:rsid w:val="0024144C"/>
    <w:rsid w:val="002415A0"/>
    <w:rsid w:val="0024170A"/>
    <w:rsid w:val="002417CC"/>
    <w:rsid w:val="002417EB"/>
    <w:rsid w:val="0024184A"/>
    <w:rsid w:val="002418BF"/>
    <w:rsid w:val="00241C60"/>
    <w:rsid w:val="00241CD6"/>
    <w:rsid w:val="00241F00"/>
    <w:rsid w:val="00242165"/>
    <w:rsid w:val="00242209"/>
    <w:rsid w:val="00242238"/>
    <w:rsid w:val="0024224F"/>
    <w:rsid w:val="0024244D"/>
    <w:rsid w:val="0024257E"/>
    <w:rsid w:val="00242695"/>
    <w:rsid w:val="00242897"/>
    <w:rsid w:val="00242912"/>
    <w:rsid w:val="002429DB"/>
    <w:rsid w:val="00242D0F"/>
    <w:rsid w:val="00242DDF"/>
    <w:rsid w:val="00242E7B"/>
    <w:rsid w:val="00243077"/>
    <w:rsid w:val="00243142"/>
    <w:rsid w:val="002431A0"/>
    <w:rsid w:val="002431DD"/>
    <w:rsid w:val="00243252"/>
    <w:rsid w:val="00243267"/>
    <w:rsid w:val="0024329F"/>
    <w:rsid w:val="002432B6"/>
    <w:rsid w:val="002432E8"/>
    <w:rsid w:val="002433F8"/>
    <w:rsid w:val="00243515"/>
    <w:rsid w:val="0024352E"/>
    <w:rsid w:val="002435CD"/>
    <w:rsid w:val="002436C0"/>
    <w:rsid w:val="0024373E"/>
    <w:rsid w:val="00243755"/>
    <w:rsid w:val="0024378A"/>
    <w:rsid w:val="002437EF"/>
    <w:rsid w:val="002439B1"/>
    <w:rsid w:val="00243A1D"/>
    <w:rsid w:val="00243AEA"/>
    <w:rsid w:val="00243C2C"/>
    <w:rsid w:val="00243D81"/>
    <w:rsid w:val="00243DC0"/>
    <w:rsid w:val="00243E3B"/>
    <w:rsid w:val="00243F21"/>
    <w:rsid w:val="00243FF7"/>
    <w:rsid w:val="0024403D"/>
    <w:rsid w:val="0024406A"/>
    <w:rsid w:val="0024419C"/>
    <w:rsid w:val="00244461"/>
    <w:rsid w:val="0024470D"/>
    <w:rsid w:val="00244750"/>
    <w:rsid w:val="00244753"/>
    <w:rsid w:val="002447BC"/>
    <w:rsid w:val="002449A9"/>
    <w:rsid w:val="00244A7E"/>
    <w:rsid w:val="00244AAB"/>
    <w:rsid w:val="00244BEE"/>
    <w:rsid w:val="00244DCC"/>
    <w:rsid w:val="00244F9D"/>
    <w:rsid w:val="00245035"/>
    <w:rsid w:val="0024507E"/>
    <w:rsid w:val="002453B5"/>
    <w:rsid w:val="0024541F"/>
    <w:rsid w:val="002454BA"/>
    <w:rsid w:val="0024578B"/>
    <w:rsid w:val="00245B1C"/>
    <w:rsid w:val="00245B20"/>
    <w:rsid w:val="00245B26"/>
    <w:rsid w:val="00245C11"/>
    <w:rsid w:val="00245C4B"/>
    <w:rsid w:val="00245CDC"/>
    <w:rsid w:val="00245D29"/>
    <w:rsid w:val="00245DE0"/>
    <w:rsid w:val="00245E51"/>
    <w:rsid w:val="00245F8B"/>
    <w:rsid w:val="00246007"/>
    <w:rsid w:val="002460B2"/>
    <w:rsid w:val="002460E0"/>
    <w:rsid w:val="00246218"/>
    <w:rsid w:val="002462E9"/>
    <w:rsid w:val="00246335"/>
    <w:rsid w:val="0024643C"/>
    <w:rsid w:val="00246479"/>
    <w:rsid w:val="0024665C"/>
    <w:rsid w:val="00246849"/>
    <w:rsid w:val="00246926"/>
    <w:rsid w:val="0024693E"/>
    <w:rsid w:val="002469B7"/>
    <w:rsid w:val="00246AB0"/>
    <w:rsid w:val="00246BAC"/>
    <w:rsid w:val="00246C45"/>
    <w:rsid w:val="00246EAD"/>
    <w:rsid w:val="00246EDA"/>
    <w:rsid w:val="0024703B"/>
    <w:rsid w:val="002470B0"/>
    <w:rsid w:val="00247243"/>
    <w:rsid w:val="0024725B"/>
    <w:rsid w:val="00247268"/>
    <w:rsid w:val="00247316"/>
    <w:rsid w:val="00247333"/>
    <w:rsid w:val="00247574"/>
    <w:rsid w:val="00247602"/>
    <w:rsid w:val="00247633"/>
    <w:rsid w:val="00247772"/>
    <w:rsid w:val="002477FB"/>
    <w:rsid w:val="00247BD4"/>
    <w:rsid w:val="00247D79"/>
    <w:rsid w:val="00247F5B"/>
    <w:rsid w:val="00250097"/>
    <w:rsid w:val="00250338"/>
    <w:rsid w:val="002503E4"/>
    <w:rsid w:val="00250445"/>
    <w:rsid w:val="00250461"/>
    <w:rsid w:val="002504A7"/>
    <w:rsid w:val="002504AB"/>
    <w:rsid w:val="002505AD"/>
    <w:rsid w:val="002507FC"/>
    <w:rsid w:val="002508BC"/>
    <w:rsid w:val="002508CE"/>
    <w:rsid w:val="002509C6"/>
    <w:rsid w:val="00250A43"/>
    <w:rsid w:val="00250AEA"/>
    <w:rsid w:val="00250C46"/>
    <w:rsid w:val="00250C63"/>
    <w:rsid w:val="00250EDC"/>
    <w:rsid w:val="00250FB5"/>
    <w:rsid w:val="00250FEE"/>
    <w:rsid w:val="00251100"/>
    <w:rsid w:val="00251191"/>
    <w:rsid w:val="002511B9"/>
    <w:rsid w:val="0025133E"/>
    <w:rsid w:val="00251541"/>
    <w:rsid w:val="002516B1"/>
    <w:rsid w:val="00251771"/>
    <w:rsid w:val="00251880"/>
    <w:rsid w:val="00251991"/>
    <w:rsid w:val="00251AC6"/>
    <w:rsid w:val="00251BE0"/>
    <w:rsid w:val="0025202F"/>
    <w:rsid w:val="00252035"/>
    <w:rsid w:val="00252110"/>
    <w:rsid w:val="00252358"/>
    <w:rsid w:val="00252566"/>
    <w:rsid w:val="00252769"/>
    <w:rsid w:val="00252870"/>
    <w:rsid w:val="0025289C"/>
    <w:rsid w:val="002528EA"/>
    <w:rsid w:val="002528F5"/>
    <w:rsid w:val="00252B4C"/>
    <w:rsid w:val="00252CAB"/>
    <w:rsid w:val="00252CBB"/>
    <w:rsid w:val="00252DC0"/>
    <w:rsid w:val="00252F0E"/>
    <w:rsid w:val="00253116"/>
    <w:rsid w:val="002531A0"/>
    <w:rsid w:val="002532E7"/>
    <w:rsid w:val="002533F4"/>
    <w:rsid w:val="00253672"/>
    <w:rsid w:val="00253AC2"/>
    <w:rsid w:val="00253BAA"/>
    <w:rsid w:val="00253C56"/>
    <w:rsid w:val="00253D0E"/>
    <w:rsid w:val="00253ECD"/>
    <w:rsid w:val="00253F63"/>
    <w:rsid w:val="00253F85"/>
    <w:rsid w:val="00254033"/>
    <w:rsid w:val="00254055"/>
    <w:rsid w:val="002540E9"/>
    <w:rsid w:val="002541E0"/>
    <w:rsid w:val="00254412"/>
    <w:rsid w:val="002544B7"/>
    <w:rsid w:val="002544E7"/>
    <w:rsid w:val="0025454A"/>
    <w:rsid w:val="002545E2"/>
    <w:rsid w:val="00254632"/>
    <w:rsid w:val="002547A0"/>
    <w:rsid w:val="0025484A"/>
    <w:rsid w:val="00254877"/>
    <w:rsid w:val="00254AE3"/>
    <w:rsid w:val="00254B64"/>
    <w:rsid w:val="00254C77"/>
    <w:rsid w:val="00254D42"/>
    <w:rsid w:val="00254D79"/>
    <w:rsid w:val="00254E03"/>
    <w:rsid w:val="00254E9F"/>
    <w:rsid w:val="00254F44"/>
    <w:rsid w:val="00254FAB"/>
    <w:rsid w:val="00254FE6"/>
    <w:rsid w:val="002550CD"/>
    <w:rsid w:val="002550CE"/>
    <w:rsid w:val="0025513D"/>
    <w:rsid w:val="002552DD"/>
    <w:rsid w:val="002553A8"/>
    <w:rsid w:val="0025540C"/>
    <w:rsid w:val="00255476"/>
    <w:rsid w:val="00255557"/>
    <w:rsid w:val="002555B1"/>
    <w:rsid w:val="002558A1"/>
    <w:rsid w:val="002559A0"/>
    <w:rsid w:val="00255B7C"/>
    <w:rsid w:val="00255BC6"/>
    <w:rsid w:val="00255BC7"/>
    <w:rsid w:val="00255CB1"/>
    <w:rsid w:val="00255EBE"/>
    <w:rsid w:val="00255ECE"/>
    <w:rsid w:val="00255FDE"/>
    <w:rsid w:val="00256169"/>
    <w:rsid w:val="00256207"/>
    <w:rsid w:val="0025661B"/>
    <w:rsid w:val="0025661E"/>
    <w:rsid w:val="00256651"/>
    <w:rsid w:val="00256ADA"/>
    <w:rsid w:val="00256B21"/>
    <w:rsid w:val="00256B89"/>
    <w:rsid w:val="00256BE0"/>
    <w:rsid w:val="00256CAD"/>
    <w:rsid w:val="00256CDE"/>
    <w:rsid w:val="00256CF0"/>
    <w:rsid w:val="00256F87"/>
    <w:rsid w:val="002571A3"/>
    <w:rsid w:val="002571F7"/>
    <w:rsid w:val="0025728A"/>
    <w:rsid w:val="0025730B"/>
    <w:rsid w:val="002574B2"/>
    <w:rsid w:val="00257603"/>
    <w:rsid w:val="002578AF"/>
    <w:rsid w:val="002579E8"/>
    <w:rsid w:val="00257A6F"/>
    <w:rsid w:val="00257B69"/>
    <w:rsid w:val="00257BDC"/>
    <w:rsid w:val="00257D0D"/>
    <w:rsid w:val="00257F3E"/>
    <w:rsid w:val="00257F4F"/>
    <w:rsid w:val="00257FAB"/>
    <w:rsid w:val="002600B0"/>
    <w:rsid w:val="002601DC"/>
    <w:rsid w:val="00260268"/>
    <w:rsid w:val="002603B8"/>
    <w:rsid w:val="002603E0"/>
    <w:rsid w:val="00260509"/>
    <w:rsid w:val="0026079B"/>
    <w:rsid w:val="002607B6"/>
    <w:rsid w:val="00260821"/>
    <w:rsid w:val="00260D81"/>
    <w:rsid w:val="00260DD6"/>
    <w:rsid w:val="00260E99"/>
    <w:rsid w:val="00260EB8"/>
    <w:rsid w:val="00260F56"/>
    <w:rsid w:val="00261062"/>
    <w:rsid w:val="002610D4"/>
    <w:rsid w:val="00261132"/>
    <w:rsid w:val="00261154"/>
    <w:rsid w:val="00261172"/>
    <w:rsid w:val="0026118E"/>
    <w:rsid w:val="002611D1"/>
    <w:rsid w:val="002611FA"/>
    <w:rsid w:val="00261367"/>
    <w:rsid w:val="00261562"/>
    <w:rsid w:val="002615B8"/>
    <w:rsid w:val="002616A0"/>
    <w:rsid w:val="002616E6"/>
    <w:rsid w:val="0026172F"/>
    <w:rsid w:val="002618E9"/>
    <w:rsid w:val="00261A39"/>
    <w:rsid w:val="00261FCE"/>
    <w:rsid w:val="0026201E"/>
    <w:rsid w:val="00262258"/>
    <w:rsid w:val="0026227E"/>
    <w:rsid w:val="0026253B"/>
    <w:rsid w:val="002625C6"/>
    <w:rsid w:val="0026278C"/>
    <w:rsid w:val="0026279B"/>
    <w:rsid w:val="002628CC"/>
    <w:rsid w:val="00262A52"/>
    <w:rsid w:val="00262B55"/>
    <w:rsid w:val="00262E5E"/>
    <w:rsid w:val="00262F83"/>
    <w:rsid w:val="0026306C"/>
    <w:rsid w:val="002631BB"/>
    <w:rsid w:val="0026340A"/>
    <w:rsid w:val="00263436"/>
    <w:rsid w:val="002634AB"/>
    <w:rsid w:val="00263528"/>
    <w:rsid w:val="0026357F"/>
    <w:rsid w:val="0026360A"/>
    <w:rsid w:val="0026367D"/>
    <w:rsid w:val="002636B4"/>
    <w:rsid w:val="00263857"/>
    <w:rsid w:val="0026390F"/>
    <w:rsid w:val="0026398E"/>
    <w:rsid w:val="00263A8F"/>
    <w:rsid w:val="00263ABA"/>
    <w:rsid w:val="00263ACB"/>
    <w:rsid w:val="00263B16"/>
    <w:rsid w:val="00263C60"/>
    <w:rsid w:val="00263CE5"/>
    <w:rsid w:val="00263E5B"/>
    <w:rsid w:val="00263F87"/>
    <w:rsid w:val="0026413C"/>
    <w:rsid w:val="002641B8"/>
    <w:rsid w:val="002641DB"/>
    <w:rsid w:val="00264298"/>
    <w:rsid w:val="00264323"/>
    <w:rsid w:val="002644E3"/>
    <w:rsid w:val="00264508"/>
    <w:rsid w:val="002645DA"/>
    <w:rsid w:val="002645F6"/>
    <w:rsid w:val="00264610"/>
    <w:rsid w:val="00264860"/>
    <w:rsid w:val="002649E3"/>
    <w:rsid w:val="00264ABA"/>
    <w:rsid w:val="00264B03"/>
    <w:rsid w:val="00264D51"/>
    <w:rsid w:val="00264DBF"/>
    <w:rsid w:val="00264DFE"/>
    <w:rsid w:val="00264F3D"/>
    <w:rsid w:val="00265144"/>
    <w:rsid w:val="00265168"/>
    <w:rsid w:val="002652CB"/>
    <w:rsid w:val="0026574B"/>
    <w:rsid w:val="0026590A"/>
    <w:rsid w:val="002659A0"/>
    <w:rsid w:val="002659AA"/>
    <w:rsid w:val="00265B19"/>
    <w:rsid w:val="00265BDF"/>
    <w:rsid w:val="00265C66"/>
    <w:rsid w:val="00265DB8"/>
    <w:rsid w:val="00265F0C"/>
    <w:rsid w:val="002660C6"/>
    <w:rsid w:val="0026622F"/>
    <w:rsid w:val="0026645C"/>
    <w:rsid w:val="002664E3"/>
    <w:rsid w:val="002664F2"/>
    <w:rsid w:val="0026657C"/>
    <w:rsid w:val="002668E2"/>
    <w:rsid w:val="002669DF"/>
    <w:rsid w:val="00266B61"/>
    <w:rsid w:val="00266E38"/>
    <w:rsid w:val="00266EE2"/>
    <w:rsid w:val="00267079"/>
    <w:rsid w:val="00267149"/>
    <w:rsid w:val="00267227"/>
    <w:rsid w:val="00267262"/>
    <w:rsid w:val="002672C6"/>
    <w:rsid w:val="00267386"/>
    <w:rsid w:val="0026738D"/>
    <w:rsid w:val="00267420"/>
    <w:rsid w:val="002674B7"/>
    <w:rsid w:val="002675F0"/>
    <w:rsid w:val="0026798A"/>
    <w:rsid w:val="00267D12"/>
    <w:rsid w:val="00270138"/>
    <w:rsid w:val="002702DD"/>
    <w:rsid w:val="00270547"/>
    <w:rsid w:val="002705DC"/>
    <w:rsid w:val="00270658"/>
    <w:rsid w:val="00270683"/>
    <w:rsid w:val="00270755"/>
    <w:rsid w:val="00270825"/>
    <w:rsid w:val="00270826"/>
    <w:rsid w:val="0027088C"/>
    <w:rsid w:val="00270971"/>
    <w:rsid w:val="00270B63"/>
    <w:rsid w:val="00270BC6"/>
    <w:rsid w:val="00270CF3"/>
    <w:rsid w:val="00270DB0"/>
    <w:rsid w:val="00270E6F"/>
    <w:rsid w:val="00270FF8"/>
    <w:rsid w:val="002710DB"/>
    <w:rsid w:val="002711D6"/>
    <w:rsid w:val="0027129A"/>
    <w:rsid w:val="002713FE"/>
    <w:rsid w:val="00271493"/>
    <w:rsid w:val="002717BA"/>
    <w:rsid w:val="002717E3"/>
    <w:rsid w:val="002718D1"/>
    <w:rsid w:val="0027192D"/>
    <w:rsid w:val="00271943"/>
    <w:rsid w:val="00271B33"/>
    <w:rsid w:val="00271C82"/>
    <w:rsid w:val="00272081"/>
    <w:rsid w:val="0027211F"/>
    <w:rsid w:val="0027218F"/>
    <w:rsid w:val="00272339"/>
    <w:rsid w:val="00272347"/>
    <w:rsid w:val="00272541"/>
    <w:rsid w:val="002726A3"/>
    <w:rsid w:val="002727D7"/>
    <w:rsid w:val="00272889"/>
    <w:rsid w:val="002728F1"/>
    <w:rsid w:val="002728F9"/>
    <w:rsid w:val="0027292F"/>
    <w:rsid w:val="002729EF"/>
    <w:rsid w:val="00272A0A"/>
    <w:rsid w:val="00272AF0"/>
    <w:rsid w:val="00272B05"/>
    <w:rsid w:val="00272D12"/>
    <w:rsid w:val="00272DDF"/>
    <w:rsid w:val="00272E61"/>
    <w:rsid w:val="00272F5F"/>
    <w:rsid w:val="0027321C"/>
    <w:rsid w:val="00273343"/>
    <w:rsid w:val="0027348D"/>
    <w:rsid w:val="002735E9"/>
    <w:rsid w:val="00273792"/>
    <w:rsid w:val="002737C1"/>
    <w:rsid w:val="0027393F"/>
    <w:rsid w:val="002739F2"/>
    <w:rsid w:val="00273A63"/>
    <w:rsid w:val="00273BC8"/>
    <w:rsid w:val="00273CB1"/>
    <w:rsid w:val="00273D5C"/>
    <w:rsid w:val="00273EB4"/>
    <w:rsid w:val="00273FF3"/>
    <w:rsid w:val="0027407C"/>
    <w:rsid w:val="00274094"/>
    <w:rsid w:val="0027420A"/>
    <w:rsid w:val="00274459"/>
    <w:rsid w:val="00274465"/>
    <w:rsid w:val="002744A9"/>
    <w:rsid w:val="002744FD"/>
    <w:rsid w:val="00274705"/>
    <w:rsid w:val="00274B85"/>
    <w:rsid w:val="00274D01"/>
    <w:rsid w:val="00274E17"/>
    <w:rsid w:val="00274EB1"/>
    <w:rsid w:val="002750A5"/>
    <w:rsid w:val="00275142"/>
    <w:rsid w:val="00275169"/>
    <w:rsid w:val="00275218"/>
    <w:rsid w:val="002752B0"/>
    <w:rsid w:val="002752C0"/>
    <w:rsid w:val="00275324"/>
    <w:rsid w:val="002753E7"/>
    <w:rsid w:val="00275534"/>
    <w:rsid w:val="00275578"/>
    <w:rsid w:val="00275615"/>
    <w:rsid w:val="00275685"/>
    <w:rsid w:val="002756ED"/>
    <w:rsid w:val="00275724"/>
    <w:rsid w:val="002757A8"/>
    <w:rsid w:val="002757C7"/>
    <w:rsid w:val="00275AA6"/>
    <w:rsid w:val="00275ACA"/>
    <w:rsid w:val="00275B77"/>
    <w:rsid w:val="00275DEB"/>
    <w:rsid w:val="00275E6D"/>
    <w:rsid w:val="00275F24"/>
    <w:rsid w:val="002762F3"/>
    <w:rsid w:val="002762FC"/>
    <w:rsid w:val="00276341"/>
    <w:rsid w:val="00276355"/>
    <w:rsid w:val="002763D6"/>
    <w:rsid w:val="00276566"/>
    <w:rsid w:val="0027658F"/>
    <w:rsid w:val="00276688"/>
    <w:rsid w:val="0027684F"/>
    <w:rsid w:val="002768D9"/>
    <w:rsid w:val="00276A82"/>
    <w:rsid w:val="00276B5A"/>
    <w:rsid w:val="00276DBC"/>
    <w:rsid w:val="00276FC0"/>
    <w:rsid w:val="002770A9"/>
    <w:rsid w:val="00277188"/>
    <w:rsid w:val="002772E3"/>
    <w:rsid w:val="002775C4"/>
    <w:rsid w:val="00277B47"/>
    <w:rsid w:val="00277BE2"/>
    <w:rsid w:val="00277DB9"/>
    <w:rsid w:val="00277F7A"/>
    <w:rsid w:val="0028041A"/>
    <w:rsid w:val="00280960"/>
    <w:rsid w:val="00280A09"/>
    <w:rsid w:val="00280A9B"/>
    <w:rsid w:val="00280BB4"/>
    <w:rsid w:val="00280CB9"/>
    <w:rsid w:val="00280DE7"/>
    <w:rsid w:val="00280DFD"/>
    <w:rsid w:val="00280E9A"/>
    <w:rsid w:val="00280F7A"/>
    <w:rsid w:val="00280FBA"/>
    <w:rsid w:val="00281014"/>
    <w:rsid w:val="002810C8"/>
    <w:rsid w:val="002810EF"/>
    <w:rsid w:val="002811E1"/>
    <w:rsid w:val="002812A0"/>
    <w:rsid w:val="00281329"/>
    <w:rsid w:val="00281349"/>
    <w:rsid w:val="00281762"/>
    <w:rsid w:val="0028177D"/>
    <w:rsid w:val="0028189A"/>
    <w:rsid w:val="002818AF"/>
    <w:rsid w:val="002818D5"/>
    <w:rsid w:val="002818E4"/>
    <w:rsid w:val="00281915"/>
    <w:rsid w:val="002819AB"/>
    <w:rsid w:val="00281B76"/>
    <w:rsid w:val="00281C2C"/>
    <w:rsid w:val="00281C58"/>
    <w:rsid w:val="00281D1B"/>
    <w:rsid w:val="00281DB9"/>
    <w:rsid w:val="00281E03"/>
    <w:rsid w:val="00281E22"/>
    <w:rsid w:val="00281F80"/>
    <w:rsid w:val="00282022"/>
    <w:rsid w:val="00282163"/>
    <w:rsid w:val="002822D4"/>
    <w:rsid w:val="0028247D"/>
    <w:rsid w:val="00282492"/>
    <w:rsid w:val="002824D6"/>
    <w:rsid w:val="0028288E"/>
    <w:rsid w:val="00282A85"/>
    <w:rsid w:val="00282D80"/>
    <w:rsid w:val="00282E48"/>
    <w:rsid w:val="00282FEE"/>
    <w:rsid w:val="002830F7"/>
    <w:rsid w:val="00283233"/>
    <w:rsid w:val="00283239"/>
    <w:rsid w:val="0028357B"/>
    <w:rsid w:val="002837F1"/>
    <w:rsid w:val="002838F1"/>
    <w:rsid w:val="002839E3"/>
    <w:rsid w:val="00283A9E"/>
    <w:rsid w:val="00283B70"/>
    <w:rsid w:val="00283BB9"/>
    <w:rsid w:val="00283C9F"/>
    <w:rsid w:val="00283CB0"/>
    <w:rsid w:val="00283D0B"/>
    <w:rsid w:val="00283D55"/>
    <w:rsid w:val="00283ED3"/>
    <w:rsid w:val="00284081"/>
    <w:rsid w:val="00284100"/>
    <w:rsid w:val="002841D4"/>
    <w:rsid w:val="002842C8"/>
    <w:rsid w:val="00284303"/>
    <w:rsid w:val="002843AA"/>
    <w:rsid w:val="0028444C"/>
    <w:rsid w:val="00284465"/>
    <w:rsid w:val="00284549"/>
    <w:rsid w:val="002846A7"/>
    <w:rsid w:val="00284803"/>
    <w:rsid w:val="002848D7"/>
    <w:rsid w:val="002848E0"/>
    <w:rsid w:val="00284914"/>
    <w:rsid w:val="00284AF6"/>
    <w:rsid w:val="00284BBD"/>
    <w:rsid w:val="00284D96"/>
    <w:rsid w:val="00284E86"/>
    <w:rsid w:val="00284F62"/>
    <w:rsid w:val="00285113"/>
    <w:rsid w:val="00285170"/>
    <w:rsid w:val="00285324"/>
    <w:rsid w:val="0028545E"/>
    <w:rsid w:val="002855F3"/>
    <w:rsid w:val="00285609"/>
    <w:rsid w:val="002859A1"/>
    <w:rsid w:val="00285B63"/>
    <w:rsid w:val="00285B87"/>
    <w:rsid w:val="00285C7D"/>
    <w:rsid w:val="00285C9F"/>
    <w:rsid w:val="00285FB2"/>
    <w:rsid w:val="00285FBC"/>
    <w:rsid w:val="00286247"/>
    <w:rsid w:val="0028642A"/>
    <w:rsid w:val="0028646B"/>
    <w:rsid w:val="002864C0"/>
    <w:rsid w:val="0028656C"/>
    <w:rsid w:val="0028659F"/>
    <w:rsid w:val="00286629"/>
    <w:rsid w:val="0028673F"/>
    <w:rsid w:val="002869E9"/>
    <w:rsid w:val="00286A98"/>
    <w:rsid w:val="00286E2B"/>
    <w:rsid w:val="00286F50"/>
    <w:rsid w:val="00286F67"/>
    <w:rsid w:val="0028702B"/>
    <w:rsid w:val="00287287"/>
    <w:rsid w:val="00287324"/>
    <w:rsid w:val="00287426"/>
    <w:rsid w:val="002875A6"/>
    <w:rsid w:val="002875AA"/>
    <w:rsid w:val="00287851"/>
    <w:rsid w:val="00287C29"/>
    <w:rsid w:val="00287C73"/>
    <w:rsid w:val="00287CC2"/>
    <w:rsid w:val="00287EC5"/>
    <w:rsid w:val="00290000"/>
    <w:rsid w:val="0029007A"/>
    <w:rsid w:val="00290085"/>
    <w:rsid w:val="002900BF"/>
    <w:rsid w:val="00290104"/>
    <w:rsid w:val="0029022D"/>
    <w:rsid w:val="002902B2"/>
    <w:rsid w:val="0029032E"/>
    <w:rsid w:val="00290384"/>
    <w:rsid w:val="002903BD"/>
    <w:rsid w:val="00290430"/>
    <w:rsid w:val="00290435"/>
    <w:rsid w:val="00290487"/>
    <w:rsid w:val="002904CD"/>
    <w:rsid w:val="002906A2"/>
    <w:rsid w:val="002906A5"/>
    <w:rsid w:val="0029074A"/>
    <w:rsid w:val="002907E8"/>
    <w:rsid w:val="0029087D"/>
    <w:rsid w:val="0029091E"/>
    <w:rsid w:val="00290AF3"/>
    <w:rsid w:val="00290C4B"/>
    <w:rsid w:val="00290F59"/>
    <w:rsid w:val="00290F5D"/>
    <w:rsid w:val="00290F99"/>
    <w:rsid w:val="00290FDF"/>
    <w:rsid w:val="00291212"/>
    <w:rsid w:val="00291307"/>
    <w:rsid w:val="002913C6"/>
    <w:rsid w:val="00291653"/>
    <w:rsid w:val="00291689"/>
    <w:rsid w:val="00291B26"/>
    <w:rsid w:val="00291B94"/>
    <w:rsid w:val="00291C44"/>
    <w:rsid w:val="00291CBE"/>
    <w:rsid w:val="00291F19"/>
    <w:rsid w:val="002923CA"/>
    <w:rsid w:val="00292419"/>
    <w:rsid w:val="00292679"/>
    <w:rsid w:val="002926E0"/>
    <w:rsid w:val="00292816"/>
    <w:rsid w:val="0029291C"/>
    <w:rsid w:val="00292A45"/>
    <w:rsid w:val="00292C87"/>
    <w:rsid w:val="00292D1D"/>
    <w:rsid w:val="00292E91"/>
    <w:rsid w:val="00292EE8"/>
    <w:rsid w:val="00293021"/>
    <w:rsid w:val="002931F9"/>
    <w:rsid w:val="00293592"/>
    <w:rsid w:val="00293687"/>
    <w:rsid w:val="00293845"/>
    <w:rsid w:val="002938A3"/>
    <w:rsid w:val="0029390A"/>
    <w:rsid w:val="00293951"/>
    <w:rsid w:val="002939E4"/>
    <w:rsid w:val="00293A33"/>
    <w:rsid w:val="00293E53"/>
    <w:rsid w:val="00293E90"/>
    <w:rsid w:val="00293E95"/>
    <w:rsid w:val="00293EFC"/>
    <w:rsid w:val="00294074"/>
    <w:rsid w:val="00294090"/>
    <w:rsid w:val="00294292"/>
    <w:rsid w:val="0029492E"/>
    <w:rsid w:val="00294960"/>
    <w:rsid w:val="00294AC9"/>
    <w:rsid w:val="00294C5B"/>
    <w:rsid w:val="00294C98"/>
    <w:rsid w:val="00294E13"/>
    <w:rsid w:val="00294EF9"/>
    <w:rsid w:val="00294F01"/>
    <w:rsid w:val="0029507E"/>
    <w:rsid w:val="00295151"/>
    <w:rsid w:val="00295181"/>
    <w:rsid w:val="0029542E"/>
    <w:rsid w:val="002955FC"/>
    <w:rsid w:val="00295684"/>
    <w:rsid w:val="00295854"/>
    <w:rsid w:val="002959B7"/>
    <w:rsid w:val="00295AC7"/>
    <w:rsid w:val="00295C66"/>
    <w:rsid w:val="00295D0F"/>
    <w:rsid w:val="00295F2E"/>
    <w:rsid w:val="002960D2"/>
    <w:rsid w:val="00296323"/>
    <w:rsid w:val="0029649F"/>
    <w:rsid w:val="00296539"/>
    <w:rsid w:val="002966A8"/>
    <w:rsid w:val="00296863"/>
    <w:rsid w:val="00296965"/>
    <w:rsid w:val="00296C8C"/>
    <w:rsid w:val="00296D5B"/>
    <w:rsid w:val="00296DD9"/>
    <w:rsid w:val="00296EF0"/>
    <w:rsid w:val="00296FCA"/>
    <w:rsid w:val="0029703E"/>
    <w:rsid w:val="0029704E"/>
    <w:rsid w:val="002971C1"/>
    <w:rsid w:val="002972A1"/>
    <w:rsid w:val="00297319"/>
    <w:rsid w:val="002975CA"/>
    <w:rsid w:val="00297724"/>
    <w:rsid w:val="002977E0"/>
    <w:rsid w:val="0029781D"/>
    <w:rsid w:val="00297975"/>
    <w:rsid w:val="00297DD6"/>
    <w:rsid w:val="00297E16"/>
    <w:rsid w:val="00297E87"/>
    <w:rsid w:val="00297FBD"/>
    <w:rsid w:val="002A0090"/>
    <w:rsid w:val="002A0170"/>
    <w:rsid w:val="002A0220"/>
    <w:rsid w:val="002A02A0"/>
    <w:rsid w:val="002A02D3"/>
    <w:rsid w:val="002A0475"/>
    <w:rsid w:val="002A0481"/>
    <w:rsid w:val="002A04A2"/>
    <w:rsid w:val="002A04F5"/>
    <w:rsid w:val="002A06BC"/>
    <w:rsid w:val="002A06BF"/>
    <w:rsid w:val="002A0894"/>
    <w:rsid w:val="002A0943"/>
    <w:rsid w:val="002A0A92"/>
    <w:rsid w:val="002A0B6A"/>
    <w:rsid w:val="002A0C03"/>
    <w:rsid w:val="002A0C61"/>
    <w:rsid w:val="002A0DFD"/>
    <w:rsid w:val="002A0EA9"/>
    <w:rsid w:val="002A112C"/>
    <w:rsid w:val="002A1388"/>
    <w:rsid w:val="002A13A7"/>
    <w:rsid w:val="002A18B5"/>
    <w:rsid w:val="002A19BB"/>
    <w:rsid w:val="002A1B2A"/>
    <w:rsid w:val="002A1BF4"/>
    <w:rsid w:val="002A1D23"/>
    <w:rsid w:val="002A1EA1"/>
    <w:rsid w:val="002A1EF3"/>
    <w:rsid w:val="002A200F"/>
    <w:rsid w:val="002A226B"/>
    <w:rsid w:val="002A229C"/>
    <w:rsid w:val="002A2387"/>
    <w:rsid w:val="002A24BB"/>
    <w:rsid w:val="002A2525"/>
    <w:rsid w:val="002A257E"/>
    <w:rsid w:val="002A2754"/>
    <w:rsid w:val="002A28EA"/>
    <w:rsid w:val="002A298C"/>
    <w:rsid w:val="002A2AEF"/>
    <w:rsid w:val="002A2BAA"/>
    <w:rsid w:val="002A2DD6"/>
    <w:rsid w:val="002A3088"/>
    <w:rsid w:val="002A30E7"/>
    <w:rsid w:val="002A3158"/>
    <w:rsid w:val="002A3248"/>
    <w:rsid w:val="002A3324"/>
    <w:rsid w:val="002A3522"/>
    <w:rsid w:val="002A36C0"/>
    <w:rsid w:val="002A36CD"/>
    <w:rsid w:val="002A3D76"/>
    <w:rsid w:val="002A3D7F"/>
    <w:rsid w:val="002A3DF8"/>
    <w:rsid w:val="002A3E32"/>
    <w:rsid w:val="002A3E8F"/>
    <w:rsid w:val="002A3EA5"/>
    <w:rsid w:val="002A4102"/>
    <w:rsid w:val="002A425C"/>
    <w:rsid w:val="002A4582"/>
    <w:rsid w:val="002A468C"/>
    <w:rsid w:val="002A47DE"/>
    <w:rsid w:val="002A4A24"/>
    <w:rsid w:val="002A4AD7"/>
    <w:rsid w:val="002A4BB6"/>
    <w:rsid w:val="002A4F03"/>
    <w:rsid w:val="002A5027"/>
    <w:rsid w:val="002A5123"/>
    <w:rsid w:val="002A5141"/>
    <w:rsid w:val="002A53CD"/>
    <w:rsid w:val="002A5446"/>
    <w:rsid w:val="002A544A"/>
    <w:rsid w:val="002A5499"/>
    <w:rsid w:val="002A5579"/>
    <w:rsid w:val="002A558A"/>
    <w:rsid w:val="002A5727"/>
    <w:rsid w:val="002A5737"/>
    <w:rsid w:val="002A57D9"/>
    <w:rsid w:val="002A57DD"/>
    <w:rsid w:val="002A592D"/>
    <w:rsid w:val="002A59F8"/>
    <w:rsid w:val="002A5A05"/>
    <w:rsid w:val="002A5CC5"/>
    <w:rsid w:val="002A5D95"/>
    <w:rsid w:val="002A6031"/>
    <w:rsid w:val="002A603B"/>
    <w:rsid w:val="002A60F2"/>
    <w:rsid w:val="002A617D"/>
    <w:rsid w:val="002A61BC"/>
    <w:rsid w:val="002A61E7"/>
    <w:rsid w:val="002A6299"/>
    <w:rsid w:val="002A6448"/>
    <w:rsid w:val="002A653A"/>
    <w:rsid w:val="002A6775"/>
    <w:rsid w:val="002A687F"/>
    <w:rsid w:val="002A69F9"/>
    <w:rsid w:val="002A6A46"/>
    <w:rsid w:val="002A6B04"/>
    <w:rsid w:val="002A6CD6"/>
    <w:rsid w:val="002A6CE0"/>
    <w:rsid w:val="002A7029"/>
    <w:rsid w:val="002A716E"/>
    <w:rsid w:val="002A721C"/>
    <w:rsid w:val="002A7432"/>
    <w:rsid w:val="002A7626"/>
    <w:rsid w:val="002A7762"/>
    <w:rsid w:val="002A77C6"/>
    <w:rsid w:val="002A7904"/>
    <w:rsid w:val="002A7C48"/>
    <w:rsid w:val="002A7D25"/>
    <w:rsid w:val="002A7DD7"/>
    <w:rsid w:val="002A7E2B"/>
    <w:rsid w:val="002A7F8C"/>
    <w:rsid w:val="002B002E"/>
    <w:rsid w:val="002B00B3"/>
    <w:rsid w:val="002B0269"/>
    <w:rsid w:val="002B0275"/>
    <w:rsid w:val="002B02A7"/>
    <w:rsid w:val="002B03B0"/>
    <w:rsid w:val="002B03F1"/>
    <w:rsid w:val="002B051A"/>
    <w:rsid w:val="002B05DE"/>
    <w:rsid w:val="002B05DF"/>
    <w:rsid w:val="002B07CC"/>
    <w:rsid w:val="002B0821"/>
    <w:rsid w:val="002B09BA"/>
    <w:rsid w:val="002B0D3B"/>
    <w:rsid w:val="002B0D98"/>
    <w:rsid w:val="002B0E00"/>
    <w:rsid w:val="002B0EEB"/>
    <w:rsid w:val="002B10C3"/>
    <w:rsid w:val="002B13C3"/>
    <w:rsid w:val="002B13F4"/>
    <w:rsid w:val="002B142C"/>
    <w:rsid w:val="002B15A2"/>
    <w:rsid w:val="002B1721"/>
    <w:rsid w:val="002B1749"/>
    <w:rsid w:val="002B17BC"/>
    <w:rsid w:val="002B17C8"/>
    <w:rsid w:val="002B17CA"/>
    <w:rsid w:val="002B199C"/>
    <w:rsid w:val="002B1B3E"/>
    <w:rsid w:val="002B1BCF"/>
    <w:rsid w:val="002B1BE5"/>
    <w:rsid w:val="002B1C82"/>
    <w:rsid w:val="002B1CC7"/>
    <w:rsid w:val="002B1DDA"/>
    <w:rsid w:val="002B201F"/>
    <w:rsid w:val="002B22EC"/>
    <w:rsid w:val="002B23CC"/>
    <w:rsid w:val="002B248B"/>
    <w:rsid w:val="002B2509"/>
    <w:rsid w:val="002B26B3"/>
    <w:rsid w:val="002B279F"/>
    <w:rsid w:val="002B2822"/>
    <w:rsid w:val="002B2905"/>
    <w:rsid w:val="002B2978"/>
    <w:rsid w:val="002B29FD"/>
    <w:rsid w:val="002B2AD5"/>
    <w:rsid w:val="002B2B9F"/>
    <w:rsid w:val="002B2CD6"/>
    <w:rsid w:val="002B2D05"/>
    <w:rsid w:val="002B2D1F"/>
    <w:rsid w:val="002B2E3C"/>
    <w:rsid w:val="002B2E54"/>
    <w:rsid w:val="002B2F3E"/>
    <w:rsid w:val="002B321C"/>
    <w:rsid w:val="002B328A"/>
    <w:rsid w:val="002B3379"/>
    <w:rsid w:val="002B36DD"/>
    <w:rsid w:val="002B38E9"/>
    <w:rsid w:val="002B3AB6"/>
    <w:rsid w:val="002B3B3B"/>
    <w:rsid w:val="002B3C6E"/>
    <w:rsid w:val="002B3C8C"/>
    <w:rsid w:val="002B3EA2"/>
    <w:rsid w:val="002B4194"/>
    <w:rsid w:val="002B44D3"/>
    <w:rsid w:val="002B44FA"/>
    <w:rsid w:val="002B45B5"/>
    <w:rsid w:val="002B4634"/>
    <w:rsid w:val="002B46FA"/>
    <w:rsid w:val="002B491B"/>
    <w:rsid w:val="002B49F9"/>
    <w:rsid w:val="002B4A10"/>
    <w:rsid w:val="002B4A62"/>
    <w:rsid w:val="002B4CFE"/>
    <w:rsid w:val="002B4D47"/>
    <w:rsid w:val="002B4DB2"/>
    <w:rsid w:val="002B4EE8"/>
    <w:rsid w:val="002B4F03"/>
    <w:rsid w:val="002B4F3A"/>
    <w:rsid w:val="002B525A"/>
    <w:rsid w:val="002B535E"/>
    <w:rsid w:val="002B53D3"/>
    <w:rsid w:val="002B540A"/>
    <w:rsid w:val="002B5576"/>
    <w:rsid w:val="002B5591"/>
    <w:rsid w:val="002B5627"/>
    <w:rsid w:val="002B563A"/>
    <w:rsid w:val="002B593C"/>
    <w:rsid w:val="002B5A03"/>
    <w:rsid w:val="002B5B41"/>
    <w:rsid w:val="002B5BEC"/>
    <w:rsid w:val="002B5C6A"/>
    <w:rsid w:val="002B5C97"/>
    <w:rsid w:val="002B5D0E"/>
    <w:rsid w:val="002B5D2B"/>
    <w:rsid w:val="002B5E03"/>
    <w:rsid w:val="002B5EDC"/>
    <w:rsid w:val="002B60A9"/>
    <w:rsid w:val="002B60BD"/>
    <w:rsid w:val="002B61B4"/>
    <w:rsid w:val="002B63BE"/>
    <w:rsid w:val="002B63CF"/>
    <w:rsid w:val="002B6495"/>
    <w:rsid w:val="002B64A0"/>
    <w:rsid w:val="002B652D"/>
    <w:rsid w:val="002B67B5"/>
    <w:rsid w:val="002B69F6"/>
    <w:rsid w:val="002B6ACC"/>
    <w:rsid w:val="002B6AD0"/>
    <w:rsid w:val="002B6BC4"/>
    <w:rsid w:val="002B6CB8"/>
    <w:rsid w:val="002B6D25"/>
    <w:rsid w:val="002B6F67"/>
    <w:rsid w:val="002B71D3"/>
    <w:rsid w:val="002B731D"/>
    <w:rsid w:val="002B757F"/>
    <w:rsid w:val="002B7760"/>
    <w:rsid w:val="002B78C3"/>
    <w:rsid w:val="002B7944"/>
    <w:rsid w:val="002B7975"/>
    <w:rsid w:val="002B7A6E"/>
    <w:rsid w:val="002B7ABF"/>
    <w:rsid w:val="002B7B40"/>
    <w:rsid w:val="002B7E04"/>
    <w:rsid w:val="002B7E99"/>
    <w:rsid w:val="002B7EBF"/>
    <w:rsid w:val="002B7EF8"/>
    <w:rsid w:val="002C0074"/>
    <w:rsid w:val="002C011B"/>
    <w:rsid w:val="002C02C2"/>
    <w:rsid w:val="002C030D"/>
    <w:rsid w:val="002C0475"/>
    <w:rsid w:val="002C0479"/>
    <w:rsid w:val="002C06AA"/>
    <w:rsid w:val="002C08FF"/>
    <w:rsid w:val="002C090E"/>
    <w:rsid w:val="002C0A12"/>
    <w:rsid w:val="002C0B48"/>
    <w:rsid w:val="002C0CBB"/>
    <w:rsid w:val="002C0CE9"/>
    <w:rsid w:val="002C0D1E"/>
    <w:rsid w:val="002C0E1B"/>
    <w:rsid w:val="002C0ED6"/>
    <w:rsid w:val="002C0F3B"/>
    <w:rsid w:val="002C10D9"/>
    <w:rsid w:val="002C1180"/>
    <w:rsid w:val="002C12DD"/>
    <w:rsid w:val="002C12E1"/>
    <w:rsid w:val="002C181C"/>
    <w:rsid w:val="002C1861"/>
    <w:rsid w:val="002C197A"/>
    <w:rsid w:val="002C1A87"/>
    <w:rsid w:val="002C1B28"/>
    <w:rsid w:val="002C1D82"/>
    <w:rsid w:val="002C1E24"/>
    <w:rsid w:val="002C211E"/>
    <w:rsid w:val="002C21DF"/>
    <w:rsid w:val="002C21F1"/>
    <w:rsid w:val="002C22CE"/>
    <w:rsid w:val="002C2315"/>
    <w:rsid w:val="002C23B1"/>
    <w:rsid w:val="002C246B"/>
    <w:rsid w:val="002C24AA"/>
    <w:rsid w:val="002C25D8"/>
    <w:rsid w:val="002C26CE"/>
    <w:rsid w:val="002C2778"/>
    <w:rsid w:val="002C27E9"/>
    <w:rsid w:val="002C2852"/>
    <w:rsid w:val="002C2947"/>
    <w:rsid w:val="002C29CB"/>
    <w:rsid w:val="002C2A3F"/>
    <w:rsid w:val="002C2E2D"/>
    <w:rsid w:val="002C2FBB"/>
    <w:rsid w:val="002C3110"/>
    <w:rsid w:val="002C3307"/>
    <w:rsid w:val="002C3409"/>
    <w:rsid w:val="002C35FC"/>
    <w:rsid w:val="002C3615"/>
    <w:rsid w:val="002C3799"/>
    <w:rsid w:val="002C389B"/>
    <w:rsid w:val="002C393C"/>
    <w:rsid w:val="002C3A82"/>
    <w:rsid w:val="002C3AFB"/>
    <w:rsid w:val="002C3B3D"/>
    <w:rsid w:val="002C3B47"/>
    <w:rsid w:val="002C3B62"/>
    <w:rsid w:val="002C3B9D"/>
    <w:rsid w:val="002C3F03"/>
    <w:rsid w:val="002C4114"/>
    <w:rsid w:val="002C43D1"/>
    <w:rsid w:val="002C4768"/>
    <w:rsid w:val="002C47F8"/>
    <w:rsid w:val="002C498E"/>
    <w:rsid w:val="002C49CB"/>
    <w:rsid w:val="002C4BD4"/>
    <w:rsid w:val="002C4D52"/>
    <w:rsid w:val="002C4D9C"/>
    <w:rsid w:val="002C4E61"/>
    <w:rsid w:val="002C515F"/>
    <w:rsid w:val="002C522E"/>
    <w:rsid w:val="002C5264"/>
    <w:rsid w:val="002C5272"/>
    <w:rsid w:val="002C5416"/>
    <w:rsid w:val="002C544B"/>
    <w:rsid w:val="002C54F7"/>
    <w:rsid w:val="002C5527"/>
    <w:rsid w:val="002C578C"/>
    <w:rsid w:val="002C58D5"/>
    <w:rsid w:val="002C5A13"/>
    <w:rsid w:val="002C5AC0"/>
    <w:rsid w:val="002C5BC2"/>
    <w:rsid w:val="002C5C47"/>
    <w:rsid w:val="002C606D"/>
    <w:rsid w:val="002C64B4"/>
    <w:rsid w:val="002C6540"/>
    <w:rsid w:val="002C65A4"/>
    <w:rsid w:val="002C6670"/>
    <w:rsid w:val="002C687B"/>
    <w:rsid w:val="002C68B9"/>
    <w:rsid w:val="002C6919"/>
    <w:rsid w:val="002C697B"/>
    <w:rsid w:val="002C69D4"/>
    <w:rsid w:val="002C6A0C"/>
    <w:rsid w:val="002C6BC2"/>
    <w:rsid w:val="002C6C0B"/>
    <w:rsid w:val="002C6CA1"/>
    <w:rsid w:val="002C6E22"/>
    <w:rsid w:val="002C70AC"/>
    <w:rsid w:val="002C7215"/>
    <w:rsid w:val="002C73B3"/>
    <w:rsid w:val="002C73C0"/>
    <w:rsid w:val="002C7449"/>
    <w:rsid w:val="002C77B2"/>
    <w:rsid w:val="002C793B"/>
    <w:rsid w:val="002C794D"/>
    <w:rsid w:val="002C7A30"/>
    <w:rsid w:val="002C7B2F"/>
    <w:rsid w:val="002D0266"/>
    <w:rsid w:val="002D0302"/>
    <w:rsid w:val="002D0329"/>
    <w:rsid w:val="002D059B"/>
    <w:rsid w:val="002D092B"/>
    <w:rsid w:val="002D0A02"/>
    <w:rsid w:val="002D0AD3"/>
    <w:rsid w:val="002D0BCF"/>
    <w:rsid w:val="002D0D2E"/>
    <w:rsid w:val="002D0D87"/>
    <w:rsid w:val="002D0E8B"/>
    <w:rsid w:val="002D0F77"/>
    <w:rsid w:val="002D104D"/>
    <w:rsid w:val="002D105C"/>
    <w:rsid w:val="002D111E"/>
    <w:rsid w:val="002D1291"/>
    <w:rsid w:val="002D12E6"/>
    <w:rsid w:val="002D14A3"/>
    <w:rsid w:val="002D162F"/>
    <w:rsid w:val="002D1677"/>
    <w:rsid w:val="002D17D8"/>
    <w:rsid w:val="002D189D"/>
    <w:rsid w:val="002D1920"/>
    <w:rsid w:val="002D1922"/>
    <w:rsid w:val="002D196E"/>
    <w:rsid w:val="002D1A7A"/>
    <w:rsid w:val="002D1B1A"/>
    <w:rsid w:val="002D1D62"/>
    <w:rsid w:val="002D1DB9"/>
    <w:rsid w:val="002D1EA6"/>
    <w:rsid w:val="002D2146"/>
    <w:rsid w:val="002D2167"/>
    <w:rsid w:val="002D21D7"/>
    <w:rsid w:val="002D2204"/>
    <w:rsid w:val="002D2213"/>
    <w:rsid w:val="002D2278"/>
    <w:rsid w:val="002D234C"/>
    <w:rsid w:val="002D238A"/>
    <w:rsid w:val="002D2419"/>
    <w:rsid w:val="002D2575"/>
    <w:rsid w:val="002D260C"/>
    <w:rsid w:val="002D26F9"/>
    <w:rsid w:val="002D27E5"/>
    <w:rsid w:val="002D2820"/>
    <w:rsid w:val="002D2829"/>
    <w:rsid w:val="002D2AED"/>
    <w:rsid w:val="002D2B54"/>
    <w:rsid w:val="002D2BEB"/>
    <w:rsid w:val="002D2CF5"/>
    <w:rsid w:val="002D2E9D"/>
    <w:rsid w:val="002D2F47"/>
    <w:rsid w:val="002D3016"/>
    <w:rsid w:val="002D30C0"/>
    <w:rsid w:val="002D3195"/>
    <w:rsid w:val="002D3206"/>
    <w:rsid w:val="002D3245"/>
    <w:rsid w:val="002D329B"/>
    <w:rsid w:val="002D32EE"/>
    <w:rsid w:val="002D355F"/>
    <w:rsid w:val="002D366D"/>
    <w:rsid w:val="002D389A"/>
    <w:rsid w:val="002D38D4"/>
    <w:rsid w:val="002D39DF"/>
    <w:rsid w:val="002D3A2D"/>
    <w:rsid w:val="002D3B52"/>
    <w:rsid w:val="002D3B97"/>
    <w:rsid w:val="002D3BE5"/>
    <w:rsid w:val="002D3CF9"/>
    <w:rsid w:val="002D3E4E"/>
    <w:rsid w:val="002D3EB3"/>
    <w:rsid w:val="002D3EBA"/>
    <w:rsid w:val="002D4041"/>
    <w:rsid w:val="002D4097"/>
    <w:rsid w:val="002D43BD"/>
    <w:rsid w:val="002D4486"/>
    <w:rsid w:val="002D4498"/>
    <w:rsid w:val="002D454B"/>
    <w:rsid w:val="002D4561"/>
    <w:rsid w:val="002D4589"/>
    <w:rsid w:val="002D4637"/>
    <w:rsid w:val="002D4679"/>
    <w:rsid w:val="002D49B7"/>
    <w:rsid w:val="002D49D8"/>
    <w:rsid w:val="002D4A3F"/>
    <w:rsid w:val="002D4A84"/>
    <w:rsid w:val="002D4AD8"/>
    <w:rsid w:val="002D4B52"/>
    <w:rsid w:val="002D4B71"/>
    <w:rsid w:val="002D4DA4"/>
    <w:rsid w:val="002D4E92"/>
    <w:rsid w:val="002D5180"/>
    <w:rsid w:val="002D53B7"/>
    <w:rsid w:val="002D551B"/>
    <w:rsid w:val="002D5900"/>
    <w:rsid w:val="002D5C2A"/>
    <w:rsid w:val="002D5CED"/>
    <w:rsid w:val="002D5EC5"/>
    <w:rsid w:val="002D6044"/>
    <w:rsid w:val="002D6087"/>
    <w:rsid w:val="002D612B"/>
    <w:rsid w:val="002D6178"/>
    <w:rsid w:val="002D62B3"/>
    <w:rsid w:val="002D641E"/>
    <w:rsid w:val="002D6451"/>
    <w:rsid w:val="002D667E"/>
    <w:rsid w:val="002D679D"/>
    <w:rsid w:val="002D67D2"/>
    <w:rsid w:val="002D688D"/>
    <w:rsid w:val="002D68C2"/>
    <w:rsid w:val="002D6911"/>
    <w:rsid w:val="002D6CDA"/>
    <w:rsid w:val="002D6D47"/>
    <w:rsid w:val="002D6D5D"/>
    <w:rsid w:val="002D6D84"/>
    <w:rsid w:val="002D6DE4"/>
    <w:rsid w:val="002D6F04"/>
    <w:rsid w:val="002D7049"/>
    <w:rsid w:val="002D7096"/>
    <w:rsid w:val="002D7382"/>
    <w:rsid w:val="002D745A"/>
    <w:rsid w:val="002D74FD"/>
    <w:rsid w:val="002D75E7"/>
    <w:rsid w:val="002D7615"/>
    <w:rsid w:val="002D781E"/>
    <w:rsid w:val="002D7A0A"/>
    <w:rsid w:val="002D7ABD"/>
    <w:rsid w:val="002D7AF9"/>
    <w:rsid w:val="002D7B6A"/>
    <w:rsid w:val="002D7BDC"/>
    <w:rsid w:val="002D7DD3"/>
    <w:rsid w:val="002D7E18"/>
    <w:rsid w:val="002E0023"/>
    <w:rsid w:val="002E01DF"/>
    <w:rsid w:val="002E03C7"/>
    <w:rsid w:val="002E06F1"/>
    <w:rsid w:val="002E07CE"/>
    <w:rsid w:val="002E0A32"/>
    <w:rsid w:val="002E0BD5"/>
    <w:rsid w:val="002E0BED"/>
    <w:rsid w:val="002E0D2C"/>
    <w:rsid w:val="002E0E4B"/>
    <w:rsid w:val="002E0E80"/>
    <w:rsid w:val="002E0F22"/>
    <w:rsid w:val="002E1346"/>
    <w:rsid w:val="002E14EB"/>
    <w:rsid w:val="002E15A3"/>
    <w:rsid w:val="002E1673"/>
    <w:rsid w:val="002E16ED"/>
    <w:rsid w:val="002E1917"/>
    <w:rsid w:val="002E1922"/>
    <w:rsid w:val="002E1B81"/>
    <w:rsid w:val="002E1BEA"/>
    <w:rsid w:val="002E1C77"/>
    <w:rsid w:val="002E1DAC"/>
    <w:rsid w:val="002E2235"/>
    <w:rsid w:val="002E24D4"/>
    <w:rsid w:val="002E24E5"/>
    <w:rsid w:val="002E264F"/>
    <w:rsid w:val="002E2764"/>
    <w:rsid w:val="002E2803"/>
    <w:rsid w:val="002E2862"/>
    <w:rsid w:val="002E2BAE"/>
    <w:rsid w:val="002E2C91"/>
    <w:rsid w:val="002E2CDA"/>
    <w:rsid w:val="002E2E9E"/>
    <w:rsid w:val="002E2F9E"/>
    <w:rsid w:val="002E302C"/>
    <w:rsid w:val="002E30B0"/>
    <w:rsid w:val="002E3463"/>
    <w:rsid w:val="002E3710"/>
    <w:rsid w:val="002E37FF"/>
    <w:rsid w:val="002E393A"/>
    <w:rsid w:val="002E3981"/>
    <w:rsid w:val="002E3AC7"/>
    <w:rsid w:val="002E3B6D"/>
    <w:rsid w:val="002E3CD9"/>
    <w:rsid w:val="002E3D25"/>
    <w:rsid w:val="002E3DF6"/>
    <w:rsid w:val="002E3EA3"/>
    <w:rsid w:val="002E3EA8"/>
    <w:rsid w:val="002E3FB8"/>
    <w:rsid w:val="002E4142"/>
    <w:rsid w:val="002E4277"/>
    <w:rsid w:val="002E4318"/>
    <w:rsid w:val="002E4394"/>
    <w:rsid w:val="002E43E1"/>
    <w:rsid w:val="002E441E"/>
    <w:rsid w:val="002E449A"/>
    <w:rsid w:val="002E469D"/>
    <w:rsid w:val="002E4709"/>
    <w:rsid w:val="002E48F4"/>
    <w:rsid w:val="002E49F9"/>
    <w:rsid w:val="002E4B1E"/>
    <w:rsid w:val="002E4C0D"/>
    <w:rsid w:val="002E4D61"/>
    <w:rsid w:val="002E4E80"/>
    <w:rsid w:val="002E4F30"/>
    <w:rsid w:val="002E4FAC"/>
    <w:rsid w:val="002E509F"/>
    <w:rsid w:val="002E5580"/>
    <w:rsid w:val="002E5618"/>
    <w:rsid w:val="002E5818"/>
    <w:rsid w:val="002E590A"/>
    <w:rsid w:val="002E5A9B"/>
    <w:rsid w:val="002E5B73"/>
    <w:rsid w:val="002E5D95"/>
    <w:rsid w:val="002E5DD3"/>
    <w:rsid w:val="002E5EF3"/>
    <w:rsid w:val="002E6009"/>
    <w:rsid w:val="002E60CE"/>
    <w:rsid w:val="002E649A"/>
    <w:rsid w:val="002E67C5"/>
    <w:rsid w:val="002E68C1"/>
    <w:rsid w:val="002E6A6D"/>
    <w:rsid w:val="002E6C48"/>
    <w:rsid w:val="002E6C8D"/>
    <w:rsid w:val="002E6F16"/>
    <w:rsid w:val="002E738E"/>
    <w:rsid w:val="002E7419"/>
    <w:rsid w:val="002E76CD"/>
    <w:rsid w:val="002E78EE"/>
    <w:rsid w:val="002E79C5"/>
    <w:rsid w:val="002E7B01"/>
    <w:rsid w:val="002E7D19"/>
    <w:rsid w:val="002E7DDA"/>
    <w:rsid w:val="002E7F42"/>
    <w:rsid w:val="002F001D"/>
    <w:rsid w:val="002F00CE"/>
    <w:rsid w:val="002F01AF"/>
    <w:rsid w:val="002F02D2"/>
    <w:rsid w:val="002F0408"/>
    <w:rsid w:val="002F040A"/>
    <w:rsid w:val="002F042F"/>
    <w:rsid w:val="002F0530"/>
    <w:rsid w:val="002F0769"/>
    <w:rsid w:val="002F0798"/>
    <w:rsid w:val="002F08FB"/>
    <w:rsid w:val="002F0914"/>
    <w:rsid w:val="002F091C"/>
    <w:rsid w:val="002F0980"/>
    <w:rsid w:val="002F09F9"/>
    <w:rsid w:val="002F0D09"/>
    <w:rsid w:val="002F0D32"/>
    <w:rsid w:val="002F10C8"/>
    <w:rsid w:val="002F1152"/>
    <w:rsid w:val="002F116B"/>
    <w:rsid w:val="002F11B3"/>
    <w:rsid w:val="002F1209"/>
    <w:rsid w:val="002F12F8"/>
    <w:rsid w:val="002F139A"/>
    <w:rsid w:val="002F178F"/>
    <w:rsid w:val="002F1A0F"/>
    <w:rsid w:val="002F1CC4"/>
    <w:rsid w:val="002F1D1A"/>
    <w:rsid w:val="002F1E50"/>
    <w:rsid w:val="002F1F6A"/>
    <w:rsid w:val="002F1F7E"/>
    <w:rsid w:val="002F2253"/>
    <w:rsid w:val="002F22A7"/>
    <w:rsid w:val="002F2361"/>
    <w:rsid w:val="002F23CE"/>
    <w:rsid w:val="002F2559"/>
    <w:rsid w:val="002F2575"/>
    <w:rsid w:val="002F25C5"/>
    <w:rsid w:val="002F260D"/>
    <w:rsid w:val="002F2648"/>
    <w:rsid w:val="002F2730"/>
    <w:rsid w:val="002F284D"/>
    <w:rsid w:val="002F2899"/>
    <w:rsid w:val="002F2A24"/>
    <w:rsid w:val="002F2A7A"/>
    <w:rsid w:val="002F2ABE"/>
    <w:rsid w:val="002F2BA4"/>
    <w:rsid w:val="002F2D7B"/>
    <w:rsid w:val="002F2E10"/>
    <w:rsid w:val="002F2F14"/>
    <w:rsid w:val="002F3220"/>
    <w:rsid w:val="002F32A1"/>
    <w:rsid w:val="002F3506"/>
    <w:rsid w:val="002F3750"/>
    <w:rsid w:val="002F3858"/>
    <w:rsid w:val="002F3968"/>
    <w:rsid w:val="002F3978"/>
    <w:rsid w:val="002F3A54"/>
    <w:rsid w:val="002F3ACE"/>
    <w:rsid w:val="002F3C92"/>
    <w:rsid w:val="002F3CA6"/>
    <w:rsid w:val="002F3D21"/>
    <w:rsid w:val="002F3D33"/>
    <w:rsid w:val="002F3D64"/>
    <w:rsid w:val="002F4030"/>
    <w:rsid w:val="002F405A"/>
    <w:rsid w:val="002F4111"/>
    <w:rsid w:val="002F415A"/>
    <w:rsid w:val="002F4165"/>
    <w:rsid w:val="002F41A1"/>
    <w:rsid w:val="002F41EE"/>
    <w:rsid w:val="002F4267"/>
    <w:rsid w:val="002F42B0"/>
    <w:rsid w:val="002F43F0"/>
    <w:rsid w:val="002F4472"/>
    <w:rsid w:val="002F4488"/>
    <w:rsid w:val="002F456C"/>
    <w:rsid w:val="002F45BC"/>
    <w:rsid w:val="002F45C3"/>
    <w:rsid w:val="002F463A"/>
    <w:rsid w:val="002F4721"/>
    <w:rsid w:val="002F4735"/>
    <w:rsid w:val="002F4794"/>
    <w:rsid w:val="002F47C1"/>
    <w:rsid w:val="002F48D1"/>
    <w:rsid w:val="002F49AF"/>
    <w:rsid w:val="002F4A4D"/>
    <w:rsid w:val="002F4A5D"/>
    <w:rsid w:val="002F4AA8"/>
    <w:rsid w:val="002F4B83"/>
    <w:rsid w:val="002F4C15"/>
    <w:rsid w:val="002F4C2D"/>
    <w:rsid w:val="002F4C2F"/>
    <w:rsid w:val="002F4C9F"/>
    <w:rsid w:val="002F4F31"/>
    <w:rsid w:val="002F5124"/>
    <w:rsid w:val="002F51AB"/>
    <w:rsid w:val="002F52C2"/>
    <w:rsid w:val="002F52D2"/>
    <w:rsid w:val="002F5382"/>
    <w:rsid w:val="002F5742"/>
    <w:rsid w:val="002F58A1"/>
    <w:rsid w:val="002F5965"/>
    <w:rsid w:val="002F5A2A"/>
    <w:rsid w:val="002F5AF8"/>
    <w:rsid w:val="002F5B4C"/>
    <w:rsid w:val="002F5C00"/>
    <w:rsid w:val="002F5C8B"/>
    <w:rsid w:val="002F5D9B"/>
    <w:rsid w:val="002F5DCD"/>
    <w:rsid w:val="002F5F57"/>
    <w:rsid w:val="002F606B"/>
    <w:rsid w:val="002F6080"/>
    <w:rsid w:val="002F609B"/>
    <w:rsid w:val="002F60CD"/>
    <w:rsid w:val="002F61E0"/>
    <w:rsid w:val="002F62AF"/>
    <w:rsid w:val="002F62C4"/>
    <w:rsid w:val="002F649F"/>
    <w:rsid w:val="002F6509"/>
    <w:rsid w:val="002F6550"/>
    <w:rsid w:val="002F65E9"/>
    <w:rsid w:val="002F665E"/>
    <w:rsid w:val="002F6A6F"/>
    <w:rsid w:val="002F6AE0"/>
    <w:rsid w:val="002F6BCC"/>
    <w:rsid w:val="002F6C6B"/>
    <w:rsid w:val="002F6D0A"/>
    <w:rsid w:val="002F7048"/>
    <w:rsid w:val="002F7056"/>
    <w:rsid w:val="002F7077"/>
    <w:rsid w:val="002F7193"/>
    <w:rsid w:val="002F731C"/>
    <w:rsid w:val="002F73DE"/>
    <w:rsid w:val="002F7488"/>
    <w:rsid w:val="002F75D5"/>
    <w:rsid w:val="002F75FD"/>
    <w:rsid w:val="002F7601"/>
    <w:rsid w:val="002F772E"/>
    <w:rsid w:val="002F792D"/>
    <w:rsid w:val="002F7E2D"/>
    <w:rsid w:val="00300041"/>
    <w:rsid w:val="00300082"/>
    <w:rsid w:val="003000D8"/>
    <w:rsid w:val="0030011F"/>
    <w:rsid w:val="00300148"/>
    <w:rsid w:val="0030036C"/>
    <w:rsid w:val="003004AD"/>
    <w:rsid w:val="003008CF"/>
    <w:rsid w:val="00300A65"/>
    <w:rsid w:val="00300A6E"/>
    <w:rsid w:val="00300AF0"/>
    <w:rsid w:val="00300B28"/>
    <w:rsid w:val="00300B63"/>
    <w:rsid w:val="00300C36"/>
    <w:rsid w:val="00300C6D"/>
    <w:rsid w:val="00300EBB"/>
    <w:rsid w:val="00300ED4"/>
    <w:rsid w:val="00300F0F"/>
    <w:rsid w:val="00300FE5"/>
    <w:rsid w:val="0030100F"/>
    <w:rsid w:val="0030103A"/>
    <w:rsid w:val="0030110A"/>
    <w:rsid w:val="0030117C"/>
    <w:rsid w:val="00301327"/>
    <w:rsid w:val="00301373"/>
    <w:rsid w:val="00301641"/>
    <w:rsid w:val="00301681"/>
    <w:rsid w:val="0030174E"/>
    <w:rsid w:val="003017B8"/>
    <w:rsid w:val="003017C7"/>
    <w:rsid w:val="0030189A"/>
    <w:rsid w:val="003018F7"/>
    <w:rsid w:val="0030192E"/>
    <w:rsid w:val="003019ED"/>
    <w:rsid w:val="00301B35"/>
    <w:rsid w:val="00301C6D"/>
    <w:rsid w:val="00301DD2"/>
    <w:rsid w:val="00301DEF"/>
    <w:rsid w:val="00301E16"/>
    <w:rsid w:val="00301EC6"/>
    <w:rsid w:val="00301EC9"/>
    <w:rsid w:val="00301FAE"/>
    <w:rsid w:val="00302072"/>
    <w:rsid w:val="0030217C"/>
    <w:rsid w:val="0030222A"/>
    <w:rsid w:val="003022CC"/>
    <w:rsid w:val="00302386"/>
    <w:rsid w:val="0030256D"/>
    <w:rsid w:val="003026D4"/>
    <w:rsid w:val="00302798"/>
    <w:rsid w:val="00302930"/>
    <w:rsid w:val="0030294A"/>
    <w:rsid w:val="0030298C"/>
    <w:rsid w:val="00302A4D"/>
    <w:rsid w:val="00302BA1"/>
    <w:rsid w:val="00302BA7"/>
    <w:rsid w:val="00302D52"/>
    <w:rsid w:val="00302DD7"/>
    <w:rsid w:val="00302F61"/>
    <w:rsid w:val="00302FD7"/>
    <w:rsid w:val="00303103"/>
    <w:rsid w:val="00303149"/>
    <w:rsid w:val="00303200"/>
    <w:rsid w:val="003032BF"/>
    <w:rsid w:val="00303339"/>
    <w:rsid w:val="00303609"/>
    <w:rsid w:val="0030378D"/>
    <w:rsid w:val="00303A5B"/>
    <w:rsid w:val="00303ABD"/>
    <w:rsid w:val="00303B2C"/>
    <w:rsid w:val="00303E8F"/>
    <w:rsid w:val="00303F1E"/>
    <w:rsid w:val="00303F28"/>
    <w:rsid w:val="00304056"/>
    <w:rsid w:val="00304284"/>
    <w:rsid w:val="00304417"/>
    <w:rsid w:val="003044BD"/>
    <w:rsid w:val="00304503"/>
    <w:rsid w:val="00304573"/>
    <w:rsid w:val="00304A52"/>
    <w:rsid w:val="00304BC8"/>
    <w:rsid w:val="00304C97"/>
    <w:rsid w:val="00304CF8"/>
    <w:rsid w:val="00304D46"/>
    <w:rsid w:val="00305164"/>
    <w:rsid w:val="003053E8"/>
    <w:rsid w:val="003053F1"/>
    <w:rsid w:val="0030542B"/>
    <w:rsid w:val="003055B9"/>
    <w:rsid w:val="00305876"/>
    <w:rsid w:val="00305928"/>
    <w:rsid w:val="00305A60"/>
    <w:rsid w:val="00305AAD"/>
    <w:rsid w:val="00305D48"/>
    <w:rsid w:val="00305EE5"/>
    <w:rsid w:val="00305F61"/>
    <w:rsid w:val="00305FA6"/>
    <w:rsid w:val="003060B2"/>
    <w:rsid w:val="003065E7"/>
    <w:rsid w:val="0030665E"/>
    <w:rsid w:val="00306667"/>
    <w:rsid w:val="003066D2"/>
    <w:rsid w:val="00306869"/>
    <w:rsid w:val="003068BA"/>
    <w:rsid w:val="00306AE8"/>
    <w:rsid w:val="00306CF0"/>
    <w:rsid w:val="00306E1F"/>
    <w:rsid w:val="00307047"/>
    <w:rsid w:val="0030722C"/>
    <w:rsid w:val="003072FC"/>
    <w:rsid w:val="00307398"/>
    <w:rsid w:val="003073E2"/>
    <w:rsid w:val="003074B6"/>
    <w:rsid w:val="0030780E"/>
    <w:rsid w:val="0030783E"/>
    <w:rsid w:val="00307A66"/>
    <w:rsid w:val="00307ADD"/>
    <w:rsid w:val="00307B8F"/>
    <w:rsid w:val="00307E1B"/>
    <w:rsid w:val="003101A4"/>
    <w:rsid w:val="003101E5"/>
    <w:rsid w:val="00310202"/>
    <w:rsid w:val="0031039A"/>
    <w:rsid w:val="003103E0"/>
    <w:rsid w:val="00310468"/>
    <w:rsid w:val="003104D7"/>
    <w:rsid w:val="0031050C"/>
    <w:rsid w:val="00310557"/>
    <w:rsid w:val="00310625"/>
    <w:rsid w:val="00310688"/>
    <w:rsid w:val="00310909"/>
    <w:rsid w:val="00310B80"/>
    <w:rsid w:val="00310DBA"/>
    <w:rsid w:val="00310F08"/>
    <w:rsid w:val="00310FF1"/>
    <w:rsid w:val="003112F3"/>
    <w:rsid w:val="0031136D"/>
    <w:rsid w:val="00311511"/>
    <w:rsid w:val="00311562"/>
    <w:rsid w:val="003118FB"/>
    <w:rsid w:val="00311908"/>
    <w:rsid w:val="00311AFD"/>
    <w:rsid w:val="00311B47"/>
    <w:rsid w:val="00311C45"/>
    <w:rsid w:val="00311C7F"/>
    <w:rsid w:val="00311D47"/>
    <w:rsid w:val="00311D51"/>
    <w:rsid w:val="00311E80"/>
    <w:rsid w:val="00312118"/>
    <w:rsid w:val="003123E9"/>
    <w:rsid w:val="00312572"/>
    <w:rsid w:val="0031260C"/>
    <w:rsid w:val="003126F9"/>
    <w:rsid w:val="00312843"/>
    <w:rsid w:val="003128A2"/>
    <w:rsid w:val="00312A57"/>
    <w:rsid w:val="00312B06"/>
    <w:rsid w:val="00312BD4"/>
    <w:rsid w:val="00312C1B"/>
    <w:rsid w:val="00312DAB"/>
    <w:rsid w:val="00312DD9"/>
    <w:rsid w:val="0031312D"/>
    <w:rsid w:val="00313224"/>
    <w:rsid w:val="003132FB"/>
    <w:rsid w:val="003134EE"/>
    <w:rsid w:val="00313553"/>
    <w:rsid w:val="00313686"/>
    <w:rsid w:val="00313723"/>
    <w:rsid w:val="003137C4"/>
    <w:rsid w:val="00313A26"/>
    <w:rsid w:val="00313C0E"/>
    <w:rsid w:val="00314389"/>
    <w:rsid w:val="003145C4"/>
    <w:rsid w:val="003147C3"/>
    <w:rsid w:val="003148CF"/>
    <w:rsid w:val="00314DEE"/>
    <w:rsid w:val="00314EA6"/>
    <w:rsid w:val="00314F4B"/>
    <w:rsid w:val="00314F9C"/>
    <w:rsid w:val="00314FC7"/>
    <w:rsid w:val="0031516F"/>
    <w:rsid w:val="0031517E"/>
    <w:rsid w:val="003151C6"/>
    <w:rsid w:val="00315278"/>
    <w:rsid w:val="00315334"/>
    <w:rsid w:val="003153D1"/>
    <w:rsid w:val="003154D9"/>
    <w:rsid w:val="00315E2C"/>
    <w:rsid w:val="0031601D"/>
    <w:rsid w:val="003160DB"/>
    <w:rsid w:val="003160E3"/>
    <w:rsid w:val="00316134"/>
    <w:rsid w:val="00316176"/>
    <w:rsid w:val="003161A1"/>
    <w:rsid w:val="00316220"/>
    <w:rsid w:val="00316293"/>
    <w:rsid w:val="003163CC"/>
    <w:rsid w:val="003164F7"/>
    <w:rsid w:val="00316544"/>
    <w:rsid w:val="0031669F"/>
    <w:rsid w:val="00316822"/>
    <w:rsid w:val="003168B2"/>
    <w:rsid w:val="003168FF"/>
    <w:rsid w:val="00316980"/>
    <w:rsid w:val="003169E6"/>
    <w:rsid w:val="00316A51"/>
    <w:rsid w:val="00316AD3"/>
    <w:rsid w:val="00316C35"/>
    <w:rsid w:val="00316E21"/>
    <w:rsid w:val="00316E24"/>
    <w:rsid w:val="00316F51"/>
    <w:rsid w:val="00317090"/>
    <w:rsid w:val="00317091"/>
    <w:rsid w:val="003171A7"/>
    <w:rsid w:val="0031722B"/>
    <w:rsid w:val="00317308"/>
    <w:rsid w:val="0031732F"/>
    <w:rsid w:val="0031737D"/>
    <w:rsid w:val="003174F5"/>
    <w:rsid w:val="0031750D"/>
    <w:rsid w:val="00317546"/>
    <w:rsid w:val="0031794E"/>
    <w:rsid w:val="00317C54"/>
    <w:rsid w:val="00317D2B"/>
    <w:rsid w:val="00317D59"/>
    <w:rsid w:val="00317DCC"/>
    <w:rsid w:val="00317DDB"/>
    <w:rsid w:val="00320078"/>
    <w:rsid w:val="00320094"/>
    <w:rsid w:val="003200F7"/>
    <w:rsid w:val="00320158"/>
    <w:rsid w:val="003206BC"/>
    <w:rsid w:val="00320A6E"/>
    <w:rsid w:val="00320AE2"/>
    <w:rsid w:val="00320D5D"/>
    <w:rsid w:val="00320DA1"/>
    <w:rsid w:val="00320EBB"/>
    <w:rsid w:val="00320FA7"/>
    <w:rsid w:val="00321076"/>
    <w:rsid w:val="0032114A"/>
    <w:rsid w:val="00321383"/>
    <w:rsid w:val="00321429"/>
    <w:rsid w:val="00321804"/>
    <w:rsid w:val="0032192E"/>
    <w:rsid w:val="0032196E"/>
    <w:rsid w:val="00321CCA"/>
    <w:rsid w:val="00321D22"/>
    <w:rsid w:val="00321E45"/>
    <w:rsid w:val="00321ED1"/>
    <w:rsid w:val="00321F52"/>
    <w:rsid w:val="00322052"/>
    <w:rsid w:val="003221A7"/>
    <w:rsid w:val="00322553"/>
    <w:rsid w:val="00322722"/>
    <w:rsid w:val="00322894"/>
    <w:rsid w:val="003228A2"/>
    <w:rsid w:val="00322B04"/>
    <w:rsid w:val="00322B57"/>
    <w:rsid w:val="00322C3D"/>
    <w:rsid w:val="00322CE5"/>
    <w:rsid w:val="00322D18"/>
    <w:rsid w:val="00322D63"/>
    <w:rsid w:val="00322D67"/>
    <w:rsid w:val="00322D86"/>
    <w:rsid w:val="00322DA8"/>
    <w:rsid w:val="00322E05"/>
    <w:rsid w:val="00322E8B"/>
    <w:rsid w:val="00323050"/>
    <w:rsid w:val="0032320D"/>
    <w:rsid w:val="003232D0"/>
    <w:rsid w:val="0032382B"/>
    <w:rsid w:val="003238D3"/>
    <w:rsid w:val="00323B8D"/>
    <w:rsid w:val="00323BE3"/>
    <w:rsid w:val="00323CCD"/>
    <w:rsid w:val="00323E44"/>
    <w:rsid w:val="0032401E"/>
    <w:rsid w:val="003242F1"/>
    <w:rsid w:val="00324627"/>
    <w:rsid w:val="003246FA"/>
    <w:rsid w:val="00324942"/>
    <w:rsid w:val="00324960"/>
    <w:rsid w:val="00324990"/>
    <w:rsid w:val="00324A1E"/>
    <w:rsid w:val="00324B36"/>
    <w:rsid w:val="00324BC0"/>
    <w:rsid w:val="00324CA9"/>
    <w:rsid w:val="00324D25"/>
    <w:rsid w:val="00324DF3"/>
    <w:rsid w:val="00324E69"/>
    <w:rsid w:val="00324FDD"/>
    <w:rsid w:val="003250BA"/>
    <w:rsid w:val="0032514C"/>
    <w:rsid w:val="003252E4"/>
    <w:rsid w:val="003253CE"/>
    <w:rsid w:val="003254F1"/>
    <w:rsid w:val="00325534"/>
    <w:rsid w:val="003255BA"/>
    <w:rsid w:val="003256F2"/>
    <w:rsid w:val="003258AD"/>
    <w:rsid w:val="00325D60"/>
    <w:rsid w:val="00325E33"/>
    <w:rsid w:val="00325F46"/>
    <w:rsid w:val="00326021"/>
    <w:rsid w:val="00326203"/>
    <w:rsid w:val="00326395"/>
    <w:rsid w:val="003264F1"/>
    <w:rsid w:val="00326571"/>
    <w:rsid w:val="003266E8"/>
    <w:rsid w:val="003268FB"/>
    <w:rsid w:val="00326968"/>
    <w:rsid w:val="00326D1E"/>
    <w:rsid w:val="00326DD5"/>
    <w:rsid w:val="00326EB1"/>
    <w:rsid w:val="00326F27"/>
    <w:rsid w:val="0032718F"/>
    <w:rsid w:val="0032741C"/>
    <w:rsid w:val="0032742A"/>
    <w:rsid w:val="00327525"/>
    <w:rsid w:val="0032758A"/>
    <w:rsid w:val="003277A9"/>
    <w:rsid w:val="00327939"/>
    <w:rsid w:val="00327961"/>
    <w:rsid w:val="00327AF6"/>
    <w:rsid w:val="00327C27"/>
    <w:rsid w:val="00327F5B"/>
    <w:rsid w:val="00327F9A"/>
    <w:rsid w:val="00327FA3"/>
    <w:rsid w:val="00327FD0"/>
    <w:rsid w:val="00330001"/>
    <w:rsid w:val="00330091"/>
    <w:rsid w:val="003300E3"/>
    <w:rsid w:val="00330239"/>
    <w:rsid w:val="003302C3"/>
    <w:rsid w:val="003302E7"/>
    <w:rsid w:val="0033037B"/>
    <w:rsid w:val="00330497"/>
    <w:rsid w:val="003305ED"/>
    <w:rsid w:val="003305F4"/>
    <w:rsid w:val="00330AA1"/>
    <w:rsid w:val="00330C17"/>
    <w:rsid w:val="00330F23"/>
    <w:rsid w:val="0033115D"/>
    <w:rsid w:val="00331230"/>
    <w:rsid w:val="003314A4"/>
    <w:rsid w:val="0033175A"/>
    <w:rsid w:val="003317EC"/>
    <w:rsid w:val="00331887"/>
    <w:rsid w:val="00331951"/>
    <w:rsid w:val="00331A31"/>
    <w:rsid w:val="00331A8C"/>
    <w:rsid w:val="00331B39"/>
    <w:rsid w:val="00331E70"/>
    <w:rsid w:val="00331EA9"/>
    <w:rsid w:val="00331ED0"/>
    <w:rsid w:val="00331EF1"/>
    <w:rsid w:val="00331F52"/>
    <w:rsid w:val="00331F6E"/>
    <w:rsid w:val="00332108"/>
    <w:rsid w:val="003321B9"/>
    <w:rsid w:val="00332233"/>
    <w:rsid w:val="003326B5"/>
    <w:rsid w:val="003327DB"/>
    <w:rsid w:val="003329E1"/>
    <w:rsid w:val="00332CBC"/>
    <w:rsid w:val="00332CDC"/>
    <w:rsid w:val="00332D6A"/>
    <w:rsid w:val="00332D97"/>
    <w:rsid w:val="00333096"/>
    <w:rsid w:val="003330B2"/>
    <w:rsid w:val="003330F7"/>
    <w:rsid w:val="00333312"/>
    <w:rsid w:val="0033352A"/>
    <w:rsid w:val="0033357B"/>
    <w:rsid w:val="003336AD"/>
    <w:rsid w:val="00333812"/>
    <w:rsid w:val="00333AC9"/>
    <w:rsid w:val="00333E16"/>
    <w:rsid w:val="00333F5B"/>
    <w:rsid w:val="00334107"/>
    <w:rsid w:val="00334133"/>
    <w:rsid w:val="00334218"/>
    <w:rsid w:val="003345A5"/>
    <w:rsid w:val="003345C6"/>
    <w:rsid w:val="00334708"/>
    <w:rsid w:val="00334727"/>
    <w:rsid w:val="00334747"/>
    <w:rsid w:val="00334760"/>
    <w:rsid w:val="00334773"/>
    <w:rsid w:val="00334917"/>
    <w:rsid w:val="00334B29"/>
    <w:rsid w:val="00334CA9"/>
    <w:rsid w:val="00334F1A"/>
    <w:rsid w:val="00334F5B"/>
    <w:rsid w:val="00335057"/>
    <w:rsid w:val="00335201"/>
    <w:rsid w:val="0033535E"/>
    <w:rsid w:val="003353DD"/>
    <w:rsid w:val="003354DA"/>
    <w:rsid w:val="003357AE"/>
    <w:rsid w:val="0033584A"/>
    <w:rsid w:val="003358AB"/>
    <w:rsid w:val="00335916"/>
    <w:rsid w:val="003359BE"/>
    <w:rsid w:val="00335B72"/>
    <w:rsid w:val="00335C48"/>
    <w:rsid w:val="00335FDB"/>
    <w:rsid w:val="003360CC"/>
    <w:rsid w:val="00336383"/>
    <w:rsid w:val="0033638A"/>
    <w:rsid w:val="0033642B"/>
    <w:rsid w:val="00336457"/>
    <w:rsid w:val="00336555"/>
    <w:rsid w:val="003365C3"/>
    <w:rsid w:val="003365CA"/>
    <w:rsid w:val="0033665C"/>
    <w:rsid w:val="00336A3F"/>
    <w:rsid w:val="00336C52"/>
    <w:rsid w:val="00336C61"/>
    <w:rsid w:val="00336CFD"/>
    <w:rsid w:val="00336EF4"/>
    <w:rsid w:val="00336F87"/>
    <w:rsid w:val="00337249"/>
    <w:rsid w:val="003373A2"/>
    <w:rsid w:val="00337A7A"/>
    <w:rsid w:val="00337D4F"/>
    <w:rsid w:val="00337D7C"/>
    <w:rsid w:val="00340057"/>
    <w:rsid w:val="003401D2"/>
    <w:rsid w:val="0034042B"/>
    <w:rsid w:val="003404F1"/>
    <w:rsid w:val="003407C1"/>
    <w:rsid w:val="003408E5"/>
    <w:rsid w:val="003408FB"/>
    <w:rsid w:val="003409C4"/>
    <w:rsid w:val="00340AC8"/>
    <w:rsid w:val="00340D14"/>
    <w:rsid w:val="00340D7B"/>
    <w:rsid w:val="00340FDC"/>
    <w:rsid w:val="00341016"/>
    <w:rsid w:val="00341025"/>
    <w:rsid w:val="0034119C"/>
    <w:rsid w:val="0034128F"/>
    <w:rsid w:val="003413C7"/>
    <w:rsid w:val="0034142A"/>
    <w:rsid w:val="00341560"/>
    <w:rsid w:val="00341AE5"/>
    <w:rsid w:val="00341F33"/>
    <w:rsid w:val="003420B9"/>
    <w:rsid w:val="0034221E"/>
    <w:rsid w:val="00342246"/>
    <w:rsid w:val="003424D7"/>
    <w:rsid w:val="00342540"/>
    <w:rsid w:val="00342557"/>
    <w:rsid w:val="003426C8"/>
    <w:rsid w:val="003427CC"/>
    <w:rsid w:val="00342874"/>
    <w:rsid w:val="0034287A"/>
    <w:rsid w:val="00342B9C"/>
    <w:rsid w:val="00342C6B"/>
    <w:rsid w:val="00342CED"/>
    <w:rsid w:val="00342D23"/>
    <w:rsid w:val="00342D5B"/>
    <w:rsid w:val="00342E94"/>
    <w:rsid w:val="00342F12"/>
    <w:rsid w:val="00342F2E"/>
    <w:rsid w:val="003430D4"/>
    <w:rsid w:val="00343139"/>
    <w:rsid w:val="0034335A"/>
    <w:rsid w:val="00343421"/>
    <w:rsid w:val="003435CA"/>
    <w:rsid w:val="00343764"/>
    <w:rsid w:val="0034399A"/>
    <w:rsid w:val="00343AD2"/>
    <w:rsid w:val="00343B4D"/>
    <w:rsid w:val="00343CEB"/>
    <w:rsid w:val="00343D53"/>
    <w:rsid w:val="00343D57"/>
    <w:rsid w:val="00343E79"/>
    <w:rsid w:val="00343FE0"/>
    <w:rsid w:val="0034405C"/>
    <w:rsid w:val="003440C9"/>
    <w:rsid w:val="0034430A"/>
    <w:rsid w:val="00344364"/>
    <w:rsid w:val="0034436D"/>
    <w:rsid w:val="00344419"/>
    <w:rsid w:val="0034477A"/>
    <w:rsid w:val="00344897"/>
    <w:rsid w:val="00344AB5"/>
    <w:rsid w:val="00344EBF"/>
    <w:rsid w:val="00345112"/>
    <w:rsid w:val="00345131"/>
    <w:rsid w:val="00345158"/>
    <w:rsid w:val="00345253"/>
    <w:rsid w:val="003454F6"/>
    <w:rsid w:val="0034557D"/>
    <w:rsid w:val="003455A0"/>
    <w:rsid w:val="003457F6"/>
    <w:rsid w:val="003458B4"/>
    <w:rsid w:val="003459B7"/>
    <w:rsid w:val="003459DA"/>
    <w:rsid w:val="00345A5C"/>
    <w:rsid w:val="00345B13"/>
    <w:rsid w:val="00345B6E"/>
    <w:rsid w:val="00345BDC"/>
    <w:rsid w:val="00345C24"/>
    <w:rsid w:val="00345CE3"/>
    <w:rsid w:val="00345D79"/>
    <w:rsid w:val="00345F85"/>
    <w:rsid w:val="00345FEB"/>
    <w:rsid w:val="003461C5"/>
    <w:rsid w:val="00346203"/>
    <w:rsid w:val="003463FE"/>
    <w:rsid w:val="0034651F"/>
    <w:rsid w:val="0034657F"/>
    <w:rsid w:val="003465EA"/>
    <w:rsid w:val="0034676A"/>
    <w:rsid w:val="00346848"/>
    <w:rsid w:val="003469E0"/>
    <w:rsid w:val="00346C08"/>
    <w:rsid w:val="00346C13"/>
    <w:rsid w:val="00346E90"/>
    <w:rsid w:val="00346ECF"/>
    <w:rsid w:val="00346F03"/>
    <w:rsid w:val="00346FA7"/>
    <w:rsid w:val="00346FC2"/>
    <w:rsid w:val="0034702A"/>
    <w:rsid w:val="00347140"/>
    <w:rsid w:val="003471A7"/>
    <w:rsid w:val="003471D7"/>
    <w:rsid w:val="00347219"/>
    <w:rsid w:val="003473ED"/>
    <w:rsid w:val="0034746C"/>
    <w:rsid w:val="00347478"/>
    <w:rsid w:val="003474D3"/>
    <w:rsid w:val="003475B8"/>
    <w:rsid w:val="003477CD"/>
    <w:rsid w:val="00347AEB"/>
    <w:rsid w:val="00347BCE"/>
    <w:rsid w:val="00347CBF"/>
    <w:rsid w:val="00347CCC"/>
    <w:rsid w:val="00347CDC"/>
    <w:rsid w:val="00347E69"/>
    <w:rsid w:val="00347F93"/>
    <w:rsid w:val="0035000A"/>
    <w:rsid w:val="0035001F"/>
    <w:rsid w:val="00350108"/>
    <w:rsid w:val="003501B7"/>
    <w:rsid w:val="003502AF"/>
    <w:rsid w:val="003502BA"/>
    <w:rsid w:val="00350402"/>
    <w:rsid w:val="00350433"/>
    <w:rsid w:val="003504BA"/>
    <w:rsid w:val="0035050D"/>
    <w:rsid w:val="003506DF"/>
    <w:rsid w:val="0035093A"/>
    <w:rsid w:val="00350A9B"/>
    <w:rsid w:val="00350D70"/>
    <w:rsid w:val="00350DAC"/>
    <w:rsid w:val="00350F93"/>
    <w:rsid w:val="00350FAC"/>
    <w:rsid w:val="00351242"/>
    <w:rsid w:val="0035140E"/>
    <w:rsid w:val="00351473"/>
    <w:rsid w:val="0035148A"/>
    <w:rsid w:val="0035158B"/>
    <w:rsid w:val="003515E9"/>
    <w:rsid w:val="00351A3E"/>
    <w:rsid w:val="00351B72"/>
    <w:rsid w:val="00351C2D"/>
    <w:rsid w:val="00351C8E"/>
    <w:rsid w:val="00351CE8"/>
    <w:rsid w:val="00351E81"/>
    <w:rsid w:val="00351ED7"/>
    <w:rsid w:val="00351EE9"/>
    <w:rsid w:val="00351FBD"/>
    <w:rsid w:val="003520E5"/>
    <w:rsid w:val="00352125"/>
    <w:rsid w:val="0035213F"/>
    <w:rsid w:val="003521A8"/>
    <w:rsid w:val="00352395"/>
    <w:rsid w:val="003525F2"/>
    <w:rsid w:val="003526F9"/>
    <w:rsid w:val="00352946"/>
    <w:rsid w:val="0035294B"/>
    <w:rsid w:val="00352971"/>
    <w:rsid w:val="00352E06"/>
    <w:rsid w:val="00352F51"/>
    <w:rsid w:val="00353029"/>
    <w:rsid w:val="0035305F"/>
    <w:rsid w:val="00353416"/>
    <w:rsid w:val="0035359F"/>
    <w:rsid w:val="00353691"/>
    <w:rsid w:val="003537B8"/>
    <w:rsid w:val="003539F5"/>
    <w:rsid w:val="00353A1E"/>
    <w:rsid w:val="00353A4A"/>
    <w:rsid w:val="00353C16"/>
    <w:rsid w:val="00353CE4"/>
    <w:rsid w:val="00353D5A"/>
    <w:rsid w:val="00353D6B"/>
    <w:rsid w:val="00354072"/>
    <w:rsid w:val="00354324"/>
    <w:rsid w:val="00354375"/>
    <w:rsid w:val="0035454D"/>
    <w:rsid w:val="003546A3"/>
    <w:rsid w:val="00354750"/>
    <w:rsid w:val="003547F2"/>
    <w:rsid w:val="003548B4"/>
    <w:rsid w:val="003549B0"/>
    <w:rsid w:val="00354A07"/>
    <w:rsid w:val="00354B14"/>
    <w:rsid w:val="00354D73"/>
    <w:rsid w:val="00354E3B"/>
    <w:rsid w:val="00354F3F"/>
    <w:rsid w:val="00354F5B"/>
    <w:rsid w:val="0035504D"/>
    <w:rsid w:val="00355253"/>
    <w:rsid w:val="00355440"/>
    <w:rsid w:val="0035559D"/>
    <w:rsid w:val="003555C2"/>
    <w:rsid w:val="00355601"/>
    <w:rsid w:val="0035562A"/>
    <w:rsid w:val="00355643"/>
    <w:rsid w:val="0035582C"/>
    <w:rsid w:val="00355A00"/>
    <w:rsid w:val="00355A03"/>
    <w:rsid w:val="00355CAB"/>
    <w:rsid w:val="00355CE2"/>
    <w:rsid w:val="00355CED"/>
    <w:rsid w:val="00355EC8"/>
    <w:rsid w:val="003560D9"/>
    <w:rsid w:val="00356322"/>
    <w:rsid w:val="00356381"/>
    <w:rsid w:val="003563EF"/>
    <w:rsid w:val="00356488"/>
    <w:rsid w:val="00356811"/>
    <w:rsid w:val="00356986"/>
    <w:rsid w:val="00356D2D"/>
    <w:rsid w:val="00356DD4"/>
    <w:rsid w:val="0035701D"/>
    <w:rsid w:val="00357048"/>
    <w:rsid w:val="00357089"/>
    <w:rsid w:val="003570DA"/>
    <w:rsid w:val="0035721A"/>
    <w:rsid w:val="003572AB"/>
    <w:rsid w:val="0035735A"/>
    <w:rsid w:val="0035755A"/>
    <w:rsid w:val="003575BB"/>
    <w:rsid w:val="00357768"/>
    <w:rsid w:val="0035785C"/>
    <w:rsid w:val="003578DD"/>
    <w:rsid w:val="003579C6"/>
    <w:rsid w:val="00357C3E"/>
    <w:rsid w:val="003600D4"/>
    <w:rsid w:val="00360224"/>
    <w:rsid w:val="00360257"/>
    <w:rsid w:val="00360267"/>
    <w:rsid w:val="00360286"/>
    <w:rsid w:val="0036050D"/>
    <w:rsid w:val="00360633"/>
    <w:rsid w:val="003607A9"/>
    <w:rsid w:val="00360AF0"/>
    <w:rsid w:val="00360C55"/>
    <w:rsid w:val="00360E46"/>
    <w:rsid w:val="00360FB1"/>
    <w:rsid w:val="00361072"/>
    <w:rsid w:val="00361141"/>
    <w:rsid w:val="0036122D"/>
    <w:rsid w:val="00361484"/>
    <w:rsid w:val="003614CB"/>
    <w:rsid w:val="003615C3"/>
    <w:rsid w:val="00361613"/>
    <w:rsid w:val="00361A5A"/>
    <w:rsid w:val="00361C51"/>
    <w:rsid w:val="003620D1"/>
    <w:rsid w:val="003620E0"/>
    <w:rsid w:val="003621E3"/>
    <w:rsid w:val="0036241A"/>
    <w:rsid w:val="00362427"/>
    <w:rsid w:val="00362456"/>
    <w:rsid w:val="003624AB"/>
    <w:rsid w:val="0036256E"/>
    <w:rsid w:val="0036263D"/>
    <w:rsid w:val="003626FA"/>
    <w:rsid w:val="003628C3"/>
    <w:rsid w:val="003628C6"/>
    <w:rsid w:val="00362A9E"/>
    <w:rsid w:val="00362B4B"/>
    <w:rsid w:val="00362B8D"/>
    <w:rsid w:val="00362C64"/>
    <w:rsid w:val="00362E38"/>
    <w:rsid w:val="003630C8"/>
    <w:rsid w:val="003630EA"/>
    <w:rsid w:val="00363444"/>
    <w:rsid w:val="003634D7"/>
    <w:rsid w:val="003636AC"/>
    <w:rsid w:val="0036372A"/>
    <w:rsid w:val="003637AF"/>
    <w:rsid w:val="00363837"/>
    <w:rsid w:val="00363856"/>
    <w:rsid w:val="0036389B"/>
    <w:rsid w:val="00363984"/>
    <w:rsid w:val="00363A62"/>
    <w:rsid w:val="00363AB5"/>
    <w:rsid w:val="00363C2B"/>
    <w:rsid w:val="00363C4E"/>
    <w:rsid w:val="00363CDF"/>
    <w:rsid w:val="00363D2F"/>
    <w:rsid w:val="00363D7B"/>
    <w:rsid w:val="00363E0E"/>
    <w:rsid w:val="00363EA4"/>
    <w:rsid w:val="00363F43"/>
    <w:rsid w:val="00363FE3"/>
    <w:rsid w:val="003640C3"/>
    <w:rsid w:val="00364118"/>
    <w:rsid w:val="00364162"/>
    <w:rsid w:val="003641A2"/>
    <w:rsid w:val="0036443E"/>
    <w:rsid w:val="00364535"/>
    <w:rsid w:val="00364761"/>
    <w:rsid w:val="00364882"/>
    <w:rsid w:val="0036496B"/>
    <w:rsid w:val="00364B2B"/>
    <w:rsid w:val="00364E76"/>
    <w:rsid w:val="003650CB"/>
    <w:rsid w:val="003654C0"/>
    <w:rsid w:val="003655A3"/>
    <w:rsid w:val="003658E4"/>
    <w:rsid w:val="003658F9"/>
    <w:rsid w:val="00365908"/>
    <w:rsid w:val="00365AED"/>
    <w:rsid w:val="00365B2F"/>
    <w:rsid w:val="00365C39"/>
    <w:rsid w:val="00365CB7"/>
    <w:rsid w:val="00365D45"/>
    <w:rsid w:val="00366303"/>
    <w:rsid w:val="00366329"/>
    <w:rsid w:val="003663CC"/>
    <w:rsid w:val="00366470"/>
    <w:rsid w:val="0036647E"/>
    <w:rsid w:val="00366535"/>
    <w:rsid w:val="00366693"/>
    <w:rsid w:val="003667B2"/>
    <w:rsid w:val="00366858"/>
    <w:rsid w:val="003669DB"/>
    <w:rsid w:val="00366A0A"/>
    <w:rsid w:val="00366AB9"/>
    <w:rsid w:val="00366B0E"/>
    <w:rsid w:val="00366C6E"/>
    <w:rsid w:val="00366D82"/>
    <w:rsid w:val="00366DA9"/>
    <w:rsid w:val="00366F7B"/>
    <w:rsid w:val="00367028"/>
    <w:rsid w:val="0036716E"/>
    <w:rsid w:val="0036721E"/>
    <w:rsid w:val="003673ED"/>
    <w:rsid w:val="003673F3"/>
    <w:rsid w:val="00367448"/>
    <w:rsid w:val="003675F5"/>
    <w:rsid w:val="00367A13"/>
    <w:rsid w:val="00367C06"/>
    <w:rsid w:val="00367D08"/>
    <w:rsid w:val="00367D3C"/>
    <w:rsid w:val="00367DC7"/>
    <w:rsid w:val="00370364"/>
    <w:rsid w:val="0037038D"/>
    <w:rsid w:val="003703E4"/>
    <w:rsid w:val="0037049B"/>
    <w:rsid w:val="003704D1"/>
    <w:rsid w:val="003705D6"/>
    <w:rsid w:val="00370A96"/>
    <w:rsid w:val="00370B16"/>
    <w:rsid w:val="00370BF4"/>
    <w:rsid w:val="00370E7F"/>
    <w:rsid w:val="00371083"/>
    <w:rsid w:val="00371190"/>
    <w:rsid w:val="00371453"/>
    <w:rsid w:val="00371520"/>
    <w:rsid w:val="00371535"/>
    <w:rsid w:val="00371557"/>
    <w:rsid w:val="003715E7"/>
    <w:rsid w:val="003716AC"/>
    <w:rsid w:val="003716FA"/>
    <w:rsid w:val="00371861"/>
    <w:rsid w:val="00371AA4"/>
    <w:rsid w:val="00371D2E"/>
    <w:rsid w:val="00371D41"/>
    <w:rsid w:val="00371D94"/>
    <w:rsid w:val="00371EA4"/>
    <w:rsid w:val="00371EF0"/>
    <w:rsid w:val="00371F52"/>
    <w:rsid w:val="00371F95"/>
    <w:rsid w:val="0037203D"/>
    <w:rsid w:val="003720B7"/>
    <w:rsid w:val="003720EB"/>
    <w:rsid w:val="003721A1"/>
    <w:rsid w:val="0037222E"/>
    <w:rsid w:val="003722C0"/>
    <w:rsid w:val="003723C6"/>
    <w:rsid w:val="0037250F"/>
    <w:rsid w:val="00372652"/>
    <w:rsid w:val="00372701"/>
    <w:rsid w:val="00372722"/>
    <w:rsid w:val="003727A1"/>
    <w:rsid w:val="003727B8"/>
    <w:rsid w:val="0037280E"/>
    <w:rsid w:val="003728F5"/>
    <w:rsid w:val="00372993"/>
    <w:rsid w:val="003729D9"/>
    <w:rsid w:val="00372A0C"/>
    <w:rsid w:val="00372B45"/>
    <w:rsid w:val="00372C05"/>
    <w:rsid w:val="00372D6D"/>
    <w:rsid w:val="00372DF6"/>
    <w:rsid w:val="0037302B"/>
    <w:rsid w:val="0037309C"/>
    <w:rsid w:val="003732A7"/>
    <w:rsid w:val="00373768"/>
    <w:rsid w:val="003738B8"/>
    <w:rsid w:val="00373900"/>
    <w:rsid w:val="00373C00"/>
    <w:rsid w:val="00373C5A"/>
    <w:rsid w:val="00373E0B"/>
    <w:rsid w:val="00373E16"/>
    <w:rsid w:val="00373E39"/>
    <w:rsid w:val="00374040"/>
    <w:rsid w:val="00374042"/>
    <w:rsid w:val="0037418E"/>
    <w:rsid w:val="00374252"/>
    <w:rsid w:val="003742AF"/>
    <w:rsid w:val="0037450C"/>
    <w:rsid w:val="00374656"/>
    <w:rsid w:val="00374879"/>
    <w:rsid w:val="003749F1"/>
    <w:rsid w:val="00374A10"/>
    <w:rsid w:val="00374A46"/>
    <w:rsid w:val="00374B73"/>
    <w:rsid w:val="00374C7C"/>
    <w:rsid w:val="00374E57"/>
    <w:rsid w:val="00374F8D"/>
    <w:rsid w:val="00375012"/>
    <w:rsid w:val="0037506F"/>
    <w:rsid w:val="003752B7"/>
    <w:rsid w:val="0037530A"/>
    <w:rsid w:val="003756A2"/>
    <w:rsid w:val="003757E4"/>
    <w:rsid w:val="00375851"/>
    <w:rsid w:val="003758B8"/>
    <w:rsid w:val="003758E6"/>
    <w:rsid w:val="00375973"/>
    <w:rsid w:val="00375990"/>
    <w:rsid w:val="003759AF"/>
    <w:rsid w:val="003759D6"/>
    <w:rsid w:val="00375A46"/>
    <w:rsid w:val="00375C0E"/>
    <w:rsid w:val="00375C38"/>
    <w:rsid w:val="00375CFE"/>
    <w:rsid w:val="00375D3B"/>
    <w:rsid w:val="00375E7B"/>
    <w:rsid w:val="00376132"/>
    <w:rsid w:val="003761A5"/>
    <w:rsid w:val="003761B5"/>
    <w:rsid w:val="00376329"/>
    <w:rsid w:val="00376523"/>
    <w:rsid w:val="003765D2"/>
    <w:rsid w:val="00376780"/>
    <w:rsid w:val="00376870"/>
    <w:rsid w:val="003769C7"/>
    <w:rsid w:val="0037719D"/>
    <w:rsid w:val="003771F0"/>
    <w:rsid w:val="0037728B"/>
    <w:rsid w:val="00377314"/>
    <w:rsid w:val="00377352"/>
    <w:rsid w:val="0037740B"/>
    <w:rsid w:val="00377515"/>
    <w:rsid w:val="00377757"/>
    <w:rsid w:val="00377765"/>
    <w:rsid w:val="0037777A"/>
    <w:rsid w:val="003777B3"/>
    <w:rsid w:val="003777BE"/>
    <w:rsid w:val="00377B56"/>
    <w:rsid w:val="00377E67"/>
    <w:rsid w:val="0038010F"/>
    <w:rsid w:val="00380178"/>
    <w:rsid w:val="00380328"/>
    <w:rsid w:val="003803E1"/>
    <w:rsid w:val="00380522"/>
    <w:rsid w:val="00380686"/>
    <w:rsid w:val="00380759"/>
    <w:rsid w:val="003807A7"/>
    <w:rsid w:val="00380822"/>
    <w:rsid w:val="003808F2"/>
    <w:rsid w:val="0038094F"/>
    <w:rsid w:val="00380A06"/>
    <w:rsid w:val="00380AD6"/>
    <w:rsid w:val="00380CE6"/>
    <w:rsid w:val="00380DAA"/>
    <w:rsid w:val="00380DC0"/>
    <w:rsid w:val="00380F04"/>
    <w:rsid w:val="00380FDB"/>
    <w:rsid w:val="00381055"/>
    <w:rsid w:val="00381084"/>
    <w:rsid w:val="0038109A"/>
    <w:rsid w:val="0038116A"/>
    <w:rsid w:val="003812B5"/>
    <w:rsid w:val="003812C2"/>
    <w:rsid w:val="00381645"/>
    <w:rsid w:val="00381710"/>
    <w:rsid w:val="00381841"/>
    <w:rsid w:val="00381844"/>
    <w:rsid w:val="0038184B"/>
    <w:rsid w:val="00381A20"/>
    <w:rsid w:val="00381E1A"/>
    <w:rsid w:val="00381E3A"/>
    <w:rsid w:val="00381E7C"/>
    <w:rsid w:val="0038225C"/>
    <w:rsid w:val="00382291"/>
    <w:rsid w:val="00382342"/>
    <w:rsid w:val="00382563"/>
    <w:rsid w:val="00382598"/>
    <w:rsid w:val="00382716"/>
    <w:rsid w:val="00382922"/>
    <w:rsid w:val="00382948"/>
    <w:rsid w:val="00382A43"/>
    <w:rsid w:val="00382AE1"/>
    <w:rsid w:val="00382C7E"/>
    <w:rsid w:val="00382D07"/>
    <w:rsid w:val="00382E64"/>
    <w:rsid w:val="003831A2"/>
    <w:rsid w:val="003835DA"/>
    <w:rsid w:val="0038376F"/>
    <w:rsid w:val="003837F1"/>
    <w:rsid w:val="003838E3"/>
    <w:rsid w:val="003839F1"/>
    <w:rsid w:val="00383B84"/>
    <w:rsid w:val="00383D89"/>
    <w:rsid w:val="00383EF0"/>
    <w:rsid w:val="00383F15"/>
    <w:rsid w:val="00383F4F"/>
    <w:rsid w:val="00383F7E"/>
    <w:rsid w:val="00384157"/>
    <w:rsid w:val="003841B6"/>
    <w:rsid w:val="003841DF"/>
    <w:rsid w:val="0038429A"/>
    <w:rsid w:val="00384306"/>
    <w:rsid w:val="00384318"/>
    <w:rsid w:val="0038442E"/>
    <w:rsid w:val="003844AA"/>
    <w:rsid w:val="003844B6"/>
    <w:rsid w:val="003846DC"/>
    <w:rsid w:val="0038474F"/>
    <w:rsid w:val="00384828"/>
    <w:rsid w:val="003848BA"/>
    <w:rsid w:val="00384980"/>
    <w:rsid w:val="00384D06"/>
    <w:rsid w:val="00385198"/>
    <w:rsid w:val="00385540"/>
    <w:rsid w:val="00385676"/>
    <w:rsid w:val="003856BF"/>
    <w:rsid w:val="003856F2"/>
    <w:rsid w:val="0038575B"/>
    <w:rsid w:val="003857AE"/>
    <w:rsid w:val="00385A37"/>
    <w:rsid w:val="00385B06"/>
    <w:rsid w:val="00385CF0"/>
    <w:rsid w:val="00385E02"/>
    <w:rsid w:val="00385E4A"/>
    <w:rsid w:val="00385EAE"/>
    <w:rsid w:val="00385FB8"/>
    <w:rsid w:val="00386098"/>
    <w:rsid w:val="003860DC"/>
    <w:rsid w:val="0038612F"/>
    <w:rsid w:val="0038615C"/>
    <w:rsid w:val="00386237"/>
    <w:rsid w:val="00386481"/>
    <w:rsid w:val="0038655A"/>
    <w:rsid w:val="0038672F"/>
    <w:rsid w:val="0038679D"/>
    <w:rsid w:val="003867A7"/>
    <w:rsid w:val="003867D2"/>
    <w:rsid w:val="00386849"/>
    <w:rsid w:val="00386884"/>
    <w:rsid w:val="00386ADD"/>
    <w:rsid w:val="00386C20"/>
    <w:rsid w:val="00386C2E"/>
    <w:rsid w:val="00386CB5"/>
    <w:rsid w:val="00386FD9"/>
    <w:rsid w:val="003871C8"/>
    <w:rsid w:val="0038721F"/>
    <w:rsid w:val="003872F3"/>
    <w:rsid w:val="0038730E"/>
    <w:rsid w:val="00387463"/>
    <w:rsid w:val="00387632"/>
    <w:rsid w:val="0038782E"/>
    <w:rsid w:val="0038794D"/>
    <w:rsid w:val="00387A3D"/>
    <w:rsid w:val="00387B65"/>
    <w:rsid w:val="00387D47"/>
    <w:rsid w:val="00387FA5"/>
    <w:rsid w:val="0039005D"/>
    <w:rsid w:val="0039024F"/>
    <w:rsid w:val="003903F8"/>
    <w:rsid w:val="0039067E"/>
    <w:rsid w:val="00390710"/>
    <w:rsid w:val="0039076E"/>
    <w:rsid w:val="0039078C"/>
    <w:rsid w:val="00390800"/>
    <w:rsid w:val="003908D2"/>
    <w:rsid w:val="0039090D"/>
    <w:rsid w:val="00390979"/>
    <w:rsid w:val="00390AA3"/>
    <w:rsid w:val="00390AB1"/>
    <w:rsid w:val="00390BC3"/>
    <w:rsid w:val="00390BE5"/>
    <w:rsid w:val="00390C6B"/>
    <w:rsid w:val="00390D38"/>
    <w:rsid w:val="00390E66"/>
    <w:rsid w:val="00390F60"/>
    <w:rsid w:val="00390F90"/>
    <w:rsid w:val="00390FB1"/>
    <w:rsid w:val="00391115"/>
    <w:rsid w:val="0039114B"/>
    <w:rsid w:val="00391451"/>
    <w:rsid w:val="003914E6"/>
    <w:rsid w:val="0039153E"/>
    <w:rsid w:val="00391599"/>
    <w:rsid w:val="003915A3"/>
    <w:rsid w:val="003915F6"/>
    <w:rsid w:val="0039160F"/>
    <w:rsid w:val="00391645"/>
    <w:rsid w:val="003916B5"/>
    <w:rsid w:val="003916E4"/>
    <w:rsid w:val="003917EC"/>
    <w:rsid w:val="00391932"/>
    <w:rsid w:val="003919DF"/>
    <w:rsid w:val="00391B5E"/>
    <w:rsid w:val="00392141"/>
    <w:rsid w:val="003921F9"/>
    <w:rsid w:val="00392302"/>
    <w:rsid w:val="003925DB"/>
    <w:rsid w:val="00392735"/>
    <w:rsid w:val="003928C5"/>
    <w:rsid w:val="00392A0F"/>
    <w:rsid w:val="00392B3D"/>
    <w:rsid w:val="00392C0D"/>
    <w:rsid w:val="00392CA0"/>
    <w:rsid w:val="00392F6E"/>
    <w:rsid w:val="00392FE9"/>
    <w:rsid w:val="003930E2"/>
    <w:rsid w:val="00393128"/>
    <w:rsid w:val="0039325B"/>
    <w:rsid w:val="003933B8"/>
    <w:rsid w:val="0039375B"/>
    <w:rsid w:val="00393784"/>
    <w:rsid w:val="0039380B"/>
    <w:rsid w:val="0039391E"/>
    <w:rsid w:val="00393A18"/>
    <w:rsid w:val="00393AAC"/>
    <w:rsid w:val="00393DF3"/>
    <w:rsid w:val="00393DFF"/>
    <w:rsid w:val="0039423E"/>
    <w:rsid w:val="00394441"/>
    <w:rsid w:val="0039445A"/>
    <w:rsid w:val="00394492"/>
    <w:rsid w:val="0039463B"/>
    <w:rsid w:val="0039478C"/>
    <w:rsid w:val="003947E3"/>
    <w:rsid w:val="00394937"/>
    <w:rsid w:val="00394B94"/>
    <w:rsid w:val="00394E06"/>
    <w:rsid w:val="0039508B"/>
    <w:rsid w:val="003950F5"/>
    <w:rsid w:val="0039514C"/>
    <w:rsid w:val="00395250"/>
    <w:rsid w:val="0039529C"/>
    <w:rsid w:val="0039530F"/>
    <w:rsid w:val="00395325"/>
    <w:rsid w:val="00395473"/>
    <w:rsid w:val="0039560B"/>
    <w:rsid w:val="003956F6"/>
    <w:rsid w:val="00395715"/>
    <w:rsid w:val="00395B3F"/>
    <w:rsid w:val="00395C50"/>
    <w:rsid w:val="00395DFF"/>
    <w:rsid w:val="00395F13"/>
    <w:rsid w:val="00395FA7"/>
    <w:rsid w:val="00395FAD"/>
    <w:rsid w:val="00396040"/>
    <w:rsid w:val="00396212"/>
    <w:rsid w:val="0039637C"/>
    <w:rsid w:val="00396432"/>
    <w:rsid w:val="00396534"/>
    <w:rsid w:val="003966BC"/>
    <w:rsid w:val="00396761"/>
    <w:rsid w:val="003967A2"/>
    <w:rsid w:val="00396899"/>
    <w:rsid w:val="00396BA3"/>
    <w:rsid w:val="00396C8C"/>
    <w:rsid w:val="00396CC2"/>
    <w:rsid w:val="00396DB5"/>
    <w:rsid w:val="00396E04"/>
    <w:rsid w:val="003970BF"/>
    <w:rsid w:val="0039712C"/>
    <w:rsid w:val="00397268"/>
    <w:rsid w:val="0039728D"/>
    <w:rsid w:val="00397319"/>
    <w:rsid w:val="00397378"/>
    <w:rsid w:val="00397438"/>
    <w:rsid w:val="0039743A"/>
    <w:rsid w:val="0039772A"/>
    <w:rsid w:val="00397742"/>
    <w:rsid w:val="00397786"/>
    <w:rsid w:val="003978A0"/>
    <w:rsid w:val="00397966"/>
    <w:rsid w:val="00397991"/>
    <w:rsid w:val="003979B8"/>
    <w:rsid w:val="00397CDB"/>
    <w:rsid w:val="00397FAF"/>
    <w:rsid w:val="003A0240"/>
    <w:rsid w:val="003A036F"/>
    <w:rsid w:val="003A03AB"/>
    <w:rsid w:val="003A063C"/>
    <w:rsid w:val="003A0844"/>
    <w:rsid w:val="003A08D4"/>
    <w:rsid w:val="003A09F9"/>
    <w:rsid w:val="003A0A22"/>
    <w:rsid w:val="003A0A79"/>
    <w:rsid w:val="003A0BBE"/>
    <w:rsid w:val="003A0D3D"/>
    <w:rsid w:val="003A0DB7"/>
    <w:rsid w:val="003A0EE5"/>
    <w:rsid w:val="003A1136"/>
    <w:rsid w:val="003A114A"/>
    <w:rsid w:val="003A11F6"/>
    <w:rsid w:val="003A1277"/>
    <w:rsid w:val="003A1278"/>
    <w:rsid w:val="003A1353"/>
    <w:rsid w:val="003A1363"/>
    <w:rsid w:val="003A19E3"/>
    <w:rsid w:val="003A1A00"/>
    <w:rsid w:val="003A1AF5"/>
    <w:rsid w:val="003A1B76"/>
    <w:rsid w:val="003A1BC0"/>
    <w:rsid w:val="003A1C49"/>
    <w:rsid w:val="003A1DBC"/>
    <w:rsid w:val="003A1E57"/>
    <w:rsid w:val="003A1ECA"/>
    <w:rsid w:val="003A2137"/>
    <w:rsid w:val="003A2158"/>
    <w:rsid w:val="003A255D"/>
    <w:rsid w:val="003A2623"/>
    <w:rsid w:val="003A281A"/>
    <w:rsid w:val="003A28BA"/>
    <w:rsid w:val="003A28DB"/>
    <w:rsid w:val="003A293B"/>
    <w:rsid w:val="003A29B9"/>
    <w:rsid w:val="003A29C8"/>
    <w:rsid w:val="003A29CA"/>
    <w:rsid w:val="003A2A1D"/>
    <w:rsid w:val="003A2A1F"/>
    <w:rsid w:val="003A2AB1"/>
    <w:rsid w:val="003A2B47"/>
    <w:rsid w:val="003A2BC0"/>
    <w:rsid w:val="003A2C48"/>
    <w:rsid w:val="003A2C60"/>
    <w:rsid w:val="003A2CE9"/>
    <w:rsid w:val="003A2D0C"/>
    <w:rsid w:val="003A2E41"/>
    <w:rsid w:val="003A2EC1"/>
    <w:rsid w:val="003A2FCD"/>
    <w:rsid w:val="003A3067"/>
    <w:rsid w:val="003A3072"/>
    <w:rsid w:val="003A3127"/>
    <w:rsid w:val="003A324A"/>
    <w:rsid w:val="003A32B8"/>
    <w:rsid w:val="003A3347"/>
    <w:rsid w:val="003A3364"/>
    <w:rsid w:val="003A33C0"/>
    <w:rsid w:val="003A349C"/>
    <w:rsid w:val="003A351E"/>
    <w:rsid w:val="003A3798"/>
    <w:rsid w:val="003A382F"/>
    <w:rsid w:val="003A3966"/>
    <w:rsid w:val="003A3AA9"/>
    <w:rsid w:val="003A3AAF"/>
    <w:rsid w:val="003A3B20"/>
    <w:rsid w:val="003A3B44"/>
    <w:rsid w:val="003A3B98"/>
    <w:rsid w:val="003A3BB1"/>
    <w:rsid w:val="003A3C9D"/>
    <w:rsid w:val="003A3CFB"/>
    <w:rsid w:val="003A3D49"/>
    <w:rsid w:val="003A3DA2"/>
    <w:rsid w:val="003A3FD7"/>
    <w:rsid w:val="003A4020"/>
    <w:rsid w:val="003A420F"/>
    <w:rsid w:val="003A42B3"/>
    <w:rsid w:val="003A434C"/>
    <w:rsid w:val="003A43CC"/>
    <w:rsid w:val="003A44B2"/>
    <w:rsid w:val="003A44E8"/>
    <w:rsid w:val="003A458B"/>
    <w:rsid w:val="003A4693"/>
    <w:rsid w:val="003A4900"/>
    <w:rsid w:val="003A4AB6"/>
    <w:rsid w:val="003A4AF3"/>
    <w:rsid w:val="003A4B0C"/>
    <w:rsid w:val="003A4B29"/>
    <w:rsid w:val="003A4B3A"/>
    <w:rsid w:val="003A4D29"/>
    <w:rsid w:val="003A4E8A"/>
    <w:rsid w:val="003A4F62"/>
    <w:rsid w:val="003A4FB0"/>
    <w:rsid w:val="003A4FCA"/>
    <w:rsid w:val="003A4FE3"/>
    <w:rsid w:val="003A5077"/>
    <w:rsid w:val="003A5132"/>
    <w:rsid w:val="003A54D8"/>
    <w:rsid w:val="003A57CE"/>
    <w:rsid w:val="003A5835"/>
    <w:rsid w:val="003A58FB"/>
    <w:rsid w:val="003A5A54"/>
    <w:rsid w:val="003A5BF2"/>
    <w:rsid w:val="003A5C3E"/>
    <w:rsid w:val="003A5D49"/>
    <w:rsid w:val="003A5D62"/>
    <w:rsid w:val="003A5E15"/>
    <w:rsid w:val="003A5E4F"/>
    <w:rsid w:val="003A60F9"/>
    <w:rsid w:val="003A6198"/>
    <w:rsid w:val="003A6213"/>
    <w:rsid w:val="003A6272"/>
    <w:rsid w:val="003A6396"/>
    <w:rsid w:val="003A6501"/>
    <w:rsid w:val="003A6543"/>
    <w:rsid w:val="003A66B5"/>
    <w:rsid w:val="003A677A"/>
    <w:rsid w:val="003A6886"/>
    <w:rsid w:val="003A6BE9"/>
    <w:rsid w:val="003A6C51"/>
    <w:rsid w:val="003A6D25"/>
    <w:rsid w:val="003A6DE3"/>
    <w:rsid w:val="003A6E1B"/>
    <w:rsid w:val="003A6ED3"/>
    <w:rsid w:val="003A70D2"/>
    <w:rsid w:val="003A722C"/>
    <w:rsid w:val="003A765B"/>
    <w:rsid w:val="003A7719"/>
    <w:rsid w:val="003A776E"/>
    <w:rsid w:val="003A7899"/>
    <w:rsid w:val="003A792F"/>
    <w:rsid w:val="003A7977"/>
    <w:rsid w:val="003A79BB"/>
    <w:rsid w:val="003A7AA0"/>
    <w:rsid w:val="003A7D0B"/>
    <w:rsid w:val="003A7E89"/>
    <w:rsid w:val="003A7EB7"/>
    <w:rsid w:val="003A7FB9"/>
    <w:rsid w:val="003B026A"/>
    <w:rsid w:val="003B034C"/>
    <w:rsid w:val="003B06CE"/>
    <w:rsid w:val="003B0726"/>
    <w:rsid w:val="003B0821"/>
    <w:rsid w:val="003B08C7"/>
    <w:rsid w:val="003B09F1"/>
    <w:rsid w:val="003B0A0F"/>
    <w:rsid w:val="003B0D5C"/>
    <w:rsid w:val="003B0EB2"/>
    <w:rsid w:val="003B0FBB"/>
    <w:rsid w:val="003B0FD7"/>
    <w:rsid w:val="003B112C"/>
    <w:rsid w:val="003B12EA"/>
    <w:rsid w:val="003B13E7"/>
    <w:rsid w:val="003B153E"/>
    <w:rsid w:val="003B154E"/>
    <w:rsid w:val="003B1689"/>
    <w:rsid w:val="003B177C"/>
    <w:rsid w:val="003B1941"/>
    <w:rsid w:val="003B1A94"/>
    <w:rsid w:val="003B1CA9"/>
    <w:rsid w:val="003B1D43"/>
    <w:rsid w:val="003B1DA7"/>
    <w:rsid w:val="003B1EA7"/>
    <w:rsid w:val="003B1FA3"/>
    <w:rsid w:val="003B1FBE"/>
    <w:rsid w:val="003B2017"/>
    <w:rsid w:val="003B219C"/>
    <w:rsid w:val="003B221B"/>
    <w:rsid w:val="003B223E"/>
    <w:rsid w:val="003B22F0"/>
    <w:rsid w:val="003B23A4"/>
    <w:rsid w:val="003B2504"/>
    <w:rsid w:val="003B2521"/>
    <w:rsid w:val="003B2531"/>
    <w:rsid w:val="003B2683"/>
    <w:rsid w:val="003B26DB"/>
    <w:rsid w:val="003B2737"/>
    <w:rsid w:val="003B2894"/>
    <w:rsid w:val="003B2931"/>
    <w:rsid w:val="003B29AB"/>
    <w:rsid w:val="003B2BCC"/>
    <w:rsid w:val="003B2C44"/>
    <w:rsid w:val="003B2DBA"/>
    <w:rsid w:val="003B2E19"/>
    <w:rsid w:val="003B309C"/>
    <w:rsid w:val="003B3405"/>
    <w:rsid w:val="003B3633"/>
    <w:rsid w:val="003B3786"/>
    <w:rsid w:val="003B3889"/>
    <w:rsid w:val="003B393A"/>
    <w:rsid w:val="003B39B9"/>
    <w:rsid w:val="003B39F8"/>
    <w:rsid w:val="003B3A2A"/>
    <w:rsid w:val="003B3A9B"/>
    <w:rsid w:val="003B3B07"/>
    <w:rsid w:val="003B3ED7"/>
    <w:rsid w:val="003B3FB6"/>
    <w:rsid w:val="003B422A"/>
    <w:rsid w:val="003B42BE"/>
    <w:rsid w:val="003B4576"/>
    <w:rsid w:val="003B45A3"/>
    <w:rsid w:val="003B4821"/>
    <w:rsid w:val="003B4958"/>
    <w:rsid w:val="003B499C"/>
    <w:rsid w:val="003B4AC4"/>
    <w:rsid w:val="003B4AD1"/>
    <w:rsid w:val="003B4B42"/>
    <w:rsid w:val="003B4C88"/>
    <w:rsid w:val="003B4C91"/>
    <w:rsid w:val="003B4CDF"/>
    <w:rsid w:val="003B4D0F"/>
    <w:rsid w:val="003B4D59"/>
    <w:rsid w:val="003B4E13"/>
    <w:rsid w:val="003B4EA9"/>
    <w:rsid w:val="003B4EDF"/>
    <w:rsid w:val="003B4F46"/>
    <w:rsid w:val="003B4F6C"/>
    <w:rsid w:val="003B4FC0"/>
    <w:rsid w:val="003B5375"/>
    <w:rsid w:val="003B5436"/>
    <w:rsid w:val="003B55AB"/>
    <w:rsid w:val="003B5A30"/>
    <w:rsid w:val="003B5BCB"/>
    <w:rsid w:val="003B5BF6"/>
    <w:rsid w:val="003B5D52"/>
    <w:rsid w:val="003B614F"/>
    <w:rsid w:val="003B61D8"/>
    <w:rsid w:val="003B646E"/>
    <w:rsid w:val="003B65AB"/>
    <w:rsid w:val="003B65DF"/>
    <w:rsid w:val="003B67C4"/>
    <w:rsid w:val="003B688E"/>
    <w:rsid w:val="003B6961"/>
    <w:rsid w:val="003B6A12"/>
    <w:rsid w:val="003B6A2E"/>
    <w:rsid w:val="003B6A9A"/>
    <w:rsid w:val="003B6AAA"/>
    <w:rsid w:val="003B6AAB"/>
    <w:rsid w:val="003B6CAD"/>
    <w:rsid w:val="003B6F76"/>
    <w:rsid w:val="003B7593"/>
    <w:rsid w:val="003B75BE"/>
    <w:rsid w:val="003B765C"/>
    <w:rsid w:val="003B7A06"/>
    <w:rsid w:val="003B7B5E"/>
    <w:rsid w:val="003B7BBB"/>
    <w:rsid w:val="003B7BDA"/>
    <w:rsid w:val="003B7C4B"/>
    <w:rsid w:val="003B7C7B"/>
    <w:rsid w:val="003B7CA1"/>
    <w:rsid w:val="003B7D27"/>
    <w:rsid w:val="003B7E9D"/>
    <w:rsid w:val="003B7ED8"/>
    <w:rsid w:val="003B7F02"/>
    <w:rsid w:val="003C04C9"/>
    <w:rsid w:val="003C057C"/>
    <w:rsid w:val="003C0984"/>
    <w:rsid w:val="003C09BE"/>
    <w:rsid w:val="003C0A43"/>
    <w:rsid w:val="003C0A48"/>
    <w:rsid w:val="003C0B5F"/>
    <w:rsid w:val="003C0C1B"/>
    <w:rsid w:val="003C0CAF"/>
    <w:rsid w:val="003C0CFF"/>
    <w:rsid w:val="003C0D99"/>
    <w:rsid w:val="003C1179"/>
    <w:rsid w:val="003C117C"/>
    <w:rsid w:val="003C1183"/>
    <w:rsid w:val="003C12C2"/>
    <w:rsid w:val="003C1344"/>
    <w:rsid w:val="003C13B8"/>
    <w:rsid w:val="003C1637"/>
    <w:rsid w:val="003C18DB"/>
    <w:rsid w:val="003C1926"/>
    <w:rsid w:val="003C1942"/>
    <w:rsid w:val="003C196B"/>
    <w:rsid w:val="003C1A44"/>
    <w:rsid w:val="003C1B0E"/>
    <w:rsid w:val="003C1BF4"/>
    <w:rsid w:val="003C1C1F"/>
    <w:rsid w:val="003C1C47"/>
    <w:rsid w:val="003C1C82"/>
    <w:rsid w:val="003C1CD5"/>
    <w:rsid w:val="003C1D70"/>
    <w:rsid w:val="003C1D8A"/>
    <w:rsid w:val="003C1EC3"/>
    <w:rsid w:val="003C1EFB"/>
    <w:rsid w:val="003C20B0"/>
    <w:rsid w:val="003C21EC"/>
    <w:rsid w:val="003C2266"/>
    <w:rsid w:val="003C22FE"/>
    <w:rsid w:val="003C23DA"/>
    <w:rsid w:val="003C25CA"/>
    <w:rsid w:val="003C2651"/>
    <w:rsid w:val="003C27B2"/>
    <w:rsid w:val="003C2825"/>
    <w:rsid w:val="003C2A64"/>
    <w:rsid w:val="003C2CB2"/>
    <w:rsid w:val="003C2D37"/>
    <w:rsid w:val="003C2D48"/>
    <w:rsid w:val="003C303B"/>
    <w:rsid w:val="003C3348"/>
    <w:rsid w:val="003C3362"/>
    <w:rsid w:val="003C33C4"/>
    <w:rsid w:val="003C33FD"/>
    <w:rsid w:val="003C3518"/>
    <w:rsid w:val="003C3526"/>
    <w:rsid w:val="003C352F"/>
    <w:rsid w:val="003C3666"/>
    <w:rsid w:val="003C3679"/>
    <w:rsid w:val="003C367A"/>
    <w:rsid w:val="003C36D7"/>
    <w:rsid w:val="003C377F"/>
    <w:rsid w:val="003C3856"/>
    <w:rsid w:val="003C38AA"/>
    <w:rsid w:val="003C390A"/>
    <w:rsid w:val="003C3930"/>
    <w:rsid w:val="003C3B73"/>
    <w:rsid w:val="003C3BD7"/>
    <w:rsid w:val="003C3DAC"/>
    <w:rsid w:val="003C3E38"/>
    <w:rsid w:val="003C3F22"/>
    <w:rsid w:val="003C4198"/>
    <w:rsid w:val="003C450F"/>
    <w:rsid w:val="003C456A"/>
    <w:rsid w:val="003C465F"/>
    <w:rsid w:val="003C46C8"/>
    <w:rsid w:val="003C4718"/>
    <w:rsid w:val="003C471A"/>
    <w:rsid w:val="003C4806"/>
    <w:rsid w:val="003C4833"/>
    <w:rsid w:val="003C4AD1"/>
    <w:rsid w:val="003C4CCD"/>
    <w:rsid w:val="003C4D26"/>
    <w:rsid w:val="003C4D6B"/>
    <w:rsid w:val="003C4DE4"/>
    <w:rsid w:val="003C4E7C"/>
    <w:rsid w:val="003C4E7D"/>
    <w:rsid w:val="003C4F10"/>
    <w:rsid w:val="003C4F47"/>
    <w:rsid w:val="003C4FA8"/>
    <w:rsid w:val="003C5190"/>
    <w:rsid w:val="003C522B"/>
    <w:rsid w:val="003C524D"/>
    <w:rsid w:val="003C5521"/>
    <w:rsid w:val="003C55C9"/>
    <w:rsid w:val="003C5819"/>
    <w:rsid w:val="003C5B87"/>
    <w:rsid w:val="003C5D8E"/>
    <w:rsid w:val="003C5E26"/>
    <w:rsid w:val="003C5EA1"/>
    <w:rsid w:val="003C5F2E"/>
    <w:rsid w:val="003C60E1"/>
    <w:rsid w:val="003C612D"/>
    <w:rsid w:val="003C6136"/>
    <w:rsid w:val="003C6581"/>
    <w:rsid w:val="003C6647"/>
    <w:rsid w:val="003C673E"/>
    <w:rsid w:val="003C67B5"/>
    <w:rsid w:val="003C6971"/>
    <w:rsid w:val="003C699C"/>
    <w:rsid w:val="003C6C2A"/>
    <w:rsid w:val="003C6CEC"/>
    <w:rsid w:val="003C6D32"/>
    <w:rsid w:val="003C6E57"/>
    <w:rsid w:val="003C718A"/>
    <w:rsid w:val="003C71EB"/>
    <w:rsid w:val="003C722F"/>
    <w:rsid w:val="003C72FD"/>
    <w:rsid w:val="003C7713"/>
    <w:rsid w:val="003C77DF"/>
    <w:rsid w:val="003C782A"/>
    <w:rsid w:val="003C792C"/>
    <w:rsid w:val="003C7954"/>
    <w:rsid w:val="003C7B88"/>
    <w:rsid w:val="003C7CD3"/>
    <w:rsid w:val="003C7E02"/>
    <w:rsid w:val="003C7E49"/>
    <w:rsid w:val="003C7E6F"/>
    <w:rsid w:val="003C7F41"/>
    <w:rsid w:val="003C7F77"/>
    <w:rsid w:val="003C7F90"/>
    <w:rsid w:val="003D01A5"/>
    <w:rsid w:val="003D01F5"/>
    <w:rsid w:val="003D0288"/>
    <w:rsid w:val="003D02E9"/>
    <w:rsid w:val="003D0391"/>
    <w:rsid w:val="003D03CC"/>
    <w:rsid w:val="003D0499"/>
    <w:rsid w:val="003D0520"/>
    <w:rsid w:val="003D0687"/>
    <w:rsid w:val="003D06C1"/>
    <w:rsid w:val="003D0770"/>
    <w:rsid w:val="003D0918"/>
    <w:rsid w:val="003D0A28"/>
    <w:rsid w:val="003D0AE9"/>
    <w:rsid w:val="003D0B01"/>
    <w:rsid w:val="003D0B12"/>
    <w:rsid w:val="003D0B41"/>
    <w:rsid w:val="003D0F03"/>
    <w:rsid w:val="003D0FBA"/>
    <w:rsid w:val="003D100A"/>
    <w:rsid w:val="003D10EE"/>
    <w:rsid w:val="003D12FB"/>
    <w:rsid w:val="003D1367"/>
    <w:rsid w:val="003D13FC"/>
    <w:rsid w:val="003D1460"/>
    <w:rsid w:val="003D1666"/>
    <w:rsid w:val="003D17DD"/>
    <w:rsid w:val="003D17FF"/>
    <w:rsid w:val="003D1A2E"/>
    <w:rsid w:val="003D1E4A"/>
    <w:rsid w:val="003D1F1B"/>
    <w:rsid w:val="003D1F6B"/>
    <w:rsid w:val="003D2102"/>
    <w:rsid w:val="003D22C4"/>
    <w:rsid w:val="003D23DF"/>
    <w:rsid w:val="003D25F8"/>
    <w:rsid w:val="003D264B"/>
    <w:rsid w:val="003D2771"/>
    <w:rsid w:val="003D2961"/>
    <w:rsid w:val="003D2A24"/>
    <w:rsid w:val="003D2AA4"/>
    <w:rsid w:val="003D2B0C"/>
    <w:rsid w:val="003D2B47"/>
    <w:rsid w:val="003D2BCA"/>
    <w:rsid w:val="003D2C8C"/>
    <w:rsid w:val="003D2CF1"/>
    <w:rsid w:val="003D2E62"/>
    <w:rsid w:val="003D2E93"/>
    <w:rsid w:val="003D2FBF"/>
    <w:rsid w:val="003D304A"/>
    <w:rsid w:val="003D32B4"/>
    <w:rsid w:val="003D3366"/>
    <w:rsid w:val="003D33BE"/>
    <w:rsid w:val="003D3431"/>
    <w:rsid w:val="003D35AF"/>
    <w:rsid w:val="003D385E"/>
    <w:rsid w:val="003D3886"/>
    <w:rsid w:val="003D3B84"/>
    <w:rsid w:val="003D3BA8"/>
    <w:rsid w:val="003D3BCD"/>
    <w:rsid w:val="003D3F05"/>
    <w:rsid w:val="003D4012"/>
    <w:rsid w:val="003D4042"/>
    <w:rsid w:val="003D4573"/>
    <w:rsid w:val="003D479F"/>
    <w:rsid w:val="003D47FB"/>
    <w:rsid w:val="003D488A"/>
    <w:rsid w:val="003D4A64"/>
    <w:rsid w:val="003D4B01"/>
    <w:rsid w:val="003D4B3F"/>
    <w:rsid w:val="003D4CEA"/>
    <w:rsid w:val="003D4D2A"/>
    <w:rsid w:val="003D4E4F"/>
    <w:rsid w:val="003D4F47"/>
    <w:rsid w:val="003D4FB1"/>
    <w:rsid w:val="003D4FD9"/>
    <w:rsid w:val="003D5105"/>
    <w:rsid w:val="003D5127"/>
    <w:rsid w:val="003D513E"/>
    <w:rsid w:val="003D5143"/>
    <w:rsid w:val="003D53B7"/>
    <w:rsid w:val="003D5464"/>
    <w:rsid w:val="003D54AE"/>
    <w:rsid w:val="003D55EC"/>
    <w:rsid w:val="003D5691"/>
    <w:rsid w:val="003D5764"/>
    <w:rsid w:val="003D5885"/>
    <w:rsid w:val="003D5BD2"/>
    <w:rsid w:val="003D5DC5"/>
    <w:rsid w:val="003D5E3F"/>
    <w:rsid w:val="003D62A7"/>
    <w:rsid w:val="003D6337"/>
    <w:rsid w:val="003D641E"/>
    <w:rsid w:val="003D64E6"/>
    <w:rsid w:val="003D65C8"/>
    <w:rsid w:val="003D65DB"/>
    <w:rsid w:val="003D6654"/>
    <w:rsid w:val="003D6672"/>
    <w:rsid w:val="003D6970"/>
    <w:rsid w:val="003D6B27"/>
    <w:rsid w:val="003D6C7E"/>
    <w:rsid w:val="003D6F99"/>
    <w:rsid w:val="003D6FFA"/>
    <w:rsid w:val="003D72F1"/>
    <w:rsid w:val="003D73FA"/>
    <w:rsid w:val="003D7495"/>
    <w:rsid w:val="003D75D8"/>
    <w:rsid w:val="003D7842"/>
    <w:rsid w:val="003D78FB"/>
    <w:rsid w:val="003D79E6"/>
    <w:rsid w:val="003D7AE8"/>
    <w:rsid w:val="003D7BEE"/>
    <w:rsid w:val="003D7C0C"/>
    <w:rsid w:val="003D7D01"/>
    <w:rsid w:val="003D7D25"/>
    <w:rsid w:val="003D7F5A"/>
    <w:rsid w:val="003E0025"/>
    <w:rsid w:val="003E0043"/>
    <w:rsid w:val="003E005A"/>
    <w:rsid w:val="003E0378"/>
    <w:rsid w:val="003E0402"/>
    <w:rsid w:val="003E0451"/>
    <w:rsid w:val="003E05B0"/>
    <w:rsid w:val="003E05CC"/>
    <w:rsid w:val="003E05E3"/>
    <w:rsid w:val="003E06B0"/>
    <w:rsid w:val="003E07F3"/>
    <w:rsid w:val="003E082C"/>
    <w:rsid w:val="003E093C"/>
    <w:rsid w:val="003E098E"/>
    <w:rsid w:val="003E0B73"/>
    <w:rsid w:val="003E0B86"/>
    <w:rsid w:val="003E0BCD"/>
    <w:rsid w:val="003E0C08"/>
    <w:rsid w:val="003E0C26"/>
    <w:rsid w:val="003E0F14"/>
    <w:rsid w:val="003E12FC"/>
    <w:rsid w:val="003E157A"/>
    <w:rsid w:val="003E15AD"/>
    <w:rsid w:val="003E1783"/>
    <w:rsid w:val="003E18F0"/>
    <w:rsid w:val="003E1902"/>
    <w:rsid w:val="003E19D7"/>
    <w:rsid w:val="003E19F0"/>
    <w:rsid w:val="003E1C0B"/>
    <w:rsid w:val="003E1D45"/>
    <w:rsid w:val="003E1DFE"/>
    <w:rsid w:val="003E1E79"/>
    <w:rsid w:val="003E1EA5"/>
    <w:rsid w:val="003E1F1B"/>
    <w:rsid w:val="003E2019"/>
    <w:rsid w:val="003E2041"/>
    <w:rsid w:val="003E236E"/>
    <w:rsid w:val="003E238D"/>
    <w:rsid w:val="003E24CE"/>
    <w:rsid w:val="003E2583"/>
    <w:rsid w:val="003E2709"/>
    <w:rsid w:val="003E2A9F"/>
    <w:rsid w:val="003E2ACF"/>
    <w:rsid w:val="003E2B95"/>
    <w:rsid w:val="003E2DCB"/>
    <w:rsid w:val="003E2EB6"/>
    <w:rsid w:val="003E2EFC"/>
    <w:rsid w:val="003E2FB7"/>
    <w:rsid w:val="003E304A"/>
    <w:rsid w:val="003E30DA"/>
    <w:rsid w:val="003E3197"/>
    <w:rsid w:val="003E3264"/>
    <w:rsid w:val="003E3373"/>
    <w:rsid w:val="003E3451"/>
    <w:rsid w:val="003E35A0"/>
    <w:rsid w:val="003E365B"/>
    <w:rsid w:val="003E37F5"/>
    <w:rsid w:val="003E39D7"/>
    <w:rsid w:val="003E3B42"/>
    <w:rsid w:val="003E3B45"/>
    <w:rsid w:val="003E40C9"/>
    <w:rsid w:val="003E4136"/>
    <w:rsid w:val="003E41D1"/>
    <w:rsid w:val="003E41D4"/>
    <w:rsid w:val="003E4517"/>
    <w:rsid w:val="003E454A"/>
    <w:rsid w:val="003E4681"/>
    <w:rsid w:val="003E476D"/>
    <w:rsid w:val="003E4783"/>
    <w:rsid w:val="003E48E5"/>
    <w:rsid w:val="003E493D"/>
    <w:rsid w:val="003E49E4"/>
    <w:rsid w:val="003E4A32"/>
    <w:rsid w:val="003E4A56"/>
    <w:rsid w:val="003E4E0F"/>
    <w:rsid w:val="003E4E49"/>
    <w:rsid w:val="003E5086"/>
    <w:rsid w:val="003E50B8"/>
    <w:rsid w:val="003E5167"/>
    <w:rsid w:val="003E5237"/>
    <w:rsid w:val="003E5389"/>
    <w:rsid w:val="003E5391"/>
    <w:rsid w:val="003E5533"/>
    <w:rsid w:val="003E55E9"/>
    <w:rsid w:val="003E55FF"/>
    <w:rsid w:val="003E5A22"/>
    <w:rsid w:val="003E5CBC"/>
    <w:rsid w:val="003E5D3A"/>
    <w:rsid w:val="003E5DA5"/>
    <w:rsid w:val="003E5E4A"/>
    <w:rsid w:val="003E5F0B"/>
    <w:rsid w:val="003E60B9"/>
    <w:rsid w:val="003E634D"/>
    <w:rsid w:val="003E6556"/>
    <w:rsid w:val="003E6673"/>
    <w:rsid w:val="003E66E8"/>
    <w:rsid w:val="003E6775"/>
    <w:rsid w:val="003E687B"/>
    <w:rsid w:val="003E6A31"/>
    <w:rsid w:val="003E6D28"/>
    <w:rsid w:val="003E6D93"/>
    <w:rsid w:val="003E6E7B"/>
    <w:rsid w:val="003E6F84"/>
    <w:rsid w:val="003E7071"/>
    <w:rsid w:val="003E7179"/>
    <w:rsid w:val="003E71D2"/>
    <w:rsid w:val="003E71D9"/>
    <w:rsid w:val="003E73BF"/>
    <w:rsid w:val="003E741C"/>
    <w:rsid w:val="003E747D"/>
    <w:rsid w:val="003E7597"/>
    <w:rsid w:val="003E75B2"/>
    <w:rsid w:val="003E7683"/>
    <w:rsid w:val="003E76B2"/>
    <w:rsid w:val="003E7705"/>
    <w:rsid w:val="003E79A8"/>
    <w:rsid w:val="003E7A58"/>
    <w:rsid w:val="003E7BD5"/>
    <w:rsid w:val="003E7BF0"/>
    <w:rsid w:val="003E7C41"/>
    <w:rsid w:val="003E7C83"/>
    <w:rsid w:val="003E7DEC"/>
    <w:rsid w:val="003E7F09"/>
    <w:rsid w:val="003F004F"/>
    <w:rsid w:val="003F00D2"/>
    <w:rsid w:val="003F052C"/>
    <w:rsid w:val="003F057A"/>
    <w:rsid w:val="003F05D7"/>
    <w:rsid w:val="003F06FD"/>
    <w:rsid w:val="003F09B7"/>
    <w:rsid w:val="003F0ABB"/>
    <w:rsid w:val="003F0BF2"/>
    <w:rsid w:val="003F0D13"/>
    <w:rsid w:val="003F0D28"/>
    <w:rsid w:val="003F0E03"/>
    <w:rsid w:val="003F0E3F"/>
    <w:rsid w:val="003F0EEC"/>
    <w:rsid w:val="003F0FFA"/>
    <w:rsid w:val="003F104F"/>
    <w:rsid w:val="003F12AE"/>
    <w:rsid w:val="003F13DE"/>
    <w:rsid w:val="003F13FC"/>
    <w:rsid w:val="003F15A4"/>
    <w:rsid w:val="003F17AD"/>
    <w:rsid w:val="003F1890"/>
    <w:rsid w:val="003F1915"/>
    <w:rsid w:val="003F193E"/>
    <w:rsid w:val="003F1B3C"/>
    <w:rsid w:val="003F1B8D"/>
    <w:rsid w:val="003F1BDD"/>
    <w:rsid w:val="003F1C38"/>
    <w:rsid w:val="003F2100"/>
    <w:rsid w:val="003F23B7"/>
    <w:rsid w:val="003F284A"/>
    <w:rsid w:val="003F292D"/>
    <w:rsid w:val="003F2936"/>
    <w:rsid w:val="003F2969"/>
    <w:rsid w:val="003F29CE"/>
    <w:rsid w:val="003F2A16"/>
    <w:rsid w:val="003F2A9C"/>
    <w:rsid w:val="003F2D57"/>
    <w:rsid w:val="003F2DFE"/>
    <w:rsid w:val="003F2FA6"/>
    <w:rsid w:val="003F30AF"/>
    <w:rsid w:val="003F3123"/>
    <w:rsid w:val="003F33E6"/>
    <w:rsid w:val="003F34B9"/>
    <w:rsid w:val="003F38F3"/>
    <w:rsid w:val="003F39F5"/>
    <w:rsid w:val="003F3A84"/>
    <w:rsid w:val="003F3AF2"/>
    <w:rsid w:val="003F3B3B"/>
    <w:rsid w:val="003F3BD7"/>
    <w:rsid w:val="003F3BDA"/>
    <w:rsid w:val="003F3CB9"/>
    <w:rsid w:val="003F3CEE"/>
    <w:rsid w:val="003F3D09"/>
    <w:rsid w:val="003F3D54"/>
    <w:rsid w:val="003F3E23"/>
    <w:rsid w:val="003F3F1A"/>
    <w:rsid w:val="003F3F41"/>
    <w:rsid w:val="003F3F68"/>
    <w:rsid w:val="003F3F83"/>
    <w:rsid w:val="003F4075"/>
    <w:rsid w:val="003F414B"/>
    <w:rsid w:val="003F415D"/>
    <w:rsid w:val="003F41FE"/>
    <w:rsid w:val="003F4258"/>
    <w:rsid w:val="003F448D"/>
    <w:rsid w:val="003F44C6"/>
    <w:rsid w:val="003F4545"/>
    <w:rsid w:val="003F4585"/>
    <w:rsid w:val="003F4600"/>
    <w:rsid w:val="003F462D"/>
    <w:rsid w:val="003F464F"/>
    <w:rsid w:val="003F47DF"/>
    <w:rsid w:val="003F4C4D"/>
    <w:rsid w:val="003F4E86"/>
    <w:rsid w:val="003F4F51"/>
    <w:rsid w:val="003F5503"/>
    <w:rsid w:val="003F5564"/>
    <w:rsid w:val="003F5805"/>
    <w:rsid w:val="003F5825"/>
    <w:rsid w:val="003F593B"/>
    <w:rsid w:val="003F59BD"/>
    <w:rsid w:val="003F5AA0"/>
    <w:rsid w:val="003F5B44"/>
    <w:rsid w:val="003F5B73"/>
    <w:rsid w:val="003F5B74"/>
    <w:rsid w:val="003F5B77"/>
    <w:rsid w:val="003F5E20"/>
    <w:rsid w:val="003F5F84"/>
    <w:rsid w:val="003F6077"/>
    <w:rsid w:val="003F6172"/>
    <w:rsid w:val="003F6424"/>
    <w:rsid w:val="003F6562"/>
    <w:rsid w:val="003F6769"/>
    <w:rsid w:val="003F693F"/>
    <w:rsid w:val="003F6940"/>
    <w:rsid w:val="003F69C8"/>
    <w:rsid w:val="003F6B67"/>
    <w:rsid w:val="003F6F5A"/>
    <w:rsid w:val="003F7157"/>
    <w:rsid w:val="003F72C9"/>
    <w:rsid w:val="003F752D"/>
    <w:rsid w:val="003F7643"/>
    <w:rsid w:val="003F76D8"/>
    <w:rsid w:val="003F7825"/>
    <w:rsid w:val="003F7A6D"/>
    <w:rsid w:val="003F7D59"/>
    <w:rsid w:val="003F7ED6"/>
    <w:rsid w:val="004002A6"/>
    <w:rsid w:val="004002D9"/>
    <w:rsid w:val="00400316"/>
    <w:rsid w:val="0040053B"/>
    <w:rsid w:val="00400628"/>
    <w:rsid w:val="004006B0"/>
    <w:rsid w:val="004006E2"/>
    <w:rsid w:val="00400843"/>
    <w:rsid w:val="00400871"/>
    <w:rsid w:val="0040096D"/>
    <w:rsid w:val="00400B6B"/>
    <w:rsid w:val="00400BCF"/>
    <w:rsid w:val="00400C12"/>
    <w:rsid w:val="00400CA3"/>
    <w:rsid w:val="00400CAB"/>
    <w:rsid w:val="00400CD1"/>
    <w:rsid w:val="00400E47"/>
    <w:rsid w:val="00400E9B"/>
    <w:rsid w:val="004010A6"/>
    <w:rsid w:val="0040111B"/>
    <w:rsid w:val="0040118D"/>
    <w:rsid w:val="004011C3"/>
    <w:rsid w:val="004011F1"/>
    <w:rsid w:val="004012F3"/>
    <w:rsid w:val="0040157A"/>
    <w:rsid w:val="0040169D"/>
    <w:rsid w:val="0040170E"/>
    <w:rsid w:val="004017BC"/>
    <w:rsid w:val="004019E5"/>
    <w:rsid w:val="00401A48"/>
    <w:rsid w:val="00401ACF"/>
    <w:rsid w:val="00401AD1"/>
    <w:rsid w:val="00401CDC"/>
    <w:rsid w:val="00401CF3"/>
    <w:rsid w:val="00401DBC"/>
    <w:rsid w:val="00401E4D"/>
    <w:rsid w:val="00401E7D"/>
    <w:rsid w:val="00401F00"/>
    <w:rsid w:val="00401F11"/>
    <w:rsid w:val="0040210E"/>
    <w:rsid w:val="004021C1"/>
    <w:rsid w:val="00402419"/>
    <w:rsid w:val="004024C0"/>
    <w:rsid w:val="004024CA"/>
    <w:rsid w:val="00402524"/>
    <w:rsid w:val="00402A3D"/>
    <w:rsid w:val="00402A4E"/>
    <w:rsid w:val="00402ACD"/>
    <w:rsid w:val="00402B11"/>
    <w:rsid w:val="00402CF1"/>
    <w:rsid w:val="00402D01"/>
    <w:rsid w:val="00402E2D"/>
    <w:rsid w:val="00402F52"/>
    <w:rsid w:val="0040310C"/>
    <w:rsid w:val="00403149"/>
    <w:rsid w:val="00403190"/>
    <w:rsid w:val="0040320E"/>
    <w:rsid w:val="00403372"/>
    <w:rsid w:val="0040358A"/>
    <w:rsid w:val="004035A3"/>
    <w:rsid w:val="004035D1"/>
    <w:rsid w:val="00403614"/>
    <w:rsid w:val="00403777"/>
    <w:rsid w:val="0040377B"/>
    <w:rsid w:val="004038C0"/>
    <w:rsid w:val="00403A29"/>
    <w:rsid w:val="00403A53"/>
    <w:rsid w:val="00403B19"/>
    <w:rsid w:val="00403BBE"/>
    <w:rsid w:val="00403BD7"/>
    <w:rsid w:val="00403D66"/>
    <w:rsid w:val="00403E89"/>
    <w:rsid w:val="00404052"/>
    <w:rsid w:val="004040BC"/>
    <w:rsid w:val="004041F2"/>
    <w:rsid w:val="004042F0"/>
    <w:rsid w:val="00404519"/>
    <w:rsid w:val="00404679"/>
    <w:rsid w:val="004046BD"/>
    <w:rsid w:val="004046EF"/>
    <w:rsid w:val="004047AA"/>
    <w:rsid w:val="00404955"/>
    <w:rsid w:val="004049C4"/>
    <w:rsid w:val="00404AB0"/>
    <w:rsid w:val="00404B20"/>
    <w:rsid w:val="00404B7C"/>
    <w:rsid w:val="00404BE2"/>
    <w:rsid w:val="00404C2D"/>
    <w:rsid w:val="00404F54"/>
    <w:rsid w:val="00405003"/>
    <w:rsid w:val="004050D0"/>
    <w:rsid w:val="00405408"/>
    <w:rsid w:val="0040547A"/>
    <w:rsid w:val="00405590"/>
    <w:rsid w:val="004056CE"/>
    <w:rsid w:val="004058E2"/>
    <w:rsid w:val="00405B90"/>
    <w:rsid w:val="00405BD4"/>
    <w:rsid w:val="00405E12"/>
    <w:rsid w:val="00405E72"/>
    <w:rsid w:val="0040609B"/>
    <w:rsid w:val="0040621C"/>
    <w:rsid w:val="00406244"/>
    <w:rsid w:val="00406557"/>
    <w:rsid w:val="00406582"/>
    <w:rsid w:val="004065CE"/>
    <w:rsid w:val="0040670E"/>
    <w:rsid w:val="0040687D"/>
    <w:rsid w:val="00406A67"/>
    <w:rsid w:val="00406C11"/>
    <w:rsid w:val="00406DA1"/>
    <w:rsid w:val="00406F48"/>
    <w:rsid w:val="004071B2"/>
    <w:rsid w:val="004076BB"/>
    <w:rsid w:val="00407741"/>
    <w:rsid w:val="0040788E"/>
    <w:rsid w:val="00407899"/>
    <w:rsid w:val="0040789A"/>
    <w:rsid w:val="00407B24"/>
    <w:rsid w:val="00407D18"/>
    <w:rsid w:val="00407FFC"/>
    <w:rsid w:val="004100C7"/>
    <w:rsid w:val="00410241"/>
    <w:rsid w:val="00410393"/>
    <w:rsid w:val="00410643"/>
    <w:rsid w:val="004106E0"/>
    <w:rsid w:val="00410733"/>
    <w:rsid w:val="0041084F"/>
    <w:rsid w:val="00410999"/>
    <w:rsid w:val="00410A22"/>
    <w:rsid w:val="00410C2F"/>
    <w:rsid w:val="00410C67"/>
    <w:rsid w:val="00410CAB"/>
    <w:rsid w:val="00410CB7"/>
    <w:rsid w:val="00410DAD"/>
    <w:rsid w:val="00410ED6"/>
    <w:rsid w:val="00411101"/>
    <w:rsid w:val="004111FB"/>
    <w:rsid w:val="004112C1"/>
    <w:rsid w:val="00411394"/>
    <w:rsid w:val="004113E5"/>
    <w:rsid w:val="004113F9"/>
    <w:rsid w:val="0041149A"/>
    <w:rsid w:val="00411523"/>
    <w:rsid w:val="00411528"/>
    <w:rsid w:val="00411601"/>
    <w:rsid w:val="00411689"/>
    <w:rsid w:val="00411842"/>
    <w:rsid w:val="0041191E"/>
    <w:rsid w:val="00411C48"/>
    <w:rsid w:val="00411C68"/>
    <w:rsid w:val="00411CD7"/>
    <w:rsid w:val="00411D7B"/>
    <w:rsid w:val="00411E38"/>
    <w:rsid w:val="0041202C"/>
    <w:rsid w:val="00412252"/>
    <w:rsid w:val="004123EA"/>
    <w:rsid w:val="00412639"/>
    <w:rsid w:val="004126D8"/>
    <w:rsid w:val="0041273A"/>
    <w:rsid w:val="00412798"/>
    <w:rsid w:val="00412814"/>
    <w:rsid w:val="00412862"/>
    <w:rsid w:val="0041288A"/>
    <w:rsid w:val="0041289B"/>
    <w:rsid w:val="00412A7F"/>
    <w:rsid w:val="00412F52"/>
    <w:rsid w:val="0041309F"/>
    <w:rsid w:val="00413465"/>
    <w:rsid w:val="0041348C"/>
    <w:rsid w:val="00413593"/>
    <w:rsid w:val="00413774"/>
    <w:rsid w:val="004138C1"/>
    <w:rsid w:val="004139CB"/>
    <w:rsid w:val="00413A19"/>
    <w:rsid w:val="00413ABB"/>
    <w:rsid w:val="00413AE9"/>
    <w:rsid w:val="00413B6B"/>
    <w:rsid w:val="00413BDE"/>
    <w:rsid w:val="00413C5F"/>
    <w:rsid w:val="00413E5D"/>
    <w:rsid w:val="00413E99"/>
    <w:rsid w:val="00413FA4"/>
    <w:rsid w:val="00413FF5"/>
    <w:rsid w:val="00414026"/>
    <w:rsid w:val="004140DA"/>
    <w:rsid w:val="0041419A"/>
    <w:rsid w:val="004141ED"/>
    <w:rsid w:val="00414295"/>
    <w:rsid w:val="0041441E"/>
    <w:rsid w:val="0041444A"/>
    <w:rsid w:val="004144A6"/>
    <w:rsid w:val="004144AE"/>
    <w:rsid w:val="004144CA"/>
    <w:rsid w:val="004145BF"/>
    <w:rsid w:val="004145E9"/>
    <w:rsid w:val="00414642"/>
    <w:rsid w:val="0041470A"/>
    <w:rsid w:val="004147FC"/>
    <w:rsid w:val="0041481C"/>
    <w:rsid w:val="00414870"/>
    <w:rsid w:val="00414892"/>
    <w:rsid w:val="004148A8"/>
    <w:rsid w:val="00414A71"/>
    <w:rsid w:val="00414CA4"/>
    <w:rsid w:val="00414FD6"/>
    <w:rsid w:val="004151B4"/>
    <w:rsid w:val="0041558A"/>
    <w:rsid w:val="004156D3"/>
    <w:rsid w:val="00415727"/>
    <w:rsid w:val="0041573D"/>
    <w:rsid w:val="0041576A"/>
    <w:rsid w:val="00415984"/>
    <w:rsid w:val="0041598B"/>
    <w:rsid w:val="004159A2"/>
    <w:rsid w:val="004159C2"/>
    <w:rsid w:val="00415A37"/>
    <w:rsid w:val="00415D77"/>
    <w:rsid w:val="00415ECA"/>
    <w:rsid w:val="004161C9"/>
    <w:rsid w:val="0041646C"/>
    <w:rsid w:val="0041666D"/>
    <w:rsid w:val="0041676A"/>
    <w:rsid w:val="00416892"/>
    <w:rsid w:val="004169DB"/>
    <w:rsid w:val="00416A25"/>
    <w:rsid w:val="00416C38"/>
    <w:rsid w:val="00416C57"/>
    <w:rsid w:val="00416C63"/>
    <w:rsid w:val="00416C95"/>
    <w:rsid w:val="00416C9E"/>
    <w:rsid w:val="00416D88"/>
    <w:rsid w:val="00416F32"/>
    <w:rsid w:val="00417098"/>
    <w:rsid w:val="00417149"/>
    <w:rsid w:val="00417206"/>
    <w:rsid w:val="00417660"/>
    <w:rsid w:val="004176C2"/>
    <w:rsid w:val="00417828"/>
    <w:rsid w:val="00417835"/>
    <w:rsid w:val="00417D8F"/>
    <w:rsid w:val="00417D9B"/>
    <w:rsid w:val="00417EED"/>
    <w:rsid w:val="00417FB8"/>
    <w:rsid w:val="004201B8"/>
    <w:rsid w:val="0042036A"/>
    <w:rsid w:val="00420458"/>
    <w:rsid w:val="00420680"/>
    <w:rsid w:val="004206AA"/>
    <w:rsid w:val="004206E7"/>
    <w:rsid w:val="00420886"/>
    <w:rsid w:val="00420A0D"/>
    <w:rsid w:val="00420C4E"/>
    <w:rsid w:val="00420E87"/>
    <w:rsid w:val="00420FB6"/>
    <w:rsid w:val="004212FF"/>
    <w:rsid w:val="00421330"/>
    <w:rsid w:val="00421392"/>
    <w:rsid w:val="004214E0"/>
    <w:rsid w:val="00421818"/>
    <w:rsid w:val="004218A7"/>
    <w:rsid w:val="00421A03"/>
    <w:rsid w:val="00421AD6"/>
    <w:rsid w:val="00421B0E"/>
    <w:rsid w:val="00421C5B"/>
    <w:rsid w:val="00421D9B"/>
    <w:rsid w:val="00421E08"/>
    <w:rsid w:val="00421F64"/>
    <w:rsid w:val="00422269"/>
    <w:rsid w:val="0042230B"/>
    <w:rsid w:val="004223AC"/>
    <w:rsid w:val="0042241A"/>
    <w:rsid w:val="00422436"/>
    <w:rsid w:val="00422446"/>
    <w:rsid w:val="004226E5"/>
    <w:rsid w:val="004227CC"/>
    <w:rsid w:val="004229A6"/>
    <w:rsid w:val="00422A88"/>
    <w:rsid w:val="00422CB4"/>
    <w:rsid w:val="00422D16"/>
    <w:rsid w:val="00422D1A"/>
    <w:rsid w:val="00422E92"/>
    <w:rsid w:val="00422EAE"/>
    <w:rsid w:val="00422F1C"/>
    <w:rsid w:val="00422FFF"/>
    <w:rsid w:val="00423011"/>
    <w:rsid w:val="004230FB"/>
    <w:rsid w:val="00423134"/>
    <w:rsid w:val="004232C1"/>
    <w:rsid w:val="0042365E"/>
    <w:rsid w:val="004238FA"/>
    <w:rsid w:val="0042393D"/>
    <w:rsid w:val="00423A12"/>
    <w:rsid w:val="00423B73"/>
    <w:rsid w:val="00424023"/>
    <w:rsid w:val="00424085"/>
    <w:rsid w:val="0042409F"/>
    <w:rsid w:val="004240BC"/>
    <w:rsid w:val="0042411C"/>
    <w:rsid w:val="004244ED"/>
    <w:rsid w:val="004245CC"/>
    <w:rsid w:val="00424636"/>
    <w:rsid w:val="0042489F"/>
    <w:rsid w:val="00424C93"/>
    <w:rsid w:val="00424C9A"/>
    <w:rsid w:val="00424CC2"/>
    <w:rsid w:val="00424D63"/>
    <w:rsid w:val="00424EE4"/>
    <w:rsid w:val="00425098"/>
    <w:rsid w:val="0042526C"/>
    <w:rsid w:val="0042548E"/>
    <w:rsid w:val="004254A1"/>
    <w:rsid w:val="004255C6"/>
    <w:rsid w:val="004256B8"/>
    <w:rsid w:val="004258D4"/>
    <w:rsid w:val="00425946"/>
    <w:rsid w:val="004259ED"/>
    <w:rsid w:val="00425BBB"/>
    <w:rsid w:val="00425BC6"/>
    <w:rsid w:val="00425D6E"/>
    <w:rsid w:val="00425F09"/>
    <w:rsid w:val="004262F8"/>
    <w:rsid w:val="00426326"/>
    <w:rsid w:val="004267D4"/>
    <w:rsid w:val="004268B3"/>
    <w:rsid w:val="00426906"/>
    <w:rsid w:val="00426A39"/>
    <w:rsid w:val="00426A77"/>
    <w:rsid w:val="00426AFF"/>
    <w:rsid w:val="00426B40"/>
    <w:rsid w:val="00426CA0"/>
    <w:rsid w:val="00426D44"/>
    <w:rsid w:val="0042702C"/>
    <w:rsid w:val="0042706A"/>
    <w:rsid w:val="004271F2"/>
    <w:rsid w:val="00427284"/>
    <w:rsid w:val="004275A3"/>
    <w:rsid w:val="004275FB"/>
    <w:rsid w:val="00427888"/>
    <w:rsid w:val="00427A56"/>
    <w:rsid w:val="00427BF7"/>
    <w:rsid w:val="00427C21"/>
    <w:rsid w:val="00427C61"/>
    <w:rsid w:val="00427CF6"/>
    <w:rsid w:val="00427F47"/>
    <w:rsid w:val="00427F94"/>
    <w:rsid w:val="0043023F"/>
    <w:rsid w:val="00430260"/>
    <w:rsid w:val="004302B8"/>
    <w:rsid w:val="004302C7"/>
    <w:rsid w:val="0043049F"/>
    <w:rsid w:val="00430540"/>
    <w:rsid w:val="004305BC"/>
    <w:rsid w:val="00430924"/>
    <w:rsid w:val="00430929"/>
    <w:rsid w:val="00430975"/>
    <w:rsid w:val="00430983"/>
    <w:rsid w:val="00430B9B"/>
    <w:rsid w:val="00430C5A"/>
    <w:rsid w:val="00430E47"/>
    <w:rsid w:val="00430EC9"/>
    <w:rsid w:val="00430F3F"/>
    <w:rsid w:val="00430F88"/>
    <w:rsid w:val="00430FB4"/>
    <w:rsid w:val="004311C1"/>
    <w:rsid w:val="00431262"/>
    <w:rsid w:val="00431283"/>
    <w:rsid w:val="00431342"/>
    <w:rsid w:val="0043152D"/>
    <w:rsid w:val="00431551"/>
    <w:rsid w:val="004315C8"/>
    <w:rsid w:val="004315D7"/>
    <w:rsid w:val="00431640"/>
    <w:rsid w:val="00431750"/>
    <w:rsid w:val="004317D1"/>
    <w:rsid w:val="00431812"/>
    <w:rsid w:val="00431A4D"/>
    <w:rsid w:val="00431B9F"/>
    <w:rsid w:val="00431C4F"/>
    <w:rsid w:val="00431D9C"/>
    <w:rsid w:val="00431DB2"/>
    <w:rsid w:val="00431F9D"/>
    <w:rsid w:val="00431FB9"/>
    <w:rsid w:val="0043228A"/>
    <w:rsid w:val="004323B1"/>
    <w:rsid w:val="00432447"/>
    <w:rsid w:val="00432493"/>
    <w:rsid w:val="0043253C"/>
    <w:rsid w:val="0043256F"/>
    <w:rsid w:val="00432934"/>
    <w:rsid w:val="0043296A"/>
    <w:rsid w:val="00432C3E"/>
    <w:rsid w:val="00432CB2"/>
    <w:rsid w:val="00432CF7"/>
    <w:rsid w:val="00432D5C"/>
    <w:rsid w:val="00432E15"/>
    <w:rsid w:val="00432F3D"/>
    <w:rsid w:val="0043304A"/>
    <w:rsid w:val="004335DC"/>
    <w:rsid w:val="00433660"/>
    <w:rsid w:val="004337DF"/>
    <w:rsid w:val="004339A5"/>
    <w:rsid w:val="00433A40"/>
    <w:rsid w:val="00433B2C"/>
    <w:rsid w:val="00433C1C"/>
    <w:rsid w:val="00433C1D"/>
    <w:rsid w:val="00433C9D"/>
    <w:rsid w:val="00433D72"/>
    <w:rsid w:val="00433ED4"/>
    <w:rsid w:val="00433F46"/>
    <w:rsid w:val="0043411D"/>
    <w:rsid w:val="00434340"/>
    <w:rsid w:val="00434458"/>
    <w:rsid w:val="00434629"/>
    <w:rsid w:val="004346FB"/>
    <w:rsid w:val="00434A07"/>
    <w:rsid w:val="00434BEB"/>
    <w:rsid w:val="00434CB1"/>
    <w:rsid w:val="00434F41"/>
    <w:rsid w:val="00434FB7"/>
    <w:rsid w:val="00435054"/>
    <w:rsid w:val="00435065"/>
    <w:rsid w:val="0043515F"/>
    <w:rsid w:val="00435181"/>
    <w:rsid w:val="004351F2"/>
    <w:rsid w:val="00435504"/>
    <w:rsid w:val="0043551C"/>
    <w:rsid w:val="0043553C"/>
    <w:rsid w:val="00435605"/>
    <w:rsid w:val="004359EA"/>
    <w:rsid w:val="00435A92"/>
    <w:rsid w:val="00435CC5"/>
    <w:rsid w:val="00436023"/>
    <w:rsid w:val="00436324"/>
    <w:rsid w:val="00436381"/>
    <w:rsid w:val="00436623"/>
    <w:rsid w:val="00436689"/>
    <w:rsid w:val="00436692"/>
    <w:rsid w:val="004366D2"/>
    <w:rsid w:val="00436724"/>
    <w:rsid w:val="00436739"/>
    <w:rsid w:val="0043683B"/>
    <w:rsid w:val="00436B55"/>
    <w:rsid w:val="00436B66"/>
    <w:rsid w:val="00436C4D"/>
    <w:rsid w:val="00436D52"/>
    <w:rsid w:val="00436E67"/>
    <w:rsid w:val="00436E74"/>
    <w:rsid w:val="00436ED2"/>
    <w:rsid w:val="004372BE"/>
    <w:rsid w:val="00437416"/>
    <w:rsid w:val="0043754A"/>
    <w:rsid w:val="0043769A"/>
    <w:rsid w:val="00437705"/>
    <w:rsid w:val="0043785D"/>
    <w:rsid w:val="00437BB5"/>
    <w:rsid w:val="00437C46"/>
    <w:rsid w:val="00437DBF"/>
    <w:rsid w:val="00437ED8"/>
    <w:rsid w:val="00440053"/>
    <w:rsid w:val="00440177"/>
    <w:rsid w:val="004402C0"/>
    <w:rsid w:val="0044031E"/>
    <w:rsid w:val="00440348"/>
    <w:rsid w:val="00440442"/>
    <w:rsid w:val="00440451"/>
    <w:rsid w:val="00440455"/>
    <w:rsid w:val="0044049E"/>
    <w:rsid w:val="004404BE"/>
    <w:rsid w:val="004404D5"/>
    <w:rsid w:val="00440511"/>
    <w:rsid w:val="004406CB"/>
    <w:rsid w:val="004406E6"/>
    <w:rsid w:val="00440840"/>
    <w:rsid w:val="004408B7"/>
    <w:rsid w:val="00440931"/>
    <w:rsid w:val="004409E7"/>
    <w:rsid w:val="004409F1"/>
    <w:rsid w:val="00440A30"/>
    <w:rsid w:val="00440AE7"/>
    <w:rsid w:val="00440AF2"/>
    <w:rsid w:val="00440D6B"/>
    <w:rsid w:val="00440DED"/>
    <w:rsid w:val="00440E91"/>
    <w:rsid w:val="00440E9F"/>
    <w:rsid w:val="00440FD2"/>
    <w:rsid w:val="00440FED"/>
    <w:rsid w:val="0044104E"/>
    <w:rsid w:val="0044138D"/>
    <w:rsid w:val="00441407"/>
    <w:rsid w:val="004414D3"/>
    <w:rsid w:val="0044152E"/>
    <w:rsid w:val="00441626"/>
    <w:rsid w:val="004417AF"/>
    <w:rsid w:val="00441931"/>
    <w:rsid w:val="00441A4D"/>
    <w:rsid w:val="00441A52"/>
    <w:rsid w:val="00441CB4"/>
    <w:rsid w:val="00441DD4"/>
    <w:rsid w:val="00441E0F"/>
    <w:rsid w:val="00441F07"/>
    <w:rsid w:val="00442089"/>
    <w:rsid w:val="004420BD"/>
    <w:rsid w:val="004420DB"/>
    <w:rsid w:val="00442162"/>
    <w:rsid w:val="004421E4"/>
    <w:rsid w:val="004421EA"/>
    <w:rsid w:val="004422C7"/>
    <w:rsid w:val="004423F2"/>
    <w:rsid w:val="004425DF"/>
    <w:rsid w:val="00442645"/>
    <w:rsid w:val="00442649"/>
    <w:rsid w:val="004429DC"/>
    <w:rsid w:val="00442A28"/>
    <w:rsid w:val="00442B54"/>
    <w:rsid w:val="00442C1A"/>
    <w:rsid w:val="00442D90"/>
    <w:rsid w:val="00443061"/>
    <w:rsid w:val="004430B3"/>
    <w:rsid w:val="00443194"/>
    <w:rsid w:val="00443362"/>
    <w:rsid w:val="0044342C"/>
    <w:rsid w:val="00443510"/>
    <w:rsid w:val="00443523"/>
    <w:rsid w:val="004435D6"/>
    <w:rsid w:val="0044381A"/>
    <w:rsid w:val="00443A0C"/>
    <w:rsid w:val="00443D23"/>
    <w:rsid w:val="00443DC3"/>
    <w:rsid w:val="004440AC"/>
    <w:rsid w:val="004442C4"/>
    <w:rsid w:val="00444422"/>
    <w:rsid w:val="00444458"/>
    <w:rsid w:val="004445A1"/>
    <w:rsid w:val="00444641"/>
    <w:rsid w:val="00444693"/>
    <w:rsid w:val="004447A3"/>
    <w:rsid w:val="00444801"/>
    <w:rsid w:val="0044489D"/>
    <w:rsid w:val="00444AC5"/>
    <w:rsid w:val="00444AD5"/>
    <w:rsid w:val="00444B34"/>
    <w:rsid w:val="00444D7A"/>
    <w:rsid w:val="00444F6E"/>
    <w:rsid w:val="00445146"/>
    <w:rsid w:val="0044578B"/>
    <w:rsid w:val="004457A1"/>
    <w:rsid w:val="004458B2"/>
    <w:rsid w:val="004459E7"/>
    <w:rsid w:val="00445B52"/>
    <w:rsid w:val="00445B85"/>
    <w:rsid w:val="00445CAC"/>
    <w:rsid w:val="00445D2E"/>
    <w:rsid w:val="00445E0F"/>
    <w:rsid w:val="00445E6E"/>
    <w:rsid w:val="00445F0E"/>
    <w:rsid w:val="00445FC8"/>
    <w:rsid w:val="00446098"/>
    <w:rsid w:val="004460CF"/>
    <w:rsid w:val="0044613B"/>
    <w:rsid w:val="00446184"/>
    <w:rsid w:val="004462BE"/>
    <w:rsid w:val="004462D3"/>
    <w:rsid w:val="00446368"/>
    <w:rsid w:val="004463FB"/>
    <w:rsid w:val="00446423"/>
    <w:rsid w:val="0044642F"/>
    <w:rsid w:val="00446490"/>
    <w:rsid w:val="004464C2"/>
    <w:rsid w:val="0044673F"/>
    <w:rsid w:val="00446814"/>
    <w:rsid w:val="004468BF"/>
    <w:rsid w:val="0044696B"/>
    <w:rsid w:val="004469DF"/>
    <w:rsid w:val="00446AB0"/>
    <w:rsid w:val="00446C6D"/>
    <w:rsid w:val="00446EA4"/>
    <w:rsid w:val="00446EBB"/>
    <w:rsid w:val="0044711A"/>
    <w:rsid w:val="00447177"/>
    <w:rsid w:val="00447234"/>
    <w:rsid w:val="0044733C"/>
    <w:rsid w:val="0044740F"/>
    <w:rsid w:val="0044749B"/>
    <w:rsid w:val="004474D4"/>
    <w:rsid w:val="004475B8"/>
    <w:rsid w:val="00447628"/>
    <w:rsid w:val="00447853"/>
    <w:rsid w:val="00447953"/>
    <w:rsid w:val="00447D35"/>
    <w:rsid w:val="00447DF9"/>
    <w:rsid w:val="00447E0D"/>
    <w:rsid w:val="00447E56"/>
    <w:rsid w:val="00447FBC"/>
    <w:rsid w:val="004503D3"/>
    <w:rsid w:val="004504CC"/>
    <w:rsid w:val="00450509"/>
    <w:rsid w:val="004505CF"/>
    <w:rsid w:val="00450746"/>
    <w:rsid w:val="004507FB"/>
    <w:rsid w:val="004508C2"/>
    <w:rsid w:val="00450929"/>
    <w:rsid w:val="00450954"/>
    <w:rsid w:val="004509F1"/>
    <w:rsid w:val="00450B7D"/>
    <w:rsid w:val="00450BB6"/>
    <w:rsid w:val="00450F9C"/>
    <w:rsid w:val="004511AA"/>
    <w:rsid w:val="0045134C"/>
    <w:rsid w:val="004514B4"/>
    <w:rsid w:val="00451695"/>
    <w:rsid w:val="004517F1"/>
    <w:rsid w:val="00451873"/>
    <w:rsid w:val="0045190B"/>
    <w:rsid w:val="00451A68"/>
    <w:rsid w:val="00451A91"/>
    <w:rsid w:val="00451C51"/>
    <w:rsid w:val="00451FCE"/>
    <w:rsid w:val="0045206A"/>
    <w:rsid w:val="00452379"/>
    <w:rsid w:val="00452390"/>
    <w:rsid w:val="00452556"/>
    <w:rsid w:val="0045280B"/>
    <w:rsid w:val="00452A7A"/>
    <w:rsid w:val="00452BAD"/>
    <w:rsid w:val="00452D7A"/>
    <w:rsid w:val="00452F10"/>
    <w:rsid w:val="00453008"/>
    <w:rsid w:val="00453200"/>
    <w:rsid w:val="00453294"/>
    <w:rsid w:val="004532D2"/>
    <w:rsid w:val="00453619"/>
    <w:rsid w:val="0045363F"/>
    <w:rsid w:val="004536C3"/>
    <w:rsid w:val="00453725"/>
    <w:rsid w:val="004538CE"/>
    <w:rsid w:val="004538E0"/>
    <w:rsid w:val="004539E5"/>
    <w:rsid w:val="00453B2B"/>
    <w:rsid w:val="00453BA6"/>
    <w:rsid w:val="00453BD4"/>
    <w:rsid w:val="00453BE4"/>
    <w:rsid w:val="00453D82"/>
    <w:rsid w:val="00453F63"/>
    <w:rsid w:val="0045414B"/>
    <w:rsid w:val="004541EC"/>
    <w:rsid w:val="004544AE"/>
    <w:rsid w:val="004544C7"/>
    <w:rsid w:val="004544D9"/>
    <w:rsid w:val="0045476F"/>
    <w:rsid w:val="004548BB"/>
    <w:rsid w:val="00454938"/>
    <w:rsid w:val="004549A7"/>
    <w:rsid w:val="004549C0"/>
    <w:rsid w:val="00454BD1"/>
    <w:rsid w:val="00454C1F"/>
    <w:rsid w:val="00454C58"/>
    <w:rsid w:val="00454D0E"/>
    <w:rsid w:val="00454DE1"/>
    <w:rsid w:val="00454F96"/>
    <w:rsid w:val="0045523F"/>
    <w:rsid w:val="00455346"/>
    <w:rsid w:val="00455368"/>
    <w:rsid w:val="00455448"/>
    <w:rsid w:val="00455BE5"/>
    <w:rsid w:val="00455DB7"/>
    <w:rsid w:val="004561D8"/>
    <w:rsid w:val="004562E6"/>
    <w:rsid w:val="00456332"/>
    <w:rsid w:val="00456497"/>
    <w:rsid w:val="0045655F"/>
    <w:rsid w:val="0045677C"/>
    <w:rsid w:val="004568D6"/>
    <w:rsid w:val="0045698C"/>
    <w:rsid w:val="00456A03"/>
    <w:rsid w:val="00456C04"/>
    <w:rsid w:val="00456CC2"/>
    <w:rsid w:val="00456DD4"/>
    <w:rsid w:val="00456F68"/>
    <w:rsid w:val="00457087"/>
    <w:rsid w:val="004570A0"/>
    <w:rsid w:val="00457184"/>
    <w:rsid w:val="0045748F"/>
    <w:rsid w:val="004574C0"/>
    <w:rsid w:val="00457501"/>
    <w:rsid w:val="00457548"/>
    <w:rsid w:val="0045783C"/>
    <w:rsid w:val="004579D3"/>
    <w:rsid w:val="00457AE2"/>
    <w:rsid w:val="00457D15"/>
    <w:rsid w:val="00457FAD"/>
    <w:rsid w:val="00460116"/>
    <w:rsid w:val="00460194"/>
    <w:rsid w:val="004601B6"/>
    <w:rsid w:val="004602ED"/>
    <w:rsid w:val="004604A2"/>
    <w:rsid w:val="00460671"/>
    <w:rsid w:val="004608EB"/>
    <w:rsid w:val="00460A4F"/>
    <w:rsid w:val="00460C3A"/>
    <w:rsid w:val="00460D37"/>
    <w:rsid w:val="00460D3A"/>
    <w:rsid w:val="00460D9B"/>
    <w:rsid w:val="00460F10"/>
    <w:rsid w:val="00461186"/>
    <w:rsid w:val="00461321"/>
    <w:rsid w:val="004613AA"/>
    <w:rsid w:val="004613DD"/>
    <w:rsid w:val="00461578"/>
    <w:rsid w:val="0046157A"/>
    <w:rsid w:val="0046158F"/>
    <w:rsid w:val="004617BD"/>
    <w:rsid w:val="004619C8"/>
    <w:rsid w:val="00461AB5"/>
    <w:rsid w:val="00461C58"/>
    <w:rsid w:val="00461CEA"/>
    <w:rsid w:val="00461D2A"/>
    <w:rsid w:val="00461DE8"/>
    <w:rsid w:val="00461F44"/>
    <w:rsid w:val="00461FBB"/>
    <w:rsid w:val="0046219B"/>
    <w:rsid w:val="004621D4"/>
    <w:rsid w:val="0046221D"/>
    <w:rsid w:val="004622EB"/>
    <w:rsid w:val="004622FC"/>
    <w:rsid w:val="00462323"/>
    <w:rsid w:val="0046240C"/>
    <w:rsid w:val="0046244E"/>
    <w:rsid w:val="00462458"/>
    <w:rsid w:val="004626A5"/>
    <w:rsid w:val="0046274F"/>
    <w:rsid w:val="004627C5"/>
    <w:rsid w:val="00462820"/>
    <w:rsid w:val="00462990"/>
    <w:rsid w:val="00462A0D"/>
    <w:rsid w:val="00462B2A"/>
    <w:rsid w:val="00462B71"/>
    <w:rsid w:val="00462BE4"/>
    <w:rsid w:val="00462C65"/>
    <w:rsid w:val="0046306B"/>
    <w:rsid w:val="004631DE"/>
    <w:rsid w:val="00463201"/>
    <w:rsid w:val="004632F5"/>
    <w:rsid w:val="004632FD"/>
    <w:rsid w:val="004633AB"/>
    <w:rsid w:val="004633CB"/>
    <w:rsid w:val="004634D8"/>
    <w:rsid w:val="00463614"/>
    <w:rsid w:val="00463717"/>
    <w:rsid w:val="00463843"/>
    <w:rsid w:val="00463C36"/>
    <w:rsid w:val="00463C63"/>
    <w:rsid w:val="00463E25"/>
    <w:rsid w:val="00463E8A"/>
    <w:rsid w:val="00463F2A"/>
    <w:rsid w:val="00463F60"/>
    <w:rsid w:val="00463F62"/>
    <w:rsid w:val="0046408E"/>
    <w:rsid w:val="004640F4"/>
    <w:rsid w:val="00464105"/>
    <w:rsid w:val="0046431D"/>
    <w:rsid w:val="00464331"/>
    <w:rsid w:val="00464356"/>
    <w:rsid w:val="004645C5"/>
    <w:rsid w:val="0046464E"/>
    <w:rsid w:val="004646C4"/>
    <w:rsid w:val="0046478F"/>
    <w:rsid w:val="00464BA2"/>
    <w:rsid w:val="00464D53"/>
    <w:rsid w:val="00464E22"/>
    <w:rsid w:val="004650F8"/>
    <w:rsid w:val="00465200"/>
    <w:rsid w:val="00465302"/>
    <w:rsid w:val="00465323"/>
    <w:rsid w:val="00465353"/>
    <w:rsid w:val="00465685"/>
    <w:rsid w:val="004656E7"/>
    <w:rsid w:val="00465801"/>
    <w:rsid w:val="00465A80"/>
    <w:rsid w:val="00465ABE"/>
    <w:rsid w:val="00465EC5"/>
    <w:rsid w:val="00466075"/>
    <w:rsid w:val="004661E6"/>
    <w:rsid w:val="004662B6"/>
    <w:rsid w:val="004662F6"/>
    <w:rsid w:val="00466497"/>
    <w:rsid w:val="004665C6"/>
    <w:rsid w:val="00466757"/>
    <w:rsid w:val="0046682E"/>
    <w:rsid w:val="00466830"/>
    <w:rsid w:val="00466A5E"/>
    <w:rsid w:val="00466B0A"/>
    <w:rsid w:val="00466B4B"/>
    <w:rsid w:val="00466B9D"/>
    <w:rsid w:val="00466C60"/>
    <w:rsid w:val="00466D0F"/>
    <w:rsid w:val="00466E05"/>
    <w:rsid w:val="00466E60"/>
    <w:rsid w:val="00466F96"/>
    <w:rsid w:val="004670A4"/>
    <w:rsid w:val="004670FB"/>
    <w:rsid w:val="00467151"/>
    <w:rsid w:val="004671F7"/>
    <w:rsid w:val="004672BA"/>
    <w:rsid w:val="004672D1"/>
    <w:rsid w:val="00467360"/>
    <w:rsid w:val="0046739E"/>
    <w:rsid w:val="004673EE"/>
    <w:rsid w:val="00467428"/>
    <w:rsid w:val="004674B6"/>
    <w:rsid w:val="0046751E"/>
    <w:rsid w:val="0046767F"/>
    <w:rsid w:val="0046769A"/>
    <w:rsid w:val="00467827"/>
    <w:rsid w:val="004678C5"/>
    <w:rsid w:val="00467908"/>
    <w:rsid w:val="00467A35"/>
    <w:rsid w:val="00467A64"/>
    <w:rsid w:val="00467A90"/>
    <w:rsid w:val="00467ACD"/>
    <w:rsid w:val="00467C4B"/>
    <w:rsid w:val="00467CFC"/>
    <w:rsid w:val="00467D01"/>
    <w:rsid w:val="00467DEA"/>
    <w:rsid w:val="00467E68"/>
    <w:rsid w:val="00467E83"/>
    <w:rsid w:val="00467FDE"/>
    <w:rsid w:val="004704AE"/>
    <w:rsid w:val="00470558"/>
    <w:rsid w:val="00470569"/>
    <w:rsid w:val="004705E4"/>
    <w:rsid w:val="00470686"/>
    <w:rsid w:val="004706CF"/>
    <w:rsid w:val="004707B2"/>
    <w:rsid w:val="0047095A"/>
    <w:rsid w:val="00470AF7"/>
    <w:rsid w:val="00470B56"/>
    <w:rsid w:val="00470C51"/>
    <w:rsid w:val="00470D2B"/>
    <w:rsid w:val="00470E5C"/>
    <w:rsid w:val="00470EE9"/>
    <w:rsid w:val="00470F26"/>
    <w:rsid w:val="004710A0"/>
    <w:rsid w:val="004710A9"/>
    <w:rsid w:val="0047125C"/>
    <w:rsid w:val="004713CD"/>
    <w:rsid w:val="00471523"/>
    <w:rsid w:val="00471863"/>
    <w:rsid w:val="00471891"/>
    <w:rsid w:val="00471902"/>
    <w:rsid w:val="00471962"/>
    <w:rsid w:val="00471AB5"/>
    <w:rsid w:val="00471AC6"/>
    <w:rsid w:val="00471B90"/>
    <w:rsid w:val="00471FA0"/>
    <w:rsid w:val="00471FB5"/>
    <w:rsid w:val="00472084"/>
    <w:rsid w:val="00472224"/>
    <w:rsid w:val="0047228A"/>
    <w:rsid w:val="00472456"/>
    <w:rsid w:val="004725C4"/>
    <w:rsid w:val="00472737"/>
    <w:rsid w:val="0047273E"/>
    <w:rsid w:val="00472839"/>
    <w:rsid w:val="00472A52"/>
    <w:rsid w:val="00472AFE"/>
    <w:rsid w:val="00472C63"/>
    <w:rsid w:val="00472CB6"/>
    <w:rsid w:val="00472CF5"/>
    <w:rsid w:val="00472D8B"/>
    <w:rsid w:val="00472F3A"/>
    <w:rsid w:val="00472F48"/>
    <w:rsid w:val="004732E0"/>
    <w:rsid w:val="004732E6"/>
    <w:rsid w:val="004733A2"/>
    <w:rsid w:val="004736D0"/>
    <w:rsid w:val="004737F3"/>
    <w:rsid w:val="004737F4"/>
    <w:rsid w:val="00473898"/>
    <w:rsid w:val="00473950"/>
    <w:rsid w:val="00473A4A"/>
    <w:rsid w:val="00473AF5"/>
    <w:rsid w:val="00473CC9"/>
    <w:rsid w:val="00473D7F"/>
    <w:rsid w:val="00473F4C"/>
    <w:rsid w:val="00473FC9"/>
    <w:rsid w:val="00474343"/>
    <w:rsid w:val="0047435B"/>
    <w:rsid w:val="004743B1"/>
    <w:rsid w:val="00474453"/>
    <w:rsid w:val="0047449A"/>
    <w:rsid w:val="00474719"/>
    <w:rsid w:val="00474793"/>
    <w:rsid w:val="0047482E"/>
    <w:rsid w:val="00474868"/>
    <w:rsid w:val="00474B9C"/>
    <w:rsid w:val="00474C08"/>
    <w:rsid w:val="00474F57"/>
    <w:rsid w:val="00474FAD"/>
    <w:rsid w:val="0047502D"/>
    <w:rsid w:val="004751AF"/>
    <w:rsid w:val="004751EA"/>
    <w:rsid w:val="0047523A"/>
    <w:rsid w:val="00475325"/>
    <w:rsid w:val="004753FF"/>
    <w:rsid w:val="00475498"/>
    <w:rsid w:val="00475574"/>
    <w:rsid w:val="00475578"/>
    <w:rsid w:val="004755D7"/>
    <w:rsid w:val="00475632"/>
    <w:rsid w:val="00475772"/>
    <w:rsid w:val="004757BE"/>
    <w:rsid w:val="004758AD"/>
    <w:rsid w:val="00475AB5"/>
    <w:rsid w:val="00475F49"/>
    <w:rsid w:val="00475F68"/>
    <w:rsid w:val="00476230"/>
    <w:rsid w:val="004763E0"/>
    <w:rsid w:val="0047640C"/>
    <w:rsid w:val="00476629"/>
    <w:rsid w:val="0047666B"/>
    <w:rsid w:val="00476671"/>
    <w:rsid w:val="004768BC"/>
    <w:rsid w:val="00476A93"/>
    <w:rsid w:val="00476BDC"/>
    <w:rsid w:val="00476E83"/>
    <w:rsid w:val="004771C5"/>
    <w:rsid w:val="004773A7"/>
    <w:rsid w:val="0047746C"/>
    <w:rsid w:val="0047747B"/>
    <w:rsid w:val="00477692"/>
    <w:rsid w:val="0047776A"/>
    <w:rsid w:val="004778DC"/>
    <w:rsid w:val="0047795F"/>
    <w:rsid w:val="00477995"/>
    <w:rsid w:val="00477A1C"/>
    <w:rsid w:val="00477CF9"/>
    <w:rsid w:val="00477E17"/>
    <w:rsid w:val="00477ECA"/>
    <w:rsid w:val="00477F18"/>
    <w:rsid w:val="00477F42"/>
    <w:rsid w:val="0048007C"/>
    <w:rsid w:val="00480200"/>
    <w:rsid w:val="0048029D"/>
    <w:rsid w:val="0048038A"/>
    <w:rsid w:val="004805F8"/>
    <w:rsid w:val="004807DF"/>
    <w:rsid w:val="0048080F"/>
    <w:rsid w:val="004808FD"/>
    <w:rsid w:val="00480AD8"/>
    <w:rsid w:val="00480B68"/>
    <w:rsid w:val="00480BB2"/>
    <w:rsid w:val="00480C83"/>
    <w:rsid w:val="00480C89"/>
    <w:rsid w:val="00480D11"/>
    <w:rsid w:val="00480D6A"/>
    <w:rsid w:val="00480E57"/>
    <w:rsid w:val="004810AD"/>
    <w:rsid w:val="00481368"/>
    <w:rsid w:val="00481465"/>
    <w:rsid w:val="004814F3"/>
    <w:rsid w:val="004816B1"/>
    <w:rsid w:val="0048172F"/>
    <w:rsid w:val="0048188E"/>
    <w:rsid w:val="004818DA"/>
    <w:rsid w:val="00481982"/>
    <w:rsid w:val="004819E9"/>
    <w:rsid w:val="00481A44"/>
    <w:rsid w:val="00481BB1"/>
    <w:rsid w:val="00481E79"/>
    <w:rsid w:val="00481EB0"/>
    <w:rsid w:val="004821C6"/>
    <w:rsid w:val="00482294"/>
    <w:rsid w:val="004822E3"/>
    <w:rsid w:val="00482398"/>
    <w:rsid w:val="00482423"/>
    <w:rsid w:val="00482737"/>
    <w:rsid w:val="00482DE7"/>
    <w:rsid w:val="00483124"/>
    <w:rsid w:val="00483162"/>
    <w:rsid w:val="0048325C"/>
    <w:rsid w:val="0048332F"/>
    <w:rsid w:val="004835C1"/>
    <w:rsid w:val="00483876"/>
    <w:rsid w:val="004838DE"/>
    <w:rsid w:val="00483926"/>
    <w:rsid w:val="00483943"/>
    <w:rsid w:val="004839E3"/>
    <w:rsid w:val="00483AA4"/>
    <w:rsid w:val="00483AA6"/>
    <w:rsid w:val="00483C31"/>
    <w:rsid w:val="00483CB7"/>
    <w:rsid w:val="00483CE9"/>
    <w:rsid w:val="00483D39"/>
    <w:rsid w:val="00483F11"/>
    <w:rsid w:val="00483FD4"/>
    <w:rsid w:val="00484045"/>
    <w:rsid w:val="00484051"/>
    <w:rsid w:val="00484224"/>
    <w:rsid w:val="00484342"/>
    <w:rsid w:val="004843E2"/>
    <w:rsid w:val="00484541"/>
    <w:rsid w:val="004845A4"/>
    <w:rsid w:val="004845F0"/>
    <w:rsid w:val="004846D5"/>
    <w:rsid w:val="00484739"/>
    <w:rsid w:val="004847DE"/>
    <w:rsid w:val="00484868"/>
    <w:rsid w:val="00484894"/>
    <w:rsid w:val="004848F7"/>
    <w:rsid w:val="0048493F"/>
    <w:rsid w:val="00484B08"/>
    <w:rsid w:val="00484C16"/>
    <w:rsid w:val="00484C8F"/>
    <w:rsid w:val="00484DE3"/>
    <w:rsid w:val="00484F7C"/>
    <w:rsid w:val="0048516E"/>
    <w:rsid w:val="004851A6"/>
    <w:rsid w:val="004852AE"/>
    <w:rsid w:val="00485365"/>
    <w:rsid w:val="004854A7"/>
    <w:rsid w:val="004854CF"/>
    <w:rsid w:val="004854F0"/>
    <w:rsid w:val="00485561"/>
    <w:rsid w:val="004855C4"/>
    <w:rsid w:val="004855D6"/>
    <w:rsid w:val="00485672"/>
    <w:rsid w:val="0048568B"/>
    <w:rsid w:val="00485748"/>
    <w:rsid w:val="004857C9"/>
    <w:rsid w:val="004858A9"/>
    <w:rsid w:val="00485ACA"/>
    <w:rsid w:val="00485B62"/>
    <w:rsid w:val="00485C07"/>
    <w:rsid w:val="00485C1D"/>
    <w:rsid w:val="00485CD4"/>
    <w:rsid w:val="00485E18"/>
    <w:rsid w:val="0048600C"/>
    <w:rsid w:val="00486019"/>
    <w:rsid w:val="004861E5"/>
    <w:rsid w:val="0048632A"/>
    <w:rsid w:val="00486673"/>
    <w:rsid w:val="00486683"/>
    <w:rsid w:val="004866B0"/>
    <w:rsid w:val="004867C4"/>
    <w:rsid w:val="004867F8"/>
    <w:rsid w:val="004867FF"/>
    <w:rsid w:val="004868C3"/>
    <w:rsid w:val="0048695A"/>
    <w:rsid w:val="00486AF0"/>
    <w:rsid w:val="00486B68"/>
    <w:rsid w:val="00486CB2"/>
    <w:rsid w:val="00486D68"/>
    <w:rsid w:val="00486D76"/>
    <w:rsid w:val="00486E07"/>
    <w:rsid w:val="00486E18"/>
    <w:rsid w:val="00486E49"/>
    <w:rsid w:val="00486E69"/>
    <w:rsid w:val="00486E6F"/>
    <w:rsid w:val="00486FE4"/>
    <w:rsid w:val="00487065"/>
    <w:rsid w:val="004871FB"/>
    <w:rsid w:val="00487249"/>
    <w:rsid w:val="0048749D"/>
    <w:rsid w:val="004874FF"/>
    <w:rsid w:val="004876DE"/>
    <w:rsid w:val="004878E3"/>
    <w:rsid w:val="0048795F"/>
    <w:rsid w:val="00487993"/>
    <w:rsid w:val="004879EA"/>
    <w:rsid w:val="00487A85"/>
    <w:rsid w:val="00487EA5"/>
    <w:rsid w:val="00487F2A"/>
    <w:rsid w:val="004900FE"/>
    <w:rsid w:val="00490180"/>
    <w:rsid w:val="004902EE"/>
    <w:rsid w:val="004903DF"/>
    <w:rsid w:val="0049040E"/>
    <w:rsid w:val="004904D3"/>
    <w:rsid w:val="004905E0"/>
    <w:rsid w:val="0049076D"/>
    <w:rsid w:val="004909F4"/>
    <w:rsid w:val="00490A5E"/>
    <w:rsid w:val="00490CF0"/>
    <w:rsid w:val="00490D93"/>
    <w:rsid w:val="00490DC3"/>
    <w:rsid w:val="00490DC7"/>
    <w:rsid w:val="00490FE9"/>
    <w:rsid w:val="00491155"/>
    <w:rsid w:val="004912B2"/>
    <w:rsid w:val="00491324"/>
    <w:rsid w:val="004913E4"/>
    <w:rsid w:val="00491490"/>
    <w:rsid w:val="004914E5"/>
    <w:rsid w:val="00491539"/>
    <w:rsid w:val="004916AC"/>
    <w:rsid w:val="0049180A"/>
    <w:rsid w:val="00491997"/>
    <w:rsid w:val="00491A02"/>
    <w:rsid w:val="00491D78"/>
    <w:rsid w:val="00491F83"/>
    <w:rsid w:val="004923D4"/>
    <w:rsid w:val="00492467"/>
    <w:rsid w:val="00492602"/>
    <w:rsid w:val="004926F6"/>
    <w:rsid w:val="00492A0B"/>
    <w:rsid w:val="00492F02"/>
    <w:rsid w:val="00492FFD"/>
    <w:rsid w:val="0049310B"/>
    <w:rsid w:val="00493113"/>
    <w:rsid w:val="00493455"/>
    <w:rsid w:val="0049353A"/>
    <w:rsid w:val="00493683"/>
    <w:rsid w:val="00493715"/>
    <w:rsid w:val="004937A5"/>
    <w:rsid w:val="004938A9"/>
    <w:rsid w:val="004939D0"/>
    <w:rsid w:val="00493B10"/>
    <w:rsid w:val="00493B4C"/>
    <w:rsid w:val="00493BC0"/>
    <w:rsid w:val="00493CDB"/>
    <w:rsid w:val="00493E9F"/>
    <w:rsid w:val="00493F89"/>
    <w:rsid w:val="004940A1"/>
    <w:rsid w:val="00494146"/>
    <w:rsid w:val="00494224"/>
    <w:rsid w:val="00494573"/>
    <w:rsid w:val="004947A6"/>
    <w:rsid w:val="00494847"/>
    <w:rsid w:val="0049486C"/>
    <w:rsid w:val="00494B5F"/>
    <w:rsid w:val="00494B7C"/>
    <w:rsid w:val="00494E68"/>
    <w:rsid w:val="00494F25"/>
    <w:rsid w:val="00495048"/>
    <w:rsid w:val="004951D7"/>
    <w:rsid w:val="004952D7"/>
    <w:rsid w:val="00495443"/>
    <w:rsid w:val="004954A9"/>
    <w:rsid w:val="0049573D"/>
    <w:rsid w:val="00495763"/>
    <w:rsid w:val="0049587B"/>
    <w:rsid w:val="0049592F"/>
    <w:rsid w:val="00495983"/>
    <w:rsid w:val="00495AE0"/>
    <w:rsid w:val="00495B28"/>
    <w:rsid w:val="00495E91"/>
    <w:rsid w:val="00495ED8"/>
    <w:rsid w:val="00495EE5"/>
    <w:rsid w:val="00495F37"/>
    <w:rsid w:val="00495F8E"/>
    <w:rsid w:val="004960EF"/>
    <w:rsid w:val="004960F9"/>
    <w:rsid w:val="00496137"/>
    <w:rsid w:val="004963D7"/>
    <w:rsid w:val="00496425"/>
    <w:rsid w:val="00496827"/>
    <w:rsid w:val="004968C9"/>
    <w:rsid w:val="004968D3"/>
    <w:rsid w:val="00496A58"/>
    <w:rsid w:val="00496BE5"/>
    <w:rsid w:val="00496E18"/>
    <w:rsid w:val="00496E9D"/>
    <w:rsid w:val="00496F3A"/>
    <w:rsid w:val="00496F4D"/>
    <w:rsid w:val="0049704B"/>
    <w:rsid w:val="00497127"/>
    <w:rsid w:val="00497249"/>
    <w:rsid w:val="004974A3"/>
    <w:rsid w:val="0049757D"/>
    <w:rsid w:val="00497637"/>
    <w:rsid w:val="004976A1"/>
    <w:rsid w:val="004976B8"/>
    <w:rsid w:val="00497836"/>
    <w:rsid w:val="00497957"/>
    <w:rsid w:val="00497A1A"/>
    <w:rsid w:val="00497CE8"/>
    <w:rsid w:val="00497D1B"/>
    <w:rsid w:val="00497DC9"/>
    <w:rsid w:val="00497DEB"/>
    <w:rsid w:val="004A00C4"/>
    <w:rsid w:val="004A00D5"/>
    <w:rsid w:val="004A012F"/>
    <w:rsid w:val="004A016D"/>
    <w:rsid w:val="004A0177"/>
    <w:rsid w:val="004A0184"/>
    <w:rsid w:val="004A01B2"/>
    <w:rsid w:val="004A01DB"/>
    <w:rsid w:val="004A022E"/>
    <w:rsid w:val="004A03A5"/>
    <w:rsid w:val="004A04A2"/>
    <w:rsid w:val="004A05A3"/>
    <w:rsid w:val="004A063B"/>
    <w:rsid w:val="004A0678"/>
    <w:rsid w:val="004A0699"/>
    <w:rsid w:val="004A097C"/>
    <w:rsid w:val="004A0992"/>
    <w:rsid w:val="004A0B08"/>
    <w:rsid w:val="004A0B51"/>
    <w:rsid w:val="004A0F0D"/>
    <w:rsid w:val="004A1349"/>
    <w:rsid w:val="004A14EC"/>
    <w:rsid w:val="004A1513"/>
    <w:rsid w:val="004A1581"/>
    <w:rsid w:val="004A1702"/>
    <w:rsid w:val="004A187C"/>
    <w:rsid w:val="004A1985"/>
    <w:rsid w:val="004A19F0"/>
    <w:rsid w:val="004A1C14"/>
    <w:rsid w:val="004A1C8A"/>
    <w:rsid w:val="004A1D0C"/>
    <w:rsid w:val="004A1D84"/>
    <w:rsid w:val="004A1E7C"/>
    <w:rsid w:val="004A1E84"/>
    <w:rsid w:val="004A1F94"/>
    <w:rsid w:val="004A2085"/>
    <w:rsid w:val="004A2090"/>
    <w:rsid w:val="004A2394"/>
    <w:rsid w:val="004A23E0"/>
    <w:rsid w:val="004A252A"/>
    <w:rsid w:val="004A279C"/>
    <w:rsid w:val="004A28C4"/>
    <w:rsid w:val="004A28DD"/>
    <w:rsid w:val="004A2974"/>
    <w:rsid w:val="004A2A08"/>
    <w:rsid w:val="004A2A3D"/>
    <w:rsid w:val="004A2A94"/>
    <w:rsid w:val="004A2B57"/>
    <w:rsid w:val="004A2BAA"/>
    <w:rsid w:val="004A2C04"/>
    <w:rsid w:val="004A2CE5"/>
    <w:rsid w:val="004A2DE6"/>
    <w:rsid w:val="004A2F05"/>
    <w:rsid w:val="004A2F2E"/>
    <w:rsid w:val="004A3116"/>
    <w:rsid w:val="004A32A6"/>
    <w:rsid w:val="004A345B"/>
    <w:rsid w:val="004A3488"/>
    <w:rsid w:val="004A34CE"/>
    <w:rsid w:val="004A37A5"/>
    <w:rsid w:val="004A3984"/>
    <w:rsid w:val="004A39AE"/>
    <w:rsid w:val="004A39FF"/>
    <w:rsid w:val="004A3A1D"/>
    <w:rsid w:val="004A3B27"/>
    <w:rsid w:val="004A3CC7"/>
    <w:rsid w:val="004A3EC0"/>
    <w:rsid w:val="004A4173"/>
    <w:rsid w:val="004A419A"/>
    <w:rsid w:val="004A4269"/>
    <w:rsid w:val="004A4309"/>
    <w:rsid w:val="004A451F"/>
    <w:rsid w:val="004A45FF"/>
    <w:rsid w:val="004A47F3"/>
    <w:rsid w:val="004A48A4"/>
    <w:rsid w:val="004A4958"/>
    <w:rsid w:val="004A4A49"/>
    <w:rsid w:val="004A4AB8"/>
    <w:rsid w:val="004A4BC4"/>
    <w:rsid w:val="004A4CE4"/>
    <w:rsid w:val="004A4E9E"/>
    <w:rsid w:val="004A4EBA"/>
    <w:rsid w:val="004A5110"/>
    <w:rsid w:val="004A5343"/>
    <w:rsid w:val="004A5362"/>
    <w:rsid w:val="004A55D6"/>
    <w:rsid w:val="004A56A8"/>
    <w:rsid w:val="004A57D9"/>
    <w:rsid w:val="004A5A1D"/>
    <w:rsid w:val="004A5BC4"/>
    <w:rsid w:val="004A5BFA"/>
    <w:rsid w:val="004A5D85"/>
    <w:rsid w:val="004A5DA5"/>
    <w:rsid w:val="004A6131"/>
    <w:rsid w:val="004A62E8"/>
    <w:rsid w:val="004A6658"/>
    <w:rsid w:val="004A667A"/>
    <w:rsid w:val="004A683D"/>
    <w:rsid w:val="004A691B"/>
    <w:rsid w:val="004A69EF"/>
    <w:rsid w:val="004A6A18"/>
    <w:rsid w:val="004A6C70"/>
    <w:rsid w:val="004A6EC1"/>
    <w:rsid w:val="004A7169"/>
    <w:rsid w:val="004A7187"/>
    <w:rsid w:val="004A71A8"/>
    <w:rsid w:val="004A7319"/>
    <w:rsid w:val="004A78F8"/>
    <w:rsid w:val="004A7ADB"/>
    <w:rsid w:val="004A7DE9"/>
    <w:rsid w:val="004A7FDB"/>
    <w:rsid w:val="004B00D3"/>
    <w:rsid w:val="004B01BB"/>
    <w:rsid w:val="004B0233"/>
    <w:rsid w:val="004B027E"/>
    <w:rsid w:val="004B037C"/>
    <w:rsid w:val="004B0466"/>
    <w:rsid w:val="004B056D"/>
    <w:rsid w:val="004B0780"/>
    <w:rsid w:val="004B0892"/>
    <w:rsid w:val="004B09CC"/>
    <w:rsid w:val="004B0D10"/>
    <w:rsid w:val="004B132C"/>
    <w:rsid w:val="004B1332"/>
    <w:rsid w:val="004B1354"/>
    <w:rsid w:val="004B1735"/>
    <w:rsid w:val="004B17CD"/>
    <w:rsid w:val="004B1AD9"/>
    <w:rsid w:val="004B1B95"/>
    <w:rsid w:val="004B1F5F"/>
    <w:rsid w:val="004B2058"/>
    <w:rsid w:val="004B205A"/>
    <w:rsid w:val="004B2085"/>
    <w:rsid w:val="004B218D"/>
    <w:rsid w:val="004B261A"/>
    <w:rsid w:val="004B2646"/>
    <w:rsid w:val="004B26BC"/>
    <w:rsid w:val="004B272C"/>
    <w:rsid w:val="004B27F2"/>
    <w:rsid w:val="004B299F"/>
    <w:rsid w:val="004B2BA4"/>
    <w:rsid w:val="004B2CC5"/>
    <w:rsid w:val="004B2D3F"/>
    <w:rsid w:val="004B2F91"/>
    <w:rsid w:val="004B2FF4"/>
    <w:rsid w:val="004B3087"/>
    <w:rsid w:val="004B30D8"/>
    <w:rsid w:val="004B3145"/>
    <w:rsid w:val="004B3437"/>
    <w:rsid w:val="004B35B1"/>
    <w:rsid w:val="004B3678"/>
    <w:rsid w:val="004B36F4"/>
    <w:rsid w:val="004B370A"/>
    <w:rsid w:val="004B372A"/>
    <w:rsid w:val="004B3815"/>
    <w:rsid w:val="004B382D"/>
    <w:rsid w:val="004B3894"/>
    <w:rsid w:val="004B3951"/>
    <w:rsid w:val="004B3969"/>
    <w:rsid w:val="004B3A38"/>
    <w:rsid w:val="004B3A5C"/>
    <w:rsid w:val="004B3AAD"/>
    <w:rsid w:val="004B3AF2"/>
    <w:rsid w:val="004B3C0C"/>
    <w:rsid w:val="004B3D27"/>
    <w:rsid w:val="004B3DD0"/>
    <w:rsid w:val="004B3F05"/>
    <w:rsid w:val="004B406F"/>
    <w:rsid w:val="004B420A"/>
    <w:rsid w:val="004B4294"/>
    <w:rsid w:val="004B438B"/>
    <w:rsid w:val="004B4640"/>
    <w:rsid w:val="004B46C9"/>
    <w:rsid w:val="004B47BF"/>
    <w:rsid w:val="004B490E"/>
    <w:rsid w:val="004B4A56"/>
    <w:rsid w:val="004B4A94"/>
    <w:rsid w:val="004B4D88"/>
    <w:rsid w:val="004B4D9A"/>
    <w:rsid w:val="004B4F21"/>
    <w:rsid w:val="004B4F35"/>
    <w:rsid w:val="004B5018"/>
    <w:rsid w:val="004B52B4"/>
    <w:rsid w:val="004B54EB"/>
    <w:rsid w:val="004B55F8"/>
    <w:rsid w:val="004B55FB"/>
    <w:rsid w:val="004B571B"/>
    <w:rsid w:val="004B5765"/>
    <w:rsid w:val="004B5854"/>
    <w:rsid w:val="004B59C4"/>
    <w:rsid w:val="004B5AD0"/>
    <w:rsid w:val="004B5AEA"/>
    <w:rsid w:val="004B5B77"/>
    <w:rsid w:val="004B5BDF"/>
    <w:rsid w:val="004B5C2D"/>
    <w:rsid w:val="004B5D54"/>
    <w:rsid w:val="004B5E16"/>
    <w:rsid w:val="004B5EB1"/>
    <w:rsid w:val="004B5FB3"/>
    <w:rsid w:val="004B5FEE"/>
    <w:rsid w:val="004B6014"/>
    <w:rsid w:val="004B6135"/>
    <w:rsid w:val="004B62F1"/>
    <w:rsid w:val="004B631D"/>
    <w:rsid w:val="004B65FA"/>
    <w:rsid w:val="004B69E2"/>
    <w:rsid w:val="004B6B43"/>
    <w:rsid w:val="004B6BAD"/>
    <w:rsid w:val="004B6D47"/>
    <w:rsid w:val="004B6DC0"/>
    <w:rsid w:val="004B6E42"/>
    <w:rsid w:val="004B6E5A"/>
    <w:rsid w:val="004B6EFE"/>
    <w:rsid w:val="004B7134"/>
    <w:rsid w:val="004B71E3"/>
    <w:rsid w:val="004B722D"/>
    <w:rsid w:val="004B7304"/>
    <w:rsid w:val="004B73E2"/>
    <w:rsid w:val="004B7492"/>
    <w:rsid w:val="004B74AC"/>
    <w:rsid w:val="004B75C2"/>
    <w:rsid w:val="004B7646"/>
    <w:rsid w:val="004B7900"/>
    <w:rsid w:val="004B792C"/>
    <w:rsid w:val="004B7C21"/>
    <w:rsid w:val="004B7C24"/>
    <w:rsid w:val="004B7CA8"/>
    <w:rsid w:val="004B7CD3"/>
    <w:rsid w:val="004B7E38"/>
    <w:rsid w:val="004B7EF6"/>
    <w:rsid w:val="004B7F69"/>
    <w:rsid w:val="004B7F8B"/>
    <w:rsid w:val="004B7FC6"/>
    <w:rsid w:val="004C04E0"/>
    <w:rsid w:val="004C052C"/>
    <w:rsid w:val="004C05CD"/>
    <w:rsid w:val="004C0744"/>
    <w:rsid w:val="004C08D5"/>
    <w:rsid w:val="004C09B8"/>
    <w:rsid w:val="004C09F3"/>
    <w:rsid w:val="004C0B02"/>
    <w:rsid w:val="004C0BA2"/>
    <w:rsid w:val="004C0E6D"/>
    <w:rsid w:val="004C0F93"/>
    <w:rsid w:val="004C100F"/>
    <w:rsid w:val="004C11E2"/>
    <w:rsid w:val="004C1220"/>
    <w:rsid w:val="004C127A"/>
    <w:rsid w:val="004C15F8"/>
    <w:rsid w:val="004C1712"/>
    <w:rsid w:val="004C176A"/>
    <w:rsid w:val="004C1AB9"/>
    <w:rsid w:val="004C1C4F"/>
    <w:rsid w:val="004C1E49"/>
    <w:rsid w:val="004C1F27"/>
    <w:rsid w:val="004C208B"/>
    <w:rsid w:val="004C24FD"/>
    <w:rsid w:val="004C267F"/>
    <w:rsid w:val="004C2817"/>
    <w:rsid w:val="004C2852"/>
    <w:rsid w:val="004C2931"/>
    <w:rsid w:val="004C2BFE"/>
    <w:rsid w:val="004C2D7B"/>
    <w:rsid w:val="004C2DC2"/>
    <w:rsid w:val="004C315B"/>
    <w:rsid w:val="004C31A3"/>
    <w:rsid w:val="004C31F7"/>
    <w:rsid w:val="004C32A8"/>
    <w:rsid w:val="004C33C9"/>
    <w:rsid w:val="004C340A"/>
    <w:rsid w:val="004C35F2"/>
    <w:rsid w:val="004C3793"/>
    <w:rsid w:val="004C3835"/>
    <w:rsid w:val="004C38C0"/>
    <w:rsid w:val="004C39DF"/>
    <w:rsid w:val="004C3A9E"/>
    <w:rsid w:val="004C3B36"/>
    <w:rsid w:val="004C3B48"/>
    <w:rsid w:val="004C3C70"/>
    <w:rsid w:val="004C3E69"/>
    <w:rsid w:val="004C3F17"/>
    <w:rsid w:val="004C43C4"/>
    <w:rsid w:val="004C4598"/>
    <w:rsid w:val="004C463F"/>
    <w:rsid w:val="004C46CE"/>
    <w:rsid w:val="004C47FF"/>
    <w:rsid w:val="004C4859"/>
    <w:rsid w:val="004C487A"/>
    <w:rsid w:val="004C4927"/>
    <w:rsid w:val="004C4AB8"/>
    <w:rsid w:val="004C4BDC"/>
    <w:rsid w:val="004C4C9C"/>
    <w:rsid w:val="004C4D1B"/>
    <w:rsid w:val="004C4D9F"/>
    <w:rsid w:val="004C4FDC"/>
    <w:rsid w:val="004C5087"/>
    <w:rsid w:val="004C50AC"/>
    <w:rsid w:val="004C5171"/>
    <w:rsid w:val="004C5228"/>
    <w:rsid w:val="004C52D4"/>
    <w:rsid w:val="004C546A"/>
    <w:rsid w:val="004C57A0"/>
    <w:rsid w:val="004C587E"/>
    <w:rsid w:val="004C5B20"/>
    <w:rsid w:val="004C5B74"/>
    <w:rsid w:val="004C5BA6"/>
    <w:rsid w:val="004C5E4D"/>
    <w:rsid w:val="004C60F2"/>
    <w:rsid w:val="004C60FD"/>
    <w:rsid w:val="004C6244"/>
    <w:rsid w:val="004C636D"/>
    <w:rsid w:val="004C6413"/>
    <w:rsid w:val="004C66F0"/>
    <w:rsid w:val="004C6799"/>
    <w:rsid w:val="004C67E9"/>
    <w:rsid w:val="004C697C"/>
    <w:rsid w:val="004C6B91"/>
    <w:rsid w:val="004C6C2E"/>
    <w:rsid w:val="004C6F75"/>
    <w:rsid w:val="004C7089"/>
    <w:rsid w:val="004C7383"/>
    <w:rsid w:val="004C73C7"/>
    <w:rsid w:val="004C7468"/>
    <w:rsid w:val="004C7477"/>
    <w:rsid w:val="004C758B"/>
    <w:rsid w:val="004C75EC"/>
    <w:rsid w:val="004C760F"/>
    <w:rsid w:val="004C763B"/>
    <w:rsid w:val="004C76D6"/>
    <w:rsid w:val="004C7766"/>
    <w:rsid w:val="004C77A6"/>
    <w:rsid w:val="004C795F"/>
    <w:rsid w:val="004C799E"/>
    <w:rsid w:val="004C799F"/>
    <w:rsid w:val="004C79FA"/>
    <w:rsid w:val="004C79FB"/>
    <w:rsid w:val="004C7AFA"/>
    <w:rsid w:val="004C7D0B"/>
    <w:rsid w:val="004C7E3F"/>
    <w:rsid w:val="004C7E4B"/>
    <w:rsid w:val="004C7EDB"/>
    <w:rsid w:val="004C7FE2"/>
    <w:rsid w:val="004D002B"/>
    <w:rsid w:val="004D0129"/>
    <w:rsid w:val="004D01CB"/>
    <w:rsid w:val="004D0334"/>
    <w:rsid w:val="004D036E"/>
    <w:rsid w:val="004D0766"/>
    <w:rsid w:val="004D09D5"/>
    <w:rsid w:val="004D0B02"/>
    <w:rsid w:val="004D0BB7"/>
    <w:rsid w:val="004D0C8C"/>
    <w:rsid w:val="004D0E0D"/>
    <w:rsid w:val="004D0E48"/>
    <w:rsid w:val="004D1067"/>
    <w:rsid w:val="004D107F"/>
    <w:rsid w:val="004D10FF"/>
    <w:rsid w:val="004D1437"/>
    <w:rsid w:val="004D15A8"/>
    <w:rsid w:val="004D15D4"/>
    <w:rsid w:val="004D1700"/>
    <w:rsid w:val="004D1839"/>
    <w:rsid w:val="004D1910"/>
    <w:rsid w:val="004D1AED"/>
    <w:rsid w:val="004D1BB2"/>
    <w:rsid w:val="004D1C0B"/>
    <w:rsid w:val="004D1C1A"/>
    <w:rsid w:val="004D1D12"/>
    <w:rsid w:val="004D2002"/>
    <w:rsid w:val="004D20A7"/>
    <w:rsid w:val="004D21C0"/>
    <w:rsid w:val="004D21D3"/>
    <w:rsid w:val="004D2271"/>
    <w:rsid w:val="004D2603"/>
    <w:rsid w:val="004D265D"/>
    <w:rsid w:val="004D2766"/>
    <w:rsid w:val="004D27FF"/>
    <w:rsid w:val="004D2891"/>
    <w:rsid w:val="004D28D9"/>
    <w:rsid w:val="004D28E6"/>
    <w:rsid w:val="004D29C5"/>
    <w:rsid w:val="004D2B0E"/>
    <w:rsid w:val="004D2C99"/>
    <w:rsid w:val="004D2CDB"/>
    <w:rsid w:val="004D2D3B"/>
    <w:rsid w:val="004D2D9A"/>
    <w:rsid w:val="004D30E6"/>
    <w:rsid w:val="004D31AD"/>
    <w:rsid w:val="004D32FF"/>
    <w:rsid w:val="004D3469"/>
    <w:rsid w:val="004D346E"/>
    <w:rsid w:val="004D34E9"/>
    <w:rsid w:val="004D362C"/>
    <w:rsid w:val="004D3818"/>
    <w:rsid w:val="004D381B"/>
    <w:rsid w:val="004D3856"/>
    <w:rsid w:val="004D38D9"/>
    <w:rsid w:val="004D3917"/>
    <w:rsid w:val="004D3927"/>
    <w:rsid w:val="004D3A3A"/>
    <w:rsid w:val="004D3AC2"/>
    <w:rsid w:val="004D3ACD"/>
    <w:rsid w:val="004D3B3D"/>
    <w:rsid w:val="004D3D71"/>
    <w:rsid w:val="004D3E0F"/>
    <w:rsid w:val="004D4025"/>
    <w:rsid w:val="004D40A7"/>
    <w:rsid w:val="004D42B7"/>
    <w:rsid w:val="004D43AB"/>
    <w:rsid w:val="004D4769"/>
    <w:rsid w:val="004D48B5"/>
    <w:rsid w:val="004D4985"/>
    <w:rsid w:val="004D4A07"/>
    <w:rsid w:val="004D4AFB"/>
    <w:rsid w:val="004D4C09"/>
    <w:rsid w:val="004D4FB6"/>
    <w:rsid w:val="004D542A"/>
    <w:rsid w:val="004D5539"/>
    <w:rsid w:val="004D55B1"/>
    <w:rsid w:val="004D561E"/>
    <w:rsid w:val="004D57AB"/>
    <w:rsid w:val="004D585D"/>
    <w:rsid w:val="004D59F1"/>
    <w:rsid w:val="004D5A56"/>
    <w:rsid w:val="004D5AFC"/>
    <w:rsid w:val="004D5B66"/>
    <w:rsid w:val="004D5C35"/>
    <w:rsid w:val="004D5C6D"/>
    <w:rsid w:val="004D5C8F"/>
    <w:rsid w:val="004D5D0B"/>
    <w:rsid w:val="004D6013"/>
    <w:rsid w:val="004D61DE"/>
    <w:rsid w:val="004D6295"/>
    <w:rsid w:val="004D6387"/>
    <w:rsid w:val="004D660D"/>
    <w:rsid w:val="004D6619"/>
    <w:rsid w:val="004D6631"/>
    <w:rsid w:val="004D67A2"/>
    <w:rsid w:val="004D68D3"/>
    <w:rsid w:val="004D6990"/>
    <w:rsid w:val="004D6AAF"/>
    <w:rsid w:val="004D6B24"/>
    <w:rsid w:val="004D6C8C"/>
    <w:rsid w:val="004D6D2D"/>
    <w:rsid w:val="004D6F2B"/>
    <w:rsid w:val="004D6FCE"/>
    <w:rsid w:val="004D7096"/>
    <w:rsid w:val="004D70A1"/>
    <w:rsid w:val="004D7221"/>
    <w:rsid w:val="004D7360"/>
    <w:rsid w:val="004D73E6"/>
    <w:rsid w:val="004D748C"/>
    <w:rsid w:val="004D77A5"/>
    <w:rsid w:val="004D78F7"/>
    <w:rsid w:val="004D7A05"/>
    <w:rsid w:val="004D7A8A"/>
    <w:rsid w:val="004D7B99"/>
    <w:rsid w:val="004D7CE2"/>
    <w:rsid w:val="004D7D50"/>
    <w:rsid w:val="004D7EEF"/>
    <w:rsid w:val="004D7F26"/>
    <w:rsid w:val="004E0122"/>
    <w:rsid w:val="004E0140"/>
    <w:rsid w:val="004E0375"/>
    <w:rsid w:val="004E039C"/>
    <w:rsid w:val="004E03D2"/>
    <w:rsid w:val="004E050D"/>
    <w:rsid w:val="004E0797"/>
    <w:rsid w:val="004E0905"/>
    <w:rsid w:val="004E0936"/>
    <w:rsid w:val="004E09C0"/>
    <w:rsid w:val="004E0A38"/>
    <w:rsid w:val="004E0A8B"/>
    <w:rsid w:val="004E0A96"/>
    <w:rsid w:val="004E0C6D"/>
    <w:rsid w:val="004E0CFD"/>
    <w:rsid w:val="004E0D07"/>
    <w:rsid w:val="004E0D49"/>
    <w:rsid w:val="004E0DD0"/>
    <w:rsid w:val="004E0DE2"/>
    <w:rsid w:val="004E105E"/>
    <w:rsid w:val="004E1124"/>
    <w:rsid w:val="004E166A"/>
    <w:rsid w:val="004E1712"/>
    <w:rsid w:val="004E174D"/>
    <w:rsid w:val="004E1784"/>
    <w:rsid w:val="004E1858"/>
    <w:rsid w:val="004E1874"/>
    <w:rsid w:val="004E18C7"/>
    <w:rsid w:val="004E191C"/>
    <w:rsid w:val="004E1A3D"/>
    <w:rsid w:val="004E1B0E"/>
    <w:rsid w:val="004E1CEA"/>
    <w:rsid w:val="004E1D75"/>
    <w:rsid w:val="004E1DE7"/>
    <w:rsid w:val="004E1FEB"/>
    <w:rsid w:val="004E20CA"/>
    <w:rsid w:val="004E2154"/>
    <w:rsid w:val="004E2329"/>
    <w:rsid w:val="004E2470"/>
    <w:rsid w:val="004E255D"/>
    <w:rsid w:val="004E2569"/>
    <w:rsid w:val="004E27BB"/>
    <w:rsid w:val="004E2890"/>
    <w:rsid w:val="004E291B"/>
    <w:rsid w:val="004E2ACF"/>
    <w:rsid w:val="004E2AE9"/>
    <w:rsid w:val="004E2C86"/>
    <w:rsid w:val="004E2DD6"/>
    <w:rsid w:val="004E3032"/>
    <w:rsid w:val="004E3048"/>
    <w:rsid w:val="004E304C"/>
    <w:rsid w:val="004E306C"/>
    <w:rsid w:val="004E317D"/>
    <w:rsid w:val="004E31EC"/>
    <w:rsid w:val="004E3217"/>
    <w:rsid w:val="004E331C"/>
    <w:rsid w:val="004E33D4"/>
    <w:rsid w:val="004E3500"/>
    <w:rsid w:val="004E3669"/>
    <w:rsid w:val="004E3716"/>
    <w:rsid w:val="004E37D3"/>
    <w:rsid w:val="004E3837"/>
    <w:rsid w:val="004E3A1D"/>
    <w:rsid w:val="004E3B4D"/>
    <w:rsid w:val="004E3B70"/>
    <w:rsid w:val="004E3BED"/>
    <w:rsid w:val="004E3BFE"/>
    <w:rsid w:val="004E3F39"/>
    <w:rsid w:val="004E4087"/>
    <w:rsid w:val="004E40B4"/>
    <w:rsid w:val="004E44FA"/>
    <w:rsid w:val="004E4533"/>
    <w:rsid w:val="004E4618"/>
    <w:rsid w:val="004E484E"/>
    <w:rsid w:val="004E48BA"/>
    <w:rsid w:val="004E490E"/>
    <w:rsid w:val="004E49DD"/>
    <w:rsid w:val="004E49E6"/>
    <w:rsid w:val="004E4A56"/>
    <w:rsid w:val="004E4B6C"/>
    <w:rsid w:val="004E4DCE"/>
    <w:rsid w:val="004E5438"/>
    <w:rsid w:val="004E5823"/>
    <w:rsid w:val="004E58A3"/>
    <w:rsid w:val="004E58F8"/>
    <w:rsid w:val="004E59C8"/>
    <w:rsid w:val="004E5AC5"/>
    <w:rsid w:val="004E5B13"/>
    <w:rsid w:val="004E5B7A"/>
    <w:rsid w:val="004E5C11"/>
    <w:rsid w:val="004E5E29"/>
    <w:rsid w:val="004E5ED6"/>
    <w:rsid w:val="004E5F71"/>
    <w:rsid w:val="004E5F96"/>
    <w:rsid w:val="004E60AE"/>
    <w:rsid w:val="004E60C5"/>
    <w:rsid w:val="004E6519"/>
    <w:rsid w:val="004E6548"/>
    <w:rsid w:val="004E6613"/>
    <w:rsid w:val="004E661E"/>
    <w:rsid w:val="004E66FB"/>
    <w:rsid w:val="004E6782"/>
    <w:rsid w:val="004E6877"/>
    <w:rsid w:val="004E6AF9"/>
    <w:rsid w:val="004E6E49"/>
    <w:rsid w:val="004E6E61"/>
    <w:rsid w:val="004E6EAD"/>
    <w:rsid w:val="004E6EB5"/>
    <w:rsid w:val="004E72BC"/>
    <w:rsid w:val="004E7429"/>
    <w:rsid w:val="004E7520"/>
    <w:rsid w:val="004E7653"/>
    <w:rsid w:val="004E76F8"/>
    <w:rsid w:val="004E7839"/>
    <w:rsid w:val="004E797B"/>
    <w:rsid w:val="004E7DD6"/>
    <w:rsid w:val="004E7E2A"/>
    <w:rsid w:val="004E7FB9"/>
    <w:rsid w:val="004F00D1"/>
    <w:rsid w:val="004F01DE"/>
    <w:rsid w:val="004F0370"/>
    <w:rsid w:val="004F0584"/>
    <w:rsid w:val="004F0747"/>
    <w:rsid w:val="004F07D7"/>
    <w:rsid w:val="004F0878"/>
    <w:rsid w:val="004F08A9"/>
    <w:rsid w:val="004F0913"/>
    <w:rsid w:val="004F0985"/>
    <w:rsid w:val="004F09EB"/>
    <w:rsid w:val="004F0BDA"/>
    <w:rsid w:val="004F0E4B"/>
    <w:rsid w:val="004F0F74"/>
    <w:rsid w:val="004F0F7B"/>
    <w:rsid w:val="004F0FCC"/>
    <w:rsid w:val="004F1093"/>
    <w:rsid w:val="004F1213"/>
    <w:rsid w:val="004F13DA"/>
    <w:rsid w:val="004F148B"/>
    <w:rsid w:val="004F1624"/>
    <w:rsid w:val="004F1681"/>
    <w:rsid w:val="004F16E2"/>
    <w:rsid w:val="004F171D"/>
    <w:rsid w:val="004F178B"/>
    <w:rsid w:val="004F18B9"/>
    <w:rsid w:val="004F19FA"/>
    <w:rsid w:val="004F1B73"/>
    <w:rsid w:val="004F1BBC"/>
    <w:rsid w:val="004F1CA8"/>
    <w:rsid w:val="004F200C"/>
    <w:rsid w:val="004F206A"/>
    <w:rsid w:val="004F2124"/>
    <w:rsid w:val="004F2453"/>
    <w:rsid w:val="004F247E"/>
    <w:rsid w:val="004F24C8"/>
    <w:rsid w:val="004F269C"/>
    <w:rsid w:val="004F2741"/>
    <w:rsid w:val="004F2760"/>
    <w:rsid w:val="004F2787"/>
    <w:rsid w:val="004F2897"/>
    <w:rsid w:val="004F28B2"/>
    <w:rsid w:val="004F28EF"/>
    <w:rsid w:val="004F2968"/>
    <w:rsid w:val="004F29EF"/>
    <w:rsid w:val="004F2A3B"/>
    <w:rsid w:val="004F2BB9"/>
    <w:rsid w:val="004F2BE6"/>
    <w:rsid w:val="004F2C20"/>
    <w:rsid w:val="004F2DC4"/>
    <w:rsid w:val="004F2FD6"/>
    <w:rsid w:val="004F31A2"/>
    <w:rsid w:val="004F31C8"/>
    <w:rsid w:val="004F31FC"/>
    <w:rsid w:val="004F32D0"/>
    <w:rsid w:val="004F341E"/>
    <w:rsid w:val="004F3441"/>
    <w:rsid w:val="004F35FE"/>
    <w:rsid w:val="004F370A"/>
    <w:rsid w:val="004F372E"/>
    <w:rsid w:val="004F3742"/>
    <w:rsid w:val="004F39FF"/>
    <w:rsid w:val="004F3A6C"/>
    <w:rsid w:val="004F3AD1"/>
    <w:rsid w:val="004F3BA0"/>
    <w:rsid w:val="004F3CD7"/>
    <w:rsid w:val="004F3D77"/>
    <w:rsid w:val="004F3F21"/>
    <w:rsid w:val="004F3FEF"/>
    <w:rsid w:val="004F4074"/>
    <w:rsid w:val="004F4206"/>
    <w:rsid w:val="004F4275"/>
    <w:rsid w:val="004F427C"/>
    <w:rsid w:val="004F4416"/>
    <w:rsid w:val="004F4482"/>
    <w:rsid w:val="004F4610"/>
    <w:rsid w:val="004F4651"/>
    <w:rsid w:val="004F4725"/>
    <w:rsid w:val="004F478A"/>
    <w:rsid w:val="004F48F4"/>
    <w:rsid w:val="004F492B"/>
    <w:rsid w:val="004F4AA6"/>
    <w:rsid w:val="004F4E4F"/>
    <w:rsid w:val="004F4FAB"/>
    <w:rsid w:val="004F5069"/>
    <w:rsid w:val="004F509A"/>
    <w:rsid w:val="004F516E"/>
    <w:rsid w:val="004F5205"/>
    <w:rsid w:val="004F536C"/>
    <w:rsid w:val="004F5385"/>
    <w:rsid w:val="004F53D1"/>
    <w:rsid w:val="004F547B"/>
    <w:rsid w:val="004F54D1"/>
    <w:rsid w:val="004F5613"/>
    <w:rsid w:val="004F57F8"/>
    <w:rsid w:val="004F582F"/>
    <w:rsid w:val="004F5875"/>
    <w:rsid w:val="004F58B9"/>
    <w:rsid w:val="004F5913"/>
    <w:rsid w:val="004F5939"/>
    <w:rsid w:val="004F5A21"/>
    <w:rsid w:val="004F5B2E"/>
    <w:rsid w:val="004F5CF0"/>
    <w:rsid w:val="004F5D99"/>
    <w:rsid w:val="004F604A"/>
    <w:rsid w:val="004F61BF"/>
    <w:rsid w:val="004F61C1"/>
    <w:rsid w:val="004F62F4"/>
    <w:rsid w:val="004F6437"/>
    <w:rsid w:val="004F6476"/>
    <w:rsid w:val="004F64C0"/>
    <w:rsid w:val="004F68D1"/>
    <w:rsid w:val="004F69B7"/>
    <w:rsid w:val="004F6A6D"/>
    <w:rsid w:val="004F6B39"/>
    <w:rsid w:val="004F6BEB"/>
    <w:rsid w:val="004F6CCD"/>
    <w:rsid w:val="004F6CE6"/>
    <w:rsid w:val="004F6D79"/>
    <w:rsid w:val="004F6DA8"/>
    <w:rsid w:val="004F6DED"/>
    <w:rsid w:val="004F6E94"/>
    <w:rsid w:val="004F748B"/>
    <w:rsid w:val="004F74FD"/>
    <w:rsid w:val="004F7574"/>
    <w:rsid w:val="004F76E5"/>
    <w:rsid w:val="004F7731"/>
    <w:rsid w:val="004F77D7"/>
    <w:rsid w:val="004F7A77"/>
    <w:rsid w:val="004F7A88"/>
    <w:rsid w:val="004F7AB8"/>
    <w:rsid w:val="004F7AFD"/>
    <w:rsid w:val="004F7B7C"/>
    <w:rsid w:val="004F7C18"/>
    <w:rsid w:val="004F7C49"/>
    <w:rsid w:val="004F7CF7"/>
    <w:rsid w:val="004F7E1F"/>
    <w:rsid w:val="004F7E6F"/>
    <w:rsid w:val="0050015B"/>
    <w:rsid w:val="00500503"/>
    <w:rsid w:val="00500558"/>
    <w:rsid w:val="005007EF"/>
    <w:rsid w:val="00500AB7"/>
    <w:rsid w:val="00500AC8"/>
    <w:rsid w:val="00500BFC"/>
    <w:rsid w:val="00501042"/>
    <w:rsid w:val="005010E2"/>
    <w:rsid w:val="00501174"/>
    <w:rsid w:val="00501222"/>
    <w:rsid w:val="0050130D"/>
    <w:rsid w:val="0050141D"/>
    <w:rsid w:val="005018D5"/>
    <w:rsid w:val="005019FA"/>
    <w:rsid w:val="00501E5D"/>
    <w:rsid w:val="0050209B"/>
    <w:rsid w:val="005020AC"/>
    <w:rsid w:val="0050214F"/>
    <w:rsid w:val="00502278"/>
    <w:rsid w:val="00502280"/>
    <w:rsid w:val="0050231F"/>
    <w:rsid w:val="0050239D"/>
    <w:rsid w:val="0050240D"/>
    <w:rsid w:val="005025C3"/>
    <w:rsid w:val="005025CC"/>
    <w:rsid w:val="0050260A"/>
    <w:rsid w:val="005027ED"/>
    <w:rsid w:val="005028B0"/>
    <w:rsid w:val="0050290A"/>
    <w:rsid w:val="00502965"/>
    <w:rsid w:val="00502A27"/>
    <w:rsid w:val="00502BFE"/>
    <w:rsid w:val="00502C02"/>
    <w:rsid w:val="00502C0E"/>
    <w:rsid w:val="00502C75"/>
    <w:rsid w:val="00502CE3"/>
    <w:rsid w:val="00502D18"/>
    <w:rsid w:val="0050302F"/>
    <w:rsid w:val="00503212"/>
    <w:rsid w:val="0050326E"/>
    <w:rsid w:val="005034ED"/>
    <w:rsid w:val="0050368B"/>
    <w:rsid w:val="00503779"/>
    <w:rsid w:val="0050393E"/>
    <w:rsid w:val="0050395F"/>
    <w:rsid w:val="00503CEB"/>
    <w:rsid w:val="00503D07"/>
    <w:rsid w:val="00503D1F"/>
    <w:rsid w:val="00503D56"/>
    <w:rsid w:val="00503E85"/>
    <w:rsid w:val="00503F6B"/>
    <w:rsid w:val="00503F91"/>
    <w:rsid w:val="00503F9A"/>
    <w:rsid w:val="00504147"/>
    <w:rsid w:val="00504156"/>
    <w:rsid w:val="00504223"/>
    <w:rsid w:val="0050432A"/>
    <w:rsid w:val="00504557"/>
    <w:rsid w:val="005045DB"/>
    <w:rsid w:val="005045F0"/>
    <w:rsid w:val="00504601"/>
    <w:rsid w:val="0050469B"/>
    <w:rsid w:val="005047A4"/>
    <w:rsid w:val="005047F8"/>
    <w:rsid w:val="00504A7E"/>
    <w:rsid w:val="00504ACD"/>
    <w:rsid w:val="00504C2C"/>
    <w:rsid w:val="00504D6C"/>
    <w:rsid w:val="00504DE0"/>
    <w:rsid w:val="0050508D"/>
    <w:rsid w:val="00505336"/>
    <w:rsid w:val="005057BC"/>
    <w:rsid w:val="005057C2"/>
    <w:rsid w:val="00505C5A"/>
    <w:rsid w:val="00505CAB"/>
    <w:rsid w:val="00505CAF"/>
    <w:rsid w:val="00505EF5"/>
    <w:rsid w:val="00505F46"/>
    <w:rsid w:val="00506162"/>
    <w:rsid w:val="005061F4"/>
    <w:rsid w:val="00506212"/>
    <w:rsid w:val="005064F7"/>
    <w:rsid w:val="00506633"/>
    <w:rsid w:val="005067E1"/>
    <w:rsid w:val="005068F4"/>
    <w:rsid w:val="005069EF"/>
    <w:rsid w:val="00506A3B"/>
    <w:rsid w:val="00506A64"/>
    <w:rsid w:val="00506BC1"/>
    <w:rsid w:val="00506C5B"/>
    <w:rsid w:val="00506D8F"/>
    <w:rsid w:val="00506EC0"/>
    <w:rsid w:val="00507080"/>
    <w:rsid w:val="00507100"/>
    <w:rsid w:val="005071B4"/>
    <w:rsid w:val="005071CA"/>
    <w:rsid w:val="00507215"/>
    <w:rsid w:val="005072DF"/>
    <w:rsid w:val="00507328"/>
    <w:rsid w:val="00507335"/>
    <w:rsid w:val="005073FB"/>
    <w:rsid w:val="00507940"/>
    <w:rsid w:val="005079B6"/>
    <w:rsid w:val="005079C8"/>
    <w:rsid w:val="00507A1E"/>
    <w:rsid w:val="00507A56"/>
    <w:rsid w:val="00507B05"/>
    <w:rsid w:val="00507B16"/>
    <w:rsid w:val="00507BDF"/>
    <w:rsid w:val="00507CB9"/>
    <w:rsid w:val="00507D3F"/>
    <w:rsid w:val="00507D5C"/>
    <w:rsid w:val="00507DFD"/>
    <w:rsid w:val="00507F75"/>
    <w:rsid w:val="005100E7"/>
    <w:rsid w:val="00510244"/>
    <w:rsid w:val="00510349"/>
    <w:rsid w:val="0051037C"/>
    <w:rsid w:val="0051044C"/>
    <w:rsid w:val="00510540"/>
    <w:rsid w:val="00510669"/>
    <w:rsid w:val="00510767"/>
    <w:rsid w:val="0051085F"/>
    <w:rsid w:val="00510956"/>
    <w:rsid w:val="00510A7A"/>
    <w:rsid w:val="00510C5E"/>
    <w:rsid w:val="00510D3D"/>
    <w:rsid w:val="00510DF1"/>
    <w:rsid w:val="00510F8E"/>
    <w:rsid w:val="005110E8"/>
    <w:rsid w:val="00511392"/>
    <w:rsid w:val="00511506"/>
    <w:rsid w:val="00511574"/>
    <w:rsid w:val="005115F8"/>
    <w:rsid w:val="0051164A"/>
    <w:rsid w:val="005116BD"/>
    <w:rsid w:val="005116DC"/>
    <w:rsid w:val="00511CD2"/>
    <w:rsid w:val="00511ECF"/>
    <w:rsid w:val="00512025"/>
    <w:rsid w:val="0051209B"/>
    <w:rsid w:val="005120E4"/>
    <w:rsid w:val="00512176"/>
    <w:rsid w:val="005121D4"/>
    <w:rsid w:val="005123A0"/>
    <w:rsid w:val="00512471"/>
    <w:rsid w:val="005124F0"/>
    <w:rsid w:val="0051273A"/>
    <w:rsid w:val="005127A7"/>
    <w:rsid w:val="005128F0"/>
    <w:rsid w:val="00512A91"/>
    <w:rsid w:val="00512ACB"/>
    <w:rsid w:val="00512B96"/>
    <w:rsid w:val="00512CCC"/>
    <w:rsid w:val="00512FD9"/>
    <w:rsid w:val="005131E3"/>
    <w:rsid w:val="005132B5"/>
    <w:rsid w:val="005132DE"/>
    <w:rsid w:val="005135E3"/>
    <w:rsid w:val="00513621"/>
    <w:rsid w:val="00513687"/>
    <w:rsid w:val="005137A7"/>
    <w:rsid w:val="005138B0"/>
    <w:rsid w:val="005139F9"/>
    <w:rsid w:val="00513BDD"/>
    <w:rsid w:val="00513C1C"/>
    <w:rsid w:val="00513CAA"/>
    <w:rsid w:val="00513E06"/>
    <w:rsid w:val="00513F1B"/>
    <w:rsid w:val="00513F3C"/>
    <w:rsid w:val="0051406C"/>
    <w:rsid w:val="00514084"/>
    <w:rsid w:val="00514176"/>
    <w:rsid w:val="00514474"/>
    <w:rsid w:val="005147E3"/>
    <w:rsid w:val="0051480A"/>
    <w:rsid w:val="005148EF"/>
    <w:rsid w:val="00514910"/>
    <w:rsid w:val="00514920"/>
    <w:rsid w:val="005149F4"/>
    <w:rsid w:val="00514A81"/>
    <w:rsid w:val="00514B02"/>
    <w:rsid w:val="00514CA2"/>
    <w:rsid w:val="00514DC7"/>
    <w:rsid w:val="00515171"/>
    <w:rsid w:val="00515312"/>
    <w:rsid w:val="005153B7"/>
    <w:rsid w:val="005156F6"/>
    <w:rsid w:val="00515757"/>
    <w:rsid w:val="005157AB"/>
    <w:rsid w:val="005157FD"/>
    <w:rsid w:val="00515815"/>
    <w:rsid w:val="0051586F"/>
    <w:rsid w:val="00515883"/>
    <w:rsid w:val="00515905"/>
    <w:rsid w:val="00515945"/>
    <w:rsid w:val="00515953"/>
    <w:rsid w:val="00515B7B"/>
    <w:rsid w:val="00515BDF"/>
    <w:rsid w:val="00515C64"/>
    <w:rsid w:val="00515CFF"/>
    <w:rsid w:val="00515D95"/>
    <w:rsid w:val="00515E67"/>
    <w:rsid w:val="00515F71"/>
    <w:rsid w:val="0051612B"/>
    <w:rsid w:val="00516200"/>
    <w:rsid w:val="005166B6"/>
    <w:rsid w:val="0051678A"/>
    <w:rsid w:val="00516809"/>
    <w:rsid w:val="00516927"/>
    <w:rsid w:val="005169AA"/>
    <w:rsid w:val="00516EDD"/>
    <w:rsid w:val="005172CA"/>
    <w:rsid w:val="005172F0"/>
    <w:rsid w:val="0051739E"/>
    <w:rsid w:val="005173A7"/>
    <w:rsid w:val="005173AE"/>
    <w:rsid w:val="00517480"/>
    <w:rsid w:val="00517558"/>
    <w:rsid w:val="005176AB"/>
    <w:rsid w:val="00517821"/>
    <w:rsid w:val="00517A4B"/>
    <w:rsid w:val="00517AB0"/>
    <w:rsid w:val="00517ABE"/>
    <w:rsid w:val="00517AF0"/>
    <w:rsid w:val="00517D5A"/>
    <w:rsid w:val="00517F01"/>
    <w:rsid w:val="0052012E"/>
    <w:rsid w:val="00520195"/>
    <w:rsid w:val="005201FD"/>
    <w:rsid w:val="0052025F"/>
    <w:rsid w:val="0052063F"/>
    <w:rsid w:val="0052087B"/>
    <w:rsid w:val="0052089F"/>
    <w:rsid w:val="00520A66"/>
    <w:rsid w:val="00520BC8"/>
    <w:rsid w:val="00520F2B"/>
    <w:rsid w:val="0052106F"/>
    <w:rsid w:val="0052136A"/>
    <w:rsid w:val="00521494"/>
    <w:rsid w:val="005216BC"/>
    <w:rsid w:val="005216DF"/>
    <w:rsid w:val="005218A3"/>
    <w:rsid w:val="005219E7"/>
    <w:rsid w:val="00521A95"/>
    <w:rsid w:val="00521AE4"/>
    <w:rsid w:val="00521AFC"/>
    <w:rsid w:val="00521D7D"/>
    <w:rsid w:val="0052203E"/>
    <w:rsid w:val="00522070"/>
    <w:rsid w:val="005221C4"/>
    <w:rsid w:val="005223A4"/>
    <w:rsid w:val="005224AD"/>
    <w:rsid w:val="005227F8"/>
    <w:rsid w:val="00522905"/>
    <w:rsid w:val="00522A38"/>
    <w:rsid w:val="00522AD2"/>
    <w:rsid w:val="00522B77"/>
    <w:rsid w:val="00522BF6"/>
    <w:rsid w:val="00522D56"/>
    <w:rsid w:val="00522E34"/>
    <w:rsid w:val="00522EE3"/>
    <w:rsid w:val="00522F63"/>
    <w:rsid w:val="00522FDB"/>
    <w:rsid w:val="0052319F"/>
    <w:rsid w:val="005232AA"/>
    <w:rsid w:val="005232B3"/>
    <w:rsid w:val="00523503"/>
    <w:rsid w:val="0052357E"/>
    <w:rsid w:val="005235CC"/>
    <w:rsid w:val="00523730"/>
    <w:rsid w:val="0052398E"/>
    <w:rsid w:val="00523A7A"/>
    <w:rsid w:val="00523B5C"/>
    <w:rsid w:val="00523C03"/>
    <w:rsid w:val="00523D72"/>
    <w:rsid w:val="00523E0D"/>
    <w:rsid w:val="00523F5A"/>
    <w:rsid w:val="00523FB7"/>
    <w:rsid w:val="005242CB"/>
    <w:rsid w:val="0052436F"/>
    <w:rsid w:val="0052439E"/>
    <w:rsid w:val="005243BD"/>
    <w:rsid w:val="0052470A"/>
    <w:rsid w:val="0052478F"/>
    <w:rsid w:val="005247B8"/>
    <w:rsid w:val="00524A15"/>
    <w:rsid w:val="00524A2B"/>
    <w:rsid w:val="00524AD6"/>
    <w:rsid w:val="00524AD8"/>
    <w:rsid w:val="00524D41"/>
    <w:rsid w:val="00524F2B"/>
    <w:rsid w:val="00524F52"/>
    <w:rsid w:val="0052530E"/>
    <w:rsid w:val="0052538A"/>
    <w:rsid w:val="005254E5"/>
    <w:rsid w:val="005257B3"/>
    <w:rsid w:val="0052588F"/>
    <w:rsid w:val="00525897"/>
    <w:rsid w:val="005258CB"/>
    <w:rsid w:val="005258F8"/>
    <w:rsid w:val="00525A34"/>
    <w:rsid w:val="00525EE1"/>
    <w:rsid w:val="00525F06"/>
    <w:rsid w:val="0052607C"/>
    <w:rsid w:val="005261E8"/>
    <w:rsid w:val="00526283"/>
    <w:rsid w:val="00526308"/>
    <w:rsid w:val="0052634A"/>
    <w:rsid w:val="00526415"/>
    <w:rsid w:val="00526468"/>
    <w:rsid w:val="005265F5"/>
    <w:rsid w:val="00526639"/>
    <w:rsid w:val="00526679"/>
    <w:rsid w:val="0052673B"/>
    <w:rsid w:val="0052674A"/>
    <w:rsid w:val="0052681B"/>
    <w:rsid w:val="00526A30"/>
    <w:rsid w:val="00526A67"/>
    <w:rsid w:val="00526B05"/>
    <w:rsid w:val="00526B85"/>
    <w:rsid w:val="00526CA6"/>
    <w:rsid w:val="00526CF0"/>
    <w:rsid w:val="00526D43"/>
    <w:rsid w:val="00526DA1"/>
    <w:rsid w:val="00526FCD"/>
    <w:rsid w:val="00527160"/>
    <w:rsid w:val="005271C1"/>
    <w:rsid w:val="005271E7"/>
    <w:rsid w:val="005271FB"/>
    <w:rsid w:val="00527200"/>
    <w:rsid w:val="005272B7"/>
    <w:rsid w:val="005275CC"/>
    <w:rsid w:val="0052792B"/>
    <w:rsid w:val="00527A16"/>
    <w:rsid w:val="00527A22"/>
    <w:rsid w:val="00527A9D"/>
    <w:rsid w:val="00527C00"/>
    <w:rsid w:val="00527CEE"/>
    <w:rsid w:val="00527E82"/>
    <w:rsid w:val="00527F87"/>
    <w:rsid w:val="0053000F"/>
    <w:rsid w:val="00530034"/>
    <w:rsid w:val="0053009F"/>
    <w:rsid w:val="00530141"/>
    <w:rsid w:val="00530285"/>
    <w:rsid w:val="005302C1"/>
    <w:rsid w:val="00530373"/>
    <w:rsid w:val="005303C2"/>
    <w:rsid w:val="00530414"/>
    <w:rsid w:val="00530861"/>
    <w:rsid w:val="00530931"/>
    <w:rsid w:val="00530B04"/>
    <w:rsid w:val="00530B46"/>
    <w:rsid w:val="00530BE8"/>
    <w:rsid w:val="00530C1B"/>
    <w:rsid w:val="00530E56"/>
    <w:rsid w:val="00530F20"/>
    <w:rsid w:val="005312D3"/>
    <w:rsid w:val="005313EB"/>
    <w:rsid w:val="0053146F"/>
    <w:rsid w:val="005314C7"/>
    <w:rsid w:val="00531514"/>
    <w:rsid w:val="005315AA"/>
    <w:rsid w:val="005317EF"/>
    <w:rsid w:val="00531AD5"/>
    <w:rsid w:val="00531B69"/>
    <w:rsid w:val="00531BAF"/>
    <w:rsid w:val="00531BB6"/>
    <w:rsid w:val="00531CE9"/>
    <w:rsid w:val="00531D28"/>
    <w:rsid w:val="00531DA9"/>
    <w:rsid w:val="00531EDB"/>
    <w:rsid w:val="00531F61"/>
    <w:rsid w:val="00532106"/>
    <w:rsid w:val="005321EE"/>
    <w:rsid w:val="005322C7"/>
    <w:rsid w:val="0053251F"/>
    <w:rsid w:val="005325E2"/>
    <w:rsid w:val="0053268B"/>
    <w:rsid w:val="0053275E"/>
    <w:rsid w:val="005327D1"/>
    <w:rsid w:val="005327F8"/>
    <w:rsid w:val="00532816"/>
    <w:rsid w:val="005328D8"/>
    <w:rsid w:val="005329C6"/>
    <w:rsid w:val="00532DBB"/>
    <w:rsid w:val="00532DC0"/>
    <w:rsid w:val="00532DE4"/>
    <w:rsid w:val="00532E0F"/>
    <w:rsid w:val="00532ED1"/>
    <w:rsid w:val="00532FEF"/>
    <w:rsid w:val="005331B0"/>
    <w:rsid w:val="00533270"/>
    <w:rsid w:val="005333AA"/>
    <w:rsid w:val="00533553"/>
    <w:rsid w:val="00533671"/>
    <w:rsid w:val="0053380B"/>
    <w:rsid w:val="005338D2"/>
    <w:rsid w:val="00533955"/>
    <w:rsid w:val="00533C49"/>
    <w:rsid w:val="00533C4B"/>
    <w:rsid w:val="00533CA5"/>
    <w:rsid w:val="00533E43"/>
    <w:rsid w:val="00533E78"/>
    <w:rsid w:val="00534004"/>
    <w:rsid w:val="0053407C"/>
    <w:rsid w:val="005342C5"/>
    <w:rsid w:val="00534302"/>
    <w:rsid w:val="0053439F"/>
    <w:rsid w:val="005344C5"/>
    <w:rsid w:val="005346B8"/>
    <w:rsid w:val="00534763"/>
    <w:rsid w:val="00534B5A"/>
    <w:rsid w:val="00534BE9"/>
    <w:rsid w:val="00534EC3"/>
    <w:rsid w:val="00534EE1"/>
    <w:rsid w:val="00534EEA"/>
    <w:rsid w:val="00534F77"/>
    <w:rsid w:val="00534F93"/>
    <w:rsid w:val="005350F6"/>
    <w:rsid w:val="0053510A"/>
    <w:rsid w:val="00535165"/>
    <w:rsid w:val="0053519E"/>
    <w:rsid w:val="005351B6"/>
    <w:rsid w:val="00535251"/>
    <w:rsid w:val="0053539E"/>
    <w:rsid w:val="0053541B"/>
    <w:rsid w:val="0053541C"/>
    <w:rsid w:val="005354FA"/>
    <w:rsid w:val="0053551D"/>
    <w:rsid w:val="00535655"/>
    <w:rsid w:val="0053571F"/>
    <w:rsid w:val="00535B46"/>
    <w:rsid w:val="00535B67"/>
    <w:rsid w:val="00535E62"/>
    <w:rsid w:val="00535EFB"/>
    <w:rsid w:val="00535F97"/>
    <w:rsid w:val="00536012"/>
    <w:rsid w:val="0053608F"/>
    <w:rsid w:val="005360D6"/>
    <w:rsid w:val="005361B9"/>
    <w:rsid w:val="00536231"/>
    <w:rsid w:val="00536312"/>
    <w:rsid w:val="005366C5"/>
    <w:rsid w:val="00536811"/>
    <w:rsid w:val="0053690E"/>
    <w:rsid w:val="00536BB8"/>
    <w:rsid w:val="00536C86"/>
    <w:rsid w:val="00536D9D"/>
    <w:rsid w:val="00536FD5"/>
    <w:rsid w:val="00537239"/>
    <w:rsid w:val="0053729D"/>
    <w:rsid w:val="0053731D"/>
    <w:rsid w:val="005373BB"/>
    <w:rsid w:val="0053759F"/>
    <w:rsid w:val="005376F2"/>
    <w:rsid w:val="00537706"/>
    <w:rsid w:val="00537738"/>
    <w:rsid w:val="0053775B"/>
    <w:rsid w:val="00537796"/>
    <w:rsid w:val="005377B9"/>
    <w:rsid w:val="005377C0"/>
    <w:rsid w:val="00537998"/>
    <w:rsid w:val="005379A9"/>
    <w:rsid w:val="005379F2"/>
    <w:rsid w:val="00537A6A"/>
    <w:rsid w:val="00537BCF"/>
    <w:rsid w:val="00537DB9"/>
    <w:rsid w:val="00537E15"/>
    <w:rsid w:val="00537F6A"/>
    <w:rsid w:val="0054004E"/>
    <w:rsid w:val="00540127"/>
    <w:rsid w:val="005401A9"/>
    <w:rsid w:val="005401DC"/>
    <w:rsid w:val="00540287"/>
    <w:rsid w:val="00540294"/>
    <w:rsid w:val="005403AB"/>
    <w:rsid w:val="005403B3"/>
    <w:rsid w:val="005403C5"/>
    <w:rsid w:val="005405DB"/>
    <w:rsid w:val="00540628"/>
    <w:rsid w:val="0054065B"/>
    <w:rsid w:val="00540892"/>
    <w:rsid w:val="005408CA"/>
    <w:rsid w:val="00540999"/>
    <w:rsid w:val="00540A2E"/>
    <w:rsid w:val="00540A8D"/>
    <w:rsid w:val="00540C0F"/>
    <w:rsid w:val="00540C60"/>
    <w:rsid w:val="00540C7C"/>
    <w:rsid w:val="00540D97"/>
    <w:rsid w:val="00540D9B"/>
    <w:rsid w:val="00540EF4"/>
    <w:rsid w:val="005413DB"/>
    <w:rsid w:val="00541861"/>
    <w:rsid w:val="00541967"/>
    <w:rsid w:val="005419A8"/>
    <w:rsid w:val="005419CD"/>
    <w:rsid w:val="00541ADB"/>
    <w:rsid w:val="00541BA3"/>
    <w:rsid w:val="00541D0E"/>
    <w:rsid w:val="00541EB3"/>
    <w:rsid w:val="00541FBB"/>
    <w:rsid w:val="00542041"/>
    <w:rsid w:val="0054210F"/>
    <w:rsid w:val="00542305"/>
    <w:rsid w:val="00542335"/>
    <w:rsid w:val="00542383"/>
    <w:rsid w:val="0054238E"/>
    <w:rsid w:val="005423F2"/>
    <w:rsid w:val="00542568"/>
    <w:rsid w:val="0054263C"/>
    <w:rsid w:val="0054264A"/>
    <w:rsid w:val="00542693"/>
    <w:rsid w:val="00542838"/>
    <w:rsid w:val="0054284D"/>
    <w:rsid w:val="00542B49"/>
    <w:rsid w:val="00542C3A"/>
    <w:rsid w:val="00542C76"/>
    <w:rsid w:val="00542F54"/>
    <w:rsid w:val="005431E7"/>
    <w:rsid w:val="00543222"/>
    <w:rsid w:val="00543265"/>
    <w:rsid w:val="005432AD"/>
    <w:rsid w:val="005432C7"/>
    <w:rsid w:val="005437EC"/>
    <w:rsid w:val="0054387D"/>
    <w:rsid w:val="00543939"/>
    <w:rsid w:val="0054396B"/>
    <w:rsid w:val="00543B1D"/>
    <w:rsid w:val="00543B68"/>
    <w:rsid w:val="00543B9B"/>
    <w:rsid w:val="00544029"/>
    <w:rsid w:val="0054406E"/>
    <w:rsid w:val="00544145"/>
    <w:rsid w:val="00544157"/>
    <w:rsid w:val="00544187"/>
    <w:rsid w:val="00544317"/>
    <w:rsid w:val="00544534"/>
    <w:rsid w:val="005446FA"/>
    <w:rsid w:val="005447FD"/>
    <w:rsid w:val="00544933"/>
    <w:rsid w:val="0054499A"/>
    <w:rsid w:val="005449C3"/>
    <w:rsid w:val="005449D9"/>
    <w:rsid w:val="00544A43"/>
    <w:rsid w:val="00544A61"/>
    <w:rsid w:val="00544ABC"/>
    <w:rsid w:val="00544AE3"/>
    <w:rsid w:val="00544B6D"/>
    <w:rsid w:val="00544ECB"/>
    <w:rsid w:val="005450C2"/>
    <w:rsid w:val="0054519E"/>
    <w:rsid w:val="005451A9"/>
    <w:rsid w:val="005452C9"/>
    <w:rsid w:val="00545522"/>
    <w:rsid w:val="005455C6"/>
    <w:rsid w:val="005455DA"/>
    <w:rsid w:val="005455DF"/>
    <w:rsid w:val="00545606"/>
    <w:rsid w:val="00545633"/>
    <w:rsid w:val="005456EA"/>
    <w:rsid w:val="005457B6"/>
    <w:rsid w:val="005458F6"/>
    <w:rsid w:val="00545A51"/>
    <w:rsid w:val="00545AC2"/>
    <w:rsid w:val="00545C04"/>
    <w:rsid w:val="00545D39"/>
    <w:rsid w:val="00545DB3"/>
    <w:rsid w:val="00545E6B"/>
    <w:rsid w:val="00546038"/>
    <w:rsid w:val="0054614C"/>
    <w:rsid w:val="005462C8"/>
    <w:rsid w:val="0054635B"/>
    <w:rsid w:val="005464C3"/>
    <w:rsid w:val="005466E0"/>
    <w:rsid w:val="00546ACC"/>
    <w:rsid w:val="00546B9A"/>
    <w:rsid w:val="00546BFF"/>
    <w:rsid w:val="00546C46"/>
    <w:rsid w:val="00546D0A"/>
    <w:rsid w:val="00546D4D"/>
    <w:rsid w:val="00546DEF"/>
    <w:rsid w:val="00546E75"/>
    <w:rsid w:val="00546E7E"/>
    <w:rsid w:val="00546EED"/>
    <w:rsid w:val="00546FC3"/>
    <w:rsid w:val="00547054"/>
    <w:rsid w:val="00547076"/>
    <w:rsid w:val="00547222"/>
    <w:rsid w:val="005472DE"/>
    <w:rsid w:val="005473B5"/>
    <w:rsid w:val="00547424"/>
    <w:rsid w:val="0054748B"/>
    <w:rsid w:val="0054757C"/>
    <w:rsid w:val="005475C8"/>
    <w:rsid w:val="0054777B"/>
    <w:rsid w:val="00547795"/>
    <w:rsid w:val="0054788A"/>
    <w:rsid w:val="00547986"/>
    <w:rsid w:val="00547AA6"/>
    <w:rsid w:val="00547CD3"/>
    <w:rsid w:val="00547D82"/>
    <w:rsid w:val="00547DA5"/>
    <w:rsid w:val="00547E00"/>
    <w:rsid w:val="00547EC7"/>
    <w:rsid w:val="0055003D"/>
    <w:rsid w:val="00550264"/>
    <w:rsid w:val="005502CA"/>
    <w:rsid w:val="00550433"/>
    <w:rsid w:val="00550495"/>
    <w:rsid w:val="00550522"/>
    <w:rsid w:val="005505BA"/>
    <w:rsid w:val="00550659"/>
    <w:rsid w:val="0055083E"/>
    <w:rsid w:val="00550869"/>
    <w:rsid w:val="005508A0"/>
    <w:rsid w:val="005508BD"/>
    <w:rsid w:val="00550ADA"/>
    <w:rsid w:val="00550B35"/>
    <w:rsid w:val="00550DAC"/>
    <w:rsid w:val="00550E08"/>
    <w:rsid w:val="00550F2A"/>
    <w:rsid w:val="00550F5A"/>
    <w:rsid w:val="00550FB3"/>
    <w:rsid w:val="00550FE9"/>
    <w:rsid w:val="00551094"/>
    <w:rsid w:val="00551208"/>
    <w:rsid w:val="0055132C"/>
    <w:rsid w:val="0055146A"/>
    <w:rsid w:val="0055161F"/>
    <w:rsid w:val="0055198C"/>
    <w:rsid w:val="00551A1F"/>
    <w:rsid w:val="00551AD8"/>
    <w:rsid w:val="00551BB9"/>
    <w:rsid w:val="00551CF0"/>
    <w:rsid w:val="00551D79"/>
    <w:rsid w:val="00551FCA"/>
    <w:rsid w:val="00552002"/>
    <w:rsid w:val="00552074"/>
    <w:rsid w:val="005521D6"/>
    <w:rsid w:val="00552305"/>
    <w:rsid w:val="00552346"/>
    <w:rsid w:val="00552386"/>
    <w:rsid w:val="0055249F"/>
    <w:rsid w:val="00552786"/>
    <w:rsid w:val="0055281D"/>
    <w:rsid w:val="005528E3"/>
    <w:rsid w:val="00552D91"/>
    <w:rsid w:val="00552E06"/>
    <w:rsid w:val="00552E0C"/>
    <w:rsid w:val="00552E30"/>
    <w:rsid w:val="00552E9B"/>
    <w:rsid w:val="00552FE3"/>
    <w:rsid w:val="00553069"/>
    <w:rsid w:val="0055306B"/>
    <w:rsid w:val="00553209"/>
    <w:rsid w:val="00553353"/>
    <w:rsid w:val="005534E9"/>
    <w:rsid w:val="00553572"/>
    <w:rsid w:val="005535A7"/>
    <w:rsid w:val="005535D1"/>
    <w:rsid w:val="0055373A"/>
    <w:rsid w:val="005537B9"/>
    <w:rsid w:val="005539E1"/>
    <w:rsid w:val="00553A56"/>
    <w:rsid w:val="00553DC9"/>
    <w:rsid w:val="00553E73"/>
    <w:rsid w:val="00553F04"/>
    <w:rsid w:val="00553F25"/>
    <w:rsid w:val="00554003"/>
    <w:rsid w:val="00554036"/>
    <w:rsid w:val="00554106"/>
    <w:rsid w:val="00554142"/>
    <w:rsid w:val="005541AE"/>
    <w:rsid w:val="00554238"/>
    <w:rsid w:val="00554277"/>
    <w:rsid w:val="00554394"/>
    <w:rsid w:val="00554636"/>
    <w:rsid w:val="0055464B"/>
    <w:rsid w:val="00554760"/>
    <w:rsid w:val="0055481E"/>
    <w:rsid w:val="00554856"/>
    <w:rsid w:val="00554935"/>
    <w:rsid w:val="00554A73"/>
    <w:rsid w:val="00554C59"/>
    <w:rsid w:val="00554C6F"/>
    <w:rsid w:val="00554DAE"/>
    <w:rsid w:val="00554ED7"/>
    <w:rsid w:val="00554F87"/>
    <w:rsid w:val="00554FA1"/>
    <w:rsid w:val="00554FF5"/>
    <w:rsid w:val="00555044"/>
    <w:rsid w:val="005550A0"/>
    <w:rsid w:val="005552E1"/>
    <w:rsid w:val="00555337"/>
    <w:rsid w:val="0055547D"/>
    <w:rsid w:val="00555546"/>
    <w:rsid w:val="005557D6"/>
    <w:rsid w:val="0055583D"/>
    <w:rsid w:val="00555857"/>
    <w:rsid w:val="00555BB8"/>
    <w:rsid w:val="00555EAF"/>
    <w:rsid w:val="00555FDF"/>
    <w:rsid w:val="0055612E"/>
    <w:rsid w:val="0055636E"/>
    <w:rsid w:val="005563D5"/>
    <w:rsid w:val="00556651"/>
    <w:rsid w:val="0055666B"/>
    <w:rsid w:val="0055666C"/>
    <w:rsid w:val="005567D1"/>
    <w:rsid w:val="00556806"/>
    <w:rsid w:val="00556AA1"/>
    <w:rsid w:val="00556B82"/>
    <w:rsid w:val="00556C48"/>
    <w:rsid w:val="00556CD2"/>
    <w:rsid w:val="00556DE9"/>
    <w:rsid w:val="00556EF3"/>
    <w:rsid w:val="00556F65"/>
    <w:rsid w:val="00556F80"/>
    <w:rsid w:val="0055710B"/>
    <w:rsid w:val="00557110"/>
    <w:rsid w:val="005572A9"/>
    <w:rsid w:val="00557338"/>
    <w:rsid w:val="00557510"/>
    <w:rsid w:val="00557605"/>
    <w:rsid w:val="005576F3"/>
    <w:rsid w:val="005577EC"/>
    <w:rsid w:val="00557902"/>
    <w:rsid w:val="00557984"/>
    <w:rsid w:val="00557B99"/>
    <w:rsid w:val="00557BB7"/>
    <w:rsid w:val="00557C7A"/>
    <w:rsid w:val="00557C82"/>
    <w:rsid w:val="00557D40"/>
    <w:rsid w:val="00557EE8"/>
    <w:rsid w:val="00557FE2"/>
    <w:rsid w:val="00560045"/>
    <w:rsid w:val="0056014E"/>
    <w:rsid w:val="0056062C"/>
    <w:rsid w:val="005606DD"/>
    <w:rsid w:val="0056079C"/>
    <w:rsid w:val="0056087A"/>
    <w:rsid w:val="00560A00"/>
    <w:rsid w:val="00560BC7"/>
    <w:rsid w:val="00560CDA"/>
    <w:rsid w:val="0056131E"/>
    <w:rsid w:val="0056144B"/>
    <w:rsid w:val="005614EF"/>
    <w:rsid w:val="00561541"/>
    <w:rsid w:val="0056166F"/>
    <w:rsid w:val="0056176B"/>
    <w:rsid w:val="00561834"/>
    <w:rsid w:val="00561B41"/>
    <w:rsid w:val="00561B5E"/>
    <w:rsid w:val="00561C8F"/>
    <w:rsid w:val="00561DC3"/>
    <w:rsid w:val="00561E08"/>
    <w:rsid w:val="00561E19"/>
    <w:rsid w:val="00561E45"/>
    <w:rsid w:val="00561E7A"/>
    <w:rsid w:val="00561EA6"/>
    <w:rsid w:val="00561FA3"/>
    <w:rsid w:val="00562286"/>
    <w:rsid w:val="005622A9"/>
    <w:rsid w:val="00562314"/>
    <w:rsid w:val="0056236A"/>
    <w:rsid w:val="005623AF"/>
    <w:rsid w:val="005623E9"/>
    <w:rsid w:val="00562578"/>
    <w:rsid w:val="005625BD"/>
    <w:rsid w:val="0056262A"/>
    <w:rsid w:val="005626AF"/>
    <w:rsid w:val="005627FD"/>
    <w:rsid w:val="0056283E"/>
    <w:rsid w:val="00562858"/>
    <w:rsid w:val="005628FE"/>
    <w:rsid w:val="005629BE"/>
    <w:rsid w:val="00562AA6"/>
    <w:rsid w:val="00562AAE"/>
    <w:rsid w:val="00562AC3"/>
    <w:rsid w:val="00562E5F"/>
    <w:rsid w:val="00562F0A"/>
    <w:rsid w:val="00562F91"/>
    <w:rsid w:val="00563046"/>
    <w:rsid w:val="005631E1"/>
    <w:rsid w:val="005633FF"/>
    <w:rsid w:val="0056343E"/>
    <w:rsid w:val="00563447"/>
    <w:rsid w:val="00563592"/>
    <w:rsid w:val="00563605"/>
    <w:rsid w:val="0056362A"/>
    <w:rsid w:val="0056362B"/>
    <w:rsid w:val="00563812"/>
    <w:rsid w:val="005638B4"/>
    <w:rsid w:val="0056396D"/>
    <w:rsid w:val="00563A39"/>
    <w:rsid w:val="00563B7F"/>
    <w:rsid w:val="00563C46"/>
    <w:rsid w:val="00563CED"/>
    <w:rsid w:val="00563E12"/>
    <w:rsid w:val="00563E94"/>
    <w:rsid w:val="00564064"/>
    <w:rsid w:val="0056428B"/>
    <w:rsid w:val="005642A3"/>
    <w:rsid w:val="005642BA"/>
    <w:rsid w:val="005643BF"/>
    <w:rsid w:val="005644E0"/>
    <w:rsid w:val="00564552"/>
    <w:rsid w:val="00564672"/>
    <w:rsid w:val="005646E1"/>
    <w:rsid w:val="005646EC"/>
    <w:rsid w:val="00564908"/>
    <w:rsid w:val="0056495B"/>
    <w:rsid w:val="0056495D"/>
    <w:rsid w:val="00564A18"/>
    <w:rsid w:val="00564A41"/>
    <w:rsid w:val="00564A4E"/>
    <w:rsid w:val="00564BCC"/>
    <w:rsid w:val="00564D72"/>
    <w:rsid w:val="00564D7A"/>
    <w:rsid w:val="00564E8C"/>
    <w:rsid w:val="00565056"/>
    <w:rsid w:val="00565125"/>
    <w:rsid w:val="00565214"/>
    <w:rsid w:val="00565221"/>
    <w:rsid w:val="0056539E"/>
    <w:rsid w:val="00565407"/>
    <w:rsid w:val="00565411"/>
    <w:rsid w:val="00565701"/>
    <w:rsid w:val="0056581B"/>
    <w:rsid w:val="00565846"/>
    <w:rsid w:val="00565945"/>
    <w:rsid w:val="00565A93"/>
    <w:rsid w:val="00565ACF"/>
    <w:rsid w:val="00565B26"/>
    <w:rsid w:val="00565C8D"/>
    <w:rsid w:val="00566241"/>
    <w:rsid w:val="0056624C"/>
    <w:rsid w:val="00566418"/>
    <w:rsid w:val="0056647B"/>
    <w:rsid w:val="005665A8"/>
    <w:rsid w:val="005667DD"/>
    <w:rsid w:val="0056685D"/>
    <w:rsid w:val="00566892"/>
    <w:rsid w:val="00566A55"/>
    <w:rsid w:val="00566AA7"/>
    <w:rsid w:val="00566B05"/>
    <w:rsid w:val="00566BF1"/>
    <w:rsid w:val="00566CA5"/>
    <w:rsid w:val="00566E2E"/>
    <w:rsid w:val="00566E3C"/>
    <w:rsid w:val="00566EAB"/>
    <w:rsid w:val="00566EC4"/>
    <w:rsid w:val="00566F4C"/>
    <w:rsid w:val="0056700F"/>
    <w:rsid w:val="0056702B"/>
    <w:rsid w:val="00567348"/>
    <w:rsid w:val="005673D6"/>
    <w:rsid w:val="00567419"/>
    <w:rsid w:val="0056762B"/>
    <w:rsid w:val="0056773F"/>
    <w:rsid w:val="005677FA"/>
    <w:rsid w:val="00567867"/>
    <w:rsid w:val="00567A76"/>
    <w:rsid w:val="00567CD8"/>
    <w:rsid w:val="00567D0B"/>
    <w:rsid w:val="00567D71"/>
    <w:rsid w:val="00567EC8"/>
    <w:rsid w:val="00567FEE"/>
    <w:rsid w:val="00570084"/>
    <w:rsid w:val="005700D7"/>
    <w:rsid w:val="005700E0"/>
    <w:rsid w:val="00570104"/>
    <w:rsid w:val="005701F3"/>
    <w:rsid w:val="005703BD"/>
    <w:rsid w:val="005703C8"/>
    <w:rsid w:val="0057047E"/>
    <w:rsid w:val="005704FB"/>
    <w:rsid w:val="005707AB"/>
    <w:rsid w:val="00570966"/>
    <w:rsid w:val="005709BC"/>
    <w:rsid w:val="00570A53"/>
    <w:rsid w:val="00570C41"/>
    <w:rsid w:val="00570C56"/>
    <w:rsid w:val="00570CEC"/>
    <w:rsid w:val="00570DFE"/>
    <w:rsid w:val="00570ED8"/>
    <w:rsid w:val="00570F70"/>
    <w:rsid w:val="00570F81"/>
    <w:rsid w:val="005710BA"/>
    <w:rsid w:val="00571257"/>
    <w:rsid w:val="005712D5"/>
    <w:rsid w:val="0057135A"/>
    <w:rsid w:val="00571446"/>
    <w:rsid w:val="00571518"/>
    <w:rsid w:val="005718EC"/>
    <w:rsid w:val="00571982"/>
    <w:rsid w:val="00571A7B"/>
    <w:rsid w:val="00571B1E"/>
    <w:rsid w:val="00571D19"/>
    <w:rsid w:val="00571DFE"/>
    <w:rsid w:val="00571FB0"/>
    <w:rsid w:val="00571FE7"/>
    <w:rsid w:val="00571FF6"/>
    <w:rsid w:val="0057218D"/>
    <w:rsid w:val="005721A1"/>
    <w:rsid w:val="00572299"/>
    <w:rsid w:val="00572434"/>
    <w:rsid w:val="00572574"/>
    <w:rsid w:val="005725C7"/>
    <w:rsid w:val="00572616"/>
    <w:rsid w:val="005726FB"/>
    <w:rsid w:val="00572725"/>
    <w:rsid w:val="00572748"/>
    <w:rsid w:val="0057274E"/>
    <w:rsid w:val="005727DF"/>
    <w:rsid w:val="00572BEC"/>
    <w:rsid w:val="00572BFB"/>
    <w:rsid w:val="00572D1B"/>
    <w:rsid w:val="00572D71"/>
    <w:rsid w:val="00572E4F"/>
    <w:rsid w:val="00572EA7"/>
    <w:rsid w:val="00572EA8"/>
    <w:rsid w:val="00572EAC"/>
    <w:rsid w:val="00572EC2"/>
    <w:rsid w:val="00573208"/>
    <w:rsid w:val="0057329E"/>
    <w:rsid w:val="005733EF"/>
    <w:rsid w:val="00573407"/>
    <w:rsid w:val="00573417"/>
    <w:rsid w:val="0057363D"/>
    <w:rsid w:val="005737D5"/>
    <w:rsid w:val="005737D6"/>
    <w:rsid w:val="00573834"/>
    <w:rsid w:val="0057391A"/>
    <w:rsid w:val="00573950"/>
    <w:rsid w:val="00573994"/>
    <w:rsid w:val="00573AD2"/>
    <w:rsid w:val="00573B77"/>
    <w:rsid w:val="00573CD3"/>
    <w:rsid w:val="00573E38"/>
    <w:rsid w:val="00573F4C"/>
    <w:rsid w:val="00573FC9"/>
    <w:rsid w:val="00574149"/>
    <w:rsid w:val="00574162"/>
    <w:rsid w:val="005743D9"/>
    <w:rsid w:val="0057443D"/>
    <w:rsid w:val="005744D7"/>
    <w:rsid w:val="005745D6"/>
    <w:rsid w:val="00574862"/>
    <w:rsid w:val="00574938"/>
    <w:rsid w:val="00574945"/>
    <w:rsid w:val="00574947"/>
    <w:rsid w:val="00574A74"/>
    <w:rsid w:val="00574AC9"/>
    <w:rsid w:val="00574B30"/>
    <w:rsid w:val="00574B6D"/>
    <w:rsid w:val="00574C71"/>
    <w:rsid w:val="00574D21"/>
    <w:rsid w:val="00574D2E"/>
    <w:rsid w:val="00574E03"/>
    <w:rsid w:val="00574F26"/>
    <w:rsid w:val="005751C0"/>
    <w:rsid w:val="00575237"/>
    <w:rsid w:val="0057568C"/>
    <w:rsid w:val="0057598F"/>
    <w:rsid w:val="00575C24"/>
    <w:rsid w:val="00575E5B"/>
    <w:rsid w:val="00575EB0"/>
    <w:rsid w:val="00575F20"/>
    <w:rsid w:val="00576089"/>
    <w:rsid w:val="005761C9"/>
    <w:rsid w:val="00576275"/>
    <w:rsid w:val="005763BD"/>
    <w:rsid w:val="005763E9"/>
    <w:rsid w:val="00576532"/>
    <w:rsid w:val="00576592"/>
    <w:rsid w:val="0057694A"/>
    <w:rsid w:val="00576D22"/>
    <w:rsid w:val="00576F59"/>
    <w:rsid w:val="00576F75"/>
    <w:rsid w:val="005772BD"/>
    <w:rsid w:val="005774EF"/>
    <w:rsid w:val="00577646"/>
    <w:rsid w:val="00577776"/>
    <w:rsid w:val="00577893"/>
    <w:rsid w:val="0057796F"/>
    <w:rsid w:val="00577AE5"/>
    <w:rsid w:val="00577B8A"/>
    <w:rsid w:val="00577B97"/>
    <w:rsid w:val="00577C06"/>
    <w:rsid w:val="00577CFA"/>
    <w:rsid w:val="0058006A"/>
    <w:rsid w:val="005802ED"/>
    <w:rsid w:val="00580727"/>
    <w:rsid w:val="00580734"/>
    <w:rsid w:val="0058093E"/>
    <w:rsid w:val="00580B59"/>
    <w:rsid w:val="00580CA8"/>
    <w:rsid w:val="00580CED"/>
    <w:rsid w:val="00580D60"/>
    <w:rsid w:val="00580E97"/>
    <w:rsid w:val="00580F36"/>
    <w:rsid w:val="00580F68"/>
    <w:rsid w:val="00581036"/>
    <w:rsid w:val="00581293"/>
    <w:rsid w:val="005812D7"/>
    <w:rsid w:val="00581329"/>
    <w:rsid w:val="005813C9"/>
    <w:rsid w:val="005815BE"/>
    <w:rsid w:val="00581C1B"/>
    <w:rsid w:val="00581D5E"/>
    <w:rsid w:val="00581D99"/>
    <w:rsid w:val="00581DCD"/>
    <w:rsid w:val="00581DE6"/>
    <w:rsid w:val="00581F7F"/>
    <w:rsid w:val="005821A5"/>
    <w:rsid w:val="005821E4"/>
    <w:rsid w:val="0058233A"/>
    <w:rsid w:val="0058265D"/>
    <w:rsid w:val="0058269D"/>
    <w:rsid w:val="0058274A"/>
    <w:rsid w:val="00582BC6"/>
    <w:rsid w:val="00582CA8"/>
    <w:rsid w:val="00582D43"/>
    <w:rsid w:val="00582D47"/>
    <w:rsid w:val="00582D48"/>
    <w:rsid w:val="00582D93"/>
    <w:rsid w:val="00582EDD"/>
    <w:rsid w:val="00583128"/>
    <w:rsid w:val="005831BC"/>
    <w:rsid w:val="00583402"/>
    <w:rsid w:val="0058340B"/>
    <w:rsid w:val="00583435"/>
    <w:rsid w:val="00583611"/>
    <w:rsid w:val="00583634"/>
    <w:rsid w:val="00583703"/>
    <w:rsid w:val="0058372A"/>
    <w:rsid w:val="00583755"/>
    <w:rsid w:val="00583829"/>
    <w:rsid w:val="0058382B"/>
    <w:rsid w:val="0058389E"/>
    <w:rsid w:val="00583A04"/>
    <w:rsid w:val="00583A34"/>
    <w:rsid w:val="00583A57"/>
    <w:rsid w:val="00583A6A"/>
    <w:rsid w:val="00583A9E"/>
    <w:rsid w:val="00583C64"/>
    <w:rsid w:val="00583CD3"/>
    <w:rsid w:val="00583DE2"/>
    <w:rsid w:val="00583E7F"/>
    <w:rsid w:val="0058414E"/>
    <w:rsid w:val="0058419C"/>
    <w:rsid w:val="00584334"/>
    <w:rsid w:val="00584476"/>
    <w:rsid w:val="00584691"/>
    <w:rsid w:val="005846EE"/>
    <w:rsid w:val="0058476E"/>
    <w:rsid w:val="0058485F"/>
    <w:rsid w:val="00584996"/>
    <w:rsid w:val="005849F2"/>
    <w:rsid w:val="00584BE4"/>
    <w:rsid w:val="00584C7D"/>
    <w:rsid w:val="00584D8C"/>
    <w:rsid w:val="00584DAF"/>
    <w:rsid w:val="005850C2"/>
    <w:rsid w:val="0058515E"/>
    <w:rsid w:val="00585367"/>
    <w:rsid w:val="00585436"/>
    <w:rsid w:val="005855C8"/>
    <w:rsid w:val="00585621"/>
    <w:rsid w:val="00585697"/>
    <w:rsid w:val="00585706"/>
    <w:rsid w:val="005857E2"/>
    <w:rsid w:val="00585863"/>
    <w:rsid w:val="005858DA"/>
    <w:rsid w:val="00585B91"/>
    <w:rsid w:val="00585BCC"/>
    <w:rsid w:val="00585C5D"/>
    <w:rsid w:val="00585DB0"/>
    <w:rsid w:val="00585DBD"/>
    <w:rsid w:val="00585E28"/>
    <w:rsid w:val="00585FE8"/>
    <w:rsid w:val="00586281"/>
    <w:rsid w:val="00586423"/>
    <w:rsid w:val="005864DC"/>
    <w:rsid w:val="005864F7"/>
    <w:rsid w:val="00586554"/>
    <w:rsid w:val="00586576"/>
    <w:rsid w:val="0058659C"/>
    <w:rsid w:val="00586689"/>
    <w:rsid w:val="00586744"/>
    <w:rsid w:val="00586831"/>
    <w:rsid w:val="0058683E"/>
    <w:rsid w:val="00586A0A"/>
    <w:rsid w:val="00586C6D"/>
    <w:rsid w:val="00586D8E"/>
    <w:rsid w:val="00586E01"/>
    <w:rsid w:val="005870C7"/>
    <w:rsid w:val="0058711F"/>
    <w:rsid w:val="0058729B"/>
    <w:rsid w:val="0058735C"/>
    <w:rsid w:val="00587362"/>
    <w:rsid w:val="0058737F"/>
    <w:rsid w:val="0058740B"/>
    <w:rsid w:val="005874D2"/>
    <w:rsid w:val="00587828"/>
    <w:rsid w:val="00587837"/>
    <w:rsid w:val="005878C3"/>
    <w:rsid w:val="0058790D"/>
    <w:rsid w:val="005879E4"/>
    <w:rsid w:val="00587A90"/>
    <w:rsid w:val="00587CED"/>
    <w:rsid w:val="00587D7C"/>
    <w:rsid w:val="00587FAF"/>
    <w:rsid w:val="00590106"/>
    <w:rsid w:val="00590185"/>
    <w:rsid w:val="00590265"/>
    <w:rsid w:val="005902FB"/>
    <w:rsid w:val="00590529"/>
    <w:rsid w:val="005905DE"/>
    <w:rsid w:val="00590626"/>
    <w:rsid w:val="0059063E"/>
    <w:rsid w:val="00590691"/>
    <w:rsid w:val="0059087C"/>
    <w:rsid w:val="005908BE"/>
    <w:rsid w:val="0059097F"/>
    <w:rsid w:val="00590BE6"/>
    <w:rsid w:val="00590C94"/>
    <w:rsid w:val="00590DC3"/>
    <w:rsid w:val="00590DF1"/>
    <w:rsid w:val="00590EF3"/>
    <w:rsid w:val="00590F92"/>
    <w:rsid w:val="0059102B"/>
    <w:rsid w:val="00591119"/>
    <w:rsid w:val="00591290"/>
    <w:rsid w:val="0059132F"/>
    <w:rsid w:val="005913C4"/>
    <w:rsid w:val="00591471"/>
    <w:rsid w:val="00591531"/>
    <w:rsid w:val="005916B8"/>
    <w:rsid w:val="005916FF"/>
    <w:rsid w:val="005918B1"/>
    <w:rsid w:val="00591904"/>
    <w:rsid w:val="005919C9"/>
    <w:rsid w:val="00591CCB"/>
    <w:rsid w:val="00591D17"/>
    <w:rsid w:val="00591D49"/>
    <w:rsid w:val="00591E89"/>
    <w:rsid w:val="00591F12"/>
    <w:rsid w:val="005920FB"/>
    <w:rsid w:val="0059211F"/>
    <w:rsid w:val="0059215B"/>
    <w:rsid w:val="00592248"/>
    <w:rsid w:val="005922F2"/>
    <w:rsid w:val="00592398"/>
    <w:rsid w:val="00592469"/>
    <w:rsid w:val="0059268A"/>
    <w:rsid w:val="0059273C"/>
    <w:rsid w:val="0059273D"/>
    <w:rsid w:val="0059274B"/>
    <w:rsid w:val="00592889"/>
    <w:rsid w:val="00592909"/>
    <w:rsid w:val="00592B84"/>
    <w:rsid w:val="00592CCC"/>
    <w:rsid w:val="00592DBA"/>
    <w:rsid w:val="00592DF6"/>
    <w:rsid w:val="00592E70"/>
    <w:rsid w:val="00592E71"/>
    <w:rsid w:val="0059308F"/>
    <w:rsid w:val="00593178"/>
    <w:rsid w:val="005933EB"/>
    <w:rsid w:val="00593508"/>
    <w:rsid w:val="00593691"/>
    <w:rsid w:val="00593768"/>
    <w:rsid w:val="00593847"/>
    <w:rsid w:val="005938D3"/>
    <w:rsid w:val="005939D0"/>
    <w:rsid w:val="00593AA3"/>
    <w:rsid w:val="00593B37"/>
    <w:rsid w:val="00593C8B"/>
    <w:rsid w:val="005942CF"/>
    <w:rsid w:val="00594409"/>
    <w:rsid w:val="005946E5"/>
    <w:rsid w:val="005947D3"/>
    <w:rsid w:val="0059480E"/>
    <w:rsid w:val="005948AE"/>
    <w:rsid w:val="005948B3"/>
    <w:rsid w:val="00594AB6"/>
    <w:rsid w:val="00594CFC"/>
    <w:rsid w:val="00594E0A"/>
    <w:rsid w:val="00594E18"/>
    <w:rsid w:val="00594EB3"/>
    <w:rsid w:val="00594F5D"/>
    <w:rsid w:val="00594F96"/>
    <w:rsid w:val="00594FD3"/>
    <w:rsid w:val="00594FE1"/>
    <w:rsid w:val="0059505B"/>
    <w:rsid w:val="005950D7"/>
    <w:rsid w:val="00595154"/>
    <w:rsid w:val="0059519F"/>
    <w:rsid w:val="00595228"/>
    <w:rsid w:val="0059529B"/>
    <w:rsid w:val="00595322"/>
    <w:rsid w:val="0059532F"/>
    <w:rsid w:val="0059554B"/>
    <w:rsid w:val="005957EA"/>
    <w:rsid w:val="005957F9"/>
    <w:rsid w:val="00595B02"/>
    <w:rsid w:val="00595E03"/>
    <w:rsid w:val="00595E83"/>
    <w:rsid w:val="00596108"/>
    <w:rsid w:val="0059614B"/>
    <w:rsid w:val="00596208"/>
    <w:rsid w:val="0059622A"/>
    <w:rsid w:val="00596380"/>
    <w:rsid w:val="005963B1"/>
    <w:rsid w:val="005963F3"/>
    <w:rsid w:val="005966C4"/>
    <w:rsid w:val="005966F9"/>
    <w:rsid w:val="005968B4"/>
    <w:rsid w:val="00596959"/>
    <w:rsid w:val="00596AF2"/>
    <w:rsid w:val="00596C3F"/>
    <w:rsid w:val="00596CD8"/>
    <w:rsid w:val="005970AB"/>
    <w:rsid w:val="005970CB"/>
    <w:rsid w:val="005971F5"/>
    <w:rsid w:val="005975A1"/>
    <w:rsid w:val="00597681"/>
    <w:rsid w:val="005976B3"/>
    <w:rsid w:val="0059773D"/>
    <w:rsid w:val="00597A75"/>
    <w:rsid w:val="00597AA1"/>
    <w:rsid w:val="00597B5C"/>
    <w:rsid w:val="00597BAB"/>
    <w:rsid w:val="00597D57"/>
    <w:rsid w:val="00597F2A"/>
    <w:rsid w:val="00597F60"/>
    <w:rsid w:val="00597F63"/>
    <w:rsid w:val="005A00BF"/>
    <w:rsid w:val="005A02D1"/>
    <w:rsid w:val="005A03A7"/>
    <w:rsid w:val="005A03DA"/>
    <w:rsid w:val="005A065A"/>
    <w:rsid w:val="005A06BC"/>
    <w:rsid w:val="005A0701"/>
    <w:rsid w:val="005A092E"/>
    <w:rsid w:val="005A094D"/>
    <w:rsid w:val="005A0A17"/>
    <w:rsid w:val="005A0C27"/>
    <w:rsid w:val="005A0C35"/>
    <w:rsid w:val="005A0C8C"/>
    <w:rsid w:val="005A0DC0"/>
    <w:rsid w:val="005A0E0E"/>
    <w:rsid w:val="005A0E3F"/>
    <w:rsid w:val="005A0EF4"/>
    <w:rsid w:val="005A0F52"/>
    <w:rsid w:val="005A1121"/>
    <w:rsid w:val="005A11E7"/>
    <w:rsid w:val="005A12CF"/>
    <w:rsid w:val="005A12FA"/>
    <w:rsid w:val="005A1325"/>
    <w:rsid w:val="005A140D"/>
    <w:rsid w:val="005A14EE"/>
    <w:rsid w:val="005A152E"/>
    <w:rsid w:val="005A1583"/>
    <w:rsid w:val="005A1607"/>
    <w:rsid w:val="005A1875"/>
    <w:rsid w:val="005A18EB"/>
    <w:rsid w:val="005A1A14"/>
    <w:rsid w:val="005A1A8E"/>
    <w:rsid w:val="005A1B74"/>
    <w:rsid w:val="005A1C30"/>
    <w:rsid w:val="005A1CD0"/>
    <w:rsid w:val="005A1D1E"/>
    <w:rsid w:val="005A1D41"/>
    <w:rsid w:val="005A1D62"/>
    <w:rsid w:val="005A1D89"/>
    <w:rsid w:val="005A1E59"/>
    <w:rsid w:val="005A1FC0"/>
    <w:rsid w:val="005A205C"/>
    <w:rsid w:val="005A20A2"/>
    <w:rsid w:val="005A20A7"/>
    <w:rsid w:val="005A23A1"/>
    <w:rsid w:val="005A249F"/>
    <w:rsid w:val="005A2541"/>
    <w:rsid w:val="005A2616"/>
    <w:rsid w:val="005A28A7"/>
    <w:rsid w:val="005A28BD"/>
    <w:rsid w:val="005A2934"/>
    <w:rsid w:val="005A2972"/>
    <w:rsid w:val="005A29AC"/>
    <w:rsid w:val="005A29CF"/>
    <w:rsid w:val="005A2D1F"/>
    <w:rsid w:val="005A2D78"/>
    <w:rsid w:val="005A2DA2"/>
    <w:rsid w:val="005A2EE6"/>
    <w:rsid w:val="005A2EFC"/>
    <w:rsid w:val="005A2F0E"/>
    <w:rsid w:val="005A2FB8"/>
    <w:rsid w:val="005A2FD7"/>
    <w:rsid w:val="005A30BA"/>
    <w:rsid w:val="005A30EE"/>
    <w:rsid w:val="005A327F"/>
    <w:rsid w:val="005A3284"/>
    <w:rsid w:val="005A352E"/>
    <w:rsid w:val="005A35E7"/>
    <w:rsid w:val="005A369A"/>
    <w:rsid w:val="005A3A6D"/>
    <w:rsid w:val="005A3A94"/>
    <w:rsid w:val="005A3BDC"/>
    <w:rsid w:val="005A3D6A"/>
    <w:rsid w:val="005A3D9B"/>
    <w:rsid w:val="005A3ECB"/>
    <w:rsid w:val="005A3F3C"/>
    <w:rsid w:val="005A3FD1"/>
    <w:rsid w:val="005A4147"/>
    <w:rsid w:val="005A41E1"/>
    <w:rsid w:val="005A4216"/>
    <w:rsid w:val="005A4220"/>
    <w:rsid w:val="005A427D"/>
    <w:rsid w:val="005A429E"/>
    <w:rsid w:val="005A453E"/>
    <w:rsid w:val="005A45E9"/>
    <w:rsid w:val="005A46BF"/>
    <w:rsid w:val="005A4705"/>
    <w:rsid w:val="005A476D"/>
    <w:rsid w:val="005A484B"/>
    <w:rsid w:val="005A48D3"/>
    <w:rsid w:val="005A4990"/>
    <w:rsid w:val="005A5210"/>
    <w:rsid w:val="005A541C"/>
    <w:rsid w:val="005A551B"/>
    <w:rsid w:val="005A55A8"/>
    <w:rsid w:val="005A5688"/>
    <w:rsid w:val="005A574A"/>
    <w:rsid w:val="005A575B"/>
    <w:rsid w:val="005A58A5"/>
    <w:rsid w:val="005A5A65"/>
    <w:rsid w:val="005A5B2C"/>
    <w:rsid w:val="005A5F8D"/>
    <w:rsid w:val="005A5FC1"/>
    <w:rsid w:val="005A6128"/>
    <w:rsid w:val="005A6211"/>
    <w:rsid w:val="005A6412"/>
    <w:rsid w:val="005A650D"/>
    <w:rsid w:val="005A651D"/>
    <w:rsid w:val="005A6531"/>
    <w:rsid w:val="005A65D2"/>
    <w:rsid w:val="005A6ADE"/>
    <w:rsid w:val="005A6BFE"/>
    <w:rsid w:val="005A6F36"/>
    <w:rsid w:val="005A6F40"/>
    <w:rsid w:val="005A6F64"/>
    <w:rsid w:val="005A7161"/>
    <w:rsid w:val="005A7284"/>
    <w:rsid w:val="005A7336"/>
    <w:rsid w:val="005A7587"/>
    <w:rsid w:val="005A7697"/>
    <w:rsid w:val="005A769D"/>
    <w:rsid w:val="005A76C1"/>
    <w:rsid w:val="005A772C"/>
    <w:rsid w:val="005A78B8"/>
    <w:rsid w:val="005A78F8"/>
    <w:rsid w:val="005A7A50"/>
    <w:rsid w:val="005A7B73"/>
    <w:rsid w:val="005A7C70"/>
    <w:rsid w:val="005A7C87"/>
    <w:rsid w:val="005A7DD0"/>
    <w:rsid w:val="005A7F0C"/>
    <w:rsid w:val="005A7F3B"/>
    <w:rsid w:val="005A7FB2"/>
    <w:rsid w:val="005B0017"/>
    <w:rsid w:val="005B0322"/>
    <w:rsid w:val="005B038E"/>
    <w:rsid w:val="005B0409"/>
    <w:rsid w:val="005B06B4"/>
    <w:rsid w:val="005B06D0"/>
    <w:rsid w:val="005B077B"/>
    <w:rsid w:val="005B0843"/>
    <w:rsid w:val="005B0C21"/>
    <w:rsid w:val="005B11EA"/>
    <w:rsid w:val="005B1254"/>
    <w:rsid w:val="005B1590"/>
    <w:rsid w:val="005B15E0"/>
    <w:rsid w:val="005B16E8"/>
    <w:rsid w:val="005B18D4"/>
    <w:rsid w:val="005B2006"/>
    <w:rsid w:val="005B2143"/>
    <w:rsid w:val="005B21A3"/>
    <w:rsid w:val="005B2302"/>
    <w:rsid w:val="005B2333"/>
    <w:rsid w:val="005B23A6"/>
    <w:rsid w:val="005B2473"/>
    <w:rsid w:val="005B2501"/>
    <w:rsid w:val="005B2545"/>
    <w:rsid w:val="005B257E"/>
    <w:rsid w:val="005B25FF"/>
    <w:rsid w:val="005B2683"/>
    <w:rsid w:val="005B26BF"/>
    <w:rsid w:val="005B27FE"/>
    <w:rsid w:val="005B2894"/>
    <w:rsid w:val="005B2B3E"/>
    <w:rsid w:val="005B2C67"/>
    <w:rsid w:val="005B2D03"/>
    <w:rsid w:val="005B2D45"/>
    <w:rsid w:val="005B2E64"/>
    <w:rsid w:val="005B2F1F"/>
    <w:rsid w:val="005B30C7"/>
    <w:rsid w:val="005B31EE"/>
    <w:rsid w:val="005B3254"/>
    <w:rsid w:val="005B32C8"/>
    <w:rsid w:val="005B32DB"/>
    <w:rsid w:val="005B3306"/>
    <w:rsid w:val="005B36A0"/>
    <w:rsid w:val="005B3792"/>
    <w:rsid w:val="005B37B1"/>
    <w:rsid w:val="005B39BF"/>
    <w:rsid w:val="005B3AD1"/>
    <w:rsid w:val="005B3B50"/>
    <w:rsid w:val="005B3C64"/>
    <w:rsid w:val="005B3D56"/>
    <w:rsid w:val="005B3D88"/>
    <w:rsid w:val="005B3DDE"/>
    <w:rsid w:val="005B3F94"/>
    <w:rsid w:val="005B3FFE"/>
    <w:rsid w:val="005B40E7"/>
    <w:rsid w:val="005B4210"/>
    <w:rsid w:val="005B424E"/>
    <w:rsid w:val="005B466F"/>
    <w:rsid w:val="005B46CE"/>
    <w:rsid w:val="005B48BE"/>
    <w:rsid w:val="005B4922"/>
    <w:rsid w:val="005B4BB8"/>
    <w:rsid w:val="005B4C65"/>
    <w:rsid w:val="005B4E24"/>
    <w:rsid w:val="005B4EBA"/>
    <w:rsid w:val="005B4EDC"/>
    <w:rsid w:val="005B4EF0"/>
    <w:rsid w:val="005B4F13"/>
    <w:rsid w:val="005B50CD"/>
    <w:rsid w:val="005B50E1"/>
    <w:rsid w:val="005B50F2"/>
    <w:rsid w:val="005B517B"/>
    <w:rsid w:val="005B51B7"/>
    <w:rsid w:val="005B528E"/>
    <w:rsid w:val="005B533F"/>
    <w:rsid w:val="005B5396"/>
    <w:rsid w:val="005B544D"/>
    <w:rsid w:val="005B54B0"/>
    <w:rsid w:val="005B5539"/>
    <w:rsid w:val="005B5756"/>
    <w:rsid w:val="005B5933"/>
    <w:rsid w:val="005B598F"/>
    <w:rsid w:val="005B59A7"/>
    <w:rsid w:val="005B5AC5"/>
    <w:rsid w:val="005B5B8F"/>
    <w:rsid w:val="005B5B9C"/>
    <w:rsid w:val="005B5BB1"/>
    <w:rsid w:val="005B5BCB"/>
    <w:rsid w:val="005B5C32"/>
    <w:rsid w:val="005B5D60"/>
    <w:rsid w:val="005B5DB5"/>
    <w:rsid w:val="005B5E9D"/>
    <w:rsid w:val="005B5F39"/>
    <w:rsid w:val="005B5F56"/>
    <w:rsid w:val="005B6070"/>
    <w:rsid w:val="005B60AD"/>
    <w:rsid w:val="005B6193"/>
    <w:rsid w:val="005B61B9"/>
    <w:rsid w:val="005B623D"/>
    <w:rsid w:val="005B64CD"/>
    <w:rsid w:val="005B650B"/>
    <w:rsid w:val="005B6617"/>
    <w:rsid w:val="005B66A4"/>
    <w:rsid w:val="005B66FA"/>
    <w:rsid w:val="005B683B"/>
    <w:rsid w:val="005B684F"/>
    <w:rsid w:val="005B6921"/>
    <w:rsid w:val="005B6C9E"/>
    <w:rsid w:val="005B6F04"/>
    <w:rsid w:val="005B6FD1"/>
    <w:rsid w:val="005B7108"/>
    <w:rsid w:val="005B7181"/>
    <w:rsid w:val="005B734F"/>
    <w:rsid w:val="005B7381"/>
    <w:rsid w:val="005B740C"/>
    <w:rsid w:val="005B75B3"/>
    <w:rsid w:val="005B7BE3"/>
    <w:rsid w:val="005B7C0F"/>
    <w:rsid w:val="005B7C4F"/>
    <w:rsid w:val="005B7CC5"/>
    <w:rsid w:val="005B7CDD"/>
    <w:rsid w:val="005B7CEF"/>
    <w:rsid w:val="005B7D38"/>
    <w:rsid w:val="005B7D94"/>
    <w:rsid w:val="005B7F0A"/>
    <w:rsid w:val="005C0057"/>
    <w:rsid w:val="005C00D1"/>
    <w:rsid w:val="005C012C"/>
    <w:rsid w:val="005C0349"/>
    <w:rsid w:val="005C03B1"/>
    <w:rsid w:val="005C04FC"/>
    <w:rsid w:val="005C0561"/>
    <w:rsid w:val="005C091F"/>
    <w:rsid w:val="005C0B8F"/>
    <w:rsid w:val="005C0D6D"/>
    <w:rsid w:val="005C0F18"/>
    <w:rsid w:val="005C10DC"/>
    <w:rsid w:val="005C1156"/>
    <w:rsid w:val="005C133E"/>
    <w:rsid w:val="005C143F"/>
    <w:rsid w:val="005C1458"/>
    <w:rsid w:val="005C151A"/>
    <w:rsid w:val="005C1601"/>
    <w:rsid w:val="005C1627"/>
    <w:rsid w:val="005C1633"/>
    <w:rsid w:val="005C164D"/>
    <w:rsid w:val="005C16E2"/>
    <w:rsid w:val="005C18F5"/>
    <w:rsid w:val="005C19D3"/>
    <w:rsid w:val="005C19F6"/>
    <w:rsid w:val="005C1A4A"/>
    <w:rsid w:val="005C1A74"/>
    <w:rsid w:val="005C1B13"/>
    <w:rsid w:val="005C1D0A"/>
    <w:rsid w:val="005C1DE1"/>
    <w:rsid w:val="005C1EA3"/>
    <w:rsid w:val="005C1F2D"/>
    <w:rsid w:val="005C2066"/>
    <w:rsid w:val="005C2071"/>
    <w:rsid w:val="005C2096"/>
    <w:rsid w:val="005C2159"/>
    <w:rsid w:val="005C2166"/>
    <w:rsid w:val="005C2181"/>
    <w:rsid w:val="005C2187"/>
    <w:rsid w:val="005C221E"/>
    <w:rsid w:val="005C22B1"/>
    <w:rsid w:val="005C22D5"/>
    <w:rsid w:val="005C23BA"/>
    <w:rsid w:val="005C23ED"/>
    <w:rsid w:val="005C246E"/>
    <w:rsid w:val="005C24BC"/>
    <w:rsid w:val="005C253A"/>
    <w:rsid w:val="005C2543"/>
    <w:rsid w:val="005C2600"/>
    <w:rsid w:val="005C273A"/>
    <w:rsid w:val="005C27FA"/>
    <w:rsid w:val="005C281A"/>
    <w:rsid w:val="005C2877"/>
    <w:rsid w:val="005C28D3"/>
    <w:rsid w:val="005C29A3"/>
    <w:rsid w:val="005C29ED"/>
    <w:rsid w:val="005C2A03"/>
    <w:rsid w:val="005C2A1E"/>
    <w:rsid w:val="005C2B13"/>
    <w:rsid w:val="005C2B61"/>
    <w:rsid w:val="005C2C31"/>
    <w:rsid w:val="005C2DED"/>
    <w:rsid w:val="005C2E1E"/>
    <w:rsid w:val="005C2E96"/>
    <w:rsid w:val="005C3150"/>
    <w:rsid w:val="005C329D"/>
    <w:rsid w:val="005C347B"/>
    <w:rsid w:val="005C34C2"/>
    <w:rsid w:val="005C34DC"/>
    <w:rsid w:val="005C3550"/>
    <w:rsid w:val="005C3558"/>
    <w:rsid w:val="005C359D"/>
    <w:rsid w:val="005C3653"/>
    <w:rsid w:val="005C37BA"/>
    <w:rsid w:val="005C37DE"/>
    <w:rsid w:val="005C380A"/>
    <w:rsid w:val="005C398C"/>
    <w:rsid w:val="005C39BB"/>
    <w:rsid w:val="005C3A0C"/>
    <w:rsid w:val="005C3A5F"/>
    <w:rsid w:val="005C3C22"/>
    <w:rsid w:val="005C3CB1"/>
    <w:rsid w:val="005C3EDB"/>
    <w:rsid w:val="005C4018"/>
    <w:rsid w:val="005C405E"/>
    <w:rsid w:val="005C413C"/>
    <w:rsid w:val="005C418E"/>
    <w:rsid w:val="005C43C2"/>
    <w:rsid w:val="005C4513"/>
    <w:rsid w:val="005C46EB"/>
    <w:rsid w:val="005C4806"/>
    <w:rsid w:val="005C4853"/>
    <w:rsid w:val="005C489D"/>
    <w:rsid w:val="005C48FA"/>
    <w:rsid w:val="005C492B"/>
    <w:rsid w:val="005C4C0C"/>
    <w:rsid w:val="005C4D2D"/>
    <w:rsid w:val="005C4F9A"/>
    <w:rsid w:val="005C52CA"/>
    <w:rsid w:val="005C5363"/>
    <w:rsid w:val="005C553A"/>
    <w:rsid w:val="005C579E"/>
    <w:rsid w:val="005C5850"/>
    <w:rsid w:val="005C58D0"/>
    <w:rsid w:val="005C5BD6"/>
    <w:rsid w:val="005C5C3C"/>
    <w:rsid w:val="005C6568"/>
    <w:rsid w:val="005C6799"/>
    <w:rsid w:val="005C67AA"/>
    <w:rsid w:val="005C688B"/>
    <w:rsid w:val="005C68EC"/>
    <w:rsid w:val="005C6998"/>
    <w:rsid w:val="005C6B31"/>
    <w:rsid w:val="005C6B57"/>
    <w:rsid w:val="005C6BFC"/>
    <w:rsid w:val="005C6F88"/>
    <w:rsid w:val="005C6FC3"/>
    <w:rsid w:val="005C700F"/>
    <w:rsid w:val="005C701F"/>
    <w:rsid w:val="005C705C"/>
    <w:rsid w:val="005C70FA"/>
    <w:rsid w:val="005C724A"/>
    <w:rsid w:val="005C72F9"/>
    <w:rsid w:val="005C74A1"/>
    <w:rsid w:val="005C74BC"/>
    <w:rsid w:val="005C77A7"/>
    <w:rsid w:val="005C7833"/>
    <w:rsid w:val="005C783C"/>
    <w:rsid w:val="005C7878"/>
    <w:rsid w:val="005C787E"/>
    <w:rsid w:val="005C78E7"/>
    <w:rsid w:val="005C793D"/>
    <w:rsid w:val="005C79C4"/>
    <w:rsid w:val="005C7A77"/>
    <w:rsid w:val="005C7AF7"/>
    <w:rsid w:val="005C7B8B"/>
    <w:rsid w:val="005C7DD7"/>
    <w:rsid w:val="005C7DF9"/>
    <w:rsid w:val="005C7E3A"/>
    <w:rsid w:val="005C7F88"/>
    <w:rsid w:val="005D019E"/>
    <w:rsid w:val="005D02CE"/>
    <w:rsid w:val="005D03E2"/>
    <w:rsid w:val="005D0407"/>
    <w:rsid w:val="005D07FA"/>
    <w:rsid w:val="005D0942"/>
    <w:rsid w:val="005D0A68"/>
    <w:rsid w:val="005D0BF0"/>
    <w:rsid w:val="005D0CA5"/>
    <w:rsid w:val="005D0DBB"/>
    <w:rsid w:val="005D0DF9"/>
    <w:rsid w:val="005D0E10"/>
    <w:rsid w:val="005D0ED1"/>
    <w:rsid w:val="005D0F03"/>
    <w:rsid w:val="005D0FA4"/>
    <w:rsid w:val="005D0FC5"/>
    <w:rsid w:val="005D1041"/>
    <w:rsid w:val="005D185B"/>
    <w:rsid w:val="005D18ED"/>
    <w:rsid w:val="005D1901"/>
    <w:rsid w:val="005D19E9"/>
    <w:rsid w:val="005D1A0F"/>
    <w:rsid w:val="005D1CB2"/>
    <w:rsid w:val="005D1CEB"/>
    <w:rsid w:val="005D1EDB"/>
    <w:rsid w:val="005D205B"/>
    <w:rsid w:val="005D2201"/>
    <w:rsid w:val="005D23FF"/>
    <w:rsid w:val="005D246E"/>
    <w:rsid w:val="005D2B8D"/>
    <w:rsid w:val="005D2BDF"/>
    <w:rsid w:val="005D2CE1"/>
    <w:rsid w:val="005D2D20"/>
    <w:rsid w:val="005D2E18"/>
    <w:rsid w:val="005D2E5E"/>
    <w:rsid w:val="005D2EFA"/>
    <w:rsid w:val="005D2FA7"/>
    <w:rsid w:val="005D314D"/>
    <w:rsid w:val="005D3199"/>
    <w:rsid w:val="005D31C7"/>
    <w:rsid w:val="005D32D2"/>
    <w:rsid w:val="005D355D"/>
    <w:rsid w:val="005D37D0"/>
    <w:rsid w:val="005D3872"/>
    <w:rsid w:val="005D3A09"/>
    <w:rsid w:val="005D3A2C"/>
    <w:rsid w:val="005D3A83"/>
    <w:rsid w:val="005D3B41"/>
    <w:rsid w:val="005D3B85"/>
    <w:rsid w:val="005D3D7D"/>
    <w:rsid w:val="005D3F2C"/>
    <w:rsid w:val="005D403C"/>
    <w:rsid w:val="005D41C1"/>
    <w:rsid w:val="005D441F"/>
    <w:rsid w:val="005D4568"/>
    <w:rsid w:val="005D459B"/>
    <w:rsid w:val="005D45FC"/>
    <w:rsid w:val="005D49F5"/>
    <w:rsid w:val="005D4AF5"/>
    <w:rsid w:val="005D4B73"/>
    <w:rsid w:val="005D4C35"/>
    <w:rsid w:val="005D4DE4"/>
    <w:rsid w:val="005D4FA2"/>
    <w:rsid w:val="005D53DC"/>
    <w:rsid w:val="005D54BA"/>
    <w:rsid w:val="005D54C0"/>
    <w:rsid w:val="005D5603"/>
    <w:rsid w:val="005D565F"/>
    <w:rsid w:val="005D566B"/>
    <w:rsid w:val="005D5723"/>
    <w:rsid w:val="005D5744"/>
    <w:rsid w:val="005D5B3D"/>
    <w:rsid w:val="005D5BDF"/>
    <w:rsid w:val="005D5C02"/>
    <w:rsid w:val="005D5C0A"/>
    <w:rsid w:val="005D5E0D"/>
    <w:rsid w:val="005D6032"/>
    <w:rsid w:val="005D60B7"/>
    <w:rsid w:val="005D61A0"/>
    <w:rsid w:val="005D6249"/>
    <w:rsid w:val="005D6382"/>
    <w:rsid w:val="005D63A9"/>
    <w:rsid w:val="005D63DE"/>
    <w:rsid w:val="005D644F"/>
    <w:rsid w:val="005D65DC"/>
    <w:rsid w:val="005D67AA"/>
    <w:rsid w:val="005D6A88"/>
    <w:rsid w:val="005D6B0A"/>
    <w:rsid w:val="005D6BF2"/>
    <w:rsid w:val="005D6CC7"/>
    <w:rsid w:val="005D6D24"/>
    <w:rsid w:val="005D6D89"/>
    <w:rsid w:val="005D6EB8"/>
    <w:rsid w:val="005D7026"/>
    <w:rsid w:val="005D70B1"/>
    <w:rsid w:val="005D70EC"/>
    <w:rsid w:val="005D7131"/>
    <w:rsid w:val="005D732E"/>
    <w:rsid w:val="005D7341"/>
    <w:rsid w:val="005D74B6"/>
    <w:rsid w:val="005D75A1"/>
    <w:rsid w:val="005D7913"/>
    <w:rsid w:val="005D7A6D"/>
    <w:rsid w:val="005D7B30"/>
    <w:rsid w:val="005D7C8B"/>
    <w:rsid w:val="005D7E2D"/>
    <w:rsid w:val="005E0108"/>
    <w:rsid w:val="005E010E"/>
    <w:rsid w:val="005E012B"/>
    <w:rsid w:val="005E03E6"/>
    <w:rsid w:val="005E0480"/>
    <w:rsid w:val="005E04FD"/>
    <w:rsid w:val="005E0612"/>
    <w:rsid w:val="005E0760"/>
    <w:rsid w:val="005E095C"/>
    <w:rsid w:val="005E09B0"/>
    <w:rsid w:val="005E0B48"/>
    <w:rsid w:val="005E0B57"/>
    <w:rsid w:val="005E0B5C"/>
    <w:rsid w:val="005E0C30"/>
    <w:rsid w:val="005E0E67"/>
    <w:rsid w:val="005E0E78"/>
    <w:rsid w:val="005E0F05"/>
    <w:rsid w:val="005E0FA4"/>
    <w:rsid w:val="005E1015"/>
    <w:rsid w:val="005E1112"/>
    <w:rsid w:val="005E11AB"/>
    <w:rsid w:val="005E13B9"/>
    <w:rsid w:val="005E13E3"/>
    <w:rsid w:val="005E13F8"/>
    <w:rsid w:val="005E141F"/>
    <w:rsid w:val="005E155A"/>
    <w:rsid w:val="005E16D4"/>
    <w:rsid w:val="005E1846"/>
    <w:rsid w:val="005E18F6"/>
    <w:rsid w:val="005E1AD6"/>
    <w:rsid w:val="005E1BC7"/>
    <w:rsid w:val="005E1BEB"/>
    <w:rsid w:val="005E1C4E"/>
    <w:rsid w:val="005E1F36"/>
    <w:rsid w:val="005E1FCF"/>
    <w:rsid w:val="005E2031"/>
    <w:rsid w:val="005E205D"/>
    <w:rsid w:val="005E20B7"/>
    <w:rsid w:val="005E213B"/>
    <w:rsid w:val="005E22CE"/>
    <w:rsid w:val="005E23A2"/>
    <w:rsid w:val="005E2425"/>
    <w:rsid w:val="005E24C0"/>
    <w:rsid w:val="005E2520"/>
    <w:rsid w:val="005E2693"/>
    <w:rsid w:val="005E27A1"/>
    <w:rsid w:val="005E27D1"/>
    <w:rsid w:val="005E27D6"/>
    <w:rsid w:val="005E290A"/>
    <w:rsid w:val="005E2920"/>
    <w:rsid w:val="005E2B1D"/>
    <w:rsid w:val="005E2B56"/>
    <w:rsid w:val="005E2C02"/>
    <w:rsid w:val="005E2C05"/>
    <w:rsid w:val="005E2E47"/>
    <w:rsid w:val="005E2E92"/>
    <w:rsid w:val="005E2ED2"/>
    <w:rsid w:val="005E2FC6"/>
    <w:rsid w:val="005E3099"/>
    <w:rsid w:val="005E32D3"/>
    <w:rsid w:val="005E3397"/>
    <w:rsid w:val="005E3399"/>
    <w:rsid w:val="005E33B3"/>
    <w:rsid w:val="005E33E6"/>
    <w:rsid w:val="005E34B9"/>
    <w:rsid w:val="005E359F"/>
    <w:rsid w:val="005E3745"/>
    <w:rsid w:val="005E37AA"/>
    <w:rsid w:val="005E38F5"/>
    <w:rsid w:val="005E3ABB"/>
    <w:rsid w:val="005E3FF8"/>
    <w:rsid w:val="005E4212"/>
    <w:rsid w:val="005E4268"/>
    <w:rsid w:val="005E431A"/>
    <w:rsid w:val="005E4352"/>
    <w:rsid w:val="005E4512"/>
    <w:rsid w:val="005E46C7"/>
    <w:rsid w:val="005E476E"/>
    <w:rsid w:val="005E4AB6"/>
    <w:rsid w:val="005E4BBD"/>
    <w:rsid w:val="005E4D5A"/>
    <w:rsid w:val="005E4E98"/>
    <w:rsid w:val="005E4E9D"/>
    <w:rsid w:val="005E4EA4"/>
    <w:rsid w:val="005E4F7E"/>
    <w:rsid w:val="005E50BC"/>
    <w:rsid w:val="005E5160"/>
    <w:rsid w:val="005E5175"/>
    <w:rsid w:val="005E51BA"/>
    <w:rsid w:val="005E522C"/>
    <w:rsid w:val="005E52E9"/>
    <w:rsid w:val="005E5521"/>
    <w:rsid w:val="005E55DC"/>
    <w:rsid w:val="005E564C"/>
    <w:rsid w:val="005E56E1"/>
    <w:rsid w:val="005E5848"/>
    <w:rsid w:val="005E5885"/>
    <w:rsid w:val="005E599A"/>
    <w:rsid w:val="005E5A3B"/>
    <w:rsid w:val="005E5BA9"/>
    <w:rsid w:val="005E5C56"/>
    <w:rsid w:val="005E5CF4"/>
    <w:rsid w:val="005E5DCB"/>
    <w:rsid w:val="005E5DFF"/>
    <w:rsid w:val="005E5EA2"/>
    <w:rsid w:val="005E5EBC"/>
    <w:rsid w:val="005E5F30"/>
    <w:rsid w:val="005E6269"/>
    <w:rsid w:val="005E62B6"/>
    <w:rsid w:val="005E62CF"/>
    <w:rsid w:val="005E62D7"/>
    <w:rsid w:val="005E6416"/>
    <w:rsid w:val="005E654A"/>
    <w:rsid w:val="005E661B"/>
    <w:rsid w:val="005E6753"/>
    <w:rsid w:val="005E69FA"/>
    <w:rsid w:val="005E6B62"/>
    <w:rsid w:val="005E6C7F"/>
    <w:rsid w:val="005E6D86"/>
    <w:rsid w:val="005E707E"/>
    <w:rsid w:val="005E70E4"/>
    <w:rsid w:val="005E73F0"/>
    <w:rsid w:val="005E740A"/>
    <w:rsid w:val="005E7531"/>
    <w:rsid w:val="005E766E"/>
    <w:rsid w:val="005E76EC"/>
    <w:rsid w:val="005E77C0"/>
    <w:rsid w:val="005E77EB"/>
    <w:rsid w:val="005E7928"/>
    <w:rsid w:val="005E7D06"/>
    <w:rsid w:val="005E7E95"/>
    <w:rsid w:val="005E7F5C"/>
    <w:rsid w:val="005F016D"/>
    <w:rsid w:val="005F01E3"/>
    <w:rsid w:val="005F0246"/>
    <w:rsid w:val="005F03D7"/>
    <w:rsid w:val="005F04C1"/>
    <w:rsid w:val="005F0596"/>
    <w:rsid w:val="005F078E"/>
    <w:rsid w:val="005F0875"/>
    <w:rsid w:val="005F0D75"/>
    <w:rsid w:val="005F0DF9"/>
    <w:rsid w:val="005F0E42"/>
    <w:rsid w:val="005F0FE4"/>
    <w:rsid w:val="005F1040"/>
    <w:rsid w:val="005F119A"/>
    <w:rsid w:val="005F1219"/>
    <w:rsid w:val="005F139C"/>
    <w:rsid w:val="005F1718"/>
    <w:rsid w:val="005F19C6"/>
    <w:rsid w:val="005F1A06"/>
    <w:rsid w:val="005F1A5E"/>
    <w:rsid w:val="005F1B1A"/>
    <w:rsid w:val="005F1B3C"/>
    <w:rsid w:val="005F1C9E"/>
    <w:rsid w:val="005F1D6B"/>
    <w:rsid w:val="005F2038"/>
    <w:rsid w:val="005F2046"/>
    <w:rsid w:val="005F2211"/>
    <w:rsid w:val="005F2405"/>
    <w:rsid w:val="005F2757"/>
    <w:rsid w:val="005F29F2"/>
    <w:rsid w:val="005F29F5"/>
    <w:rsid w:val="005F2A4D"/>
    <w:rsid w:val="005F2AA4"/>
    <w:rsid w:val="005F2B49"/>
    <w:rsid w:val="005F2D2B"/>
    <w:rsid w:val="005F2D39"/>
    <w:rsid w:val="005F2E31"/>
    <w:rsid w:val="005F2E5B"/>
    <w:rsid w:val="005F317F"/>
    <w:rsid w:val="005F326F"/>
    <w:rsid w:val="005F337D"/>
    <w:rsid w:val="005F3429"/>
    <w:rsid w:val="005F3484"/>
    <w:rsid w:val="005F3709"/>
    <w:rsid w:val="005F37E4"/>
    <w:rsid w:val="005F39A7"/>
    <w:rsid w:val="005F39EA"/>
    <w:rsid w:val="005F3A5A"/>
    <w:rsid w:val="005F3AB3"/>
    <w:rsid w:val="005F3B07"/>
    <w:rsid w:val="005F3BA4"/>
    <w:rsid w:val="005F3BBA"/>
    <w:rsid w:val="005F3BC1"/>
    <w:rsid w:val="005F3C4D"/>
    <w:rsid w:val="005F3C53"/>
    <w:rsid w:val="005F4075"/>
    <w:rsid w:val="005F40A8"/>
    <w:rsid w:val="005F4198"/>
    <w:rsid w:val="005F421E"/>
    <w:rsid w:val="005F42CA"/>
    <w:rsid w:val="005F443A"/>
    <w:rsid w:val="005F44A6"/>
    <w:rsid w:val="005F462D"/>
    <w:rsid w:val="005F47C8"/>
    <w:rsid w:val="005F493A"/>
    <w:rsid w:val="005F4A36"/>
    <w:rsid w:val="005F4A73"/>
    <w:rsid w:val="005F4AB6"/>
    <w:rsid w:val="005F4BEA"/>
    <w:rsid w:val="005F4C66"/>
    <w:rsid w:val="005F4C75"/>
    <w:rsid w:val="005F4DC5"/>
    <w:rsid w:val="005F4DD4"/>
    <w:rsid w:val="005F4E95"/>
    <w:rsid w:val="005F4F34"/>
    <w:rsid w:val="005F4F61"/>
    <w:rsid w:val="005F51DA"/>
    <w:rsid w:val="005F52E9"/>
    <w:rsid w:val="005F53D0"/>
    <w:rsid w:val="005F5517"/>
    <w:rsid w:val="005F556C"/>
    <w:rsid w:val="005F56F4"/>
    <w:rsid w:val="005F5875"/>
    <w:rsid w:val="005F5934"/>
    <w:rsid w:val="005F5960"/>
    <w:rsid w:val="005F5A27"/>
    <w:rsid w:val="005F5AD7"/>
    <w:rsid w:val="005F5B0E"/>
    <w:rsid w:val="005F5BA7"/>
    <w:rsid w:val="005F5CE5"/>
    <w:rsid w:val="005F5E41"/>
    <w:rsid w:val="005F5EC7"/>
    <w:rsid w:val="005F5F71"/>
    <w:rsid w:val="005F6017"/>
    <w:rsid w:val="005F6216"/>
    <w:rsid w:val="005F6228"/>
    <w:rsid w:val="005F63AA"/>
    <w:rsid w:val="005F6738"/>
    <w:rsid w:val="005F67AB"/>
    <w:rsid w:val="005F67FB"/>
    <w:rsid w:val="005F6808"/>
    <w:rsid w:val="005F6839"/>
    <w:rsid w:val="005F691E"/>
    <w:rsid w:val="005F6A7F"/>
    <w:rsid w:val="005F6AA0"/>
    <w:rsid w:val="005F6AB9"/>
    <w:rsid w:val="005F6BF1"/>
    <w:rsid w:val="005F6C2D"/>
    <w:rsid w:val="005F6DF6"/>
    <w:rsid w:val="005F6FA7"/>
    <w:rsid w:val="005F7154"/>
    <w:rsid w:val="005F7670"/>
    <w:rsid w:val="005F767F"/>
    <w:rsid w:val="005F7715"/>
    <w:rsid w:val="005F78B0"/>
    <w:rsid w:val="005F7975"/>
    <w:rsid w:val="005F7CE7"/>
    <w:rsid w:val="006002D1"/>
    <w:rsid w:val="0060058D"/>
    <w:rsid w:val="0060076B"/>
    <w:rsid w:val="006007BC"/>
    <w:rsid w:val="00600A37"/>
    <w:rsid w:val="00600BB9"/>
    <w:rsid w:val="00600C10"/>
    <w:rsid w:val="00600C9F"/>
    <w:rsid w:val="00600E13"/>
    <w:rsid w:val="00600E74"/>
    <w:rsid w:val="006012CA"/>
    <w:rsid w:val="006013A0"/>
    <w:rsid w:val="00601558"/>
    <w:rsid w:val="00601691"/>
    <w:rsid w:val="0060199C"/>
    <w:rsid w:val="00601A63"/>
    <w:rsid w:val="00601AA7"/>
    <w:rsid w:val="00601BD8"/>
    <w:rsid w:val="00601C38"/>
    <w:rsid w:val="00601CA7"/>
    <w:rsid w:val="00601CCF"/>
    <w:rsid w:val="00601D0B"/>
    <w:rsid w:val="00601D6D"/>
    <w:rsid w:val="00601ECC"/>
    <w:rsid w:val="00601FA2"/>
    <w:rsid w:val="006020B2"/>
    <w:rsid w:val="006020C4"/>
    <w:rsid w:val="00602188"/>
    <w:rsid w:val="0060221A"/>
    <w:rsid w:val="0060247A"/>
    <w:rsid w:val="0060248E"/>
    <w:rsid w:val="00602632"/>
    <w:rsid w:val="006027C0"/>
    <w:rsid w:val="0060283F"/>
    <w:rsid w:val="00602A33"/>
    <w:rsid w:val="00602A8D"/>
    <w:rsid w:val="00602B30"/>
    <w:rsid w:val="00602C73"/>
    <w:rsid w:val="00602D0B"/>
    <w:rsid w:val="00602D30"/>
    <w:rsid w:val="00602F2C"/>
    <w:rsid w:val="00602F9C"/>
    <w:rsid w:val="0060318F"/>
    <w:rsid w:val="0060320F"/>
    <w:rsid w:val="006032C0"/>
    <w:rsid w:val="006033FE"/>
    <w:rsid w:val="0060342A"/>
    <w:rsid w:val="0060353C"/>
    <w:rsid w:val="00603576"/>
    <w:rsid w:val="00603739"/>
    <w:rsid w:val="006037C6"/>
    <w:rsid w:val="006038B8"/>
    <w:rsid w:val="0060393A"/>
    <w:rsid w:val="00603952"/>
    <w:rsid w:val="00603967"/>
    <w:rsid w:val="006039BD"/>
    <w:rsid w:val="00603FD6"/>
    <w:rsid w:val="00604015"/>
    <w:rsid w:val="006040D9"/>
    <w:rsid w:val="00604218"/>
    <w:rsid w:val="00604271"/>
    <w:rsid w:val="0060438C"/>
    <w:rsid w:val="00604534"/>
    <w:rsid w:val="006046B0"/>
    <w:rsid w:val="00604A19"/>
    <w:rsid w:val="00604CD8"/>
    <w:rsid w:val="00604D58"/>
    <w:rsid w:val="00604F40"/>
    <w:rsid w:val="00604FF6"/>
    <w:rsid w:val="00605062"/>
    <w:rsid w:val="00605123"/>
    <w:rsid w:val="006052CD"/>
    <w:rsid w:val="006053B4"/>
    <w:rsid w:val="006053EB"/>
    <w:rsid w:val="00605495"/>
    <w:rsid w:val="00605741"/>
    <w:rsid w:val="006057DD"/>
    <w:rsid w:val="006058C9"/>
    <w:rsid w:val="00605A4C"/>
    <w:rsid w:val="00605AC3"/>
    <w:rsid w:val="00605CD4"/>
    <w:rsid w:val="00605D05"/>
    <w:rsid w:val="00605D7A"/>
    <w:rsid w:val="00605E0D"/>
    <w:rsid w:val="0060614E"/>
    <w:rsid w:val="00606222"/>
    <w:rsid w:val="00606379"/>
    <w:rsid w:val="0060678B"/>
    <w:rsid w:val="006068B9"/>
    <w:rsid w:val="00606E6A"/>
    <w:rsid w:val="00606EBF"/>
    <w:rsid w:val="00606FD5"/>
    <w:rsid w:val="00606FDA"/>
    <w:rsid w:val="0060700C"/>
    <w:rsid w:val="006074DE"/>
    <w:rsid w:val="00607681"/>
    <w:rsid w:val="0060782B"/>
    <w:rsid w:val="00607A04"/>
    <w:rsid w:val="00607A0F"/>
    <w:rsid w:val="00607C53"/>
    <w:rsid w:val="00607E6F"/>
    <w:rsid w:val="00607F5D"/>
    <w:rsid w:val="00607F5E"/>
    <w:rsid w:val="00610095"/>
    <w:rsid w:val="006100DB"/>
    <w:rsid w:val="006100E6"/>
    <w:rsid w:val="00610158"/>
    <w:rsid w:val="00610180"/>
    <w:rsid w:val="0061039E"/>
    <w:rsid w:val="006103A7"/>
    <w:rsid w:val="006103F3"/>
    <w:rsid w:val="006104AE"/>
    <w:rsid w:val="00610712"/>
    <w:rsid w:val="006107AE"/>
    <w:rsid w:val="00610B5B"/>
    <w:rsid w:val="00610C56"/>
    <w:rsid w:val="00610ECB"/>
    <w:rsid w:val="00610ED3"/>
    <w:rsid w:val="006110F8"/>
    <w:rsid w:val="006112C5"/>
    <w:rsid w:val="006113A8"/>
    <w:rsid w:val="00611533"/>
    <w:rsid w:val="00611598"/>
    <w:rsid w:val="006115B7"/>
    <w:rsid w:val="006115E1"/>
    <w:rsid w:val="00611629"/>
    <w:rsid w:val="0061175C"/>
    <w:rsid w:val="0061182F"/>
    <w:rsid w:val="006118F3"/>
    <w:rsid w:val="0061197A"/>
    <w:rsid w:val="006119C0"/>
    <w:rsid w:val="00611AA9"/>
    <w:rsid w:val="00611C15"/>
    <w:rsid w:val="00611C49"/>
    <w:rsid w:val="00611C52"/>
    <w:rsid w:val="00611C70"/>
    <w:rsid w:val="00611CDE"/>
    <w:rsid w:val="00611E6D"/>
    <w:rsid w:val="00611E74"/>
    <w:rsid w:val="00611F16"/>
    <w:rsid w:val="00611F7A"/>
    <w:rsid w:val="00611FCC"/>
    <w:rsid w:val="00612209"/>
    <w:rsid w:val="006123D4"/>
    <w:rsid w:val="00612461"/>
    <w:rsid w:val="0061249E"/>
    <w:rsid w:val="0061258D"/>
    <w:rsid w:val="0061269E"/>
    <w:rsid w:val="006126CD"/>
    <w:rsid w:val="006127B0"/>
    <w:rsid w:val="006127EB"/>
    <w:rsid w:val="0061283A"/>
    <w:rsid w:val="0061283B"/>
    <w:rsid w:val="00612854"/>
    <w:rsid w:val="0061287F"/>
    <w:rsid w:val="00612954"/>
    <w:rsid w:val="0061295E"/>
    <w:rsid w:val="00612A05"/>
    <w:rsid w:val="00612CBE"/>
    <w:rsid w:val="00612CDC"/>
    <w:rsid w:val="00612D34"/>
    <w:rsid w:val="00612E1F"/>
    <w:rsid w:val="00612E68"/>
    <w:rsid w:val="00612EA9"/>
    <w:rsid w:val="0061309B"/>
    <w:rsid w:val="006130A9"/>
    <w:rsid w:val="00613284"/>
    <w:rsid w:val="006132D5"/>
    <w:rsid w:val="00613522"/>
    <w:rsid w:val="00613664"/>
    <w:rsid w:val="006136C9"/>
    <w:rsid w:val="0061373F"/>
    <w:rsid w:val="00613851"/>
    <w:rsid w:val="006138D7"/>
    <w:rsid w:val="00613921"/>
    <w:rsid w:val="00613AD4"/>
    <w:rsid w:val="00613C06"/>
    <w:rsid w:val="00613C90"/>
    <w:rsid w:val="00613DB5"/>
    <w:rsid w:val="00613F54"/>
    <w:rsid w:val="00613F8E"/>
    <w:rsid w:val="00614261"/>
    <w:rsid w:val="00614328"/>
    <w:rsid w:val="00614461"/>
    <w:rsid w:val="0061451E"/>
    <w:rsid w:val="00614563"/>
    <w:rsid w:val="006145D9"/>
    <w:rsid w:val="006146DA"/>
    <w:rsid w:val="00614824"/>
    <w:rsid w:val="00614AF7"/>
    <w:rsid w:val="00614B02"/>
    <w:rsid w:val="00614BAC"/>
    <w:rsid w:val="00614D13"/>
    <w:rsid w:val="00614D95"/>
    <w:rsid w:val="00614DF8"/>
    <w:rsid w:val="00614FA4"/>
    <w:rsid w:val="00615418"/>
    <w:rsid w:val="006154B0"/>
    <w:rsid w:val="006155F6"/>
    <w:rsid w:val="006155FE"/>
    <w:rsid w:val="00615669"/>
    <w:rsid w:val="006157F5"/>
    <w:rsid w:val="00615888"/>
    <w:rsid w:val="00615A7D"/>
    <w:rsid w:val="00615A95"/>
    <w:rsid w:val="00615B75"/>
    <w:rsid w:val="00615CDE"/>
    <w:rsid w:val="00615CFA"/>
    <w:rsid w:val="00615DDC"/>
    <w:rsid w:val="00615EDE"/>
    <w:rsid w:val="0061605A"/>
    <w:rsid w:val="00616264"/>
    <w:rsid w:val="006162C3"/>
    <w:rsid w:val="00616406"/>
    <w:rsid w:val="0061642A"/>
    <w:rsid w:val="00616464"/>
    <w:rsid w:val="00616501"/>
    <w:rsid w:val="00616A31"/>
    <w:rsid w:val="00616A52"/>
    <w:rsid w:val="00616F76"/>
    <w:rsid w:val="00616FAF"/>
    <w:rsid w:val="00616FDD"/>
    <w:rsid w:val="006170FE"/>
    <w:rsid w:val="006171BC"/>
    <w:rsid w:val="006172A5"/>
    <w:rsid w:val="006172C9"/>
    <w:rsid w:val="006173BC"/>
    <w:rsid w:val="006175F9"/>
    <w:rsid w:val="0061779A"/>
    <w:rsid w:val="00617804"/>
    <w:rsid w:val="00617895"/>
    <w:rsid w:val="006178FB"/>
    <w:rsid w:val="00617A29"/>
    <w:rsid w:val="00617C27"/>
    <w:rsid w:val="00617D3F"/>
    <w:rsid w:val="00617DA6"/>
    <w:rsid w:val="00617DFC"/>
    <w:rsid w:val="00617E10"/>
    <w:rsid w:val="0062007B"/>
    <w:rsid w:val="006202F9"/>
    <w:rsid w:val="006203D3"/>
    <w:rsid w:val="006203EB"/>
    <w:rsid w:val="00620457"/>
    <w:rsid w:val="0062057C"/>
    <w:rsid w:val="006205BE"/>
    <w:rsid w:val="00620632"/>
    <w:rsid w:val="006206DA"/>
    <w:rsid w:val="00620715"/>
    <w:rsid w:val="00620BF7"/>
    <w:rsid w:val="00620C11"/>
    <w:rsid w:val="00620CE5"/>
    <w:rsid w:val="00620E11"/>
    <w:rsid w:val="00620E36"/>
    <w:rsid w:val="00620E65"/>
    <w:rsid w:val="00620E8B"/>
    <w:rsid w:val="00621125"/>
    <w:rsid w:val="006212AC"/>
    <w:rsid w:val="0062134F"/>
    <w:rsid w:val="00621437"/>
    <w:rsid w:val="0062168F"/>
    <w:rsid w:val="006216F8"/>
    <w:rsid w:val="00621AC2"/>
    <w:rsid w:val="00621C07"/>
    <w:rsid w:val="00621C14"/>
    <w:rsid w:val="00621C5C"/>
    <w:rsid w:val="00621D9B"/>
    <w:rsid w:val="00621DE8"/>
    <w:rsid w:val="00621E29"/>
    <w:rsid w:val="00621E43"/>
    <w:rsid w:val="00622353"/>
    <w:rsid w:val="00622551"/>
    <w:rsid w:val="006225CD"/>
    <w:rsid w:val="00622785"/>
    <w:rsid w:val="00622922"/>
    <w:rsid w:val="006229A9"/>
    <w:rsid w:val="006229E6"/>
    <w:rsid w:val="00622ADC"/>
    <w:rsid w:val="00622BFC"/>
    <w:rsid w:val="00622C81"/>
    <w:rsid w:val="00622CC4"/>
    <w:rsid w:val="00622E65"/>
    <w:rsid w:val="00622F2F"/>
    <w:rsid w:val="0062303F"/>
    <w:rsid w:val="00623061"/>
    <w:rsid w:val="006231D2"/>
    <w:rsid w:val="006234F0"/>
    <w:rsid w:val="006236E1"/>
    <w:rsid w:val="00623980"/>
    <w:rsid w:val="006239E5"/>
    <w:rsid w:val="00623AD2"/>
    <w:rsid w:val="00623B51"/>
    <w:rsid w:val="00623C0B"/>
    <w:rsid w:val="00623C9B"/>
    <w:rsid w:val="00623D0E"/>
    <w:rsid w:val="00623D2B"/>
    <w:rsid w:val="00623E45"/>
    <w:rsid w:val="00623E7C"/>
    <w:rsid w:val="00623EB5"/>
    <w:rsid w:val="00623F5B"/>
    <w:rsid w:val="00623FC1"/>
    <w:rsid w:val="006242BA"/>
    <w:rsid w:val="006243B9"/>
    <w:rsid w:val="00624653"/>
    <w:rsid w:val="00624657"/>
    <w:rsid w:val="00624831"/>
    <w:rsid w:val="00624A92"/>
    <w:rsid w:val="00624B96"/>
    <w:rsid w:val="00624BD0"/>
    <w:rsid w:val="00624C33"/>
    <w:rsid w:val="00624C9E"/>
    <w:rsid w:val="00624D92"/>
    <w:rsid w:val="00624E41"/>
    <w:rsid w:val="0062526B"/>
    <w:rsid w:val="0062532D"/>
    <w:rsid w:val="00625330"/>
    <w:rsid w:val="006253A2"/>
    <w:rsid w:val="006254D7"/>
    <w:rsid w:val="006254E0"/>
    <w:rsid w:val="0062551B"/>
    <w:rsid w:val="00625716"/>
    <w:rsid w:val="00625769"/>
    <w:rsid w:val="006258CA"/>
    <w:rsid w:val="006259B1"/>
    <w:rsid w:val="00625A28"/>
    <w:rsid w:val="00625ECE"/>
    <w:rsid w:val="00625F13"/>
    <w:rsid w:val="00625F58"/>
    <w:rsid w:val="00625FCC"/>
    <w:rsid w:val="00626363"/>
    <w:rsid w:val="00626386"/>
    <w:rsid w:val="00626437"/>
    <w:rsid w:val="006264D3"/>
    <w:rsid w:val="006264E0"/>
    <w:rsid w:val="006265FD"/>
    <w:rsid w:val="00626630"/>
    <w:rsid w:val="0062663F"/>
    <w:rsid w:val="006267F0"/>
    <w:rsid w:val="00626808"/>
    <w:rsid w:val="00626826"/>
    <w:rsid w:val="00626AE3"/>
    <w:rsid w:val="00626B15"/>
    <w:rsid w:val="00626BAD"/>
    <w:rsid w:val="00626BC3"/>
    <w:rsid w:val="00626C6B"/>
    <w:rsid w:val="00626DF5"/>
    <w:rsid w:val="00626E16"/>
    <w:rsid w:val="00626EF4"/>
    <w:rsid w:val="00626FB7"/>
    <w:rsid w:val="00626FBC"/>
    <w:rsid w:val="00626FE1"/>
    <w:rsid w:val="0062708B"/>
    <w:rsid w:val="006272B9"/>
    <w:rsid w:val="006272E3"/>
    <w:rsid w:val="006274CE"/>
    <w:rsid w:val="006277B6"/>
    <w:rsid w:val="00627A02"/>
    <w:rsid w:val="00627CE8"/>
    <w:rsid w:val="00627D72"/>
    <w:rsid w:val="00627DA4"/>
    <w:rsid w:val="00627ECC"/>
    <w:rsid w:val="006301A5"/>
    <w:rsid w:val="006303AD"/>
    <w:rsid w:val="006304FC"/>
    <w:rsid w:val="006305E8"/>
    <w:rsid w:val="006306B5"/>
    <w:rsid w:val="0063087D"/>
    <w:rsid w:val="006308D1"/>
    <w:rsid w:val="00630935"/>
    <w:rsid w:val="00630AAF"/>
    <w:rsid w:val="00630AD7"/>
    <w:rsid w:val="00630B6E"/>
    <w:rsid w:val="00630BBC"/>
    <w:rsid w:val="00630C71"/>
    <w:rsid w:val="00630D1A"/>
    <w:rsid w:val="00630D81"/>
    <w:rsid w:val="00630DAD"/>
    <w:rsid w:val="00630F48"/>
    <w:rsid w:val="00630F9D"/>
    <w:rsid w:val="00630FF7"/>
    <w:rsid w:val="0063102B"/>
    <w:rsid w:val="006310C4"/>
    <w:rsid w:val="00631122"/>
    <w:rsid w:val="006311D7"/>
    <w:rsid w:val="00631256"/>
    <w:rsid w:val="00631297"/>
    <w:rsid w:val="00631323"/>
    <w:rsid w:val="0063136C"/>
    <w:rsid w:val="006314F4"/>
    <w:rsid w:val="00631637"/>
    <w:rsid w:val="00631648"/>
    <w:rsid w:val="0063166B"/>
    <w:rsid w:val="006316E7"/>
    <w:rsid w:val="006317B1"/>
    <w:rsid w:val="0063182D"/>
    <w:rsid w:val="00631893"/>
    <w:rsid w:val="00631C08"/>
    <w:rsid w:val="00631CC7"/>
    <w:rsid w:val="00631FEF"/>
    <w:rsid w:val="00631FF2"/>
    <w:rsid w:val="0063237D"/>
    <w:rsid w:val="0063240A"/>
    <w:rsid w:val="0063248A"/>
    <w:rsid w:val="006326A6"/>
    <w:rsid w:val="00632716"/>
    <w:rsid w:val="006329C9"/>
    <w:rsid w:val="00632A74"/>
    <w:rsid w:val="00632A92"/>
    <w:rsid w:val="00632B51"/>
    <w:rsid w:val="00632E4F"/>
    <w:rsid w:val="00632ECD"/>
    <w:rsid w:val="00632F48"/>
    <w:rsid w:val="00632F4A"/>
    <w:rsid w:val="00632F9E"/>
    <w:rsid w:val="006331CC"/>
    <w:rsid w:val="0063339A"/>
    <w:rsid w:val="006333D1"/>
    <w:rsid w:val="0063341A"/>
    <w:rsid w:val="0063344A"/>
    <w:rsid w:val="00633630"/>
    <w:rsid w:val="00633683"/>
    <w:rsid w:val="006336B6"/>
    <w:rsid w:val="00633AC8"/>
    <w:rsid w:val="00633AF7"/>
    <w:rsid w:val="00633B19"/>
    <w:rsid w:val="00633CD6"/>
    <w:rsid w:val="0063425B"/>
    <w:rsid w:val="00634298"/>
    <w:rsid w:val="006344B6"/>
    <w:rsid w:val="00634501"/>
    <w:rsid w:val="0063451D"/>
    <w:rsid w:val="00634720"/>
    <w:rsid w:val="00634723"/>
    <w:rsid w:val="00634789"/>
    <w:rsid w:val="00634AF3"/>
    <w:rsid w:val="00634D3F"/>
    <w:rsid w:val="00634DBA"/>
    <w:rsid w:val="00634E41"/>
    <w:rsid w:val="006350FF"/>
    <w:rsid w:val="006351E6"/>
    <w:rsid w:val="006352C6"/>
    <w:rsid w:val="006352EA"/>
    <w:rsid w:val="00635349"/>
    <w:rsid w:val="006355F7"/>
    <w:rsid w:val="00635753"/>
    <w:rsid w:val="00635756"/>
    <w:rsid w:val="00635757"/>
    <w:rsid w:val="006357C2"/>
    <w:rsid w:val="006358C1"/>
    <w:rsid w:val="00635A88"/>
    <w:rsid w:val="00635D29"/>
    <w:rsid w:val="00635D32"/>
    <w:rsid w:val="00635E29"/>
    <w:rsid w:val="00635F98"/>
    <w:rsid w:val="00635FC1"/>
    <w:rsid w:val="00636189"/>
    <w:rsid w:val="0063629F"/>
    <w:rsid w:val="0063631F"/>
    <w:rsid w:val="0063635F"/>
    <w:rsid w:val="006364F2"/>
    <w:rsid w:val="00636547"/>
    <w:rsid w:val="00636712"/>
    <w:rsid w:val="006368BA"/>
    <w:rsid w:val="00636A3B"/>
    <w:rsid w:val="00636D8F"/>
    <w:rsid w:val="00636DC0"/>
    <w:rsid w:val="00636EFF"/>
    <w:rsid w:val="00636F7A"/>
    <w:rsid w:val="0063718B"/>
    <w:rsid w:val="0063725C"/>
    <w:rsid w:val="00637270"/>
    <w:rsid w:val="00637481"/>
    <w:rsid w:val="00637556"/>
    <w:rsid w:val="006378FA"/>
    <w:rsid w:val="006379C1"/>
    <w:rsid w:val="00637FB9"/>
    <w:rsid w:val="0064005B"/>
    <w:rsid w:val="00640702"/>
    <w:rsid w:val="00640718"/>
    <w:rsid w:val="0064089B"/>
    <w:rsid w:val="0064091C"/>
    <w:rsid w:val="00640992"/>
    <w:rsid w:val="006409B9"/>
    <w:rsid w:val="006409BB"/>
    <w:rsid w:val="00640FCC"/>
    <w:rsid w:val="0064118A"/>
    <w:rsid w:val="006411B9"/>
    <w:rsid w:val="006411E3"/>
    <w:rsid w:val="00641337"/>
    <w:rsid w:val="00641806"/>
    <w:rsid w:val="0064182B"/>
    <w:rsid w:val="006419E6"/>
    <w:rsid w:val="00641A67"/>
    <w:rsid w:val="00641AC7"/>
    <w:rsid w:val="00641B68"/>
    <w:rsid w:val="00641CAF"/>
    <w:rsid w:val="00641E4F"/>
    <w:rsid w:val="0064206D"/>
    <w:rsid w:val="006420BB"/>
    <w:rsid w:val="00642136"/>
    <w:rsid w:val="006421F0"/>
    <w:rsid w:val="0064220B"/>
    <w:rsid w:val="006422D4"/>
    <w:rsid w:val="00642427"/>
    <w:rsid w:val="00642647"/>
    <w:rsid w:val="00642792"/>
    <w:rsid w:val="006427E3"/>
    <w:rsid w:val="00642905"/>
    <w:rsid w:val="00642946"/>
    <w:rsid w:val="006429FE"/>
    <w:rsid w:val="00642B5A"/>
    <w:rsid w:val="00642C02"/>
    <w:rsid w:val="00642E91"/>
    <w:rsid w:val="00642EFA"/>
    <w:rsid w:val="00643094"/>
    <w:rsid w:val="0064309A"/>
    <w:rsid w:val="00643272"/>
    <w:rsid w:val="006432C5"/>
    <w:rsid w:val="00643488"/>
    <w:rsid w:val="00643590"/>
    <w:rsid w:val="00643720"/>
    <w:rsid w:val="00643729"/>
    <w:rsid w:val="00643866"/>
    <w:rsid w:val="00643A4C"/>
    <w:rsid w:val="00643B62"/>
    <w:rsid w:val="00643BA7"/>
    <w:rsid w:val="00643CB8"/>
    <w:rsid w:val="00643DFF"/>
    <w:rsid w:val="00644194"/>
    <w:rsid w:val="006441B5"/>
    <w:rsid w:val="006441ED"/>
    <w:rsid w:val="00644228"/>
    <w:rsid w:val="00644304"/>
    <w:rsid w:val="00644325"/>
    <w:rsid w:val="006443B8"/>
    <w:rsid w:val="00644591"/>
    <w:rsid w:val="006445A2"/>
    <w:rsid w:val="00644BAF"/>
    <w:rsid w:val="00644BB5"/>
    <w:rsid w:val="00644C55"/>
    <w:rsid w:val="00644EE7"/>
    <w:rsid w:val="00644F26"/>
    <w:rsid w:val="00645050"/>
    <w:rsid w:val="0064513F"/>
    <w:rsid w:val="006452F1"/>
    <w:rsid w:val="006453C6"/>
    <w:rsid w:val="0064549F"/>
    <w:rsid w:val="006455A3"/>
    <w:rsid w:val="006455E6"/>
    <w:rsid w:val="00645617"/>
    <w:rsid w:val="00645C27"/>
    <w:rsid w:val="00645E10"/>
    <w:rsid w:val="006460C3"/>
    <w:rsid w:val="006460C4"/>
    <w:rsid w:val="006461B0"/>
    <w:rsid w:val="00646392"/>
    <w:rsid w:val="006463A3"/>
    <w:rsid w:val="006465B0"/>
    <w:rsid w:val="0064690B"/>
    <w:rsid w:val="006469AD"/>
    <w:rsid w:val="006469CF"/>
    <w:rsid w:val="00646A1C"/>
    <w:rsid w:val="00646B33"/>
    <w:rsid w:val="00646C82"/>
    <w:rsid w:val="00646CAE"/>
    <w:rsid w:val="00646D67"/>
    <w:rsid w:val="00646DE2"/>
    <w:rsid w:val="00646EDD"/>
    <w:rsid w:val="00646F32"/>
    <w:rsid w:val="006470ED"/>
    <w:rsid w:val="006471CD"/>
    <w:rsid w:val="006472C7"/>
    <w:rsid w:val="00647535"/>
    <w:rsid w:val="0064757A"/>
    <w:rsid w:val="00647586"/>
    <w:rsid w:val="006475A9"/>
    <w:rsid w:val="006475C2"/>
    <w:rsid w:val="0064784D"/>
    <w:rsid w:val="00647C95"/>
    <w:rsid w:val="00647E2B"/>
    <w:rsid w:val="00647E95"/>
    <w:rsid w:val="00647F56"/>
    <w:rsid w:val="00647FD0"/>
    <w:rsid w:val="00650096"/>
    <w:rsid w:val="0065012C"/>
    <w:rsid w:val="00650226"/>
    <w:rsid w:val="006503BF"/>
    <w:rsid w:val="006503E8"/>
    <w:rsid w:val="0065049B"/>
    <w:rsid w:val="006504C7"/>
    <w:rsid w:val="0065054F"/>
    <w:rsid w:val="00650598"/>
    <w:rsid w:val="00650820"/>
    <w:rsid w:val="0065090B"/>
    <w:rsid w:val="00650985"/>
    <w:rsid w:val="00650CF4"/>
    <w:rsid w:val="00650D1F"/>
    <w:rsid w:val="00650ED0"/>
    <w:rsid w:val="00650F66"/>
    <w:rsid w:val="00650F71"/>
    <w:rsid w:val="00651001"/>
    <w:rsid w:val="00651055"/>
    <w:rsid w:val="00651072"/>
    <w:rsid w:val="006510E4"/>
    <w:rsid w:val="00651184"/>
    <w:rsid w:val="00651358"/>
    <w:rsid w:val="006515BF"/>
    <w:rsid w:val="006516BB"/>
    <w:rsid w:val="006518B4"/>
    <w:rsid w:val="00651A23"/>
    <w:rsid w:val="00651A7C"/>
    <w:rsid w:val="00651B25"/>
    <w:rsid w:val="00651C7F"/>
    <w:rsid w:val="00651D20"/>
    <w:rsid w:val="00651D21"/>
    <w:rsid w:val="00651E2A"/>
    <w:rsid w:val="0065200D"/>
    <w:rsid w:val="006520EE"/>
    <w:rsid w:val="006522F2"/>
    <w:rsid w:val="006523BC"/>
    <w:rsid w:val="00652665"/>
    <w:rsid w:val="006526F2"/>
    <w:rsid w:val="006527C2"/>
    <w:rsid w:val="00652861"/>
    <w:rsid w:val="006528C6"/>
    <w:rsid w:val="006528DD"/>
    <w:rsid w:val="00652960"/>
    <w:rsid w:val="0065299E"/>
    <w:rsid w:val="00652AA5"/>
    <w:rsid w:val="00652DE0"/>
    <w:rsid w:val="00652EC2"/>
    <w:rsid w:val="006530DE"/>
    <w:rsid w:val="00653116"/>
    <w:rsid w:val="006532A8"/>
    <w:rsid w:val="006532D5"/>
    <w:rsid w:val="00653420"/>
    <w:rsid w:val="0065344B"/>
    <w:rsid w:val="0065347D"/>
    <w:rsid w:val="0065351D"/>
    <w:rsid w:val="006535E6"/>
    <w:rsid w:val="006538E9"/>
    <w:rsid w:val="00653AD7"/>
    <w:rsid w:val="00653B02"/>
    <w:rsid w:val="00653BE7"/>
    <w:rsid w:val="00653C3A"/>
    <w:rsid w:val="00653DCF"/>
    <w:rsid w:val="00653E03"/>
    <w:rsid w:val="00653FBF"/>
    <w:rsid w:val="00654091"/>
    <w:rsid w:val="006540F1"/>
    <w:rsid w:val="0065438B"/>
    <w:rsid w:val="00654421"/>
    <w:rsid w:val="00654432"/>
    <w:rsid w:val="006545CD"/>
    <w:rsid w:val="0065464C"/>
    <w:rsid w:val="0065467B"/>
    <w:rsid w:val="006547C4"/>
    <w:rsid w:val="006547DC"/>
    <w:rsid w:val="006547DE"/>
    <w:rsid w:val="00654830"/>
    <w:rsid w:val="00654933"/>
    <w:rsid w:val="00654ACF"/>
    <w:rsid w:val="00654BEB"/>
    <w:rsid w:val="00654C1C"/>
    <w:rsid w:val="00654C83"/>
    <w:rsid w:val="00654D14"/>
    <w:rsid w:val="00654D53"/>
    <w:rsid w:val="00654D9D"/>
    <w:rsid w:val="00654DC0"/>
    <w:rsid w:val="00654ECE"/>
    <w:rsid w:val="00654F54"/>
    <w:rsid w:val="0065515F"/>
    <w:rsid w:val="00655269"/>
    <w:rsid w:val="006553DE"/>
    <w:rsid w:val="0065563D"/>
    <w:rsid w:val="006558EE"/>
    <w:rsid w:val="00655965"/>
    <w:rsid w:val="00655A14"/>
    <w:rsid w:val="00655AB1"/>
    <w:rsid w:val="00655C2D"/>
    <w:rsid w:val="00655CAA"/>
    <w:rsid w:val="00655E15"/>
    <w:rsid w:val="00656001"/>
    <w:rsid w:val="0065616B"/>
    <w:rsid w:val="0065616D"/>
    <w:rsid w:val="00656286"/>
    <w:rsid w:val="00656298"/>
    <w:rsid w:val="006563BC"/>
    <w:rsid w:val="0065647B"/>
    <w:rsid w:val="0065666B"/>
    <w:rsid w:val="00656815"/>
    <w:rsid w:val="00656916"/>
    <w:rsid w:val="00656AA6"/>
    <w:rsid w:val="00656E0A"/>
    <w:rsid w:val="00656F70"/>
    <w:rsid w:val="00656FD8"/>
    <w:rsid w:val="006570B3"/>
    <w:rsid w:val="006570B9"/>
    <w:rsid w:val="0065712B"/>
    <w:rsid w:val="006573A7"/>
    <w:rsid w:val="00657453"/>
    <w:rsid w:val="00657657"/>
    <w:rsid w:val="00657732"/>
    <w:rsid w:val="00657756"/>
    <w:rsid w:val="00657773"/>
    <w:rsid w:val="00657DA8"/>
    <w:rsid w:val="00657E31"/>
    <w:rsid w:val="00657F1D"/>
    <w:rsid w:val="00657F62"/>
    <w:rsid w:val="00657F9B"/>
    <w:rsid w:val="006600C8"/>
    <w:rsid w:val="0066017E"/>
    <w:rsid w:val="0066037C"/>
    <w:rsid w:val="006603B9"/>
    <w:rsid w:val="006606CC"/>
    <w:rsid w:val="0066080E"/>
    <w:rsid w:val="006608CC"/>
    <w:rsid w:val="0066090A"/>
    <w:rsid w:val="00660931"/>
    <w:rsid w:val="006609D8"/>
    <w:rsid w:val="00660D69"/>
    <w:rsid w:val="00660E7A"/>
    <w:rsid w:val="00660ECB"/>
    <w:rsid w:val="00660EFA"/>
    <w:rsid w:val="00660FC0"/>
    <w:rsid w:val="00661048"/>
    <w:rsid w:val="006610D5"/>
    <w:rsid w:val="0066110D"/>
    <w:rsid w:val="006611C3"/>
    <w:rsid w:val="00661254"/>
    <w:rsid w:val="006612D9"/>
    <w:rsid w:val="0066138D"/>
    <w:rsid w:val="00661536"/>
    <w:rsid w:val="0066153E"/>
    <w:rsid w:val="00661575"/>
    <w:rsid w:val="00661591"/>
    <w:rsid w:val="00661667"/>
    <w:rsid w:val="00661762"/>
    <w:rsid w:val="00661815"/>
    <w:rsid w:val="00661955"/>
    <w:rsid w:val="0066199B"/>
    <w:rsid w:val="006619A7"/>
    <w:rsid w:val="00661B51"/>
    <w:rsid w:val="00661BA6"/>
    <w:rsid w:val="00661C16"/>
    <w:rsid w:val="00661D7B"/>
    <w:rsid w:val="00661E1D"/>
    <w:rsid w:val="0066201B"/>
    <w:rsid w:val="006620BE"/>
    <w:rsid w:val="00662241"/>
    <w:rsid w:val="0066227B"/>
    <w:rsid w:val="006624F2"/>
    <w:rsid w:val="006626B4"/>
    <w:rsid w:val="006626BA"/>
    <w:rsid w:val="0066272D"/>
    <w:rsid w:val="006627C1"/>
    <w:rsid w:val="006627FB"/>
    <w:rsid w:val="006627FF"/>
    <w:rsid w:val="00662870"/>
    <w:rsid w:val="00662B56"/>
    <w:rsid w:val="00662C5D"/>
    <w:rsid w:val="00662E86"/>
    <w:rsid w:val="00662F2B"/>
    <w:rsid w:val="00663072"/>
    <w:rsid w:val="006630D1"/>
    <w:rsid w:val="00663186"/>
    <w:rsid w:val="006632A8"/>
    <w:rsid w:val="006633EA"/>
    <w:rsid w:val="00663410"/>
    <w:rsid w:val="00663583"/>
    <w:rsid w:val="00663645"/>
    <w:rsid w:val="006636CC"/>
    <w:rsid w:val="006638EC"/>
    <w:rsid w:val="0066393B"/>
    <w:rsid w:val="006639C9"/>
    <w:rsid w:val="00663A48"/>
    <w:rsid w:val="00663BC2"/>
    <w:rsid w:val="00663C05"/>
    <w:rsid w:val="00663CDF"/>
    <w:rsid w:val="00663CE3"/>
    <w:rsid w:val="00663D51"/>
    <w:rsid w:val="00663E53"/>
    <w:rsid w:val="00663F8C"/>
    <w:rsid w:val="0066407A"/>
    <w:rsid w:val="006641B0"/>
    <w:rsid w:val="006642DA"/>
    <w:rsid w:val="00664408"/>
    <w:rsid w:val="00664576"/>
    <w:rsid w:val="00664641"/>
    <w:rsid w:val="00664656"/>
    <w:rsid w:val="00664777"/>
    <w:rsid w:val="00664947"/>
    <w:rsid w:val="00664ADC"/>
    <w:rsid w:val="00664AE5"/>
    <w:rsid w:val="00664B8B"/>
    <w:rsid w:val="00664DF9"/>
    <w:rsid w:val="00664E36"/>
    <w:rsid w:val="00664E51"/>
    <w:rsid w:val="00665230"/>
    <w:rsid w:val="00665318"/>
    <w:rsid w:val="006654C5"/>
    <w:rsid w:val="0066573B"/>
    <w:rsid w:val="00665801"/>
    <w:rsid w:val="00665822"/>
    <w:rsid w:val="00665B40"/>
    <w:rsid w:val="00665BBF"/>
    <w:rsid w:val="00666227"/>
    <w:rsid w:val="006662C8"/>
    <w:rsid w:val="006663E7"/>
    <w:rsid w:val="00666469"/>
    <w:rsid w:val="0066647C"/>
    <w:rsid w:val="006665EE"/>
    <w:rsid w:val="006665F3"/>
    <w:rsid w:val="00666623"/>
    <w:rsid w:val="006667FA"/>
    <w:rsid w:val="00666899"/>
    <w:rsid w:val="006668DF"/>
    <w:rsid w:val="00666942"/>
    <w:rsid w:val="00666A03"/>
    <w:rsid w:val="00666A3A"/>
    <w:rsid w:val="00666B70"/>
    <w:rsid w:val="00666BE3"/>
    <w:rsid w:val="00666C21"/>
    <w:rsid w:val="00666C52"/>
    <w:rsid w:val="00666D24"/>
    <w:rsid w:val="00666E4F"/>
    <w:rsid w:val="00666E97"/>
    <w:rsid w:val="00667085"/>
    <w:rsid w:val="00667140"/>
    <w:rsid w:val="006672A4"/>
    <w:rsid w:val="0066743E"/>
    <w:rsid w:val="00667485"/>
    <w:rsid w:val="0066751E"/>
    <w:rsid w:val="00667562"/>
    <w:rsid w:val="006675B8"/>
    <w:rsid w:val="006677AF"/>
    <w:rsid w:val="0066780F"/>
    <w:rsid w:val="006678AD"/>
    <w:rsid w:val="0066793E"/>
    <w:rsid w:val="00667955"/>
    <w:rsid w:val="006679D6"/>
    <w:rsid w:val="00667A37"/>
    <w:rsid w:val="00667A9B"/>
    <w:rsid w:val="00667AA9"/>
    <w:rsid w:val="00667B22"/>
    <w:rsid w:val="00667B45"/>
    <w:rsid w:val="00667F47"/>
    <w:rsid w:val="00667F8A"/>
    <w:rsid w:val="00667FF2"/>
    <w:rsid w:val="0067001F"/>
    <w:rsid w:val="00670215"/>
    <w:rsid w:val="0067034E"/>
    <w:rsid w:val="00670431"/>
    <w:rsid w:val="00670464"/>
    <w:rsid w:val="00670522"/>
    <w:rsid w:val="0067059B"/>
    <w:rsid w:val="00670613"/>
    <w:rsid w:val="006709B4"/>
    <w:rsid w:val="00670A3B"/>
    <w:rsid w:val="00670CBA"/>
    <w:rsid w:val="00670EAA"/>
    <w:rsid w:val="006710CA"/>
    <w:rsid w:val="00671200"/>
    <w:rsid w:val="006712A3"/>
    <w:rsid w:val="00671322"/>
    <w:rsid w:val="0067149B"/>
    <w:rsid w:val="00671A94"/>
    <w:rsid w:val="00671B51"/>
    <w:rsid w:val="00671CC5"/>
    <w:rsid w:val="00671D3D"/>
    <w:rsid w:val="00671F86"/>
    <w:rsid w:val="00672184"/>
    <w:rsid w:val="006721CE"/>
    <w:rsid w:val="006722A3"/>
    <w:rsid w:val="006726AD"/>
    <w:rsid w:val="006726B3"/>
    <w:rsid w:val="006726F8"/>
    <w:rsid w:val="00672827"/>
    <w:rsid w:val="00672863"/>
    <w:rsid w:val="00672988"/>
    <w:rsid w:val="006729D6"/>
    <w:rsid w:val="00672AB6"/>
    <w:rsid w:val="00672B5A"/>
    <w:rsid w:val="00672C49"/>
    <w:rsid w:val="00672E5F"/>
    <w:rsid w:val="00672F62"/>
    <w:rsid w:val="00672F65"/>
    <w:rsid w:val="00672FC6"/>
    <w:rsid w:val="006730BA"/>
    <w:rsid w:val="006731D2"/>
    <w:rsid w:val="00673284"/>
    <w:rsid w:val="00673369"/>
    <w:rsid w:val="006733CF"/>
    <w:rsid w:val="00673574"/>
    <w:rsid w:val="0067359E"/>
    <w:rsid w:val="0067377E"/>
    <w:rsid w:val="0067386E"/>
    <w:rsid w:val="00673CDE"/>
    <w:rsid w:val="00673D89"/>
    <w:rsid w:val="00673DB1"/>
    <w:rsid w:val="00674006"/>
    <w:rsid w:val="00674168"/>
    <w:rsid w:val="00674194"/>
    <w:rsid w:val="006742B9"/>
    <w:rsid w:val="00674370"/>
    <w:rsid w:val="006743B6"/>
    <w:rsid w:val="00674408"/>
    <w:rsid w:val="0067448F"/>
    <w:rsid w:val="00674530"/>
    <w:rsid w:val="0067473C"/>
    <w:rsid w:val="00674780"/>
    <w:rsid w:val="006747BA"/>
    <w:rsid w:val="00674805"/>
    <w:rsid w:val="00674AD4"/>
    <w:rsid w:val="00674F0B"/>
    <w:rsid w:val="00674F53"/>
    <w:rsid w:val="00675357"/>
    <w:rsid w:val="0067565A"/>
    <w:rsid w:val="00675703"/>
    <w:rsid w:val="006757EF"/>
    <w:rsid w:val="00675A62"/>
    <w:rsid w:val="00675A8E"/>
    <w:rsid w:val="00675C43"/>
    <w:rsid w:val="00675D19"/>
    <w:rsid w:val="00675DCB"/>
    <w:rsid w:val="00675EBA"/>
    <w:rsid w:val="00675F60"/>
    <w:rsid w:val="00675FCC"/>
    <w:rsid w:val="006760C1"/>
    <w:rsid w:val="006764B4"/>
    <w:rsid w:val="00676903"/>
    <w:rsid w:val="0067697F"/>
    <w:rsid w:val="00676AD8"/>
    <w:rsid w:val="00676BDB"/>
    <w:rsid w:val="00676CF5"/>
    <w:rsid w:val="00676D06"/>
    <w:rsid w:val="00676D51"/>
    <w:rsid w:val="00676D7B"/>
    <w:rsid w:val="006771B6"/>
    <w:rsid w:val="0067724C"/>
    <w:rsid w:val="00677261"/>
    <w:rsid w:val="00677315"/>
    <w:rsid w:val="006773B3"/>
    <w:rsid w:val="0067741D"/>
    <w:rsid w:val="0067759A"/>
    <w:rsid w:val="00677690"/>
    <w:rsid w:val="006776C6"/>
    <w:rsid w:val="00677813"/>
    <w:rsid w:val="006778BB"/>
    <w:rsid w:val="00677914"/>
    <w:rsid w:val="00677A81"/>
    <w:rsid w:val="00677C52"/>
    <w:rsid w:val="00677D86"/>
    <w:rsid w:val="00677D87"/>
    <w:rsid w:val="00677EE5"/>
    <w:rsid w:val="00677EE8"/>
    <w:rsid w:val="00677F26"/>
    <w:rsid w:val="0068007F"/>
    <w:rsid w:val="006801B3"/>
    <w:rsid w:val="006803C0"/>
    <w:rsid w:val="00680535"/>
    <w:rsid w:val="0068071F"/>
    <w:rsid w:val="00680836"/>
    <w:rsid w:val="0068083C"/>
    <w:rsid w:val="006808AE"/>
    <w:rsid w:val="006809CB"/>
    <w:rsid w:val="006809E8"/>
    <w:rsid w:val="00680AE7"/>
    <w:rsid w:val="00680B62"/>
    <w:rsid w:val="00680CAE"/>
    <w:rsid w:val="00680D2B"/>
    <w:rsid w:val="00680E36"/>
    <w:rsid w:val="00680F64"/>
    <w:rsid w:val="00681295"/>
    <w:rsid w:val="0068140E"/>
    <w:rsid w:val="00681564"/>
    <w:rsid w:val="00681793"/>
    <w:rsid w:val="006817DB"/>
    <w:rsid w:val="006818EF"/>
    <w:rsid w:val="00681AA7"/>
    <w:rsid w:val="00681AC1"/>
    <w:rsid w:val="00681BA6"/>
    <w:rsid w:val="00681C49"/>
    <w:rsid w:val="00681DF8"/>
    <w:rsid w:val="00681EF1"/>
    <w:rsid w:val="00682148"/>
    <w:rsid w:val="006822D0"/>
    <w:rsid w:val="006826B4"/>
    <w:rsid w:val="00682C3A"/>
    <w:rsid w:val="00682C47"/>
    <w:rsid w:val="00682C7C"/>
    <w:rsid w:val="00682E88"/>
    <w:rsid w:val="00682EA3"/>
    <w:rsid w:val="006831B6"/>
    <w:rsid w:val="00683237"/>
    <w:rsid w:val="00683260"/>
    <w:rsid w:val="006832BC"/>
    <w:rsid w:val="00683370"/>
    <w:rsid w:val="006834A4"/>
    <w:rsid w:val="006836D9"/>
    <w:rsid w:val="00683763"/>
    <w:rsid w:val="006837F3"/>
    <w:rsid w:val="00683887"/>
    <w:rsid w:val="0068391A"/>
    <w:rsid w:val="00683992"/>
    <w:rsid w:val="006839E5"/>
    <w:rsid w:val="00683BA0"/>
    <w:rsid w:val="00683C44"/>
    <w:rsid w:val="00683C4A"/>
    <w:rsid w:val="00683E6F"/>
    <w:rsid w:val="0068406A"/>
    <w:rsid w:val="0068421C"/>
    <w:rsid w:val="006842D2"/>
    <w:rsid w:val="0068439B"/>
    <w:rsid w:val="00684709"/>
    <w:rsid w:val="006849AD"/>
    <w:rsid w:val="00684A83"/>
    <w:rsid w:val="00684B9D"/>
    <w:rsid w:val="00684D35"/>
    <w:rsid w:val="00684F6C"/>
    <w:rsid w:val="0068511D"/>
    <w:rsid w:val="00685175"/>
    <w:rsid w:val="006853C0"/>
    <w:rsid w:val="00685501"/>
    <w:rsid w:val="00685598"/>
    <w:rsid w:val="006855A2"/>
    <w:rsid w:val="00685600"/>
    <w:rsid w:val="00685689"/>
    <w:rsid w:val="00685691"/>
    <w:rsid w:val="006856E8"/>
    <w:rsid w:val="006857AD"/>
    <w:rsid w:val="0068582E"/>
    <w:rsid w:val="00685D66"/>
    <w:rsid w:val="00685DDC"/>
    <w:rsid w:val="00685F1D"/>
    <w:rsid w:val="0068601F"/>
    <w:rsid w:val="00686036"/>
    <w:rsid w:val="00686149"/>
    <w:rsid w:val="00686571"/>
    <w:rsid w:val="00686864"/>
    <w:rsid w:val="00686CE5"/>
    <w:rsid w:val="00686DDE"/>
    <w:rsid w:val="00686F08"/>
    <w:rsid w:val="00686FBE"/>
    <w:rsid w:val="00686FFE"/>
    <w:rsid w:val="00687085"/>
    <w:rsid w:val="006870A4"/>
    <w:rsid w:val="00687131"/>
    <w:rsid w:val="006871CE"/>
    <w:rsid w:val="00687372"/>
    <w:rsid w:val="0068739F"/>
    <w:rsid w:val="00687456"/>
    <w:rsid w:val="0068746B"/>
    <w:rsid w:val="006874F6"/>
    <w:rsid w:val="00687869"/>
    <w:rsid w:val="00687A59"/>
    <w:rsid w:val="00687B30"/>
    <w:rsid w:val="00687B6B"/>
    <w:rsid w:val="00687D62"/>
    <w:rsid w:val="00687DCB"/>
    <w:rsid w:val="00687E2A"/>
    <w:rsid w:val="00687E50"/>
    <w:rsid w:val="00690022"/>
    <w:rsid w:val="006900FF"/>
    <w:rsid w:val="0069018F"/>
    <w:rsid w:val="0069022B"/>
    <w:rsid w:val="006903F6"/>
    <w:rsid w:val="0069047F"/>
    <w:rsid w:val="00690543"/>
    <w:rsid w:val="006907D9"/>
    <w:rsid w:val="00690857"/>
    <w:rsid w:val="006908B4"/>
    <w:rsid w:val="006909F9"/>
    <w:rsid w:val="00690A35"/>
    <w:rsid w:val="00690E73"/>
    <w:rsid w:val="00690EC6"/>
    <w:rsid w:val="00690FE1"/>
    <w:rsid w:val="00691099"/>
    <w:rsid w:val="006910E1"/>
    <w:rsid w:val="006912F6"/>
    <w:rsid w:val="006913AF"/>
    <w:rsid w:val="0069154F"/>
    <w:rsid w:val="006917FC"/>
    <w:rsid w:val="0069188D"/>
    <w:rsid w:val="006918D8"/>
    <w:rsid w:val="00691C29"/>
    <w:rsid w:val="00691DC7"/>
    <w:rsid w:val="00692032"/>
    <w:rsid w:val="006920A5"/>
    <w:rsid w:val="006920F8"/>
    <w:rsid w:val="0069217C"/>
    <w:rsid w:val="006921AB"/>
    <w:rsid w:val="006922F9"/>
    <w:rsid w:val="006924F3"/>
    <w:rsid w:val="0069252B"/>
    <w:rsid w:val="006925A5"/>
    <w:rsid w:val="006925D5"/>
    <w:rsid w:val="0069293D"/>
    <w:rsid w:val="00692947"/>
    <w:rsid w:val="006929CF"/>
    <w:rsid w:val="00692B56"/>
    <w:rsid w:val="00692BDC"/>
    <w:rsid w:val="00692BE8"/>
    <w:rsid w:val="00692CCC"/>
    <w:rsid w:val="00692D1A"/>
    <w:rsid w:val="00692D22"/>
    <w:rsid w:val="00692D33"/>
    <w:rsid w:val="00692E40"/>
    <w:rsid w:val="00692EF3"/>
    <w:rsid w:val="00692EFC"/>
    <w:rsid w:val="00692F41"/>
    <w:rsid w:val="00693237"/>
    <w:rsid w:val="00693324"/>
    <w:rsid w:val="00693408"/>
    <w:rsid w:val="00693526"/>
    <w:rsid w:val="00693573"/>
    <w:rsid w:val="0069395D"/>
    <w:rsid w:val="00693A0D"/>
    <w:rsid w:val="00693A63"/>
    <w:rsid w:val="00693AD2"/>
    <w:rsid w:val="00693B12"/>
    <w:rsid w:val="00693B5E"/>
    <w:rsid w:val="00693C77"/>
    <w:rsid w:val="00693CDB"/>
    <w:rsid w:val="006941F1"/>
    <w:rsid w:val="006943DB"/>
    <w:rsid w:val="00694456"/>
    <w:rsid w:val="0069448F"/>
    <w:rsid w:val="006945A9"/>
    <w:rsid w:val="006947AA"/>
    <w:rsid w:val="00694AF6"/>
    <w:rsid w:val="00694BC0"/>
    <w:rsid w:val="00694CFB"/>
    <w:rsid w:val="00694E05"/>
    <w:rsid w:val="00694EDF"/>
    <w:rsid w:val="00694F68"/>
    <w:rsid w:val="006950B7"/>
    <w:rsid w:val="00695236"/>
    <w:rsid w:val="00695632"/>
    <w:rsid w:val="00695633"/>
    <w:rsid w:val="00695942"/>
    <w:rsid w:val="00695AF3"/>
    <w:rsid w:val="00695BC2"/>
    <w:rsid w:val="00695CE1"/>
    <w:rsid w:val="00695DFF"/>
    <w:rsid w:val="0069612A"/>
    <w:rsid w:val="006962CA"/>
    <w:rsid w:val="0069633C"/>
    <w:rsid w:val="006963D6"/>
    <w:rsid w:val="0069640C"/>
    <w:rsid w:val="006965DE"/>
    <w:rsid w:val="006965E2"/>
    <w:rsid w:val="00696757"/>
    <w:rsid w:val="00696875"/>
    <w:rsid w:val="00696B39"/>
    <w:rsid w:val="00696B93"/>
    <w:rsid w:val="00696D69"/>
    <w:rsid w:val="00696EC9"/>
    <w:rsid w:val="00697049"/>
    <w:rsid w:val="00697239"/>
    <w:rsid w:val="0069741D"/>
    <w:rsid w:val="00697482"/>
    <w:rsid w:val="0069753C"/>
    <w:rsid w:val="0069762D"/>
    <w:rsid w:val="00697902"/>
    <w:rsid w:val="00697A5C"/>
    <w:rsid w:val="00697A67"/>
    <w:rsid w:val="00697C9B"/>
    <w:rsid w:val="00697CD6"/>
    <w:rsid w:val="00697CF4"/>
    <w:rsid w:val="00697E0B"/>
    <w:rsid w:val="00697F69"/>
    <w:rsid w:val="006A00B0"/>
    <w:rsid w:val="006A012E"/>
    <w:rsid w:val="006A027E"/>
    <w:rsid w:val="006A03BD"/>
    <w:rsid w:val="006A0A1B"/>
    <w:rsid w:val="006A0ABF"/>
    <w:rsid w:val="006A0C3E"/>
    <w:rsid w:val="006A0C4E"/>
    <w:rsid w:val="006A0C53"/>
    <w:rsid w:val="006A0CC2"/>
    <w:rsid w:val="006A0D16"/>
    <w:rsid w:val="006A0DD9"/>
    <w:rsid w:val="006A0ECE"/>
    <w:rsid w:val="006A0F6D"/>
    <w:rsid w:val="006A1097"/>
    <w:rsid w:val="006A10A7"/>
    <w:rsid w:val="006A11AD"/>
    <w:rsid w:val="006A11BC"/>
    <w:rsid w:val="006A16C3"/>
    <w:rsid w:val="006A1893"/>
    <w:rsid w:val="006A1A02"/>
    <w:rsid w:val="006A1AD4"/>
    <w:rsid w:val="006A1AE2"/>
    <w:rsid w:val="006A1AFD"/>
    <w:rsid w:val="006A1BEB"/>
    <w:rsid w:val="006A1C5B"/>
    <w:rsid w:val="006A1DCB"/>
    <w:rsid w:val="006A1E37"/>
    <w:rsid w:val="006A1E80"/>
    <w:rsid w:val="006A1EA9"/>
    <w:rsid w:val="006A2162"/>
    <w:rsid w:val="006A23E4"/>
    <w:rsid w:val="006A2456"/>
    <w:rsid w:val="006A2653"/>
    <w:rsid w:val="006A26BE"/>
    <w:rsid w:val="006A2716"/>
    <w:rsid w:val="006A288D"/>
    <w:rsid w:val="006A299E"/>
    <w:rsid w:val="006A29E0"/>
    <w:rsid w:val="006A2BB6"/>
    <w:rsid w:val="006A2CA7"/>
    <w:rsid w:val="006A2DA8"/>
    <w:rsid w:val="006A2E28"/>
    <w:rsid w:val="006A2E95"/>
    <w:rsid w:val="006A30F3"/>
    <w:rsid w:val="006A33B5"/>
    <w:rsid w:val="006A3541"/>
    <w:rsid w:val="006A3709"/>
    <w:rsid w:val="006A3788"/>
    <w:rsid w:val="006A3927"/>
    <w:rsid w:val="006A3A18"/>
    <w:rsid w:val="006A3AFB"/>
    <w:rsid w:val="006A3C80"/>
    <w:rsid w:val="006A3CB6"/>
    <w:rsid w:val="006A3E81"/>
    <w:rsid w:val="006A3EE9"/>
    <w:rsid w:val="006A3F03"/>
    <w:rsid w:val="006A3FA4"/>
    <w:rsid w:val="006A403A"/>
    <w:rsid w:val="006A416D"/>
    <w:rsid w:val="006A41C6"/>
    <w:rsid w:val="006A42E3"/>
    <w:rsid w:val="006A4493"/>
    <w:rsid w:val="006A452A"/>
    <w:rsid w:val="006A458A"/>
    <w:rsid w:val="006A45CF"/>
    <w:rsid w:val="006A468B"/>
    <w:rsid w:val="006A46B1"/>
    <w:rsid w:val="006A46ED"/>
    <w:rsid w:val="006A4C60"/>
    <w:rsid w:val="006A4E38"/>
    <w:rsid w:val="006A4E62"/>
    <w:rsid w:val="006A4E6C"/>
    <w:rsid w:val="006A4E8C"/>
    <w:rsid w:val="006A4FFA"/>
    <w:rsid w:val="006A500E"/>
    <w:rsid w:val="006A50C9"/>
    <w:rsid w:val="006A519C"/>
    <w:rsid w:val="006A5200"/>
    <w:rsid w:val="006A5209"/>
    <w:rsid w:val="006A5399"/>
    <w:rsid w:val="006A55E0"/>
    <w:rsid w:val="006A5686"/>
    <w:rsid w:val="006A56E5"/>
    <w:rsid w:val="006A56EC"/>
    <w:rsid w:val="006A57F1"/>
    <w:rsid w:val="006A585B"/>
    <w:rsid w:val="006A587A"/>
    <w:rsid w:val="006A5A0B"/>
    <w:rsid w:val="006A5D6C"/>
    <w:rsid w:val="006A5D90"/>
    <w:rsid w:val="006A5E20"/>
    <w:rsid w:val="006A5EE1"/>
    <w:rsid w:val="006A5F43"/>
    <w:rsid w:val="006A60F9"/>
    <w:rsid w:val="006A611E"/>
    <w:rsid w:val="006A633A"/>
    <w:rsid w:val="006A6453"/>
    <w:rsid w:val="006A6477"/>
    <w:rsid w:val="006A64CF"/>
    <w:rsid w:val="006A65D5"/>
    <w:rsid w:val="006A67E1"/>
    <w:rsid w:val="006A6865"/>
    <w:rsid w:val="006A69DF"/>
    <w:rsid w:val="006A6C18"/>
    <w:rsid w:val="006A6C83"/>
    <w:rsid w:val="006A6D93"/>
    <w:rsid w:val="006A6F2F"/>
    <w:rsid w:val="006A6F3C"/>
    <w:rsid w:val="006A715A"/>
    <w:rsid w:val="006A72EB"/>
    <w:rsid w:val="006A7793"/>
    <w:rsid w:val="006A78A5"/>
    <w:rsid w:val="006A7949"/>
    <w:rsid w:val="006A7973"/>
    <w:rsid w:val="006A79FD"/>
    <w:rsid w:val="006A7A9D"/>
    <w:rsid w:val="006A7B28"/>
    <w:rsid w:val="006A7CEC"/>
    <w:rsid w:val="006A7DC0"/>
    <w:rsid w:val="006A7E9F"/>
    <w:rsid w:val="006A7F3E"/>
    <w:rsid w:val="006B0107"/>
    <w:rsid w:val="006B0124"/>
    <w:rsid w:val="006B022D"/>
    <w:rsid w:val="006B0250"/>
    <w:rsid w:val="006B0542"/>
    <w:rsid w:val="006B0592"/>
    <w:rsid w:val="006B05F4"/>
    <w:rsid w:val="006B06C7"/>
    <w:rsid w:val="006B0828"/>
    <w:rsid w:val="006B08C8"/>
    <w:rsid w:val="006B09BF"/>
    <w:rsid w:val="006B0C42"/>
    <w:rsid w:val="006B0C53"/>
    <w:rsid w:val="006B0DFF"/>
    <w:rsid w:val="006B0F03"/>
    <w:rsid w:val="006B0F5F"/>
    <w:rsid w:val="006B0FC3"/>
    <w:rsid w:val="006B10ED"/>
    <w:rsid w:val="006B155A"/>
    <w:rsid w:val="006B15FE"/>
    <w:rsid w:val="006B164B"/>
    <w:rsid w:val="006B1794"/>
    <w:rsid w:val="006B18CF"/>
    <w:rsid w:val="006B18DC"/>
    <w:rsid w:val="006B1971"/>
    <w:rsid w:val="006B1A0A"/>
    <w:rsid w:val="006B1B50"/>
    <w:rsid w:val="006B1C29"/>
    <w:rsid w:val="006B1CB7"/>
    <w:rsid w:val="006B1D0E"/>
    <w:rsid w:val="006B1D64"/>
    <w:rsid w:val="006B1DA6"/>
    <w:rsid w:val="006B1F3A"/>
    <w:rsid w:val="006B1FCC"/>
    <w:rsid w:val="006B20A9"/>
    <w:rsid w:val="006B23DC"/>
    <w:rsid w:val="006B24AC"/>
    <w:rsid w:val="006B2589"/>
    <w:rsid w:val="006B260F"/>
    <w:rsid w:val="006B2647"/>
    <w:rsid w:val="006B2655"/>
    <w:rsid w:val="006B2955"/>
    <w:rsid w:val="006B2AA4"/>
    <w:rsid w:val="006B2AD1"/>
    <w:rsid w:val="006B2B2A"/>
    <w:rsid w:val="006B2B42"/>
    <w:rsid w:val="006B2C75"/>
    <w:rsid w:val="006B2CA1"/>
    <w:rsid w:val="006B2F10"/>
    <w:rsid w:val="006B2F86"/>
    <w:rsid w:val="006B2FA8"/>
    <w:rsid w:val="006B303B"/>
    <w:rsid w:val="006B30DD"/>
    <w:rsid w:val="006B3162"/>
    <w:rsid w:val="006B318B"/>
    <w:rsid w:val="006B3193"/>
    <w:rsid w:val="006B3207"/>
    <w:rsid w:val="006B3363"/>
    <w:rsid w:val="006B3375"/>
    <w:rsid w:val="006B3386"/>
    <w:rsid w:val="006B3760"/>
    <w:rsid w:val="006B3A36"/>
    <w:rsid w:val="006B3A9F"/>
    <w:rsid w:val="006B3BCC"/>
    <w:rsid w:val="006B3BD1"/>
    <w:rsid w:val="006B3F07"/>
    <w:rsid w:val="006B402E"/>
    <w:rsid w:val="006B40D2"/>
    <w:rsid w:val="006B4103"/>
    <w:rsid w:val="006B4285"/>
    <w:rsid w:val="006B43BA"/>
    <w:rsid w:val="006B43F9"/>
    <w:rsid w:val="006B4511"/>
    <w:rsid w:val="006B4539"/>
    <w:rsid w:val="006B4715"/>
    <w:rsid w:val="006B4799"/>
    <w:rsid w:val="006B487B"/>
    <w:rsid w:val="006B4973"/>
    <w:rsid w:val="006B4A6B"/>
    <w:rsid w:val="006B4B42"/>
    <w:rsid w:val="006B4BCB"/>
    <w:rsid w:val="006B4C6B"/>
    <w:rsid w:val="006B4F26"/>
    <w:rsid w:val="006B502C"/>
    <w:rsid w:val="006B50F5"/>
    <w:rsid w:val="006B5162"/>
    <w:rsid w:val="006B53A1"/>
    <w:rsid w:val="006B53CB"/>
    <w:rsid w:val="006B5430"/>
    <w:rsid w:val="006B575F"/>
    <w:rsid w:val="006B58E7"/>
    <w:rsid w:val="006B5A55"/>
    <w:rsid w:val="006B5B6D"/>
    <w:rsid w:val="006B5BB5"/>
    <w:rsid w:val="006B5CF5"/>
    <w:rsid w:val="006B5D47"/>
    <w:rsid w:val="006B5D6D"/>
    <w:rsid w:val="006B5E53"/>
    <w:rsid w:val="006B5F2D"/>
    <w:rsid w:val="006B6092"/>
    <w:rsid w:val="006B6290"/>
    <w:rsid w:val="006B66B9"/>
    <w:rsid w:val="006B69C3"/>
    <w:rsid w:val="006B6A89"/>
    <w:rsid w:val="006B6A94"/>
    <w:rsid w:val="006B6EED"/>
    <w:rsid w:val="006B70B0"/>
    <w:rsid w:val="006B7306"/>
    <w:rsid w:val="006B73B3"/>
    <w:rsid w:val="006B7483"/>
    <w:rsid w:val="006B74C0"/>
    <w:rsid w:val="006B75D2"/>
    <w:rsid w:val="006B75DF"/>
    <w:rsid w:val="006B762D"/>
    <w:rsid w:val="006B7699"/>
    <w:rsid w:val="006B76C1"/>
    <w:rsid w:val="006B7793"/>
    <w:rsid w:val="006B7849"/>
    <w:rsid w:val="006B7A82"/>
    <w:rsid w:val="006B7BC7"/>
    <w:rsid w:val="006B7EF1"/>
    <w:rsid w:val="006C004C"/>
    <w:rsid w:val="006C034A"/>
    <w:rsid w:val="006C06EE"/>
    <w:rsid w:val="006C06F2"/>
    <w:rsid w:val="006C079C"/>
    <w:rsid w:val="006C0928"/>
    <w:rsid w:val="006C0A43"/>
    <w:rsid w:val="006C0CE9"/>
    <w:rsid w:val="006C0D1D"/>
    <w:rsid w:val="006C0E70"/>
    <w:rsid w:val="006C0F10"/>
    <w:rsid w:val="006C1404"/>
    <w:rsid w:val="006C14EB"/>
    <w:rsid w:val="006C1967"/>
    <w:rsid w:val="006C19FC"/>
    <w:rsid w:val="006C1ADB"/>
    <w:rsid w:val="006C1B8A"/>
    <w:rsid w:val="006C1C7E"/>
    <w:rsid w:val="006C1E72"/>
    <w:rsid w:val="006C1EBB"/>
    <w:rsid w:val="006C1FCB"/>
    <w:rsid w:val="006C2097"/>
    <w:rsid w:val="006C20C9"/>
    <w:rsid w:val="006C20D8"/>
    <w:rsid w:val="006C21C1"/>
    <w:rsid w:val="006C2327"/>
    <w:rsid w:val="006C249F"/>
    <w:rsid w:val="006C24E5"/>
    <w:rsid w:val="006C2623"/>
    <w:rsid w:val="006C26E1"/>
    <w:rsid w:val="006C28EC"/>
    <w:rsid w:val="006C2B96"/>
    <w:rsid w:val="006C2E4A"/>
    <w:rsid w:val="006C30F7"/>
    <w:rsid w:val="006C31D4"/>
    <w:rsid w:val="006C3287"/>
    <w:rsid w:val="006C3335"/>
    <w:rsid w:val="006C3413"/>
    <w:rsid w:val="006C345E"/>
    <w:rsid w:val="006C353A"/>
    <w:rsid w:val="006C3563"/>
    <w:rsid w:val="006C358B"/>
    <w:rsid w:val="006C35B0"/>
    <w:rsid w:val="006C3666"/>
    <w:rsid w:val="006C3741"/>
    <w:rsid w:val="006C3773"/>
    <w:rsid w:val="006C387C"/>
    <w:rsid w:val="006C390C"/>
    <w:rsid w:val="006C391C"/>
    <w:rsid w:val="006C3A9E"/>
    <w:rsid w:val="006C3BC0"/>
    <w:rsid w:val="006C3EF6"/>
    <w:rsid w:val="006C3F55"/>
    <w:rsid w:val="006C401F"/>
    <w:rsid w:val="006C40E7"/>
    <w:rsid w:val="006C4252"/>
    <w:rsid w:val="006C4325"/>
    <w:rsid w:val="006C432B"/>
    <w:rsid w:val="006C4479"/>
    <w:rsid w:val="006C449F"/>
    <w:rsid w:val="006C4507"/>
    <w:rsid w:val="006C4691"/>
    <w:rsid w:val="006C46E9"/>
    <w:rsid w:val="006C47CB"/>
    <w:rsid w:val="006C47F4"/>
    <w:rsid w:val="006C487E"/>
    <w:rsid w:val="006C48D0"/>
    <w:rsid w:val="006C48E1"/>
    <w:rsid w:val="006C49A7"/>
    <w:rsid w:val="006C4BA3"/>
    <w:rsid w:val="006C4BCC"/>
    <w:rsid w:val="006C4C38"/>
    <w:rsid w:val="006C4CD1"/>
    <w:rsid w:val="006C4E7C"/>
    <w:rsid w:val="006C5076"/>
    <w:rsid w:val="006C50ED"/>
    <w:rsid w:val="006C50F6"/>
    <w:rsid w:val="006C5183"/>
    <w:rsid w:val="006C51EB"/>
    <w:rsid w:val="006C5362"/>
    <w:rsid w:val="006C5402"/>
    <w:rsid w:val="006C5445"/>
    <w:rsid w:val="006C5584"/>
    <w:rsid w:val="006C55C7"/>
    <w:rsid w:val="006C55F1"/>
    <w:rsid w:val="006C57E4"/>
    <w:rsid w:val="006C58CA"/>
    <w:rsid w:val="006C59D5"/>
    <w:rsid w:val="006C5A33"/>
    <w:rsid w:val="006C5B14"/>
    <w:rsid w:val="006C5CAF"/>
    <w:rsid w:val="006C5DA6"/>
    <w:rsid w:val="006C5E39"/>
    <w:rsid w:val="006C6102"/>
    <w:rsid w:val="006C61C6"/>
    <w:rsid w:val="006C625E"/>
    <w:rsid w:val="006C6278"/>
    <w:rsid w:val="006C6499"/>
    <w:rsid w:val="006C65A0"/>
    <w:rsid w:val="006C65ED"/>
    <w:rsid w:val="006C65F6"/>
    <w:rsid w:val="006C666E"/>
    <w:rsid w:val="006C6703"/>
    <w:rsid w:val="006C68AB"/>
    <w:rsid w:val="006C6AED"/>
    <w:rsid w:val="006C6DC1"/>
    <w:rsid w:val="006C6E21"/>
    <w:rsid w:val="006C72C3"/>
    <w:rsid w:val="006C7447"/>
    <w:rsid w:val="006C76AF"/>
    <w:rsid w:val="006C76FC"/>
    <w:rsid w:val="006C7727"/>
    <w:rsid w:val="006C776E"/>
    <w:rsid w:val="006C77B3"/>
    <w:rsid w:val="006C78C8"/>
    <w:rsid w:val="006C7A41"/>
    <w:rsid w:val="006C7D18"/>
    <w:rsid w:val="006C7D28"/>
    <w:rsid w:val="006C7D8D"/>
    <w:rsid w:val="006C7DA2"/>
    <w:rsid w:val="006C7E5B"/>
    <w:rsid w:val="006D025A"/>
    <w:rsid w:val="006D026E"/>
    <w:rsid w:val="006D026F"/>
    <w:rsid w:val="006D02C0"/>
    <w:rsid w:val="006D0387"/>
    <w:rsid w:val="006D038B"/>
    <w:rsid w:val="006D03EE"/>
    <w:rsid w:val="006D0519"/>
    <w:rsid w:val="006D0704"/>
    <w:rsid w:val="006D0E41"/>
    <w:rsid w:val="006D0EB3"/>
    <w:rsid w:val="006D0EB4"/>
    <w:rsid w:val="006D0F7F"/>
    <w:rsid w:val="006D121E"/>
    <w:rsid w:val="006D13EE"/>
    <w:rsid w:val="006D144D"/>
    <w:rsid w:val="006D1552"/>
    <w:rsid w:val="006D158F"/>
    <w:rsid w:val="006D15D9"/>
    <w:rsid w:val="006D16D8"/>
    <w:rsid w:val="006D1813"/>
    <w:rsid w:val="006D1837"/>
    <w:rsid w:val="006D1B57"/>
    <w:rsid w:val="006D1D2D"/>
    <w:rsid w:val="006D1F9B"/>
    <w:rsid w:val="006D21B6"/>
    <w:rsid w:val="006D2262"/>
    <w:rsid w:val="006D23CC"/>
    <w:rsid w:val="006D23CD"/>
    <w:rsid w:val="006D2522"/>
    <w:rsid w:val="006D265B"/>
    <w:rsid w:val="006D2739"/>
    <w:rsid w:val="006D27BA"/>
    <w:rsid w:val="006D2823"/>
    <w:rsid w:val="006D2875"/>
    <w:rsid w:val="006D2AB5"/>
    <w:rsid w:val="006D2B19"/>
    <w:rsid w:val="006D2C0A"/>
    <w:rsid w:val="006D2C15"/>
    <w:rsid w:val="006D2D8D"/>
    <w:rsid w:val="006D2E52"/>
    <w:rsid w:val="006D3015"/>
    <w:rsid w:val="006D31E0"/>
    <w:rsid w:val="006D3215"/>
    <w:rsid w:val="006D3552"/>
    <w:rsid w:val="006D35E3"/>
    <w:rsid w:val="006D35F9"/>
    <w:rsid w:val="006D3691"/>
    <w:rsid w:val="006D36FA"/>
    <w:rsid w:val="006D379B"/>
    <w:rsid w:val="006D3802"/>
    <w:rsid w:val="006D3837"/>
    <w:rsid w:val="006D39AE"/>
    <w:rsid w:val="006D3A69"/>
    <w:rsid w:val="006D3C99"/>
    <w:rsid w:val="006D3F10"/>
    <w:rsid w:val="006D4112"/>
    <w:rsid w:val="006D427E"/>
    <w:rsid w:val="006D42B9"/>
    <w:rsid w:val="006D4374"/>
    <w:rsid w:val="006D45A1"/>
    <w:rsid w:val="006D45DA"/>
    <w:rsid w:val="006D474B"/>
    <w:rsid w:val="006D4A90"/>
    <w:rsid w:val="006D4B9A"/>
    <w:rsid w:val="006D4BB7"/>
    <w:rsid w:val="006D4BD7"/>
    <w:rsid w:val="006D4C7E"/>
    <w:rsid w:val="006D4ED4"/>
    <w:rsid w:val="006D505C"/>
    <w:rsid w:val="006D51DE"/>
    <w:rsid w:val="006D51E0"/>
    <w:rsid w:val="006D530D"/>
    <w:rsid w:val="006D5310"/>
    <w:rsid w:val="006D5420"/>
    <w:rsid w:val="006D554B"/>
    <w:rsid w:val="006D5619"/>
    <w:rsid w:val="006D5739"/>
    <w:rsid w:val="006D580E"/>
    <w:rsid w:val="006D5982"/>
    <w:rsid w:val="006D5A31"/>
    <w:rsid w:val="006D5BFE"/>
    <w:rsid w:val="006D5C8E"/>
    <w:rsid w:val="006D5C9E"/>
    <w:rsid w:val="006D5CF8"/>
    <w:rsid w:val="006D5D50"/>
    <w:rsid w:val="006D5EAD"/>
    <w:rsid w:val="006D6012"/>
    <w:rsid w:val="006D603A"/>
    <w:rsid w:val="006D60A6"/>
    <w:rsid w:val="006D60DB"/>
    <w:rsid w:val="006D634A"/>
    <w:rsid w:val="006D6362"/>
    <w:rsid w:val="006D63DF"/>
    <w:rsid w:val="006D6602"/>
    <w:rsid w:val="006D6685"/>
    <w:rsid w:val="006D6723"/>
    <w:rsid w:val="006D6733"/>
    <w:rsid w:val="006D693D"/>
    <w:rsid w:val="006D6BBD"/>
    <w:rsid w:val="006D6CC9"/>
    <w:rsid w:val="006D6D93"/>
    <w:rsid w:val="006D6FE0"/>
    <w:rsid w:val="006D7065"/>
    <w:rsid w:val="006D7155"/>
    <w:rsid w:val="006D728D"/>
    <w:rsid w:val="006D735A"/>
    <w:rsid w:val="006D736D"/>
    <w:rsid w:val="006D7496"/>
    <w:rsid w:val="006D76E5"/>
    <w:rsid w:val="006D77F3"/>
    <w:rsid w:val="006D7882"/>
    <w:rsid w:val="006D78C7"/>
    <w:rsid w:val="006D794E"/>
    <w:rsid w:val="006D7A59"/>
    <w:rsid w:val="006D7B39"/>
    <w:rsid w:val="006D7CA3"/>
    <w:rsid w:val="006D7CC6"/>
    <w:rsid w:val="006D7E7C"/>
    <w:rsid w:val="006D7E7D"/>
    <w:rsid w:val="006D7F02"/>
    <w:rsid w:val="006E004A"/>
    <w:rsid w:val="006E016B"/>
    <w:rsid w:val="006E0426"/>
    <w:rsid w:val="006E0459"/>
    <w:rsid w:val="006E04BC"/>
    <w:rsid w:val="006E0891"/>
    <w:rsid w:val="006E08BF"/>
    <w:rsid w:val="006E099D"/>
    <w:rsid w:val="006E0D66"/>
    <w:rsid w:val="006E0E6C"/>
    <w:rsid w:val="006E1019"/>
    <w:rsid w:val="006E1291"/>
    <w:rsid w:val="006E13C2"/>
    <w:rsid w:val="006E13CD"/>
    <w:rsid w:val="006E1571"/>
    <w:rsid w:val="006E15E3"/>
    <w:rsid w:val="006E160D"/>
    <w:rsid w:val="006E199C"/>
    <w:rsid w:val="006E1A8A"/>
    <w:rsid w:val="006E1AEC"/>
    <w:rsid w:val="006E1BBB"/>
    <w:rsid w:val="006E1CDD"/>
    <w:rsid w:val="006E1D7A"/>
    <w:rsid w:val="006E1E0C"/>
    <w:rsid w:val="006E1E7D"/>
    <w:rsid w:val="006E21E8"/>
    <w:rsid w:val="006E2222"/>
    <w:rsid w:val="006E2327"/>
    <w:rsid w:val="006E23D3"/>
    <w:rsid w:val="006E240C"/>
    <w:rsid w:val="006E2545"/>
    <w:rsid w:val="006E26D6"/>
    <w:rsid w:val="006E273A"/>
    <w:rsid w:val="006E2781"/>
    <w:rsid w:val="006E2907"/>
    <w:rsid w:val="006E29FA"/>
    <w:rsid w:val="006E2A11"/>
    <w:rsid w:val="006E2A6C"/>
    <w:rsid w:val="006E2BA2"/>
    <w:rsid w:val="006E2BAD"/>
    <w:rsid w:val="006E2CFE"/>
    <w:rsid w:val="006E2DF0"/>
    <w:rsid w:val="006E30D9"/>
    <w:rsid w:val="006E310A"/>
    <w:rsid w:val="006E315E"/>
    <w:rsid w:val="006E3244"/>
    <w:rsid w:val="006E32C3"/>
    <w:rsid w:val="006E34E7"/>
    <w:rsid w:val="006E34F5"/>
    <w:rsid w:val="006E3535"/>
    <w:rsid w:val="006E360C"/>
    <w:rsid w:val="006E36B6"/>
    <w:rsid w:val="006E372A"/>
    <w:rsid w:val="006E38BF"/>
    <w:rsid w:val="006E3B45"/>
    <w:rsid w:val="006E3C60"/>
    <w:rsid w:val="006E3C98"/>
    <w:rsid w:val="006E3DCC"/>
    <w:rsid w:val="006E3F68"/>
    <w:rsid w:val="006E3FF7"/>
    <w:rsid w:val="006E3FFC"/>
    <w:rsid w:val="006E4079"/>
    <w:rsid w:val="006E416C"/>
    <w:rsid w:val="006E426A"/>
    <w:rsid w:val="006E4270"/>
    <w:rsid w:val="006E429B"/>
    <w:rsid w:val="006E4366"/>
    <w:rsid w:val="006E471A"/>
    <w:rsid w:val="006E472A"/>
    <w:rsid w:val="006E4877"/>
    <w:rsid w:val="006E48AA"/>
    <w:rsid w:val="006E4BA8"/>
    <w:rsid w:val="006E4BE7"/>
    <w:rsid w:val="006E4C9A"/>
    <w:rsid w:val="006E4DE2"/>
    <w:rsid w:val="006E5131"/>
    <w:rsid w:val="006E5301"/>
    <w:rsid w:val="006E5364"/>
    <w:rsid w:val="006E55BF"/>
    <w:rsid w:val="006E56E9"/>
    <w:rsid w:val="006E57B2"/>
    <w:rsid w:val="006E5871"/>
    <w:rsid w:val="006E59EA"/>
    <w:rsid w:val="006E5BAB"/>
    <w:rsid w:val="006E5BCE"/>
    <w:rsid w:val="006E5C8D"/>
    <w:rsid w:val="006E5EC0"/>
    <w:rsid w:val="006E612D"/>
    <w:rsid w:val="006E636D"/>
    <w:rsid w:val="006E6894"/>
    <w:rsid w:val="006E68D3"/>
    <w:rsid w:val="006E6925"/>
    <w:rsid w:val="006E6BA1"/>
    <w:rsid w:val="006E6DEC"/>
    <w:rsid w:val="006E6F98"/>
    <w:rsid w:val="006E726B"/>
    <w:rsid w:val="006E7331"/>
    <w:rsid w:val="006E740B"/>
    <w:rsid w:val="006E75F9"/>
    <w:rsid w:val="006E774B"/>
    <w:rsid w:val="006E7755"/>
    <w:rsid w:val="006E77F5"/>
    <w:rsid w:val="006E7830"/>
    <w:rsid w:val="006E7922"/>
    <w:rsid w:val="006E792F"/>
    <w:rsid w:val="006E79BB"/>
    <w:rsid w:val="006E79C8"/>
    <w:rsid w:val="006E7AC9"/>
    <w:rsid w:val="006E7B5B"/>
    <w:rsid w:val="006E7BB3"/>
    <w:rsid w:val="006E7C20"/>
    <w:rsid w:val="006E7D27"/>
    <w:rsid w:val="006E7DE3"/>
    <w:rsid w:val="006E7EB2"/>
    <w:rsid w:val="006F00BD"/>
    <w:rsid w:val="006F00C9"/>
    <w:rsid w:val="006F057E"/>
    <w:rsid w:val="006F0584"/>
    <w:rsid w:val="006F0688"/>
    <w:rsid w:val="006F06A3"/>
    <w:rsid w:val="006F06CA"/>
    <w:rsid w:val="006F0727"/>
    <w:rsid w:val="006F081E"/>
    <w:rsid w:val="006F0B2D"/>
    <w:rsid w:val="006F0ED7"/>
    <w:rsid w:val="006F0F67"/>
    <w:rsid w:val="006F10B3"/>
    <w:rsid w:val="006F10CC"/>
    <w:rsid w:val="006F10DD"/>
    <w:rsid w:val="006F116A"/>
    <w:rsid w:val="006F12A7"/>
    <w:rsid w:val="006F1303"/>
    <w:rsid w:val="006F1329"/>
    <w:rsid w:val="006F136A"/>
    <w:rsid w:val="006F1396"/>
    <w:rsid w:val="006F15AC"/>
    <w:rsid w:val="006F1629"/>
    <w:rsid w:val="006F164A"/>
    <w:rsid w:val="006F16A0"/>
    <w:rsid w:val="006F17DC"/>
    <w:rsid w:val="006F1A8E"/>
    <w:rsid w:val="006F1B1E"/>
    <w:rsid w:val="006F1BB9"/>
    <w:rsid w:val="006F1CCF"/>
    <w:rsid w:val="006F1E17"/>
    <w:rsid w:val="006F1E58"/>
    <w:rsid w:val="006F1ED4"/>
    <w:rsid w:val="006F2043"/>
    <w:rsid w:val="006F2045"/>
    <w:rsid w:val="006F20E4"/>
    <w:rsid w:val="006F20FB"/>
    <w:rsid w:val="006F2153"/>
    <w:rsid w:val="006F2593"/>
    <w:rsid w:val="006F28BF"/>
    <w:rsid w:val="006F297E"/>
    <w:rsid w:val="006F2A0B"/>
    <w:rsid w:val="006F2C88"/>
    <w:rsid w:val="006F2CBA"/>
    <w:rsid w:val="006F2FD5"/>
    <w:rsid w:val="006F302D"/>
    <w:rsid w:val="006F31FD"/>
    <w:rsid w:val="006F33BD"/>
    <w:rsid w:val="006F346C"/>
    <w:rsid w:val="006F34C0"/>
    <w:rsid w:val="006F3625"/>
    <w:rsid w:val="006F38B5"/>
    <w:rsid w:val="006F3A66"/>
    <w:rsid w:val="006F3B66"/>
    <w:rsid w:val="006F3CF2"/>
    <w:rsid w:val="006F3D0A"/>
    <w:rsid w:val="006F3E52"/>
    <w:rsid w:val="006F3EC2"/>
    <w:rsid w:val="006F3EF8"/>
    <w:rsid w:val="006F3F7D"/>
    <w:rsid w:val="006F3FDA"/>
    <w:rsid w:val="006F3FFF"/>
    <w:rsid w:val="006F4116"/>
    <w:rsid w:val="006F418F"/>
    <w:rsid w:val="006F4194"/>
    <w:rsid w:val="006F4259"/>
    <w:rsid w:val="006F425D"/>
    <w:rsid w:val="006F427F"/>
    <w:rsid w:val="006F42E9"/>
    <w:rsid w:val="006F4332"/>
    <w:rsid w:val="006F43F1"/>
    <w:rsid w:val="006F45B5"/>
    <w:rsid w:val="006F4880"/>
    <w:rsid w:val="006F494F"/>
    <w:rsid w:val="006F4AB9"/>
    <w:rsid w:val="006F4AD4"/>
    <w:rsid w:val="006F4BDB"/>
    <w:rsid w:val="006F4BDD"/>
    <w:rsid w:val="006F4BDF"/>
    <w:rsid w:val="006F4C4D"/>
    <w:rsid w:val="006F4FBF"/>
    <w:rsid w:val="006F4FE3"/>
    <w:rsid w:val="006F5071"/>
    <w:rsid w:val="006F53BE"/>
    <w:rsid w:val="006F53CA"/>
    <w:rsid w:val="006F551A"/>
    <w:rsid w:val="006F55B5"/>
    <w:rsid w:val="006F56ED"/>
    <w:rsid w:val="006F57CD"/>
    <w:rsid w:val="006F580A"/>
    <w:rsid w:val="006F5858"/>
    <w:rsid w:val="006F5A2E"/>
    <w:rsid w:val="006F5A9C"/>
    <w:rsid w:val="006F5EBC"/>
    <w:rsid w:val="006F5EFE"/>
    <w:rsid w:val="006F5F8C"/>
    <w:rsid w:val="006F603D"/>
    <w:rsid w:val="006F61A7"/>
    <w:rsid w:val="006F6316"/>
    <w:rsid w:val="006F6367"/>
    <w:rsid w:val="006F652F"/>
    <w:rsid w:val="006F6557"/>
    <w:rsid w:val="006F66A4"/>
    <w:rsid w:val="006F6895"/>
    <w:rsid w:val="006F69EA"/>
    <w:rsid w:val="006F6BCE"/>
    <w:rsid w:val="006F6BE5"/>
    <w:rsid w:val="006F6D37"/>
    <w:rsid w:val="006F6EF1"/>
    <w:rsid w:val="006F6F10"/>
    <w:rsid w:val="006F6FFB"/>
    <w:rsid w:val="006F7137"/>
    <w:rsid w:val="006F713D"/>
    <w:rsid w:val="006F7258"/>
    <w:rsid w:val="006F72C0"/>
    <w:rsid w:val="006F7388"/>
    <w:rsid w:val="006F746B"/>
    <w:rsid w:val="006F766A"/>
    <w:rsid w:val="006F789E"/>
    <w:rsid w:val="006F78A4"/>
    <w:rsid w:val="006F7916"/>
    <w:rsid w:val="006F7961"/>
    <w:rsid w:val="006F7A15"/>
    <w:rsid w:val="0070003E"/>
    <w:rsid w:val="007002E9"/>
    <w:rsid w:val="0070039D"/>
    <w:rsid w:val="00700430"/>
    <w:rsid w:val="007004CE"/>
    <w:rsid w:val="00700653"/>
    <w:rsid w:val="00700687"/>
    <w:rsid w:val="0070091E"/>
    <w:rsid w:val="0070092A"/>
    <w:rsid w:val="00700B66"/>
    <w:rsid w:val="00700C8E"/>
    <w:rsid w:val="00700D0C"/>
    <w:rsid w:val="00700E08"/>
    <w:rsid w:val="0070136E"/>
    <w:rsid w:val="0070142D"/>
    <w:rsid w:val="007015F0"/>
    <w:rsid w:val="007016B2"/>
    <w:rsid w:val="00701777"/>
    <w:rsid w:val="00701902"/>
    <w:rsid w:val="00701A2A"/>
    <w:rsid w:val="00701B63"/>
    <w:rsid w:val="00701CAC"/>
    <w:rsid w:val="00701E4F"/>
    <w:rsid w:val="00701FC3"/>
    <w:rsid w:val="00702196"/>
    <w:rsid w:val="00702206"/>
    <w:rsid w:val="007022A6"/>
    <w:rsid w:val="007023CA"/>
    <w:rsid w:val="0070244F"/>
    <w:rsid w:val="00702451"/>
    <w:rsid w:val="0070271D"/>
    <w:rsid w:val="00702807"/>
    <w:rsid w:val="007028FA"/>
    <w:rsid w:val="00702A09"/>
    <w:rsid w:val="00702B70"/>
    <w:rsid w:val="00702C2B"/>
    <w:rsid w:val="00702CE3"/>
    <w:rsid w:val="00702D54"/>
    <w:rsid w:val="00702D84"/>
    <w:rsid w:val="00702DCF"/>
    <w:rsid w:val="00702EEC"/>
    <w:rsid w:val="0070323D"/>
    <w:rsid w:val="0070328C"/>
    <w:rsid w:val="00703314"/>
    <w:rsid w:val="0070358B"/>
    <w:rsid w:val="007035BC"/>
    <w:rsid w:val="0070365E"/>
    <w:rsid w:val="00703720"/>
    <w:rsid w:val="00703852"/>
    <w:rsid w:val="0070385E"/>
    <w:rsid w:val="00703CD8"/>
    <w:rsid w:val="00703F79"/>
    <w:rsid w:val="00703F94"/>
    <w:rsid w:val="00704079"/>
    <w:rsid w:val="0070409F"/>
    <w:rsid w:val="007040C9"/>
    <w:rsid w:val="00704339"/>
    <w:rsid w:val="007043B5"/>
    <w:rsid w:val="00704587"/>
    <w:rsid w:val="007046C9"/>
    <w:rsid w:val="0070474D"/>
    <w:rsid w:val="00704DEC"/>
    <w:rsid w:val="00704FAF"/>
    <w:rsid w:val="0070516E"/>
    <w:rsid w:val="00705399"/>
    <w:rsid w:val="007053B0"/>
    <w:rsid w:val="00705660"/>
    <w:rsid w:val="007056FF"/>
    <w:rsid w:val="007057F1"/>
    <w:rsid w:val="00705A3E"/>
    <w:rsid w:val="00705B87"/>
    <w:rsid w:val="00705E12"/>
    <w:rsid w:val="00705F7B"/>
    <w:rsid w:val="0070604E"/>
    <w:rsid w:val="007060E3"/>
    <w:rsid w:val="0070615B"/>
    <w:rsid w:val="0070633D"/>
    <w:rsid w:val="00706345"/>
    <w:rsid w:val="00706629"/>
    <w:rsid w:val="007067E4"/>
    <w:rsid w:val="007068B0"/>
    <w:rsid w:val="0070696A"/>
    <w:rsid w:val="00706ACB"/>
    <w:rsid w:val="00706F3E"/>
    <w:rsid w:val="00706F4A"/>
    <w:rsid w:val="00707115"/>
    <w:rsid w:val="007072EB"/>
    <w:rsid w:val="00707309"/>
    <w:rsid w:val="00707353"/>
    <w:rsid w:val="00707599"/>
    <w:rsid w:val="00707627"/>
    <w:rsid w:val="0070772E"/>
    <w:rsid w:val="0070773F"/>
    <w:rsid w:val="007077B7"/>
    <w:rsid w:val="00707827"/>
    <w:rsid w:val="007079D9"/>
    <w:rsid w:val="00707AEF"/>
    <w:rsid w:val="00707CD6"/>
    <w:rsid w:val="00707E9B"/>
    <w:rsid w:val="007100A3"/>
    <w:rsid w:val="00710202"/>
    <w:rsid w:val="00710286"/>
    <w:rsid w:val="00710353"/>
    <w:rsid w:val="00710387"/>
    <w:rsid w:val="00710586"/>
    <w:rsid w:val="00710669"/>
    <w:rsid w:val="007107DA"/>
    <w:rsid w:val="00710916"/>
    <w:rsid w:val="0071099C"/>
    <w:rsid w:val="00710A6F"/>
    <w:rsid w:val="00710A81"/>
    <w:rsid w:val="00710B18"/>
    <w:rsid w:val="00710B82"/>
    <w:rsid w:val="00710C7F"/>
    <w:rsid w:val="00710CBE"/>
    <w:rsid w:val="00710E4F"/>
    <w:rsid w:val="00710E71"/>
    <w:rsid w:val="00711010"/>
    <w:rsid w:val="00711032"/>
    <w:rsid w:val="007110C9"/>
    <w:rsid w:val="0071110A"/>
    <w:rsid w:val="00711129"/>
    <w:rsid w:val="0071112A"/>
    <w:rsid w:val="0071112F"/>
    <w:rsid w:val="00711227"/>
    <w:rsid w:val="00711574"/>
    <w:rsid w:val="00711767"/>
    <w:rsid w:val="0071193B"/>
    <w:rsid w:val="00711A4F"/>
    <w:rsid w:val="00711A84"/>
    <w:rsid w:val="00711C72"/>
    <w:rsid w:val="00711D1C"/>
    <w:rsid w:val="00711DA9"/>
    <w:rsid w:val="00711EF6"/>
    <w:rsid w:val="00711EF7"/>
    <w:rsid w:val="00711F42"/>
    <w:rsid w:val="00711FD9"/>
    <w:rsid w:val="00712015"/>
    <w:rsid w:val="007120AC"/>
    <w:rsid w:val="007120BA"/>
    <w:rsid w:val="007121AB"/>
    <w:rsid w:val="0071228C"/>
    <w:rsid w:val="007122CA"/>
    <w:rsid w:val="007122E9"/>
    <w:rsid w:val="007124F0"/>
    <w:rsid w:val="0071252B"/>
    <w:rsid w:val="00712622"/>
    <w:rsid w:val="007126B5"/>
    <w:rsid w:val="007126E0"/>
    <w:rsid w:val="0071296E"/>
    <w:rsid w:val="007129D3"/>
    <w:rsid w:val="00712A4C"/>
    <w:rsid w:val="00712AC1"/>
    <w:rsid w:val="00712E49"/>
    <w:rsid w:val="00712E6D"/>
    <w:rsid w:val="00712EB1"/>
    <w:rsid w:val="00712EF5"/>
    <w:rsid w:val="00713388"/>
    <w:rsid w:val="007133E9"/>
    <w:rsid w:val="0071344F"/>
    <w:rsid w:val="00713526"/>
    <w:rsid w:val="00713684"/>
    <w:rsid w:val="0071368E"/>
    <w:rsid w:val="007136C7"/>
    <w:rsid w:val="0071380D"/>
    <w:rsid w:val="00713877"/>
    <w:rsid w:val="0071397E"/>
    <w:rsid w:val="00713C58"/>
    <w:rsid w:val="00713C5B"/>
    <w:rsid w:val="00713D43"/>
    <w:rsid w:val="00713EF7"/>
    <w:rsid w:val="00713EFD"/>
    <w:rsid w:val="00714084"/>
    <w:rsid w:val="007140DE"/>
    <w:rsid w:val="0071419C"/>
    <w:rsid w:val="007142AC"/>
    <w:rsid w:val="007145E4"/>
    <w:rsid w:val="00714646"/>
    <w:rsid w:val="007146D1"/>
    <w:rsid w:val="007147CB"/>
    <w:rsid w:val="00714827"/>
    <w:rsid w:val="00714B07"/>
    <w:rsid w:val="00714B35"/>
    <w:rsid w:val="00714C54"/>
    <w:rsid w:val="00714C7B"/>
    <w:rsid w:val="00714ECD"/>
    <w:rsid w:val="00714EEC"/>
    <w:rsid w:val="00714F67"/>
    <w:rsid w:val="0071509A"/>
    <w:rsid w:val="007151AB"/>
    <w:rsid w:val="007152F6"/>
    <w:rsid w:val="00715505"/>
    <w:rsid w:val="007155DD"/>
    <w:rsid w:val="00715629"/>
    <w:rsid w:val="007157EB"/>
    <w:rsid w:val="00715953"/>
    <w:rsid w:val="007159F7"/>
    <w:rsid w:val="00715A33"/>
    <w:rsid w:val="00715A8E"/>
    <w:rsid w:val="00715A91"/>
    <w:rsid w:val="00715BC1"/>
    <w:rsid w:val="00715C56"/>
    <w:rsid w:val="00715C71"/>
    <w:rsid w:val="00715E59"/>
    <w:rsid w:val="00716039"/>
    <w:rsid w:val="00716114"/>
    <w:rsid w:val="007163B6"/>
    <w:rsid w:val="00716498"/>
    <w:rsid w:val="00716518"/>
    <w:rsid w:val="00716522"/>
    <w:rsid w:val="00716529"/>
    <w:rsid w:val="0071680C"/>
    <w:rsid w:val="0071684A"/>
    <w:rsid w:val="00716936"/>
    <w:rsid w:val="00716C2A"/>
    <w:rsid w:val="00716C6D"/>
    <w:rsid w:val="00716D6C"/>
    <w:rsid w:val="00716DAB"/>
    <w:rsid w:val="0071704B"/>
    <w:rsid w:val="0071729E"/>
    <w:rsid w:val="007173F6"/>
    <w:rsid w:val="00717437"/>
    <w:rsid w:val="00717581"/>
    <w:rsid w:val="00717600"/>
    <w:rsid w:val="00717685"/>
    <w:rsid w:val="007176FE"/>
    <w:rsid w:val="00717724"/>
    <w:rsid w:val="007179BF"/>
    <w:rsid w:val="00717D19"/>
    <w:rsid w:val="00717E89"/>
    <w:rsid w:val="00717EBA"/>
    <w:rsid w:val="00720035"/>
    <w:rsid w:val="007200AE"/>
    <w:rsid w:val="0072020C"/>
    <w:rsid w:val="00720426"/>
    <w:rsid w:val="00720499"/>
    <w:rsid w:val="007204C9"/>
    <w:rsid w:val="00720560"/>
    <w:rsid w:val="007205AB"/>
    <w:rsid w:val="007205B4"/>
    <w:rsid w:val="00720665"/>
    <w:rsid w:val="0072089B"/>
    <w:rsid w:val="00720995"/>
    <w:rsid w:val="00720A79"/>
    <w:rsid w:val="00720AEC"/>
    <w:rsid w:val="00720B9C"/>
    <w:rsid w:val="00720BC6"/>
    <w:rsid w:val="00720D1B"/>
    <w:rsid w:val="00720DB6"/>
    <w:rsid w:val="00720F55"/>
    <w:rsid w:val="00720F99"/>
    <w:rsid w:val="00721086"/>
    <w:rsid w:val="00721192"/>
    <w:rsid w:val="00721323"/>
    <w:rsid w:val="00721389"/>
    <w:rsid w:val="0072138C"/>
    <w:rsid w:val="00721430"/>
    <w:rsid w:val="007215B1"/>
    <w:rsid w:val="0072179B"/>
    <w:rsid w:val="00721813"/>
    <w:rsid w:val="0072186A"/>
    <w:rsid w:val="00721903"/>
    <w:rsid w:val="007219A0"/>
    <w:rsid w:val="00721A05"/>
    <w:rsid w:val="00721AA1"/>
    <w:rsid w:val="00721CFF"/>
    <w:rsid w:val="00721D92"/>
    <w:rsid w:val="00721DBB"/>
    <w:rsid w:val="00721EC4"/>
    <w:rsid w:val="00721EE9"/>
    <w:rsid w:val="00721F86"/>
    <w:rsid w:val="00721FF8"/>
    <w:rsid w:val="0072239D"/>
    <w:rsid w:val="0072247E"/>
    <w:rsid w:val="007224C3"/>
    <w:rsid w:val="007224D3"/>
    <w:rsid w:val="00722506"/>
    <w:rsid w:val="00722510"/>
    <w:rsid w:val="00722765"/>
    <w:rsid w:val="007227BB"/>
    <w:rsid w:val="0072283E"/>
    <w:rsid w:val="007229C0"/>
    <w:rsid w:val="00722AB0"/>
    <w:rsid w:val="00722B65"/>
    <w:rsid w:val="00722BC5"/>
    <w:rsid w:val="00722C96"/>
    <w:rsid w:val="00722CCB"/>
    <w:rsid w:val="00722D5A"/>
    <w:rsid w:val="00723003"/>
    <w:rsid w:val="00723016"/>
    <w:rsid w:val="0072302C"/>
    <w:rsid w:val="0072311D"/>
    <w:rsid w:val="00723144"/>
    <w:rsid w:val="00723226"/>
    <w:rsid w:val="00723812"/>
    <w:rsid w:val="007238C3"/>
    <w:rsid w:val="007239D8"/>
    <w:rsid w:val="00723C7C"/>
    <w:rsid w:val="00723D59"/>
    <w:rsid w:val="00723DB0"/>
    <w:rsid w:val="00723E28"/>
    <w:rsid w:val="00723E4B"/>
    <w:rsid w:val="00724065"/>
    <w:rsid w:val="0072428A"/>
    <w:rsid w:val="00724293"/>
    <w:rsid w:val="00724350"/>
    <w:rsid w:val="007244F5"/>
    <w:rsid w:val="007247D7"/>
    <w:rsid w:val="00724A41"/>
    <w:rsid w:val="00724BD3"/>
    <w:rsid w:val="00724E04"/>
    <w:rsid w:val="00724F01"/>
    <w:rsid w:val="00724F1C"/>
    <w:rsid w:val="00724F2A"/>
    <w:rsid w:val="00724F85"/>
    <w:rsid w:val="00725249"/>
    <w:rsid w:val="007252A7"/>
    <w:rsid w:val="007253C2"/>
    <w:rsid w:val="00725523"/>
    <w:rsid w:val="007256C7"/>
    <w:rsid w:val="00725980"/>
    <w:rsid w:val="007259DF"/>
    <w:rsid w:val="00725D9F"/>
    <w:rsid w:val="00725E5B"/>
    <w:rsid w:val="00725EE0"/>
    <w:rsid w:val="00725F68"/>
    <w:rsid w:val="00726123"/>
    <w:rsid w:val="0072626D"/>
    <w:rsid w:val="0072629B"/>
    <w:rsid w:val="007262CA"/>
    <w:rsid w:val="007262CD"/>
    <w:rsid w:val="007262D2"/>
    <w:rsid w:val="00726397"/>
    <w:rsid w:val="00726423"/>
    <w:rsid w:val="00726501"/>
    <w:rsid w:val="00726587"/>
    <w:rsid w:val="007266B6"/>
    <w:rsid w:val="007267C5"/>
    <w:rsid w:val="00726902"/>
    <w:rsid w:val="007269F7"/>
    <w:rsid w:val="00726B7E"/>
    <w:rsid w:val="00726E8F"/>
    <w:rsid w:val="00726FCC"/>
    <w:rsid w:val="0072738F"/>
    <w:rsid w:val="00727712"/>
    <w:rsid w:val="00727809"/>
    <w:rsid w:val="00727B06"/>
    <w:rsid w:val="00727D55"/>
    <w:rsid w:val="00727D57"/>
    <w:rsid w:val="007300E1"/>
    <w:rsid w:val="00730134"/>
    <w:rsid w:val="007302B2"/>
    <w:rsid w:val="0073048C"/>
    <w:rsid w:val="007304ED"/>
    <w:rsid w:val="007304FD"/>
    <w:rsid w:val="00730534"/>
    <w:rsid w:val="007305DF"/>
    <w:rsid w:val="007306BD"/>
    <w:rsid w:val="0073070D"/>
    <w:rsid w:val="00730823"/>
    <w:rsid w:val="00730A33"/>
    <w:rsid w:val="00730AC0"/>
    <w:rsid w:val="00730D08"/>
    <w:rsid w:val="00730D63"/>
    <w:rsid w:val="00730E99"/>
    <w:rsid w:val="0073106A"/>
    <w:rsid w:val="007310B4"/>
    <w:rsid w:val="007312AB"/>
    <w:rsid w:val="007313FF"/>
    <w:rsid w:val="0073146F"/>
    <w:rsid w:val="0073151D"/>
    <w:rsid w:val="00731888"/>
    <w:rsid w:val="007319EE"/>
    <w:rsid w:val="00731C2E"/>
    <w:rsid w:val="00731CDB"/>
    <w:rsid w:val="00731D30"/>
    <w:rsid w:val="00731D79"/>
    <w:rsid w:val="00731D97"/>
    <w:rsid w:val="00731DBB"/>
    <w:rsid w:val="00731DEB"/>
    <w:rsid w:val="00731E07"/>
    <w:rsid w:val="00731E1F"/>
    <w:rsid w:val="00731F79"/>
    <w:rsid w:val="00731FF7"/>
    <w:rsid w:val="007320AB"/>
    <w:rsid w:val="0073211A"/>
    <w:rsid w:val="007321E4"/>
    <w:rsid w:val="00732234"/>
    <w:rsid w:val="0073229F"/>
    <w:rsid w:val="00732501"/>
    <w:rsid w:val="007325EE"/>
    <w:rsid w:val="007327CF"/>
    <w:rsid w:val="0073280F"/>
    <w:rsid w:val="00732A91"/>
    <w:rsid w:val="00732ACD"/>
    <w:rsid w:val="00732C24"/>
    <w:rsid w:val="00732C9A"/>
    <w:rsid w:val="00732D38"/>
    <w:rsid w:val="00732E37"/>
    <w:rsid w:val="00732EF9"/>
    <w:rsid w:val="00732FB9"/>
    <w:rsid w:val="00732FF6"/>
    <w:rsid w:val="0073312E"/>
    <w:rsid w:val="007331E4"/>
    <w:rsid w:val="007332CB"/>
    <w:rsid w:val="00733601"/>
    <w:rsid w:val="007337C3"/>
    <w:rsid w:val="00733884"/>
    <w:rsid w:val="007338DB"/>
    <w:rsid w:val="00733A37"/>
    <w:rsid w:val="00733CAC"/>
    <w:rsid w:val="0073402E"/>
    <w:rsid w:val="00734315"/>
    <w:rsid w:val="00734587"/>
    <w:rsid w:val="0073460E"/>
    <w:rsid w:val="00734737"/>
    <w:rsid w:val="00734878"/>
    <w:rsid w:val="00734975"/>
    <w:rsid w:val="00734B59"/>
    <w:rsid w:val="00735023"/>
    <w:rsid w:val="007350AD"/>
    <w:rsid w:val="007351A7"/>
    <w:rsid w:val="0073521B"/>
    <w:rsid w:val="00735271"/>
    <w:rsid w:val="00735367"/>
    <w:rsid w:val="00735645"/>
    <w:rsid w:val="0073575D"/>
    <w:rsid w:val="00735785"/>
    <w:rsid w:val="00735936"/>
    <w:rsid w:val="00735986"/>
    <w:rsid w:val="00735A12"/>
    <w:rsid w:val="00735A29"/>
    <w:rsid w:val="00735A2A"/>
    <w:rsid w:val="00735A32"/>
    <w:rsid w:val="00735A6B"/>
    <w:rsid w:val="00735B30"/>
    <w:rsid w:val="00735B7D"/>
    <w:rsid w:val="00735BE3"/>
    <w:rsid w:val="00735C56"/>
    <w:rsid w:val="00735FEA"/>
    <w:rsid w:val="00736014"/>
    <w:rsid w:val="00736101"/>
    <w:rsid w:val="0073610E"/>
    <w:rsid w:val="00736217"/>
    <w:rsid w:val="0073644C"/>
    <w:rsid w:val="007365AC"/>
    <w:rsid w:val="00736656"/>
    <w:rsid w:val="0073689F"/>
    <w:rsid w:val="00736A40"/>
    <w:rsid w:val="00736A8C"/>
    <w:rsid w:val="00736B0F"/>
    <w:rsid w:val="00736B81"/>
    <w:rsid w:val="00736F19"/>
    <w:rsid w:val="00737028"/>
    <w:rsid w:val="007371C0"/>
    <w:rsid w:val="00737304"/>
    <w:rsid w:val="0073732C"/>
    <w:rsid w:val="00737609"/>
    <w:rsid w:val="007376E4"/>
    <w:rsid w:val="007377DF"/>
    <w:rsid w:val="00737811"/>
    <w:rsid w:val="0073789E"/>
    <w:rsid w:val="0073796E"/>
    <w:rsid w:val="00737A5E"/>
    <w:rsid w:val="00737C6D"/>
    <w:rsid w:val="00737C81"/>
    <w:rsid w:val="00737C8C"/>
    <w:rsid w:val="00737D9A"/>
    <w:rsid w:val="00737F2F"/>
    <w:rsid w:val="00740145"/>
    <w:rsid w:val="007401B0"/>
    <w:rsid w:val="007405C7"/>
    <w:rsid w:val="007405D2"/>
    <w:rsid w:val="00740680"/>
    <w:rsid w:val="007406E7"/>
    <w:rsid w:val="007409B9"/>
    <w:rsid w:val="00740AB9"/>
    <w:rsid w:val="00740E07"/>
    <w:rsid w:val="00740F87"/>
    <w:rsid w:val="00741068"/>
    <w:rsid w:val="007410C4"/>
    <w:rsid w:val="0074110D"/>
    <w:rsid w:val="00741271"/>
    <w:rsid w:val="007412C8"/>
    <w:rsid w:val="00741342"/>
    <w:rsid w:val="0074145C"/>
    <w:rsid w:val="00741469"/>
    <w:rsid w:val="0074167A"/>
    <w:rsid w:val="00741860"/>
    <w:rsid w:val="007418A1"/>
    <w:rsid w:val="007418CA"/>
    <w:rsid w:val="00741A2D"/>
    <w:rsid w:val="00741AC3"/>
    <w:rsid w:val="00741B72"/>
    <w:rsid w:val="00741BA5"/>
    <w:rsid w:val="00741DC3"/>
    <w:rsid w:val="007420BE"/>
    <w:rsid w:val="007422E3"/>
    <w:rsid w:val="00742313"/>
    <w:rsid w:val="007423FA"/>
    <w:rsid w:val="0074256F"/>
    <w:rsid w:val="0074269A"/>
    <w:rsid w:val="007426E3"/>
    <w:rsid w:val="00742720"/>
    <w:rsid w:val="00742734"/>
    <w:rsid w:val="00742772"/>
    <w:rsid w:val="0074288D"/>
    <w:rsid w:val="0074292B"/>
    <w:rsid w:val="00742E01"/>
    <w:rsid w:val="00742E65"/>
    <w:rsid w:val="00742F44"/>
    <w:rsid w:val="00742FD1"/>
    <w:rsid w:val="0074306E"/>
    <w:rsid w:val="00743093"/>
    <w:rsid w:val="00743123"/>
    <w:rsid w:val="007431CF"/>
    <w:rsid w:val="00743313"/>
    <w:rsid w:val="00743546"/>
    <w:rsid w:val="00743845"/>
    <w:rsid w:val="00743C40"/>
    <w:rsid w:val="00743CA3"/>
    <w:rsid w:val="00743EE8"/>
    <w:rsid w:val="007440BB"/>
    <w:rsid w:val="00744182"/>
    <w:rsid w:val="007442A4"/>
    <w:rsid w:val="007444DC"/>
    <w:rsid w:val="0074455D"/>
    <w:rsid w:val="0074463F"/>
    <w:rsid w:val="00744658"/>
    <w:rsid w:val="00744668"/>
    <w:rsid w:val="00744822"/>
    <w:rsid w:val="00744A01"/>
    <w:rsid w:val="00744AB3"/>
    <w:rsid w:val="00744AE7"/>
    <w:rsid w:val="00744B8C"/>
    <w:rsid w:val="00744D04"/>
    <w:rsid w:val="00744D52"/>
    <w:rsid w:val="00744E78"/>
    <w:rsid w:val="00744E8B"/>
    <w:rsid w:val="00744F23"/>
    <w:rsid w:val="00744F35"/>
    <w:rsid w:val="00744F69"/>
    <w:rsid w:val="00744FE5"/>
    <w:rsid w:val="00745549"/>
    <w:rsid w:val="007457CA"/>
    <w:rsid w:val="00745CA4"/>
    <w:rsid w:val="00745CF6"/>
    <w:rsid w:val="00745E01"/>
    <w:rsid w:val="00745EF0"/>
    <w:rsid w:val="00745FA2"/>
    <w:rsid w:val="00745FC5"/>
    <w:rsid w:val="007460EE"/>
    <w:rsid w:val="007462E2"/>
    <w:rsid w:val="0074655E"/>
    <w:rsid w:val="007466A9"/>
    <w:rsid w:val="007467AC"/>
    <w:rsid w:val="00746891"/>
    <w:rsid w:val="00746932"/>
    <w:rsid w:val="00746982"/>
    <w:rsid w:val="00746B2E"/>
    <w:rsid w:val="00746C08"/>
    <w:rsid w:val="00746E63"/>
    <w:rsid w:val="00746F6C"/>
    <w:rsid w:val="00746FAF"/>
    <w:rsid w:val="007471F0"/>
    <w:rsid w:val="0074722B"/>
    <w:rsid w:val="00747336"/>
    <w:rsid w:val="0074739B"/>
    <w:rsid w:val="00747530"/>
    <w:rsid w:val="007475E1"/>
    <w:rsid w:val="00747874"/>
    <w:rsid w:val="00747A1A"/>
    <w:rsid w:val="00747A80"/>
    <w:rsid w:val="00747AEF"/>
    <w:rsid w:val="00747DAE"/>
    <w:rsid w:val="00747DF6"/>
    <w:rsid w:val="00747E13"/>
    <w:rsid w:val="00747E81"/>
    <w:rsid w:val="00747F85"/>
    <w:rsid w:val="00747FE4"/>
    <w:rsid w:val="00750349"/>
    <w:rsid w:val="00750405"/>
    <w:rsid w:val="00750643"/>
    <w:rsid w:val="00750661"/>
    <w:rsid w:val="0075069E"/>
    <w:rsid w:val="00750783"/>
    <w:rsid w:val="007507DC"/>
    <w:rsid w:val="00750970"/>
    <w:rsid w:val="0075098E"/>
    <w:rsid w:val="00750B05"/>
    <w:rsid w:val="00750DAF"/>
    <w:rsid w:val="00750E65"/>
    <w:rsid w:val="007510B8"/>
    <w:rsid w:val="00751299"/>
    <w:rsid w:val="00751480"/>
    <w:rsid w:val="0075150B"/>
    <w:rsid w:val="00751547"/>
    <w:rsid w:val="007515CA"/>
    <w:rsid w:val="007517EC"/>
    <w:rsid w:val="00751A40"/>
    <w:rsid w:val="00751C51"/>
    <w:rsid w:val="00751D11"/>
    <w:rsid w:val="00751D30"/>
    <w:rsid w:val="00751EB8"/>
    <w:rsid w:val="00752264"/>
    <w:rsid w:val="007522B8"/>
    <w:rsid w:val="007522E1"/>
    <w:rsid w:val="00752438"/>
    <w:rsid w:val="00752666"/>
    <w:rsid w:val="00752705"/>
    <w:rsid w:val="0075273A"/>
    <w:rsid w:val="00752745"/>
    <w:rsid w:val="007527BA"/>
    <w:rsid w:val="0075295B"/>
    <w:rsid w:val="00752993"/>
    <w:rsid w:val="00752A3C"/>
    <w:rsid w:val="00752BC5"/>
    <w:rsid w:val="00752BD4"/>
    <w:rsid w:val="00752C2B"/>
    <w:rsid w:val="00752C54"/>
    <w:rsid w:val="00752CCD"/>
    <w:rsid w:val="00752D2A"/>
    <w:rsid w:val="00752DCC"/>
    <w:rsid w:val="00752EF7"/>
    <w:rsid w:val="00752F5B"/>
    <w:rsid w:val="0075327C"/>
    <w:rsid w:val="007532FC"/>
    <w:rsid w:val="0075333D"/>
    <w:rsid w:val="007533AF"/>
    <w:rsid w:val="00753406"/>
    <w:rsid w:val="0075342B"/>
    <w:rsid w:val="00753547"/>
    <w:rsid w:val="007535D1"/>
    <w:rsid w:val="00753704"/>
    <w:rsid w:val="007537BD"/>
    <w:rsid w:val="00753835"/>
    <w:rsid w:val="0075388F"/>
    <w:rsid w:val="007539AA"/>
    <w:rsid w:val="00753B60"/>
    <w:rsid w:val="00753C05"/>
    <w:rsid w:val="00753C54"/>
    <w:rsid w:val="00753CDA"/>
    <w:rsid w:val="00753D53"/>
    <w:rsid w:val="00753D56"/>
    <w:rsid w:val="00753EC0"/>
    <w:rsid w:val="00754071"/>
    <w:rsid w:val="007540CA"/>
    <w:rsid w:val="00754348"/>
    <w:rsid w:val="00754397"/>
    <w:rsid w:val="007547EF"/>
    <w:rsid w:val="00754A52"/>
    <w:rsid w:val="00754AD3"/>
    <w:rsid w:val="00754C4F"/>
    <w:rsid w:val="00754D62"/>
    <w:rsid w:val="00754E0E"/>
    <w:rsid w:val="00754E30"/>
    <w:rsid w:val="00754EF0"/>
    <w:rsid w:val="0075518B"/>
    <w:rsid w:val="00755327"/>
    <w:rsid w:val="007553F6"/>
    <w:rsid w:val="0075589A"/>
    <w:rsid w:val="00755A75"/>
    <w:rsid w:val="00755BE3"/>
    <w:rsid w:val="00755C0E"/>
    <w:rsid w:val="00755FC5"/>
    <w:rsid w:val="0075602D"/>
    <w:rsid w:val="00756106"/>
    <w:rsid w:val="007561A6"/>
    <w:rsid w:val="0075638B"/>
    <w:rsid w:val="00756426"/>
    <w:rsid w:val="00756464"/>
    <w:rsid w:val="00756583"/>
    <w:rsid w:val="00756639"/>
    <w:rsid w:val="00756729"/>
    <w:rsid w:val="0075673D"/>
    <w:rsid w:val="007569CD"/>
    <w:rsid w:val="00756ACA"/>
    <w:rsid w:val="00756AF0"/>
    <w:rsid w:val="00756B1D"/>
    <w:rsid w:val="00756B81"/>
    <w:rsid w:val="00756E4A"/>
    <w:rsid w:val="00756F49"/>
    <w:rsid w:val="00756F9C"/>
    <w:rsid w:val="00756FF9"/>
    <w:rsid w:val="00757002"/>
    <w:rsid w:val="00757071"/>
    <w:rsid w:val="0075726E"/>
    <w:rsid w:val="007572FC"/>
    <w:rsid w:val="0075730B"/>
    <w:rsid w:val="00757829"/>
    <w:rsid w:val="00757A64"/>
    <w:rsid w:val="00757B17"/>
    <w:rsid w:val="00757D06"/>
    <w:rsid w:val="00757D68"/>
    <w:rsid w:val="00757E58"/>
    <w:rsid w:val="00757E87"/>
    <w:rsid w:val="00757FB9"/>
    <w:rsid w:val="0076013D"/>
    <w:rsid w:val="00760442"/>
    <w:rsid w:val="007604F9"/>
    <w:rsid w:val="007605FC"/>
    <w:rsid w:val="00760644"/>
    <w:rsid w:val="00760648"/>
    <w:rsid w:val="00760679"/>
    <w:rsid w:val="00760711"/>
    <w:rsid w:val="00760764"/>
    <w:rsid w:val="007607AB"/>
    <w:rsid w:val="007608E9"/>
    <w:rsid w:val="007609F2"/>
    <w:rsid w:val="00760AFA"/>
    <w:rsid w:val="00760BC3"/>
    <w:rsid w:val="00760D01"/>
    <w:rsid w:val="00760D5C"/>
    <w:rsid w:val="00760EA7"/>
    <w:rsid w:val="00760F82"/>
    <w:rsid w:val="00761081"/>
    <w:rsid w:val="007613AB"/>
    <w:rsid w:val="0076148E"/>
    <w:rsid w:val="0076157E"/>
    <w:rsid w:val="00761691"/>
    <w:rsid w:val="00761703"/>
    <w:rsid w:val="00761710"/>
    <w:rsid w:val="007618DE"/>
    <w:rsid w:val="0076195B"/>
    <w:rsid w:val="00761A8C"/>
    <w:rsid w:val="00761BDD"/>
    <w:rsid w:val="00761C97"/>
    <w:rsid w:val="00761F33"/>
    <w:rsid w:val="00761F5C"/>
    <w:rsid w:val="00761F74"/>
    <w:rsid w:val="007620A5"/>
    <w:rsid w:val="0076225D"/>
    <w:rsid w:val="007622B3"/>
    <w:rsid w:val="00762328"/>
    <w:rsid w:val="0076245C"/>
    <w:rsid w:val="00762487"/>
    <w:rsid w:val="00762607"/>
    <w:rsid w:val="00762762"/>
    <w:rsid w:val="00762792"/>
    <w:rsid w:val="007628DE"/>
    <w:rsid w:val="007628E0"/>
    <w:rsid w:val="007628F2"/>
    <w:rsid w:val="0076299C"/>
    <w:rsid w:val="00762AA6"/>
    <w:rsid w:val="00762DF3"/>
    <w:rsid w:val="00762EDD"/>
    <w:rsid w:val="00762EE0"/>
    <w:rsid w:val="00762F4F"/>
    <w:rsid w:val="007631C8"/>
    <w:rsid w:val="0076320E"/>
    <w:rsid w:val="007632CD"/>
    <w:rsid w:val="007632FF"/>
    <w:rsid w:val="00763570"/>
    <w:rsid w:val="007635FB"/>
    <w:rsid w:val="00763638"/>
    <w:rsid w:val="0076367F"/>
    <w:rsid w:val="007636F0"/>
    <w:rsid w:val="00763700"/>
    <w:rsid w:val="00763ADF"/>
    <w:rsid w:val="00763C8B"/>
    <w:rsid w:val="00763DDC"/>
    <w:rsid w:val="00763E4F"/>
    <w:rsid w:val="00763FAF"/>
    <w:rsid w:val="00764008"/>
    <w:rsid w:val="00764158"/>
    <w:rsid w:val="007641D4"/>
    <w:rsid w:val="0076427B"/>
    <w:rsid w:val="0076445B"/>
    <w:rsid w:val="00764683"/>
    <w:rsid w:val="007649EF"/>
    <w:rsid w:val="00764B4E"/>
    <w:rsid w:val="00764BBD"/>
    <w:rsid w:val="00764BE4"/>
    <w:rsid w:val="00764C5C"/>
    <w:rsid w:val="00764CF6"/>
    <w:rsid w:val="00764DAF"/>
    <w:rsid w:val="00764F55"/>
    <w:rsid w:val="00764FD0"/>
    <w:rsid w:val="007650CF"/>
    <w:rsid w:val="00765133"/>
    <w:rsid w:val="007651D9"/>
    <w:rsid w:val="00765225"/>
    <w:rsid w:val="00765252"/>
    <w:rsid w:val="0076527A"/>
    <w:rsid w:val="00765633"/>
    <w:rsid w:val="00765707"/>
    <w:rsid w:val="00765730"/>
    <w:rsid w:val="00765794"/>
    <w:rsid w:val="00765AD0"/>
    <w:rsid w:val="00765C6F"/>
    <w:rsid w:val="0076602A"/>
    <w:rsid w:val="007661F4"/>
    <w:rsid w:val="0076623C"/>
    <w:rsid w:val="0076632F"/>
    <w:rsid w:val="007663A4"/>
    <w:rsid w:val="007668F4"/>
    <w:rsid w:val="00766A37"/>
    <w:rsid w:val="00766A60"/>
    <w:rsid w:val="00766AD5"/>
    <w:rsid w:val="00766B1E"/>
    <w:rsid w:val="00766CBA"/>
    <w:rsid w:val="00766F7B"/>
    <w:rsid w:val="00767046"/>
    <w:rsid w:val="007671EC"/>
    <w:rsid w:val="0076729C"/>
    <w:rsid w:val="00767554"/>
    <w:rsid w:val="007675F3"/>
    <w:rsid w:val="0076762C"/>
    <w:rsid w:val="00767665"/>
    <w:rsid w:val="0076769F"/>
    <w:rsid w:val="007676EF"/>
    <w:rsid w:val="0076777F"/>
    <w:rsid w:val="007677BF"/>
    <w:rsid w:val="00767A10"/>
    <w:rsid w:val="00767C76"/>
    <w:rsid w:val="00767D7F"/>
    <w:rsid w:val="00767DCE"/>
    <w:rsid w:val="00767E28"/>
    <w:rsid w:val="00767EFA"/>
    <w:rsid w:val="00767FBC"/>
    <w:rsid w:val="00767FD1"/>
    <w:rsid w:val="007700C5"/>
    <w:rsid w:val="007701FC"/>
    <w:rsid w:val="00770261"/>
    <w:rsid w:val="00770483"/>
    <w:rsid w:val="007705FA"/>
    <w:rsid w:val="00770732"/>
    <w:rsid w:val="00770791"/>
    <w:rsid w:val="007707BC"/>
    <w:rsid w:val="0077085B"/>
    <w:rsid w:val="00770E01"/>
    <w:rsid w:val="00771106"/>
    <w:rsid w:val="0077125E"/>
    <w:rsid w:val="0077129F"/>
    <w:rsid w:val="00771432"/>
    <w:rsid w:val="00771684"/>
    <w:rsid w:val="0077180C"/>
    <w:rsid w:val="007718A5"/>
    <w:rsid w:val="00771C98"/>
    <w:rsid w:val="00771CD5"/>
    <w:rsid w:val="00771D93"/>
    <w:rsid w:val="00771FC3"/>
    <w:rsid w:val="00771FEE"/>
    <w:rsid w:val="0077203E"/>
    <w:rsid w:val="007722D4"/>
    <w:rsid w:val="007722F7"/>
    <w:rsid w:val="00772319"/>
    <w:rsid w:val="00772325"/>
    <w:rsid w:val="007724C9"/>
    <w:rsid w:val="0077251F"/>
    <w:rsid w:val="00772634"/>
    <w:rsid w:val="00772687"/>
    <w:rsid w:val="007726F6"/>
    <w:rsid w:val="00772771"/>
    <w:rsid w:val="0077299D"/>
    <w:rsid w:val="00772CD1"/>
    <w:rsid w:val="00772D6B"/>
    <w:rsid w:val="00772E3F"/>
    <w:rsid w:val="00772F5B"/>
    <w:rsid w:val="00772F9F"/>
    <w:rsid w:val="00772FA0"/>
    <w:rsid w:val="0077315E"/>
    <w:rsid w:val="0077318B"/>
    <w:rsid w:val="0077343D"/>
    <w:rsid w:val="0077347F"/>
    <w:rsid w:val="007734DF"/>
    <w:rsid w:val="007735CA"/>
    <w:rsid w:val="007736FA"/>
    <w:rsid w:val="00773904"/>
    <w:rsid w:val="007739D9"/>
    <w:rsid w:val="00773C49"/>
    <w:rsid w:val="00773D49"/>
    <w:rsid w:val="007740DF"/>
    <w:rsid w:val="0077417D"/>
    <w:rsid w:val="007741A0"/>
    <w:rsid w:val="00774213"/>
    <w:rsid w:val="00774324"/>
    <w:rsid w:val="007743C9"/>
    <w:rsid w:val="007744E2"/>
    <w:rsid w:val="0077458C"/>
    <w:rsid w:val="00774720"/>
    <w:rsid w:val="00774776"/>
    <w:rsid w:val="00774A66"/>
    <w:rsid w:val="00774BB3"/>
    <w:rsid w:val="00774BD3"/>
    <w:rsid w:val="00774C30"/>
    <w:rsid w:val="00774D51"/>
    <w:rsid w:val="00774FB5"/>
    <w:rsid w:val="007752E5"/>
    <w:rsid w:val="00775548"/>
    <w:rsid w:val="007755A4"/>
    <w:rsid w:val="00775672"/>
    <w:rsid w:val="0077568D"/>
    <w:rsid w:val="007756C9"/>
    <w:rsid w:val="00775C24"/>
    <w:rsid w:val="00775F65"/>
    <w:rsid w:val="00775FB5"/>
    <w:rsid w:val="00775FF9"/>
    <w:rsid w:val="00776096"/>
    <w:rsid w:val="007760B7"/>
    <w:rsid w:val="00776210"/>
    <w:rsid w:val="00776243"/>
    <w:rsid w:val="007764E8"/>
    <w:rsid w:val="00776536"/>
    <w:rsid w:val="0077655E"/>
    <w:rsid w:val="00776586"/>
    <w:rsid w:val="00776807"/>
    <w:rsid w:val="007768E4"/>
    <w:rsid w:val="00776A7B"/>
    <w:rsid w:val="00776AB3"/>
    <w:rsid w:val="00776C53"/>
    <w:rsid w:val="00776C56"/>
    <w:rsid w:val="00776D47"/>
    <w:rsid w:val="00776D70"/>
    <w:rsid w:val="00776DE3"/>
    <w:rsid w:val="00776E82"/>
    <w:rsid w:val="00777035"/>
    <w:rsid w:val="0077706B"/>
    <w:rsid w:val="00777304"/>
    <w:rsid w:val="00777391"/>
    <w:rsid w:val="00777488"/>
    <w:rsid w:val="007775DE"/>
    <w:rsid w:val="00777804"/>
    <w:rsid w:val="0077790C"/>
    <w:rsid w:val="0077791D"/>
    <w:rsid w:val="00777950"/>
    <w:rsid w:val="00777968"/>
    <w:rsid w:val="00777984"/>
    <w:rsid w:val="0077799F"/>
    <w:rsid w:val="007779F3"/>
    <w:rsid w:val="00777A77"/>
    <w:rsid w:val="00777AD1"/>
    <w:rsid w:val="00777AF4"/>
    <w:rsid w:val="00777C19"/>
    <w:rsid w:val="00777CAC"/>
    <w:rsid w:val="00777DD6"/>
    <w:rsid w:val="00777E96"/>
    <w:rsid w:val="00777FF6"/>
    <w:rsid w:val="0078009C"/>
    <w:rsid w:val="0078010E"/>
    <w:rsid w:val="007801BE"/>
    <w:rsid w:val="00780201"/>
    <w:rsid w:val="0078025F"/>
    <w:rsid w:val="007805B5"/>
    <w:rsid w:val="00780901"/>
    <w:rsid w:val="00780971"/>
    <w:rsid w:val="00780BDD"/>
    <w:rsid w:val="00780C5F"/>
    <w:rsid w:val="00780CBF"/>
    <w:rsid w:val="00780DBD"/>
    <w:rsid w:val="00780F4B"/>
    <w:rsid w:val="00780F5E"/>
    <w:rsid w:val="00780FED"/>
    <w:rsid w:val="007810F9"/>
    <w:rsid w:val="00781288"/>
    <w:rsid w:val="0078163D"/>
    <w:rsid w:val="007816E6"/>
    <w:rsid w:val="007817E9"/>
    <w:rsid w:val="00781942"/>
    <w:rsid w:val="0078194E"/>
    <w:rsid w:val="007819E5"/>
    <w:rsid w:val="007819F8"/>
    <w:rsid w:val="00781AB0"/>
    <w:rsid w:val="00781ADC"/>
    <w:rsid w:val="00781AE3"/>
    <w:rsid w:val="00781CEC"/>
    <w:rsid w:val="00781E0D"/>
    <w:rsid w:val="00781E4D"/>
    <w:rsid w:val="00781E5A"/>
    <w:rsid w:val="00781E85"/>
    <w:rsid w:val="00782027"/>
    <w:rsid w:val="00782046"/>
    <w:rsid w:val="007820D5"/>
    <w:rsid w:val="007820EF"/>
    <w:rsid w:val="007821AC"/>
    <w:rsid w:val="007823E7"/>
    <w:rsid w:val="00782483"/>
    <w:rsid w:val="00782683"/>
    <w:rsid w:val="00782712"/>
    <w:rsid w:val="0078279E"/>
    <w:rsid w:val="007828F0"/>
    <w:rsid w:val="00782ADB"/>
    <w:rsid w:val="00782B91"/>
    <w:rsid w:val="00782D3E"/>
    <w:rsid w:val="00782E12"/>
    <w:rsid w:val="00782E85"/>
    <w:rsid w:val="00782EE4"/>
    <w:rsid w:val="00783086"/>
    <w:rsid w:val="007830FB"/>
    <w:rsid w:val="0078326E"/>
    <w:rsid w:val="007833C0"/>
    <w:rsid w:val="00783485"/>
    <w:rsid w:val="007835CF"/>
    <w:rsid w:val="007836B2"/>
    <w:rsid w:val="007836D8"/>
    <w:rsid w:val="0078376F"/>
    <w:rsid w:val="00783B9D"/>
    <w:rsid w:val="00783C4B"/>
    <w:rsid w:val="00783D19"/>
    <w:rsid w:val="00783D3F"/>
    <w:rsid w:val="00783D73"/>
    <w:rsid w:val="00783E54"/>
    <w:rsid w:val="00783EC8"/>
    <w:rsid w:val="00783FF7"/>
    <w:rsid w:val="00784082"/>
    <w:rsid w:val="00784165"/>
    <w:rsid w:val="007841A5"/>
    <w:rsid w:val="007841ED"/>
    <w:rsid w:val="0078452A"/>
    <w:rsid w:val="007845CE"/>
    <w:rsid w:val="007845FB"/>
    <w:rsid w:val="0078463D"/>
    <w:rsid w:val="007846DF"/>
    <w:rsid w:val="00784737"/>
    <w:rsid w:val="00784847"/>
    <w:rsid w:val="00784D3C"/>
    <w:rsid w:val="00784E00"/>
    <w:rsid w:val="00784EBE"/>
    <w:rsid w:val="0078504B"/>
    <w:rsid w:val="00785170"/>
    <w:rsid w:val="00785389"/>
    <w:rsid w:val="0078547D"/>
    <w:rsid w:val="007855AF"/>
    <w:rsid w:val="00785747"/>
    <w:rsid w:val="007859E6"/>
    <w:rsid w:val="00785D87"/>
    <w:rsid w:val="00785DA0"/>
    <w:rsid w:val="00785EA7"/>
    <w:rsid w:val="00785FC8"/>
    <w:rsid w:val="0078601E"/>
    <w:rsid w:val="00786080"/>
    <w:rsid w:val="007860FB"/>
    <w:rsid w:val="007861CB"/>
    <w:rsid w:val="007863B0"/>
    <w:rsid w:val="0078671F"/>
    <w:rsid w:val="00786AAA"/>
    <w:rsid w:val="00786ACA"/>
    <w:rsid w:val="00786C0C"/>
    <w:rsid w:val="00786C29"/>
    <w:rsid w:val="00786D2B"/>
    <w:rsid w:val="00786DA6"/>
    <w:rsid w:val="00787146"/>
    <w:rsid w:val="0078715B"/>
    <w:rsid w:val="007874BF"/>
    <w:rsid w:val="00787602"/>
    <w:rsid w:val="00787611"/>
    <w:rsid w:val="007876FC"/>
    <w:rsid w:val="0078772D"/>
    <w:rsid w:val="007877A3"/>
    <w:rsid w:val="007877AC"/>
    <w:rsid w:val="007877D4"/>
    <w:rsid w:val="00787944"/>
    <w:rsid w:val="007879BD"/>
    <w:rsid w:val="00787A7C"/>
    <w:rsid w:val="00787A95"/>
    <w:rsid w:val="00787C07"/>
    <w:rsid w:val="00787E9E"/>
    <w:rsid w:val="00787F92"/>
    <w:rsid w:val="00790157"/>
    <w:rsid w:val="007902D8"/>
    <w:rsid w:val="007902DC"/>
    <w:rsid w:val="00790388"/>
    <w:rsid w:val="007903E5"/>
    <w:rsid w:val="007905C0"/>
    <w:rsid w:val="007905E6"/>
    <w:rsid w:val="007906D4"/>
    <w:rsid w:val="007906E7"/>
    <w:rsid w:val="007907F8"/>
    <w:rsid w:val="0079082D"/>
    <w:rsid w:val="0079084E"/>
    <w:rsid w:val="00790857"/>
    <w:rsid w:val="007909E7"/>
    <w:rsid w:val="00790B4C"/>
    <w:rsid w:val="00790CFC"/>
    <w:rsid w:val="00790DB9"/>
    <w:rsid w:val="00790EA9"/>
    <w:rsid w:val="007911BA"/>
    <w:rsid w:val="0079132F"/>
    <w:rsid w:val="0079138E"/>
    <w:rsid w:val="00791490"/>
    <w:rsid w:val="007916BA"/>
    <w:rsid w:val="007919DA"/>
    <w:rsid w:val="007919DD"/>
    <w:rsid w:val="00791A19"/>
    <w:rsid w:val="00791A7E"/>
    <w:rsid w:val="00791AA4"/>
    <w:rsid w:val="00791DA5"/>
    <w:rsid w:val="007920E1"/>
    <w:rsid w:val="007922BA"/>
    <w:rsid w:val="0079258B"/>
    <w:rsid w:val="007927BA"/>
    <w:rsid w:val="0079283B"/>
    <w:rsid w:val="00792904"/>
    <w:rsid w:val="00792A0C"/>
    <w:rsid w:val="00792A98"/>
    <w:rsid w:val="00792AF4"/>
    <w:rsid w:val="00792B11"/>
    <w:rsid w:val="00792B2C"/>
    <w:rsid w:val="00792B58"/>
    <w:rsid w:val="00792C05"/>
    <w:rsid w:val="00792C13"/>
    <w:rsid w:val="00792DB9"/>
    <w:rsid w:val="007931BC"/>
    <w:rsid w:val="00793200"/>
    <w:rsid w:val="00793326"/>
    <w:rsid w:val="00793412"/>
    <w:rsid w:val="00793506"/>
    <w:rsid w:val="0079356E"/>
    <w:rsid w:val="0079362B"/>
    <w:rsid w:val="00793643"/>
    <w:rsid w:val="0079375D"/>
    <w:rsid w:val="0079389D"/>
    <w:rsid w:val="00793A2D"/>
    <w:rsid w:val="00793AE6"/>
    <w:rsid w:val="00793CC7"/>
    <w:rsid w:val="00793EF0"/>
    <w:rsid w:val="00793F0C"/>
    <w:rsid w:val="00793FD0"/>
    <w:rsid w:val="007940C6"/>
    <w:rsid w:val="007941F0"/>
    <w:rsid w:val="007943E6"/>
    <w:rsid w:val="0079446F"/>
    <w:rsid w:val="0079447F"/>
    <w:rsid w:val="00794644"/>
    <w:rsid w:val="0079486B"/>
    <w:rsid w:val="00794A07"/>
    <w:rsid w:val="00794B2C"/>
    <w:rsid w:val="00794C1D"/>
    <w:rsid w:val="00794C94"/>
    <w:rsid w:val="00794EA4"/>
    <w:rsid w:val="00794F90"/>
    <w:rsid w:val="00794FCB"/>
    <w:rsid w:val="007950F5"/>
    <w:rsid w:val="007951DC"/>
    <w:rsid w:val="00795309"/>
    <w:rsid w:val="007953FA"/>
    <w:rsid w:val="007954B7"/>
    <w:rsid w:val="007954C5"/>
    <w:rsid w:val="007955C4"/>
    <w:rsid w:val="007957AB"/>
    <w:rsid w:val="007958F2"/>
    <w:rsid w:val="00795929"/>
    <w:rsid w:val="00795945"/>
    <w:rsid w:val="00795A41"/>
    <w:rsid w:val="00795A86"/>
    <w:rsid w:val="00795B4C"/>
    <w:rsid w:val="00795C20"/>
    <w:rsid w:val="00795CF2"/>
    <w:rsid w:val="00795DAD"/>
    <w:rsid w:val="00795E8E"/>
    <w:rsid w:val="00795F4F"/>
    <w:rsid w:val="00795F60"/>
    <w:rsid w:val="00796145"/>
    <w:rsid w:val="00796192"/>
    <w:rsid w:val="0079634A"/>
    <w:rsid w:val="00796525"/>
    <w:rsid w:val="0079655F"/>
    <w:rsid w:val="00796A20"/>
    <w:rsid w:val="00796C7D"/>
    <w:rsid w:val="00796F39"/>
    <w:rsid w:val="00796FBA"/>
    <w:rsid w:val="0079722A"/>
    <w:rsid w:val="0079739C"/>
    <w:rsid w:val="0079758D"/>
    <w:rsid w:val="00797996"/>
    <w:rsid w:val="00797A00"/>
    <w:rsid w:val="00797BFC"/>
    <w:rsid w:val="00797C91"/>
    <w:rsid w:val="00797D93"/>
    <w:rsid w:val="00797E1B"/>
    <w:rsid w:val="00797E66"/>
    <w:rsid w:val="00797FA2"/>
    <w:rsid w:val="00797FD2"/>
    <w:rsid w:val="007A0006"/>
    <w:rsid w:val="007A00C4"/>
    <w:rsid w:val="007A013F"/>
    <w:rsid w:val="007A0192"/>
    <w:rsid w:val="007A01B1"/>
    <w:rsid w:val="007A0508"/>
    <w:rsid w:val="007A05FE"/>
    <w:rsid w:val="007A064E"/>
    <w:rsid w:val="007A0734"/>
    <w:rsid w:val="007A07A2"/>
    <w:rsid w:val="007A097B"/>
    <w:rsid w:val="007A0BBD"/>
    <w:rsid w:val="007A0C02"/>
    <w:rsid w:val="007A0C6C"/>
    <w:rsid w:val="007A0DD9"/>
    <w:rsid w:val="007A0E1D"/>
    <w:rsid w:val="007A0F03"/>
    <w:rsid w:val="007A0F49"/>
    <w:rsid w:val="007A100D"/>
    <w:rsid w:val="007A102A"/>
    <w:rsid w:val="007A11B6"/>
    <w:rsid w:val="007A12D6"/>
    <w:rsid w:val="007A1336"/>
    <w:rsid w:val="007A1516"/>
    <w:rsid w:val="007A15A1"/>
    <w:rsid w:val="007A15BD"/>
    <w:rsid w:val="007A15CC"/>
    <w:rsid w:val="007A15ED"/>
    <w:rsid w:val="007A179F"/>
    <w:rsid w:val="007A185A"/>
    <w:rsid w:val="007A1913"/>
    <w:rsid w:val="007A1B90"/>
    <w:rsid w:val="007A1C2D"/>
    <w:rsid w:val="007A1D71"/>
    <w:rsid w:val="007A1DC4"/>
    <w:rsid w:val="007A1FBA"/>
    <w:rsid w:val="007A20DE"/>
    <w:rsid w:val="007A23CE"/>
    <w:rsid w:val="007A2814"/>
    <w:rsid w:val="007A2817"/>
    <w:rsid w:val="007A292D"/>
    <w:rsid w:val="007A2AFD"/>
    <w:rsid w:val="007A2BC3"/>
    <w:rsid w:val="007A2C96"/>
    <w:rsid w:val="007A2E97"/>
    <w:rsid w:val="007A2F64"/>
    <w:rsid w:val="007A2F85"/>
    <w:rsid w:val="007A3083"/>
    <w:rsid w:val="007A31FA"/>
    <w:rsid w:val="007A3276"/>
    <w:rsid w:val="007A35B8"/>
    <w:rsid w:val="007A361C"/>
    <w:rsid w:val="007A3A77"/>
    <w:rsid w:val="007A3C29"/>
    <w:rsid w:val="007A3CB9"/>
    <w:rsid w:val="007A3F40"/>
    <w:rsid w:val="007A3FE6"/>
    <w:rsid w:val="007A411E"/>
    <w:rsid w:val="007A4183"/>
    <w:rsid w:val="007A41B4"/>
    <w:rsid w:val="007A423C"/>
    <w:rsid w:val="007A4521"/>
    <w:rsid w:val="007A4699"/>
    <w:rsid w:val="007A46FE"/>
    <w:rsid w:val="007A4A95"/>
    <w:rsid w:val="007A4AC0"/>
    <w:rsid w:val="007A4B6D"/>
    <w:rsid w:val="007A4C04"/>
    <w:rsid w:val="007A4C18"/>
    <w:rsid w:val="007A4DCB"/>
    <w:rsid w:val="007A4FFF"/>
    <w:rsid w:val="007A5009"/>
    <w:rsid w:val="007A5231"/>
    <w:rsid w:val="007A5430"/>
    <w:rsid w:val="007A5602"/>
    <w:rsid w:val="007A5649"/>
    <w:rsid w:val="007A564C"/>
    <w:rsid w:val="007A57BE"/>
    <w:rsid w:val="007A5836"/>
    <w:rsid w:val="007A5855"/>
    <w:rsid w:val="007A594D"/>
    <w:rsid w:val="007A5983"/>
    <w:rsid w:val="007A5A1E"/>
    <w:rsid w:val="007A5A5A"/>
    <w:rsid w:val="007A5B60"/>
    <w:rsid w:val="007A5C39"/>
    <w:rsid w:val="007A5E4B"/>
    <w:rsid w:val="007A5EF1"/>
    <w:rsid w:val="007A5F3F"/>
    <w:rsid w:val="007A6039"/>
    <w:rsid w:val="007A6077"/>
    <w:rsid w:val="007A60D5"/>
    <w:rsid w:val="007A6225"/>
    <w:rsid w:val="007A626E"/>
    <w:rsid w:val="007A6303"/>
    <w:rsid w:val="007A6342"/>
    <w:rsid w:val="007A6652"/>
    <w:rsid w:val="007A6693"/>
    <w:rsid w:val="007A673E"/>
    <w:rsid w:val="007A678A"/>
    <w:rsid w:val="007A6830"/>
    <w:rsid w:val="007A6878"/>
    <w:rsid w:val="007A6DF0"/>
    <w:rsid w:val="007A6F14"/>
    <w:rsid w:val="007A6F16"/>
    <w:rsid w:val="007A6F4D"/>
    <w:rsid w:val="007A6F70"/>
    <w:rsid w:val="007A6F94"/>
    <w:rsid w:val="007A70C1"/>
    <w:rsid w:val="007A716E"/>
    <w:rsid w:val="007A7527"/>
    <w:rsid w:val="007A7682"/>
    <w:rsid w:val="007A79A0"/>
    <w:rsid w:val="007A7B3C"/>
    <w:rsid w:val="007A7DBB"/>
    <w:rsid w:val="007A7EB2"/>
    <w:rsid w:val="007B014A"/>
    <w:rsid w:val="007B022F"/>
    <w:rsid w:val="007B0447"/>
    <w:rsid w:val="007B0592"/>
    <w:rsid w:val="007B0673"/>
    <w:rsid w:val="007B06EC"/>
    <w:rsid w:val="007B0700"/>
    <w:rsid w:val="007B0B0B"/>
    <w:rsid w:val="007B0B40"/>
    <w:rsid w:val="007B0DC7"/>
    <w:rsid w:val="007B0DF2"/>
    <w:rsid w:val="007B109A"/>
    <w:rsid w:val="007B11A2"/>
    <w:rsid w:val="007B1253"/>
    <w:rsid w:val="007B131D"/>
    <w:rsid w:val="007B1459"/>
    <w:rsid w:val="007B1592"/>
    <w:rsid w:val="007B1692"/>
    <w:rsid w:val="007B16FC"/>
    <w:rsid w:val="007B182C"/>
    <w:rsid w:val="007B1896"/>
    <w:rsid w:val="007B18A8"/>
    <w:rsid w:val="007B18EC"/>
    <w:rsid w:val="007B1A5C"/>
    <w:rsid w:val="007B1CD7"/>
    <w:rsid w:val="007B1E9A"/>
    <w:rsid w:val="007B2164"/>
    <w:rsid w:val="007B21B4"/>
    <w:rsid w:val="007B21D3"/>
    <w:rsid w:val="007B227B"/>
    <w:rsid w:val="007B2302"/>
    <w:rsid w:val="007B2303"/>
    <w:rsid w:val="007B2359"/>
    <w:rsid w:val="007B2547"/>
    <w:rsid w:val="007B25AB"/>
    <w:rsid w:val="007B2652"/>
    <w:rsid w:val="007B2821"/>
    <w:rsid w:val="007B2956"/>
    <w:rsid w:val="007B298C"/>
    <w:rsid w:val="007B2B0E"/>
    <w:rsid w:val="007B2BB1"/>
    <w:rsid w:val="007B2BB8"/>
    <w:rsid w:val="007B2D2A"/>
    <w:rsid w:val="007B2D56"/>
    <w:rsid w:val="007B2E1C"/>
    <w:rsid w:val="007B2FB4"/>
    <w:rsid w:val="007B3291"/>
    <w:rsid w:val="007B329B"/>
    <w:rsid w:val="007B338A"/>
    <w:rsid w:val="007B3417"/>
    <w:rsid w:val="007B34DE"/>
    <w:rsid w:val="007B3553"/>
    <w:rsid w:val="007B35F2"/>
    <w:rsid w:val="007B36D0"/>
    <w:rsid w:val="007B3704"/>
    <w:rsid w:val="007B3896"/>
    <w:rsid w:val="007B39A5"/>
    <w:rsid w:val="007B3BC3"/>
    <w:rsid w:val="007B3DEE"/>
    <w:rsid w:val="007B3F88"/>
    <w:rsid w:val="007B3FE2"/>
    <w:rsid w:val="007B40AC"/>
    <w:rsid w:val="007B419F"/>
    <w:rsid w:val="007B4478"/>
    <w:rsid w:val="007B4637"/>
    <w:rsid w:val="007B4B03"/>
    <w:rsid w:val="007B4B15"/>
    <w:rsid w:val="007B4CA9"/>
    <w:rsid w:val="007B4DA0"/>
    <w:rsid w:val="007B4EB1"/>
    <w:rsid w:val="007B5330"/>
    <w:rsid w:val="007B544E"/>
    <w:rsid w:val="007B5524"/>
    <w:rsid w:val="007B55DB"/>
    <w:rsid w:val="007B5750"/>
    <w:rsid w:val="007B575A"/>
    <w:rsid w:val="007B5819"/>
    <w:rsid w:val="007B584F"/>
    <w:rsid w:val="007B5A3C"/>
    <w:rsid w:val="007B5AE7"/>
    <w:rsid w:val="007B5B6C"/>
    <w:rsid w:val="007B5C5F"/>
    <w:rsid w:val="007B5E03"/>
    <w:rsid w:val="007B5E0E"/>
    <w:rsid w:val="007B5E20"/>
    <w:rsid w:val="007B5E4F"/>
    <w:rsid w:val="007B5ECD"/>
    <w:rsid w:val="007B5FCB"/>
    <w:rsid w:val="007B5FE2"/>
    <w:rsid w:val="007B6221"/>
    <w:rsid w:val="007B6296"/>
    <w:rsid w:val="007B62DC"/>
    <w:rsid w:val="007B634E"/>
    <w:rsid w:val="007B636A"/>
    <w:rsid w:val="007B65BA"/>
    <w:rsid w:val="007B660B"/>
    <w:rsid w:val="007B682D"/>
    <w:rsid w:val="007B68CF"/>
    <w:rsid w:val="007B6A4C"/>
    <w:rsid w:val="007B6AA6"/>
    <w:rsid w:val="007B6C49"/>
    <w:rsid w:val="007B6C95"/>
    <w:rsid w:val="007B6EEB"/>
    <w:rsid w:val="007B6FC5"/>
    <w:rsid w:val="007B70EB"/>
    <w:rsid w:val="007B71E2"/>
    <w:rsid w:val="007B738A"/>
    <w:rsid w:val="007B73CD"/>
    <w:rsid w:val="007B7449"/>
    <w:rsid w:val="007B747A"/>
    <w:rsid w:val="007B75CA"/>
    <w:rsid w:val="007B7785"/>
    <w:rsid w:val="007B77B4"/>
    <w:rsid w:val="007B77F7"/>
    <w:rsid w:val="007B7822"/>
    <w:rsid w:val="007B78D7"/>
    <w:rsid w:val="007B7B34"/>
    <w:rsid w:val="007B7C0E"/>
    <w:rsid w:val="007C002E"/>
    <w:rsid w:val="007C01CD"/>
    <w:rsid w:val="007C0277"/>
    <w:rsid w:val="007C030A"/>
    <w:rsid w:val="007C03AC"/>
    <w:rsid w:val="007C04D5"/>
    <w:rsid w:val="007C051C"/>
    <w:rsid w:val="007C0532"/>
    <w:rsid w:val="007C0738"/>
    <w:rsid w:val="007C074D"/>
    <w:rsid w:val="007C09C4"/>
    <w:rsid w:val="007C0B8D"/>
    <w:rsid w:val="007C0D16"/>
    <w:rsid w:val="007C0D89"/>
    <w:rsid w:val="007C0D90"/>
    <w:rsid w:val="007C0E0F"/>
    <w:rsid w:val="007C0E27"/>
    <w:rsid w:val="007C0EE9"/>
    <w:rsid w:val="007C0FF7"/>
    <w:rsid w:val="007C116C"/>
    <w:rsid w:val="007C11C8"/>
    <w:rsid w:val="007C12F0"/>
    <w:rsid w:val="007C1367"/>
    <w:rsid w:val="007C13CA"/>
    <w:rsid w:val="007C1614"/>
    <w:rsid w:val="007C1689"/>
    <w:rsid w:val="007C16F8"/>
    <w:rsid w:val="007C1746"/>
    <w:rsid w:val="007C17F1"/>
    <w:rsid w:val="007C1894"/>
    <w:rsid w:val="007C19D6"/>
    <w:rsid w:val="007C1B60"/>
    <w:rsid w:val="007C1C48"/>
    <w:rsid w:val="007C1CE8"/>
    <w:rsid w:val="007C1D39"/>
    <w:rsid w:val="007C1E80"/>
    <w:rsid w:val="007C1E84"/>
    <w:rsid w:val="007C1EF1"/>
    <w:rsid w:val="007C1FEA"/>
    <w:rsid w:val="007C2097"/>
    <w:rsid w:val="007C2120"/>
    <w:rsid w:val="007C2153"/>
    <w:rsid w:val="007C225C"/>
    <w:rsid w:val="007C22A1"/>
    <w:rsid w:val="007C22B4"/>
    <w:rsid w:val="007C29CC"/>
    <w:rsid w:val="007C29FB"/>
    <w:rsid w:val="007C2A4C"/>
    <w:rsid w:val="007C2A59"/>
    <w:rsid w:val="007C2B12"/>
    <w:rsid w:val="007C2C7B"/>
    <w:rsid w:val="007C2CAD"/>
    <w:rsid w:val="007C2D1B"/>
    <w:rsid w:val="007C2E47"/>
    <w:rsid w:val="007C2E58"/>
    <w:rsid w:val="007C2EF7"/>
    <w:rsid w:val="007C2F06"/>
    <w:rsid w:val="007C2F5D"/>
    <w:rsid w:val="007C31A2"/>
    <w:rsid w:val="007C3275"/>
    <w:rsid w:val="007C37BF"/>
    <w:rsid w:val="007C388B"/>
    <w:rsid w:val="007C3991"/>
    <w:rsid w:val="007C3A11"/>
    <w:rsid w:val="007C3B9D"/>
    <w:rsid w:val="007C3C17"/>
    <w:rsid w:val="007C3DFE"/>
    <w:rsid w:val="007C3E50"/>
    <w:rsid w:val="007C3E58"/>
    <w:rsid w:val="007C3EAF"/>
    <w:rsid w:val="007C402C"/>
    <w:rsid w:val="007C4059"/>
    <w:rsid w:val="007C411A"/>
    <w:rsid w:val="007C4319"/>
    <w:rsid w:val="007C4359"/>
    <w:rsid w:val="007C43C1"/>
    <w:rsid w:val="007C447F"/>
    <w:rsid w:val="007C4636"/>
    <w:rsid w:val="007C4664"/>
    <w:rsid w:val="007C4B47"/>
    <w:rsid w:val="007C4BCB"/>
    <w:rsid w:val="007C4CCF"/>
    <w:rsid w:val="007C4D92"/>
    <w:rsid w:val="007C50EB"/>
    <w:rsid w:val="007C5199"/>
    <w:rsid w:val="007C5250"/>
    <w:rsid w:val="007C52C6"/>
    <w:rsid w:val="007C52CE"/>
    <w:rsid w:val="007C54E7"/>
    <w:rsid w:val="007C5537"/>
    <w:rsid w:val="007C55BD"/>
    <w:rsid w:val="007C572C"/>
    <w:rsid w:val="007C5733"/>
    <w:rsid w:val="007C57A8"/>
    <w:rsid w:val="007C57B5"/>
    <w:rsid w:val="007C5991"/>
    <w:rsid w:val="007C5AA6"/>
    <w:rsid w:val="007C5CB3"/>
    <w:rsid w:val="007C5EAF"/>
    <w:rsid w:val="007C5F43"/>
    <w:rsid w:val="007C5F94"/>
    <w:rsid w:val="007C61B6"/>
    <w:rsid w:val="007C624B"/>
    <w:rsid w:val="007C641F"/>
    <w:rsid w:val="007C64DA"/>
    <w:rsid w:val="007C6AE2"/>
    <w:rsid w:val="007C6D9C"/>
    <w:rsid w:val="007C6E0E"/>
    <w:rsid w:val="007C6F44"/>
    <w:rsid w:val="007C6FD5"/>
    <w:rsid w:val="007C7030"/>
    <w:rsid w:val="007C707B"/>
    <w:rsid w:val="007C7266"/>
    <w:rsid w:val="007C739F"/>
    <w:rsid w:val="007C743D"/>
    <w:rsid w:val="007C7659"/>
    <w:rsid w:val="007C77C8"/>
    <w:rsid w:val="007C7B02"/>
    <w:rsid w:val="007C7D37"/>
    <w:rsid w:val="007C7EA9"/>
    <w:rsid w:val="007C7EEA"/>
    <w:rsid w:val="007C7F61"/>
    <w:rsid w:val="007D001B"/>
    <w:rsid w:val="007D01BA"/>
    <w:rsid w:val="007D0240"/>
    <w:rsid w:val="007D026A"/>
    <w:rsid w:val="007D034E"/>
    <w:rsid w:val="007D0434"/>
    <w:rsid w:val="007D0527"/>
    <w:rsid w:val="007D0625"/>
    <w:rsid w:val="007D0692"/>
    <w:rsid w:val="007D06EB"/>
    <w:rsid w:val="007D0714"/>
    <w:rsid w:val="007D08A6"/>
    <w:rsid w:val="007D08C4"/>
    <w:rsid w:val="007D091C"/>
    <w:rsid w:val="007D093A"/>
    <w:rsid w:val="007D0B51"/>
    <w:rsid w:val="007D0D21"/>
    <w:rsid w:val="007D0D36"/>
    <w:rsid w:val="007D0E1B"/>
    <w:rsid w:val="007D0E5E"/>
    <w:rsid w:val="007D120F"/>
    <w:rsid w:val="007D1269"/>
    <w:rsid w:val="007D12A5"/>
    <w:rsid w:val="007D12A6"/>
    <w:rsid w:val="007D1492"/>
    <w:rsid w:val="007D1845"/>
    <w:rsid w:val="007D1B1A"/>
    <w:rsid w:val="007D1B4A"/>
    <w:rsid w:val="007D1C40"/>
    <w:rsid w:val="007D1CDF"/>
    <w:rsid w:val="007D1D6E"/>
    <w:rsid w:val="007D1FD8"/>
    <w:rsid w:val="007D2040"/>
    <w:rsid w:val="007D229F"/>
    <w:rsid w:val="007D236E"/>
    <w:rsid w:val="007D2428"/>
    <w:rsid w:val="007D25A4"/>
    <w:rsid w:val="007D25D0"/>
    <w:rsid w:val="007D2681"/>
    <w:rsid w:val="007D2AB9"/>
    <w:rsid w:val="007D2C05"/>
    <w:rsid w:val="007D2C31"/>
    <w:rsid w:val="007D2C7D"/>
    <w:rsid w:val="007D2D47"/>
    <w:rsid w:val="007D2E26"/>
    <w:rsid w:val="007D2E74"/>
    <w:rsid w:val="007D32D6"/>
    <w:rsid w:val="007D3401"/>
    <w:rsid w:val="007D3593"/>
    <w:rsid w:val="007D35CD"/>
    <w:rsid w:val="007D3720"/>
    <w:rsid w:val="007D39F9"/>
    <w:rsid w:val="007D3BB1"/>
    <w:rsid w:val="007D3C6E"/>
    <w:rsid w:val="007D3EF4"/>
    <w:rsid w:val="007D3F31"/>
    <w:rsid w:val="007D40E3"/>
    <w:rsid w:val="007D41C6"/>
    <w:rsid w:val="007D41E3"/>
    <w:rsid w:val="007D426D"/>
    <w:rsid w:val="007D4562"/>
    <w:rsid w:val="007D4572"/>
    <w:rsid w:val="007D4584"/>
    <w:rsid w:val="007D45CD"/>
    <w:rsid w:val="007D4613"/>
    <w:rsid w:val="007D46E0"/>
    <w:rsid w:val="007D4DEB"/>
    <w:rsid w:val="007D5082"/>
    <w:rsid w:val="007D5155"/>
    <w:rsid w:val="007D51D8"/>
    <w:rsid w:val="007D535E"/>
    <w:rsid w:val="007D57FD"/>
    <w:rsid w:val="007D58ED"/>
    <w:rsid w:val="007D58FD"/>
    <w:rsid w:val="007D5996"/>
    <w:rsid w:val="007D5A23"/>
    <w:rsid w:val="007D5BF4"/>
    <w:rsid w:val="007D60FD"/>
    <w:rsid w:val="007D61B0"/>
    <w:rsid w:val="007D623B"/>
    <w:rsid w:val="007D638F"/>
    <w:rsid w:val="007D6450"/>
    <w:rsid w:val="007D6644"/>
    <w:rsid w:val="007D66B3"/>
    <w:rsid w:val="007D6BA2"/>
    <w:rsid w:val="007D6C46"/>
    <w:rsid w:val="007D6C55"/>
    <w:rsid w:val="007D6C99"/>
    <w:rsid w:val="007D6F1C"/>
    <w:rsid w:val="007D72BD"/>
    <w:rsid w:val="007D73B0"/>
    <w:rsid w:val="007D7506"/>
    <w:rsid w:val="007D7631"/>
    <w:rsid w:val="007D769F"/>
    <w:rsid w:val="007D76CF"/>
    <w:rsid w:val="007D7757"/>
    <w:rsid w:val="007D78E8"/>
    <w:rsid w:val="007D78FA"/>
    <w:rsid w:val="007D79C1"/>
    <w:rsid w:val="007D7E18"/>
    <w:rsid w:val="007D7F8B"/>
    <w:rsid w:val="007E018E"/>
    <w:rsid w:val="007E0215"/>
    <w:rsid w:val="007E0234"/>
    <w:rsid w:val="007E0250"/>
    <w:rsid w:val="007E041F"/>
    <w:rsid w:val="007E052E"/>
    <w:rsid w:val="007E0570"/>
    <w:rsid w:val="007E05C0"/>
    <w:rsid w:val="007E07AB"/>
    <w:rsid w:val="007E0A03"/>
    <w:rsid w:val="007E0AEF"/>
    <w:rsid w:val="007E0B53"/>
    <w:rsid w:val="007E0BCC"/>
    <w:rsid w:val="007E0EEB"/>
    <w:rsid w:val="007E0F11"/>
    <w:rsid w:val="007E0F2A"/>
    <w:rsid w:val="007E1011"/>
    <w:rsid w:val="007E1083"/>
    <w:rsid w:val="007E11DF"/>
    <w:rsid w:val="007E12F8"/>
    <w:rsid w:val="007E13A2"/>
    <w:rsid w:val="007E1559"/>
    <w:rsid w:val="007E1619"/>
    <w:rsid w:val="007E171C"/>
    <w:rsid w:val="007E1825"/>
    <w:rsid w:val="007E191A"/>
    <w:rsid w:val="007E1C21"/>
    <w:rsid w:val="007E1CB2"/>
    <w:rsid w:val="007E1CB3"/>
    <w:rsid w:val="007E1CBF"/>
    <w:rsid w:val="007E1E07"/>
    <w:rsid w:val="007E20A7"/>
    <w:rsid w:val="007E22AE"/>
    <w:rsid w:val="007E2366"/>
    <w:rsid w:val="007E2797"/>
    <w:rsid w:val="007E27E9"/>
    <w:rsid w:val="007E2993"/>
    <w:rsid w:val="007E29BE"/>
    <w:rsid w:val="007E2BCB"/>
    <w:rsid w:val="007E2C0D"/>
    <w:rsid w:val="007E3113"/>
    <w:rsid w:val="007E3226"/>
    <w:rsid w:val="007E339E"/>
    <w:rsid w:val="007E33B7"/>
    <w:rsid w:val="007E3412"/>
    <w:rsid w:val="007E344C"/>
    <w:rsid w:val="007E35EB"/>
    <w:rsid w:val="007E375D"/>
    <w:rsid w:val="007E37DD"/>
    <w:rsid w:val="007E37F3"/>
    <w:rsid w:val="007E3B66"/>
    <w:rsid w:val="007E3B6D"/>
    <w:rsid w:val="007E3C3E"/>
    <w:rsid w:val="007E3C92"/>
    <w:rsid w:val="007E3E42"/>
    <w:rsid w:val="007E45E7"/>
    <w:rsid w:val="007E480C"/>
    <w:rsid w:val="007E4995"/>
    <w:rsid w:val="007E4B72"/>
    <w:rsid w:val="007E4C43"/>
    <w:rsid w:val="007E4EF6"/>
    <w:rsid w:val="007E519C"/>
    <w:rsid w:val="007E5326"/>
    <w:rsid w:val="007E5367"/>
    <w:rsid w:val="007E53CC"/>
    <w:rsid w:val="007E54A0"/>
    <w:rsid w:val="007E5834"/>
    <w:rsid w:val="007E592D"/>
    <w:rsid w:val="007E5B09"/>
    <w:rsid w:val="007E5BA4"/>
    <w:rsid w:val="007E5DF8"/>
    <w:rsid w:val="007E5F77"/>
    <w:rsid w:val="007E6032"/>
    <w:rsid w:val="007E60BC"/>
    <w:rsid w:val="007E60C5"/>
    <w:rsid w:val="007E61AF"/>
    <w:rsid w:val="007E6343"/>
    <w:rsid w:val="007E65C5"/>
    <w:rsid w:val="007E68AD"/>
    <w:rsid w:val="007E68E6"/>
    <w:rsid w:val="007E6ABD"/>
    <w:rsid w:val="007E6B09"/>
    <w:rsid w:val="007E6BE3"/>
    <w:rsid w:val="007E6C9C"/>
    <w:rsid w:val="007E6D7D"/>
    <w:rsid w:val="007E712C"/>
    <w:rsid w:val="007E71D7"/>
    <w:rsid w:val="007E7865"/>
    <w:rsid w:val="007E79C0"/>
    <w:rsid w:val="007E7AB3"/>
    <w:rsid w:val="007E7BB1"/>
    <w:rsid w:val="007E7D36"/>
    <w:rsid w:val="007E7DCE"/>
    <w:rsid w:val="007E7DD9"/>
    <w:rsid w:val="007E7E6D"/>
    <w:rsid w:val="007E7E90"/>
    <w:rsid w:val="007E7E94"/>
    <w:rsid w:val="007F014F"/>
    <w:rsid w:val="007F0191"/>
    <w:rsid w:val="007F0273"/>
    <w:rsid w:val="007F02D2"/>
    <w:rsid w:val="007F04BC"/>
    <w:rsid w:val="007F056A"/>
    <w:rsid w:val="007F0635"/>
    <w:rsid w:val="007F06C0"/>
    <w:rsid w:val="007F06D6"/>
    <w:rsid w:val="007F08C8"/>
    <w:rsid w:val="007F095B"/>
    <w:rsid w:val="007F0CD6"/>
    <w:rsid w:val="007F0E3E"/>
    <w:rsid w:val="007F1059"/>
    <w:rsid w:val="007F1082"/>
    <w:rsid w:val="007F10D7"/>
    <w:rsid w:val="007F1103"/>
    <w:rsid w:val="007F11B2"/>
    <w:rsid w:val="007F1213"/>
    <w:rsid w:val="007F1299"/>
    <w:rsid w:val="007F12F9"/>
    <w:rsid w:val="007F133B"/>
    <w:rsid w:val="007F13F0"/>
    <w:rsid w:val="007F14E1"/>
    <w:rsid w:val="007F160F"/>
    <w:rsid w:val="007F16F3"/>
    <w:rsid w:val="007F180E"/>
    <w:rsid w:val="007F190A"/>
    <w:rsid w:val="007F1B31"/>
    <w:rsid w:val="007F1B43"/>
    <w:rsid w:val="007F1B57"/>
    <w:rsid w:val="007F1C63"/>
    <w:rsid w:val="007F1EDC"/>
    <w:rsid w:val="007F20B2"/>
    <w:rsid w:val="007F21C4"/>
    <w:rsid w:val="007F2314"/>
    <w:rsid w:val="007F248A"/>
    <w:rsid w:val="007F2607"/>
    <w:rsid w:val="007F27EC"/>
    <w:rsid w:val="007F27F7"/>
    <w:rsid w:val="007F292F"/>
    <w:rsid w:val="007F29C5"/>
    <w:rsid w:val="007F2A3D"/>
    <w:rsid w:val="007F2B08"/>
    <w:rsid w:val="007F2BFD"/>
    <w:rsid w:val="007F2C77"/>
    <w:rsid w:val="007F2D00"/>
    <w:rsid w:val="007F2D84"/>
    <w:rsid w:val="007F2D9F"/>
    <w:rsid w:val="007F2F84"/>
    <w:rsid w:val="007F3183"/>
    <w:rsid w:val="007F326C"/>
    <w:rsid w:val="007F3285"/>
    <w:rsid w:val="007F3382"/>
    <w:rsid w:val="007F33C2"/>
    <w:rsid w:val="007F35DA"/>
    <w:rsid w:val="007F3633"/>
    <w:rsid w:val="007F386F"/>
    <w:rsid w:val="007F38AE"/>
    <w:rsid w:val="007F3916"/>
    <w:rsid w:val="007F3952"/>
    <w:rsid w:val="007F39E5"/>
    <w:rsid w:val="007F3ACF"/>
    <w:rsid w:val="007F3B29"/>
    <w:rsid w:val="007F3C02"/>
    <w:rsid w:val="007F3C09"/>
    <w:rsid w:val="007F3E0D"/>
    <w:rsid w:val="007F3FFE"/>
    <w:rsid w:val="007F41A3"/>
    <w:rsid w:val="007F426A"/>
    <w:rsid w:val="007F427C"/>
    <w:rsid w:val="007F47ED"/>
    <w:rsid w:val="007F4811"/>
    <w:rsid w:val="007F4823"/>
    <w:rsid w:val="007F4AB2"/>
    <w:rsid w:val="007F4C49"/>
    <w:rsid w:val="007F4C59"/>
    <w:rsid w:val="007F4D40"/>
    <w:rsid w:val="007F4F7A"/>
    <w:rsid w:val="007F4FB0"/>
    <w:rsid w:val="007F511F"/>
    <w:rsid w:val="007F527C"/>
    <w:rsid w:val="007F5340"/>
    <w:rsid w:val="007F53CE"/>
    <w:rsid w:val="007F55AB"/>
    <w:rsid w:val="007F568B"/>
    <w:rsid w:val="007F56EE"/>
    <w:rsid w:val="007F5989"/>
    <w:rsid w:val="007F59D7"/>
    <w:rsid w:val="007F59DB"/>
    <w:rsid w:val="007F5B01"/>
    <w:rsid w:val="007F5B71"/>
    <w:rsid w:val="007F5C24"/>
    <w:rsid w:val="007F5CC8"/>
    <w:rsid w:val="007F5DB1"/>
    <w:rsid w:val="007F5E3E"/>
    <w:rsid w:val="007F61A3"/>
    <w:rsid w:val="007F6992"/>
    <w:rsid w:val="007F6A72"/>
    <w:rsid w:val="007F6AB9"/>
    <w:rsid w:val="007F6AF7"/>
    <w:rsid w:val="007F6CE3"/>
    <w:rsid w:val="007F6D0E"/>
    <w:rsid w:val="007F6F49"/>
    <w:rsid w:val="007F70A5"/>
    <w:rsid w:val="007F71F9"/>
    <w:rsid w:val="007F75F6"/>
    <w:rsid w:val="007F771C"/>
    <w:rsid w:val="007F782C"/>
    <w:rsid w:val="007F79A2"/>
    <w:rsid w:val="007F7A72"/>
    <w:rsid w:val="007F7B4D"/>
    <w:rsid w:val="007F7C0A"/>
    <w:rsid w:val="007F7D0A"/>
    <w:rsid w:val="007F7DBB"/>
    <w:rsid w:val="00800264"/>
    <w:rsid w:val="00800364"/>
    <w:rsid w:val="0080042E"/>
    <w:rsid w:val="00800560"/>
    <w:rsid w:val="00800581"/>
    <w:rsid w:val="0080072F"/>
    <w:rsid w:val="008007D6"/>
    <w:rsid w:val="008007DB"/>
    <w:rsid w:val="008009AA"/>
    <w:rsid w:val="00800B64"/>
    <w:rsid w:val="00800B69"/>
    <w:rsid w:val="00800B96"/>
    <w:rsid w:val="00800C9B"/>
    <w:rsid w:val="00800DD5"/>
    <w:rsid w:val="00800FA3"/>
    <w:rsid w:val="00801075"/>
    <w:rsid w:val="0080116F"/>
    <w:rsid w:val="008013B0"/>
    <w:rsid w:val="008014B2"/>
    <w:rsid w:val="008015F4"/>
    <w:rsid w:val="0080164B"/>
    <w:rsid w:val="008016D5"/>
    <w:rsid w:val="008017D8"/>
    <w:rsid w:val="008017FC"/>
    <w:rsid w:val="00801A65"/>
    <w:rsid w:val="00801A72"/>
    <w:rsid w:val="00801A76"/>
    <w:rsid w:val="00801AB8"/>
    <w:rsid w:val="00801C8F"/>
    <w:rsid w:val="00801D0C"/>
    <w:rsid w:val="0080223B"/>
    <w:rsid w:val="00802360"/>
    <w:rsid w:val="008023D7"/>
    <w:rsid w:val="0080258D"/>
    <w:rsid w:val="0080266B"/>
    <w:rsid w:val="008026B9"/>
    <w:rsid w:val="00802905"/>
    <w:rsid w:val="00802AC4"/>
    <w:rsid w:val="00802E22"/>
    <w:rsid w:val="00802E43"/>
    <w:rsid w:val="00802E44"/>
    <w:rsid w:val="008030BD"/>
    <w:rsid w:val="008030D6"/>
    <w:rsid w:val="008030D9"/>
    <w:rsid w:val="0080355F"/>
    <w:rsid w:val="008035E2"/>
    <w:rsid w:val="008036AD"/>
    <w:rsid w:val="00803783"/>
    <w:rsid w:val="008037ED"/>
    <w:rsid w:val="00803937"/>
    <w:rsid w:val="008039B4"/>
    <w:rsid w:val="00803A27"/>
    <w:rsid w:val="00803AD4"/>
    <w:rsid w:val="00803AFC"/>
    <w:rsid w:val="00803D89"/>
    <w:rsid w:val="00803DA5"/>
    <w:rsid w:val="00803DF6"/>
    <w:rsid w:val="00803DF7"/>
    <w:rsid w:val="00803EFE"/>
    <w:rsid w:val="008041E4"/>
    <w:rsid w:val="0080422D"/>
    <w:rsid w:val="008042EA"/>
    <w:rsid w:val="00804374"/>
    <w:rsid w:val="00804481"/>
    <w:rsid w:val="008048C9"/>
    <w:rsid w:val="00804906"/>
    <w:rsid w:val="0080491F"/>
    <w:rsid w:val="0080494E"/>
    <w:rsid w:val="00804B45"/>
    <w:rsid w:val="00804DF8"/>
    <w:rsid w:val="00804F7F"/>
    <w:rsid w:val="00804FDE"/>
    <w:rsid w:val="00805014"/>
    <w:rsid w:val="008050C6"/>
    <w:rsid w:val="0080523A"/>
    <w:rsid w:val="00805291"/>
    <w:rsid w:val="008052A0"/>
    <w:rsid w:val="00805305"/>
    <w:rsid w:val="00805515"/>
    <w:rsid w:val="008055E4"/>
    <w:rsid w:val="008056D9"/>
    <w:rsid w:val="008057F1"/>
    <w:rsid w:val="0080585C"/>
    <w:rsid w:val="0080585D"/>
    <w:rsid w:val="00805983"/>
    <w:rsid w:val="008059C9"/>
    <w:rsid w:val="00805A19"/>
    <w:rsid w:val="00805BC0"/>
    <w:rsid w:val="00805DD5"/>
    <w:rsid w:val="00805E2A"/>
    <w:rsid w:val="00805F68"/>
    <w:rsid w:val="00806034"/>
    <w:rsid w:val="0080606F"/>
    <w:rsid w:val="008062E2"/>
    <w:rsid w:val="0080636E"/>
    <w:rsid w:val="008065D0"/>
    <w:rsid w:val="00806699"/>
    <w:rsid w:val="008066C4"/>
    <w:rsid w:val="008066C6"/>
    <w:rsid w:val="008066CD"/>
    <w:rsid w:val="0080670B"/>
    <w:rsid w:val="00806720"/>
    <w:rsid w:val="008069A8"/>
    <w:rsid w:val="00806B68"/>
    <w:rsid w:val="00806C78"/>
    <w:rsid w:val="00806D14"/>
    <w:rsid w:val="00806DE4"/>
    <w:rsid w:val="00806ECF"/>
    <w:rsid w:val="00806F85"/>
    <w:rsid w:val="00807010"/>
    <w:rsid w:val="0080709C"/>
    <w:rsid w:val="008072A3"/>
    <w:rsid w:val="008073A0"/>
    <w:rsid w:val="008075C8"/>
    <w:rsid w:val="0080762C"/>
    <w:rsid w:val="008076D9"/>
    <w:rsid w:val="00807727"/>
    <w:rsid w:val="00807851"/>
    <w:rsid w:val="0080787F"/>
    <w:rsid w:val="0080794B"/>
    <w:rsid w:val="00807AA7"/>
    <w:rsid w:val="00807B3B"/>
    <w:rsid w:val="00807C98"/>
    <w:rsid w:val="00807D91"/>
    <w:rsid w:val="00807E97"/>
    <w:rsid w:val="008101AC"/>
    <w:rsid w:val="0081026F"/>
    <w:rsid w:val="008102FD"/>
    <w:rsid w:val="008103B9"/>
    <w:rsid w:val="0081048E"/>
    <w:rsid w:val="00810575"/>
    <w:rsid w:val="008105B0"/>
    <w:rsid w:val="008105EC"/>
    <w:rsid w:val="0081064C"/>
    <w:rsid w:val="008106AB"/>
    <w:rsid w:val="008106E4"/>
    <w:rsid w:val="00810B4F"/>
    <w:rsid w:val="00810B5C"/>
    <w:rsid w:val="00810B8B"/>
    <w:rsid w:val="00810C44"/>
    <w:rsid w:val="00810DEC"/>
    <w:rsid w:val="00810E23"/>
    <w:rsid w:val="00810E6A"/>
    <w:rsid w:val="0081108F"/>
    <w:rsid w:val="008111A3"/>
    <w:rsid w:val="008112DF"/>
    <w:rsid w:val="008113FE"/>
    <w:rsid w:val="0081156E"/>
    <w:rsid w:val="00811709"/>
    <w:rsid w:val="0081176F"/>
    <w:rsid w:val="008119AD"/>
    <w:rsid w:val="00811A6A"/>
    <w:rsid w:val="00811BB8"/>
    <w:rsid w:val="00811C8A"/>
    <w:rsid w:val="00811D77"/>
    <w:rsid w:val="00811E49"/>
    <w:rsid w:val="00811FE0"/>
    <w:rsid w:val="0081209B"/>
    <w:rsid w:val="00812152"/>
    <w:rsid w:val="0081215E"/>
    <w:rsid w:val="008121AB"/>
    <w:rsid w:val="0081225E"/>
    <w:rsid w:val="0081229F"/>
    <w:rsid w:val="0081231C"/>
    <w:rsid w:val="00812336"/>
    <w:rsid w:val="00812344"/>
    <w:rsid w:val="0081235D"/>
    <w:rsid w:val="008123D6"/>
    <w:rsid w:val="008123EB"/>
    <w:rsid w:val="0081263D"/>
    <w:rsid w:val="0081268B"/>
    <w:rsid w:val="008128C5"/>
    <w:rsid w:val="00812936"/>
    <w:rsid w:val="00812AAA"/>
    <w:rsid w:val="00812AB4"/>
    <w:rsid w:val="00812B60"/>
    <w:rsid w:val="00812C66"/>
    <w:rsid w:val="008131E2"/>
    <w:rsid w:val="00813204"/>
    <w:rsid w:val="008132DD"/>
    <w:rsid w:val="008134DB"/>
    <w:rsid w:val="00813978"/>
    <w:rsid w:val="00813A9C"/>
    <w:rsid w:val="00813D3A"/>
    <w:rsid w:val="00813F01"/>
    <w:rsid w:val="00813F05"/>
    <w:rsid w:val="00813F81"/>
    <w:rsid w:val="008142ED"/>
    <w:rsid w:val="008143D9"/>
    <w:rsid w:val="00814841"/>
    <w:rsid w:val="0081493F"/>
    <w:rsid w:val="008149A3"/>
    <w:rsid w:val="00814AA7"/>
    <w:rsid w:val="00814AC7"/>
    <w:rsid w:val="00814BEB"/>
    <w:rsid w:val="00814C66"/>
    <w:rsid w:val="00814C9E"/>
    <w:rsid w:val="00814CDB"/>
    <w:rsid w:val="00814CE5"/>
    <w:rsid w:val="0081508A"/>
    <w:rsid w:val="008153DF"/>
    <w:rsid w:val="008153E4"/>
    <w:rsid w:val="0081550F"/>
    <w:rsid w:val="00815516"/>
    <w:rsid w:val="008157AA"/>
    <w:rsid w:val="008157D0"/>
    <w:rsid w:val="008157FC"/>
    <w:rsid w:val="00815855"/>
    <w:rsid w:val="00815968"/>
    <w:rsid w:val="008159E0"/>
    <w:rsid w:val="00815A07"/>
    <w:rsid w:val="00815A35"/>
    <w:rsid w:val="00815A8D"/>
    <w:rsid w:val="00815AA4"/>
    <w:rsid w:val="00815AEC"/>
    <w:rsid w:val="00815C45"/>
    <w:rsid w:val="00815EAD"/>
    <w:rsid w:val="00816087"/>
    <w:rsid w:val="008161A5"/>
    <w:rsid w:val="00816240"/>
    <w:rsid w:val="00816254"/>
    <w:rsid w:val="008162D3"/>
    <w:rsid w:val="0081630B"/>
    <w:rsid w:val="0081637C"/>
    <w:rsid w:val="00816415"/>
    <w:rsid w:val="008164BC"/>
    <w:rsid w:val="00816515"/>
    <w:rsid w:val="00816612"/>
    <w:rsid w:val="0081665D"/>
    <w:rsid w:val="008166DB"/>
    <w:rsid w:val="008166FD"/>
    <w:rsid w:val="0081682F"/>
    <w:rsid w:val="00816833"/>
    <w:rsid w:val="00816849"/>
    <w:rsid w:val="0081684A"/>
    <w:rsid w:val="00816850"/>
    <w:rsid w:val="008169A4"/>
    <w:rsid w:val="00816A19"/>
    <w:rsid w:val="00816ACD"/>
    <w:rsid w:val="00816ADD"/>
    <w:rsid w:val="00816AE7"/>
    <w:rsid w:val="00816C61"/>
    <w:rsid w:val="0081728F"/>
    <w:rsid w:val="008175E1"/>
    <w:rsid w:val="0081774D"/>
    <w:rsid w:val="00817923"/>
    <w:rsid w:val="008179C0"/>
    <w:rsid w:val="00817A0B"/>
    <w:rsid w:val="00817A33"/>
    <w:rsid w:val="00817A51"/>
    <w:rsid w:val="00817AD0"/>
    <w:rsid w:val="00817B59"/>
    <w:rsid w:val="00817C07"/>
    <w:rsid w:val="00817DC1"/>
    <w:rsid w:val="00817DF9"/>
    <w:rsid w:val="0082000B"/>
    <w:rsid w:val="008200DD"/>
    <w:rsid w:val="008200E7"/>
    <w:rsid w:val="008200F7"/>
    <w:rsid w:val="00820538"/>
    <w:rsid w:val="00820593"/>
    <w:rsid w:val="008207C6"/>
    <w:rsid w:val="00820929"/>
    <w:rsid w:val="00820CEE"/>
    <w:rsid w:val="00820D71"/>
    <w:rsid w:val="00820DA0"/>
    <w:rsid w:val="00821073"/>
    <w:rsid w:val="00821407"/>
    <w:rsid w:val="008214C5"/>
    <w:rsid w:val="00821599"/>
    <w:rsid w:val="00821625"/>
    <w:rsid w:val="00821659"/>
    <w:rsid w:val="0082165B"/>
    <w:rsid w:val="00821742"/>
    <w:rsid w:val="00821B7F"/>
    <w:rsid w:val="00821BB1"/>
    <w:rsid w:val="00821C16"/>
    <w:rsid w:val="00821CC8"/>
    <w:rsid w:val="00821CE7"/>
    <w:rsid w:val="00821D20"/>
    <w:rsid w:val="00821D7B"/>
    <w:rsid w:val="00821FD7"/>
    <w:rsid w:val="00821FFE"/>
    <w:rsid w:val="0082210B"/>
    <w:rsid w:val="008221BD"/>
    <w:rsid w:val="008224BA"/>
    <w:rsid w:val="00822724"/>
    <w:rsid w:val="00822750"/>
    <w:rsid w:val="00822834"/>
    <w:rsid w:val="008228C5"/>
    <w:rsid w:val="00822979"/>
    <w:rsid w:val="008229D1"/>
    <w:rsid w:val="00822A28"/>
    <w:rsid w:val="00822A79"/>
    <w:rsid w:val="00822A96"/>
    <w:rsid w:val="00822AAB"/>
    <w:rsid w:val="00822B39"/>
    <w:rsid w:val="00822B7D"/>
    <w:rsid w:val="00822F0A"/>
    <w:rsid w:val="00822F34"/>
    <w:rsid w:val="0082306E"/>
    <w:rsid w:val="00823252"/>
    <w:rsid w:val="00823275"/>
    <w:rsid w:val="00823352"/>
    <w:rsid w:val="008235F0"/>
    <w:rsid w:val="008237D4"/>
    <w:rsid w:val="00823C4B"/>
    <w:rsid w:val="00823D3F"/>
    <w:rsid w:val="00823D4C"/>
    <w:rsid w:val="00824025"/>
    <w:rsid w:val="0082403B"/>
    <w:rsid w:val="008240DC"/>
    <w:rsid w:val="00824157"/>
    <w:rsid w:val="008242DD"/>
    <w:rsid w:val="008242FE"/>
    <w:rsid w:val="0082438F"/>
    <w:rsid w:val="008246FD"/>
    <w:rsid w:val="00824966"/>
    <w:rsid w:val="008249C6"/>
    <w:rsid w:val="00824B6F"/>
    <w:rsid w:val="00824C0D"/>
    <w:rsid w:val="00824D51"/>
    <w:rsid w:val="00824E07"/>
    <w:rsid w:val="0082500F"/>
    <w:rsid w:val="008250CA"/>
    <w:rsid w:val="008250D4"/>
    <w:rsid w:val="00825102"/>
    <w:rsid w:val="008252AC"/>
    <w:rsid w:val="0082530E"/>
    <w:rsid w:val="008253BB"/>
    <w:rsid w:val="008253D5"/>
    <w:rsid w:val="00825459"/>
    <w:rsid w:val="0082548F"/>
    <w:rsid w:val="0082551F"/>
    <w:rsid w:val="00825539"/>
    <w:rsid w:val="00825551"/>
    <w:rsid w:val="008255D5"/>
    <w:rsid w:val="0082563D"/>
    <w:rsid w:val="0082566F"/>
    <w:rsid w:val="0082571A"/>
    <w:rsid w:val="00825771"/>
    <w:rsid w:val="00825832"/>
    <w:rsid w:val="008258A4"/>
    <w:rsid w:val="00825B56"/>
    <w:rsid w:val="00825BC6"/>
    <w:rsid w:val="00825C3D"/>
    <w:rsid w:val="00825CC9"/>
    <w:rsid w:val="00825DEA"/>
    <w:rsid w:val="00825E07"/>
    <w:rsid w:val="00825E71"/>
    <w:rsid w:val="00826073"/>
    <w:rsid w:val="00826089"/>
    <w:rsid w:val="008260B2"/>
    <w:rsid w:val="008261B4"/>
    <w:rsid w:val="00826235"/>
    <w:rsid w:val="00826327"/>
    <w:rsid w:val="0082639C"/>
    <w:rsid w:val="0082650A"/>
    <w:rsid w:val="008265CD"/>
    <w:rsid w:val="0082675B"/>
    <w:rsid w:val="008267B1"/>
    <w:rsid w:val="00826872"/>
    <w:rsid w:val="008268B6"/>
    <w:rsid w:val="00826914"/>
    <w:rsid w:val="00826934"/>
    <w:rsid w:val="00826B2D"/>
    <w:rsid w:val="00826C28"/>
    <w:rsid w:val="00826F16"/>
    <w:rsid w:val="00826F25"/>
    <w:rsid w:val="008270D8"/>
    <w:rsid w:val="008271DE"/>
    <w:rsid w:val="0082731F"/>
    <w:rsid w:val="00827435"/>
    <w:rsid w:val="00827687"/>
    <w:rsid w:val="00827729"/>
    <w:rsid w:val="00827EA6"/>
    <w:rsid w:val="00827F9B"/>
    <w:rsid w:val="00830005"/>
    <w:rsid w:val="00830129"/>
    <w:rsid w:val="00830307"/>
    <w:rsid w:val="00830399"/>
    <w:rsid w:val="0083043B"/>
    <w:rsid w:val="008304BD"/>
    <w:rsid w:val="008306B2"/>
    <w:rsid w:val="008309BA"/>
    <w:rsid w:val="008309BD"/>
    <w:rsid w:val="00830AFB"/>
    <w:rsid w:val="00830C57"/>
    <w:rsid w:val="00830DD5"/>
    <w:rsid w:val="00830DF3"/>
    <w:rsid w:val="008313DD"/>
    <w:rsid w:val="008315C4"/>
    <w:rsid w:val="008315CB"/>
    <w:rsid w:val="008315D4"/>
    <w:rsid w:val="00831962"/>
    <w:rsid w:val="008319F5"/>
    <w:rsid w:val="00831A19"/>
    <w:rsid w:val="00831A27"/>
    <w:rsid w:val="00831A34"/>
    <w:rsid w:val="00831AB9"/>
    <w:rsid w:val="00831B80"/>
    <w:rsid w:val="00831C81"/>
    <w:rsid w:val="00831C85"/>
    <w:rsid w:val="00831CA3"/>
    <w:rsid w:val="00831CD1"/>
    <w:rsid w:val="00831D19"/>
    <w:rsid w:val="00831DB0"/>
    <w:rsid w:val="00832285"/>
    <w:rsid w:val="00832305"/>
    <w:rsid w:val="00832390"/>
    <w:rsid w:val="008325AD"/>
    <w:rsid w:val="00832630"/>
    <w:rsid w:val="00832A4B"/>
    <w:rsid w:val="00832C45"/>
    <w:rsid w:val="00832C46"/>
    <w:rsid w:val="00832C78"/>
    <w:rsid w:val="00832D6C"/>
    <w:rsid w:val="00832E34"/>
    <w:rsid w:val="00832EB2"/>
    <w:rsid w:val="00832F08"/>
    <w:rsid w:val="00832F2E"/>
    <w:rsid w:val="00832FAE"/>
    <w:rsid w:val="0083308A"/>
    <w:rsid w:val="0083309C"/>
    <w:rsid w:val="00833140"/>
    <w:rsid w:val="0083320D"/>
    <w:rsid w:val="0083325F"/>
    <w:rsid w:val="0083331B"/>
    <w:rsid w:val="008333A1"/>
    <w:rsid w:val="00833570"/>
    <w:rsid w:val="00833786"/>
    <w:rsid w:val="00833A99"/>
    <w:rsid w:val="00833B53"/>
    <w:rsid w:val="00833B95"/>
    <w:rsid w:val="00833DEB"/>
    <w:rsid w:val="0083400C"/>
    <w:rsid w:val="008343DB"/>
    <w:rsid w:val="008344FA"/>
    <w:rsid w:val="00834511"/>
    <w:rsid w:val="00834535"/>
    <w:rsid w:val="008346DF"/>
    <w:rsid w:val="00834A0B"/>
    <w:rsid w:val="00834B3B"/>
    <w:rsid w:val="00834B6C"/>
    <w:rsid w:val="00834CD8"/>
    <w:rsid w:val="00834CDA"/>
    <w:rsid w:val="00834EC0"/>
    <w:rsid w:val="00834F37"/>
    <w:rsid w:val="00834F8F"/>
    <w:rsid w:val="00835031"/>
    <w:rsid w:val="00835072"/>
    <w:rsid w:val="008350F3"/>
    <w:rsid w:val="00835127"/>
    <w:rsid w:val="008351A8"/>
    <w:rsid w:val="00835248"/>
    <w:rsid w:val="008352CF"/>
    <w:rsid w:val="008354C7"/>
    <w:rsid w:val="008355F5"/>
    <w:rsid w:val="00835615"/>
    <w:rsid w:val="008356CE"/>
    <w:rsid w:val="0083582D"/>
    <w:rsid w:val="008358A3"/>
    <w:rsid w:val="008358C8"/>
    <w:rsid w:val="008358CA"/>
    <w:rsid w:val="0083593D"/>
    <w:rsid w:val="00835A52"/>
    <w:rsid w:val="00835C7E"/>
    <w:rsid w:val="00835F44"/>
    <w:rsid w:val="0083614B"/>
    <w:rsid w:val="00836183"/>
    <w:rsid w:val="00836204"/>
    <w:rsid w:val="0083622D"/>
    <w:rsid w:val="008365E1"/>
    <w:rsid w:val="008369C4"/>
    <w:rsid w:val="00836A3C"/>
    <w:rsid w:val="00836B1E"/>
    <w:rsid w:val="00836B4A"/>
    <w:rsid w:val="00836B74"/>
    <w:rsid w:val="00837101"/>
    <w:rsid w:val="00837311"/>
    <w:rsid w:val="00837319"/>
    <w:rsid w:val="00837833"/>
    <w:rsid w:val="00837865"/>
    <w:rsid w:val="0083797E"/>
    <w:rsid w:val="00837A2A"/>
    <w:rsid w:val="00837B37"/>
    <w:rsid w:val="00837CC7"/>
    <w:rsid w:val="00837CEC"/>
    <w:rsid w:val="00837D37"/>
    <w:rsid w:val="00837DA8"/>
    <w:rsid w:val="00837E30"/>
    <w:rsid w:val="00837E93"/>
    <w:rsid w:val="00837F9E"/>
    <w:rsid w:val="00837FCD"/>
    <w:rsid w:val="00837FE0"/>
    <w:rsid w:val="00840085"/>
    <w:rsid w:val="008401E1"/>
    <w:rsid w:val="008402B0"/>
    <w:rsid w:val="00840410"/>
    <w:rsid w:val="008404D8"/>
    <w:rsid w:val="00840554"/>
    <w:rsid w:val="0084058E"/>
    <w:rsid w:val="00840606"/>
    <w:rsid w:val="00840A1F"/>
    <w:rsid w:val="00840A27"/>
    <w:rsid w:val="00840E1C"/>
    <w:rsid w:val="00840E22"/>
    <w:rsid w:val="00840EBB"/>
    <w:rsid w:val="008410A6"/>
    <w:rsid w:val="008410FE"/>
    <w:rsid w:val="008411C1"/>
    <w:rsid w:val="0084125B"/>
    <w:rsid w:val="008414FF"/>
    <w:rsid w:val="00841507"/>
    <w:rsid w:val="00841562"/>
    <w:rsid w:val="0084156F"/>
    <w:rsid w:val="008417AC"/>
    <w:rsid w:val="008418AC"/>
    <w:rsid w:val="00841E44"/>
    <w:rsid w:val="00841EB1"/>
    <w:rsid w:val="00841F2C"/>
    <w:rsid w:val="00841FB5"/>
    <w:rsid w:val="00841FCE"/>
    <w:rsid w:val="0084209E"/>
    <w:rsid w:val="008421CB"/>
    <w:rsid w:val="00842225"/>
    <w:rsid w:val="0084250D"/>
    <w:rsid w:val="008425BC"/>
    <w:rsid w:val="008427DD"/>
    <w:rsid w:val="0084283C"/>
    <w:rsid w:val="0084283F"/>
    <w:rsid w:val="008428D3"/>
    <w:rsid w:val="008429E6"/>
    <w:rsid w:val="00842A11"/>
    <w:rsid w:val="00842A2B"/>
    <w:rsid w:val="00842ADE"/>
    <w:rsid w:val="00842C04"/>
    <w:rsid w:val="00842C90"/>
    <w:rsid w:val="00842F3C"/>
    <w:rsid w:val="0084305C"/>
    <w:rsid w:val="0084306C"/>
    <w:rsid w:val="00843101"/>
    <w:rsid w:val="00843203"/>
    <w:rsid w:val="00843286"/>
    <w:rsid w:val="008432DE"/>
    <w:rsid w:val="00843593"/>
    <w:rsid w:val="00843614"/>
    <w:rsid w:val="0084368F"/>
    <w:rsid w:val="00843718"/>
    <w:rsid w:val="00843733"/>
    <w:rsid w:val="0084393B"/>
    <w:rsid w:val="00843A12"/>
    <w:rsid w:val="00843AB8"/>
    <w:rsid w:val="00843C13"/>
    <w:rsid w:val="00843C3D"/>
    <w:rsid w:val="00843E20"/>
    <w:rsid w:val="00843E7E"/>
    <w:rsid w:val="00843FAE"/>
    <w:rsid w:val="00844403"/>
    <w:rsid w:val="0084440D"/>
    <w:rsid w:val="0084442B"/>
    <w:rsid w:val="008444BC"/>
    <w:rsid w:val="0084452D"/>
    <w:rsid w:val="008445C5"/>
    <w:rsid w:val="00844625"/>
    <w:rsid w:val="00844647"/>
    <w:rsid w:val="00844728"/>
    <w:rsid w:val="00844729"/>
    <w:rsid w:val="008447F5"/>
    <w:rsid w:val="008448A8"/>
    <w:rsid w:val="0084491E"/>
    <w:rsid w:val="00844CAC"/>
    <w:rsid w:val="00844DA8"/>
    <w:rsid w:val="00844E8E"/>
    <w:rsid w:val="00844F21"/>
    <w:rsid w:val="00844F61"/>
    <w:rsid w:val="00844F88"/>
    <w:rsid w:val="00845020"/>
    <w:rsid w:val="0084503A"/>
    <w:rsid w:val="00845177"/>
    <w:rsid w:val="00845202"/>
    <w:rsid w:val="00845605"/>
    <w:rsid w:val="0084566E"/>
    <w:rsid w:val="00845713"/>
    <w:rsid w:val="0084571D"/>
    <w:rsid w:val="008457B8"/>
    <w:rsid w:val="008458DD"/>
    <w:rsid w:val="008458E7"/>
    <w:rsid w:val="0084594B"/>
    <w:rsid w:val="00845A6E"/>
    <w:rsid w:val="00845D6D"/>
    <w:rsid w:val="00845DA3"/>
    <w:rsid w:val="00845F03"/>
    <w:rsid w:val="008462CE"/>
    <w:rsid w:val="00846352"/>
    <w:rsid w:val="00846382"/>
    <w:rsid w:val="00846488"/>
    <w:rsid w:val="0084653B"/>
    <w:rsid w:val="00846942"/>
    <w:rsid w:val="00846ABA"/>
    <w:rsid w:val="00846C40"/>
    <w:rsid w:val="00846C87"/>
    <w:rsid w:val="00846CAF"/>
    <w:rsid w:val="00846CD1"/>
    <w:rsid w:val="00846D33"/>
    <w:rsid w:val="00846EB9"/>
    <w:rsid w:val="008470CE"/>
    <w:rsid w:val="00847186"/>
    <w:rsid w:val="0084719C"/>
    <w:rsid w:val="00847353"/>
    <w:rsid w:val="00847355"/>
    <w:rsid w:val="008473E5"/>
    <w:rsid w:val="00847567"/>
    <w:rsid w:val="00847616"/>
    <w:rsid w:val="0084784A"/>
    <w:rsid w:val="00847871"/>
    <w:rsid w:val="00847934"/>
    <w:rsid w:val="00847A67"/>
    <w:rsid w:val="00847ADC"/>
    <w:rsid w:val="00847B20"/>
    <w:rsid w:val="00847B38"/>
    <w:rsid w:val="00847BF6"/>
    <w:rsid w:val="00847CD0"/>
    <w:rsid w:val="00847CEB"/>
    <w:rsid w:val="00847D08"/>
    <w:rsid w:val="00847E3D"/>
    <w:rsid w:val="00847EC4"/>
    <w:rsid w:val="00847ECB"/>
    <w:rsid w:val="00847ED4"/>
    <w:rsid w:val="00847FA1"/>
    <w:rsid w:val="00847FC7"/>
    <w:rsid w:val="00850093"/>
    <w:rsid w:val="00850172"/>
    <w:rsid w:val="0085020B"/>
    <w:rsid w:val="008503F5"/>
    <w:rsid w:val="00850447"/>
    <w:rsid w:val="0085057C"/>
    <w:rsid w:val="00850736"/>
    <w:rsid w:val="00850888"/>
    <w:rsid w:val="008508C8"/>
    <w:rsid w:val="00850CFD"/>
    <w:rsid w:val="00850ED0"/>
    <w:rsid w:val="00850FA8"/>
    <w:rsid w:val="00851131"/>
    <w:rsid w:val="008512BA"/>
    <w:rsid w:val="008513CD"/>
    <w:rsid w:val="008514BA"/>
    <w:rsid w:val="008514E5"/>
    <w:rsid w:val="008515D8"/>
    <w:rsid w:val="00851607"/>
    <w:rsid w:val="00851670"/>
    <w:rsid w:val="008517FF"/>
    <w:rsid w:val="008518BD"/>
    <w:rsid w:val="00851990"/>
    <w:rsid w:val="00851A07"/>
    <w:rsid w:val="00851AC7"/>
    <w:rsid w:val="00851B1A"/>
    <w:rsid w:val="00851B5F"/>
    <w:rsid w:val="00851C12"/>
    <w:rsid w:val="00851C89"/>
    <w:rsid w:val="00851CC6"/>
    <w:rsid w:val="00851D8D"/>
    <w:rsid w:val="00851DFB"/>
    <w:rsid w:val="00851ED8"/>
    <w:rsid w:val="00851F60"/>
    <w:rsid w:val="00851F79"/>
    <w:rsid w:val="00852137"/>
    <w:rsid w:val="008522C3"/>
    <w:rsid w:val="00852355"/>
    <w:rsid w:val="008523F5"/>
    <w:rsid w:val="00852522"/>
    <w:rsid w:val="008525C6"/>
    <w:rsid w:val="008525DA"/>
    <w:rsid w:val="00852774"/>
    <w:rsid w:val="0085287E"/>
    <w:rsid w:val="008528A7"/>
    <w:rsid w:val="008528F9"/>
    <w:rsid w:val="00852A79"/>
    <w:rsid w:val="00852B3E"/>
    <w:rsid w:val="00852B5F"/>
    <w:rsid w:val="00852BDC"/>
    <w:rsid w:val="00852C2C"/>
    <w:rsid w:val="00852C2F"/>
    <w:rsid w:val="00852CDA"/>
    <w:rsid w:val="00852D0C"/>
    <w:rsid w:val="00852F24"/>
    <w:rsid w:val="008530F6"/>
    <w:rsid w:val="00853314"/>
    <w:rsid w:val="008533CD"/>
    <w:rsid w:val="008534FB"/>
    <w:rsid w:val="00853553"/>
    <w:rsid w:val="00853788"/>
    <w:rsid w:val="008537C8"/>
    <w:rsid w:val="008538BA"/>
    <w:rsid w:val="008538CC"/>
    <w:rsid w:val="008539B4"/>
    <w:rsid w:val="00853CA6"/>
    <w:rsid w:val="00853CD2"/>
    <w:rsid w:val="00853F0E"/>
    <w:rsid w:val="00853FB6"/>
    <w:rsid w:val="00854323"/>
    <w:rsid w:val="00854538"/>
    <w:rsid w:val="00854672"/>
    <w:rsid w:val="0085478B"/>
    <w:rsid w:val="0085482A"/>
    <w:rsid w:val="008548EC"/>
    <w:rsid w:val="00854950"/>
    <w:rsid w:val="0085499B"/>
    <w:rsid w:val="00854B1C"/>
    <w:rsid w:val="00854B1F"/>
    <w:rsid w:val="00854CE7"/>
    <w:rsid w:val="00854D23"/>
    <w:rsid w:val="00854E6C"/>
    <w:rsid w:val="00854F8C"/>
    <w:rsid w:val="0085509D"/>
    <w:rsid w:val="008550A0"/>
    <w:rsid w:val="008550A5"/>
    <w:rsid w:val="0085535B"/>
    <w:rsid w:val="00855381"/>
    <w:rsid w:val="008553F6"/>
    <w:rsid w:val="00855403"/>
    <w:rsid w:val="0085553C"/>
    <w:rsid w:val="008555DA"/>
    <w:rsid w:val="0085572B"/>
    <w:rsid w:val="0085574D"/>
    <w:rsid w:val="0085578C"/>
    <w:rsid w:val="0085592C"/>
    <w:rsid w:val="008559F0"/>
    <w:rsid w:val="00855A14"/>
    <w:rsid w:val="00855A9C"/>
    <w:rsid w:val="00855C12"/>
    <w:rsid w:val="008561D4"/>
    <w:rsid w:val="00856201"/>
    <w:rsid w:val="00856235"/>
    <w:rsid w:val="0085635E"/>
    <w:rsid w:val="008565E7"/>
    <w:rsid w:val="00856604"/>
    <w:rsid w:val="0085666A"/>
    <w:rsid w:val="0085676F"/>
    <w:rsid w:val="00856875"/>
    <w:rsid w:val="00856AD0"/>
    <w:rsid w:val="00856BB9"/>
    <w:rsid w:val="00856E72"/>
    <w:rsid w:val="00856FF1"/>
    <w:rsid w:val="00857030"/>
    <w:rsid w:val="0085737D"/>
    <w:rsid w:val="00857423"/>
    <w:rsid w:val="0085746C"/>
    <w:rsid w:val="0085749B"/>
    <w:rsid w:val="00857621"/>
    <w:rsid w:val="00857687"/>
    <w:rsid w:val="008576DF"/>
    <w:rsid w:val="00857805"/>
    <w:rsid w:val="008578CE"/>
    <w:rsid w:val="008579C5"/>
    <w:rsid w:val="00857A34"/>
    <w:rsid w:val="00857AB5"/>
    <w:rsid w:val="00857DDB"/>
    <w:rsid w:val="00860339"/>
    <w:rsid w:val="0086041D"/>
    <w:rsid w:val="008606AF"/>
    <w:rsid w:val="008609F7"/>
    <w:rsid w:val="00860B4F"/>
    <w:rsid w:val="00860C67"/>
    <w:rsid w:val="00860C94"/>
    <w:rsid w:val="00860D06"/>
    <w:rsid w:val="00860D64"/>
    <w:rsid w:val="00860DF8"/>
    <w:rsid w:val="008610C6"/>
    <w:rsid w:val="008611D9"/>
    <w:rsid w:val="008611EE"/>
    <w:rsid w:val="008613C6"/>
    <w:rsid w:val="00861438"/>
    <w:rsid w:val="008614D9"/>
    <w:rsid w:val="00861626"/>
    <w:rsid w:val="008616E4"/>
    <w:rsid w:val="0086190D"/>
    <w:rsid w:val="0086192B"/>
    <w:rsid w:val="008619BA"/>
    <w:rsid w:val="00861D14"/>
    <w:rsid w:val="00861D6A"/>
    <w:rsid w:val="00861D89"/>
    <w:rsid w:val="00861F5E"/>
    <w:rsid w:val="0086221D"/>
    <w:rsid w:val="0086223C"/>
    <w:rsid w:val="00862450"/>
    <w:rsid w:val="00862594"/>
    <w:rsid w:val="00862600"/>
    <w:rsid w:val="00862653"/>
    <w:rsid w:val="00862655"/>
    <w:rsid w:val="008626F4"/>
    <w:rsid w:val="0086270F"/>
    <w:rsid w:val="008627BD"/>
    <w:rsid w:val="008628BD"/>
    <w:rsid w:val="00862CAD"/>
    <w:rsid w:val="00862D36"/>
    <w:rsid w:val="00862D3B"/>
    <w:rsid w:val="00862F8C"/>
    <w:rsid w:val="0086317A"/>
    <w:rsid w:val="008633B1"/>
    <w:rsid w:val="00863488"/>
    <w:rsid w:val="0086358B"/>
    <w:rsid w:val="0086360A"/>
    <w:rsid w:val="00863708"/>
    <w:rsid w:val="00863822"/>
    <w:rsid w:val="00863870"/>
    <w:rsid w:val="00863899"/>
    <w:rsid w:val="00863955"/>
    <w:rsid w:val="00863A34"/>
    <w:rsid w:val="00863A3C"/>
    <w:rsid w:val="00863BC2"/>
    <w:rsid w:val="00863D4A"/>
    <w:rsid w:val="00863D83"/>
    <w:rsid w:val="00863FA8"/>
    <w:rsid w:val="00863FB5"/>
    <w:rsid w:val="00864079"/>
    <w:rsid w:val="00864133"/>
    <w:rsid w:val="008641E7"/>
    <w:rsid w:val="008645E3"/>
    <w:rsid w:val="00864852"/>
    <w:rsid w:val="00864923"/>
    <w:rsid w:val="00864A3F"/>
    <w:rsid w:val="00864BF0"/>
    <w:rsid w:val="00864CF6"/>
    <w:rsid w:val="00864E35"/>
    <w:rsid w:val="00865267"/>
    <w:rsid w:val="008652C3"/>
    <w:rsid w:val="00865313"/>
    <w:rsid w:val="0086543C"/>
    <w:rsid w:val="008654C5"/>
    <w:rsid w:val="0086565A"/>
    <w:rsid w:val="008657FB"/>
    <w:rsid w:val="0086594E"/>
    <w:rsid w:val="0086595A"/>
    <w:rsid w:val="00865BB0"/>
    <w:rsid w:val="00865C5B"/>
    <w:rsid w:val="00865D5C"/>
    <w:rsid w:val="00866025"/>
    <w:rsid w:val="008661FC"/>
    <w:rsid w:val="00866422"/>
    <w:rsid w:val="00866475"/>
    <w:rsid w:val="008664F8"/>
    <w:rsid w:val="0086667B"/>
    <w:rsid w:val="008666B0"/>
    <w:rsid w:val="00866980"/>
    <w:rsid w:val="008669CC"/>
    <w:rsid w:val="00866AA4"/>
    <w:rsid w:val="00866B83"/>
    <w:rsid w:val="00866C37"/>
    <w:rsid w:val="00866C53"/>
    <w:rsid w:val="00866D86"/>
    <w:rsid w:val="00866DA8"/>
    <w:rsid w:val="00866FA6"/>
    <w:rsid w:val="008671AF"/>
    <w:rsid w:val="008673B0"/>
    <w:rsid w:val="0086745A"/>
    <w:rsid w:val="00867507"/>
    <w:rsid w:val="008676C5"/>
    <w:rsid w:val="0086775B"/>
    <w:rsid w:val="008679D1"/>
    <w:rsid w:val="00867A70"/>
    <w:rsid w:val="00867F35"/>
    <w:rsid w:val="00867FF4"/>
    <w:rsid w:val="008701E3"/>
    <w:rsid w:val="008701FA"/>
    <w:rsid w:val="0087020F"/>
    <w:rsid w:val="00870373"/>
    <w:rsid w:val="0087046B"/>
    <w:rsid w:val="008705CF"/>
    <w:rsid w:val="00870614"/>
    <w:rsid w:val="00870630"/>
    <w:rsid w:val="00870883"/>
    <w:rsid w:val="008708E8"/>
    <w:rsid w:val="00870921"/>
    <w:rsid w:val="00870A10"/>
    <w:rsid w:val="00870A1A"/>
    <w:rsid w:val="00870AC0"/>
    <w:rsid w:val="00870BC5"/>
    <w:rsid w:val="00870CBB"/>
    <w:rsid w:val="00870CF3"/>
    <w:rsid w:val="00870D82"/>
    <w:rsid w:val="0087102B"/>
    <w:rsid w:val="008710B3"/>
    <w:rsid w:val="0087114B"/>
    <w:rsid w:val="0087120B"/>
    <w:rsid w:val="0087128F"/>
    <w:rsid w:val="00871358"/>
    <w:rsid w:val="008713DD"/>
    <w:rsid w:val="008714B3"/>
    <w:rsid w:val="008715FE"/>
    <w:rsid w:val="00871655"/>
    <w:rsid w:val="008716E4"/>
    <w:rsid w:val="00871936"/>
    <w:rsid w:val="00871CA0"/>
    <w:rsid w:val="00871D70"/>
    <w:rsid w:val="00871E6E"/>
    <w:rsid w:val="00871F6C"/>
    <w:rsid w:val="00871FDE"/>
    <w:rsid w:val="00871FF0"/>
    <w:rsid w:val="008720E4"/>
    <w:rsid w:val="00872204"/>
    <w:rsid w:val="00872213"/>
    <w:rsid w:val="0087222C"/>
    <w:rsid w:val="00872235"/>
    <w:rsid w:val="008722DD"/>
    <w:rsid w:val="00872517"/>
    <w:rsid w:val="008725FA"/>
    <w:rsid w:val="008726F0"/>
    <w:rsid w:val="00872C11"/>
    <w:rsid w:val="00872C78"/>
    <w:rsid w:val="00872E7E"/>
    <w:rsid w:val="00872EE4"/>
    <w:rsid w:val="00872F52"/>
    <w:rsid w:val="00872FA7"/>
    <w:rsid w:val="0087304D"/>
    <w:rsid w:val="008730A3"/>
    <w:rsid w:val="008730B6"/>
    <w:rsid w:val="008731DA"/>
    <w:rsid w:val="00873297"/>
    <w:rsid w:val="00873345"/>
    <w:rsid w:val="008734D5"/>
    <w:rsid w:val="0087367A"/>
    <w:rsid w:val="008737C1"/>
    <w:rsid w:val="00873A56"/>
    <w:rsid w:val="00873B0E"/>
    <w:rsid w:val="00873BAF"/>
    <w:rsid w:val="00873BCD"/>
    <w:rsid w:val="00873C36"/>
    <w:rsid w:val="00873DC4"/>
    <w:rsid w:val="00873E73"/>
    <w:rsid w:val="00873EC1"/>
    <w:rsid w:val="00873FA0"/>
    <w:rsid w:val="0087410A"/>
    <w:rsid w:val="008741D9"/>
    <w:rsid w:val="00874355"/>
    <w:rsid w:val="008743EB"/>
    <w:rsid w:val="008744CF"/>
    <w:rsid w:val="008745BF"/>
    <w:rsid w:val="00874647"/>
    <w:rsid w:val="00874882"/>
    <w:rsid w:val="008748D2"/>
    <w:rsid w:val="00874A6E"/>
    <w:rsid w:val="00874D9B"/>
    <w:rsid w:val="00874DDC"/>
    <w:rsid w:val="00874DE1"/>
    <w:rsid w:val="00874E88"/>
    <w:rsid w:val="00874F60"/>
    <w:rsid w:val="0087502C"/>
    <w:rsid w:val="00875068"/>
    <w:rsid w:val="008751B0"/>
    <w:rsid w:val="0087545D"/>
    <w:rsid w:val="00875660"/>
    <w:rsid w:val="00875712"/>
    <w:rsid w:val="008757C8"/>
    <w:rsid w:val="008758AB"/>
    <w:rsid w:val="00875A1F"/>
    <w:rsid w:val="00875A20"/>
    <w:rsid w:val="00875B55"/>
    <w:rsid w:val="00875C66"/>
    <w:rsid w:val="00875CF9"/>
    <w:rsid w:val="00875FF2"/>
    <w:rsid w:val="00876075"/>
    <w:rsid w:val="008760D3"/>
    <w:rsid w:val="0087639D"/>
    <w:rsid w:val="0087664E"/>
    <w:rsid w:val="00876654"/>
    <w:rsid w:val="00876766"/>
    <w:rsid w:val="0087685A"/>
    <w:rsid w:val="008769C0"/>
    <w:rsid w:val="00876A87"/>
    <w:rsid w:val="00876B17"/>
    <w:rsid w:val="00876CA9"/>
    <w:rsid w:val="00876CDE"/>
    <w:rsid w:val="00876D20"/>
    <w:rsid w:val="00876D4F"/>
    <w:rsid w:val="00876D8F"/>
    <w:rsid w:val="00876DFC"/>
    <w:rsid w:val="00876E3F"/>
    <w:rsid w:val="00877097"/>
    <w:rsid w:val="0087714D"/>
    <w:rsid w:val="008772FF"/>
    <w:rsid w:val="0087731E"/>
    <w:rsid w:val="0087743D"/>
    <w:rsid w:val="008775ED"/>
    <w:rsid w:val="008775FC"/>
    <w:rsid w:val="0087787D"/>
    <w:rsid w:val="00877B33"/>
    <w:rsid w:val="00877C1C"/>
    <w:rsid w:val="00877C4B"/>
    <w:rsid w:val="00877D29"/>
    <w:rsid w:val="00877DAE"/>
    <w:rsid w:val="00877E27"/>
    <w:rsid w:val="00877E3D"/>
    <w:rsid w:val="00877E92"/>
    <w:rsid w:val="00877EA4"/>
    <w:rsid w:val="00877EBC"/>
    <w:rsid w:val="00877F7E"/>
    <w:rsid w:val="0088002D"/>
    <w:rsid w:val="0088015D"/>
    <w:rsid w:val="008802C5"/>
    <w:rsid w:val="00880369"/>
    <w:rsid w:val="0088048B"/>
    <w:rsid w:val="00880519"/>
    <w:rsid w:val="008805A7"/>
    <w:rsid w:val="0088060E"/>
    <w:rsid w:val="0088063D"/>
    <w:rsid w:val="0088066B"/>
    <w:rsid w:val="00880697"/>
    <w:rsid w:val="00880721"/>
    <w:rsid w:val="008807A7"/>
    <w:rsid w:val="008807EF"/>
    <w:rsid w:val="00880937"/>
    <w:rsid w:val="0088093B"/>
    <w:rsid w:val="0088094F"/>
    <w:rsid w:val="00880A10"/>
    <w:rsid w:val="00880B38"/>
    <w:rsid w:val="00880C86"/>
    <w:rsid w:val="00880EF4"/>
    <w:rsid w:val="008810B8"/>
    <w:rsid w:val="008815F5"/>
    <w:rsid w:val="0088164F"/>
    <w:rsid w:val="00881685"/>
    <w:rsid w:val="008817F5"/>
    <w:rsid w:val="0088183C"/>
    <w:rsid w:val="0088186B"/>
    <w:rsid w:val="00881918"/>
    <w:rsid w:val="00881A1A"/>
    <w:rsid w:val="00881A9A"/>
    <w:rsid w:val="00881B76"/>
    <w:rsid w:val="00881BBD"/>
    <w:rsid w:val="00881D98"/>
    <w:rsid w:val="00881E38"/>
    <w:rsid w:val="00881E6F"/>
    <w:rsid w:val="00881FE6"/>
    <w:rsid w:val="0088201A"/>
    <w:rsid w:val="0088220F"/>
    <w:rsid w:val="008823D5"/>
    <w:rsid w:val="008823F4"/>
    <w:rsid w:val="0088259D"/>
    <w:rsid w:val="00882676"/>
    <w:rsid w:val="0088270F"/>
    <w:rsid w:val="00882C63"/>
    <w:rsid w:val="00882F0A"/>
    <w:rsid w:val="00882F37"/>
    <w:rsid w:val="00883010"/>
    <w:rsid w:val="00883099"/>
    <w:rsid w:val="00883272"/>
    <w:rsid w:val="008832ED"/>
    <w:rsid w:val="0088343F"/>
    <w:rsid w:val="008834A1"/>
    <w:rsid w:val="0088365E"/>
    <w:rsid w:val="00883896"/>
    <w:rsid w:val="00883D1A"/>
    <w:rsid w:val="00883E74"/>
    <w:rsid w:val="00883FC4"/>
    <w:rsid w:val="00884425"/>
    <w:rsid w:val="0088448D"/>
    <w:rsid w:val="00884522"/>
    <w:rsid w:val="008847F0"/>
    <w:rsid w:val="00884B11"/>
    <w:rsid w:val="00884B5D"/>
    <w:rsid w:val="00884BC7"/>
    <w:rsid w:val="00884C77"/>
    <w:rsid w:val="00884E65"/>
    <w:rsid w:val="00884EA5"/>
    <w:rsid w:val="00884FAC"/>
    <w:rsid w:val="00884FF9"/>
    <w:rsid w:val="008851AC"/>
    <w:rsid w:val="008851F0"/>
    <w:rsid w:val="00885204"/>
    <w:rsid w:val="00885292"/>
    <w:rsid w:val="008852E3"/>
    <w:rsid w:val="008853D4"/>
    <w:rsid w:val="00885533"/>
    <w:rsid w:val="0088555C"/>
    <w:rsid w:val="0088559D"/>
    <w:rsid w:val="00885706"/>
    <w:rsid w:val="00885913"/>
    <w:rsid w:val="00885A0D"/>
    <w:rsid w:val="00885A9F"/>
    <w:rsid w:val="00885ADA"/>
    <w:rsid w:val="00885C4E"/>
    <w:rsid w:val="00885F3C"/>
    <w:rsid w:val="00886031"/>
    <w:rsid w:val="00886230"/>
    <w:rsid w:val="00886305"/>
    <w:rsid w:val="008863CD"/>
    <w:rsid w:val="008864C4"/>
    <w:rsid w:val="008864FE"/>
    <w:rsid w:val="0088658F"/>
    <w:rsid w:val="00886632"/>
    <w:rsid w:val="00886657"/>
    <w:rsid w:val="008867C6"/>
    <w:rsid w:val="00886A4F"/>
    <w:rsid w:val="00886A8A"/>
    <w:rsid w:val="00886AED"/>
    <w:rsid w:val="00886BD6"/>
    <w:rsid w:val="00886D63"/>
    <w:rsid w:val="00886D92"/>
    <w:rsid w:val="00886DC3"/>
    <w:rsid w:val="00886F31"/>
    <w:rsid w:val="008870AA"/>
    <w:rsid w:val="00887101"/>
    <w:rsid w:val="008871C5"/>
    <w:rsid w:val="00887317"/>
    <w:rsid w:val="00887328"/>
    <w:rsid w:val="0088746B"/>
    <w:rsid w:val="008874DE"/>
    <w:rsid w:val="0088755B"/>
    <w:rsid w:val="00887591"/>
    <w:rsid w:val="00887650"/>
    <w:rsid w:val="008876A4"/>
    <w:rsid w:val="008877CE"/>
    <w:rsid w:val="0088780C"/>
    <w:rsid w:val="00887829"/>
    <w:rsid w:val="00887A26"/>
    <w:rsid w:val="00887ACC"/>
    <w:rsid w:val="00887AFD"/>
    <w:rsid w:val="00887B9F"/>
    <w:rsid w:val="00887C51"/>
    <w:rsid w:val="00887CD6"/>
    <w:rsid w:val="00887E6B"/>
    <w:rsid w:val="008900D1"/>
    <w:rsid w:val="00890140"/>
    <w:rsid w:val="0089014C"/>
    <w:rsid w:val="00890322"/>
    <w:rsid w:val="00890364"/>
    <w:rsid w:val="008905E4"/>
    <w:rsid w:val="00890674"/>
    <w:rsid w:val="008906CC"/>
    <w:rsid w:val="00890734"/>
    <w:rsid w:val="0089073C"/>
    <w:rsid w:val="00890785"/>
    <w:rsid w:val="00890A12"/>
    <w:rsid w:val="00890BB3"/>
    <w:rsid w:val="00890C98"/>
    <w:rsid w:val="00890CCE"/>
    <w:rsid w:val="00890DAA"/>
    <w:rsid w:val="00890EF9"/>
    <w:rsid w:val="00890F69"/>
    <w:rsid w:val="0089110D"/>
    <w:rsid w:val="00891113"/>
    <w:rsid w:val="008912DA"/>
    <w:rsid w:val="00891314"/>
    <w:rsid w:val="0089143C"/>
    <w:rsid w:val="0089145E"/>
    <w:rsid w:val="00891557"/>
    <w:rsid w:val="008916B0"/>
    <w:rsid w:val="0089176E"/>
    <w:rsid w:val="00891861"/>
    <w:rsid w:val="00891907"/>
    <w:rsid w:val="008919D5"/>
    <w:rsid w:val="00891B47"/>
    <w:rsid w:val="00891CCA"/>
    <w:rsid w:val="00891DFA"/>
    <w:rsid w:val="00891E0E"/>
    <w:rsid w:val="00891F06"/>
    <w:rsid w:val="00891FDD"/>
    <w:rsid w:val="00892269"/>
    <w:rsid w:val="0089233D"/>
    <w:rsid w:val="00892344"/>
    <w:rsid w:val="00892412"/>
    <w:rsid w:val="0089244F"/>
    <w:rsid w:val="00892471"/>
    <w:rsid w:val="0089248C"/>
    <w:rsid w:val="008925A5"/>
    <w:rsid w:val="0089265A"/>
    <w:rsid w:val="00892669"/>
    <w:rsid w:val="00892748"/>
    <w:rsid w:val="00892756"/>
    <w:rsid w:val="0089282F"/>
    <w:rsid w:val="008929EE"/>
    <w:rsid w:val="00892AB8"/>
    <w:rsid w:val="00892B2C"/>
    <w:rsid w:val="00893017"/>
    <w:rsid w:val="00893369"/>
    <w:rsid w:val="00893484"/>
    <w:rsid w:val="00893543"/>
    <w:rsid w:val="00893590"/>
    <w:rsid w:val="008935C7"/>
    <w:rsid w:val="00893714"/>
    <w:rsid w:val="008937BB"/>
    <w:rsid w:val="0089386B"/>
    <w:rsid w:val="008938FB"/>
    <w:rsid w:val="008939F9"/>
    <w:rsid w:val="00893ADA"/>
    <w:rsid w:val="00893BE0"/>
    <w:rsid w:val="00893C2E"/>
    <w:rsid w:val="00893C39"/>
    <w:rsid w:val="00893C70"/>
    <w:rsid w:val="00893D52"/>
    <w:rsid w:val="00893F02"/>
    <w:rsid w:val="008940F7"/>
    <w:rsid w:val="0089436E"/>
    <w:rsid w:val="0089442D"/>
    <w:rsid w:val="00894530"/>
    <w:rsid w:val="008946FC"/>
    <w:rsid w:val="00894723"/>
    <w:rsid w:val="00894768"/>
    <w:rsid w:val="00894857"/>
    <w:rsid w:val="00894862"/>
    <w:rsid w:val="008949C3"/>
    <w:rsid w:val="00894A12"/>
    <w:rsid w:val="00894C87"/>
    <w:rsid w:val="00894D3F"/>
    <w:rsid w:val="00894E3C"/>
    <w:rsid w:val="00894E89"/>
    <w:rsid w:val="00894F27"/>
    <w:rsid w:val="0089509C"/>
    <w:rsid w:val="00895144"/>
    <w:rsid w:val="00895268"/>
    <w:rsid w:val="0089535A"/>
    <w:rsid w:val="008953C0"/>
    <w:rsid w:val="00895511"/>
    <w:rsid w:val="00895594"/>
    <w:rsid w:val="008955A2"/>
    <w:rsid w:val="0089565F"/>
    <w:rsid w:val="0089567A"/>
    <w:rsid w:val="0089569D"/>
    <w:rsid w:val="00895778"/>
    <w:rsid w:val="0089578B"/>
    <w:rsid w:val="00895979"/>
    <w:rsid w:val="008959B2"/>
    <w:rsid w:val="00895B16"/>
    <w:rsid w:val="00895D34"/>
    <w:rsid w:val="00895E4C"/>
    <w:rsid w:val="00895F72"/>
    <w:rsid w:val="008960C4"/>
    <w:rsid w:val="00896139"/>
    <w:rsid w:val="00896140"/>
    <w:rsid w:val="008963A5"/>
    <w:rsid w:val="008964B8"/>
    <w:rsid w:val="00896709"/>
    <w:rsid w:val="008967E7"/>
    <w:rsid w:val="00896ADD"/>
    <w:rsid w:val="00896C3D"/>
    <w:rsid w:val="00896D8D"/>
    <w:rsid w:val="00896DDA"/>
    <w:rsid w:val="00896FAE"/>
    <w:rsid w:val="00896FB4"/>
    <w:rsid w:val="0089710C"/>
    <w:rsid w:val="00897200"/>
    <w:rsid w:val="008973A4"/>
    <w:rsid w:val="00897490"/>
    <w:rsid w:val="00897540"/>
    <w:rsid w:val="0089757A"/>
    <w:rsid w:val="0089764D"/>
    <w:rsid w:val="0089785D"/>
    <w:rsid w:val="008978C0"/>
    <w:rsid w:val="008979C7"/>
    <w:rsid w:val="00897C95"/>
    <w:rsid w:val="00897CDF"/>
    <w:rsid w:val="00897F3F"/>
    <w:rsid w:val="00897F44"/>
    <w:rsid w:val="008A011C"/>
    <w:rsid w:val="008A0402"/>
    <w:rsid w:val="008A0413"/>
    <w:rsid w:val="008A04B6"/>
    <w:rsid w:val="008A0571"/>
    <w:rsid w:val="008A0C30"/>
    <w:rsid w:val="008A0C96"/>
    <w:rsid w:val="008A0D4A"/>
    <w:rsid w:val="008A0E4A"/>
    <w:rsid w:val="008A0F39"/>
    <w:rsid w:val="008A0F96"/>
    <w:rsid w:val="008A1177"/>
    <w:rsid w:val="008A11F7"/>
    <w:rsid w:val="008A1221"/>
    <w:rsid w:val="008A1494"/>
    <w:rsid w:val="008A1500"/>
    <w:rsid w:val="008A1596"/>
    <w:rsid w:val="008A1605"/>
    <w:rsid w:val="008A1620"/>
    <w:rsid w:val="008A1703"/>
    <w:rsid w:val="008A175F"/>
    <w:rsid w:val="008A184B"/>
    <w:rsid w:val="008A1A2B"/>
    <w:rsid w:val="008A1B47"/>
    <w:rsid w:val="008A1BC0"/>
    <w:rsid w:val="008A1DA3"/>
    <w:rsid w:val="008A1E8A"/>
    <w:rsid w:val="008A1FE6"/>
    <w:rsid w:val="008A20D6"/>
    <w:rsid w:val="008A2228"/>
    <w:rsid w:val="008A223E"/>
    <w:rsid w:val="008A23A7"/>
    <w:rsid w:val="008A2636"/>
    <w:rsid w:val="008A273B"/>
    <w:rsid w:val="008A279E"/>
    <w:rsid w:val="008A2B2C"/>
    <w:rsid w:val="008A2B64"/>
    <w:rsid w:val="008A2E03"/>
    <w:rsid w:val="008A2E27"/>
    <w:rsid w:val="008A3138"/>
    <w:rsid w:val="008A326E"/>
    <w:rsid w:val="008A334D"/>
    <w:rsid w:val="008A338C"/>
    <w:rsid w:val="008A339B"/>
    <w:rsid w:val="008A3561"/>
    <w:rsid w:val="008A356E"/>
    <w:rsid w:val="008A35BF"/>
    <w:rsid w:val="008A38C8"/>
    <w:rsid w:val="008A3A09"/>
    <w:rsid w:val="008A3A3A"/>
    <w:rsid w:val="008A3A62"/>
    <w:rsid w:val="008A3ADC"/>
    <w:rsid w:val="008A3BC4"/>
    <w:rsid w:val="008A3C70"/>
    <w:rsid w:val="008A3F74"/>
    <w:rsid w:val="008A3F96"/>
    <w:rsid w:val="008A40D1"/>
    <w:rsid w:val="008A425C"/>
    <w:rsid w:val="008A4478"/>
    <w:rsid w:val="008A46F3"/>
    <w:rsid w:val="008A46F5"/>
    <w:rsid w:val="008A47F2"/>
    <w:rsid w:val="008A4849"/>
    <w:rsid w:val="008A491F"/>
    <w:rsid w:val="008A4A88"/>
    <w:rsid w:val="008A4AD3"/>
    <w:rsid w:val="008A4E67"/>
    <w:rsid w:val="008A4FB9"/>
    <w:rsid w:val="008A5076"/>
    <w:rsid w:val="008A5154"/>
    <w:rsid w:val="008A5209"/>
    <w:rsid w:val="008A54AF"/>
    <w:rsid w:val="008A5538"/>
    <w:rsid w:val="008A5638"/>
    <w:rsid w:val="008A577A"/>
    <w:rsid w:val="008A58F6"/>
    <w:rsid w:val="008A58FF"/>
    <w:rsid w:val="008A590C"/>
    <w:rsid w:val="008A5928"/>
    <w:rsid w:val="008A5956"/>
    <w:rsid w:val="008A5999"/>
    <w:rsid w:val="008A59A2"/>
    <w:rsid w:val="008A5C11"/>
    <w:rsid w:val="008A5CCC"/>
    <w:rsid w:val="008A5D5A"/>
    <w:rsid w:val="008A5E14"/>
    <w:rsid w:val="008A5EEF"/>
    <w:rsid w:val="008A5F0F"/>
    <w:rsid w:val="008A6022"/>
    <w:rsid w:val="008A6201"/>
    <w:rsid w:val="008A63BF"/>
    <w:rsid w:val="008A64FC"/>
    <w:rsid w:val="008A6548"/>
    <w:rsid w:val="008A658D"/>
    <w:rsid w:val="008A6783"/>
    <w:rsid w:val="008A681A"/>
    <w:rsid w:val="008A6945"/>
    <w:rsid w:val="008A69C9"/>
    <w:rsid w:val="008A6ABF"/>
    <w:rsid w:val="008A6B06"/>
    <w:rsid w:val="008A6B7C"/>
    <w:rsid w:val="008A6C3C"/>
    <w:rsid w:val="008A6CEC"/>
    <w:rsid w:val="008A6DE1"/>
    <w:rsid w:val="008A70BA"/>
    <w:rsid w:val="008A7186"/>
    <w:rsid w:val="008A74BF"/>
    <w:rsid w:val="008A74E0"/>
    <w:rsid w:val="008A76E7"/>
    <w:rsid w:val="008A7A49"/>
    <w:rsid w:val="008A7A7C"/>
    <w:rsid w:val="008A7C4D"/>
    <w:rsid w:val="008A7CBE"/>
    <w:rsid w:val="008A7E35"/>
    <w:rsid w:val="008B0094"/>
    <w:rsid w:val="008B00BA"/>
    <w:rsid w:val="008B019C"/>
    <w:rsid w:val="008B0357"/>
    <w:rsid w:val="008B03F1"/>
    <w:rsid w:val="008B03F8"/>
    <w:rsid w:val="008B0499"/>
    <w:rsid w:val="008B05F4"/>
    <w:rsid w:val="008B066C"/>
    <w:rsid w:val="008B0675"/>
    <w:rsid w:val="008B06C3"/>
    <w:rsid w:val="008B07BA"/>
    <w:rsid w:val="008B0994"/>
    <w:rsid w:val="008B0999"/>
    <w:rsid w:val="008B099A"/>
    <w:rsid w:val="008B099C"/>
    <w:rsid w:val="008B09FD"/>
    <w:rsid w:val="008B0A27"/>
    <w:rsid w:val="008B0B5C"/>
    <w:rsid w:val="008B0BAD"/>
    <w:rsid w:val="008B0C9E"/>
    <w:rsid w:val="008B0CB9"/>
    <w:rsid w:val="008B0CF0"/>
    <w:rsid w:val="008B0D18"/>
    <w:rsid w:val="008B0DF5"/>
    <w:rsid w:val="008B1003"/>
    <w:rsid w:val="008B117A"/>
    <w:rsid w:val="008B1360"/>
    <w:rsid w:val="008B1422"/>
    <w:rsid w:val="008B153B"/>
    <w:rsid w:val="008B18EF"/>
    <w:rsid w:val="008B19CD"/>
    <w:rsid w:val="008B1A4D"/>
    <w:rsid w:val="008B1ADE"/>
    <w:rsid w:val="008B1F07"/>
    <w:rsid w:val="008B1F18"/>
    <w:rsid w:val="008B1FB4"/>
    <w:rsid w:val="008B2037"/>
    <w:rsid w:val="008B2058"/>
    <w:rsid w:val="008B20B4"/>
    <w:rsid w:val="008B20C6"/>
    <w:rsid w:val="008B228E"/>
    <w:rsid w:val="008B22A9"/>
    <w:rsid w:val="008B22CD"/>
    <w:rsid w:val="008B23C0"/>
    <w:rsid w:val="008B241D"/>
    <w:rsid w:val="008B25F7"/>
    <w:rsid w:val="008B260A"/>
    <w:rsid w:val="008B2628"/>
    <w:rsid w:val="008B2A5D"/>
    <w:rsid w:val="008B2A6C"/>
    <w:rsid w:val="008B2B05"/>
    <w:rsid w:val="008B2B4B"/>
    <w:rsid w:val="008B2BC6"/>
    <w:rsid w:val="008B2BF8"/>
    <w:rsid w:val="008B2C2D"/>
    <w:rsid w:val="008B2CFA"/>
    <w:rsid w:val="008B2DA1"/>
    <w:rsid w:val="008B2F6F"/>
    <w:rsid w:val="008B300D"/>
    <w:rsid w:val="008B30E0"/>
    <w:rsid w:val="008B31ED"/>
    <w:rsid w:val="008B3294"/>
    <w:rsid w:val="008B3298"/>
    <w:rsid w:val="008B33D3"/>
    <w:rsid w:val="008B345F"/>
    <w:rsid w:val="008B3569"/>
    <w:rsid w:val="008B35D8"/>
    <w:rsid w:val="008B35DD"/>
    <w:rsid w:val="008B3624"/>
    <w:rsid w:val="008B3634"/>
    <w:rsid w:val="008B3663"/>
    <w:rsid w:val="008B3805"/>
    <w:rsid w:val="008B389A"/>
    <w:rsid w:val="008B3AC2"/>
    <w:rsid w:val="008B3C78"/>
    <w:rsid w:val="008B3E2E"/>
    <w:rsid w:val="008B3EB1"/>
    <w:rsid w:val="008B3F65"/>
    <w:rsid w:val="008B41D5"/>
    <w:rsid w:val="008B436D"/>
    <w:rsid w:val="008B4426"/>
    <w:rsid w:val="008B4442"/>
    <w:rsid w:val="008B44B3"/>
    <w:rsid w:val="008B4584"/>
    <w:rsid w:val="008B4806"/>
    <w:rsid w:val="008B49BB"/>
    <w:rsid w:val="008B4A68"/>
    <w:rsid w:val="008B4B6D"/>
    <w:rsid w:val="008B4BA3"/>
    <w:rsid w:val="008B4DCF"/>
    <w:rsid w:val="008B4F7D"/>
    <w:rsid w:val="008B5085"/>
    <w:rsid w:val="008B50DA"/>
    <w:rsid w:val="008B5249"/>
    <w:rsid w:val="008B525B"/>
    <w:rsid w:val="008B5302"/>
    <w:rsid w:val="008B550B"/>
    <w:rsid w:val="008B5544"/>
    <w:rsid w:val="008B55B7"/>
    <w:rsid w:val="008B55CB"/>
    <w:rsid w:val="008B566A"/>
    <w:rsid w:val="008B5929"/>
    <w:rsid w:val="008B59B0"/>
    <w:rsid w:val="008B5A73"/>
    <w:rsid w:val="008B5ABD"/>
    <w:rsid w:val="008B5BFE"/>
    <w:rsid w:val="008B5CDE"/>
    <w:rsid w:val="008B5CE2"/>
    <w:rsid w:val="008B5D21"/>
    <w:rsid w:val="008B5EB5"/>
    <w:rsid w:val="008B5F72"/>
    <w:rsid w:val="008B60C5"/>
    <w:rsid w:val="008B60F0"/>
    <w:rsid w:val="008B618E"/>
    <w:rsid w:val="008B6366"/>
    <w:rsid w:val="008B641F"/>
    <w:rsid w:val="008B6603"/>
    <w:rsid w:val="008B66A6"/>
    <w:rsid w:val="008B66E8"/>
    <w:rsid w:val="008B67F4"/>
    <w:rsid w:val="008B69A9"/>
    <w:rsid w:val="008B6A06"/>
    <w:rsid w:val="008B6C48"/>
    <w:rsid w:val="008B6D1B"/>
    <w:rsid w:val="008B6D91"/>
    <w:rsid w:val="008B6F01"/>
    <w:rsid w:val="008B7007"/>
    <w:rsid w:val="008B7058"/>
    <w:rsid w:val="008B71DF"/>
    <w:rsid w:val="008B723C"/>
    <w:rsid w:val="008B73A6"/>
    <w:rsid w:val="008B7493"/>
    <w:rsid w:val="008B76FD"/>
    <w:rsid w:val="008B7B97"/>
    <w:rsid w:val="008B7E75"/>
    <w:rsid w:val="008C00A7"/>
    <w:rsid w:val="008C031D"/>
    <w:rsid w:val="008C0540"/>
    <w:rsid w:val="008C08B0"/>
    <w:rsid w:val="008C09CE"/>
    <w:rsid w:val="008C0AD1"/>
    <w:rsid w:val="008C0AFC"/>
    <w:rsid w:val="008C0BE3"/>
    <w:rsid w:val="008C0C5F"/>
    <w:rsid w:val="008C0D25"/>
    <w:rsid w:val="008C0D42"/>
    <w:rsid w:val="008C0DD5"/>
    <w:rsid w:val="008C0DD7"/>
    <w:rsid w:val="008C1010"/>
    <w:rsid w:val="008C10B5"/>
    <w:rsid w:val="008C10BE"/>
    <w:rsid w:val="008C10D3"/>
    <w:rsid w:val="008C1162"/>
    <w:rsid w:val="008C11D2"/>
    <w:rsid w:val="008C13E0"/>
    <w:rsid w:val="008C1420"/>
    <w:rsid w:val="008C1569"/>
    <w:rsid w:val="008C1598"/>
    <w:rsid w:val="008C1642"/>
    <w:rsid w:val="008C167D"/>
    <w:rsid w:val="008C1708"/>
    <w:rsid w:val="008C1742"/>
    <w:rsid w:val="008C1782"/>
    <w:rsid w:val="008C1797"/>
    <w:rsid w:val="008C1846"/>
    <w:rsid w:val="008C1A56"/>
    <w:rsid w:val="008C1AB4"/>
    <w:rsid w:val="008C1B65"/>
    <w:rsid w:val="008C1C97"/>
    <w:rsid w:val="008C1DF4"/>
    <w:rsid w:val="008C1E94"/>
    <w:rsid w:val="008C1EFD"/>
    <w:rsid w:val="008C1F2B"/>
    <w:rsid w:val="008C216B"/>
    <w:rsid w:val="008C2195"/>
    <w:rsid w:val="008C223B"/>
    <w:rsid w:val="008C231D"/>
    <w:rsid w:val="008C2437"/>
    <w:rsid w:val="008C2713"/>
    <w:rsid w:val="008C27D0"/>
    <w:rsid w:val="008C28C8"/>
    <w:rsid w:val="008C2ADE"/>
    <w:rsid w:val="008C2BED"/>
    <w:rsid w:val="008C2C64"/>
    <w:rsid w:val="008C2CEF"/>
    <w:rsid w:val="008C2D8D"/>
    <w:rsid w:val="008C2DDD"/>
    <w:rsid w:val="008C2EF3"/>
    <w:rsid w:val="008C30BD"/>
    <w:rsid w:val="008C311E"/>
    <w:rsid w:val="008C31D9"/>
    <w:rsid w:val="008C35A1"/>
    <w:rsid w:val="008C36D6"/>
    <w:rsid w:val="008C376B"/>
    <w:rsid w:val="008C379E"/>
    <w:rsid w:val="008C3936"/>
    <w:rsid w:val="008C3B34"/>
    <w:rsid w:val="008C3B47"/>
    <w:rsid w:val="008C3D9F"/>
    <w:rsid w:val="008C3E66"/>
    <w:rsid w:val="008C3F61"/>
    <w:rsid w:val="008C4075"/>
    <w:rsid w:val="008C410E"/>
    <w:rsid w:val="008C4148"/>
    <w:rsid w:val="008C4350"/>
    <w:rsid w:val="008C4428"/>
    <w:rsid w:val="008C489B"/>
    <w:rsid w:val="008C48F2"/>
    <w:rsid w:val="008C4A64"/>
    <w:rsid w:val="008C4A9B"/>
    <w:rsid w:val="008C4AB0"/>
    <w:rsid w:val="008C4C8E"/>
    <w:rsid w:val="008C4D8B"/>
    <w:rsid w:val="008C50CD"/>
    <w:rsid w:val="008C52CD"/>
    <w:rsid w:val="008C5455"/>
    <w:rsid w:val="008C5558"/>
    <w:rsid w:val="008C555B"/>
    <w:rsid w:val="008C55C2"/>
    <w:rsid w:val="008C5621"/>
    <w:rsid w:val="008C5690"/>
    <w:rsid w:val="008C56DC"/>
    <w:rsid w:val="008C570E"/>
    <w:rsid w:val="008C584A"/>
    <w:rsid w:val="008C5888"/>
    <w:rsid w:val="008C5AA5"/>
    <w:rsid w:val="008C5C80"/>
    <w:rsid w:val="008C5F5F"/>
    <w:rsid w:val="008C5FC5"/>
    <w:rsid w:val="008C5FF2"/>
    <w:rsid w:val="008C601D"/>
    <w:rsid w:val="008C6106"/>
    <w:rsid w:val="008C618B"/>
    <w:rsid w:val="008C6366"/>
    <w:rsid w:val="008C637C"/>
    <w:rsid w:val="008C6404"/>
    <w:rsid w:val="008C64C2"/>
    <w:rsid w:val="008C664B"/>
    <w:rsid w:val="008C6739"/>
    <w:rsid w:val="008C6752"/>
    <w:rsid w:val="008C678F"/>
    <w:rsid w:val="008C67E8"/>
    <w:rsid w:val="008C6AF0"/>
    <w:rsid w:val="008C6B3A"/>
    <w:rsid w:val="008C6B71"/>
    <w:rsid w:val="008C6DF4"/>
    <w:rsid w:val="008C6ED6"/>
    <w:rsid w:val="008C6F30"/>
    <w:rsid w:val="008C6F9D"/>
    <w:rsid w:val="008C6F9E"/>
    <w:rsid w:val="008C6FEE"/>
    <w:rsid w:val="008C718C"/>
    <w:rsid w:val="008C7270"/>
    <w:rsid w:val="008C733C"/>
    <w:rsid w:val="008C747C"/>
    <w:rsid w:val="008C75B9"/>
    <w:rsid w:val="008C7A3F"/>
    <w:rsid w:val="008C7BE0"/>
    <w:rsid w:val="008C7C2B"/>
    <w:rsid w:val="008C7DD7"/>
    <w:rsid w:val="008C7F8D"/>
    <w:rsid w:val="008D027F"/>
    <w:rsid w:val="008D0283"/>
    <w:rsid w:val="008D0491"/>
    <w:rsid w:val="008D06BB"/>
    <w:rsid w:val="008D073B"/>
    <w:rsid w:val="008D087D"/>
    <w:rsid w:val="008D093A"/>
    <w:rsid w:val="008D0A9A"/>
    <w:rsid w:val="008D0CEA"/>
    <w:rsid w:val="008D0CFD"/>
    <w:rsid w:val="008D0D59"/>
    <w:rsid w:val="008D0FA4"/>
    <w:rsid w:val="008D115B"/>
    <w:rsid w:val="008D12DD"/>
    <w:rsid w:val="008D14F1"/>
    <w:rsid w:val="008D1556"/>
    <w:rsid w:val="008D17E4"/>
    <w:rsid w:val="008D183C"/>
    <w:rsid w:val="008D1852"/>
    <w:rsid w:val="008D19AD"/>
    <w:rsid w:val="008D1A90"/>
    <w:rsid w:val="008D1A9B"/>
    <w:rsid w:val="008D1A9D"/>
    <w:rsid w:val="008D1BF5"/>
    <w:rsid w:val="008D1CC2"/>
    <w:rsid w:val="008D1D57"/>
    <w:rsid w:val="008D1EA7"/>
    <w:rsid w:val="008D2075"/>
    <w:rsid w:val="008D215F"/>
    <w:rsid w:val="008D219A"/>
    <w:rsid w:val="008D24D8"/>
    <w:rsid w:val="008D26AC"/>
    <w:rsid w:val="008D2724"/>
    <w:rsid w:val="008D2737"/>
    <w:rsid w:val="008D2763"/>
    <w:rsid w:val="008D2898"/>
    <w:rsid w:val="008D291C"/>
    <w:rsid w:val="008D2A1E"/>
    <w:rsid w:val="008D2A46"/>
    <w:rsid w:val="008D2A52"/>
    <w:rsid w:val="008D2ADC"/>
    <w:rsid w:val="008D2B14"/>
    <w:rsid w:val="008D2B95"/>
    <w:rsid w:val="008D2BD7"/>
    <w:rsid w:val="008D2DD0"/>
    <w:rsid w:val="008D2F14"/>
    <w:rsid w:val="008D30DA"/>
    <w:rsid w:val="008D3328"/>
    <w:rsid w:val="008D33C2"/>
    <w:rsid w:val="008D3403"/>
    <w:rsid w:val="008D34CA"/>
    <w:rsid w:val="008D3560"/>
    <w:rsid w:val="008D3904"/>
    <w:rsid w:val="008D3911"/>
    <w:rsid w:val="008D392E"/>
    <w:rsid w:val="008D3A03"/>
    <w:rsid w:val="008D3CBE"/>
    <w:rsid w:val="008D3D08"/>
    <w:rsid w:val="008D3D30"/>
    <w:rsid w:val="008D3FA8"/>
    <w:rsid w:val="008D4151"/>
    <w:rsid w:val="008D41BA"/>
    <w:rsid w:val="008D41D6"/>
    <w:rsid w:val="008D427C"/>
    <w:rsid w:val="008D4297"/>
    <w:rsid w:val="008D4305"/>
    <w:rsid w:val="008D4317"/>
    <w:rsid w:val="008D4432"/>
    <w:rsid w:val="008D44B6"/>
    <w:rsid w:val="008D4502"/>
    <w:rsid w:val="008D4547"/>
    <w:rsid w:val="008D4665"/>
    <w:rsid w:val="008D4828"/>
    <w:rsid w:val="008D4924"/>
    <w:rsid w:val="008D4958"/>
    <w:rsid w:val="008D4AA7"/>
    <w:rsid w:val="008D4AE1"/>
    <w:rsid w:val="008D4BCF"/>
    <w:rsid w:val="008D4BD3"/>
    <w:rsid w:val="008D4C3E"/>
    <w:rsid w:val="008D4CC3"/>
    <w:rsid w:val="008D4D49"/>
    <w:rsid w:val="008D4EB3"/>
    <w:rsid w:val="008D506D"/>
    <w:rsid w:val="008D50B5"/>
    <w:rsid w:val="008D5534"/>
    <w:rsid w:val="008D55E0"/>
    <w:rsid w:val="008D5637"/>
    <w:rsid w:val="008D5683"/>
    <w:rsid w:val="008D5789"/>
    <w:rsid w:val="008D5B05"/>
    <w:rsid w:val="008D5E6A"/>
    <w:rsid w:val="008D5E9E"/>
    <w:rsid w:val="008D6145"/>
    <w:rsid w:val="008D6312"/>
    <w:rsid w:val="008D63A8"/>
    <w:rsid w:val="008D6409"/>
    <w:rsid w:val="008D6436"/>
    <w:rsid w:val="008D660D"/>
    <w:rsid w:val="008D67D0"/>
    <w:rsid w:val="008D684A"/>
    <w:rsid w:val="008D685F"/>
    <w:rsid w:val="008D6886"/>
    <w:rsid w:val="008D68FF"/>
    <w:rsid w:val="008D69DF"/>
    <w:rsid w:val="008D6AB4"/>
    <w:rsid w:val="008D6B7C"/>
    <w:rsid w:val="008D70CE"/>
    <w:rsid w:val="008D7212"/>
    <w:rsid w:val="008D7279"/>
    <w:rsid w:val="008D727C"/>
    <w:rsid w:val="008D740B"/>
    <w:rsid w:val="008D74CC"/>
    <w:rsid w:val="008D752B"/>
    <w:rsid w:val="008D75C5"/>
    <w:rsid w:val="008D7667"/>
    <w:rsid w:val="008D7749"/>
    <w:rsid w:val="008D7846"/>
    <w:rsid w:val="008D78D3"/>
    <w:rsid w:val="008D79AC"/>
    <w:rsid w:val="008D7A8A"/>
    <w:rsid w:val="008D7B59"/>
    <w:rsid w:val="008D7EE3"/>
    <w:rsid w:val="008D7F04"/>
    <w:rsid w:val="008E0020"/>
    <w:rsid w:val="008E0074"/>
    <w:rsid w:val="008E007A"/>
    <w:rsid w:val="008E0221"/>
    <w:rsid w:val="008E0244"/>
    <w:rsid w:val="008E02C1"/>
    <w:rsid w:val="008E03BE"/>
    <w:rsid w:val="008E083E"/>
    <w:rsid w:val="008E0922"/>
    <w:rsid w:val="008E0B1F"/>
    <w:rsid w:val="008E0DDD"/>
    <w:rsid w:val="008E1014"/>
    <w:rsid w:val="008E117A"/>
    <w:rsid w:val="008E12EF"/>
    <w:rsid w:val="008E1434"/>
    <w:rsid w:val="008E1560"/>
    <w:rsid w:val="008E1693"/>
    <w:rsid w:val="008E1794"/>
    <w:rsid w:val="008E1987"/>
    <w:rsid w:val="008E1AA2"/>
    <w:rsid w:val="008E1C09"/>
    <w:rsid w:val="008E1C20"/>
    <w:rsid w:val="008E1CD2"/>
    <w:rsid w:val="008E1D59"/>
    <w:rsid w:val="008E1ECF"/>
    <w:rsid w:val="008E1F23"/>
    <w:rsid w:val="008E1FD0"/>
    <w:rsid w:val="008E2168"/>
    <w:rsid w:val="008E2292"/>
    <w:rsid w:val="008E233B"/>
    <w:rsid w:val="008E2541"/>
    <w:rsid w:val="008E2574"/>
    <w:rsid w:val="008E25FB"/>
    <w:rsid w:val="008E2624"/>
    <w:rsid w:val="008E269E"/>
    <w:rsid w:val="008E2754"/>
    <w:rsid w:val="008E27D7"/>
    <w:rsid w:val="008E2802"/>
    <w:rsid w:val="008E2930"/>
    <w:rsid w:val="008E294E"/>
    <w:rsid w:val="008E2A2F"/>
    <w:rsid w:val="008E2A92"/>
    <w:rsid w:val="008E2AC5"/>
    <w:rsid w:val="008E2B48"/>
    <w:rsid w:val="008E2C7F"/>
    <w:rsid w:val="008E2D8F"/>
    <w:rsid w:val="008E2DDB"/>
    <w:rsid w:val="008E2DF3"/>
    <w:rsid w:val="008E2E42"/>
    <w:rsid w:val="008E2F8B"/>
    <w:rsid w:val="008E3001"/>
    <w:rsid w:val="008E31D5"/>
    <w:rsid w:val="008E321F"/>
    <w:rsid w:val="008E3220"/>
    <w:rsid w:val="008E32AF"/>
    <w:rsid w:val="008E33A1"/>
    <w:rsid w:val="008E3532"/>
    <w:rsid w:val="008E3698"/>
    <w:rsid w:val="008E3740"/>
    <w:rsid w:val="008E37C4"/>
    <w:rsid w:val="008E3882"/>
    <w:rsid w:val="008E3962"/>
    <w:rsid w:val="008E3AD7"/>
    <w:rsid w:val="008E3B05"/>
    <w:rsid w:val="008E3C9F"/>
    <w:rsid w:val="008E3D80"/>
    <w:rsid w:val="008E3E40"/>
    <w:rsid w:val="008E3E98"/>
    <w:rsid w:val="008E3EE4"/>
    <w:rsid w:val="008E415D"/>
    <w:rsid w:val="008E450B"/>
    <w:rsid w:val="008E4561"/>
    <w:rsid w:val="008E46A9"/>
    <w:rsid w:val="008E46E0"/>
    <w:rsid w:val="008E4766"/>
    <w:rsid w:val="008E49B2"/>
    <w:rsid w:val="008E4B3E"/>
    <w:rsid w:val="008E4CA6"/>
    <w:rsid w:val="008E4CEF"/>
    <w:rsid w:val="008E4D52"/>
    <w:rsid w:val="008E4DBD"/>
    <w:rsid w:val="008E4DCE"/>
    <w:rsid w:val="008E4F11"/>
    <w:rsid w:val="008E4FEF"/>
    <w:rsid w:val="008E5002"/>
    <w:rsid w:val="008E5240"/>
    <w:rsid w:val="008E5552"/>
    <w:rsid w:val="008E5555"/>
    <w:rsid w:val="008E59D6"/>
    <w:rsid w:val="008E5B8C"/>
    <w:rsid w:val="008E5C2F"/>
    <w:rsid w:val="008E5C46"/>
    <w:rsid w:val="008E5C5C"/>
    <w:rsid w:val="008E5C97"/>
    <w:rsid w:val="008E5D62"/>
    <w:rsid w:val="008E5EDE"/>
    <w:rsid w:val="008E5EE8"/>
    <w:rsid w:val="008E6090"/>
    <w:rsid w:val="008E62ED"/>
    <w:rsid w:val="008E64DC"/>
    <w:rsid w:val="008E6682"/>
    <w:rsid w:val="008E668D"/>
    <w:rsid w:val="008E66AE"/>
    <w:rsid w:val="008E6810"/>
    <w:rsid w:val="008E69D4"/>
    <w:rsid w:val="008E6A16"/>
    <w:rsid w:val="008E6BE2"/>
    <w:rsid w:val="008E6EBC"/>
    <w:rsid w:val="008E71E0"/>
    <w:rsid w:val="008E7349"/>
    <w:rsid w:val="008E73E8"/>
    <w:rsid w:val="008E744D"/>
    <w:rsid w:val="008E747F"/>
    <w:rsid w:val="008E7531"/>
    <w:rsid w:val="008E7709"/>
    <w:rsid w:val="008E78D7"/>
    <w:rsid w:val="008E79B9"/>
    <w:rsid w:val="008E79D9"/>
    <w:rsid w:val="008E7A1F"/>
    <w:rsid w:val="008E7A37"/>
    <w:rsid w:val="008E7BC5"/>
    <w:rsid w:val="008E7DAB"/>
    <w:rsid w:val="008E7EB5"/>
    <w:rsid w:val="008E7EE1"/>
    <w:rsid w:val="008E7F4E"/>
    <w:rsid w:val="008E7F69"/>
    <w:rsid w:val="008F0286"/>
    <w:rsid w:val="008F039A"/>
    <w:rsid w:val="008F0704"/>
    <w:rsid w:val="008F07F2"/>
    <w:rsid w:val="008F0946"/>
    <w:rsid w:val="008F0B0C"/>
    <w:rsid w:val="008F0B62"/>
    <w:rsid w:val="008F0C2D"/>
    <w:rsid w:val="008F1085"/>
    <w:rsid w:val="008F1212"/>
    <w:rsid w:val="008F1304"/>
    <w:rsid w:val="008F134A"/>
    <w:rsid w:val="008F140D"/>
    <w:rsid w:val="008F1495"/>
    <w:rsid w:val="008F162C"/>
    <w:rsid w:val="008F16B5"/>
    <w:rsid w:val="008F176E"/>
    <w:rsid w:val="008F17DF"/>
    <w:rsid w:val="008F17F8"/>
    <w:rsid w:val="008F18F9"/>
    <w:rsid w:val="008F1A57"/>
    <w:rsid w:val="008F1C12"/>
    <w:rsid w:val="008F1D60"/>
    <w:rsid w:val="008F1FCE"/>
    <w:rsid w:val="008F2459"/>
    <w:rsid w:val="008F260C"/>
    <w:rsid w:val="008F2675"/>
    <w:rsid w:val="008F2836"/>
    <w:rsid w:val="008F28E0"/>
    <w:rsid w:val="008F2ABD"/>
    <w:rsid w:val="008F2DFC"/>
    <w:rsid w:val="008F2E58"/>
    <w:rsid w:val="008F2EF1"/>
    <w:rsid w:val="008F2F1F"/>
    <w:rsid w:val="008F2FBC"/>
    <w:rsid w:val="008F2FC3"/>
    <w:rsid w:val="008F3078"/>
    <w:rsid w:val="008F309A"/>
    <w:rsid w:val="008F317D"/>
    <w:rsid w:val="008F3259"/>
    <w:rsid w:val="008F33D9"/>
    <w:rsid w:val="008F373B"/>
    <w:rsid w:val="008F389F"/>
    <w:rsid w:val="008F39EB"/>
    <w:rsid w:val="008F3AC4"/>
    <w:rsid w:val="008F3AC8"/>
    <w:rsid w:val="008F3C6B"/>
    <w:rsid w:val="008F3D44"/>
    <w:rsid w:val="008F3E4C"/>
    <w:rsid w:val="008F3F35"/>
    <w:rsid w:val="008F3F57"/>
    <w:rsid w:val="008F4057"/>
    <w:rsid w:val="008F4285"/>
    <w:rsid w:val="008F42EC"/>
    <w:rsid w:val="008F43F7"/>
    <w:rsid w:val="008F4458"/>
    <w:rsid w:val="008F4523"/>
    <w:rsid w:val="008F475C"/>
    <w:rsid w:val="008F4BD2"/>
    <w:rsid w:val="008F4C38"/>
    <w:rsid w:val="008F4DF3"/>
    <w:rsid w:val="008F4E12"/>
    <w:rsid w:val="008F4E93"/>
    <w:rsid w:val="008F4E9A"/>
    <w:rsid w:val="008F501C"/>
    <w:rsid w:val="008F50C9"/>
    <w:rsid w:val="008F5271"/>
    <w:rsid w:val="008F53D8"/>
    <w:rsid w:val="008F55B9"/>
    <w:rsid w:val="008F562A"/>
    <w:rsid w:val="008F570E"/>
    <w:rsid w:val="008F5B42"/>
    <w:rsid w:val="008F5C1F"/>
    <w:rsid w:val="008F5E81"/>
    <w:rsid w:val="008F5F1B"/>
    <w:rsid w:val="008F5F3A"/>
    <w:rsid w:val="008F5FF3"/>
    <w:rsid w:val="008F615E"/>
    <w:rsid w:val="008F629D"/>
    <w:rsid w:val="008F64DC"/>
    <w:rsid w:val="008F650E"/>
    <w:rsid w:val="008F657F"/>
    <w:rsid w:val="008F6592"/>
    <w:rsid w:val="008F673D"/>
    <w:rsid w:val="008F6785"/>
    <w:rsid w:val="008F67C9"/>
    <w:rsid w:val="008F67D2"/>
    <w:rsid w:val="008F6904"/>
    <w:rsid w:val="008F6CDF"/>
    <w:rsid w:val="008F6CE4"/>
    <w:rsid w:val="008F6F53"/>
    <w:rsid w:val="008F7036"/>
    <w:rsid w:val="008F70F4"/>
    <w:rsid w:val="008F713F"/>
    <w:rsid w:val="008F71F0"/>
    <w:rsid w:val="008F7258"/>
    <w:rsid w:val="008F79F6"/>
    <w:rsid w:val="008F7AA3"/>
    <w:rsid w:val="008F7B1E"/>
    <w:rsid w:val="008F7BE2"/>
    <w:rsid w:val="008F7D4B"/>
    <w:rsid w:val="008F7E4C"/>
    <w:rsid w:val="008F7E58"/>
    <w:rsid w:val="008F7E7F"/>
    <w:rsid w:val="008F7F5F"/>
    <w:rsid w:val="008F7FA7"/>
    <w:rsid w:val="008F7FC1"/>
    <w:rsid w:val="0090004E"/>
    <w:rsid w:val="009000B6"/>
    <w:rsid w:val="009002B1"/>
    <w:rsid w:val="00900353"/>
    <w:rsid w:val="009006AE"/>
    <w:rsid w:val="009007E0"/>
    <w:rsid w:val="0090083E"/>
    <w:rsid w:val="00900868"/>
    <w:rsid w:val="00900877"/>
    <w:rsid w:val="009008DF"/>
    <w:rsid w:val="00900A17"/>
    <w:rsid w:val="00900A5D"/>
    <w:rsid w:val="00900B36"/>
    <w:rsid w:val="00900BF4"/>
    <w:rsid w:val="00900C4D"/>
    <w:rsid w:val="00900C65"/>
    <w:rsid w:val="00900CE9"/>
    <w:rsid w:val="00900D29"/>
    <w:rsid w:val="00900D2D"/>
    <w:rsid w:val="00900DB9"/>
    <w:rsid w:val="00900E72"/>
    <w:rsid w:val="00900F72"/>
    <w:rsid w:val="00900FE0"/>
    <w:rsid w:val="0090114E"/>
    <w:rsid w:val="0090127C"/>
    <w:rsid w:val="009012EB"/>
    <w:rsid w:val="0090134D"/>
    <w:rsid w:val="00901371"/>
    <w:rsid w:val="009013CA"/>
    <w:rsid w:val="009014DF"/>
    <w:rsid w:val="0090155B"/>
    <w:rsid w:val="009016F8"/>
    <w:rsid w:val="009018BE"/>
    <w:rsid w:val="00901974"/>
    <w:rsid w:val="0090197F"/>
    <w:rsid w:val="0090198B"/>
    <w:rsid w:val="00901E33"/>
    <w:rsid w:val="00901EA1"/>
    <w:rsid w:val="00901ED0"/>
    <w:rsid w:val="00901F1B"/>
    <w:rsid w:val="00901FC7"/>
    <w:rsid w:val="00902054"/>
    <w:rsid w:val="009021A5"/>
    <w:rsid w:val="009021D7"/>
    <w:rsid w:val="009021F1"/>
    <w:rsid w:val="009025D8"/>
    <w:rsid w:val="00902683"/>
    <w:rsid w:val="009026B7"/>
    <w:rsid w:val="00902709"/>
    <w:rsid w:val="009028D1"/>
    <w:rsid w:val="009028EC"/>
    <w:rsid w:val="009029B8"/>
    <w:rsid w:val="00902A74"/>
    <w:rsid w:val="00902CA7"/>
    <w:rsid w:val="00902D58"/>
    <w:rsid w:val="00902DCE"/>
    <w:rsid w:val="00902F31"/>
    <w:rsid w:val="00902FAA"/>
    <w:rsid w:val="00903173"/>
    <w:rsid w:val="00903180"/>
    <w:rsid w:val="009032ED"/>
    <w:rsid w:val="00903451"/>
    <w:rsid w:val="009034A1"/>
    <w:rsid w:val="009035BE"/>
    <w:rsid w:val="00903780"/>
    <w:rsid w:val="00903938"/>
    <w:rsid w:val="0090398E"/>
    <w:rsid w:val="00903BFB"/>
    <w:rsid w:val="00903D3E"/>
    <w:rsid w:val="00903D79"/>
    <w:rsid w:val="00903DCE"/>
    <w:rsid w:val="00903F59"/>
    <w:rsid w:val="00904078"/>
    <w:rsid w:val="009040FE"/>
    <w:rsid w:val="0090439B"/>
    <w:rsid w:val="009044E9"/>
    <w:rsid w:val="0090461B"/>
    <w:rsid w:val="0090465D"/>
    <w:rsid w:val="00904802"/>
    <w:rsid w:val="00904862"/>
    <w:rsid w:val="009049B2"/>
    <w:rsid w:val="009049C2"/>
    <w:rsid w:val="00904A3E"/>
    <w:rsid w:val="00904B55"/>
    <w:rsid w:val="00904D1F"/>
    <w:rsid w:val="00904E01"/>
    <w:rsid w:val="00904E9B"/>
    <w:rsid w:val="00904F5C"/>
    <w:rsid w:val="00905083"/>
    <w:rsid w:val="00905292"/>
    <w:rsid w:val="009052B2"/>
    <w:rsid w:val="009054C7"/>
    <w:rsid w:val="0090550A"/>
    <w:rsid w:val="0090557C"/>
    <w:rsid w:val="009056DF"/>
    <w:rsid w:val="0090587B"/>
    <w:rsid w:val="009058F8"/>
    <w:rsid w:val="00905925"/>
    <w:rsid w:val="00905A6D"/>
    <w:rsid w:val="00905AC3"/>
    <w:rsid w:val="00905B6E"/>
    <w:rsid w:val="00905C13"/>
    <w:rsid w:val="00905C97"/>
    <w:rsid w:val="009061C5"/>
    <w:rsid w:val="00906288"/>
    <w:rsid w:val="009063A6"/>
    <w:rsid w:val="009066FC"/>
    <w:rsid w:val="009067B6"/>
    <w:rsid w:val="00906BCA"/>
    <w:rsid w:val="00906CE6"/>
    <w:rsid w:val="00906D08"/>
    <w:rsid w:val="00906DDE"/>
    <w:rsid w:val="00906E67"/>
    <w:rsid w:val="00906F68"/>
    <w:rsid w:val="009070CC"/>
    <w:rsid w:val="009070DB"/>
    <w:rsid w:val="00907264"/>
    <w:rsid w:val="0090741D"/>
    <w:rsid w:val="00907431"/>
    <w:rsid w:val="00907632"/>
    <w:rsid w:val="0090784C"/>
    <w:rsid w:val="0090794A"/>
    <w:rsid w:val="00907BF3"/>
    <w:rsid w:val="00907CEB"/>
    <w:rsid w:val="00907D11"/>
    <w:rsid w:val="00907D6F"/>
    <w:rsid w:val="00907DFC"/>
    <w:rsid w:val="00907E3E"/>
    <w:rsid w:val="00907EC0"/>
    <w:rsid w:val="00907F17"/>
    <w:rsid w:val="00910087"/>
    <w:rsid w:val="0091018D"/>
    <w:rsid w:val="009101C2"/>
    <w:rsid w:val="009101EC"/>
    <w:rsid w:val="00910565"/>
    <w:rsid w:val="0091064A"/>
    <w:rsid w:val="00910756"/>
    <w:rsid w:val="009109FA"/>
    <w:rsid w:val="00910A03"/>
    <w:rsid w:val="00910A63"/>
    <w:rsid w:val="00910A71"/>
    <w:rsid w:val="00910BFB"/>
    <w:rsid w:val="00911069"/>
    <w:rsid w:val="00911198"/>
    <w:rsid w:val="009111ED"/>
    <w:rsid w:val="00911241"/>
    <w:rsid w:val="00911278"/>
    <w:rsid w:val="0091131A"/>
    <w:rsid w:val="009113C0"/>
    <w:rsid w:val="00911517"/>
    <w:rsid w:val="009116AF"/>
    <w:rsid w:val="009118C0"/>
    <w:rsid w:val="00911A7B"/>
    <w:rsid w:val="00911AD6"/>
    <w:rsid w:val="00911EF7"/>
    <w:rsid w:val="0091204E"/>
    <w:rsid w:val="0091212D"/>
    <w:rsid w:val="00912181"/>
    <w:rsid w:val="009121DF"/>
    <w:rsid w:val="00912243"/>
    <w:rsid w:val="00912297"/>
    <w:rsid w:val="009123BE"/>
    <w:rsid w:val="00912691"/>
    <w:rsid w:val="00912850"/>
    <w:rsid w:val="0091286B"/>
    <w:rsid w:val="0091291E"/>
    <w:rsid w:val="00912948"/>
    <w:rsid w:val="00912991"/>
    <w:rsid w:val="009129B1"/>
    <w:rsid w:val="00912A73"/>
    <w:rsid w:val="00912C05"/>
    <w:rsid w:val="00912C25"/>
    <w:rsid w:val="00912D96"/>
    <w:rsid w:val="00912DCC"/>
    <w:rsid w:val="00912E88"/>
    <w:rsid w:val="00912EA0"/>
    <w:rsid w:val="00912F24"/>
    <w:rsid w:val="00912F4A"/>
    <w:rsid w:val="009130DD"/>
    <w:rsid w:val="009130F2"/>
    <w:rsid w:val="00913374"/>
    <w:rsid w:val="0091338F"/>
    <w:rsid w:val="009133C8"/>
    <w:rsid w:val="009133DC"/>
    <w:rsid w:val="0091362F"/>
    <w:rsid w:val="0091365F"/>
    <w:rsid w:val="009136BC"/>
    <w:rsid w:val="0091377A"/>
    <w:rsid w:val="0091378B"/>
    <w:rsid w:val="00913B5A"/>
    <w:rsid w:val="00913D18"/>
    <w:rsid w:val="00913E2E"/>
    <w:rsid w:val="00913E51"/>
    <w:rsid w:val="00913E84"/>
    <w:rsid w:val="00913EC1"/>
    <w:rsid w:val="00913F42"/>
    <w:rsid w:val="00913F8F"/>
    <w:rsid w:val="00913F97"/>
    <w:rsid w:val="009144D5"/>
    <w:rsid w:val="009144ED"/>
    <w:rsid w:val="009145D0"/>
    <w:rsid w:val="00914657"/>
    <w:rsid w:val="009147DA"/>
    <w:rsid w:val="009149E9"/>
    <w:rsid w:val="00914A45"/>
    <w:rsid w:val="00914AEA"/>
    <w:rsid w:val="00914BDD"/>
    <w:rsid w:val="00914C0A"/>
    <w:rsid w:val="00914CD6"/>
    <w:rsid w:val="00914F8C"/>
    <w:rsid w:val="009151A0"/>
    <w:rsid w:val="009151AA"/>
    <w:rsid w:val="00915301"/>
    <w:rsid w:val="0091530B"/>
    <w:rsid w:val="009153BA"/>
    <w:rsid w:val="0091550F"/>
    <w:rsid w:val="00915520"/>
    <w:rsid w:val="0091553B"/>
    <w:rsid w:val="009155DA"/>
    <w:rsid w:val="00915764"/>
    <w:rsid w:val="009159E2"/>
    <w:rsid w:val="00915AC6"/>
    <w:rsid w:val="00915BBA"/>
    <w:rsid w:val="00915BD0"/>
    <w:rsid w:val="00915C4D"/>
    <w:rsid w:val="00915CF9"/>
    <w:rsid w:val="00915ECA"/>
    <w:rsid w:val="00915F1E"/>
    <w:rsid w:val="00915F7F"/>
    <w:rsid w:val="009162B2"/>
    <w:rsid w:val="0091635B"/>
    <w:rsid w:val="0091639A"/>
    <w:rsid w:val="00916410"/>
    <w:rsid w:val="00916438"/>
    <w:rsid w:val="009166FA"/>
    <w:rsid w:val="0091679F"/>
    <w:rsid w:val="009169F6"/>
    <w:rsid w:val="00916BC8"/>
    <w:rsid w:val="00916C21"/>
    <w:rsid w:val="00916C3B"/>
    <w:rsid w:val="00916D63"/>
    <w:rsid w:val="00916DB4"/>
    <w:rsid w:val="00916DD6"/>
    <w:rsid w:val="00916EBB"/>
    <w:rsid w:val="00917019"/>
    <w:rsid w:val="00917026"/>
    <w:rsid w:val="0091702A"/>
    <w:rsid w:val="0091718A"/>
    <w:rsid w:val="0091733B"/>
    <w:rsid w:val="0091733F"/>
    <w:rsid w:val="00917419"/>
    <w:rsid w:val="009174D8"/>
    <w:rsid w:val="00917571"/>
    <w:rsid w:val="00917607"/>
    <w:rsid w:val="00917641"/>
    <w:rsid w:val="00917907"/>
    <w:rsid w:val="00917B2F"/>
    <w:rsid w:val="00917C7A"/>
    <w:rsid w:val="00917FA8"/>
    <w:rsid w:val="0092002C"/>
    <w:rsid w:val="00920214"/>
    <w:rsid w:val="009204A9"/>
    <w:rsid w:val="009205C3"/>
    <w:rsid w:val="0092069C"/>
    <w:rsid w:val="00920799"/>
    <w:rsid w:val="009208A1"/>
    <w:rsid w:val="009209E4"/>
    <w:rsid w:val="00920B83"/>
    <w:rsid w:val="00920CB4"/>
    <w:rsid w:val="00920D29"/>
    <w:rsid w:val="00920DB4"/>
    <w:rsid w:val="00920DE2"/>
    <w:rsid w:val="00920E38"/>
    <w:rsid w:val="00920ED9"/>
    <w:rsid w:val="009211D3"/>
    <w:rsid w:val="00921281"/>
    <w:rsid w:val="0092136D"/>
    <w:rsid w:val="009213A1"/>
    <w:rsid w:val="009213D5"/>
    <w:rsid w:val="0092150B"/>
    <w:rsid w:val="009216D3"/>
    <w:rsid w:val="00921974"/>
    <w:rsid w:val="00921B97"/>
    <w:rsid w:val="00921C4A"/>
    <w:rsid w:val="00921C6C"/>
    <w:rsid w:val="009220FD"/>
    <w:rsid w:val="009223DD"/>
    <w:rsid w:val="00922425"/>
    <w:rsid w:val="00922495"/>
    <w:rsid w:val="0092257D"/>
    <w:rsid w:val="009227B3"/>
    <w:rsid w:val="009228B6"/>
    <w:rsid w:val="0092295C"/>
    <w:rsid w:val="00922AC0"/>
    <w:rsid w:val="00922AC4"/>
    <w:rsid w:val="00922B58"/>
    <w:rsid w:val="00922BA9"/>
    <w:rsid w:val="00923012"/>
    <w:rsid w:val="0092317E"/>
    <w:rsid w:val="0092376F"/>
    <w:rsid w:val="009238FF"/>
    <w:rsid w:val="00923974"/>
    <w:rsid w:val="009239B6"/>
    <w:rsid w:val="00923ACE"/>
    <w:rsid w:val="00923C0E"/>
    <w:rsid w:val="00923CB9"/>
    <w:rsid w:val="00923D20"/>
    <w:rsid w:val="0092419D"/>
    <w:rsid w:val="009243D4"/>
    <w:rsid w:val="009247EA"/>
    <w:rsid w:val="00924901"/>
    <w:rsid w:val="00924B7D"/>
    <w:rsid w:val="00924CE1"/>
    <w:rsid w:val="00924D78"/>
    <w:rsid w:val="00924E16"/>
    <w:rsid w:val="00924E31"/>
    <w:rsid w:val="00924F03"/>
    <w:rsid w:val="0092518A"/>
    <w:rsid w:val="00925340"/>
    <w:rsid w:val="0092534E"/>
    <w:rsid w:val="00925448"/>
    <w:rsid w:val="0092544A"/>
    <w:rsid w:val="009256E4"/>
    <w:rsid w:val="00925723"/>
    <w:rsid w:val="009257B8"/>
    <w:rsid w:val="00925805"/>
    <w:rsid w:val="00925888"/>
    <w:rsid w:val="00925A94"/>
    <w:rsid w:val="00925B01"/>
    <w:rsid w:val="00925C88"/>
    <w:rsid w:val="00925DD3"/>
    <w:rsid w:val="00925E1B"/>
    <w:rsid w:val="00925FAF"/>
    <w:rsid w:val="00925FD2"/>
    <w:rsid w:val="0092632E"/>
    <w:rsid w:val="00926374"/>
    <w:rsid w:val="00926375"/>
    <w:rsid w:val="00926484"/>
    <w:rsid w:val="00926526"/>
    <w:rsid w:val="00926694"/>
    <w:rsid w:val="009267E9"/>
    <w:rsid w:val="00926A15"/>
    <w:rsid w:val="00926B30"/>
    <w:rsid w:val="00926BEC"/>
    <w:rsid w:val="00926C5D"/>
    <w:rsid w:val="00926CAC"/>
    <w:rsid w:val="00926CFC"/>
    <w:rsid w:val="00926D14"/>
    <w:rsid w:val="0092703D"/>
    <w:rsid w:val="009272EB"/>
    <w:rsid w:val="00927404"/>
    <w:rsid w:val="0092761F"/>
    <w:rsid w:val="0092768D"/>
    <w:rsid w:val="00927701"/>
    <w:rsid w:val="00927713"/>
    <w:rsid w:val="0092781F"/>
    <w:rsid w:val="0092787C"/>
    <w:rsid w:val="00927896"/>
    <w:rsid w:val="00927BC6"/>
    <w:rsid w:val="00927EDF"/>
    <w:rsid w:val="0093015F"/>
    <w:rsid w:val="009301C0"/>
    <w:rsid w:val="0093049C"/>
    <w:rsid w:val="0093057A"/>
    <w:rsid w:val="009305C3"/>
    <w:rsid w:val="009305D9"/>
    <w:rsid w:val="00930785"/>
    <w:rsid w:val="009309F1"/>
    <w:rsid w:val="00930A7E"/>
    <w:rsid w:val="00930AB3"/>
    <w:rsid w:val="00930C72"/>
    <w:rsid w:val="00930CB8"/>
    <w:rsid w:val="00930CDA"/>
    <w:rsid w:val="00930E1E"/>
    <w:rsid w:val="00930E20"/>
    <w:rsid w:val="00930EAD"/>
    <w:rsid w:val="009310F3"/>
    <w:rsid w:val="009310F8"/>
    <w:rsid w:val="00931149"/>
    <w:rsid w:val="0093116A"/>
    <w:rsid w:val="0093120E"/>
    <w:rsid w:val="00931219"/>
    <w:rsid w:val="00931231"/>
    <w:rsid w:val="009312B9"/>
    <w:rsid w:val="009313DF"/>
    <w:rsid w:val="0093157D"/>
    <w:rsid w:val="009315D3"/>
    <w:rsid w:val="00931714"/>
    <w:rsid w:val="00931849"/>
    <w:rsid w:val="0093184A"/>
    <w:rsid w:val="0093185A"/>
    <w:rsid w:val="009318B9"/>
    <w:rsid w:val="00931908"/>
    <w:rsid w:val="00931ABE"/>
    <w:rsid w:val="00931BC7"/>
    <w:rsid w:val="00931D45"/>
    <w:rsid w:val="00931E1F"/>
    <w:rsid w:val="00932160"/>
    <w:rsid w:val="00932196"/>
    <w:rsid w:val="009321C2"/>
    <w:rsid w:val="00932427"/>
    <w:rsid w:val="00932464"/>
    <w:rsid w:val="00932522"/>
    <w:rsid w:val="009326D9"/>
    <w:rsid w:val="00932814"/>
    <w:rsid w:val="00932971"/>
    <w:rsid w:val="0093298E"/>
    <w:rsid w:val="00932C91"/>
    <w:rsid w:val="00932D03"/>
    <w:rsid w:val="00932D83"/>
    <w:rsid w:val="00932DE2"/>
    <w:rsid w:val="00932ED9"/>
    <w:rsid w:val="00932FFF"/>
    <w:rsid w:val="0093332E"/>
    <w:rsid w:val="00933344"/>
    <w:rsid w:val="009333B9"/>
    <w:rsid w:val="00933467"/>
    <w:rsid w:val="009334F7"/>
    <w:rsid w:val="00933566"/>
    <w:rsid w:val="0093361A"/>
    <w:rsid w:val="009336C7"/>
    <w:rsid w:val="0093389A"/>
    <w:rsid w:val="009338E8"/>
    <w:rsid w:val="00933999"/>
    <w:rsid w:val="009339BE"/>
    <w:rsid w:val="00933B82"/>
    <w:rsid w:val="00933CD2"/>
    <w:rsid w:val="00933E39"/>
    <w:rsid w:val="00933EBE"/>
    <w:rsid w:val="00933FD2"/>
    <w:rsid w:val="009342D1"/>
    <w:rsid w:val="009343A1"/>
    <w:rsid w:val="009343E9"/>
    <w:rsid w:val="00934635"/>
    <w:rsid w:val="009346D6"/>
    <w:rsid w:val="00934763"/>
    <w:rsid w:val="0093480B"/>
    <w:rsid w:val="00934812"/>
    <w:rsid w:val="00934883"/>
    <w:rsid w:val="00934A37"/>
    <w:rsid w:val="00934C7E"/>
    <w:rsid w:val="00934E1C"/>
    <w:rsid w:val="00934E46"/>
    <w:rsid w:val="00934EC3"/>
    <w:rsid w:val="00934EF9"/>
    <w:rsid w:val="00934F77"/>
    <w:rsid w:val="00935024"/>
    <w:rsid w:val="0093502C"/>
    <w:rsid w:val="0093550D"/>
    <w:rsid w:val="00935557"/>
    <w:rsid w:val="0093555A"/>
    <w:rsid w:val="009359D9"/>
    <w:rsid w:val="00935DCE"/>
    <w:rsid w:val="00935DF0"/>
    <w:rsid w:val="00935DF3"/>
    <w:rsid w:val="00936056"/>
    <w:rsid w:val="00936208"/>
    <w:rsid w:val="0093623F"/>
    <w:rsid w:val="0093632A"/>
    <w:rsid w:val="0093637F"/>
    <w:rsid w:val="009363B7"/>
    <w:rsid w:val="00936446"/>
    <w:rsid w:val="0093647E"/>
    <w:rsid w:val="00936560"/>
    <w:rsid w:val="0093658E"/>
    <w:rsid w:val="00936886"/>
    <w:rsid w:val="00936A17"/>
    <w:rsid w:val="00936BBF"/>
    <w:rsid w:val="00936C47"/>
    <w:rsid w:val="00936CFD"/>
    <w:rsid w:val="00936DCA"/>
    <w:rsid w:val="00936E52"/>
    <w:rsid w:val="00936E87"/>
    <w:rsid w:val="00936EEA"/>
    <w:rsid w:val="00936F09"/>
    <w:rsid w:val="00937159"/>
    <w:rsid w:val="009372D3"/>
    <w:rsid w:val="0093764B"/>
    <w:rsid w:val="00937742"/>
    <w:rsid w:val="00937A22"/>
    <w:rsid w:val="00937A39"/>
    <w:rsid w:val="00937BEB"/>
    <w:rsid w:val="00937C72"/>
    <w:rsid w:val="00937D94"/>
    <w:rsid w:val="00937DF2"/>
    <w:rsid w:val="00937E3F"/>
    <w:rsid w:val="009400E7"/>
    <w:rsid w:val="009401DB"/>
    <w:rsid w:val="009405F2"/>
    <w:rsid w:val="009408D9"/>
    <w:rsid w:val="0094091B"/>
    <w:rsid w:val="0094097E"/>
    <w:rsid w:val="00940A8A"/>
    <w:rsid w:val="00940B54"/>
    <w:rsid w:val="00940C80"/>
    <w:rsid w:val="00940CBF"/>
    <w:rsid w:val="00940E48"/>
    <w:rsid w:val="00940E54"/>
    <w:rsid w:val="00940EC4"/>
    <w:rsid w:val="00940F92"/>
    <w:rsid w:val="00940F93"/>
    <w:rsid w:val="00940FB1"/>
    <w:rsid w:val="009410CE"/>
    <w:rsid w:val="009410DB"/>
    <w:rsid w:val="00941158"/>
    <w:rsid w:val="009413A9"/>
    <w:rsid w:val="009413B8"/>
    <w:rsid w:val="009418DD"/>
    <w:rsid w:val="009419D5"/>
    <w:rsid w:val="009419E2"/>
    <w:rsid w:val="00941A97"/>
    <w:rsid w:val="00941C83"/>
    <w:rsid w:val="00941DCB"/>
    <w:rsid w:val="00941DF9"/>
    <w:rsid w:val="00941ED2"/>
    <w:rsid w:val="0094212E"/>
    <w:rsid w:val="009421DE"/>
    <w:rsid w:val="009423C5"/>
    <w:rsid w:val="00942452"/>
    <w:rsid w:val="00942612"/>
    <w:rsid w:val="009426AF"/>
    <w:rsid w:val="0094270A"/>
    <w:rsid w:val="00942727"/>
    <w:rsid w:val="009427DD"/>
    <w:rsid w:val="00942830"/>
    <w:rsid w:val="0094284F"/>
    <w:rsid w:val="00942898"/>
    <w:rsid w:val="00942AE8"/>
    <w:rsid w:val="00942C93"/>
    <w:rsid w:val="00942E80"/>
    <w:rsid w:val="00942EC6"/>
    <w:rsid w:val="00943432"/>
    <w:rsid w:val="0094349E"/>
    <w:rsid w:val="0094375C"/>
    <w:rsid w:val="009437BE"/>
    <w:rsid w:val="009438A3"/>
    <w:rsid w:val="009438DD"/>
    <w:rsid w:val="00943908"/>
    <w:rsid w:val="00943A06"/>
    <w:rsid w:val="00943A7C"/>
    <w:rsid w:val="00943AF8"/>
    <w:rsid w:val="00943B3F"/>
    <w:rsid w:val="00943B8B"/>
    <w:rsid w:val="00943D62"/>
    <w:rsid w:val="00943DCD"/>
    <w:rsid w:val="00943EB0"/>
    <w:rsid w:val="00943F4A"/>
    <w:rsid w:val="0094406F"/>
    <w:rsid w:val="0094413C"/>
    <w:rsid w:val="00944363"/>
    <w:rsid w:val="00944550"/>
    <w:rsid w:val="0094456C"/>
    <w:rsid w:val="0094457D"/>
    <w:rsid w:val="0094459D"/>
    <w:rsid w:val="009445ED"/>
    <w:rsid w:val="00944882"/>
    <w:rsid w:val="009448AC"/>
    <w:rsid w:val="00944990"/>
    <w:rsid w:val="0094499A"/>
    <w:rsid w:val="0094499B"/>
    <w:rsid w:val="00944A88"/>
    <w:rsid w:val="00944C73"/>
    <w:rsid w:val="00944E2D"/>
    <w:rsid w:val="00944EBA"/>
    <w:rsid w:val="00944F9E"/>
    <w:rsid w:val="00945082"/>
    <w:rsid w:val="00945353"/>
    <w:rsid w:val="00945688"/>
    <w:rsid w:val="00945696"/>
    <w:rsid w:val="009457B7"/>
    <w:rsid w:val="009459B4"/>
    <w:rsid w:val="00945AAC"/>
    <w:rsid w:val="00945BBE"/>
    <w:rsid w:val="00945CB5"/>
    <w:rsid w:val="00945DFB"/>
    <w:rsid w:val="00945E6A"/>
    <w:rsid w:val="0094600D"/>
    <w:rsid w:val="009460A3"/>
    <w:rsid w:val="00946148"/>
    <w:rsid w:val="009461CC"/>
    <w:rsid w:val="009462DF"/>
    <w:rsid w:val="00946350"/>
    <w:rsid w:val="0094649E"/>
    <w:rsid w:val="009464B1"/>
    <w:rsid w:val="0094663C"/>
    <w:rsid w:val="0094667B"/>
    <w:rsid w:val="00946725"/>
    <w:rsid w:val="0094676F"/>
    <w:rsid w:val="0094681A"/>
    <w:rsid w:val="0094682A"/>
    <w:rsid w:val="0094699F"/>
    <w:rsid w:val="00946B71"/>
    <w:rsid w:val="00946EEC"/>
    <w:rsid w:val="00946FD8"/>
    <w:rsid w:val="00947377"/>
    <w:rsid w:val="0094738B"/>
    <w:rsid w:val="00947507"/>
    <w:rsid w:val="0094753B"/>
    <w:rsid w:val="00947647"/>
    <w:rsid w:val="0094765D"/>
    <w:rsid w:val="0094776D"/>
    <w:rsid w:val="009477E4"/>
    <w:rsid w:val="0094788D"/>
    <w:rsid w:val="0094791C"/>
    <w:rsid w:val="0094794C"/>
    <w:rsid w:val="00947B3D"/>
    <w:rsid w:val="00947CDC"/>
    <w:rsid w:val="00947F4F"/>
    <w:rsid w:val="00950318"/>
    <w:rsid w:val="0095042D"/>
    <w:rsid w:val="009504E3"/>
    <w:rsid w:val="009507DE"/>
    <w:rsid w:val="009509B2"/>
    <w:rsid w:val="00950A28"/>
    <w:rsid w:val="00950BBC"/>
    <w:rsid w:val="00950C4A"/>
    <w:rsid w:val="00950C91"/>
    <w:rsid w:val="00950EBD"/>
    <w:rsid w:val="00950F81"/>
    <w:rsid w:val="009511E0"/>
    <w:rsid w:val="00951280"/>
    <w:rsid w:val="009512A6"/>
    <w:rsid w:val="009512E1"/>
    <w:rsid w:val="00951345"/>
    <w:rsid w:val="00951570"/>
    <w:rsid w:val="00951654"/>
    <w:rsid w:val="00951928"/>
    <w:rsid w:val="00951CC8"/>
    <w:rsid w:val="00951DFF"/>
    <w:rsid w:val="00951EE3"/>
    <w:rsid w:val="00951F59"/>
    <w:rsid w:val="00952004"/>
    <w:rsid w:val="00952037"/>
    <w:rsid w:val="00952138"/>
    <w:rsid w:val="00952336"/>
    <w:rsid w:val="009523F1"/>
    <w:rsid w:val="00952647"/>
    <w:rsid w:val="00952D12"/>
    <w:rsid w:val="00952E3A"/>
    <w:rsid w:val="00952E90"/>
    <w:rsid w:val="00952FCC"/>
    <w:rsid w:val="0095342B"/>
    <w:rsid w:val="00953570"/>
    <w:rsid w:val="009535CC"/>
    <w:rsid w:val="009536A1"/>
    <w:rsid w:val="00953857"/>
    <w:rsid w:val="009538AA"/>
    <w:rsid w:val="009538B9"/>
    <w:rsid w:val="00953B23"/>
    <w:rsid w:val="00953B5F"/>
    <w:rsid w:val="00953C50"/>
    <w:rsid w:val="00953D08"/>
    <w:rsid w:val="00953D85"/>
    <w:rsid w:val="00953E6B"/>
    <w:rsid w:val="00953EA1"/>
    <w:rsid w:val="00953F26"/>
    <w:rsid w:val="00953F41"/>
    <w:rsid w:val="009540C5"/>
    <w:rsid w:val="00954244"/>
    <w:rsid w:val="00954383"/>
    <w:rsid w:val="00954385"/>
    <w:rsid w:val="009543F5"/>
    <w:rsid w:val="00954462"/>
    <w:rsid w:val="009546F4"/>
    <w:rsid w:val="0095475F"/>
    <w:rsid w:val="00954917"/>
    <w:rsid w:val="009549A0"/>
    <w:rsid w:val="00954D10"/>
    <w:rsid w:val="00954D18"/>
    <w:rsid w:val="00954F0F"/>
    <w:rsid w:val="00955065"/>
    <w:rsid w:val="009550BD"/>
    <w:rsid w:val="009551AF"/>
    <w:rsid w:val="009551EA"/>
    <w:rsid w:val="0095520A"/>
    <w:rsid w:val="0095531A"/>
    <w:rsid w:val="0095535C"/>
    <w:rsid w:val="00955398"/>
    <w:rsid w:val="00955484"/>
    <w:rsid w:val="0095567F"/>
    <w:rsid w:val="00955717"/>
    <w:rsid w:val="00955735"/>
    <w:rsid w:val="0095574F"/>
    <w:rsid w:val="009557A2"/>
    <w:rsid w:val="0095587F"/>
    <w:rsid w:val="0095589B"/>
    <w:rsid w:val="00955907"/>
    <w:rsid w:val="00955AEB"/>
    <w:rsid w:val="00955BBE"/>
    <w:rsid w:val="00955E57"/>
    <w:rsid w:val="00955ED3"/>
    <w:rsid w:val="00955F2D"/>
    <w:rsid w:val="00956068"/>
    <w:rsid w:val="00956071"/>
    <w:rsid w:val="009561AE"/>
    <w:rsid w:val="00956283"/>
    <w:rsid w:val="009562D5"/>
    <w:rsid w:val="009562E0"/>
    <w:rsid w:val="009563DD"/>
    <w:rsid w:val="009563E9"/>
    <w:rsid w:val="00956464"/>
    <w:rsid w:val="00956796"/>
    <w:rsid w:val="00956978"/>
    <w:rsid w:val="00956AF0"/>
    <w:rsid w:val="00956C21"/>
    <w:rsid w:val="00956CDF"/>
    <w:rsid w:val="00956E51"/>
    <w:rsid w:val="00956EB6"/>
    <w:rsid w:val="00956EDB"/>
    <w:rsid w:val="00956EF8"/>
    <w:rsid w:val="00956F4F"/>
    <w:rsid w:val="00956FA5"/>
    <w:rsid w:val="009570AE"/>
    <w:rsid w:val="009571C1"/>
    <w:rsid w:val="00957210"/>
    <w:rsid w:val="00957229"/>
    <w:rsid w:val="00957251"/>
    <w:rsid w:val="009575E5"/>
    <w:rsid w:val="00957677"/>
    <w:rsid w:val="00957684"/>
    <w:rsid w:val="009577D9"/>
    <w:rsid w:val="00957894"/>
    <w:rsid w:val="00957A3B"/>
    <w:rsid w:val="00957D1E"/>
    <w:rsid w:val="00957D21"/>
    <w:rsid w:val="00957F87"/>
    <w:rsid w:val="00957FB6"/>
    <w:rsid w:val="00960233"/>
    <w:rsid w:val="00960458"/>
    <w:rsid w:val="009604A3"/>
    <w:rsid w:val="009604B2"/>
    <w:rsid w:val="00960556"/>
    <w:rsid w:val="0096059F"/>
    <w:rsid w:val="0096063D"/>
    <w:rsid w:val="009606F3"/>
    <w:rsid w:val="00960738"/>
    <w:rsid w:val="00960818"/>
    <w:rsid w:val="00960887"/>
    <w:rsid w:val="00960AEA"/>
    <w:rsid w:val="00960B3E"/>
    <w:rsid w:val="00960B82"/>
    <w:rsid w:val="00960B88"/>
    <w:rsid w:val="00960C16"/>
    <w:rsid w:val="00960C6C"/>
    <w:rsid w:val="00960D2E"/>
    <w:rsid w:val="00960D5B"/>
    <w:rsid w:val="00960DA8"/>
    <w:rsid w:val="00960DB0"/>
    <w:rsid w:val="00960E56"/>
    <w:rsid w:val="00960F28"/>
    <w:rsid w:val="00960F50"/>
    <w:rsid w:val="00960F54"/>
    <w:rsid w:val="00960F56"/>
    <w:rsid w:val="00960F6E"/>
    <w:rsid w:val="00960FFE"/>
    <w:rsid w:val="0096104B"/>
    <w:rsid w:val="0096106A"/>
    <w:rsid w:val="009610EB"/>
    <w:rsid w:val="00961246"/>
    <w:rsid w:val="00961270"/>
    <w:rsid w:val="00961280"/>
    <w:rsid w:val="00961294"/>
    <w:rsid w:val="00961522"/>
    <w:rsid w:val="00961640"/>
    <w:rsid w:val="00961910"/>
    <w:rsid w:val="00961964"/>
    <w:rsid w:val="00961A06"/>
    <w:rsid w:val="00961B5C"/>
    <w:rsid w:val="00961B66"/>
    <w:rsid w:val="00961C99"/>
    <w:rsid w:val="00961DC3"/>
    <w:rsid w:val="00961FDF"/>
    <w:rsid w:val="0096214D"/>
    <w:rsid w:val="009621C6"/>
    <w:rsid w:val="009622D9"/>
    <w:rsid w:val="0096245C"/>
    <w:rsid w:val="0096256F"/>
    <w:rsid w:val="00962572"/>
    <w:rsid w:val="009625BE"/>
    <w:rsid w:val="00962635"/>
    <w:rsid w:val="00962656"/>
    <w:rsid w:val="00962761"/>
    <w:rsid w:val="009628EE"/>
    <w:rsid w:val="009629F1"/>
    <w:rsid w:val="00962A35"/>
    <w:rsid w:val="00962A93"/>
    <w:rsid w:val="00962B84"/>
    <w:rsid w:val="00962BEC"/>
    <w:rsid w:val="00962E49"/>
    <w:rsid w:val="00962E80"/>
    <w:rsid w:val="0096306D"/>
    <w:rsid w:val="009631BA"/>
    <w:rsid w:val="009632FA"/>
    <w:rsid w:val="00963332"/>
    <w:rsid w:val="00963517"/>
    <w:rsid w:val="00963648"/>
    <w:rsid w:val="00963678"/>
    <w:rsid w:val="00963723"/>
    <w:rsid w:val="0096379E"/>
    <w:rsid w:val="009637A7"/>
    <w:rsid w:val="00963912"/>
    <w:rsid w:val="00963981"/>
    <w:rsid w:val="00963B3F"/>
    <w:rsid w:val="00963B5D"/>
    <w:rsid w:val="00963E39"/>
    <w:rsid w:val="00963FFA"/>
    <w:rsid w:val="00964042"/>
    <w:rsid w:val="009641B6"/>
    <w:rsid w:val="00964528"/>
    <w:rsid w:val="009646A7"/>
    <w:rsid w:val="009647DE"/>
    <w:rsid w:val="009648F0"/>
    <w:rsid w:val="00964A0A"/>
    <w:rsid w:val="00964B12"/>
    <w:rsid w:val="00964CBC"/>
    <w:rsid w:val="00964D54"/>
    <w:rsid w:val="00964DE1"/>
    <w:rsid w:val="00965205"/>
    <w:rsid w:val="0096520A"/>
    <w:rsid w:val="0096525B"/>
    <w:rsid w:val="009652DC"/>
    <w:rsid w:val="009652E0"/>
    <w:rsid w:val="00965390"/>
    <w:rsid w:val="00965447"/>
    <w:rsid w:val="009655A1"/>
    <w:rsid w:val="00965763"/>
    <w:rsid w:val="0096576C"/>
    <w:rsid w:val="00965A01"/>
    <w:rsid w:val="00965A5C"/>
    <w:rsid w:val="00965D47"/>
    <w:rsid w:val="00965D71"/>
    <w:rsid w:val="00965FDE"/>
    <w:rsid w:val="0096602E"/>
    <w:rsid w:val="009660E1"/>
    <w:rsid w:val="0096621E"/>
    <w:rsid w:val="009663AC"/>
    <w:rsid w:val="00966438"/>
    <w:rsid w:val="0096644B"/>
    <w:rsid w:val="009664A8"/>
    <w:rsid w:val="009664C0"/>
    <w:rsid w:val="00966733"/>
    <w:rsid w:val="0096677C"/>
    <w:rsid w:val="009667AE"/>
    <w:rsid w:val="00966975"/>
    <w:rsid w:val="00966A27"/>
    <w:rsid w:val="00966AD1"/>
    <w:rsid w:val="00966BF2"/>
    <w:rsid w:val="00966C4B"/>
    <w:rsid w:val="00966D2E"/>
    <w:rsid w:val="00966D6B"/>
    <w:rsid w:val="00966E01"/>
    <w:rsid w:val="00966E8A"/>
    <w:rsid w:val="00966FBA"/>
    <w:rsid w:val="009671E5"/>
    <w:rsid w:val="009671ED"/>
    <w:rsid w:val="00967325"/>
    <w:rsid w:val="00967379"/>
    <w:rsid w:val="0096744E"/>
    <w:rsid w:val="009676B7"/>
    <w:rsid w:val="0096775A"/>
    <w:rsid w:val="00967820"/>
    <w:rsid w:val="0096787C"/>
    <w:rsid w:val="0096790C"/>
    <w:rsid w:val="00967912"/>
    <w:rsid w:val="00967ABB"/>
    <w:rsid w:val="00967BD0"/>
    <w:rsid w:val="00967D3C"/>
    <w:rsid w:val="00967D79"/>
    <w:rsid w:val="00967E31"/>
    <w:rsid w:val="0097022E"/>
    <w:rsid w:val="00970267"/>
    <w:rsid w:val="009702A2"/>
    <w:rsid w:val="00970387"/>
    <w:rsid w:val="0097047E"/>
    <w:rsid w:val="009704BA"/>
    <w:rsid w:val="00970632"/>
    <w:rsid w:val="0097069C"/>
    <w:rsid w:val="00970771"/>
    <w:rsid w:val="009707BF"/>
    <w:rsid w:val="00970908"/>
    <w:rsid w:val="009709D3"/>
    <w:rsid w:val="00970A89"/>
    <w:rsid w:val="00970B49"/>
    <w:rsid w:val="00970D82"/>
    <w:rsid w:val="00970E42"/>
    <w:rsid w:val="00970E7C"/>
    <w:rsid w:val="00971110"/>
    <w:rsid w:val="00971154"/>
    <w:rsid w:val="009712BF"/>
    <w:rsid w:val="0097137D"/>
    <w:rsid w:val="0097145E"/>
    <w:rsid w:val="00971571"/>
    <w:rsid w:val="009716FF"/>
    <w:rsid w:val="009717F7"/>
    <w:rsid w:val="00971819"/>
    <w:rsid w:val="009718B9"/>
    <w:rsid w:val="009718FF"/>
    <w:rsid w:val="00971BF7"/>
    <w:rsid w:val="009721E4"/>
    <w:rsid w:val="00972208"/>
    <w:rsid w:val="00972260"/>
    <w:rsid w:val="00972280"/>
    <w:rsid w:val="00972363"/>
    <w:rsid w:val="009723DD"/>
    <w:rsid w:val="009723F0"/>
    <w:rsid w:val="009725E2"/>
    <w:rsid w:val="0097285E"/>
    <w:rsid w:val="00972A3C"/>
    <w:rsid w:val="00972A71"/>
    <w:rsid w:val="00972AD2"/>
    <w:rsid w:val="00972C83"/>
    <w:rsid w:val="00972DB1"/>
    <w:rsid w:val="00972E1B"/>
    <w:rsid w:val="00972E26"/>
    <w:rsid w:val="00972FC0"/>
    <w:rsid w:val="0097302B"/>
    <w:rsid w:val="00973130"/>
    <w:rsid w:val="0097324F"/>
    <w:rsid w:val="00973292"/>
    <w:rsid w:val="009735C4"/>
    <w:rsid w:val="009735CA"/>
    <w:rsid w:val="009737A0"/>
    <w:rsid w:val="0097388B"/>
    <w:rsid w:val="00973992"/>
    <w:rsid w:val="00973B2E"/>
    <w:rsid w:val="00973DF8"/>
    <w:rsid w:val="00973E63"/>
    <w:rsid w:val="00973EED"/>
    <w:rsid w:val="00973FA6"/>
    <w:rsid w:val="00974066"/>
    <w:rsid w:val="0097412B"/>
    <w:rsid w:val="0097414F"/>
    <w:rsid w:val="009742D2"/>
    <w:rsid w:val="0097443B"/>
    <w:rsid w:val="0097448C"/>
    <w:rsid w:val="00974679"/>
    <w:rsid w:val="00974713"/>
    <w:rsid w:val="009747BE"/>
    <w:rsid w:val="009747ED"/>
    <w:rsid w:val="00974801"/>
    <w:rsid w:val="0097484F"/>
    <w:rsid w:val="00974879"/>
    <w:rsid w:val="009749F3"/>
    <w:rsid w:val="00974A16"/>
    <w:rsid w:val="00974A83"/>
    <w:rsid w:val="00974B10"/>
    <w:rsid w:val="00974B9A"/>
    <w:rsid w:val="00974BCC"/>
    <w:rsid w:val="00974CB6"/>
    <w:rsid w:val="00974D5D"/>
    <w:rsid w:val="00975059"/>
    <w:rsid w:val="009750E7"/>
    <w:rsid w:val="009753EF"/>
    <w:rsid w:val="009754F4"/>
    <w:rsid w:val="009755A7"/>
    <w:rsid w:val="009755D6"/>
    <w:rsid w:val="00975697"/>
    <w:rsid w:val="0097580C"/>
    <w:rsid w:val="009759A1"/>
    <w:rsid w:val="00975DD3"/>
    <w:rsid w:val="0097607C"/>
    <w:rsid w:val="0097609F"/>
    <w:rsid w:val="0097614F"/>
    <w:rsid w:val="0097630C"/>
    <w:rsid w:val="009763F8"/>
    <w:rsid w:val="00976402"/>
    <w:rsid w:val="009764CC"/>
    <w:rsid w:val="00976591"/>
    <w:rsid w:val="009766A3"/>
    <w:rsid w:val="009769A0"/>
    <w:rsid w:val="00976A6B"/>
    <w:rsid w:val="00976D49"/>
    <w:rsid w:val="00976DBF"/>
    <w:rsid w:val="00976E35"/>
    <w:rsid w:val="00976ECE"/>
    <w:rsid w:val="00976F5D"/>
    <w:rsid w:val="00977023"/>
    <w:rsid w:val="00977200"/>
    <w:rsid w:val="00977437"/>
    <w:rsid w:val="00977514"/>
    <w:rsid w:val="0097753B"/>
    <w:rsid w:val="009775F9"/>
    <w:rsid w:val="0097765C"/>
    <w:rsid w:val="009776E2"/>
    <w:rsid w:val="009777EA"/>
    <w:rsid w:val="00977839"/>
    <w:rsid w:val="00977A0C"/>
    <w:rsid w:val="00977AC0"/>
    <w:rsid w:val="00977DE8"/>
    <w:rsid w:val="00977E67"/>
    <w:rsid w:val="00977E9E"/>
    <w:rsid w:val="00977F78"/>
    <w:rsid w:val="009800FD"/>
    <w:rsid w:val="0098013A"/>
    <w:rsid w:val="009801B1"/>
    <w:rsid w:val="009801CF"/>
    <w:rsid w:val="009801FF"/>
    <w:rsid w:val="0098020C"/>
    <w:rsid w:val="009802F8"/>
    <w:rsid w:val="0098032C"/>
    <w:rsid w:val="0098060C"/>
    <w:rsid w:val="009806AE"/>
    <w:rsid w:val="00980887"/>
    <w:rsid w:val="009809E9"/>
    <w:rsid w:val="00980A8F"/>
    <w:rsid w:val="00980DC1"/>
    <w:rsid w:val="00980E27"/>
    <w:rsid w:val="00980E9F"/>
    <w:rsid w:val="00980F84"/>
    <w:rsid w:val="00980F86"/>
    <w:rsid w:val="0098102F"/>
    <w:rsid w:val="00981291"/>
    <w:rsid w:val="009812D7"/>
    <w:rsid w:val="00981425"/>
    <w:rsid w:val="00981684"/>
    <w:rsid w:val="009816B0"/>
    <w:rsid w:val="0098172A"/>
    <w:rsid w:val="009817FC"/>
    <w:rsid w:val="009818F4"/>
    <w:rsid w:val="0098194B"/>
    <w:rsid w:val="00981963"/>
    <w:rsid w:val="00981993"/>
    <w:rsid w:val="00981A33"/>
    <w:rsid w:val="00981A40"/>
    <w:rsid w:val="00981BF0"/>
    <w:rsid w:val="00981D5B"/>
    <w:rsid w:val="00981E22"/>
    <w:rsid w:val="00981EE6"/>
    <w:rsid w:val="00981F73"/>
    <w:rsid w:val="00981FF4"/>
    <w:rsid w:val="00982003"/>
    <w:rsid w:val="009822EA"/>
    <w:rsid w:val="009823A0"/>
    <w:rsid w:val="0098245B"/>
    <w:rsid w:val="00982550"/>
    <w:rsid w:val="00982720"/>
    <w:rsid w:val="00982788"/>
    <w:rsid w:val="0098285C"/>
    <w:rsid w:val="009829D2"/>
    <w:rsid w:val="00982A52"/>
    <w:rsid w:val="00982A80"/>
    <w:rsid w:val="00982B80"/>
    <w:rsid w:val="00982BBD"/>
    <w:rsid w:val="00982EDA"/>
    <w:rsid w:val="00983172"/>
    <w:rsid w:val="00983412"/>
    <w:rsid w:val="00983767"/>
    <w:rsid w:val="0098377D"/>
    <w:rsid w:val="00983939"/>
    <w:rsid w:val="00983BD5"/>
    <w:rsid w:val="00983C52"/>
    <w:rsid w:val="00983D86"/>
    <w:rsid w:val="00984021"/>
    <w:rsid w:val="009840D8"/>
    <w:rsid w:val="0098447A"/>
    <w:rsid w:val="0098451B"/>
    <w:rsid w:val="0098453C"/>
    <w:rsid w:val="00984658"/>
    <w:rsid w:val="0098474F"/>
    <w:rsid w:val="00984872"/>
    <w:rsid w:val="00984C24"/>
    <w:rsid w:val="00984F74"/>
    <w:rsid w:val="009850C6"/>
    <w:rsid w:val="00985247"/>
    <w:rsid w:val="00985606"/>
    <w:rsid w:val="009856CC"/>
    <w:rsid w:val="009857A0"/>
    <w:rsid w:val="009857BF"/>
    <w:rsid w:val="00985836"/>
    <w:rsid w:val="00985918"/>
    <w:rsid w:val="00985A26"/>
    <w:rsid w:val="00985A70"/>
    <w:rsid w:val="00985E2C"/>
    <w:rsid w:val="00985E40"/>
    <w:rsid w:val="00985EC0"/>
    <w:rsid w:val="00985ED0"/>
    <w:rsid w:val="00986037"/>
    <w:rsid w:val="00986038"/>
    <w:rsid w:val="00986078"/>
    <w:rsid w:val="009860B2"/>
    <w:rsid w:val="00986497"/>
    <w:rsid w:val="009864D6"/>
    <w:rsid w:val="00986516"/>
    <w:rsid w:val="00986627"/>
    <w:rsid w:val="00986783"/>
    <w:rsid w:val="00986875"/>
    <w:rsid w:val="00986A85"/>
    <w:rsid w:val="00986A95"/>
    <w:rsid w:val="00986B22"/>
    <w:rsid w:val="00986B5B"/>
    <w:rsid w:val="00986BD8"/>
    <w:rsid w:val="00986CF6"/>
    <w:rsid w:val="00986D6F"/>
    <w:rsid w:val="00986DAA"/>
    <w:rsid w:val="00987087"/>
    <w:rsid w:val="009871AC"/>
    <w:rsid w:val="00987256"/>
    <w:rsid w:val="0098727B"/>
    <w:rsid w:val="009872F0"/>
    <w:rsid w:val="009873C6"/>
    <w:rsid w:val="0098744E"/>
    <w:rsid w:val="009875B7"/>
    <w:rsid w:val="0098765A"/>
    <w:rsid w:val="0098765C"/>
    <w:rsid w:val="00987914"/>
    <w:rsid w:val="009879A3"/>
    <w:rsid w:val="00987C20"/>
    <w:rsid w:val="00987C29"/>
    <w:rsid w:val="00987C49"/>
    <w:rsid w:val="00987C83"/>
    <w:rsid w:val="00987D7A"/>
    <w:rsid w:val="00987DCA"/>
    <w:rsid w:val="00987E21"/>
    <w:rsid w:val="00987ECC"/>
    <w:rsid w:val="00990036"/>
    <w:rsid w:val="00990355"/>
    <w:rsid w:val="009903A3"/>
    <w:rsid w:val="009903B1"/>
    <w:rsid w:val="009904FB"/>
    <w:rsid w:val="0099059A"/>
    <w:rsid w:val="009905AF"/>
    <w:rsid w:val="00990621"/>
    <w:rsid w:val="00990AEA"/>
    <w:rsid w:val="00990B3E"/>
    <w:rsid w:val="00990B67"/>
    <w:rsid w:val="00990BD4"/>
    <w:rsid w:val="00990BDC"/>
    <w:rsid w:val="00991060"/>
    <w:rsid w:val="009911B0"/>
    <w:rsid w:val="0099127B"/>
    <w:rsid w:val="009912BA"/>
    <w:rsid w:val="0099130E"/>
    <w:rsid w:val="0099134E"/>
    <w:rsid w:val="0099137B"/>
    <w:rsid w:val="009915C0"/>
    <w:rsid w:val="009919C2"/>
    <w:rsid w:val="009919F6"/>
    <w:rsid w:val="00991C6C"/>
    <w:rsid w:val="00991CB6"/>
    <w:rsid w:val="00991D22"/>
    <w:rsid w:val="00991E2B"/>
    <w:rsid w:val="00991EA3"/>
    <w:rsid w:val="00991EC0"/>
    <w:rsid w:val="00991F99"/>
    <w:rsid w:val="00992092"/>
    <w:rsid w:val="0099272A"/>
    <w:rsid w:val="009927E5"/>
    <w:rsid w:val="00992B8E"/>
    <w:rsid w:val="00992D88"/>
    <w:rsid w:val="00992E4E"/>
    <w:rsid w:val="00993044"/>
    <w:rsid w:val="0099326F"/>
    <w:rsid w:val="009932BB"/>
    <w:rsid w:val="00993358"/>
    <w:rsid w:val="0099337D"/>
    <w:rsid w:val="0099338C"/>
    <w:rsid w:val="00993420"/>
    <w:rsid w:val="009935A5"/>
    <w:rsid w:val="0099378E"/>
    <w:rsid w:val="009937A9"/>
    <w:rsid w:val="00993826"/>
    <w:rsid w:val="009938A7"/>
    <w:rsid w:val="00993931"/>
    <w:rsid w:val="00993B70"/>
    <w:rsid w:val="00993C45"/>
    <w:rsid w:val="00993D5C"/>
    <w:rsid w:val="00993D6F"/>
    <w:rsid w:val="00993D9D"/>
    <w:rsid w:val="0099403E"/>
    <w:rsid w:val="009940AC"/>
    <w:rsid w:val="00994191"/>
    <w:rsid w:val="009941A7"/>
    <w:rsid w:val="009942DB"/>
    <w:rsid w:val="0099434C"/>
    <w:rsid w:val="009943F2"/>
    <w:rsid w:val="009944A0"/>
    <w:rsid w:val="00994568"/>
    <w:rsid w:val="0099463E"/>
    <w:rsid w:val="009947DE"/>
    <w:rsid w:val="00994848"/>
    <w:rsid w:val="00994942"/>
    <w:rsid w:val="00994CCE"/>
    <w:rsid w:val="00994D00"/>
    <w:rsid w:val="00994D04"/>
    <w:rsid w:val="00994F62"/>
    <w:rsid w:val="00994FA5"/>
    <w:rsid w:val="009950A4"/>
    <w:rsid w:val="009952ED"/>
    <w:rsid w:val="009953F4"/>
    <w:rsid w:val="0099589A"/>
    <w:rsid w:val="009958A3"/>
    <w:rsid w:val="009959DC"/>
    <w:rsid w:val="00995A30"/>
    <w:rsid w:val="00995A68"/>
    <w:rsid w:val="00995BB1"/>
    <w:rsid w:val="00995BC9"/>
    <w:rsid w:val="00995D38"/>
    <w:rsid w:val="00995FFB"/>
    <w:rsid w:val="0099609C"/>
    <w:rsid w:val="009960F7"/>
    <w:rsid w:val="009960FE"/>
    <w:rsid w:val="009961A6"/>
    <w:rsid w:val="00996626"/>
    <w:rsid w:val="009967BB"/>
    <w:rsid w:val="009967CD"/>
    <w:rsid w:val="00996842"/>
    <w:rsid w:val="00996855"/>
    <w:rsid w:val="00996986"/>
    <w:rsid w:val="00996A92"/>
    <w:rsid w:val="00996B87"/>
    <w:rsid w:val="00996ED3"/>
    <w:rsid w:val="00996FE3"/>
    <w:rsid w:val="0099709F"/>
    <w:rsid w:val="0099717F"/>
    <w:rsid w:val="009972D7"/>
    <w:rsid w:val="009972E9"/>
    <w:rsid w:val="0099749C"/>
    <w:rsid w:val="00997646"/>
    <w:rsid w:val="009977ED"/>
    <w:rsid w:val="00997922"/>
    <w:rsid w:val="00997BDB"/>
    <w:rsid w:val="00997DAE"/>
    <w:rsid w:val="00997DFC"/>
    <w:rsid w:val="00997E91"/>
    <w:rsid w:val="00997F12"/>
    <w:rsid w:val="009A018B"/>
    <w:rsid w:val="009A0224"/>
    <w:rsid w:val="009A0279"/>
    <w:rsid w:val="009A0293"/>
    <w:rsid w:val="009A02C1"/>
    <w:rsid w:val="009A04C1"/>
    <w:rsid w:val="009A0641"/>
    <w:rsid w:val="009A068C"/>
    <w:rsid w:val="009A06CF"/>
    <w:rsid w:val="009A072E"/>
    <w:rsid w:val="009A07F1"/>
    <w:rsid w:val="009A07FA"/>
    <w:rsid w:val="009A0863"/>
    <w:rsid w:val="009A0A01"/>
    <w:rsid w:val="009A0E8B"/>
    <w:rsid w:val="009A1099"/>
    <w:rsid w:val="009A136E"/>
    <w:rsid w:val="009A144B"/>
    <w:rsid w:val="009A14DE"/>
    <w:rsid w:val="009A171A"/>
    <w:rsid w:val="009A1813"/>
    <w:rsid w:val="009A1824"/>
    <w:rsid w:val="009A183C"/>
    <w:rsid w:val="009A1B72"/>
    <w:rsid w:val="009A1D1F"/>
    <w:rsid w:val="009A1D6F"/>
    <w:rsid w:val="009A1D88"/>
    <w:rsid w:val="009A1E7B"/>
    <w:rsid w:val="009A1EEC"/>
    <w:rsid w:val="009A21C0"/>
    <w:rsid w:val="009A26BF"/>
    <w:rsid w:val="009A2711"/>
    <w:rsid w:val="009A276D"/>
    <w:rsid w:val="009A280A"/>
    <w:rsid w:val="009A2820"/>
    <w:rsid w:val="009A2A2F"/>
    <w:rsid w:val="009A2A41"/>
    <w:rsid w:val="009A2ACD"/>
    <w:rsid w:val="009A2B63"/>
    <w:rsid w:val="009A2CEB"/>
    <w:rsid w:val="009A2DB1"/>
    <w:rsid w:val="009A2DFD"/>
    <w:rsid w:val="009A3127"/>
    <w:rsid w:val="009A32AE"/>
    <w:rsid w:val="009A3308"/>
    <w:rsid w:val="009A3605"/>
    <w:rsid w:val="009A3627"/>
    <w:rsid w:val="009A36F2"/>
    <w:rsid w:val="009A3766"/>
    <w:rsid w:val="009A3775"/>
    <w:rsid w:val="009A39D1"/>
    <w:rsid w:val="009A3AE4"/>
    <w:rsid w:val="009A3B21"/>
    <w:rsid w:val="009A3B2D"/>
    <w:rsid w:val="009A3C5F"/>
    <w:rsid w:val="009A3C63"/>
    <w:rsid w:val="009A3D7C"/>
    <w:rsid w:val="009A3DF8"/>
    <w:rsid w:val="009A3E3F"/>
    <w:rsid w:val="009A3E58"/>
    <w:rsid w:val="009A3EBC"/>
    <w:rsid w:val="009A3FEA"/>
    <w:rsid w:val="009A40CD"/>
    <w:rsid w:val="009A410A"/>
    <w:rsid w:val="009A41E2"/>
    <w:rsid w:val="009A435E"/>
    <w:rsid w:val="009A449B"/>
    <w:rsid w:val="009A44E9"/>
    <w:rsid w:val="009A4716"/>
    <w:rsid w:val="009A47D2"/>
    <w:rsid w:val="009A4874"/>
    <w:rsid w:val="009A4956"/>
    <w:rsid w:val="009A4AB5"/>
    <w:rsid w:val="009A4B18"/>
    <w:rsid w:val="009A4BB4"/>
    <w:rsid w:val="009A4C07"/>
    <w:rsid w:val="009A4CE0"/>
    <w:rsid w:val="009A4F35"/>
    <w:rsid w:val="009A516A"/>
    <w:rsid w:val="009A516E"/>
    <w:rsid w:val="009A51F4"/>
    <w:rsid w:val="009A5241"/>
    <w:rsid w:val="009A52CF"/>
    <w:rsid w:val="009A544A"/>
    <w:rsid w:val="009A54AD"/>
    <w:rsid w:val="009A56C3"/>
    <w:rsid w:val="009A56F2"/>
    <w:rsid w:val="009A5714"/>
    <w:rsid w:val="009A58D1"/>
    <w:rsid w:val="009A58FF"/>
    <w:rsid w:val="009A5954"/>
    <w:rsid w:val="009A5ADB"/>
    <w:rsid w:val="009A5B81"/>
    <w:rsid w:val="009A5D81"/>
    <w:rsid w:val="009A5FD6"/>
    <w:rsid w:val="009A640D"/>
    <w:rsid w:val="009A646E"/>
    <w:rsid w:val="009A6591"/>
    <w:rsid w:val="009A673C"/>
    <w:rsid w:val="009A6940"/>
    <w:rsid w:val="009A6AA0"/>
    <w:rsid w:val="009A6B05"/>
    <w:rsid w:val="009A6CEE"/>
    <w:rsid w:val="009A6E5E"/>
    <w:rsid w:val="009A6ED8"/>
    <w:rsid w:val="009A6F24"/>
    <w:rsid w:val="009A6F64"/>
    <w:rsid w:val="009A7034"/>
    <w:rsid w:val="009A7157"/>
    <w:rsid w:val="009A71F4"/>
    <w:rsid w:val="009A775B"/>
    <w:rsid w:val="009A775F"/>
    <w:rsid w:val="009A778B"/>
    <w:rsid w:val="009A7940"/>
    <w:rsid w:val="009A7A2C"/>
    <w:rsid w:val="009A7B09"/>
    <w:rsid w:val="009A7B38"/>
    <w:rsid w:val="009A7BBD"/>
    <w:rsid w:val="009A7CFB"/>
    <w:rsid w:val="009A7E3B"/>
    <w:rsid w:val="009A7EDA"/>
    <w:rsid w:val="009A7F08"/>
    <w:rsid w:val="009B013A"/>
    <w:rsid w:val="009B0213"/>
    <w:rsid w:val="009B022C"/>
    <w:rsid w:val="009B0254"/>
    <w:rsid w:val="009B03B0"/>
    <w:rsid w:val="009B044C"/>
    <w:rsid w:val="009B0469"/>
    <w:rsid w:val="009B068B"/>
    <w:rsid w:val="009B06AE"/>
    <w:rsid w:val="009B07B1"/>
    <w:rsid w:val="009B0893"/>
    <w:rsid w:val="009B0977"/>
    <w:rsid w:val="009B09FC"/>
    <w:rsid w:val="009B0AA4"/>
    <w:rsid w:val="009B0B19"/>
    <w:rsid w:val="009B0C16"/>
    <w:rsid w:val="009B0D7E"/>
    <w:rsid w:val="009B0E93"/>
    <w:rsid w:val="009B1065"/>
    <w:rsid w:val="009B121C"/>
    <w:rsid w:val="009B1315"/>
    <w:rsid w:val="009B1367"/>
    <w:rsid w:val="009B138D"/>
    <w:rsid w:val="009B14A9"/>
    <w:rsid w:val="009B14FF"/>
    <w:rsid w:val="009B1669"/>
    <w:rsid w:val="009B1681"/>
    <w:rsid w:val="009B1BDE"/>
    <w:rsid w:val="009B1FF6"/>
    <w:rsid w:val="009B2036"/>
    <w:rsid w:val="009B20EB"/>
    <w:rsid w:val="009B21C9"/>
    <w:rsid w:val="009B222C"/>
    <w:rsid w:val="009B2249"/>
    <w:rsid w:val="009B22F7"/>
    <w:rsid w:val="009B2390"/>
    <w:rsid w:val="009B23A1"/>
    <w:rsid w:val="009B23AE"/>
    <w:rsid w:val="009B2488"/>
    <w:rsid w:val="009B277D"/>
    <w:rsid w:val="009B27B2"/>
    <w:rsid w:val="009B27E3"/>
    <w:rsid w:val="009B2879"/>
    <w:rsid w:val="009B2958"/>
    <w:rsid w:val="009B2ADD"/>
    <w:rsid w:val="009B2D55"/>
    <w:rsid w:val="009B2DD1"/>
    <w:rsid w:val="009B3136"/>
    <w:rsid w:val="009B322B"/>
    <w:rsid w:val="009B33F6"/>
    <w:rsid w:val="009B36CB"/>
    <w:rsid w:val="009B3991"/>
    <w:rsid w:val="009B3A91"/>
    <w:rsid w:val="009B3AD3"/>
    <w:rsid w:val="009B3B2F"/>
    <w:rsid w:val="009B3B36"/>
    <w:rsid w:val="009B3B79"/>
    <w:rsid w:val="009B3CDA"/>
    <w:rsid w:val="009B3DC1"/>
    <w:rsid w:val="009B3E01"/>
    <w:rsid w:val="009B3E20"/>
    <w:rsid w:val="009B3F4A"/>
    <w:rsid w:val="009B45F3"/>
    <w:rsid w:val="009B4779"/>
    <w:rsid w:val="009B481A"/>
    <w:rsid w:val="009B484E"/>
    <w:rsid w:val="009B4A50"/>
    <w:rsid w:val="009B4ABA"/>
    <w:rsid w:val="009B4B5C"/>
    <w:rsid w:val="009B4BFA"/>
    <w:rsid w:val="009B4C74"/>
    <w:rsid w:val="009B4C92"/>
    <w:rsid w:val="009B4DE9"/>
    <w:rsid w:val="009B4E9B"/>
    <w:rsid w:val="009B4EB7"/>
    <w:rsid w:val="009B4FAA"/>
    <w:rsid w:val="009B4FFD"/>
    <w:rsid w:val="009B50F8"/>
    <w:rsid w:val="009B527F"/>
    <w:rsid w:val="009B5436"/>
    <w:rsid w:val="009B5657"/>
    <w:rsid w:val="009B5687"/>
    <w:rsid w:val="009B59EE"/>
    <w:rsid w:val="009B5A16"/>
    <w:rsid w:val="009B5A54"/>
    <w:rsid w:val="009B5A5F"/>
    <w:rsid w:val="009B5DF5"/>
    <w:rsid w:val="009B5E50"/>
    <w:rsid w:val="009B6025"/>
    <w:rsid w:val="009B6143"/>
    <w:rsid w:val="009B6179"/>
    <w:rsid w:val="009B6280"/>
    <w:rsid w:val="009B650D"/>
    <w:rsid w:val="009B659F"/>
    <w:rsid w:val="009B65D8"/>
    <w:rsid w:val="009B6623"/>
    <w:rsid w:val="009B6749"/>
    <w:rsid w:val="009B68E1"/>
    <w:rsid w:val="009B6A7B"/>
    <w:rsid w:val="009B6AB9"/>
    <w:rsid w:val="009B6B4D"/>
    <w:rsid w:val="009B6EA9"/>
    <w:rsid w:val="009B6F54"/>
    <w:rsid w:val="009B7218"/>
    <w:rsid w:val="009B7369"/>
    <w:rsid w:val="009B7665"/>
    <w:rsid w:val="009B78A8"/>
    <w:rsid w:val="009B795A"/>
    <w:rsid w:val="009B79BE"/>
    <w:rsid w:val="009B7A24"/>
    <w:rsid w:val="009B7ACE"/>
    <w:rsid w:val="009B7B6C"/>
    <w:rsid w:val="009B7CF4"/>
    <w:rsid w:val="009B7DEB"/>
    <w:rsid w:val="009B7E62"/>
    <w:rsid w:val="009B7FB6"/>
    <w:rsid w:val="009C0006"/>
    <w:rsid w:val="009C0107"/>
    <w:rsid w:val="009C02F0"/>
    <w:rsid w:val="009C03CB"/>
    <w:rsid w:val="009C05C3"/>
    <w:rsid w:val="009C06DD"/>
    <w:rsid w:val="009C07A5"/>
    <w:rsid w:val="009C0923"/>
    <w:rsid w:val="009C09D7"/>
    <w:rsid w:val="009C0C2F"/>
    <w:rsid w:val="009C1089"/>
    <w:rsid w:val="009C11B0"/>
    <w:rsid w:val="009C1586"/>
    <w:rsid w:val="009C1837"/>
    <w:rsid w:val="009C1B1D"/>
    <w:rsid w:val="009C1B88"/>
    <w:rsid w:val="009C1C5A"/>
    <w:rsid w:val="009C1E3B"/>
    <w:rsid w:val="009C1E6B"/>
    <w:rsid w:val="009C1F34"/>
    <w:rsid w:val="009C2029"/>
    <w:rsid w:val="009C249D"/>
    <w:rsid w:val="009C2546"/>
    <w:rsid w:val="009C25C8"/>
    <w:rsid w:val="009C2669"/>
    <w:rsid w:val="009C2AD5"/>
    <w:rsid w:val="009C2C01"/>
    <w:rsid w:val="009C2C35"/>
    <w:rsid w:val="009C2C56"/>
    <w:rsid w:val="009C2CF5"/>
    <w:rsid w:val="009C2D67"/>
    <w:rsid w:val="009C2EAC"/>
    <w:rsid w:val="009C3223"/>
    <w:rsid w:val="009C3294"/>
    <w:rsid w:val="009C3481"/>
    <w:rsid w:val="009C358E"/>
    <w:rsid w:val="009C360F"/>
    <w:rsid w:val="009C3828"/>
    <w:rsid w:val="009C3836"/>
    <w:rsid w:val="009C3A09"/>
    <w:rsid w:val="009C3A20"/>
    <w:rsid w:val="009C3A2D"/>
    <w:rsid w:val="009C3BE9"/>
    <w:rsid w:val="009C3C76"/>
    <w:rsid w:val="009C3D88"/>
    <w:rsid w:val="009C3D93"/>
    <w:rsid w:val="009C3DB9"/>
    <w:rsid w:val="009C3E81"/>
    <w:rsid w:val="009C3EB8"/>
    <w:rsid w:val="009C3F1D"/>
    <w:rsid w:val="009C3FA1"/>
    <w:rsid w:val="009C426B"/>
    <w:rsid w:val="009C42A1"/>
    <w:rsid w:val="009C4472"/>
    <w:rsid w:val="009C4593"/>
    <w:rsid w:val="009C486E"/>
    <w:rsid w:val="009C4877"/>
    <w:rsid w:val="009C498A"/>
    <w:rsid w:val="009C4995"/>
    <w:rsid w:val="009C4B09"/>
    <w:rsid w:val="009C4B36"/>
    <w:rsid w:val="009C4C34"/>
    <w:rsid w:val="009C4D47"/>
    <w:rsid w:val="009C4E24"/>
    <w:rsid w:val="009C4E88"/>
    <w:rsid w:val="009C507B"/>
    <w:rsid w:val="009C5105"/>
    <w:rsid w:val="009C5106"/>
    <w:rsid w:val="009C5154"/>
    <w:rsid w:val="009C51B6"/>
    <w:rsid w:val="009C5211"/>
    <w:rsid w:val="009C5362"/>
    <w:rsid w:val="009C53AF"/>
    <w:rsid w:val="009C5548"/>
    <w:rsid w:val="009C5716"/>
    <w:rsid w:val="009C581B"/>
    <w:rsid w:val="009C5AAF"/>
    <w:rsid w:val="009C5AF3"/>
    <w:rsid w:val="009C5BF8"/>
    <w:rsid w:val="009C5F55"/>
    <w:rsid w:val="009C62A0"/>
    <w:rsid w:val="009C63CA"/>
    <w:rsid w:val="009C6425"/>
    <w:rsid w:val="009C650B"/>
    <w:rsid w:val="009C6860"/>
    <w:rsid w:val="009C6A21"/>
    <w:rsid w:val="009C6D5F"/>
    <w:rsid w:val="009C74E3"/>
    <w:rsid w:val="009C7596"/>
    <w:rsid w:val="009C77CD"/>
    <w:rsid w:val="009C791F"/>
    <w:rsid w:val="009C796F"/>
    <w:rsid w:val="009C7BE4"/>
    <w:rsid w:val="009C7D04"/>
    <w:rsid w:val="009D006D"/>
    <w:rsid w:val="009D00C2"/>
    <w:rsid w:val="009D0273"/>
    <w:rsid w:val="009D03F4"/>
    <w:rsid w:val="009D04F1"/>
    <w:rsid w:val="009D0650"/>
    <w:rsid w:val="009D0695"/>
    <w:rsid w:val="009D06BC"/>
    <w:rsid w:val="009D0AED"/>
    <w:rsid w:val="009D0AEF"/>
    <w:rsid w:val="009D0B8B"/>
    <w:rsid w:val="009D0C21"/>
    <w:rsid w:val="009D0CFC"/>
    <w:rsid w:val="009D0D03"/>
    <w:rsid w:val="009D0E06"/>
    <w:rsid w:val="009D0E86"/>
    <w:rsid w:val="009D0EE3"/>
    <w:rsid w:val="009D102B"/>
    <w:rsid w:val="009D1195"/>
    <w:rsid w:val="009D12D5"/>
    <w:rsid w:val="009D132C"/>
    <w:rsid w:val="009D140B"/>
    <w:rsid w:val="009D15F7"/>
    <w:rsid w:val="009D1602"/>
    <w:rsid w:val="009D180E"/>
    <w:rsid w:val="009D1983"/>
    <w:rsid w:val="009D1C60"/>
    <w:rsid w:val="009D1DC7"/>
    <w:rsid w:val="009D1E4B"/>
    <w:rsid w:val="009D205B"/>
    <w:rsid w:val="009D2166"/>
    <w:rsid w:val="009D21A1"/>
    <w:rsid w:val="009D229E"/>
    <w:rsid w:val="009D22BD"/>
    <w:rsid w:val="009D25AD"/>
    <w:rsid w:val="009D27CD"/>
    <w:rsid w:val="009D2C08"/>
    <w:rsid w:val="009D2D53"/>
    <w:rsid w:val="009D2E50"/>
    <w:rsid w:val="009D2EE5"/>
    <w:rsid w:val="009D2F0A"/>
    <w:rsid w:val="009D30D7"/>
    <w:rsid w:val="009D3122"/>
    <w:rsid w:val="009D33C3"/>
    <w:rsid w:val="009D3799"/>
    <w:rsid w:val="009D37CE"/>
    <w:rsid w:val="009D3811"/>
    <w:rsid w:val="009D3922"/>
    <w:rsid w:val="009D39C5"/>
    <w:rsid w:val="009D3A79"/>
    <w:rsid w:val="009D3AB8"/>
    <w:rsid w:val="009D3ADA"/>
    <w:rsid w:val="009D3D0A"/>
    <w:rsid w:val="009D3DB6"/>
    <w:rsid w:val="009D4014"/>
    <w:rsid w:val="009D4111"/>
    <w:rsid w:val="009D4142"/>
    <w:rsid w:val="009D42BA"/>
    <w:rsid w:val="009D440D"/>
    <w:rsid w:val="009D4516"/>
    <w:rsid w:val="009D472C"/>
    <w:rsid w:val="009D488A"/>
    <w:rsid w:val="009D48F9"/>
    <w:rsid w:val="009D498D"/>
    <w:rsid w:val="009D4A51"/>
    <w:rsid w:val="009D4C73"/>
    <w:rsid w:val="009D5032"/>
    <w:rsid w:val="009D5079"/>
    <w:rsid w:val="009D51A9"/>
    <w:rsid w:val="009D5372"/>
    <w:rsid w:val="009D5684"/>
    <w:rsid w:val="009D5822"/>
    <w:rsid w:val="009D585C"/>
    <w:rsid w:val="009D589A"/>
    <w:rsid w:val="009D5B36"/>
    <w:rsid w:val="009D5CE2"/>
    <w:rsid w:val="009D5E1A"/>
    <w:rsid w:val="009D5F53"/>
    <w:rsid w:val="009D6032"/>
    <w:rsid w:val="009D6123"/>
    <w:rsid w:val="009D6128"/>
    <w:rsid w:val="009D6164"/>
    <w:rsid w:val="009D6180"/>
    <w:rsid w:val="009D6192"/>
    <w:rsid w:val="009D622F"/>
    <w:rsid w:val="009D64F9"/>
    <w:rsid w:val="009D669F"/>
    <w:rsid w:val="009D67F3"/>
    <w:rsid w:val="009D6BC0"/>
    <w:rsid w:val="009D6CF7"/>
    <w:rsid w:val="009D6D14"/>
    <w:rsid w:val="009D6DDD"/>
    <w:rsid w:val="009D6DF1"/>
    <w:rsid w:val="009D6E5D"/>
    <w:rsid w:val="009D7031"/>
    <w:rsid w:val="009D7216"/>
    <w:rsid w:val="009D7367"/>
    <w:rsid w:val="009D738B"/>
    <w:rsid w:val="009D739A"/>
    <w:rsid w:val="009D748A"/>
    <w:rsid w:val="009D7696"/>
    <w:rsid w:val="009D7809"/>
    <w:rsid w:val="009D7AA1"/>
    <w:rsid w:val="009D7BB2"/>
    <w:rsid w:val="009D7BB4"/>
    <w:rsid w:val="009D7BF6"/>
    <w:rsid w:val="009D7D03"/>
    <w:rsid w:val="009D7D18"/>
    <w:rsid w:val="009D7D47"/>
    <w:rsid w:val="009D7DD5"/>
    <w:rsid w:val="009D7E26"/>
    <w:rsid w:val="009D7E96"/>
    <w:rsid w:val="009D7F73"/>
    <w:rsid w:val="009D7FC1"/>
    <w:rsid w:val="009E0024"/>
    <w:rsid w:val="009E0039"/>
    <w:rsid w:val="009E0232"/>
    <w:rsid w:val="009E0301"/>
    <w:rsid w:val="009E0758"/>
    <w:rsid w:val="009E07C4"/>
    <w:rsid w:val="009E080A"/>
    <w:rsid w:val="009E085A"/>
    <w:rsid w:val="009E08D2"/>
    <w:rsid w:val="009E09EF"/>
    <w:rsid w:val="009E0A0B"/>
    <w:rsid w:val="009E0B17"/>
    <w:rsid w:val="009E0CD2"/>
    <w:rsid w:val="009E0DEF"/>
    <w:rsid w:val="009E0EF0"/>
    <w:rsid w:val="009E1176"/>
    <w:rsid w:val="009E11AC"/>
    <w:rsid w:val="009E129C"/>
    <w:rsid w:val="009E145F"/>
    <w:rsid w:val="009E1648"/>
    <w:rsid w:val="009E16CA"/>
    <w:rsid w:val="009E18A0"/>
    <w:rsid w:val="009E18D6"/>
    <w:rsid w:val="009E18DD"/>
    <w:rsid w:val="009E192F"/>
    <w:rsid w:val="009E1953"/>
    <w:rsid w:val="009E1982"/>
    <w:rsid w:val="009E19D8"/>
    <w:rsid w:val="009E1B4D"/>
    <w:rsid w:val="009E1BCE"/>
    <w:rsid w:val="009E1DC6"/>
    <w:rsid w:val="009E1E0A"/>
    <w:rsid w:val="009E2085"/>
    <w:rsid w:val="009E21EE"/>
    <w:rsid w:val="009E2205"/>
    <w:rsid w:val="009E2399"/>
    <w:rsid w:val="009E23F8"/>
    <w:rsid w:val="009E2433"/>
    <w:rsid w:val="009E2477"/>
    <w:rsid w:val="009E2508"/>
    <w:rsid w:val="009E26B5"/>
    <w:rsid w:val="009E26DC"/>
    <w:rsid w:val="009E27D2"/>
    <w:rsid w:val="009E2808"/>
    <w:rsid w:val="009E298E"/>
    <w:rsid w:val="009E2DDC"/>
    <w:rsid w:val="009E2E62"/>
    <w:rsid w:val="009E2E74"/>
    <w:rsid w:val="009E2E85"/>
    <w:rsid w:val="009E2F4E"/>
    <w:rsid w:val="009E305D"/>
    <w:rsid w:val="009E30ED"/>
    <w:rsid w:val="009E331A"/>
    <w:rsid w:val="009E333C"/>
    <w:rsid w:val="009E344A"/>
    <w:rsid w:val="009E34B6"/>
    <w:rsid w:val="009E35B0"/>
    <w:rsid w:val="009E3719"/>
    <w:rsid w:val="009E3881"/>
    <w:rsid w:val="009E38CC"/>
    <w:rsid w:val="009E396C"/>
    <w:rsid w:val="009E3AE2"/>
    <w:rsid w:val="009E3B55"/>
    <w:rsid w:val="009E3C25"/>
    <w:rsid w:val="009E3D2F"/>
    <w:rsid w:val="009E3F20"/>
    <w:rsid w:val="009E405A"/>
    <w:rsid w:val="009E4081"/>
    <w:rsid w:val="009E4158"/>
    <w:rsid w:val="009E4183"/>
    <w:rsid w:val="009E4190"/>
    <w:rsid w:val="009E41FF"/>
    <w:rsid w:val="009E420B"/>
    <w:rsid w:val="009E453F"/>
    <w:rsid w:val="009E48C9"/>
    <w:rsid w:val="009E4A6E"/>
    <w:rsid w:val="009E4A7D"/>
    <w:rsid w:val="009E4ABF"/>
    <w:rsid w:val="009E4B1C"/>
    <w:rsid w:val="009E4E59"/>
    <w:rsid w:val="009E4F9D"/>
    <w:rsid w:val="009E5076"/>
    <w:rsid w:val="009E510F"/>
    <w:rsid w:val="009E513B"/>
    <w:rsid w:val="009E5199"/>
    <w:rsid w:val="009E5564"/>
    <w:rsid w:val="009E55BA"/>
    <w:rsid w:val="009E55F9"/>
    <w:rsid w:val="009E589D"/>
    <w:rsid w:val="009E5B37"/>
    <w:rsid w:val="009E5C2F"/>
    <w:rsid w:val="009E5FBD"/>
    <w:rsid w:val="009E6046"/>
    <w:rsid w:val="009E607B"/>
    <w:rsid w:val="009E6336"/>
    <w:rsid w:val="009E6388"/>
    <w:rsid w:val="009E647A"/>
    <w:rsid w:val="009E6498"/>
    <w:rsid w:val="009E6551"/>
    <w:rsid w:val="009E660C"/>
    <w:rsid w:val="009E669F"/>
    <w:rsid w:val="009E66BF"/>
    <w:rsid w:val="009E692B"/>
    <w:rsid w:val="009E69C8"/>
    <w:rsid w:val="009E6A61"/>
    <w:rsid w:val="009E6C1B"/>
    <w:rsid w:val="009E6C7C"/>
    <w:rsid w:val="009E6CAA"/>
    <w:rsid w:val="009E6D41"/>
    <w:rsid w:val="009E6DDE"/>
    <w:rsid w:val="009E6E0E"/>
    <w:rsid w:val="009E6E68"/>
    <w:rsid w:val="009E716C"/>
    <w:rsid w:val="009E7222"/>
    <w:rsid w:val="009E7236"/>
    <w:rsid w:val="009E7290"/>
    <w:rsid w:val="009E72DC"/>
    <w:rsid w:val="009E7527"/>
    <w:rsid w:val="009E767B"/>
    <w:rsid w:val="009E774B"/>
    <w:rsid w:val="009E7987"/>
    <w:rsid w:val="009E79EF"/>
    <w:rsid w:val="009E7A25"/>
    <w:rsid w:val="009E7AEA"/>
    <w:rsid w:val="009E7B6C"/>
    <w:rsid w:val="009E7C9A"/>
    <w:rsid w:val="009E7D74"/>
    <w:rsid w:val="009F0037"/>
    <w:rsid w:val="009F00DC"/>
    <w:rsid w:val="009F0239"/>
    <w:rsid w:val="009F02A9"/>
    <w:rsid w:val="009F02F9"/>
    <w:rsid w:val="009F037F"/>
    <w:rsid w:val="009F050D"/>
    <w:rsid w:val="009F06BF"/>
    <w:rsid w:val="009F07D4"/>
    <w:rsid w:val="009F094C"/>
    <w:rsid w:val="009F0E02"/>
    <w:rsid w:val="009F0F18"/>
    <w:rsid w:val="009F13A5"/>
    <w:rsid w:val="009F13F0"/>
    <w:rsid w:val="009F144A"/>
    <w:rsid w:val="009F14E9"/>
    <w:rsid w:val="009F15A9"/>
    <w:rsid w:val="009F163D"/>
    <w:rsid w:val="009F168C"/>
    <w:rsid w:val="009F169A"/>
    <w:rsid w:val="009F16AC"/>
    <w:rsid w:val="009F16E1"/>
    <w:rsid w:val="009F1905"/>
    <w:rsid w:val="009F1908"/>
    <w:rsid w:val="009F1B6E"/>
    <w:rsid w:val="009F1D6E"/>
    <w:rsid w:val="009F1EFC"/>
    <w:rsid w:val="009F1FB3"/>
    <w:rsid w:val="009F1FDC"/>
    <w:rsid w:val="009F2045"/>
    <w:rsid w:val="009F20A2"/>
    <w:rsid w:val="009F215B"/>
    <w:rsid w:val="009F21C3"/>
    <w:rsid w:val="009F2370"/>
    <w:rsid w:val="009F25A9"/>
    <w:rsid w:val="009F25AD"/>
    <w:rsid w:val="009F269C"/>
    <w:rsid w:val="009F27E3"/>
    <w:rsid w:val="009F28C2"/>
    <w:rsid w:val="009F2ADD"/>
    <w:rsid w:val="009F2EFB"/>
    <w:rsid w:val="009F2F61"/>
    <w:rsid w:val="009F2FE9"/>
    <w:rsid w:val="009F300A"/>
    <w:rsid w:val="009F3048"/>
    <w:rsid w:val="009F309A"/>
    <w:rsid w:val="009F319D"/>
    <w:rsid w:val="009F3236"/>
    <w:rsid w:val="009F3247"/>
    <w:rsid w:val="009F3306"/>
    <w:rsid w:val="009F347F"/>
    <w:rsid w:val="009F3609"/>
    <w:rsid w:val="009F362B"/>
    <w:rsid w:val="009F3939"/>
    <w:rsid w:val="009F3A12"/>
    <w:rsid w:val="009F3B2C"/>
    <w:rsid w:val="009F3BF1"/>
    <w:rsid w:val="009F3C45"/>
    <w:rsid w:val="009F3D68"/>
    <w:rsid w:val="009F3D7F"/>
    <w:rsid w:val="009F3DB3"/>
    <w:rsid w:val="009F3EB8"/>
    <w:rsid w:val="009F3EF5"/>
    <w:rsid w:val="009F3F41"/>
    <w:rsid w:val="009F4030"/>
    <w:rsid w:val="009F4124"/>
    <w:rsid w:val="009F41F1"/>
    <w:rsid w:val="009F4584"/>
    <w:rsid w:val="009F46E4"/>
    <w:rsid w:val="009F489B"/>
    <w:rsid w:val="009F490A"/>
    <w:rsid w:val="009F496B"/>
    <w:rsid w:val="009F49DC"/>
    <w:rsid w:val="009F4B38"/>
    <w:rsid w:val="009F4D1B"/>
    <w:rsid w:val="009F4D59"/>
    <w:rsid w:val="009F4DEE"/>
    <w:rsid w:val="009F4E6A"/>
    <w:rsid w:val="009F4F4D"/>
    <w:rsid w:val="009F50F7"/>
    <w:rsid w:val="009F540B"/>
    <w:rsid w:val="009F5560"/>
    <w:rsid w:val="009F55CC"/>
    <w:rsid w:val="009F564E"/>
    <w:rsid w:val="009F572E"/>
    <w:rsid w:val="009F58C1"/>
    <w:rsid w:val="009F5996"/>
    <w:rsid w:val="009F59D7"/>
    <w:rsid w:val="009F5ADD"/>
    <w:rsid w:val="009F5B16"/>
    <w:rsid w:val="009F5B6F"/>
    <w:rsid w:val="009F5B7C"/>
    <w:rsid w:val="009F5C51"/>
    <w:rsid w:val="009F5CFA"/>
    <w:rsid w:val="009F5D0C"/>
    <w:rsid w:val="009F5EB1"/>
    <w:rsid w:val="009F5EC0"/>
    <w:rsid w:val="009F5FB2"/>
    <w:rsid w:val="009F60B3"/>
    <w:rsid w:val="009F6334"/>
    <w:rsid w:val="009F636A"/>
    <w:rsid w:val="009F6431"/>
    <w:rsid w:val="009F650A"/>
    <w:rsid w:val="009F656E"/>
    <w:rsid w:val="009F658B"/>
    <w:rsid w:val="009F668E"/>
    <w:rsid w:val="009F66D6"/>
    <w:rsid w:val="009F675A"/>
    <w:rsid w:val="009F6903"/>
    <w:rsid w:val="009F693B"/>
    <w:rsid w:val="009F69F9"/>
    <w:rsid w:val="009F6A3F"/>
    <w:rsid w:val="009F6BB0"/>
    <w:rsid w:val="009F6D1D"/>
    <w:rsid w:val="009F6D79"/>
    <w:rsid w:val="009F6E3C"/>
    <w:rsid w:val="009F6E8A"/>
    <w:rsid w:val="009F6FC0"/>
    <w:rsid w:val="009F7173"/>
    <w:rsid w:val="009F731A"/>
    <w:rsid w:val="009F732E"/>
    <w:rsid w:val="009F736A"/>
    <w:rsid w:val="009F74DE"/>
    <w:rsid w:val="009F74FE"/>
    <w:rsid w:val="009F75B2"/>
    <w:rsid w:val="009F7823"/>
    <w:rsid w:val="009F7AD4"/>
    <w:rsid w:val="009F7B47"/>
    <w:rsid w:val="009F7C6B"/>
    <w:rsid w:val="009F7D85"/>
    <w:rsid w:val="009F7DAA"/>
    <w:rsid w:val="009F7DC6"/>
    <w:rsid w:val="009F7DD0"/>
    <w:rsid w:val="009F7F5C"/>
    <w:rsid w:val="00A00117"/>
    <w:rsid w:val="00A0036C"/>
    <w:rsid w:val="00A0045E"/>
    <w:rsid w:val="00A0048C"/>
    <w:rsid w:val="00A00783"/>
    <w:rsid w:val="00A00837"/>
    <w:rsid w:val="00A008F5"/>
    <w:rsid w:val="00A009B3"/>
    <w:rsid w:val="00A00B08"/>
    <w:rsid w:val="00A00C5E"/>
    <w:rsid w:val="00A00E32"/>
    <w:rsid w:val="00A00FAC"/>
    <w:rsid w:val="00A00FCF"/>
    <w:rsid w:val="00A01023"/>
    <w:rsid w:val="00A01113"/>
    <w:rsid w:val="00A0129B"/>
    <w:rsid w:val="00A014EA"/>
    <w:rsid w:val="00A01608"/>
    <w:rsid w:val="00A016EC"/>
    <w:rsid w:val="00A01808"/>
    <w:rsid w:val="00A0197E"/>
    <w:rsid w:val="00A01985"/>
    <w:rsid w:val="00A019F0"/>
    <w:rsid w:val="00A01A47"/>
    <w:rsid w:val="00A01C8A"/>
    <w:rsid w:val="00A01CDD"/>
    <w:rsid w:val="00A01D49"/>
    <w:rsid w:val="00A01FBA"/>
    <w:rsid w:val="00A01FD5"/>
    <w:rsid w:val="00A02138"/>
    <w:rsid w:val="00A021B0"/>
    <w:rsid w:val="00A021C1"/>
    <w:rsid w:val="00A02297"/>
    <w:rsid w:val="00A02351"/>
    <w:rsid w:val="00A023BB"/>
    <w:rsid w:val="00A0254A"/>
    <w:rsid w:val="00A025A8"/>
    <w:rsid w:val="00A025E1"/>
    <w:rsid w:val="00A02846"/>
    <w:rsid w:val="00A02902"/>
    <w:rsid w:val="00A029F9"/>
    <w:rsid w:val="00A02B2D"/>
    <w:rsid w:val="00A02C85"/>
    <w:rsid w:val="00A02CCF"/>
    <w:rsid w:val="00A02D0F"/>
    <w:rsid w:val="00A02EF4"/>
    <w:rsid w:val="00A0308B"/>
    <w:rsid w:val="00A03174"/>
    <w:rsid w:val="00A0319D"/>
    <w:rsid w:val="00A031BA"/>
    <w:rsid w:val="00A033B6"/>
    <w:rsid w:val="00A0375F"/>
    <w:rsid w:val="00A0379B"/>
    <w:rsid w:val="00A0386F"/>
    <w:rsid w:val="00A03B40"/>
    <w:rsid w:val="00A03BD5"/>
    <w:rsid w:val="00A03F52"/>
    <w:rsid w:val="00A0420A"/>
    <w:rsid w:val="00A04229"/>
    <w:rsid w:val="00A042B1"/>
    <w:rsid w:val="00A04427"/>
    <w:rsid w:val="00A044A8"/>
    <w:rsid w:val="00A044B5"/>
    <w:rsid w:val="00A0450B"/>
    <w:rsid w:val="00A04527"/>
    <w:rsid w:val="00A045D4"/>
    <w:rsid w:val="00A046E8"/>
    <w:rsid w:val="00A04780"/>
    <w:rsid w:val="00A04794"/>
    <w:rsid w:val="00A04798"/>
    <w:rsid w:val="00A0479B"/>
    <w:rsid w:val="00A048E2"/>
    <w:rsid w:val="00A04955"/>
    <w:rsid w:val="00A0497D"/>
    <w:rsid w:val="00A04ACB"/>
    <w:rsid w:val="00A04B00"/>
    <w:rsid w:val="00A04B92"/>
    <w:rsid w:val="00A04CFD"/>
    <w:rsid w:val="00A04EAB"/>
    <w:rsid w:val="00A04EC2"/>
    <w:rsid w:val="00A0501E"/>
    <w:rsid w:val="00A050A1"/>
    <w:rsid w:val="00A05273"/>
    <w:rsid w:val="00A05385"/>
    <w:rsid w:val="00A05542"/>
    <w:rsid w:val="00A0569B"/>
    <w:rsid w:val="00A056CB"/>
    <w:rsid w:val="00A05788"/>
    <w:rsid w:val="00A05796"/>
    <w:rsid w:val="00A05941"/>
    <w:rsid w:val="00A05982"/>
    <w:rsid w:val="00A05AA1"/>
    <w:rsid w:val="00A05AE4"/>
    <w:rsid w:val="00A05B0A"/>
    <w:rsid w:val="00A05C04"/>
    <w:rsid w:val="00A05C0E"/>
    <w:rsid w:val="00A05E4F"/>
    <w:rsid w:val="00A0607E"/>
    <w:rsid w:val="00A0615B"/>
    <w:rsid w:val="00A06377"/>
    <w:rsid w:val="00A066C9"/>
    <w:rsid w:val="00A067E0"/>
    <w:rsid w:val="00A06909"/>
    <w:rsid w:val="00A06925"/>
    <w:rsid w:val="00A06A00"/>
    <w:rsid w:val="00A06A2E"/>
    <w:rsid w:val="00A06B9F"/>
    <w:rsid w:val="00A070D9"/>
    <w:rsid w:val="00A070E7"/>
    <w:rsid w:val="00A07557"/>
    <w:rsid w:val="00A07569"/>
    <w:rsid w:val="00A07620"/>
    <w:rsid w:val="00A07874"/>
    <w:rsid w:val="00A078EB"/>
    <w:rsid w:val="00A078F7"/>
    <w:rsid w:val="00A079F1"/>
    <w:rsid w:val="00A07D5D"/>
    <w:rsid w:val="00A07DF7"/>
    <w:rsid w:val="00A07E89"/>
    <w:rsid w:val="00A07F63"/>
    <w:rsid w:val="00A101DD"/>
    <w:rsid w:val="00A103BD"/>
    <w:rsid w:val="00A1054C"/>
    <w:rsid w:val="00A10810"/>
    <w:rsid w:val="00A10842"/>
    <w:rsid w:val="00A1085F"/>
    <w:rsid w:val="00A108C4"/>
    <w:rsid w:val="00A10ABC"/>
    <w:rsid w:val="00A10BF6"/>
    <w:rsid w:val="00A10CF3"/>
    <w:rsid w:val="00A10D81"/>
    <w:rsid w:val="00A10EFC"/>
    <w:rsid w:val="00A10FA7"/>
    <w:rsid w:val="00A11001"/>
    <w:rsid w:val="00A1111B"/>
    <w:rsid w:val="00A111C7"/>
    <w:rsid w:val="00A11244"/>
    <w:rsid w:val="00A11383"/>
    <w:rsid w:val="00A11691"/>
    <w:rsid w:val="00A11790"/>
    <w:rsid w:val="00A1181A"/>
    <w:rsid w:val="00A11902"/>
    <w:rsid w:val="00A11994"/>
    <w:rsid w:val="00A119AB"/>
    <w:rsid w:val="00A11CF7"/>
    <w:rsid w:val="00A11DCA"/>
    <w:rsid w:val="00A11DE8"/>
    <w:rsid w:val="00A11E9F"/>
    <w:rsid w:val="00A11EA4"/>
    <w:rsid w:val="00A11F01"/>
    <w:rsid w:val="00A12076"/>
    <w:rsid w:val="00A12189"/>
    <w:rsid w:val="00A1222C"/>
    <w:rsid w:val="00A122EC"/>
    <w:rsid w:val="00A12318"/>
    <w:rsid w:val="00A1235E"/>
    <w:rsid w:val="00A1254E"/>
    <w:rsid w:val="00A125F1"/>
    <w:rsid w:val="00A1266F"/>
    <w:rsid w:val="00A126CB"/>
    <w:rsid w:val="00A12725"/>
    <w:rsid w:val="00A12AA5"/>
    <w:rsid w:val="00A12B99"/>
    <w:rsid w:val="00A12CBD"/>
    <w:rsid w:val="00A12E18"/>
    <w:rsid w:val="00A12F96"/>
    <w:rsid w:val="00A130FE"/>
    <w:rsid w:val="00A13262"/>
    <w:rsid w:val="00A13297"/>
    <w:rsid w:val="00A132DC"/>
    <w:rsid w:val="00A1330C"/>
    <w:rsid w:val="00A133CB"/>
    <w:rsid w:val="00A1344F"/>
    <w:rsid w:val="00A135E0"/>
    <w:rsid w:val="00A136D3"/>
    <w:rsid w:val="00A13719"/>
    <w:rsid w:val="00A1372E"/>
    <w:rsid w:val="00A137EA"/>
    <w:rsid w:val="00A138C5"/>
    <w:rsid w:val="00A138E8"/>
    <w:rsid w:val="00A1395A"/>
    <w:rsid w:val="00A13B86"/>
    <w:rsid w:val="00A13C1A"/>
    <w:rsid w:val="00A13C77"/>
    <w:rsid w:val="00A13CA1"/>
    <w:rsid w:val="00A13D63"/>
    <w:rsid w:val="00A13DD9"/>
    <w:rsid w:val="00A13E3D"/>
    <w:rsid w:val="00A1422A"/>
    <w:rsid w:val="00A14249"/>
    <w:rsid w:val="00A14393"/>
    <w:rsid w:val="00A143AB"/>
    <w:rsid w:val="00A14618"/>
    <w:rsid w:val="00A146E8"/>
    <w:rsid w:val="00A14774"/>
    <w:rsid w:val="00A147DF"/>
    <w:rsid w:val="00A14812"/>
    <w:rsid w:val="00A14B90"/>
    <w:rsid w:val="00A14BD8"/>
    <w:rsid w:val="00A14C79"/>
    <w:rsid w:val="00A14E40"/>
    <w:rsid w:val="00A15092"/>
    <w:rsid w:val="00A151CA"/>
    <w:rsid w:val="00A151F0"/>
    <w:rsid w:val="00A156C9"/>
    <w:rsid w:val="00A157BF"/>
    <w:rsid w:val="00A15B0F"/>
    <w:rsid w:val="00A15B57"/>
    <w:rsid w:val="00A15BEC"/>
    <w:rsid w:val="00A15D9B"/>
    <w:rsid w:val="00A15D9E"/>
    <w:rsid w:val="00A15DA5"/>
    <w:rsid w:val="00A15E72"/>
    <w:rsid w:val="00A16241"/>
    <w:rsid w:val="00A162E3"/>
    <w:rsid w:val="00A163D8"/>
    <w:rsid w:val="00A16730"/>
    <w:rsid w:val="00A168A8"/>
    <w:rsid w:val="00A16B38"/>
    <w:rsid w:val="00A16D98"/>
    <w:rsid w:val="00A16E1A"/>
    <w:rsid w:val="00A170A9"/>
    <w:rsid w:val="00A17164"/>
    <w:rsid w:val="00A1720F"/>
    <w:rsid w:val="00A174D6"/>
    <w:rsid w:val="00A1758C"/>
    <w:rsid w:val="00A17695"/>
    <w:rsid w:val="00A1798A"/>
    <w:rsid w:val="00A17B73"/>
    <w:rsid w:val="00A17D94"/>
    <w:rsid w:val="00A17DD9"/>
    <w:rsid w:val="00A2012A"/>
    <w:rsid w:val="00A20416"/>
    <w:rsid w:val="00A205A0"/>
    <w:rsid w:val="00A20640"/>
    <w:rsid w:val="00A20738"/>
    <w:rsid w:val="00A20795"/>
    <w:rsid w:val="00A208FB"/>
    <w:rsid w:val="00A209FD"/>
    <w:rsid w:val="00A20C08"/>
    <w:rsid w:val="00A20C2F"/>
    <w:rsid w:val="00A20F4D"/>
    <w:rsid w:val="00A20FB1"/>
    <w:rsid w:val="00A2102A"/>
    <w:rsid w:val="00A21038"/>
    <w:rsid w:val="00A2109E"/>
    <w:rsid w:val="00A21487"/>
    <w:rsid w:val="00A21513"/>
    <w:rsid w:val="00A21541"/>
    <w:rsid w:val="00A2154A"/>
    <w:rsid w:val="00A217C5"/>
    <w:rsid w:val="00A217EA"/>
    <w:rsid w:val="00A21A8B"/>
    <w:rsid w:val="00A21AA2"/>
    <w:rsid w:val="00A21C33"/>
    <w:rsid w:val="00A21E0A"/>
    <w:rsid w:val="00A21EE0"/>
    <w:rsid w:val="00A21F37"/>
    <w:rsid w:val="00A22335"/>
    <w:rsid w:val="00A22359"/>
    <w:rsid w:val="00A2256E"/>
    <w:rsid w:val="00A22609"/>
    <w:rsid w:val="00A2263F"/>
    <w:rsid w:val="00A22647"/>
    <w:rsid w:val="00A22705"/>
    <w:rsid w:val="00A22711"/>
    <w:rsid w:val="00A22735"/>
    <w:rsid w:val="00A228AC"/>
    <w:rsid w:val="00A228B4"/>
    <w:rsid w:val="00A228FD"/>
    <w:rsid w:val="00A22AD6"/>
    <w:rsid w:val="00A22D2C"/>
    <w:rsid w:val="00A22D5F"/>
    <w:rsid w:val="00A22DF8"/>
    <w:rsid w:val="00A22DFF"/>
    <w:rsid w:val="00A22E72"/>
    <w:rsid w:val="00A22FBA"/>
    <w:rsid w:val="00A230A2"/>
    <w:rsid w:val="00A230C2"/>
    <w:rsid w:val="00A23183"/>
    <w:rsid w:val="00A2319F"/>
    <w:rsid w:val="00A23365"/>
    <w:rsid w:val="00A23419"/>
    <w:rsid w:val="00A23474"/>
    <w:rsid w:val="00A23548"/>
    <w:rsid w:val="00A237BE"/>
    <w:rsid w:val="00A238FA"/>
    <w:rsid w:val="00A23971"/>
    <w:rsid w:val="00A23AC1"/>
    <w:rsid w:val="00A23CE9"/>
    <w:rsid w:val="00A23DCA"/>
    <w:rsid w:val="00A23E64"/>
    <w:rsid w:val="00A23E6A"/>
    <w:rsid w:val="00A23E7E"/>
    <w:rsid w:val="00A23EC3"/>
    <w:rsid w:val="00A23EC5"/>
    <w:rsid w:val="00A23EEA"/>
    <w:rsid w:val="00A23F02"/>
    <w:rsid w:val="00A24128"/>
    <w:rsid w:val="00A241B3"/>
    <w:rsid w:val="00A2431F"/>
    <w:rsid w:val="00A2465E"/>
    <w:rsid w:val="00A246DC"/>
    <w:rsid w:val="00A247B4"/>
    <w:rsid w:val="00A24957"/>
    <w:rsid w:val="00A24BE0"/>
    <w:rsid w:val="00A24C84"/>
    <w:rsid w:val="00A24E9B"/>
    <w:rsid w:val="00A24FC8"/>
    <w:rsid w:val="00A2517C"/>
    <w:rsid w:val="00A252D8"/>
    <w:rsid w:val="00A256F8"/>
    <w:rsid w:val="00A2579B"/>
    <w:rsid w:val="00A25902"/>
    <w:rsid w:val="00A25994"/>
    <w:rsid w:val="00A25D17"/>
    <w:rsid w:val="00A25DEC"/>
    <w:rsid w:val="00A25F2C"/>
    <w:rsid w:val="00A25F33"/>
    <w:rsid w:val="00A26001"/>
    <w:rsid w:val="00A26188"/>
    <w:rsid w:val="00A261A8"/>
    <w:rsid w:val="00A262F0"/>
    <w:rsid w:val="00A263C6"/>
    <w:rsid w:val="00A264DF"/>
    <w:rsid w:val="00A26659"/>
    <w:rsid w:val="00A2665C"/>
    <w:rsid w:val="00A266C8"/>
    <w:rsid w:val="00A267BF"/>
    <w:rsid w:val="00A26A38"/>
    <w:rsid w:val="00A26AC7"/>
    <w:rsid w:val="00A26AF0"/>
    <w:rsid w:val="00A26C59"/>
    <w:rsid w:val="00A26C5F"/>
    <w:rsid w:val="00A26D46"/>
    <w:rsid w:val="00A26DC6"/>
    <w:rsid w:val="00A26DF8"/>
    <w:rsid w:val="00A26FFC"/>
    <w:rsid w:val="00A2736D"/>
    <w:rsid w:val="00A2747A"/>
    <w:rsid w:val="00A2752C"/>
    <w:rsid w:val="00A2755B"/>
    <w:rsid w:val="00A275C6"/>
    <w:rsid w:val="00A276FC"/>
    <w:rsid w:val="00A2799D"/>
    <w:rsid w:val="00A27B59"/>
    <w:rsid w:val="00A27C54"/>
    <w:rsid w:val="00A27C66"/>
    <w:rsid w:val="00A27C9A"/>
    <w:rsid w:val="00A27DFA"/>
    <w:rsid w:val="00A27E1E"/>
    <w:rsid w:val="00A27E91"/>
    <w:rsid w:val="00A27EEF"/>
    <w:rsid w:val="00A27F11"/>
    <w:rsid w:val="00A27FD2"/>
    <w:rsid w:val="00A30075"/>
    <w:rsid w:val="00A30204"/>
    <w:rsid w:val="00A3029D"/>
    <w:rsid w:val="00A30327"/>
    <w:rsid w:val="00A30396"/>
    <w:rsid w:val="00A303BD"/>
    <w:rsid w:val="00A30431"/>
    <w:rsid w:val="00A304F0"/>
    <w:rsid w:val="00A30587"/>
    <w:rsid w:val="00A305C6"/>
    <w:rsid w:val="00A30754"/>
    <w:rsid w:val="00A308E2"/>
    <w:rsid w:val="00A30954"/>
    <w:rsid w:val="00A30B0B"/>
    <w:rsid w:val="00A30E1E"/>
    <w:rsid w:val="00A30E6F"/>
    <w:rsid w:val="00A30F46"/>
    <w:rsid w:val="00A30FBF"/>
    <w:rsid w:val="00A31147"/>
    <w:rsid w:val="00A311FA"/>
    <w:rsid w:val="00A315D3"/>
    <w:rsid w:val="00A315EC"/>
    <w:rsid w:val="00A31628"/>
    <w:rsid w:val="00A3173D"/>
    <w:rsid w:val="00A31784"/>
    <w:rsid w:val="00A317DF"/>
    <w:rsid w:val="00A31803"/>
    <w:rsid w:val="00A31809"/>
    <w:rsid w:val="00A3184A"/>
    <w:rsid w:val="00A31965"/>
    <w:rsid w:val="00A3198F"/>
    <w:rsid w:val="00A319B0"/>
    <w:rsid w:val="00A31AEB"/>
    <w:rsid w:val="00A31AF8"/>
    <w:rsid w:val="00A31B1F"/>
    <w:rsid w:val="00A31C82"/>
    <w:rsid w:val="00A31CDD"/>
    <w:rsid w:val="00A31E31"/>
    <w:rsid w:val="00A31E85"/>
    <w:rsid w:val="00A31E99"/>
    <w:rsid w:val="00A31EA4"/>
    <w:rsid w:val="00A31F08"/>
    <w:rsid w:val="00A320C1"/>
    <w:rsid w:val="00A320D1"/>
    <w:rsid w:val="00A32237"/>
    <w:rsid w:val="00A322C1"/>
    <w:rsid w:val="00A3237E"/>
    <w:rsid w:val="00A323D6"/>
    <w:rsid w:val="00A32421"/>
    <w:rsid w:val="00A32470"/>
    <w:rsid w:val="00A3247C"/>
    <w:rsid w:val="00A325F3"/>
    <w:rsid w:val="00A326E8"/>
    <w:rsid w:val="00A327B0"/>
    <w:rsid w:val="00A32A35"/>
    <w:rsid w:val="00A32BC6"/>
    <w:rsid w:val="00A32C1D"/>
    <w:rsid w:val="00A32CCB"/>
    <w:rsid w:val="00A32DFD"/>
    <w:rsid w:val="00A33035"/>
    <w:rsid w:val="00A330BB"/>
    <w:rsid w:val="00A33209"/>
    <w:rsid w:val="00A332A8"/>
    <w:rsid w:val="00A33711"/>
    <w:rsid w:val="00A3391A"/>
    <w:rsid w:val="00A33A99"/>
    <w:rsid w:val="00A33AA4"/>
    <w:rsid w:val="00A33BAC"/>
    <w:rsid w:val="00A33CF9"/>
    <w:rsid w:val="00A33F20"/>
    <w:rsid w:val="00A33FB1"/>
    <w:rsid w:val="00A3412B"/>
    <w:rsid w:val="00A3445A"/>
    <w:rsid w:val="00A34644"/>
    <w:rsid w:val="00A34694"/>
    <w:rsid w:val="00A346E4"/>
    <w:rsid w:val="00A35137"/>
    <w:rsid w:val="00A351F2"/>
    <w:rsid w:val="00A35381"/>
    <w:rsid w:val="00A353B5"/>
    <w:rsid w:val="00A35462"/>
    <w:rsid w:val="00A3568A"/>
    <w:rsid w:val="00A3577C"/>
    <w:rsid w:val="00A3597D"/>
    <w:rsid w:val="00A35C07"/>
    <w:rsid w:val="00A35C62"/>
    <w:rsid w:val="00A35C72"/>
    <w:rsid w:val="00A35C8B"/>
    <w:rsid w:val="00A35CCE"/>
    <w:rsid w:val="00A35D44"/>
    <w:rsid w:val="00A35D79"/>
    <w:rsid w:val="00A35D83"/>
    <w:rsid w:val="00A35E3B"/>
    <w:rsid w:val="00A35EC6"/>
    <w:rsid w:val="00A35ECC"/>
    <w:rsid w:val="00A35F7C"/>
    <w:rsid w:val="00A35FF1"/>
    <w:rsid w:val="00A361B0"/>
    <w:rsid w:val="00A36365"/>
    <w:rsid w:val="00A363B3"/>
    <w:rsid w:val="00A3642E"/>
    <w:rsid w:val="00A36430"/>
    <w:rsid w:val="00A364B3"/>
    <w:rsid w:val="00A36564"/>
    <w:rsid w:val="00A36586"/>
    <w:rsid w:val="00A36598"/>
    <w:rsid w:val="00A365E0"/>
    <w:rsid w:val="00A365F9"/>
    <w:rsid w:val="00A3662C"/>
    <w:rsid w:val="00A368A2"/>
    <w:rsid w:val="00A36BA8"/>
    <w:rsid w:val="00A36C73"/>
    <w:rsid w:val="00A36DB6"/>
    <w:rsid w:val="00A36FDD"/>
    <w:rsid w:val="00A37005"/>
    <w:rsid w:val="00A37097"/>
    <w:rsid w:val="00A37248"/>
    <w:rsid w:val="00A37296"/>
    <w:rsid w:val="00A37353"/>
    <w:rsid w:val="00A377F0"/>
    <w:rsid w:val="00A37873"/>
    <w:rsid w:val="00A379B0"/>
    <w:rsid w:val="00A37A1D"/>
    <w:rsid w:val="00A37DF9"/>
    <w:rsid w:val="00A37E80"/>
    <w:rsid w:val="00A37F9C"/>
    <w:rsid w:val="00A40078"/>
    <w:rsid w:val="00A40142"/>
    <w:rsid w:val="00A40298"/>
    <w:rsid w:val="00A402FD"/>
    <w:rsid w:val="00A40388"/>
    <w:rsid w:val="00A403B6"/>
    <w:rsid w:val="00A4052A"/>
    <w:rsid w:val="00A406E9"/>
    <w:rsid w:val="00A4080C"/>
    <w:rsid w:val="00A40813"/>
    <w:rsid w:val="00A4083C"/>
    <w:rsid w:val="00A40885"/>
    <w:rsid w:val="00A4094D"/>
    <w:rsid w:val="00A40A24"/>
    <w:rsid w:val="00A40C5C"/>
    <w:rsid w:val="00A40E5A"/>
    <w:rsid w:val="00A41025"/>
    <w:rsid w:val="00A412E8"/>
    <w:rsid w:val="00A41343"/>
    <w:rsid w:val="00A4138D"/>
    <w:rsid w:val="00A414E1"/>
    <w:rsid w:val="00A41508"/>
    <w:rsid w:val="00A4152A"/>
    <w:rsid w:val="00A4176C"/>
    <w:rsid w:val="00A41798"/>
    <w:rsid w:val="00A417C7"/>
    <w:rsid w:val="00A4195D"/>
    <w:rsid w:val="00A41AC8"/>
    <w:rsid w:val="00A41C63"/>
    <w:rsid w:val="00A41D00"/>
    <w:rsid w:val="00A41F60"/>
    <w:rsid w:val="00A42176"/>
    <w:rsid w:val="00A42211"/>
    <w:rsid w:val="00A4238A"/>
    <w:rsid w:val="00A425FC"/>
    <w:rsid w:val="00A4268C"/>
    <w:rsid w:val="00A4285D"/>
    <w:rsid w:val="00A42989"/>
    <w:rsid w:val="00A429AD"/>
    <w:rsid w:val="00A429CC"/>
    <w:rsid w:val="00A429F0"/>
    <w:rsid w:val="00A42A22"/>
    <w:rsid w:val="00A42A44"/>
    <w:rsid w:val="00A42D6E"/>
    <w:rsid w:val="00A42D8F"/>
    <w:rsid w:val="00A42FE3"/>
    <w:rsid w:val="00A4306A"/>
    <w:rsid w:val="00A43238"/>
    <w:rsid w:val="00A43288"/>
    <w:rsid w:val="00A435DD"/>
    <w:rsid w:val="00A436B3"/>
    <w:rsid w:val="00A43764"/>
    <w:rsid w:val="00A43B2B"/>
    <w:rsid w:val="00A43C68"/>
    <w:rsid w:val="00A43E49"/>
    <w:rsid w:val="00A43E4D"/>
    <w:rsid w:val="00A43E6A"/>
    <w:rsid w:val="00A43E6B"/>
    <w:rsid w:val="00A43F08"/>
    <w:rsid w:val="00A43F86"/>
    <w:rsid w:val="00A44005"/>
    <w:rsid w:val="00A44028"/>
    <w:rsid w:val="00A44249"/>
    <w:rsid w:val="00A442F8"/>
    <w:rsid w:val="00A44B70"/>
    <w:rsid w:val="00A44CA8"/>
    <w:rsid w:val="00A44F4B"/>
    <w:rsid w:val="00A4505D"/>
    <w:rsid w:val="00A45071"/>
    <w:rsid w:val="00A451C6"/>
    <w:rsid w:val="00A45395"/>
    <w:rsid w:val="00A45531"/>
    <w:rsid w:val="00A45683"/>
    <w:rsid w:val="00A457DF"/>
    <w:rsid w:val="00A45816"/>
    <w:rsid w:val="00A45A3D"/>
    <w:rsid w:val="00A45C55"/>
    <w:rsid w:val="00A45CF8"/>
    <w:rsid w:val="00A45D5D"/>
    <w:rsid w:val="00A45DD0"/>
    <w:rsid w:val="00A45EA3"/>
    <w:rsid w:val="00A45FDB"/>
    <w:rsid w:val="00A46124"/>
    <w:rsid w:val="00A46312"/>
    <w:rsid w:val="00A469F8"/>
    <w:rsid w:val="00A46B73"/>
    <w:rsid w:val="00A46B7D"/>
    <w:rsid w:val="00A46D4C"/>
    <w:rsid w:val="00A47061"/>
    <w:rsid w:val="00A47114"/>
    <w:rsid w:val="00A4729B"/>
    <w:rsid w:val="00A472F4"/>
    <w:rsid w:val="00A472FF"/>
    <w:rsid w:val="00A473E0"/>
    <w:rsid w:val="00A47437"/>
    <w:rsid w:val="00A47675"/>
    <w:rsid w:val="00A476B2"/>
    <w:rsid w:val="00A47730"/>
    <w:rsid w:val="00A47757"/>
    <w:rsid w:val="00A477DD"/>
    <w:rsid w:val="00A478D1"/>
    <w:rsid w:val="00A4797D"/>
    <w:rsid w:val="00A47C32"/>
    <w:rsid w:val="00A47D30"/>
    <w:rsid w:val="00A47E69"/>
    <w:rsid w:val="00A47EAE"/>
    <w:rsid w:val="00A50101"/>
    <w:rsid w:val="00A501F4"/>
    <w:rsid w:val="00A5022E"/>
    <w:rsid w:val="00A50311"/>
    <w:rsid w:val="00A5033F"/>
    <w:rsid w:val="00A504A3"/>
    <w:rsid w:val="00A504D7"/>
    <w:rsid w:val="00A508CF"/>
    <w:rsid w:val="00A50A2C"/>
    <w:rsid w:val="00A50C92"/>
    <w:rsid w:val="00A50F38"/>
    <w:rsid w:val="00A50FDC"/>
    <w:rsid w:val="00A51396"/>
    <w:rsid w:val="00A5146C"/>
    <w:rsid w:val="00A51577"/>
    <w:rsid w:val="00A517A4"/>
    <w:rsid w:val="00A51872"/>
    <w:rsid w:val="00A5199B"/>
    <w:rsid w:val="00A51B94"/>
    <w:rsid w:val="00A52076"/>
    <w:rsid w:val="00A520C5"/>
    <w:rsid w:val="00A521FE"/>
    <w:rsid w:val="00A522F3"/>
    <w:rsid w:val="00A5239B"/>
    <w:rsid w:val="00A524DD"/>
    <w:rsid w:val="00A524EF"/>
    <w:rsid w:val="00A525B0"/>
    <w:rsid w:val="00A526A9"/>
    <w:rsid w:val="00A526F6"/>
    <w:rsid w:val="00A526FB"/>
    <w:rsid w:val="00A52751"/>
    <w:rsid w:val="00A5275C"/>
    <w:rsid w:val="00A52834"/>
    <w:rsid w:val="00A52873"/>
    <w:rsid w:val="00A528B1"/>
    <w:rsid w:val="00A528F7"/>
    <w:rsid w:val="00A528F9"/>
    <w:rsid w:val="00A52919"/>
    <w:rsid w:val="00A5297F"/>
    <w:rsid w:val="00A529E8"/>
    <w:rsid w:val="00A52A1D"/>
    <w:rsid w:val="00A52B79"/>
    <w:rsid w:val="00A52C43"/>
    <w:rsid w:val="00A52F12"/>
    <w:rsid w:val="00A52F65"/>
    <w:rsid w:val="00A52FAC"/>
    <w:rsid w:val="00A530B7"/>
    <w:rsid w:val="00A530EF"/>
    <w:rsid w:val="00A5359B"/>
    <w:rsid w:val="00A535FC"/>
    <w:rsid w:val="00A53865"/>
    <w:rsid w:val="00A5398E"/>
    <w:rsid w:val="00A539CB"/>
    <w:rsid w:val="00A53AC2"/>
    <w:rsid w:val="00A53AC9"/>
    <w:rsid w:val="00A53B78"/>
    <w:rsid w:val="00A53CAA"/>
    <w:rsid w:val="00A53DDC"/>
    <w:rsid w:val="00A53EB6"/>
    <w:rsid w:val="00A53F7E"/>
    <w:rsid w:val="00A54073"/>
    <w:rsid w:val="00A54104"/>
    <w:rsid w:val="00A5413D"/>
    <w:rsid w:val="00A541A8"/>
    <w:rsid w:val="00A541E2"/>
    <w:rsid w:val="00A54260"/>
    <w:rsid w:val="00A54297"/>
    <w:rsid w:val="00A54314"/>
    <w:rsid w:val="00A544BD"/>
    <w:rsid w:val="00A54600"/>
    <w:rsid w:val="00A54713"/>
    <w:rsid w:val="00A54891"/>
    <w:rsid w:val="00A54957"/>
    <w:rsid w:val="00A54B9B"/>
    <w:rsid w:val="00A54C24"/>
    <w:rsid w:val="00A54C4C"/>
    <w:rsid w:val="00A54C53"/>
    <w:rsid w:val="00A54E3E"/>
    <w:rsid w:val="00A54E4C"/>
    <w:rsid w:val="00A54FD1"/>
    <w:rsid w:val="00A55050"/>
    <w:rsid w:val="00A55189"/>
    <w:rsid w:val="00A5521A"/>
    <w:rsid w:val="00A553C3"/>
    <w:rsid w:val="00A553DB"/>
    <w:rsid w:val="00A55429"/>
    <w:rsid w:val="00A55508"/>
    <w:rsid w:val="00A5555C"/>
    <w:rsid w:val="00A555F5"/>
    <w:rsid w:val="00A5589E"/>
    <w:rsid w:val="00A5590C"/>
    <w:rsid w:val="00A5598F"/>
    <w:rsid w:val="00A55C0A"/>
    <w:rsid w:val="00A55D68"/>
    <w:rsid w:val="00A55DC7"/>
    <w:rsid w:val="00A55E03"/>
    <w:rsid w:val="00A55F27"/>
    <w:rsid w:val="00A5609A"/>
    <w:rsid w:val="00A560D1"/>
    <w:rsid w:val="00A56221"/>
    <w:rsid w:val="00A5633F"/>
    <w:rsid w:val="00A56450"/>
    <w:rsid w:val="00A5664C"/>
    <w:rsid w:val="00A566F7"/>
    <w:rsid w:val="00A56735"/>
    <w:rsid w:val="00A56736"/>
    <w:rsid w:val="00A568F7"/>
    <w:rsid w:val="00A5692A"/>
    <w:rsid w:val="00A56933"/>
    <w:rsid w:val="00A5705C"/>
    <w:rsid w:val="00A570A4"/>
    <w:rsid w:val="00A57140"/>
    <w:rsid w:val="00A571A5"/>
    <w:rsid w:val="00A571CA"/>
    <w:rsid w:val="00A57210"/>
    <w:rsid w:val="00A574AF"/>
    <w:rsid w:val="00A574F8"/>
    <w:rsid w:val="00A57512"/>
    <w:rsid w:val="00A57588"/>
    <w:rsid w:val="00A57660"/>
    <w:rsid w:val="00A57922"/>
    <w:rsid w:val="00A57CC5"/>
    <w:rsid w:val="00A57E6F"/>
    <w:rsid w:val="00A57EEA"/>
    <w:rsid w:val="00A60001"/>
    <w:rsid w:val="00A603D8"/>
    <w:rsid w:val="00A60467"/>
    <w:rsid w:val="00A60B32"/>
    <w:rsid w:val="00A60C9A"/>
    <w:rsid w:val="00A60D0C"/>
    <w:rsid w:val="00A60DE0"/>
    <w:rsid w:val="00A60EAA"/>
    <w:rsid w:val="00A60EB6"/>
    <w:rsid w:val="00A60FE6"/>
    <w:rsid w:val="00A6104A"/>
    <w:rsid w:val="00A61099"/>
    <w:rsid w:val="00A610A2"/>
    <w:rsid w:val="00A611EF"/>
    <w:rsid w:val="00A612F2"/>
    <w:rsid w:val="00A6141D"/>
    <w:rsid w:val="00A6146D"/>
    <w:rsid w:val="00A614F0"/>
    <w:rsid w:val="00A6151F"/>
    <w:rsid w:val="00A615E9"/>
    <w:rsid w:val="00A61796"/>
    <w:rsid w:val="00A6179E"/>
    <w:rsid w:val="00A617B1"/>
    <w:rsid w:val="00A6183C"/>
    <w:rsid w:val="00A61C1B"/>
    <w:rsid w:val="00A61CE9"/>
    <w:rsid w:val="00A61D8D"/>
    <w:rsid w:val="00A61ED8"/>
    <w:rsid w:val="00A6215D"/>
    <w:rsid w:val="00A62364"/>
    <w:rsid w:val="00A62373"/>
    <w:rsid w:val="00A623FC"/>
    <w:rsid w:val="00A62403"/>
    <w:rsid w:val="00A624FE"/>
    <w:rsid w:val="00A62555"/>
    <w:rsid w:val="00A626AF"/>
    <w:rsid w:val="00A62728"/>
    <w:rsid w:val="00A62750"/>
    <w:rsid w:val="00A62791"/>
    <w:rsid w:val="00A6292A"/>
    <w:rsid w:val="00A6299E"/>
    <w:rsid w:val="00A629EA"/>
    <w:rsid w:val="00A629F7"/>
    <w:rsid w:val="00A62BC6"/>
    <w:rsid w:val="00A62C3C"/>
    <w:rsid w:val="00A62DB7"/>
    <w:rsid w:val="00A62F42"/>
    <w:rsid w:val="00A62F68"/>
    <w:rsid w:val="00A62F9E"/>
    <w:rsid w:val="00A6304D"/>
    <w:rsid w:val="00A63129"/>
    <w:rsid w:val="00A63230"/>
    <w:rsid w:val="00A6324C"/>
    <w:rsid w:val="00A632F3"/>
    <w:rsid w:val="00A63355"/>
    <w:rsid w:val="00A634D2"/>
    <w:rsid w:val="00A635E6"/>
    <w:rsid w:val="00A636EB"/>
    <w:rsid w:val="00A6375B"/>
    <w:rsid w:val="00A6379B"/>
    <w:rsid w:val="00A6391F"/>
    <w:rsid w:val="00A6397B"/>
    <w:rsid w:val="00A639B5"/>
    <w:rsid w:val="00A63A9C"/>
    <w:rsid w:val="00A63AA2"/>
    <w:rsid w:val="00A63BBC"/>
    <w:rsid w:val="00A64136"/>
    <w:rsid w:val="00A641A0"/>
    <w:rsid w:val="00A641EE"/>
    <w:rsid w:val="00A644F4"/>
    <w:rsid w:val="00A6458D"/>
    <w:rsid w:val="00A6459D"/>
    <w:rsid w:val="00A645F0"/>
    <w:rsid w:val="00A646FE"/>
    <w:rsid w:val="00A64715"/>
    <w:rsid w:val="00A64748"/>
    <w:rsid w:val="00A647D8"/>
    <w:rsid w:val="00A64A6C"/>
    <w:rsid w:val="00A64AB8"/>
    <w:rsid w:val="00A64C6A"/>
    <w:rsid w:val="00A64C87"/>
    <w:rsid w:val="00A64CC7"/>
    <w:rsid w:val="00A64CF3"/>
    <w:rsid w:val="00A64D5F"/>
    <w:rsid w:val="00A64DDE"/>
    <w:rsid w:val="00A64E0E"/>
    <w:rsid w:val="00A64E4C"/>
    <w:rsid w:val="00A65022"/>
    <w:rsid w:val="00A650EF"/>
    <w:rsid w:val="00A65108"/>
    <w:rsid w:val="00A6544E"/>
    <w:rsid w:val="00A6558E"/>
    <w:rsid w:val="00A65840"/>
    <w:rsid w:val="00A65870"/>
    <w:rsid w:val="00A658E6"/>
    <w:rsid w:val="00A65947"/>
    <w:rsid w:val="00A6597A"/>
    <w:rsid w:val="00A659B0"/>
    <w:rsid w:val="00A659C6"/>
    <w:rsid w:val="00A65CB4"/>
    <w:rsid w:val="00A65E1F"/>
    <w:rsid w:val="00A65FA4"/>
    <w:rsid w:val="00A66084"/>
    <w:rsid w:val="00A66148"/>
    <w:rsid w:val="00A661B4"/>
    <w:rsid w:val="00A663AA"/>
    <w:rsid w:val="00A66405"/>
    <w:rsid w:val="00A6648D"/>
    <w:rsid w:val="00A664AA"/>
    <w:rsid w:val="00A665FA"/>
    <w:rsid w:val="00A66645"/>
    <w:rsid w:val="00A666AB"/>
    <w:rsid w:val="00A6677F"/>
    <w:rsid w:val="00A66781"/>
    <w:rsid w:val="00A66908"/>
    <w:rsid w:val="00A66910"/>
    <w:rsid w:val="00A66A44"/>
    <w:rsid w:val="00A66A80"/>
    <w:rsid w:val="00A66A9F"/>
    <w:rsid w:val="00A66B13"/>
    <w:rsid w:val="00A66C80"/>
    <w:rsid w:val="00A66DBE"/>
    <w:rsid w:val="00A66E23"/>
    <w:rsid w:val="00A6704A"/>
    <w:rsid w:val="00A671AD"/>
    <w:rsid w:val="00A672BD"/>
    <w:rsid w:val="00A673D7"/>
    <w:rsid w:val="00A67838"/>
    <w:rsid w:val="00A6785D"/>
    <w:rsid w:val="00A67AE6"/>
    <w:rsid w:val="00A67CAE"/>
    <w:rsid w:val="00A67CE9"/>
    <w:rsid w:val="00A67DA4"/>
    <w:rsid w:val="00A67E0F"/>
    <w:rsid w:val="00A700D8"/>
    <w:rsid w:val="00A7010C"/>
    <w:rsid w:val="00A703B9"/>
    <w:rsid w:val="00A705BF"/>
    <w:rsid w:val="00A70622"/>
    <w:rsid w:val="00A70642"/>
    <w:rsid w:val="00A70728"/>
    <w:rsid w:val="00A707C9"/>
    <w:rsid w:val="00A7095A"/>
    <w:rsid w:val="00A7099F"/>
    <w:rsid w:val="00A70AAB"/>
    <w:rsid w:val="00A70BED"/>
    <w:rsid w:val="00A70E34"/>
    <w:rsid w:val="00A71005"/>
    <w:rsid w:val="00A7112E"/>
    <w:rsid w:val="00A711B2"/>
    <w:rsid w:val="00A7144F"/>
    <w:rsid w:val="00A71457"/>
    <w:rsid w:val="00A716AF"/>
    <w:rsid w:val="00A716B1"/>
    <w:rsid w:val="00A716F2"/>
    <w:rsid w:val="00A71718"/>
    <w:rsid w:val="00A71848"/>
    <w:rsid w:val="00A718EA"/>
    <w:rsid w:val="00A71A6A"/>
    <w:rsid w:val="00A71C60"/>
    <w:rsid w:val="00A71CE3"/>
    <w:rsid w:val="00A71F98"/>
    <w:rsid w:val="00A71FAD"/>
    <w:rsid w:val="00A7214C"/>
    <w:rsid w:val="00A72356"/>
    <w:rsid w:val="00A724D9"/>
    <w:rsid w:val="00A726CE"/>
    <w:rsid w:val="00A72827"/>
    <w:rsid w:val="00A72A17"/>
    <w:rsid w:val="00A72A3B"/>
    <w:rsid w:val="00A72AB4"/>
    <w:rsid w:val="00A72B39"/>
    <w:rsid w:val="00A72C29"/>
    <w:rsid w:val="00A72CA5"/>
    <w:rsid w:val="00A72E35"/>
    <w:rsid w:val="00A72E37"/>
    <w:rsid w:val="00A72FE9"/>
    <w:rsid w:val="00A73106"/>
    <w:rsid w:val="00A7327D"/>
    <w:rsid w:val="00A7336E"/>
    <w:rsid w:val="00A7371C"/>
    <w:rsid w:val="00A73BBF"/>
    <w:rsid w:val="00A73D5E"/>
    <w:rsid w:val="00A73EB2"/>
    <w:rsid w:val="00A74089"/>
    <w:rsid w:val="00A74092"/>
    <w:rsid w:val="00A7448B"/>
    <w:rsid w:val="00A744C0"/>
    <w:rsid w:val="00A744E9"/>
    <w:rsid w:val="00A74572"/>
    <w:rsid w:val="00A745F3"/>
    <w:rsid w:val="00A74745"/>
    <w:rsid w:val="00A74849"/>
    <w:rsid w:val="00A74A35"/>
    <w:rsid w:val="00A74AB3"/>
    <w:rsid w:val="00A74C2E"/>
    <w:rsid w:val="00A74C49"/>
    <w:rsid w:val="00A74DD8"/>
    <w:rsid w:val="00A74F17"/>
    <w:rsid w:val="00A75043"/>
    <w:rsid w:val="00A750EC"/>
    <w:rsid w:val="00A7510E"/>
    <w:rsid w:val="00A751CD"/>
    <w:rsid w:val="00A7536E"/>
    <w:rsid w:val="00A754B2"/>
    <w:rsid w:val="00A75517"/>
    <w:rsid w:val="00A7566B"/>
    <w:rsid w:val="00A759B2"/>
    <w:rsid w:val="00A759D3"/>
    <w:rsid w:val="00A75BCC"/>
    <w:rsid w:val="00A75D1F"/>
    <w:rsid w:val="00A75DC7"/>
    <w:rsid w:val="00A75EAC"/>
    <w:rsid w:val="00A75EE9"/>
    <w:rsid w:val="00A7619C"/>
    <w:rsid w:val="00A76441"/>
    <w:rsid w:val="00A76569"/>
    <w:rsid w:val="00A7698F"/>
    <w:rsid w:val="00A76B26"/>
    <w:rsid w:val="00A76BF5"/>
    <w:rsid w:val="00A76D92"/>
    <w:rsid w:val="00A76E81"/>
    <w:rsid w:val="00A76ED4"/>
    <w:rsid w:val="00A76F30"/>
    <w:rsid w:val="00A7704A"/>
    <w:rsid w:val="00A770E4"/>
    <w:rsid w:val="00A77126"/>
    <w:rsid w:val="00A772BE"/>
    <w:rsid w:val="00A773EB"/>
    <w:rsid w:val="00A77400"/>
    <w:rsid w:val="00A7745C"/>
    <w:rsid w:val="00A7750C"/>
    <w:rsid w:val="00A7753E"/>
    <w:rsid w:val="00A775C4"/>
    <w:rsid w:val="00A775C5"/>
    <w:rsid w:val="00A77622"/>
    <w:rsid w:val="00A7784D"/>
    <w:rsid w:val="00A77A47"/>
    <w:rsid w:val="00A77E44"/>
    <w:rsid w:val="00A77FA7"/>
    <w:rsid w:val="00A80084"/>
    <w:rsid w:val="00A80148"/>
    <w:rsid w:val="00A80159"/>
    <w:rsid w:val="00A80167"/>
    <w:rsid w:val="00A80290"/>
    <w:rsid w:val="00A802F8"/>
    <w:rsid w:val="00A80432"/>
    <w:rsid w:val="00A804D2"/>
    <w:rsid w:val="00A8080C"/>
    <w:rsid w:val="00A80921"/>
    <w:rsid w:val="00A80A5A"/>
    <w:rsid w:val="00A80A5B"/>
    <w:rsid w:val="00A80B1E"/>
    <w:rsid w:val="00A80C22"/>
    <w:rsid w:val="00A80C3F"/>
    <w:rsid w:val="00A80CA9"/>
    <w:rsid w:val="00A80F6B"/>
    <w:rsid w:val="00A81087"/>
    <w:rsid w:val="00A810C3"/>
    <w:rsid w:val="00A81338"/>
    <w:rsid w:val="00A81502"/>
    <w:rsid w:val="00A81516"/>
    <w:rsid w:val="00A815A3"/>
    <w:rsid w:val="00A81768"/>
    <w:rsid w:val="00A81A1A"/>
    <w:rsid w:val="00A81A34"/>
    <w:rsid w:val="00A81B24"/>
    <w:rsid w:val="00A81B25"/>
    <w:rsid w:val="00A81B8D"/>
    <w:rsid w:val="00A81B8E"/>
    <w:rsid w:val="00A81BDE"/>
    <w:rsid w:val="00A81C37"/>
    <w:rsid w:val="00A81CEE"/>
    <w:rsid w:val="00A81F2D"/>
    <w:rsid w:val="00A8221E"/>
    <w:rsid w:val="00A82406"/>
    <w:rsid w:val="00A824C9"/>
    <w:rsid w:val="00A8269F"/>
    <w:rsid w:val="00A82736"/>
    <w:rsid w:val="00A82789"/>
    <w:rsid w:val="00A829F2"/>
    <w:rsid w:val="00A82A31"/>
    <w:rsid w:val="00A82CBC"/>
    <w:rsid w:val="00A82D0B"/>
    <w:rsid w:val="00A82F26"/>
    <w:rsid w:val="00A83318"/>
    <w:rsid w:val="00A83414"/>
    <w:rsid w:val="00A834A3"/>
    <w:rsid w:val="00A838DC"/>
    <w:rsid w:val="00A8392E"/>
    <w:rsid w:val="00A839CC"/>
    <w:rsid w:val="00A83A9D"/>
    <w:rsid w:val="00A83B6C"/>
    <w:rsid w:val="00A83F27"/>
    <w:rsid w:val="00A83F7F"/>
    <w:rsid w:val="00A83FA0"/>
    <w:rsid w:val="00A83FBD"/>
    <w:rsid w:val="00A8409D"/>
    <w:rsid w:val="00A841BC"/>
    <w:rsid w:val="00A84264"/>
    <w:rsid w:val="00A84298"/>
    <w:rsid w:val="00A84301"/>
    <w:rsid w:val="00A84541"/>
    <w:rsid w:val="00A8470C"/>
    <w:rsid w:val="00A8481F"/>
    <w:rsid w:val="00A84872"/>
    <w:rsid w:val="00A848B6"/>
    <w:rsid w:val="00A8495C"/>
    <w:rsid w:val="00A8497A"/>
    <w:rsid w:val="00A8499D"/>
    <w:rsid w:val="00A84AC4"/>
    <w:rsid w:val="00A84B08"/>
    <w:rsid w:val="00A84D7C"/>
    <w:rsid w:val="00A84EBD"/>
    <w:rsid w:val="00A84FE5"/>
    <w:rsid w:val="00A85039"/>
    <w:rsid w:val="00A85177"/>
    <w:rsid w:val="00A85318"/>
    <w:rsid w:val="00A85319"/>
    <w:rsid w:val="00A854E6"/>
    <w:rsid w:val="00A855CF"/>
    <w:rsid w:val="00A85626"/>
    <w:rsid w:val="00A8580C"/>
    <w:rsid w:val="00A8581C"/>
    <w:rsid w:val="00A85846"/>
    <w:rsid w:val="00A858BA"/>
    <w:rsid w:val="00A85911"/>
    <w:rsid w:val="00A85927"/>
    <w:rsid w:val="00A85940"/>
    <w:rsid w:val="00A85CCE"/>
    <w:rsid w:val="00A85DFB"/>
    <w:rsid w:val="00A85E8B"/>
    <w:rsid w:val="00A85F34"/>
    <w:rsid w:val="00A86044"/>
    <w:rsid w:val="00A86201"/>
    <w:rsid w:val="00A86332"/>
    <w:rsid w:val="00A86511"/>
    <w:rsid w:val="00A86513"/>
    <w:rsid w:val="00A865DF"/>
    <w:rsid w:val="00A86645"/>
    <w:rsid w:val="00A86670"/>
    <w:rsid w:val="00A86856"/>
    <w:rsid w:val="00A86AC5"/>
    <w:rsid w:val="00A86AD8"/>
    <w:rsid w:val="00A86BA4"/>
    <w:rsid w:val="00A86CF7"/>
    <w:rsid w:val="00A86D2D"/>
    <w:rsid w:val="00A872C8"/>
    <w:rsid w:val="00A875F6"/>
    <w:rsid w:val="00A87617"/>
    <w:rsid w:val="00A8795F"/>
    <w:rsid w:val="00A8799A"/>
    <w:rsid w:val="00A87AD5"/>
    <w:rsid w:val="00A87D63"/>
    <w:rsid w:val="00A87DAE"/>
    <w:rsid w:val="00A87E43"/>
    <w:rsid w:val="00A87E6A"/>
    <w:rsid w:val="00A87F32"/>
    <w:rsid w:val="00A87FE6"/>
    <w:rsid w:val="00A90021"/>
    <w:rsid w:val="00A9003D"/>
    <w:rsid w:val="00A902D0"/>
    <w:rsid w:val="00A903D0"/>
    <w:rsid w:val="00A904DA"/>
    <w:rsid w:val="00A90523"/>
    <w:rsid w:val="00A90774"/>
    <w:rsid w:val="00A9080C"/>
    <w:rsid w:val="00A908B5"/>
    <w:rsid w:val="00A908C2"/>
    <w:rsid w:val="00A9092B"/>
    <w:rsid w:val="00A90BFF"/>
    <w:rsid w:val="00A90CD6"/>
    <w:rsid w:val="00A90E66"/>
    <w:rsid w:val="00A90E70"/>
    <w:rsid w:val="00A90E95"/>
    <w:rsid w:val="00A90F00"/>
    <w:rsid w:val="00A91034"/>
    <w:rsid w:val="00A910F4"/>
    <w:rsid w:val="00A911F3"/>
    <w:rsid w:val="00A913E9"/>
    <w:rsid w:val="00A91424"/>
    <w:rsid w:val="00A9161D"/>
    <w:rsid w:val="00A9188F"/>
    <w:rsid w:val="00A91B31"/>
    <w:rsid w:val="00A91C16"/>
    <w:rsid w:val="00A91C47"/>
    <w:rsid w:val="00A91C8E"/>
    <w:rsid w:val="00A91CA0"/>
    <w:rsid w:val="00A91DED"/>
    <w:rsid w:val="00A91E5A"/>
    <w:rsid w:val="00A923EC"/>
    <w:rsid w:val="00A9247D"/>
    <w:rsid w:val="00A92698"/>
    <w:rsid w:val="00A92707"/>
    <w:rsid w:val="00A9283C"/>
    <w:rsid w:val="00A929B8"/>
    <w:rsid w:val="00A92C76"/>
    <w:rsid w:val="00A92D33"/>
    <w:rsid w:val="00A92E3A"/>
    <w:rsid w:val="00A92E7C"/>
    <w:rsid w:val="00A92EB0"/>
    <w:rsid w:val="00A93079"/>
    <w:rsid w:val="00A931A4"/>
    <w:rsid w:val="00A931F4"/>
    <w:rsid w:val="00A932BD"/>
    <w:rsid w:val="00A9355A"/>
    <w:rsid w:val="00A93576"/>
    <w:rsid w:val="00A93686"/>
    <w:rsid w:val="00A9381A"/>
    <w:rsid w:val="00A9397F"/>
    <w:rsid w:val="00A93A0D"/>
    <w:rsid w:val="00A93A23"/>
    <w:rsid w:val="00A93BC7"/>
    <w:rsid w:val="00A93C02"/>
    <w:rsid w:val="00A93C3B"/>
    <w:rsid w:val="00A93C4E"/>
    <w:rsid w:val="00A93C82"/>
    <w:rsid w:val="00A93E6C"/>
    <w:rsid w:val="00A940F5"/>
    <w:rsid w:val="00A9410C"/>
    <w:rsid w:val="00A94116"/>
    <w:rsid w:val="00A94134"/>
    <w:rsid w:val="00A94168"/>
    <w:rsid w:val="00A9441F"/>
    <w:rsid w:val="00A944DC"/>
    <w:rsid w:val="00A94712"/>
    <w:rsid w:val="00A9471E"/>
    <w:rsid w:val="00A94793"/>
    <w:rsid w:val="00A94796"/>
    <w:rsid w:val="00A94A2A"/>
    <w:rsid w:val="00A94A2E"/>
    <w:rsid w:val="00A94B02"/>
    <w:rsid w:val="00A94B05"/>
    <w:rsid w:val="00A94B82"/>
    <w:rsid w:val="00A94C0F"/>
    <w:rsid w:val="00A94F64"/>
    <w:rsid w:val="00A94F9E"/>
    <w:rsid w:val="00A94FE3"/>
    <w:rsid w:val="00A9505C"/>
    <w:rsid w:val="00A952ED"/>
    <w:rsid w:val="00A95826"/>
    <w:rsid w:val="00A9598E"/>
    <w:rsid w:val="00A95A90"/>
    <w:rsid w:val="00A95AB8"/>
    <w:rsid w:val="00A95B1E"/>
    <w:rsid w:val="00A95C1D"/>
    <w:rsid w:val="00A95C2C"/>
    <w:rsid w:val="00A95C50"/>
    <w:rsid w:val="00A95CC4"/>
    <w:rsid w:val="00A95E05"/>
    <w:rsid w:val="00A95E12"/>
    <w:rsid w:val="00A95F19"/>
    <w:rsid w:val="00A96065"/>
    <w:rsid w:val="00A96207"/>
    <w:rsid w:val="00A9624D"/>
    <w:rsid w:val="00A963BD"/>
    <w:rsid w:val="00A964CD"/>
    <w:rsid w:val="00A967B7"/>
    <w:rsid w:val="00A969CA"/>
    <w:rsid w:val="00A969E3"/>
    <w:rsid w:val="00A96A2B"/>
    <w:rsid w:val="00A96CAA"/>
    <w:rsid w:val="00A96D7C"/>
    <w:rsid w:val="00A96DB4"/>
    <w:rsid w:val="00A96DED"/>
    <w:rsid w:val="00A96EC1"/>
    <w:rsid w:val="00A9716C"/>
    <w:rsid w:val="00A972D0"/>
    <w:rsid w:val="00A97348"/>
    <w:rsid w:val="00A97410"/>
    <w:rsid w:val="00A974F3"/>
    <w:rsid w:val="00A9776D"/>
    <w:rsid w:val="00A9785D"/>
    <w:rsid w:val="00A97864"/>
    <w:rsid w:val="00A97DC7"/>
    <w:rsid w:val="00A97E9E"/>
    <w:rsid w:val="00A97EC6"/>
    <w:rsid w:val="00A97FA5"/>
    <w:rsid w:val="00A97FF2"/>
    <w:rsid w:val="00AA05C3"/>
    <w:rsid w:val="00AA05DC"/>
    <w:rsid w:val="00AA0967"/>
    <w:rsid w:val="00AA0977"/>
    <w:rsid w:val="00AA09C4"/>
    <w:rsid w:val="00AA09DB"/>
    <w:rsid w:val="00AA0B7A"/>
    <w:rsid w:val="00AA0C4F"/>
    <w:rsid w:val="00AA0C62"/>
    <w:rsid w:val="00AA0C93"/>
    <w:rsid w:val="00AA0EEF"/>
    <w:rsid w:val="00AA0F1B"/>
    <w:rsid w:val="00AA108B"/>
    <w:rsid w:val="00AA10D1"/>
    <w:rsid w:val="00AA11D3"/>
    <w:rsid w:val="00AA12F4"/>
    <w:rsid w:val="00AA1327"/>
    <w:rsid w:val="00AA13F4"/>
    <w:rsid w:val="00AA15DE"/>
    <w:rsid w:val="00AA16A7"/>
    <w:rsid w:val="00AA1739"/>
    <w:rsid w:val="00AA18A5"/>
    <w:rsid w:val="00AA18E1"/>
    <w:rsid w:val="00AA1A75"/>
    <w:rsid w:val="00AA1C6C"/>
    <w:rsid w:val="00AA1E3F"/>
    <w:rsid w:val="00AA2146"/>
    <w:rsid w:val="00AA21F8"/>
    <w:rsid w:val="00AA2340"/>
    <w:rsid w:val="00AA255D"/>
    <w:rsid w:val="00AA262E"/>
    <w:rsid w:val="00AA2653"/>
    <w:rsid w:val="00AA28D2"/>
    <w:rsid w:val="00AA28E9"/>
    <w:rsid w:val="00AA28F8"/>
    <w:rsid w:val="00AA2B0E"/>
    <w:rsid w:val="00AA2BE3"/>
    <w:rsid w:val="00AA2C78"/>
    <w:rsid w:val="00AA2CDA"/>
    <w:rsid w:val="00AA2DC8"/>
    <w:rsid w:val="00AA2DCB"/>
    <w:rsid w:val="00AA2DD4"/>
    <w:rsid w:val="00AA2DDD"/>
    <w:rsid w:val="00AA2E7E"/>
    <w:rsid w:val="00AA2EF6"/>
    <w:rsid w:val="00AA2F70"/>
    <w:rsid w:val="00AA2F92"/>
    <w:rsid w:val="00AA311B"/>
    <w:rsid w:val="00AA3423"/>
    <w:rsid w:val="00AA34DF"/>
    <w:rsid w:val="00AA3516"/>
    <w:rsid w:val="00AA35A3"/>
    <w:rsid w:val="00AA370B"/>
    <w:rsid w:val="00AA377A"/>
    <w:rsid w:val="00AA3800"/>
    <w:rsid w:val="00AA3857"/>
    <w:rsid w:val="00AA3924"/>
    <w:rsid w:val="00AA3955"/>
    <w:rsid w:val="00AA3C2D"/>
    <w:rsid w:val="00AA3C59"/>
    <w:rsid w:val="00AA3DE5"/>
    <w:rsid w:val="00AA3E18"/>
    <w:rsid w:val="00AA3F53"/>
    <w:rsid w:val="00AA4131"/>
    <w:rsid w:val="00AA4239"/>
    <w:rsid w:val="00AA4318"/>
    <w:rsid w:val="00AA458F"/>
    <w:rsid w:val="00AA4619"/>
    <w:rsid w:val="00AA4879"/>
    <w:rsid w:val="00AA4888"/>
    <w:rsid w:val="00AA4A77"/>
    <w:rsid w:val="00AA4D6D"/>
    <w:rsid w:val="00AA4D9F"/>
    <w:rsid w:val="00AA4E53"/>
    <w:rsid w:val="00AA4ED1"/>
    <w:rsid w:val="00AA506C"/>
    <w:rsid w:val="00AA5164"/>
    <w:rsid w:val="00AA5284"/>
    <w:rsid w:val="00AA52FF"/>
    <w:rsid w:val="00AA538B"/>
    <w:rsid w:val="00AA575F"/>
    <w:rsid w:val="00AA5778"/>
    <w:rsid w:val="00AA5815"/>
    <w:rsid w:val="00AA5A2E"/>
    <w:rsid w:val="00AA6053"/>
    <w:rsid w:val="00AA605B"/>
    <w:rsid w:val="00AA6069"/>
    <w:rsid w:val="00AA60C7"/>
    <w:rsid w:val="00AA616F"/>
    <w:rsid w:val="00AA6450"/>
    <w:rsid w:val="00AA650A"/>
    <w:rsid w:val="00AA6527"/>
    <w:rsid w:val="00AA6568"/>
    <w:rsid w:val="00AA6674"/>
    <w:rsid w:val="00AA6681"/>
    <w:rsid w:val="00AA687A"/>
    <w:rsid w:val="00AA68CA"/>
    <w:rsid w:val="00AA6A04"/>
    <w:rsid w:val="00AA6A23"/>
    <w:rsid w:val="00AA6AAE"/>
    <w:rsid w:val="00AA6C18"/>
    <w:rsid w:val="00AA6DC3"/>
    <w:rsid w:val="00AA6E92"/>
    <w:rsid w:val="00AA6E9E"/>
    <w:rsid w:val="00AA6F79"/>
    <w:rsid w:val="00AA7068"/>
    <w:rsid w:val="00AA709C"/>
    <w:rsid w:val="00AA7194"/>
    <w:rsid w:val="00AA71CD"/>
    <w:rsid w:val="00AA71EF"/>
    <w:rsid w:val="00AA725B"/>
    <w:rsid w:val="00AA72F3"/>
    <w:rsid w:val="00AA7535"/>
    <w:rsid w:val="00AA778C"/>
    <w:rsid w:val="00AA77EF"/>
    <w:rsid w:val="00AA783C"/>
    <w:rsid w:val="00AA7B11"/>
    <w:rsid w:val="00AA7F53"/>
    <w:rsid w:val="00AB0794"/>
    <w:rsid w:val="00AB0C9B"/>
    <w:rsid w:val="00AB0FAD"/>
    <w:rsid w:val="00AB110B"/>
    <w:rsid w:val="00AB111A"/>
    <w:rsid w:val="00AB1126"/>
    <w:rsid w:val="00AB1167"/>
    <w:rsid w:val="00AB1169"/>
    <w:rsid w:val="00AB13FB"/>
    <w:rsid w:val="00AB14CB"/>
    <w:rsid w:val="00AB17FA"/>
    <w:rsid w:val="00AB19DA"/>
    <w:rsid w:val="00AB1A64"/>
    <w:rsid w:val="00AB1BCE"/>
    <w:rsid w:val="00AB1DA7"/>
    <w:rsid w:val="00AB1DF1"/>
    <w:rsid w:val="00AB20AD"/>
    <w:rsid w:val="00AB2211"/>
    <w:rsid w:val="00AB2318"/>
    <w:rsid w:val="00AB234A"/>
    <w:rsid w:val="00AB2641"/>
    <w:rsid w:val="00AB26B1"/>
    <w:rsid w:val="00AB26DF"/>
    <w:rsid w:val="00AB27F3"/>
    <w:rsid w:val="00AB27FD"/>
    <w:rsid w:val="00AB2883"/>
    <w:rsid w:val="00AB2934"/>
    <w:rsid w:val="00AB297A"/>
    <w:rsid w:val="00AB29A1"/>
    <w:rsid w:val="00AB2B30"/>
    <w:rsid w:val="00AB2C22"/>
    <w:rsid w:val="00AB2CD3"/>
    <w:rsid w:val="00AB2E62"/>
    <w:rsid w:val="00AB2F83"/>
    <w:rsid w:val="00AB2FAB"/>
    <w:rsid w:val="00AB2FB9"/>
    <w:rsid w:val="00AB3093"/>
    <w:rsid w:val="00AB32DA"/>
    <w:rsid w:val="00AB32DB"/>
    <w:rsid w:val="00AB3304"/>
    <w:rsid w:val="00AB3411"/>
    <w:rsid w:val="00AB3438"/>
    <w:rsid w:val="00AB345B"/>
    <w:rsid w:val="00AB34D1"/>
    <w:rsid w:val="00AB3541"/>
    <w:rsid w:val="00AB35CA"/>
    <w:rsid w:val="00AB3699"/>
    <w:rsid w:val="00AB36DD"/>
    <w:rsid w:val="00AB3850"/>
    <w:rsid w:val="00AB3B4B"/>
    <w:rsid w:val="00AB3CC4"/>
    <w:rsid w:val="00AB3D3D"/>
    <w:rsid w:val="00AB3E80"/>
    <w:rsid w:val="00AB3E9E"/>
    <w:rsid w:val="00AB406D"/>
    <w:rsid w:val="00AB41B3"/>
    <w:rsid w:val="00AB41F1"/>
    <w:rsid w:val="00AB41FF"/>
    <w:rsid w:val="00AB425A"/>
    <w:rsid w:val="00AB42D0"/>
    <w:rsid w:val="00AB44D8"/>
    <w:rsid w:val="00AB4560"/>
    <w:rsid w:val="00AB45DB"/>
    <w:rsid w:val="00AB46AF"/>
    <w:rsid w:val="00AB46C7"/>
    <w:rsid w:val="00AB49BF"/>
    <w:rsid w:val="00AB49F1"/>
    <w:rsid w:val="00AB4A78"/>
    <w:rsid w:val="00AB4B07"/>
    <w:rsid w:val="00AB4CDC"/>
    <w:rsid w:val="00AB4ED8"/>
    <w:rsid w:val="00AB4F67"/>
    <w:rsid w:val="00AB4F86"/>
    <w:rsid w:val="00AB4FC3"/>
    <w:rsid w:val="00AB5197"/>
    <w:rsid w:val="00AB52DB"/>
    <w:rsid w:val="00AB52F0"/>
    <w:rsid w:val="00AB5334"/>
    <w:rsid w:val="00AB55AA"/>
    <w:rsid w:val="00AB579E"/>
    <w:rsid w:val="00AB5833"/>
    <w:rsid w:val="00AB5A9F"/>
    <w:rsid w:val="00AB5ABC"/>
    <w:rsid w:val="00AB5ADC"/>
    <w:rsid w:val="00AB5B4D"/>
    <w:rsid w:val="00AB5B56"/>
    <w:rsid w:val="00AB5BCC"/>
    <w:rsid w:val="00AB5BDB"/>
    <w:rsid w:val="00AB5C19"/>
    <w:rsid w:val="00AB5D5C"/>
    <w:rsid w:val="00AB5FB1"/>
    <w:rsid w:val="00AB5FB4"/>
    <w:rsid w:val="00AB60B6"/>
    <w:rsid w:val="00AB6155"/>
    <w:rsid w:val="00AB640F"/>
    <w:rsid w:val="00AB6441"/>
    <w:rsid w:val="00AB645A"/>
    <w:rsid w:val="00AB645C"/>
    <w:rsid w:val="00AB64FB"/>
    <w:rsid w:val="00AB6529"/>
    <w:rsid w:val="00AB6668"/>
    <w:rsid w:val="00AB6803"/>
    <w:rsid w:val="00AB684C"/>
    <w:rsid w:val="00AB6909"/>
    <w:rsid w:val="00AB6A72"/>
    <w:rsid w:val="00AB6A9A"/>
    <w:rsid w:val="00AB6AC4"/>
    <w:rsid w:val="00AB6C79"/>
    <w:rsid w:val="00AB6CAD"/>
    <w:rsid w:val="00AB6CD6"/>
    <w:rsid w:val="00AB6D05"/>
    <w:rsid w:val="00AB6D53"/>
    <w:rsid w:val="00AB7298"/>
    <w:rsid w:val="00AB7390"/>
    <w:rsid w:val="00AB74F7"/>
    <w:rsid w:val="00AB77E9"/>
    <w:rsid w:val="00AB7A9A"/>
    <w:rsid w:val="00AB7B62"/>
    <w:rsid w:val="00AB7BB2"/>
    <w:rsid w:val="00AB7C53"/>
    <w:rsid w:val="00AB7C68"/>
    <w:rsid w:val="00AB7E4A"/>
    <w:rsid w:val="00AB7E4C"/>
    <w:rsid w:val="00AB7EAB"/>
    <w:rsid w:val="00AB7EBF"/>
    <w:rsid w:val="00AB7EE5"/>
    <w:rsid w:val="00AC0037"/>
    <w:rsid w:val="00AC00BD"/>
    <w:rsid w:val="00AC02C1"/>
    <w:rsid w:val="00AC0375"/>
    <w:rsid w:val="00AC058B"/>
    <w:rsid w:val="00AC0707"/>
    <w:rsid w:val="00AC0714"/>
    <w:rsid w:val="00AC0807"/>
    <w:rsid w:val="00AC0AE7"/>
    <w:rsid w:val="00AC0B26"/>
    <w:rsid w:val="00AC0B36"/>
    <w:rsid w:val="00AC0D1B"/>
    <w:rsid w:val="00AC0DBF"/>
    <w:rsid w:val="00AC0E3E"/>
    <w:rsid w:val="00AC0F8D"/>
    <w:rsid w:val="00AC1092"/>
    <w:rsid w:val="00AC1099"/>
    <w:rsid w:val="00AC12E1"/>
    <w:rsid w:val="00AC1677"/>
    <w:rsid w:val="00AC16D5"/>
    <w:rsid w:val="00AC16DB"/>
    <w:rsid w:val="00AC1727"/>
    <w:rsid w:val="00AC18E8"/>
    <w:rsid w:val="00AC1921"/>
    <w:rsid w:val="00AC1AFF"/>
    <w:rsid w:val="00AC1D7E"/>
    <w:rsid w:val="00AC1DBB"/>
    <w:rsid w:val="00AC2066"/>
    <w:rsid w:val="00AC20C5"/>
    <w:rsid w:val="00AC2138"/>
    <w:rsid w:val="00AC23C7"/>
    <w:rsid w:val="00AC242F"/>
    <w:rsid w:val="00AC26C2"/>
    <w:rsid w:val="00AC2705"/>
    <w:rsid w:val="00AC2833"/>
    <w:rsid w:val="00AC2849"/>
    <w:rsid w:val="00AC2B58"/>
    <w:rsid w:val="00AC2B8A"/>
    <w:rsid w:val="00AC2C33"/>
    <w:rsid w:val="00AC2E4C"/>
    <w:rsid w:val="00AC2E9A"/>
    <w:rsid w:val="00AC30A2"/>
    <w:rsid w:val="00AC30E1"/>
    <w:rsid w:val="00AC30E9"/>
    <w:rsid w:val="00AC3224"/>
    <w:rsid w:val="00AC33E0"/>
    <w:rsid w:val="00AC366B"/>
    <w:rsid w:val="00AC37CA"/>
    <w:rsid w:val="00AC3A46"/>
    <w:rsid w:val="00AC3C61"/>
    <w:rsid w:val="00AC3F56"/>
    <w:rsid w:val="00AC4095"/>
    <w:rsid w:val="00AC410B"/>
    <w:rsid w:val="00AC4256"/>
    <w:rsid w:val="00AC4495"/>
    <w:rsid w:val="00AC44B3"/>
    <w:rsid w:val="00AC44B6"/>
    <w:rsid w:val="00AC4617"/>
    <w:rsid w:val="00AC468D"/>
    <w:rsid w:val="00AC4708"/>
    <w:rsid w:val="00AC49CF"/>
    <w:rsid w:val="00AC49D9"/>
    <w:rsid w:val="00AC4BD6"/>
    <w:rsid w:val="00AC4CD2"/>
    <w:rsid w:val="00AC4D91"/>
    <w:rsid w:val="00AC4DF2"/>
    <w:rsid w:val="00AC4E1E"/>
    <w:rsid w:val="00AC50E1"/>
    <w:rsid w:val="00AC52A8"/>
    <w:rsid w:val="00AC536F"/>
    <w:rsid w:val="00AC5514"/>
    <w:rsid w:val="00AC5549"/>
    <w:rsid w:val="00AC5636"/>
    <w:rsid w:val="00AC57C4"/>
    <w:rsid w:val="00AC5811"/>
    <w:rsid w:val="00AC5852"/>
    <w:rsid w:val="00AC585E"/>
    <w:rsid w:val="00AC5862"/>
    <w:rsid w:val="00AC58FA"/>
    <w:rsid w:val="00AC591D"/>
    <w:rsid w:val="00AC59B9"/>
    <w:rsid w:val="00AC5AA1"/>
    <w:rsid w:val="00AC5DEC"/>
    <w:rsid w:val="00AC5E21"/>
    <w:rsid w:val="00AC5F0A"/>
    <w:rsid w:val="00AC5F78"/>
    <w:rsid w:val="00AC5FEC"/>
    <w:rsid w:val="00AC60F9"/>
    <w:rsid w:val="00AC6195"/>
    <w:rsid w:val="00AC6225"/>
    <w:rsid w:val="00AC6231"/>
    <w:rsid w:val="00AC6379"/>
    <w:rsid w:val="00AC6404"/>
    <w:rsid w:val="00AC6753"/>
    <w:rsid w:val="00AC69EA"/>
    <w:rsid w:val="00AC6ADD"/>
    <w:rsid w:val="00AC6C0D"/>
    <w:rsid w:val="00AC6DA6"/>
    <w:rsid w:val="00AC6F04"/>
    <w:rsid w:val="00AC70AE"/>
    <w:rsid w:val="00AC729A"/>
    <w:rsid w:val="00AC749D"/>
    <w:rsid w:val="00AC7632"/>
    <w:rsid w:val="00AC767D"/>
    <w:rsid w:val="00AC7879"/>
    <w:rsid w:val="00AC7A98"/>
    <w:rsid w:val="00AC7AA3"/>
    <w:rsid w:val="00AC7AA4"/>
    <w:rsid w:val="00AC7DB1"/>
    <w:rsid w:val="00AD0169"/>
    <w:rsid w:val="00AD053E"/>
    <w:rsid w:val="00AD05D0"/>
    <w:rsid w:val="00AD07BC"/>
    <w:rsid w:val="00AD0870"/>
    <w:rsid w:val="00AD08D1"/>
    <w:rsid w:val="00AD0B02"/>
    <w:rsid w:val="00AD0B54"/>
    <w:rsid w:val="00AD0DB3"/>
    <w:rsid w:val="00AD0DFF"/>
    <w:rsid w:val="00AD0E7C"/>
    <w:rsid w:val="00AD0F4F"/>
    <w:rsid w:val="00AD0FAF"/>
    <w:rsid w:val="00AD1092"/>
    <w:rsid w:val="00AD11D2"/>
    <w:rsid w:val="00AD11F3"/>
    <w:rsid w:val="00AD1240"/>
    <w:rsid w:val="00AD149F"/>
    <w:rsid w:val="00AD14DB"/>
    <w:rsid w:val="00AD180A"/>
    <w:rsid w:val="00AD1856"/>
    <w:rsid w:val="00AD19DC"/>
    <w:rsid w:val="00AD1B2C"/>
    <w:rsid w:val="00AD1BDF"/>
    <w:rsid w:val="00AD1CC3"/>
    <w:rsid w:val="00AD1D18"/>
    <w:rsid w:val="00AD1DF5"/>
    <w:rsid w:val="00AD1FA1"/>
    <w:rsid w:val="00AD2091"/>
    <w:rsid w:val="00AD20E1"/>
    <w:rsid w:val="00AD2202"/>
    <w:rsid w:val="00AD221E"/>
    <w:rsid w:val="00AD23FF"/>
    <w:rsid w:val="00AD24A8"/>
    <w:rsid w:val="00AD2590"/>
    <w:rsid w:val="00AD27A7"/>
    <w:rsid w:val="00AD2849"/>
    <w:rsid w:val="00AD2A84"/>
    <w:rsid w:val="00AD2BAF"/>
    <w:rsid w:val="00AD2BD0"/>
    <w:rsid w:val="00AD2BD6"/>
    <w:rsid w:val="00AD2C09"/>
    <w:rsid w:val="00AD2C0D"/>
    <w:rsid w:val="00AD2D7C"/>
    <w:rsid w:val="00AD2E6A"/>
    <w:rsid w:val="00AD2EBD"/>
    <w:rsid w:val="00AD3013"/>
    <w:rsid w:val="00AD3116"/>
    <w:rsid w:val="00AD31C9"/>
    <w:rsid w:val="00AD31E3"/>
    <w:rsid w:val="00AD36BA"/>
    <w:rsid w:val="00AD37AE"/>
    <w:rsid w:val="00AD389A"/>
    <w:rsid w:val="00AD3D45"/>
    <w:rsid w:val="00AD3D6E"/>
    <w:rsid w:val="00AD3D94"/>
    <w:rsid w:val="00AD3DEB"/>
    <w:rsid w:val="00AD3EB5"/>
    <w:rsid w:val="00AD3FBC"/>
    <w:rsid w:val="00AD3FF5"/>
    <w:rsid w:val="00AD40B2"/>
    <w:rsid w:val="00AD4216"/>
    <w:rsid w:val="00AD4344"/>
    <w:rsid w:val="00AD4351"/>
    <w:rsid w:val="00AD44F8"/>
    <w:rsid w:val="00AD4505"/>
    <w:rsid w:val="00AD45D3"/>
    <w:rsid w:val="00AD48F2"/>
    <w:rsid w:val="00AD49C1"/>
    <w:rsid w:val="00AD49CC"/>
    <w:rsid w:val="00AD4A79"/>
    <w:rsid w:val="00AD4AAE"/>
    <w:rsid w:val="00AD4BBD"/>
    <w:rsid w:val="00AD50A1"/>
    <w:rsid w:val="00AD50F8"/>
    <w:rsid w:val="00AD512E"/>
    <w:rsid w:val="00AD5175"/>
    <w:rsid w:val="00AD5185"/>
    <w:rsid w:val="00AD5210"/>
    <w:rsid w:val="00AD521C"/>
    <w:rsid w:val="00AD52F6"/>
    <w:rsid w:val="00AD5387"/>
    <w:rsid w:val="00AD53AA"/>
    <w:rsid w:val="00AD545D"/>
    <w:rsid w:val="00AD5473"/>
    <w:rsid w:val="00AD5505"/>
    <w:rsid w:val="00AD5671"/>
    <w:rsid w:val="00AD570C"/>
    <w:rsid w:val="00AD57E1"/>
    <w:rsid w:val="00AD5A74"/>
    <w:rsid w:val="00AD5AC3"/>
    <w:rsid w:val="00AD5C55"/>
    <w:rsid w:val="00AD5EFF"/>
    <w:rsid w:val="00AD5FE5"/>
    <w:rsid w:val="00AD636D"/>
    <w:rsid w:val="00AD63A5"/>
    <w:rsid w:val="00AD63F4"/>
    <w:rsid w:val="00AD6431"/>
    <w:rsid w:val="00AD661C"/>
    <w:rsid w:val="00AD66F1"/>
    <w:rsid w:val="00AD67B1"/>
    <w:rsid w:val="00AD67DF"/>
    <w:rsid w:val="00AD683E"/>
    <w:rsid w:val="00AD6990"/>
    <w:rsid w:val="00AD69E6"/>
    <w:rsid w:val="00AD6A4A"/>
    <w:rsid w:val="00AD7120"/>
    <w:rsid w:val="00AD71BE"/>
    <w:rsid w:val="00AD7320"/>
    <w:rsid w:val="00AD7352"/>
    <w:rsid w:val="00AD7496"/>
    <w:rsid w:val="00AD76E8"/>
    <w:rsid w:val="00AD7900"/>
    <w:rsid w:val="00AD7925"/>
    <w:rsid w:val="00AD7CFE"/>
    <w:rsid w:val="00AD7D6B"/>
    <w:rsid w:val="00AD7DBA"/>
    <w:rsid w:val="00AD7FA1"/>
    <w:rsid w:val="00AE0057"/>
    <w:rsid w:val="00AE00EC"/>
    <w:rsid w:val="00AE01EC"/>
    <w:rsid w:val="00AE0262"/>
    <w:rsid w:val="00AE0325"/>
    <w:rsid w:val="00AE0334"/>
    <w:rsid w:val="00AE0605"/>
    <w:rsid w:val="00AE072D"/>
    <w:rsid w:val="00AE07B7"/>
    <w:rsid w:val="00AE07F3"/>
    <w:rsid w:val="00AE0A25"/>
    <w:rsid w:val="00AE0B2B"/>
    <w:rsid w:val="00AE0C6D"/>
    <w:rsid w:val="00AE0D20"/>
    <w:rsid w:val="00AE0F28"/>
    <w:rsid w:val="00AE1155"/>
    <w:rsid w:val="00AE1369"/>
    <w:rsid w:val="00AE14E0"/>
    <w:rsid w:val="00AE151F"/>
    <w:rsid w:val="00AE1551"/>
    <w:rsid w:val="00AE15B9"/>
    <w:rsid w:val="00AE1631"/>
    <w:rsid w:val="00AE19EE"/>
    <w:rsid w:val="00AE1B03"/>
    <w:rsid w:val="00AE1DF0"/>
    <w:rsid w:val="00AE21F2"/>
    <w:rsid w:val="00AE2222"/>
    <w:rsid w:val="00AE2244"/>
    <w:rsid w:val="00AE22D5"/>
    <w:rsid w:val="00AE2345"/>
    <w:rsid w:val="00AE25EC"/>
    <w:rsid w:val="00AE26D7"/>
    <w:rsid w:val="00AE28E2"/>
    <w:rsid w:val="00AE2973"/>
    <w:rsid w:val="00AE29D6"/>
    <w:rsid w:val="00AE2DD1"/>
    <w:rsid w:val="00AE2E22"/>
    <w:rsid w:val="00AE2E5C"/>
    <w:rsid w:val="00AE2EBD"/>
    <w:rsid w:val="00AE2ED6"/>
    <w:rsid w:val="00AE2EEF"/>
    <w:rsid w:val="00AE2EFF"/>
    <w:rsid w:val="00AE2FA3"/>
    <w:rsid w:val="00AE2FE6"/>
    <w:rsid w:val="00AE2FFE"/>
    <w:rsid w:val="00AE302D"/>
    <w:rsid w:val="00AE3036"/>
    <w:rsid w:val="00AE31A1"/>
    <w:rsid w:val="00AE32DC"/>
    <w:rsid w:val="00AE34EC"/>
    <w:rsid w:val="00AE3781"/>
    <w:rsid w:val="00AE3785"/>
    <w:rsid w:val="00AE395F"/>
    <w:rsid w:val="00AE39E0"/>
    <w:rsid w:val="00AE3C51"/>
    <w:rsid w:val="00AE3E92"/>
    <w:rsid w:val="00AE3EF4"/>
    <w:rsid w:val="00AE3F13"/>
    <w:rsid w:val="00AE3F28"/>
    <w:rsid w:val="00AE4128"/>
    <w:rsid w:val="00AE413D"/>
    <w:rsid w:val="00AE42DB"/>
    <w:rsid w:val="00AE42E9"/>
    <w:rsid w:val="00AE43CB"/>
    <w:rsid w:val="00AE45AB"/>
    <w:rsid w:val="00AE45B5"/>
    <w:rsid w:val="00AE470C"/>
    <w:rsid w:val="00AE477C"/>
    <w:rsid w:val="00AE4A85"/>
    <w:rsid w:val="00AE4B2C"/>
    <w:rsid w:val="00AE4BA6"/>
    <w:rsid w:val="00AE4EA7"/>
    <w:rsid w:val="00AE514C"/>
    <w:rsid w:val="00AE51DF"/>
    <w:rsid w:val="00AE5286"/>
    <w:rsid w:val="00AE53E7"/>
    <w:rsid w:val="00AE53F9"/>
    <w:rsid w:val="00AE56BB"/>
    <w:rsid w:val="00AE574C"/>
    <w:rsid w:val="00AE5827"/>
    <w:rsid w:val="00AE5E23"/>
    <w:rsid w:val="00AE5E27"/>
    <w:rsid w:val="00AE5F30"/>
    <w:rsid w:val="00AE5F86"/>
    <w:rsid w:val="00AE5F92"/>
    <w:rsid w:val="00AE5FB2"/>
    <w:rsid w:val="00AE5FD7"/>
    <w:rsid w:val="00AE5FE9"/>
    <w:rsid w:val="00AE60AA"/>
    <w:rsid w:val="00AE60D1"/>
    <w:rsid w:val="00AE6178"/>
    <w:rsid w:val="00AE6209"/>
    <w:rsid w:val="00AE6283"/>
    <w:rsid w:val="00AE64D1"/>
    <w:rsid w:val="00AE6568"/>
    <w:rsid w:val="00AE658B"/>
    <w:rsid w:val="00AE65CE"/>
    <w:rsid w:val="00AE66EF"/>
    <w:rsid w:val="00AE6936"/>
    <w:rsid w:val="00AE69F5"/>
    <w:rsid w:val="00AE6CD3"/>
    <w:rsid w:val="00AE6CD8"/>
    <w:rsid w:val="00AE6EEA"/>
    <w:rsid w:val="00AE7081"/>
    <w:rsid w:val="00AE71EB"/>
    <w:rsid w:val="00AE7466"/>
    <w:rsid w:val="00AE756F"/>
    <w:rsid w:val="00AE7586"/>
    <w:rsid w:val="00AE7781"/>
    <w:rsid w:val="00AE77C1"/>
    <w:rsid w:val="00AE781C"/>
    <w:rsid w:val="00AE7A35"/>
    <w:rsid w:val="00AE7A45"/>
    <w:rsid w:val="00AE7E80"/>
    <w:rsid w:val="00AE7F19"/>
    <w:rsid w:val="00AE7F29"/>
    <w:rsid w:val="00AE7F46"/>
    <w:rsid w:val="00AE7F99"/>
    <w:rsid w:val="00AF00FD"/>
    <w:rsid w:val="00AF010B"/>
    <w:rsid w:val="00AF0173"/>
    <w:rsid w:val="00AF0243"/>
    <w:rsid w:val="00AF029E"/>
    <w:rsid w:val="00AF02F7"/>
    <w:rsid w:val="00AF033A"/>
    <w:rsid w:val="00AF0619"/>
    <w:rsid w:val="00AF0705"/>
    <w:rsid w:val="00AF0725"/>
    <w:rsid w:val="00AF0881"/>
    <w:rsid w:val="00AF08E4"/>
    <w:rsid w:val="00AF0A3F"/>
    <w:rsid w:val="00AF0BED"/>
    <w:rsid w:val="00AF1054"/>
    <w:rsid w:val="00AF1092"/>
    <w:rsid w:val="00AF1224"/>
    <w:rsid w:val="00AF1332"/>
    <w:rsid w:val="00AF1350"/>
    <w:rsid w:val="00AF14A9"/>
    <w:rsid w:val="00AF1662"/>
    <w:rsid w:val="00AF16DF"/>
    <w:rsid w:val="00AF18F1"/>
    <w:rsid w:val="00AF19EA"/>
    <w:rsid w:val="00AF1AE0"/>
    <w:rsid w:val="00AF1B49"/>
    <w:rsid w:val="00AF1CE2"/>
    <w:rsid w:val="00AF1D14"/>
    <w:rsid w:val="00AF1E5A"/>
    <w:rsid w:val="00AF1E5C"/>
    <w:rsid w:val="00AF1E61"/>
    <w:rsid w:val="00AF202C"/>
    <w:rsid w:val="00AF2050"/>
    <w:rsid w:val="00AF21CC"/>
    <w:rsid w:val="00AF2534"/>
    <w:rsid w:val="00AF277E"/>
    <w:rsid w:val="00AF282D"/>
    <w:rsid w:val="00AF2C05"/>
    <w:rsid w:val="00AF2C4D"/>
    <w:rsid w:val="00AF2DFF"/>
    <w:rsid w:val="00AF2E84"/>
    <w:rsid w:val="00AF3065"/>
    <w:rsid w:val="00AF3110"/>
    <w:rsid w:val="00AF31EF"/>
    <w:rsid w:val="00AF327F"/>
    <w:rsid w:val="00AF32EA"/>
    <w:rsid w:val="00AF36A4"/>
    <w:rsid w:val="00AF3794"/>
    <w:rsid w:val="00AF37AD"/>
    <w:rsid w:val="00AF391B"/>
    <w:rsid w:val="00AF3AD3"/>
    <w:rsid w:val="00AF3AF3"/>
    <w:rsid w:val="00AF3CD1"/>
    <w:rsid w:val="00AF3DFF"/>
    <w:rsid w:val="00AF3EF3"/>
    <w:rsid w:val="00AF3F50"/>
    <w:rsid w:val="00AF402D"/>
    <w:rsid w:val="00AF40A6"/>
    <w:rsid w:val="00AF4118"/>
    <w:rsid w:val="00AF41A9"/>
    <w:rsid w:val="00AF4493"/>
    <w:rsid w:val="00AF457F"/>
    <w:rsid w:val="00AF45E8"/>
    <w:rsid w:val="00AF477F"/>
    <w:rsid w:val="00AF48C2"/>
    <w:rsid w:val="00AF48EB"/>
    <w:rsid w:val="00AF48F0"/>
    <w:rsid w:val="00AF4938"/>
    <w:rsid w:val="00AF4964"/>
    <w:rsid w:val="00AF4967"/>
    <w:rsid w:val="00AF49CD"/>
    <w:rsid w:val="00AF4C94"/>
    <w:rsid w:val="00AF4DB3"/>
    <w:rsid w:val="00AF4E9B"/>
    <w:rsid w:val="00AF502C"/>
    <w:rsid w:val="00AF5095"/>
    <w:rsid w:val="00AF51E8"/>
    <w:rsid w:val="00AF52C1"/>
    <w:rsid w:val="00AF5318"/>
    <w:rsid w:val="00AF549D"/>
    <w:rsid w:val="00AF561D"/>
    <w:rsid w:val="00AF57D4"/>
    <w:rsid w:val="00AF58A6"/>
    <w:rsid w:val="00AF59CF"/>
    <w:rsid w:val="00AF5B6D"/>
    <w:rsid w:val="00AF5C58"/>
    <w:rsid w:val="00AF5D3F"/>
    <w:rsid w:val="00AF5DFF"/>
    <w:rsid w:val="00AF5E26"/>
    <w:rsid w:val="00AF5EFB"/>
    <w:rsid w:val="00AF5FEF"/>
    <w:rsid w:val="00AF5FF9"/>
    <w:rsid w:val="00AF6097"/>
    <w:rsid w:val="00AF6296"/>
    <w:rsid w:val="00AF6631"/>
    <w:rsid w:val="00AF6663"/>
    <w:rsid w:val="00AF6832"/>
    <w:rsid w:val="00AF69D2"/>
    <w:rsid w:val="00AF69EE"/>
    <w:rsid w:val="00AF6A2E"/>
    <w:rsid w:val="00AF6B05"/>
    <w:rsid w:val="00AF6B75"/>
    <w:rsid w:val="00AF6BBA"/>
    <w:rsid w:val="00AF6C5A"/>
    <w:rsid w:val="00AF6CE0"/>
    <w:rsid w:val="00AF6CF4"/>
    <w:rsid w:val="00AF6F80"/>
    <w:rsid w:val="00AF6FEE"/>
    <w:rsid w:val="00AF7082"/>
    <w:rsid w:val="00AF709A"/>
    <w:rsid w:val="00AF713C"/>
    <w:rsid w:val="00AF71A0"/>
    <w:rsid w:val="00AF7328"/>
    <w:rsid w:val="00AF742D"/>
    <w:rsid w:val="00AF76AE"/>
    <w:rsid w:val="00AF7AEA"/>
    <w:rsid w:val="00AF7B05"/>
    <w:rsid w:val="00AF7B0A"/>
    <w:rsid w:val="00AF7B6F"/>
    <w:rsid w:val="00AF7C49"/>
    <w:rsid w:val="00AF7C67"/>
    <w:rsid w:val="00AF7D7E"/>
    <w:rsid w:val="00AF7DC5"/>
    <w:rsid w:val="00B00010"/>
    <w:rsid w:val="00B002DA"/>
    <w:rsid w:val="00B00378"/>
    <w:rsid w:val="00B00410"/>
    <w:rsid w:val="00B0042A"/>
    <w:rsid w:val="00B0052C"/>
    <w:rsid w:val="00B0056C"/>
    <w:rsid w:val="00B005FB"/>
    <w:rsid w:val="00B00892"/>
    <w:rsid w:val="00B00895"/>
    <w:rsid w:val="00B00A14"/>
    <w:rsid w:val="00B00A2D"/>
    <w:rsid w:val="00B00A68"/>
    <w:rsid w:val="00B00F4A"/>
    <w:rsid w:val="00B01001"/>
    <w:rsid w:val="00B010E5"/>
    <w:rsid w:val="00B0123A"/>
    <w:rsid w:val="00B012A6"/>
    <w:rsid w:val="00B016CF"/>
    <w:rsid w:val="00B017FF"/>
    <w:rsid w:val="00B0185C"/>
    <w:rsid w:val="00B01915"/>
    <w:rsid w:val="00B01950"/>
    <w:rsid w:val="00B01960"/>
    <w:rsid w:val="00B019C1"/>
    <w:rsid w:val="00B01A1A"/>
    <w:rsid w:val="00B01B44"/>
    <w:rsid w:val="00B01C27"/>
    <w:rsid w:val="00B01D78"/>
    <w:rsid w:val="00B01FCF"/>
    <w:rsid w:val="00B02064"/>
    <w:rsid w:val="00B02415"/>
    <w:rsid w:val="00B02602"/>
    <w:rsid w:val="00B02623"/>
    <w:rsid w:val="00B029F7"/>
    <w:rsid w:val="00B02A29"/>
    <w:rsid w:val="00B02BB2"/>
    <w:rsid w:val="00B02C1C"/>
    <w:rsid w:val="00B02EB5"/>
    <w:rsid w:val="00B02ECB"/>
    <w:rsid w:val="00B02EEE"/>
    <w:rsid w:val="00B03049"/>
    <w:rsid w:val="00B0315E"/>
    <w:rsid w:val="00B03172"/>
    <w:rsid w:val="00B031B6"/>
    <w:rsid w:val="00B03291"/>
    <w:rsid w:val="00B03433"/>
    <w:rsid w:val="00B03518"/>
    <w:rsid w:val="00B03BE4"/>
    <w:rsid w:val="00B03D7C"/>
    <w:rsid w:val="00B03E68"/>
    <w:rsid w:val="00B03FAB"/>
    <w:rsid w:val="00B04125"/>
    <w:rsid w:val="00B04243"/>
    <w:rsid w:val="00B042B0"/>
    <w:rsid w:val="00B0438B"/>
    <w:rsid w:val="00B043C8"/>
    <w:rsid w:val="00B0446E"/>
    <w:rsid w:val="00B04504"/>
    <w:rsid w:val="00B045C0"/>
    <w:rsid w:val="00B04920"/>
    <w:rsid w:val="00B04AFE"/>
    <w:rsid w:val="00B04C9C"/>
    <w:rsid w:val="00B04CC3"/>
    <w:rsid w:val="00B04D01"/>
    <w:rsid w:val="00B04F83"/>
    <w:rsid w:val="00B05072"/>
    <w:rsid w:val="00B0517F"/>
    <w:rsid w:val="00B05327"/>
    <w:rsid w:val="00B053A0"/>
    <w:rsid w:val="00B057FD"/>
    <w:rsid w:val="00B0580F"/>
    <w:rsid w:val="00B058A0"/>
    <w:rsid w:val="00B05911"/>
    <w:rsid w:val="00B05B8C"/>
    <w:rsid w:val="00B05CA8"/>
    <w:rsid w:val="00B05E90"/>
    <w:rsid w:val="00B0616D"/>
    <w:rsid w:val="00B0628E"/>
    <w:rsid w:val="00B06701"/>
    <w:rsid w:val="00B068FF"/>
    <w:rsid w:val="00B06986"/>
    <w:rsid w:val="00B06989"/>
    <w:rsid w:val="00B06A8B"/>
    <w:rsid w:val="00B06D00"/>
    <w:rsid w:val="00B06E91"/>
    <w:rsid w:val="00B06EB4"/>
    <w:rsid w:val="00B06F36"/>
    <w:rsid w:val="00B06F78"/>
    <w:rsid w:val="00B06FD0"/>
    <w:rsid w:val="00B0724F"/>
    <w:rsid w:val="00B0736F"/>
    <w:rsid w:val="00B0762B"/>
    <w:rsid w:val="00B0767C"/>
    <w:rsid w:val="00B07684"/>
    <w:rsid w:val="00B076C1"/>
    <w:rsid w:val="00B0775B"/>
    <w:rsid w:val="00B077AA"/>
    <w:rsid w:val="00B07A2C"/>
    <w:rsid w:val="00B07B9C"/>
    <w:rsid w:val="00B07BAC"/>
    <w:rsid w:val="00B07D0B"/>
    <w:rsid w:val="00B07D99"/>
    <w:rsid w:val="00B07E7F"/>
    <w:rsid w:val="00B10221"/>
    <w:rsid w:val="00B1024E"/>
    <w:rsid w:val="00B1031F"/>
    <w:rsid w:val="00B103C1"/>
    <w:rsid w:val="00B103E0"/>
    <w:rsid w:val="00B10585"/>
    <w:rsid w:val="00B10835"/>
    <w:rsid w:val="00B10921"/>
    <w:rsid w:val="00B10B59"/>
    <w:rsid w:val="00B10CAD"/>
    <w:rsid w:val="00B10CD5"/>
    <w:rsid w:val="00B10E6D"/>
    <w:rsid w:val="00B10FAC"/>
    <w:rsid w:val="00B1104A"/>
    <w:rsid w:val="00B11082"/>
    <w:rsid w:val="00B11106"/>
    <w:rsid w:val="00B11767"/>
    <w:rsid w:val="00B11B4A"/>
    <w:rsid w:val="00B11CA6"/>
    <w:rsid w:val="00B11CF6"/>
    <w:rsid w:val="00B11DA2"/>
    <w:rsid w:val="00B1200D"/>
    <w:rsid w:val="00B120A6"/>
    <w:rsid w:val="00B12120"/>
    <w:rsid w:val="00B12123"/>
    <w:rsid w:val="00B1213B"/>
    <w:rsid w:val="00B12191"/>
    <w:rsid w:val="00B12320"/>
    <w:rsid w:val="00B123C8"/>
    <w:rsid w:val="00B12549"/>
    <w:rsid w:val="00B12ADE"/>
    <w:rsid w:val="00B12B6B"/>
    <w:rsid w:val="00B12D45"/>
    <w:rsid w:val="00B12E33"/>
    <w:rsid w:val="00B12EC5"/>
    <w:rsid w:val="00B13259"/>
    <w:rsid w:val="00B134FD"/>
    <w:rsid w:val="00B138A0"/>
    <w:rsid w:val="00B13A87"/>
    <w:rsid w:val="00B13B8B"/>
    <w:rsid w:val="00B13C64"/>
    <w:rsid w:val="00B13C92"/>
    <w:rsid w:val="00B13C97"/>
    <w:rsid w:val="00B13E48"/>
    <w:rsid w:val="00B13F8C"/>
    <w:rsid w:val="00B13FDB"/>
    <w:rsid w:val="00B13FE5"/>
    <w:rsid w:val="00B1406E"/>
    <w:rsid w:val="00B14404"/>
    <w:rsid w:val="00B144A3"/>
    <w:rsid w:val="00B144B7"/>
    <w:rsid w:val="00B1452B"/>
    <w:rsid w:val="00B145F4"/>
    <w:rsid w:val="00B148C8"/>
    <w:rsid w:val="00B148CD"/>
    <w:rsid w:val="00B14AFD"/>
    <w:rsid w:val="00B14C7A"/>
    <w:rsid w:val="00B14CB5"/>
    <w:rsid w:val="00B14D1F"/>
    <w:rsid w:val="00B14D3B"/>
    <w:rsid w:val="00B14D67"/>
    <w:rsid w:val="00B14FBB"/>
    <w:rsid w:val="00B15067"/>
    <w:rsid w:val="00B150B4"/>
    <w:rsid w:val="00B1534E"/>
    <w:rsid w:val="00B15505"/>
    <w:rsid w:val="00B155F8"/>
    <w:rsid w:val="00B156CB"/>
    <w:rsid w:val="00B156ED"/>
    <w:rsid w:val="00B157E1"/>
    <w:rsid w:val="00B15801"/>
    <w:rsid w:val="00B158ED"/>
    <w:rsid w:val="00B15915"/>
    <w:rsid w:val="00B15B16"/>
    <w:rsid w:val="00B15B8D"/>
    <w:rsid w:val="00B15D27"/>
    <w:rsid w:val="00B15DDE"/>
    <w:rsid w:val="00B15E34"/>
    <w:rsid w:val="00B15E4C"/>
    <w:rsid w:val="00B15E70"/>
    <w:rsid w:val="00B15F16"/>
    <w:rsid w:val="00B15F83"/>
    <w:rsid w:val="00B15FFB"/>
    <w:rsid w:val="00B1600C"/>
    <w:rsid w:val="00B16234"/>
    <w:rsid w:val="00B163D1"/>
    <w:rsid w:val="00B1655D"/>
    <w:rsid w:val="00B16A30"/>
    <w:rsid w:val="00B16AE5"/>
    <w:rsid w:val="00B16C90"/>
    <w:rsid w:val="00B16CB8"/>
    <w:rsid w:val="00B16D80"/>
    <w:rsid w:val="00B16F31"/>
    <w:rsid w:val="00B16F66"/>
    <w:rsid w:val="00B170E9"/>
    <w:rsid w:val="00B170FD"/>
    <w:rsid w:val="00B17133"/>
    <w:rsid w:val="00B17166"/>
    <w:rsid w:val="00B172B8"/>
    <w:rsid w:val="00B17383"/>
    <w:rsid w:val="00B17405"/>
    <w:rsid w:val="00B175CA"/>
    <w:rsid w:val="00B177A7"/>
    <w:rsid w:val="00B1792A"/>
    <w:rsid w:val="00B17B90"/>
    <w:rsid w:val="00B17E47"/>
    <w:rsid w:val="00B17EE2"/>
    <w:rsid w:val="00B17F77"/>
    <w:rsid w:val="00B2002D"/>
    <w:rsid w:val="00B20400"/>
    <w:rsid w:val="00B20A01"/>
    <w:rsid w:val="00B20BBA"/>
    <w:rsid w:val="00B20DB7"/>
    <w:rsid w:val="00B20EB8"/>
    <w:rsid w:val="00B20F35"/>
    <w:rsid w:val="00B20F44"/>
    <w:rsid w:val="00B21191"/>
    <w:rsid w:val="00B2123D"/>
    <w:rsid w:val="00B212B8"/>
    <w:rsid w:val="00B212F3"/>
    <w:rsid w:val="00B21352"/>
    <w:rsid w:val="00B21535"/>
    <w:rsid w:val="00B21554"/>
    <w:rsid w:val="00B21686"/>
    <w:rsid w:val="00B217AF"/>
    <w:rsid w:val="00B217D1"/>
    <w:rsid w:val="00B218A3"/>
    <w:rsid w:val="00B2199A"/>
    <w:rsid w:val="00B21E5B"/>
    <w:rsid w:val="00B21EC6"/>
    <w:rsid w:val="00B2200A"/>
    <w:rsid w:val="00B22067"/>
    <w:rsid w:val="00B221A2"/>
    <w:rsid w:val="00B222D1"/>
    <w:rsid w:val="00B226AB"/>
    <w:rsid w:val="00B226D3"/>
    <w:rsid w:val="00B22A39"/>
    <w:rsid w:val="00B22C51"/>
    <w:rsid w:val="00B22D20"/>
    <w:rsid w:val="00B22D4F"/>
    <w:rsid w:val="00B22F91"/>
    <w:rsid w:val="00B22FA3"/>
    <w:rsid w:val="00B22FD6"/>
    <w:rsid w:val="00B23040"/>
    <w:rsid w:val="00B2305E"/>
    <w:rsid w:val="00B233C5"/>
    <w:rsid w:val="00B233F2"/>
    <w:rsid w:val="00B23433"/>
    <w:rsid w:val="00B234C1"/>
    <w:rsid w:val="00B23507"/>
    <w:rsid w:val="00B235C8"/>
    <w:rsid w:val="00B2369A"/>
    <w:rsid w:val="00B23B44"/>
    <w:rsid w:val="00B23CCE"/>
    <w:rsid w:val="00B23ECA"/>
    <w:rsid w:val="00B23F2C"/>
    <w:rsid w:val="00B23F66"/>
    <w:rsid w:val="00B24109"/>
    <w:rsid w:val="00B24194"/>
    <w:rsid w:val="00B2429E"/>
    <w:rsid w:val="00B243C9"/>
    <w:rsid w:val="00B2441C"/>
    <w:rsid w:val="00B2448C"/>
    <w:rsid w:val="00B244C8"/>
    <w:rsid w:val="00B24C54"/>
    <w:rsid w:val="00B24FA6"/>
    <w:rsid w:val="00B25244"/>
    <w:rsid w:val="00B25407"/>
    <w:rsid w:val="00B25533"/>
    <w:rsid w:val="00B2565A"/>
    <w:rsid w:val="00B257C8"/>
    <w:rsid w:val="00B25817"/>
    <w:rsid w:val="00B2585D"/>
    <w:rsid w:val="00B25875"/>
    <w:rsid w:val="00B25907"/>
    <w:rsid w:val="00B25916"/>
    <w:rsid w:val="00B25976"/>
    <w:rsid w:val="00B25A9D"/>
    <w:rsid w:val="00B25DB0"/>
    <w:rsid w:val="00B25FF0"/>
    <w:rsid w:val="00B2605C"/>
    <w:rsid w:val="00B260ED"/>
    <w:rsid w:val="00B261B5"/>
    <w:rsid w:val="00B26325"/>
    <w:rsid w:val="00B2647F"/>
    <w:rsid w:val="00B265F8"/>
    <w:rsid w:val="00B26612"/>
    <w:rsid w:val="00B26788"/>
    <w:rsid w:val="00B269A5"/>
    <w:rsid w:val="00B269A9"/>
    <w:rsid w:val="00B26A5A"/>
    <w:rsid w:val="00B26A63"/>
    <w:rsid w:val="00B26AEF"/>
    <w:rsid w:val="00B26B2B"/>
    <w:rsid w:val="00B26D34"/>
    <w:rsid w:val="00B2723B"/>
    <w:rsid w:val="00B2725D"/>
    <w:rsid w:val="00B27308"/>
    <w:rsid w:val="00B273BE"/>
    <w:rsid w:val="00B274DD"/>
    <w:rsid w:val="00B27710"/>
    <w:rsid w:val="00B27756"/>
    <w:rsid w:val="00B27895"/>
    <w:rsid w:val="00B2799B"/>
    <w:rsid w:val="00B27C27"/>
    <w:rsid w:val="00B27C43"/>
    <w:rsid w:val="00B27C6E"/>
    <w:rsid w:val="00B27DB6"/>
    <w:rsid w:val="00B27DBB"/>
    <w:rsid w:val="00B27E2E"/>
    <w:rsid w:val="00B27F26"/>
    <w:rsid w:val="00B3008F"/>
    <w:rsid w:val="00B30151"/>
    <w:rsid w:val="00B30266"/>
    <w:rsid w:val="00B3044A"/>
    <w:rsid w:val="00B305D5"/>
    <w:rsid w:val="00B3069E"/>
    <w:rsid w:val="00B30AF0"/>
    <w:rsid w:val="00B30C04"/>
    <w:rsid w:val="00B30E18"/>
    <w:rsid w:val="00B30E62"/>
    <w:rsid w:val="00B30E88"/>
    <w:rsid w:val="00B30EB9"/>
    <w:rsid w:val="00B30F06"/>
    <w:rsid w:val="00B3114C"/>
    <w:rsid w:val="00B311C2"/>
    <w:rsid w:val="00B31227"/>
    <w:rsid w:val="00B312B2"/>
    <w:rsid w:val="00B312CB"/>
    <w:rsid w:val="00B313A3"/>
    <w:rsid w:val="00B3152C"/>
    <w:rsid w:val="00B3165F"/>
    <w:rsid w:val="00B3166A"/>
    <w:rsid w:val="00B31A46"/>
    <w:rsid w:val="00B31A6E"/>
    <w:rsid w:val="00B31C0F"/>
    <w:rsid w:val="00B31D33"/>
    <w:rsid w:val="00B321DA"/>
    <w:rsid w:val="00B322BB"/>
    <w:rsid w:val="00B323F2"/>
    <w:rsid w:val="00B3247B"/>
    <w:rsid w:val="00B325B2"/>
    <w:rsid w:val="00B3269E"/>
    <w:rsid w:val="00B32742"/>
    <w:rsid w:val="00B327B3"/>
    <w:rsid w:val="00B3287E"/>
    <w:rsid w:val="00B3289B"/>
    <w:rsid w:val="00B329BE"/>
    <w:rsid w:val="00B329E7"/>
    <w:rsid w:val="00B32C8C"/>
    <w:rsid w:val="00B3314F"/>
    <w:rsid w:val="00B331CE"/>
    <w:rsid w:val="00B331E7"/>
    <w:rsid w:val="00B33224"/>
    <w:rsid w:val="00B332A7"/>
    <w:rsid w:val="00B33350"/>
    <w:rsid w:val="00B333AA"/>
    <w:rsid w:val="00B333FA"/>
    <w:rsid w:val="00B33407"/>
    <w:rsid w:val="00B3356F"/>
    <w:rsid w:val="00B33872"/>
    <w:rsid w:val="00B339B0"/>
    <w:rsid w:val="00B33A48"/>
    <w:rsid w:val="00B33A62"/>
    <w:rsid w:val="00B33A6D"/>
    <w:rsid w:val="00B33B57"/>
    <w:rsid w:val="00B33C34"/>
    <w:rsid w:val="00B33C57"/>
    <w:rsid w:val="00B33E6D"/>
    <w:rsid w:val="00B33EB0"/>
    <w:rsid w:val="00B33FBA"/>
    <w:rsid w:val="00B340E4"/>
    <w:rsid w:val="00B34190"/>
    <w:rsid w:val="00B34238"/>
    <w:rsid w:val="00B34266"/>
    <w:rsid w:val="00B342AB"/>
    <w:rsid w:val="00B343A5"/>
    <w:rsid w:val="00B3447B"/>
    <w:rsid w:val="00B34492"/>
    <w:rsid w:val="00B345C3"/>
    <w:rsid w:val="00B345CB"/>
    <w:rsid w:val="00B345E8"/>
    <w:rsid w:val="00B346BB"/>
    <w:rsid w:val="00B3473D"/>
    <w:rsid w:val="00B348D6"/>
    <w:rsid w:val="00B348F4"/>
    <w:rsid w:val="00B34943"/>
    <w:rsid w:val="00B34994"/>
    <w:rsid w:val="00B34AA1"/>
    <w:rsid w:val="00B34AFA"/>
    <w:rsid w:val="00B34B2C"/>
    <w:rsid w:val="00B34D2F"/>
    <w:rsid w:val="00B35029"/>
    <w:rsid w:val="00B3511C"/>
    <w:rsid w:val="00B35322"/>
    <w:rsid w:val="00B35387"/>
    <w:rsid w:val="00B353E0"/>
    <w:rsid w:val="00B35628"/>
    <w:rsid w:val="00B3562F"/>
    <w:rsid w:val="00B35660"/>
    <w:rsid w:val="00B35750"/>
    <w:rsid w:val="00B3576E"/>
    <w:rsid w:val="00B35826"/>
    <w:rsid w:val="00B3588B"/>
    <w:rsid w:val="00B35ACC"/>
    <w:rsid w:val="00B35F49"/>
    <w:rsid w:val="00B3611C"/>
    <w:rsid w:val="00B362CC"/>
    <w:rsid w:val="00B3630B"/>
    <w:rsid w:val="00B36517"/>
    <w:rsid w:val="00B3661B"/>
    <w:rsid w:val="00B3662F"/>
    <w:rsid w:val="00B36704"/>
    <w:rsid w:val="00B3672F"/>
    <w:rsid w:val="00B367CE"/>
    <w:rsid w:val="00B3693B"/>
    <w:rsid w:val="00B36A5F"/>
    <w:rsid w:val="00B36AA0"/>
    <w:rsid w:val="00B36AB5"/>
    <w:rsid w:val="00B36C0C"/>
    <w:rsid w:val="00B36D62"/>
    <w:rsid w:val="00B36DC0"/>
    <w:rsid w:val="00B36EB1"/>
    <w:rsid w:val="00B36EBE"/>
    <w:rsid w:val="00B37097"/>
    <w:rsid w:val="00B3710A"/>
    <w:rsid w:val="00B371A4"/>
    <w:rsid w:val="00B371FF"/>
    <w:rsid w:val="00B3722C"/>
    <w:rsid w:val="00B37453"/>
    <w:rsid w:val="00B37481"/>
    <w:rsid w:val="00B375F3"/>
    <w:rsid w:val="00B37640"/>
    <w:rsid w:val="00B37657"/>
    <w:rsid w:val="00B376E5"/>
    <w:rsid w:val="00B37872"/>
    <w:rsid w:val="00B378C4"/>
    <w:rsid w:val="00B37926"/>
    <w:rsid w:val="00B37991"/>
    <w:rsid w:val="00B379E2"/>
    <w:rsid w:val="00B37A21"/>
    <w:rsid w:val="00B37B2B"/>
    <w:rsid w:val="00B37C09"/>
    <w:rsid w:val="00B37C0B"/>
    <w:rsid w:val="00B37C26"/>
    <w:rsid w:val="00B37C66"/>
    <w:rsid w:val="00B37C98"/>
    <w:rsid w:val="00B37D20"/>
    <w:rsid w:val="00B37E6B"/>
    <w:rsid w:val="00B37F23"/>
    <w:rsid w:val="00B400EE"/>
    <w:rsid w:val="00B401EF"/>
    <w:rsid w:val="00B40593"/>
    <w:rsid w:val="00B40738"/>
    <w:rsid w:val="00B408FC"/>
    <w:rsid w:val="00B4091E"/>
    <w:rsid w:val="00B40989"/>
    <w:rsid w:val="00B409D9"/>
    <w:rsid w:val="00B40A31"/>
    <w:rsid w:val="00B40ADA"/>
    <w:rsid w:val="00B40B2D"/>
    <w:rsid w:val="00B40C87"/>
    <w:rsid w:val="00B40C88"/>
    <w:rsid w:val="00B40C95"/>
    <w:rsid w:val="00B40DFC"/>
    <w:rsid w:val="00B410AE"/>
    <w:rsid w:val="00B41118"/>
    <w:rsid w:val="00B411B9"/>
    <w:rsid w:val="00B411D6"/>
    <w:rsid w:val="00B41217"/>
    <w:rsid w:val="00B413A8"/>
    <w:rsid w:val="00B413F4"/>
    <w:rsid w:val="00B41424"/>
    <w:rsid w:val="00B41562"/>
    <w:rsid w:val="00B41593"/>
    <w:rsid w:val="00B415F1"/>
    <w:rsid w:val="00B41665"/>
    <w:rsid w:val="00B417FE"/>
    <w:rsid w:val="00B41939"/>
    <w:rsid w:val="00B41B4C"/>
    <w:rsid w:val="00B41BAA"/>
    <w:rsid w:val="00B41C66"/>
    <w:rsid w:val="00B41CB4"/>
    <w:rsid w:val="00B41D25"/>
    <w:rsid w:val="00B41D2E"/>
    <w:rsid w:val="00B41E46"/>
    <w:rsid w:val="00B42096"/>
    <w:rsid w:val="00B4219F"/>
    <w:rsid w:val="00B4229E"/>
    <w:rsid w:val="00B4236E"/>
    <w:rsid w:val="00B423B0"/>
    <w:rsid w:val="00B423BD"/>
    <w:rsid w:val="00B42465"/>
    <w:rsid w:val="00B4259F"/>
    <w:rsid w:val="00B42950"/>
    <w:rsid w:val="00B42959"/>
    <w:rsid w:val="00B42975"/>
    <w:rsid w:val="00B42A14"/>
    <w:rsid w:val="00B42A48"/>
    <w:rsid w:val="00B42AAB"/>
    <w:rsid w:val="00B42AC4"/>
    <w:rsid w:val="00B42C4F"/>
    <w:rsid w:val="00B42C99"/>
    <w:rsid w:val="00B42D74"/>
    <w:rsid w:val="00B42DFD"/>
    <w:rsid w:val="00B42E69"/>
    <w:rsid w:val="00B43077"/>
    <w:rsid w:val="00B430B7"/>
    <w:rsid w:val="00B431C0"/>
    <w:rsid w:val="00B432EE"/>
    <w:rsid w:val="00B432FE"/>
    <w:rsid w:val="00B4332F"/>
    <w:rsid w:val="00B4338E"/>
    <w:rsid w:val="00B43445"/>
    <w:rsid w:val="00B43468"/>
    <w:rsid w:val="00B4358C"/>
    <w:rsid w:val="00B43604"/>
    <w:rsid w:val="00B43619"/>
    <w:rsid w:val="00B436F5"/>
    <w:rsid w:val="00B43721"/>
    <w:rsid w:val="00B43722"/>
    <w:rsid w:val="00B438A8"/>
    <w:rsid w:val="00B4392B"/>
    <w:rsid w:val="00B43DEE"/>
    <w:rsid w:val="00B43DFE"/>
    <w:rsid w:val="00B43FAD"/>
    <w:rsid w:val="00B4417C"/>
    <w:rsid w:val="00B441BA"/>
    <w:rsid w:val="00B4430D"/>
    <w:rsid w:val="00B44515"/>
    <w:rsid w:val="00B44912"/>
    <w:rsid w:val="00B44920"/>
    <w:rsid w:val="00B44A2E"/>
    <w:rsid w:val="00B44A65"/>
    <w:rsid w:val="00B44A67"/>
    <w:rsid w:val="00B44B66"/>
    <w:rsid w:val="00B44E06"/>
    <w:rsid w:val="00B44F70"/>
    <w:rsid w:val="00B45011"/>
    <w:rsid w:val="00B4502F"/>
    <w:rsid w:val="00B45093"/>
    <w:rsid w:val="00B451D9"/>
    <w:rsid w:val="00B453D4"/>
    <w:rsid w:val="00B45487"/>
    <w:rsid w:val="00B454DB"/>
    <w:rsid w:val="00B45524"/>
    <w:rsid w:val="00B455A0"/>
    <w:rsid w:val="00B4569B"/>
    <w:rsid w:val="00B458B6"/>
    <w:rsid w:val="00B45943"/>
    <w:rsid w:val="00B45A98"/>
    <w:rsid w:val="00B45B0B"/>
    <w:rsid w:val="00B45C38"/>
    <w:rsid w:val="00B45D60"/>
    <w:rsid w:val="00B45DDF"/>
    <w:rsid w:val="00B45DEE"/>
    <w:rsid w:val="00B45F50"/>
    <w:rsid w:val="00B45F6A"/>
    <w:rsid w:val="00B45F9A"/>
    <w:rsid w:val="00B45FA1"/>
    <w:rsid w:val="00B4619D"/>
    <w:rsid w:val="00B46285"/>
    <w:rsid w:val="00B46385"/>
    <w:rsid w:val="00B46396"/>
    <w:rsid w:val="00B46891"/>
    <w:rsid w:val="00B468BE"/>
    <w:rsid w:val="00B46C2E"/>
    <w:rsid w:val="00B46C81"/>
    <w:rsid w:val="00B46CA7"/>
    <w:rsid w:val="00B46CD5"/>
    <w:rsid w:val="00B46D90"/>
    <w:rsid w:val="00B46E48"/>
    <w:rsid w:val="00B46E74"/>
    <w:rsid w:val="00B46E91"/>
    <w:rsid w:val="00B46EF8"/>
    <w:rsid w:val="00B4731C"/>
    <w:rsid w:val="00B47512"/>
    <w:rsid w:val="00B476F2"/>
    <w:rsid w:val="00B4778A"/>
    <w:rsid w:val="00B47906"/>
    <w:rsid w:val="00B47915"/>
    <w:rsid w:val="00B47985"/>
    <w:rsid w:val="00B479B3"/>
    <w:rsid w:val="00B47BA9"/>
    <w:rsid w:val="00B47CD2"/>
    <w:rsid w:val="00B47D3E"/>
    <w:rsid w:val="00B47DB5"/>
    <w:rsid w:val="00B501F0"/>
    <w:rsid w:val="00B50204"/>
    <w:rsid w:val="00B502F9"/>
    <w:rsid w:val="00B5064D"/>
    <w:rsid w:val="00B50890"/>
    <w:rsid w:val="00B509AA"/>
    <w:rsid w:val="00B50A74"/>
    <w:rsid w:val="00B50A8E"/>
    <w:rsid w:val="00B50D3A"/>
    <w:rsid w:val="00B50D7A"/>
    <w:rsid w:val="00B50DB8"/>
    <w:rsid w:val="00B50DCC"/>
    <w:rsid w:val="00B50FDF"/>
    <w:rsid w:val="00B510F4"/>
    <w:rsid w:val="00B51104"/>
    <w:rsid w:val="00B5118C"/>
    <w:rsid w:val="00B511BD"/>
    <w:rsid w:val="00B51261"/>
    <w:rsid w:val="00B51300"/>
    <w:rsid w:val="00B5130D"/>
    <w:rsid w:val="00B513ED"/>
    <w:rsid w:val="00B517BD"/>
    <w:rsid w:val="00B5188B"/>
    <w:rsid w:val="00B51993"/>
    <w:rsid w:val="00B51A30"/>
    <w:rsid w:val="00B51B44"/>
    <w:rsid w:val="00B51BF2"/>
    <w:rsid w:val="00B51D74"/>
    <w:rsid w:val="00B51FFE"/>
    <w:rsid w:val="00B521D8"/>
    <w:rsid w:val="00B52278"/>
    <w:rsid w:val="00B5228E"/>
    <w:rsid w:val="00B52386"/>
    <w:rsid w:val="00B5238A"/>
    <w:rsid w:val="00B523DC"/>
    <w:rsid w:val="00B5244E"/>
    <w:rsid w:val="00B5251C"/>
    <w:rsid w:val="00B52539"/>
    <w:rsid w:val="00B525F6"/>
    <w:rsid w:val="00B526D0"/>
    <w:rsid w:val="00B52788"/>
    <w:rsid w:val="00B52812"/>
    <w:rsid w:val="00B52815"/>
    <w:rsid w:val="00B5284B"/>
    <w:rsid w:val="00B52914"/>
    <w:rsid w:val="00B52917"/>
    <w:rsid w:val="00B52968"/>
    <w:rsid w:val="00B52A61"/>
    <w:rsid w:val="00B52AA0"/>
    <w:rsid w:val="00B52AE5"/>
    <w:rsid w:val="00B52BF9"/>
    <w:rsid w:val="00B52CE6"/>
    <w:rsid w:val="00B52DB2"/>
    <w:rsid w:val="00B52E6E"/>
    <w:rsid w:val="00B52E93"/>
    <w:rsid w:val="00B53116"/>
    <w:rsid w:val="00B5323C"/>
    <w:rsid w:val="00B533A8"/>
    <w:rsid w:val="00B536DB"/>
    <w:rsid w:val="00B53810"/>
    <w:rsid w:val="00B53863"/>
    <w:rsid w:val="00B539DD"/>
    <w:rsid w:val="00B53B73"/>
    <w:rsid w:val="00B53BD1"/>
    <w:rsid w:val="00B53CE1"/>
    <w:rsid w:val="00B53D69"/>
    <w:rsid w:val="00B53D6A"/>
    <w:rsid w:val="00B53E67"/>
    <w:rsid w:val="00B5402C"/>
    <w:rsid w:val="00B5405C"/>
    <w:rsid w:val="00B5416A"/>
    <w:rsid w:val="00B5423E"/>
    <w:rsid w:val="00B54365"/>
    <w:rsid w:val="00B54563"/>
    <w:rsid w:val="00B5470B"/>
    <w:rsid w:val="00B5474E"/>
    <w:rsid w:val="00B54778"/>
    <w:rsid w:val="00B54845"/>
    <w:rsid w:val="00B548FE"/>
    <w:rsid w:val="00B54B17"/>
    <w:rsid w:val="00B54B33"/>
    <w:rsid w:val="00B54B36"/>
    <w:rsid w:val="00B54D41"/>
    <w:rsid w:val="00B54EC1"/>
    <w:rsid w:val="00B54F31"/>
    <w:rsid w:val="00B54F55"/>
    <w:rsid w:val="00B55214"/>
    <w:rsid w:val="00B55261"/>
    <w:rsid w:val="00B55299"/>
    <w:rsid w:val="00B554F4"/>
    <w:rsid w:val="00B554FA"/>
    <w:rsid w:val="00B5552E"/>
    <w:rsid w:val="00B5555A"/>
    <w:rsid w:val="00B555C1"/>
    <w:rsid w:val="00B5567E"/>
    <w:rsid w:val="00B556BF"/>
    <w:rsid w:val="00B557BD"/>
    <w:rsid w:val="00B55870"/>
    <w:rsid w:val="00B558B1"/>
    <w:rsid w:val="00B55909"/>
    <w:rsid w:val="00B55B20"/>
    <w:rsid w:val="00B55BDD"/>
    <w:rsid w:val="00B55DE3"/>
    <w:rsid w:val="00B56526"/>
    <w:rsid w:val="00B5689A"/>
    <w:rsid w:val="00B5690E"/>
    <w:rsid w:val="00B56925"/>
    <w:rsid w:val="00B569A5"/>
    <w:rsid w:val="00B569B1"/>
    <w:rsid w:val="00B56C64"/>
    <w:rsid w:val="00B56CF7"/>
    <w:rsid w:val="00B56F5F"/>
    <w:rsid w:val="00B5703C"/>
    <w:rsid w:val="00B57118"/>
    <w:rsid w:val="00B571F7"/>
    <w:rsid w:val="00B571F8"/>
    <w:rsid w:val="00B574C6"/>
    <w:rsid w:val="00B57508"/>
    <w:rsid w:val="00B576EC"/>
    <w:rsid w:val="00B57873"/>
    <w:rsid w:val="00B578C4"/>
    <w:rsid w:val="00B57975"/>
    <w:rsid w:val="00B57AFF"/>
    <w:rsid w:val="00B57B04"/>
    <w:rsid w:val="00B57BF8"/>
    <w:rsid w:val="00B57D62"/>
    <w:rsid w:val="00B57E68"/>
    <w:rsid w:val="00B57ECA"/>
    <w:rsid w:val="00B57F31"/>
    <w:rsid w:val="00B60039"/>
    <w:rsid w:val="00B6003E"/>
    <w:rsid w:val="00B60081"/>
    <w:rsid w:val="00B60182"/>
    <w:rsid w:val="00B60185"/>
    <w:rsid w:val="00B60193"/>
    <w:rsid w:val="00B601B2"/>
    <w:rsid w:val="00B6032C"/>
    <w:rsid w:val="00B60819"/>
    <w:rsid w:val="00B60CF8"/>
    <w:rsid w:val="00B60E14"/>
    <w:rsid w:val="00B60EE4"/>
    <w:rsid w:val="00B60F8D"/>
    <w:rsid w:val="00B6104A"/>
    <w:rsid w:val="00B615F2"/>
    <w:rsid w:val="00B61826"/>
    <w:rsid w:val="00B61A75"/>
    <w:rsid w:val="00B61A97"/>
    <w:rsid w:val="00B61B06"/>
    <w:rsid w:val="00B61B6C"/>
    <w:rsid w:val="00B61B8F"/>
    <w:rsid w:val="00B61CDC"/>
    <w:rsid w:val="00B61D46"/>
    <w:rsid w:val="00B61E42"/>
    <w:rsid w:val="00B61F2B"/>
    <w:rsid w:val="00B61FC6"/>
    <w:rsid w:val="00B62254"/>
    <w:rsid w:val="00B62420"/>
    <w:rsid w:val="00B62437"/>
    <w:rsid w:val="00B624AA"/>
    <w:rsid w:val="00B627FF"/>
    <w:rsid w:val="00B6294D"/>
    <w:rsid w:val="00B62CC9"/>
    <w:rsid w:val="00B62CFF"/>
    <w:rsid w:val="00B62DA2"/>
    <w:rsid w:val="00B631C8"/>
    <w:rsid w:val="00B631DD"/>
    <w:rsid w:val="00B63218"/>
    <w:rsid w:val="00B63243"/>
    <w:rsid w:val="00B633C5"/>
    <w:rsid w:val="00B6346B"/>
    <w:rsid w:val="00B63484"/>
    <w:rsid w:val="00B637EB"/>
    <w:rsid w:val="00B6385F"/>
    <w:rsid w:val="00B638CF"/>
    <w:rsid w:val="00B63972"/>
    <w:rsid w:val="00B63DC1"/>
    <w:rsid w:val="00B63E8F"/>
    <w:rsid w:val="00B64152"/>
    <w:rsid w:val="00B641C5"/>
    <w:rsid w:val="00B64272"/>
    <w:rsid w:val="00B645F5"/>
    <w:rsid w:val="00B6479A"/>
    <w:rsid w:val="00B64805"/>
    <w:rsid w:val="00B64867"/>
    <w:rsid w:val="00B6496A"/>
    <w:rsid w:val="00B64FFC"/>
    <w:rsid w:val="00B6511D"/>
    <w:rsid w:val="00B6523E"/>
    <w:rsid w:val="00B652C4"/>
    <w:rsid w:val="00B6544C"/>
    <w:rsid w:val="00B65512"/>
    <w:rsid w:val="00B65531"/>
    <w:rsid w:val="00B65587"/>
    <w:rsid w:val="00B6578D"/>
    <w:rsid w:val="00B659A7"/>
    <w:rsid w:val="00B65A15"/>
    <w:rsid w:val="00B65C42"/>
    <w:rsid w:val="00B65CA9"/>
    <w:rsid w:val="00B660AC"/>
    <w:rsid w:val="00B660F4"/>
    <w:rsid w:val="00B66149"/>
    <w:rsid w:val="00B66150"/>
    <w:rsid w:val="00B6624D"/>
    <w:rsid w:val="00B66268"/>
    <w:rsid w:val="00B663BB"/>
    <w:rsid w:val="00B664AB"/>
    <w:rsid w:val="00B66563"/>
    <w:rsid w:val="00B666AF"/>
    <w:rsid w:val="00B667C4"/>
    <w:rsid w:val="00B667DC"/>
    <w:rsid w:val="00B66847"/>
    <w:rsid w:val="00B66899"/>
    <w:rsid w:val="00B668FA"/>
    <w:rsid w:val="00B668FE"/>
    <w:rsid w:val="00B66A94"/>
    <w:rsid w:val="00B66AA5"/>
    <w:rsid w:val="00B66AAC"/>
    <w:rsid w:val="00B66D80"/>
    <w:rsid w:val="00B66E6A"/>
    <w:rsid w:val="00B670DB"/>
    <w:rsid w:val="00B671DD"/>
    <w:rsid w:val="00B672C5"/>
    <w:rsid w:val="00B67767"/>
    <w:rsid w:val="00B677BA"/>
    <w:rsid w:val="00B677D4"/>
    <w:rsid w:val="00B67879"/>
    <w:rsid w:val="00B67899"/>
    <w:rsid w:val="00B67A5C"/>
    <w:rsid w:val="00B67C2E"/>
    <w:rsid w:val="00B67EB6"/>
    <w:rsid w:val="00B67EC7"/>
    <w:rsid w:val="00B67F8F"/>
    <w:rsid w:val="00B67FAF"/>
    <w:rsid w:val="00B7002F"/>
    <w:rsid w:val="00B7007D"/>
    <w:rsid w:val="00B700BC"/>
    <w:rsid w:val="00B703A0"/>
    <w:rsid w:val="00B703A2"/>
    <w:rsid w:val="00B70604"/>
    <w:rsid w:val="00B70981"/>
    <w:rsid w:val="00B70A29"/>
    <w:rsid w:val="00B70B40"/>
    <w:rsid w:val="00B70BA0"/>
    <w:rsid w:val="00B70BD2"/>
    <w:rsid w:val="00B70C27"/>
    <w:rsid w:val="00B70C8F"/>
    <w:rsid w:val="00B70D72"/>
    <w:rsid w:val="00B70DD5"/>
    <w:rsid w:val="00B70E6F"/>
    <w:rsid w:val="00B70F18"/>
    <w:rsid w:val="00B70F90"/>
    <w:rsid w:val="00B70FA8"/>
    <w:rsid w:val="00B7103B"/>
    <w:rsid w:val="00B71093"/>
    <w:rsid w:val="00B710A3"/>
    <w:rsid w:val="00B711B2"/>
    <w:rsid w:val="00B71377"/>
    <w:rsid w:val="00B714EB"/>
    <w:rsid w:val="00B7165B"/>
    <w:rsid w:val="00B717E6"/>
    <w:rsid w:val="00B7188C"/>
    <w:rsid w:val="00B71A8D"/>
    <w:rsid w:val="00B71AE1"/>
    <w:rsid w:val="00B71C11"/>
    <w:rsid w:val="00B71CB5"/>
    <w:rsid w:val="00B71CC7"/>
    <w:rsid w:val="00B71D3A"/>
    <w:rsid w:val="00B71D6A"/>
    <w:rsid w:val="00B71D6D"/>
    <w:rsid w:val="00B71E58"/>
    <w:rsid w:val="00B72001"/>
    <w:rsid w:val="00B7203E"/>
    <w:rsid w:val="00B7211D"/>
    <w:rsid w:val="00B721CF"/>
    <w:rsid w:val="00B72271"/>
    <w:rsid w:val="00B72556"/>
    <w:rsid w:val="00B7258B"/>
    <w:rsid w:val="00B72C33"/>
    <w:rsid w:val="00B72E8C"/>
    <w:rsid w:val="00B72F3F"/>
    <w:rsid w:val="00B7308D"/>
    <w:rsid w:val="00B7311A"/>
    <w:rsid w:val="00B731BB"/>
    <w:rsid w:val="00B731E3"/>
    <w:rsid w:val="00B73298"/>
    <w:rsid w:val="00B73821"/>
    <w:rsid w:val="00B73C9F"/>
    <w:rsid w:val="00B73D95"/>
    <w:rsid w:val="00B7423F"/>
    <w:rsid w:val="00B74464"/>
    <w:rsid w:val="00B74479"/>
    <w:rsid w:val="00B74550"/>
    <w:rsid w:val="00B747FF"/>
    <w:rsid w:val="00B74815"/>
    <w:rsid w:val="00B74D51"/>
    <w:rsid w:val="00B74E88"/>
    <w:rsid w:val="00B74EA9"/>
    <w:rsid w:val="00B74F65"/>
    <w:rsid w:val="00B74FD8"/>
    <w:rsid w:val="00B755E2"/>
    <w:rsid w:val="00B758CF"/>
    <w:rsid w:val="00B75CC8"/>
    <w:rsid w:val="00B75D8C"/>
    <w:rsid w:val="00B75D9D"/>
    <w:rsid w:val="00B75EE5"/>
    <w:rsid w:val="00B75FE6"/>
    <w:rsid w:val="00B75FFC"/>
    <w:rsid w:val="00B76178"/>
    <w:rsid w:val="00B76283"/>
    <w:rsid w:val="00B76412"/>
    <w:rsid w:val="00B766A5"/>
    <w:rsid w:val="00B7688B"/>
    <w:rsid w:val="00B76933"/>
    <w:rsid w:val="00B7697F"/>
    <w:rsid w:val="00B769C9"/>
    <w:rsid w:val="00B76C42"/>
    <w:rsid w:val="00B76CF2"/>
    <w:rsid w:val="00B76E2B"/>
    <w:rsid w:val="00B76F3E"/>
    <w:rsid w:val="00B77147"/>
    <w:rsid w:val="00B7718C"/>
    <w:rsid w:val="00B77341"/>
    <w:rsid w:val="00B77407"/>
    <w:rsid w:val="00B7748F"/>
    <w:rsid w:val="00B77822"/>
    <w:rsid w:val="00B7785B"/>
    <w:rsid w:val="00B77865"/>
    <w:rsid w:val="00B77A07"/>
    <w:rsid w:val="00B77AB4"/>
    <w:rsid w:val="00B77B2B"/>
    <w:rsid w:val="00B77C8C"/>
    <w:rsid w:val="00B77CED"/>
    <w:rsid w:val="00B77D18"/>
    <w:rsid w:val="00B77DF8"/>
    <w:rsid w:val="00B77E41"/>
    <w:rsid w:val="00B77F06"/>
    <w:rsid w:val="00B77FE9"/>
    <w:rsid w:val="00B80146"/>
    <w:rsid w:val="00B8014E"/>
    <w:rsid w:val="00B80272"/>
    <w:rsid w:val="00B80348"/>
    <w:rsid w:val="00B804A3"/>
    <w:rsid w:val="00B804B7"/>
    <w:rsid w:val="00B804F6"/>
    <w:rsid w:val="00B8054E"/>
    <w:rsid w:val="00B805F4"/>
    <w:rsid w:val="00B80698"/>
    <w:rsid w:val="00B8079D"/>
    <w:rsid w:val="00B8081F"/>
    <w:rsid w:val="00B80A99"/>
    <w:rsid w:val="00B80C00"/>
    <w:rsid w:val="00B80D45"/>
    <w:rsid w:val="00B80DD0"/>
    <w:rsid w:val="00B80EF6"/>
    <w:rsid w:val="00B80F41"/>
    <w:rsid w:val="00B8123B"/>
    <w:rsid w:val="00B812C6"/>
    <w:rsid w:val="00B81308"/>
    <w:rsid w:val="00B81331"/>
    <w:rsid w:val="00B81397"/>
    <w:rsid w:val="00B814A7"/>
    <w:rsid w:val="00B81924"/>
    <w:rsid w:val="00B81A31"/>
    <w:rsid w:val="00B81A4C"/>
    <w:rsid w:val="00B81A7E"/>
    <w:rsid w:val="00B81B57"/>
    <w:rsid w:val="00B81CF1"/>
    <w:rsid w:val="00B81EE7"/>
    <w:rsid w:val="00B81F84"/>
    <w:rsid w:val="00B821B6"/>
    <w:rsid w:val="00B82246"/>
    <w:rsid w:val="00B8265D"/>
    <w:rsid w:val="00B826C9"/>
    <w:rsid w:val="00B82876"/>
    <w:rsid w:val="00B82A50"/>
    <w:rsid w:val="00B82D08"/>
    <w:rsid w:val="00B82F1F"/>
    <w:rsid w:val="00B83106"/>
    <w:rsid w:val="00B83160"/>
    <w:rsid w:val="00B8339F"/>
    <w:rsid w:val="00B8351B"/>
    <w:rsid w:val="00B83642"/>
    <w:rsid w:val="00B83721"/>
    <w:rsid w:val="00B83868"/>
    <w:rsid w:val="00B838A8"/>
    <w:rsid w:val="00B83A45"/>
    <w:rsid w:val="00B83C07"/>
    <w:rsid w:val="00B83C59"/>
    <w:rsid w:val="00B83E92"/>
    <w:rsid w:val="00B83F36"/>
    <w:rsid w:val="00B83FFF"/>
    <w:rsid w:val="00B844A2"/>
    <w:rsid w:val="00B846B8"/>
    <w:rsid w:val="00B84830"/>
    <w:rsid w:val="00B849EB"/>
    <w:rsid w:val="00B849F8"/>
    <w:rsid w:val="00B84A84"/>
    <w:rsid w:val="00B84AE7"/>
    <w:rsid w:val="00B84AEC"/>
    <w:rsid w:val="00B84BAD"/>
    <w:rsid w:val="00B84C7B"/>
    <w:rsid w:val="00B84D7A"/>
    <w:rsid w:val="00B84DA4"/>
    <w:rsid w:val="00B84F5C"/>
    <w:rsid w:val="00B84FBC"/>
    <w:rsid w:val="00B85028"/>
    <w:rsid w:val="00B8502F"/>
    <w:rsid w:val="00B85395"/>
    <w:rsid w:val="00B85512"/>
    <w:rsid w:val="00B85548"/>
    <w:rsid w:val="00B8565E"/>
    <w:rsid w:val="00B8581B"/>
    <w:rsid w:val="00B85960"/>
    <w:rsid w:val="00B859FC"/>
    <w:rsid w:val="00B85D42"/>
    <w:rsid w:val="00B85D93"/>
    <w:rsid w:val="00B85E28"/>
    <w:rsid w:val="00B85ED3"/>
    <w:rsid w:val="00B85F91"/>
    <w:rsid w:val="00B86071"/>
    <w:rsid w:val="00B86072"/>
    <w:rsid w:val="00B863A9"/>
    <w:rsid w:val="00B864E0"/>
    <w:rsid w:val="00B866EC"/>
    <w:rsid w:val="00B8687C"/>
    <w:rsid w:val="00B86A01"/>
    <w:rsid w:val="00B86A6C"/>
    <w:rsid w:val="00B86B0E"/>
    <w:rsid w:val="00B86E54"/>
    <w:rsid w:val="00B86EFE"/>
    <w:rsid w:val="00B86FE1"/>
    <w:rsid w:val="00B87048"/>
    <w:rsid w:val="00B8721F"/>
    <w:rsid w:val="00B872CA"/>
    <w:rsid w:val="00B8765D"/>
    <w:rsid w:val="00B8787D"/>
    <w:rsid w:val="00B87948"/>
    <w:rsid w:val="00B879EB"/>
    <w:rsid w:val="00B87A1D"/>
    <w:rsid w:val="00B87A54"/>
    <w:rsid w:val="00B87DD3"/>
    <w:rsid w:val="00B87ED5"/>
    <w:rsid w:val="00B90126"/>
    <w:rsid w:val="00B90305"/>
    <w:rsid w:val="00B90495"/>
    <w:rsid w:val="00B9076B"/>
    <w:rsid w:val="00B9094D"/>
    <w:rsid w:val="00B9095E"/>
    <w:rsid w:val="00B90E03"/>
    <w:rsid w:val="00B90F4C"/>
    <w:rsid w:val="00B910CE"/>
    <w:rsid w:val="00B91324"/>
    <w:rsid w:val="00B913DD"/>
    <w:rsid w:val="00B91468"/>
    <w:rsid w:val="00B917F7"/>
    <w:rsid w:val="00B91892"/>
    <w:rsid w:val="00B9193B"/>
    <w:rsid w:val="00B91B1E"/>
    <w:rsid w:val="00B91D0F"/>
    <w:rsid w:val="00B91E0A"/>
    <w:rsid w:val="00B91E8E"/>
    <w:rsid w:val="00B921B6"/>
    <w:rsid w:val="00B921ED"/>
    <w:rsid w:val="00B9227F"/>
    <w:rsid w:val="00B923E6"/>
    <w:rsid w:val="00B924E2"/>
    <w:rsid w:val="00B92600"/>
    <w:rsid w:val="00B928F9"/>
    <w:rsid w:val="00B92961"/>
    <w:rsid w:val="00B92A2B"/>
    <w:rsid w:val="00B92AA6"/>
    <w:rsid w:val="00B92B2D"/>
    <w:rsid w:val="00B92BAF"/>
    <w:rsid w:val="00B92F94"/>
    <w:rsid w:val="00B93070"/>
    <w:rsid w:val="00B93371"/>
    <w:rsid w:val="00B9343D"/>
    <w:rsid w:val="00B934BB"/>
    <w:rsid w:val="00B934C4"/>
    <w:rsid w:val="00B934F8"/>
    <w:rsid w:val="00B9362A"/>
    <w:rsid w:val="00B936BA"/>
    <w:rsid w:val="00B936C3"/>
    <w:rsid w:val="00B9383A"/>
    <w:rsid w:val="00B93A01"/>
    <w:rsid w:val="00B93A0F"/>
    <w:rsid w:val="00B93B86"/>
    <w:rsid w:val="00B93E3A"/>
    <w:rsid w:val="00B93FEB"/>
    <w:rsid w:val="00B94047"/>
    <w:rsid w:val="00B9404A"/>
    <w:rsid w:val="00B9405D"/>
    <w:rsid w:val="00B94183"/>
    <w:rsid w:val="00B941C5"/>
    <w:rsid w:val="00B94257"/>
    <w:rsid w:val="00B942E1"/>
    <w:rsid w:val="00B943D3"/>
    <w:rsid w:val="00B945ED"/>
    <w:rsid w:val="00B948E9"/>
    <w:rsid w:val="00B94930"/>
    <w:rsid w:val="00B94999"/>
    <w:rsid w:val="00B94B29"/>
    <w:rsid w:val="00B94E7A"/>
    <w:rsid w:val="00B94E83"/>
    <w:rsid w:val="00B94EA5"/>
    <w:rsid w:val="00B94EFB"/>
    <w:rsid w:val="00B94F58"/>
    <w:rsid w:val="00B951CA"/>
    <w:rsid w:val="00B951EB"/>
    <w:rsid w:val="00B952FC"/>
    <w:rsid w:val="00B95441"/>
    <w:rsid w:val="00B95442"/>
    <w:rsid w:val="00B9551C"/>
    <w:rsid w:val="00B955C9"/>
    <w:rsid w:val="00B9569E"/>
    <w:rsid w:val="00B957D7"/>
    <w:rsid w:val="00B9587B"/>
    <w:rsid w:val="00B958F5"/>
    <w:rsid w:val="00B95B11"/>
    <w:rsid w:val="00B95BB2"/>
    <w:rsid w:val="00B95DE6"/>
    <w:rsid w:val="00B95E2D"/>
    <w:rsid w:val="00B96023"/>
    <w:rsid w:val="00B960CF"/>
    <w:rsid w:val="00B96300"/>
    <w:rsid w:val="00B967A8"/>
    <w:rsid w:val="00B96884"/>
    <w:rsid w:val="00B969E2"/>
    <w:rsid w:val="00B96ADC"/>
    <w:rsid w:val="00B96AE5"/>
    <w:rsid w:val="00B96DF6"/>
    <w:rsid w:val="00B97042"/>
    <w:rsid w:val="00B9729D"/>
    <w:rsid w:val="00B9735F"/>
    <w:rsid w:val="00B975FD"/>
    <w:rsid w:val="00B97683"/>
    <w:rsid w:val="00B977F0"/>
    <w:rsid w:val="00B9785A"/>
    <w:rsid w:val="00B978EE"/>
    <w:rsid w:val="00B979B4"/>
    <w:rsid w:val="00B97A02"/>
    <w:rsid w:val="00B97BC3"/>
    <w:rsid w:val="00B97CD8"/>
    <w:rsid w:val="00B97D4C"/>
    <w:rsid w:val="00B97D67"/>
    <w:rsid w:val="00B97E00"/>
    <w:rsid w:val="00B97EE3"/>
    <w:rsid w:val="00B97EFB"/>
    <w:rsid w:val="00B97FE8"/>
    <w:rsid w:val="00BA0067"/>
    <w:rsid w:val="00BA012A"/>
    <w:rsid w:val="00BA01CE"/>
    <w:rsid w:val="00BA02B9"/>
    <w:rsid w:val="00BA0365"/>
    <w:rsid w:val="00BA05C2"/>
    <w:rsid w:val="00BA06F5"/>
    <w:rsid w:val="00BA077F"/>
    <w:rsid w:val="00BA090A"/>
    <w:rsid w:val="00BA0B7F"/>
    <w:rsid w:val="00BA0B86"/>
    <w:rsid w:val="00BA0DAC"/>
    <w:rsid w:val="00BA0DE2"/>
    <w:rsid w:val="00BA0F4E"/>
    <w:rsid w:val="00BA0F8C"/>
    <w:rsid w:val="00BA1008"/>
    <w:rsid w:val="00BA1069"/>
    <w:rsid w:val="00BA1072"/>
    <w:rsid w:val="00BA1095"/>
    <w:rsid w:val="00BA1266"/>
    <w:rsid w:val="00BA129D"/>
    <w:rsid w:val="00BA12D8"/>
    <w:rsid w:val="00BA1348"/>
    <w:rsid w:val="00BA1359"/>
    <w:rsid w:val="00BA16F0"/>
    <w:rsid w:val="00BA178B"/>
    <w:rsid w:val="00BA182C"/>
    <w:rsid w:val="00BA1888"/>
    <w:rsid w:val="00BA1B82"/>
    <w:rsid w:val="00BA1CD6"/>
    <w:rsid w:val="00BA1E21"/>
    <w:rsid w:val="00BA1F1B"/>
    <w:rsid w:val="00BA200B"/>
    <w:rsid w:val="00BA2047"/>
    <w:rsid w:val="00BA2070"/>
    <w:rsid w:val="00BA20D1"/>
    <w:rsid w:val="00BA236C"/>
    <w:rsid w:val="00BA2411"/>
    <w:rsid w:val="00BA24AF"/>
    <w:rsid w:val="00BA2516"/>
    <w:rsid w:val="00BA2571"/>
    <w:rsid w:val="00BA2578"/>
    <w:rsid w:val="00BA26A3"/>
    <w:rsid w:val="00BA291C"/>
    <w:rsid w:val="00BA2A2D"/>
    <w:rsid w:val="00BA2A5B"/>
    <w:rsid w:val="00BA2BF1"/>
    <w:rsid w:val="00BA2DDA"/>
    <w:rsid w:val="00BA3083"/>
    <w:rsid w:val="00BA3147"/>
    <w:rsid w:val="00BA3232"/>
    <w:rsid w:val="00BA32D8"/>
    <w:rsid w:val="00BA3352"/>
    <w:rsid w:val="00BA34BA"/>
    <w:rsid w:val="00BA34C1"/>
    <w:rsid w:val="00BA34F5"/>
    <w:rsid w:val="00BA3523"/>
    <w:rsid w:val="00BA36F4"/>
    <w:rsid w:val="00BA3735"/>
    <w:rsid w:val="00BA3743"/>
    <w:rsid w:val="00BA37A3"/>
    <w:rsid w:val="00BA3809"/>
    <w:rsid w:val="00BA39E8"/>
    <w:rsid w:val="00BA3A63"/>
    <w:rsid w:val="00BA3C99"/>
    <w:rsid w:val="00BA3CC0"/>
    <w:rsid w:val="00BA3F9C"/>
    <w:rsid w:val="00BA4148"/>
    <w:rsid w:val="00BA41AB"/>
    <w:rsid w:val="00BA4345"/>
    <w:rsid w:val="00BA436E"/>
    <w:rsid w:val="00BA43D2"/>
    <w:rsid w:val="00BA4590"/>
    <w:rsid w:val="00BA4681"/>
    <w:rsid w:val="00BA472E"/>
    <w:rsid w:val="00BA47A3"/>
    <w:rsid w:val="00BA4973"/>
    <w:rsid w:val="00BA4B74"/>
    <w:rsid w:val="00BA4D67"/>
    <w:rsid w:val="00BA506A"/>
    <w:rsid w:val="00BA52F1"/>
    <w:rsid w:val="00BA55E4"/>
    <w:rsid w:val="00BA562B"/>
    <w:rsid w:val="00BA5B8E"/>
    <w:rsid w:val="00BA5C4E"/>
    <w:rsid w:val="00BA5C78"/>
    <w:rsid w:val="00BA5E86"/>
    <w:rsid w:val="00BA5F19"/>
    <w:rsid w:val="00BA5F8C"/>
    <w:rsid w:val="00BA5F9E"/>
    <w:rsid w:val="00BA622B"/>
    <w:rsid w:val="00BA62AD"/>
    <w:rsid w:val="00BA6573"/>
    <w:rsid w:val="00BA666C"/>
    <w:rsid w:val="00BA6981"/>
    <w:rsid w:val="00BA6992"/>
    <w:rsid w:val="00BA69B5"/>
    <w:rsid w:val="00BA6AC7"/>
    <w:rsid w:val="00BA6BAF"/>
    <w:rsid w:val="00BA6C18"/>
    <w:rsid w:val="00BA6C60"/>
    <w:rsid w:val="00BA6D3E"/>
    <w:rsid w:val="00BA6F4A"/>
    <w:rsid w:val="00BA724E"/>
    <w:rsid w:val="00BA7375"/>
    <w:rsid w:val="00BA73E2"/>
    <w:rsid w:val="00BA7506"/>
    <w:rsid w:val="00BA7604"/>
    <w:rsid w:val="00BA7633"/>
    <w:rsid w:val="00BA76A1"/>
    <w:rsid w:val="00BA76BF"/>
    <w:rsid w:val="00BA76D9"/>
    <w:rsid w:val="00BA7791"/>
    <w:rsid w:val="00BA77A8"/>
    <w:rsid w:val="00BA79E9"/>
    <w:rsid w:val="00BA7A61"/>
    <w:rsid w:val="00BA7CEB"/>
    <w:rsid w:val="00BA7D44"/>
    <w:rsid w:val="00BA7E0B"/>
    <w:rsid w:val="00BB0055"/>
    <w:rsid w:val="00BB005D"/>
    <w:rsid w:val="00BB0064"/>
    <w:rsid w:val="00BB0112"/>
    <w:rsid w:val="00BB020E"/>
    <w:rsid w:val="00BB0218"/>
    <w:rsid w:val="00BB0277"/>
    <w:rsid w:val="00BB03CA"/>
    <w:rsid w:val="00BB0405"/>
    <w:rsid w:val="00BB0410"/>
    <w:rsid w:val="00BB061E"/>
    <w:rsid w:val="00BB068A"/>
    <w:rsid w:val="00BB0935"/>
    <w:rsid w:val="00BB09AB"/>
    <w:rsid w:val="00BB0A92"/>
    <w:rsid w:val="00BB0A94"/>
    <w:rsid w:val="00BB0D31"/>
    <w:rsid w:val="00BB0E6A"/>
    <w:rsid w:val="00BB0FF2"/>
    <w:rsid w:val="00BB117E"/>
    <w:rsid w:val="00BB12DD"/>
    <w:rsid w:val="00BB13B7"/>
    <w:rsid w:val="00BB144D"/>
    <w:rsid w:val="00BB14D4"/>
    <w:rsid w:val="00BB18AB"/>
    <w:rsid w:val="00BB1961"/>
    <w:rsid w:val="00BB196D"/>
    <w:rsid w:val="00BB1AB6"/>
    <w:rsid w:val="00BB1C9D"/>
    <w:rsid w:val="00BB1D79"/>
    <w:rsid w:val="00BB1F55"/>
    <w:rsid w:val="00BB2178"/>
    <w:rsid w:val="00BB238D"/>
    <w:rsid w:val="00BB23D9"/>
    <w:rsid w:val="00BB2477"/>
    <w:rsid w:val="00BB255B"/>
    <w:rsid w:val="00BB260C"/>
    <w:rsid w:val="00BB2819"/>
    <w:rsid w:val="00BB288B"/>
    <w:rsid w:val="00BB291E"/>
    <w:rsid w:val="00BB2AE9"/>
    <w:rsid w:val="00BB2B8C"/>
    <w:rsid w:val="00BB2B92"/>
    <w:rsid w:val="00BB2BA5"/>
    <w:rsid w:val="00BB2C3E"/>
    <w:rsid w:val="00BB2C52"/>
    <w:rsid w:val="00BB2C68"/>
    <w:rsid w:val="00BB2D4B"/>
    <w:rsid w:val="00BB2EB3"/>
    <w:rsid w:val="00BB2F0A"/>
    <w:rsid w:val="00BB2F69"/>
    <w:rsid w:val="00BB30E5"/>
    <w:rsid w:val="00BB31D3"/>
    <w:rsid w:val="00BB3306"/>
    <w:rsid w:val="00BB3327"/>
    <w:rsid w:val="00BB33FC"/>
    <w:rsid w:val="00BB33FF"/>
    <w:rsid w:val="00BB3478"/>
    <w:rsid w:val="00BB3500"/>
    <w:rsid w:val="00BB36A9"/>
    <w:rsid w:val="00BB3761"/>
    <w:rsid w:val="00BB3782"/>
    <w:rsid w:val="00BB3850"/>
    <w:rsid w:val="00BB38CE"/>
    <w:rsid w:val="00BB38FC"/>
    <w:rsid w:val="00BB3BD1"/>
    <w:rsid w:val="00BB3D48"/>
    <w:rsid w:val="00BB3D58"/>
    <w:rsid w:val="00BB3DD7"/>
    <w:rsid w:val="00BB3E42"/>
    <w:rsid w:val="00BB3FDE"/>
    <w:rsid w:val="00BB479F"/>
    <w:rsid w:val="00BB47E1"/>
    <w:rsid w:val="00BB48FE"/>
    <w:rsid w:val="00BB4CC1"/>
    <w:rsid w:val="00BB4E05"/>
    <w:rsid w:val="00BB4F21"/>
    <w:rsid w:val="00BB4F87"/>
    <w:rsid w:val="00BB5493"/>
    <w:rsid w:val="00BB54D2"/>
    <w:rsid w:val="00BB56C3"/>
    <w:rsid w:val="00BB5741"/>
    <w:rsid w:val="00BB57DD"/>
    <w:rsid w:val="00BB583C"/>
    <w:rsid w:val="00BB5A0B"/>
    <w:rsid w:val="00BB5A37"/>
    <w:rsid w:val="00BB5ADC"/>
    <w:rsid w:val="00BB5B42"/>
    <w:rsid w:val="00BB5B72"/>
    <w:rsid w:val="00BB5E15"/>
    <w:rsid w:val="00BB5EF3"/>
    <w:rsid w:val="00BB5F32"/>
    <w:rsid w:val="00BB5FA5"/>
    <w:rsid w:val="00BB5FEB"/>
    <w:rsid w:val="00BB6052"/>
    <w:rsid w:val="00BB61B6"/>
    <w:rsid w:val="00BB61D5"/>
    <w:rsid w:val="00BB62C6"/>
    <w:rsid w:val="00BB634D"/>
    <w:rsid w:val="00BB650E"/>
    <w:rsid w:val="00BB654C"/>
    <w:rsid w:val="00BB67AD"/>
    <w:rsid w:val="00BB68C4"/>
    <w:rsid w:val="00BB698B"/>
    <w:rsid w:val="00BB69B7"/>
    <w:rsid w:val="00BB6B88"/>
    <w:rsid w:val="00BB6D7F"/>
    <w:rsid w:val="00BB6DAD"/>
    <w:rsid w:val="00BB6EC7"/>
    <w:rsid w:val="00BB6ED6"/>
    <w:rsid w:val="00BB7036"/>
    <w:rsid w:val="00BB7063"/>
    <w:rsid w:val="00BB717F"/>
    <w:rsid w:val="00BB7182"/>
    <w:rsid w:val="00BB723F"/>
    <w:rsid w:val="00BB724F"/>
    <w:rsid w:val="00BB7457"/>
    <w:rsid w:val="00BB75CD"/>
    <w:rsid w:val="00BB76A6"/>
    <w:rsid w:val="00BB76D4"/>
    <w:rsid w:val="00BB7780"/>
    <w:rsid w:val="00BB7824"/>
    <w:rsid w:val="00BB794E"/>
    <w:rsid w:val="00BB7A60"/>
    <w:rsid w:val="00BB7A8C"/>
    <w:rsid w:val="00BB7AFD"/>
    <w:rsid w:val="00BB7D50"/>
    <w:rsid w:val="00BC0074"/>
    <w:rsid w:val="00BC022A"/>
    <w:rsid w:val="00BC02BF"/>
    <w:rsid w:val="00BC033F"/>
    <w:rsid w:val="00BC0362"/>
    <w:rsid w:val="00BC06C2"/>
    <w:rsid w:val="00BC0A2B"/>
    <w:rsid w:val="00BC0AB7"/>
    <w:rsid w:val="00BC0BB5"/>
    <w:rsid w:val="00BC0D5C"/>
    <w:rsid w:val="00BC0FFD"/>
    <w:rsid w:val="00BC10B3"/>
    <w:rsid w:val="00BC1134"/>
    <w:rsid w:val="00BC1231"/>
    <w:rsid w:val="00BC1388"/>
    <w:rsid w:val="00BC1483"/>
    <w:rsid w:val="00BC163B"/>
    <w:rsid w:val="00BC17E8"/>
    <w:rsid w:val="00BC181F"/>
    <w:rsid w:val="00BC184A"/>
    <w:rsid w:val="00BC1862"/>
    <w:rsid w:val="00BC18DC"/>
    <w:rsid w:val="00BC190A"/>
    <w:rsid w:val="00BC1951"/>
    <w:rsid w:val="00BC19E2"/>
    <w:rsid w:val="00BC1C04"/>
    <w:rsid w:val="00BC1C3F"/>
    <w:rsid w:val="00BC1D14"/>
    <w:rsid w:val="00BC1D65"/>
    <w:rsid w:val="00BC1E42"/>
    <w:rsid w:val="00BC2236"/>
    <w:rsid w:val="00BC2394"/>
    <w:rsid w:val="00BC23C4"/>
    <w:rsid w:val="00BC2512"/>
    <w:rsid w:val="00BC2875"/>
    <w:rsid w:val="00BC299E"/>
    <w:rsid w:val="00BC2A46"/>
    <w:rsid w:val="00BC2AC0"/>
    <w:rsid w:val="00BC2C5A"/>
    <w:rsid w:val="00BC2E35"/>
    <w:rsid w:val="00BC2F21"/>
    <w:rsid w:val="00BC2F89"/>
    <w:rsid w:val="00BC3392"/>
    <w:rsid w:val="00BC33B9"/>
    <w:rsid w:val="00BC34A5"/>
    <w:rsid w:val="00BC34A6"/>
    <w:rsid w:val="00BC34DA"/>
    <w:rsid w:val="00BC3562"/>
    <w:rsid w:val="00BC35CB"/>
    <w:rsid w:val="00BC36E3"/>
    <w:rsid w:val="00BC3766"/>
    <w:rsid w:val="00BC37A6"/>
    <w:rsid w:val="00BC37C5"/>
    <w:rsid w:val="00BC37E8"/>
    <w:rsid w:val="00BC3A29"/>
    <w:rsid w:val="00BC3AC2"/>
    <w:rsid w:val="00BC3C08"/>
    <w:rsid w:val="00BC3EE6"/>
    <w:rsid w:val="00BC400B"/>
    <w:rsid w:val="00BC4132"/>
    <w:rsid w:val="00BC4134"/>
    <w:rsid w:val="00BC42A9"/>
    <w:rsid w:val="00BC434A"/>
    <w:rsid w:val="00BC4417"/>
    <w:rsid w:val="00BC4489"/>
    <w:rsid w:val="00BC44E2"/>
    <w:rsid w:val="00BC4768"/>
    <w:rsid w:val="00BC4792"/>
    <w:rsid w:val="00BC47B3"/>
    <w:rsid w:val="00BC4822"/>
    <w:rsid w:val="00BC4901"/>
    <w:rsid w:val="00BC4B21"/>
    <w:rsid w:val="00BC4C77"/>
    <w:rsid w:val="00BC4CAD"/>
    <w:rsid w:val="00BC4CD3"/>
    <w:rsid w:val="00BC4D1C"/>
    <w:rsid w:val="00BC4DE2"/>
    <w:rsid w:val="00BC4E43"/>
    <w:rsid w:val="00BC4EC5"/>
    <w:rsid w:val="00BC50DD"/>
    <w:rsid w:val="00BC5184"/>
    <w:rsid w:val="00BC56AF"/>
    <w:rsid w:val="00BC580C"/>
    <w:rsid w:val="00BC58E9"/>
    <w:rsid w:val="00BC5A53"/>
    <w:rsid w:val="00BC5A9A"/>
    <w:rsid w:val="00BC5B79"/>
    <w:rsid w:val="00BC5D92"/>
    <w:rsid w:val="00BC5FBB"/>
    <w:rsid w:val="00BC5FD6"/>
    <w:rsid w:val="00BC6026"/>
    <w:rsid w:val="00BC606D"/>
    <w:rsid w:val="00BC632C"/>
    <w:rsid w:val="00BC63A5"/>
    <w:rsid w:val="00BC66DE"/>
    <w:rsid w:val="00BC68C0"/>
    <w:rsid w:val="00BC6992"/>
    <w:rsid w:val="00BC6995"/>
    <w:rsid w:val="00BC6A51"/>
    <w:rsid w:val="00BC6AEA"/>
    <w:rsid w:val="00BC6B2F"/>
    <w:rsid w:val="00BC6BCD"/>
    <w:rsid w:val="00BC6BE1"/>
    <w:rsid w:val="00BC6DFD"/>
    <w:rsid w:val="00BC6E0E"/>
    <w:rsid w:val="00BC6E23"/>
    <w:rsid w:val="00BC6EA0"/>
    <w:rsid w:val="00BC704D"/>
    <w:rsid w:val="00BC7069"/>
    <w:rsid w:val="00BC74CE"/>
    <w:rsid w:val="00BC74E2"/>
    <w:rsid w:val="00BC75A2"/>
    <w:rsid w:val="00BC7710"/>
    <w:rsid w:val="00BC783D"/>
    <w:rsid w:val="00BC7B1D"/>
    <w:rsid w:val="00BC7D14"/>
    <w:rsid w:val="00BC7EC2"/>
    <w:rsid w:val="00BC7F3F"/>
    <w:rsid w:val="00BC7F85"/>
    <w:rsid w:val="00BD03C3"/>
    <w:rsid w:val="00BD0429"/>
    <w:rsid w:val="00BD0596"/>
    <w:rsid w:val="00BD0600"/>
    <w:rsid w:val="00BD061E"/>
    <w:rsid w:val="00BD08C9"/>
    <w:rsid w:val="00BD09A6"/>
    <w:rsid w:val="00BD0A9E"/>
    <w:rsid w:val="00BD0D01"/>
    <w:rsid w:val="00BD0E3C"/>
    <w:rsid w:val="00BD0E6B"/>
    <w:rsid w:val="00BD0FB1"/>
    <w:rsid w:val="00BD1013"/>
    <w:rsid w:val="00BD104C"/>
    <w:rsid w:val="00BD1225"/>
    <w:rsid w:val="00BD14C5"/>
    <w:rsid w:val="00BD175B"/>
    <w:rsid w:val="00BD1841"/>
    <w:rsid w:val="00BD1978"/>
    <w:rsid w:val="00BD198B"/>
    <w:rsid w:val="00BD1A86"/>
    <w:rsid w:val="00BD1B17"/>
    <w:rsid w:val="00BD1B78"/>
    <w:rsid w:val="00BD1B91"/>
    <w:rsid w:val="00BD1CE8"/>
    <w:rsid w:val="00BD1F70"/>
    <w:rsid w:val="00BD1FAC"/>
    <w:rsid w:val="00BD2095"/>
    <w:rsid w:val="00BD2109"/>
    <w:rsid w:val="00BD2190"/>
    <w:rsid w:val="00BD22C5"/>
    <w:rsid w:val="00BD2586"/>
    <w:rsid w:val="00BD2826"/>
    <w:rsid w:val="00BD2853"/>
    <w:rsid w:val="00BD2857"/>
    <w:rsid w:val="00BD28E5"/>
    <w:rsid w:val="00BD291D"/>
    <w:rsid w:val="00BD2A2B"/>
    <w:rsid w:val="00BD2AE0"/>
    <w:rsid w:val="00BD2D14"/>
    <w:rsid w:val="00BD2DED"/>
    <w:rsid w:val="00BD3099"/>
    <w:rsid w:val="00BD33DD"/>
    <w:rsid w:val="00BD3418"/>
    <w:rsid w:val="00BD3550"/>
    <w:rsid w:val="00BD355F"/>
    <w:rsid w:val="00BD35CE"/>
    <w:rsid w:val="00BD3744"/>
    <w:rsid w:val="00BD37DC"/>
    <w:rsid w:val="00BD37E5"/>
    <w:rsid w:val="00BD394F"/>
    <w:rsid w:val="00BD3A57"/>
    <w:rsid w:val="00BD3AB9"/>
    <w:rsid w:val="00BD3DD0"/>
    <w:rsid w:val="00BD3FF3"/>
    <w:rsid w:val="00BD405F"/>
    <w:rsid w:val="00BD419A"/>
    <w:rsid w:val="00BD43B6"/>
    <w:rsid w:val="00BD4406"/>
    <w:rsid w:val="00BD44E2"/>
    <w:rsid w:val="00BD45B7"/>
    <w:rsid w:val="00BD4859"/>
    <w:rsid w:val="00BD48AD"/>
    <w:rsid w:val="00BD4944"/>
    <w:rsid w:val="00BD49E1"/>
    <w:rsid w:val="00BD4A46"/>
    <w:rsid w:val="00BD4ABC"/>
    <w:rsid w:val="00BD4BCB"/>
    <w:rsid w:val="00BD4D98"/>
    <w:rsid w:val="00BD4E70"/>
    <w:rsid w:val="00BD4E9E"/>
    <w:rsid w:val="00BD51AF"/>
    <w:rsid w:val="00BD55AD"/>
    <w:rsid w:val="00BD565C"/>
    <w:rsid w:val="00BD5689"/>
    <w:rsid w:val="00BD5AB7"/>
    <w:rsid w:val="00BD5B0F"/>
    <w:rsid w:val="00BD5B6D"/>
    <w:rsid w:val="00BD5B9A"/>
    <w:rsid w:val="00BD5BAC"/>
    <w:rsid w:val="00BD5E81"/>
    <w:rsid w:val="00BD5FD1"/>
    <w:rsid w:val="00BD601F"/>
    <w:rsid w:val="00BD63F9"/>
    <w:rsid w:val="00BD645D"/>
    <w:rsid w:val="00BD64BC"/>
    <w:rsid w:val="00BD64BD"/>
    <w:rsid w:val="00BD64C9"/>
    <w:rsid w:val="00BD6505"/>
    <w:rsid w:val="00BD6672"/>
    <w:rsid w:val="00BD6749"/>
    <w:rsid w:val="00BD6827"/>
    <w:rsid w:val="00BD6908"/>
    <w:rsid w:val="00BD6911"/>
    <w:rsid w:val="00BD6931"/>
    <w:rsid w:val="00BD6B37"/>
    <w:rsid w:val="00BD708E"/>
    <w:rsid w:val="00BD70E6"/>
    <w:rsid w:val="00BD7234"/>
    <w:rsid w:val="00BD72AD"/>
    <w:rsid w:val="00BD72DA"/>
    <w:rsid w:val="00BD75A1"/>
    <w:rsid w:val="00BD7661"/>
    <w:rsid w:val="00BD7739"/>
    <w:rsid w:val="00BD773B"/>
    <w:rsid w:val="00BD7743"/>
    <w:rsid w:val="00BD7747"/>
    <w:rsid w:val="00BD7823"/>
    <w:rsid w:val="00BD7887"/>
    <w:rsid w:val="00BD79D7"/>
    <w:rsid w:val="00BD7B01"/>
    <w:rsid w:val="00BD7B8F"/>
    <w:rsid w:val="00BD7BA8"/>
    <w:rsid w:val="00BD7BD5"/>
    <w:rsid w:val="00BD7BF4"/>
    <w:rsid w:val="00BD7C06"/>
    <w:rsid w:val="00BE029E"/>
    <w:rsid w:val="00BE0313"/>
    <w:rsid w:val="00BE03A0"/>
    <w:rsid w:val="00BE04C5"/>
    <w:rsid w:val="00BE0524"/>
    <w:rsid w:val="00BE0603"/>
    <w:rsid w:val="00BE073F"/>
    <w:rsid w:val="00BE091A"/>
    <w:rsid w:val="00BE0968"/>
    <w:rsid w:val="00BE0A0A"/>
    <w:rsid w:val="00BE0AC7"/>
    <w:rsid w:val="00BE0B5C"/>
    <w:rsid w:val="00BE0B9E"/>
    <w:rsid w:val="00BE0BA6"/>
    <w:rsid w:val="00BE0CA5"/>
    <w:rsid w:val="00BE0D2D"/>
    <w:rsid w:val="00BE0E92"/>
    <w:rsid w:val="00BE0E96"/>
    <w:rsid w:val="00BE0F65"/>
    <w:rsid w:val="00BE11AD"/>
    <w:rsid w:val="00BE11D6"/>
    <w:rsid w:val="00BE1202"/>
    <w:rsid w:val="00BE1230"/>
    <w:rsid w:val="00BE1257"/>
    <w:rsid w:val="00BE13DF"/>
    <w:rsid w:val="00BE1469"/>
    <w:rsid w:val="00BE148B"/>
    <w:rsid w:val="00BE164C"/>
    <w:rsid w:val="00BE18A0"/>
    <w:rsid w:val="00BE1FA1"/>
    <w:rsid w:val="00BE2068"/>
    <w:rsid w:val="00BE224B"/>
    <w:rsid w:val="00BE2472"/>
    <w:rsid w:val="00BE2486"/>
    <w:rsid w:val="00BE2B61"/>
    <w:rsid w:val="00BE2BF0"/>
    <w:rsid w:val="00BE2C31"/>
    <w:rsid w:val="00BE2EFE"/>
    <w:rsid w:val="00BE2F54"/>
    <w:rsid w:val="00BE319B"/>
    <w:rsid w:val="00BE31C3"/>
    <w:rsid w:val="00BE3293"/>
    <w:rsid w:val="00BE344D"/>
    <w:rsid w:val="00BE3615"/>
    <w:rsid w:val="00BE373B"/>
    <w:rsid w:val="00BE3910"/>
    <w:rsid w:val="00BE392B"/>
    <w:rsid w:val="00BE3998"/>
    <w:rsid w:val="00BE3B75"/>
    <w:rsid w:val="00BE43F2"/>
    <w:rsid w:val="00BE43F6"/>
    <w:rsid w:val="00BE441F"/>
    <w:rsid w:val="00BE4529"/>
    <w:rsid w:val="00BE45D1"/>
    <w:rsid w:val="00BE47BA"/>
    <w:rsid w:val="00BE47F0"/>
    <w:rsid w:val="00BE497C"/>
    <w:rsid w:val="00BE4A82"/>
    <w:rsid w:val="00BE4B60"/>
    <w:rsid w:val="00BE4B82"/>
    <w:rsid w:val="00BE4E71"/>
    <w:rsid w:val="00BE4E7A"/>
    <w:rsid w:val="00BE4F9B"/>
    <w:rsid w:val="00BE5106"/>
    <w:rsid w:val="00BE512C"/>
    <w:rsid w:val="00BE514E"/>
    <w:rsid w:val="00BE5284"/>
    <w:rsid w:val="00BE53A8"/>
    <w:rsid w:val="00BE54A5"/>
    <w:rsid w:val="00BE54DB"/>
    <w:rsid w:val="00BE5899"/>
    <w:rsid w:val="00BE59D5"/>
    <w:rsid w:val="00BE59F3"/>
    <w:rsid w:val="00BE5A5A"/>
    <w:rsid w:val="00BE5B01"/>
    <w:rsid w:val="00BE5BB3"/>
    <w:rsid w:val="00BE5DBB"/>
    <w:rsid w:val="00BE5F15"/>
    <w:rsid w:val="00BE6053"/>
    <w:rsid w:val="00BE60EE"/>
    <w:rsid w:val="00BE612C"/>
    <w:rsid w:val="00BE631D"/>
    <w:rsid w:val="00BE646D"/>
    <w:rsid w:val="00BE6546"/>
    <w:rsid w:val="00BE675A"/>
    <w:rsid w:val="00BE67BB"/>
    <w:rsid w:val="00BE698A"/>
    <w:rsid w:val="00BE69B4"/>
    <w:rsid w:val="00BE69E2"/>
    <w:rsid w:val="00BE69E9"/>
    <w:rsid w:val="00BE6A2A"/>
    <w:rsid w:val="00BE6A41"/>
    <w:rsid w:val="00BE6B20"/>
    <w:rsid w:val="00BE6E84"/>
    <w:rsid w:val="00BE7036"/>
    <w:rsid w:val="00BE730D"/>
    <w:rsid w:val="00BE737D"/>
    <w:rsid w:val="00BE73FE"/>
    <w:rsid w:val="00BE7402"/>
    <w:rsid w:val="00BE765A"/>
    <w:rsid w:val="00BE7B06"/>
    <w:rsid w:val="00BE7B5E"/>
    <w:rsid w:val="00BE7B87"/>
    <w:rsid w:val="00BE7BE0"/>
    <w:rsid w:val="00BE7BF0"/>
    <w:rsid w:val="00BE7CA5"/>
    <w:rsid w:val="00BE7CD5"/>
    <w:rsid w:val="00BE7E9A"/>
    <w:rsid w:val="00BE7ED0"/>
    <w:rsid w:val="00BF00B6"/>
    <w:rsid w:val="00BF0383"/>
    <w:rsid w:val="00BF03BE"/>
    <w:rsid w:val="00BF0404"/>
    <w:rsid w:val="00BF04F5"/>
    <w:rsid w:val="00BF0515"/>
    <w:rsid w:val="00BF085B"/>
    <w:rsid w:val="00BF08BE"/>
    <w:rsid w:val="00BF0A60"/>
    <w:rsid w:val="00BF0ACE"/>
    <w:rsid w:val="00BF0CC2"/>
    <w:rsid w:val="00BF10A4"/>
    <w:rsid w:val="00BF10E6"/>
    <w:rsid w:val="00BF10FC"/>
    <w:rsid w:val="00BF114A"/>
    <w:rsid w:val="00BF118A"/>
    <w:rsid w:val="00BF1472"/>
    <w:rsid w:val="00BF1748"/>
    <w:rsid w:val="00BF191F"/>
    <w:rsid w:val="00BF19E4"/>
    <w:rsid w:val="00BF1D4B"/>
    <w:rsid w:val="00BF1DB7"/>
    <w:rsid w:val="00BF1E20"/>
    <w:rsid w:val="00BF1E70"/>
    <w:rsid w:val="00BF1F7C"/>
    <w:rsid w:val="00BF202A"/>
    <w:rsid w:val="00BF2214"/>
    <w:rsid w:val="00BF2545"/>
    <w:rsid w:val="00BF265A"/>
    <w:rsid w:val="00BF267E"/>
    <w:rsid w:val="00BF275C"/>
    <w:rsid w:val="00BF290C"/>
    <w:rsid w:val="00BF29B1"/>
    <w:rsid w:val="00BF2B76"/>
    <w:rsid w:val="00BF2E0D"/>
    <w:rsid w:val="00BF2F94"/>
    <w:rsid w:val="00BF2FAF"/>
    <w:rsid w:val="00BF300B"/>
    <w:rsid w:val="00BF3072"/>
    <w:rsid w:val="00BF30D9"/>
    <w:rsid w:val="00BF3344"/>
    <w:rsid w:val="00BF3348"/>
    <w:rsid w:val="00BF335A"/>
    <w:rsid w:val="00BF364A"/>
    <w:rsid w:val="00BF3743"/>
    <w:rsid w:val="00BF3AFE"/>
    <w:rsid w:val="00BF3C52"/>
    <w:rsid w:val="00BF3C53"/>
    <w:rsid w:val="00BF3D39"/>
    <w:rsid w:val="00BF413A"/>
    <w:rsid w:val="00BF413B"/>
    <w:rsid w:val="00BF4218"/>
    <w:rsid w:val="00BF45F0"/>
    <w:rsid w:val="00BF4675"/>
    <w:rsid w:val="00BF4B84"/>
    <w:rsid w:val="00BF4BAE"/>
    <w:rsid w:val="00BF4DB5"/>
    <w:rsid w:val="00BF4E81"/>
    <w:rsid w:val="00BF4EF9"/>
    <w:rsid w:val="00BF5241"/>
    <w:rsid w:val="00BF5253"/>
    <w:rsid w:val="00BF52B3"/>
    <w:rsid w:val="00BF52CD"/>
    <w:rsid w:val="00BF5421"/>
    <w:rsid w:val="00BF56F6"/>
    <w:rsid w:val="00BF574B"/>
    <w:rsid w:val="00BF574F"/>
    <w:rsid w:val="00BF58DE"/>
    <w:rsid w:val="00BF5B0F"/>
    <w:rsid w:val="00BF5BCF"/>
    <w:rsid w:val="00BF5C86"/>
    <w:rsid w:val="00BF5DBF"/>
    <w:rsid w:val="00BF5F94"/>
    <w:rsid w:val="00BF603E"/>
    <w:rsid w:val="00BF61CD"/>
    <w:rsid w:val="00BF61D0"/>
    <w:rsid w:val="00BF64AC"/>
    <w:rsid w:val="00BF65BA"/>
    <w:rsid w:val="00BF673B"/>
    <w:rsid w:val="00BF6BE7"/>
    <w:rsid w:val="00BF6D04"/>
    <w:rsid w:val="00BF6DE4"/>
    <w:rsid w:val="00BF6ED8"/>
    <w:rsid w:val="00BF6EF0"/>
    <w:rsid w:val="00BF6F0E"/>
    <w:rsid w:val="00BF70B4"/>
    <w:rsid w:val="00BF72BC"/>
    <w:rsid w:val="00BF752E"/>
    <w:rsid w:val="00BF7549"/>
    <w:rsid w:val="00BF75D1"/>
    <w:rsid w:val="00BF7656"/>
    <w:rsid w:val="00BF7717"/>
    <w:rsid w:val="00BF7733"/>
    <w:rsid w:val="00BF7904"/>
    <w:rsid w:val="00BF79F0"/>
    <w:rsid w:val="00BF7B22"/>
    <w:rsid w:val="00BF7B53"/>
    <w:rsid w:val="00BF7BB2"/>
    <w:rsid w:val="00BF7BBE"/>
    <w:rsid w:val="00BF7C48"/>
    <w:rsid w:val="00BF7D02"/>
    <w:rsid w:val="00BF7D72"/>
    <w:rsid w:val="00BF7DD0"/>
    <w:rsid w:val="00BF7EA1"/>
    <w:rsid w:val="00C00070"/>
    <w:rsid w:val="00C0010D"/>
    <w:rsid w:val="00C00341"/>
    <w:rsid w:val="00C0035D"/>
    <w:rsid w:val="00C006FF"/>
    <w:rsid w:val="00C0072C"/>
    <w:rsid w:val="00C00766"/>
    <w:rsid w:val="00C00789"/>
    <w:rsid w:val="00C007F7"/>
    <w:rsid w:val="00C008E5"/>
    <w:rsid w:val="00C00967"/>
    <w:rsid w:val="00C00E77"/>
    <w:rsid w:val="00C00EE7"/>
    <w:rsid w:val="00C01136"/>
    <w:rsid w:val="00C013FC"/>
    <w:rsid w:val="00C01621"/>
    <w:rsid w:val="00C01665"/>
    <w:rsid w:val="00C0168A"/>
    <w:rsid w:val="00C017D5"/>
    <w:rsid w:val="00C0197A"/>
    <w:rsid w:val="00C01A20"/>
    <w:rsid w:val="00C01D23"/>
    <w:rsid w:val="00C01D46"/>
    <w:rsid w:val="00C01EAD"/>
    <w:rsid w:val="00C01EE5"/>
    <w:rsid w:val="00C01EE7"/>
    <w:rsid w:val="00C02005"/>
    <w:rsid w:val="00C022B6"/>
    <w:rsid w:val="00C022D8"/>
    <w:rsid w:val="00C02525"/>
    <w:rsid w:val="00C02559"/>
    <w:rsid w:val="00C025BD"/>
    <w:rsid w:val="00C025D1"/>
    <w:rsid w:val="00C0263B"/>
    <w:rsid w:val="00C0267C"/>
    <w:rsid w:val="00C02720"/>
    <w:rsid w:val="00C027D9"/>
    <w:rsid w:val="00C028A0"/>
    <w:rsid w:val="00C02956"/>
    <w:rsid w:val="00C02968"/>
    <w:rsid w:val="00C02BF9"/>
    <w:rsid w:val="00C02C16"/>
    <w:rsid w:val="00C02CC4"/>
    <w:rsid w:val="00C02D64"/>
    <w:rsid w:val="00C03082"/>
    <w:rsid w:val="00C03153"/>
    <w:rsid w:val="00C03176"/>
    <w:rsid w:val="00C032E6"/>
    <w:rsid w:val="00C032F2"/>
    <w:rsid w:val="00C0351C"/>
    <w:rsid w:val="00C03A56"/>
    <w:rsid w:val="00C03AC7"/>
    <w:rsid w:val="00C03ADA"/>
    <w:rsid w:val="00C03CD1"/>
    <w:rsid w:val="00C03D4A"/>
    <w:rsid w:val="00C03D8A"/>
    <w:rsid w:val="00C03DCA"/>
    <w:rsid w:val="00C04005"/>
    <w:rsid w:val="00C0406C"/>
    <w:rsid w:val="00C042A6"/>
    <w:rsid w:val="00C04319"/>
    <w:rsid w:val="00C0453F"/>
    <w:rsid w:val="00C04691"/>
    <w:rsid w:val="00C046CD"/>
    <w:rsid w:val="00C04725"/>
    <w:rsid w:val="00C049A7"/>
    <w:rsid w:val="00C04A3F"/>
    <w:rsid w:val="00C04BEF"/>
    <w:rsid w:val="00C04C5F"/>
    <w:rsid w:val="00C04EB8"/>
    <w:rsid w:val="00C04F3E"/>
    <w:rsid w:val="00C04FF5"/>
    <w:rsid w:val="00C05064"/>
    <w:rsid w:val="00C05087"/>
    <w:rsid w:val="00C0547B"/>
    <w:rsid w:val="00C054B5"/>
    <w:rsid w:val="00C05542"/>
    <w:rsid w:val="00C05582"/>
    <w:rsid w:val="00C055EE"/>
    <w:rsid w:val="00C05AB2"/>
    <w:rsid w:val="00C05AEE"/>
    <w:rsid w:val="00C05C1F"/>
    <w:rsid w:val="00C05CA8"/>
    <w:rsid w:val="00C05D22"/>
    <w:rsid w:val="00C05F43"/>
    <w:rsid w:val="00C06067"/>
    <w:rsid w:val="00C0614F"/>
    <w:rsid w:val="00C061C3"/>
    <w:rsid w:val="00C062AA"/>
    <w:rsid w:val="00C06378"/>
    <w:rsid w:val="00C063EF"/>
    <w:rsid w:val="00C0653C"/>
    <w:rsid w:val="00C065FF"/>
    <w:rsid w:val="00C06738"/>
    <w:rsid w:val="00C06741"/>
    <w:rsid w:val="00C06A3D"/>
    <w:rsid w:val="00C06A81"/>
    <w:rsid w:val="00C06ACB"/>
    <w:rsid w:val="00C06B2B"/>
    <w:rsid w:val="00C06CE2"/>
    <w:rsid w:val="00C06CEA"/>
    <w:rsid w:val="00C06D5A"/>
    <w:rsid w:val="00C06ED6"/>
    <w:rsid w:val="00C06FF5"/>
    <w:rsid w:val="00C06FF8"/>
    <w:rsid w:val="00C0708D"/>
    <w:rsid w:val="00C07167"/>
    <w:rsid w:val="00C072E6"/>
    <w:rsid w:val="00C07561"/>
    <w:rsid w:val="00C0794F"/>
    <w:rsid w:val="00C07C39"/>
    <w:rsid w:val="00C07FE4"/>
    <w:rsid w:val="00C1002C"/>
    <w:rsid w:val="00C10128"/>
    <w:rsid w:val="00C10210"/>
    <w:rsid w:val="00C103DF"/>
    <w:rsid w:val="00C10761"/>
    <w:rsid w:val="00C10824"/>
    <w:rsid w:val="00C10922"/>
    <w:rsid w:val="00C109BE"/>
    <w:rsid w:val="00C10B0C"/>
    <w:rsid w:val="00C10B2B"/>
    <w:rsid w:val="00C10CCB"/>
    <w:rsid w:val="00C10DBF"/>
    <w:rsid w:val="00C10E54"/>
    <w:rsid w:val="00C1101A"/>
    <w:rsid w:val="00C11094"/>
    <w:rsid w:val="00C1113B"/>
    <w:rsid w:val="00C1119D"/>
    <w:rsid w:val="00C1129A"/>
    <w:rsid w:val="00C11418"/>
    <w:rsid w:val="00C1159E"/>
    <w:rsid w:val="00C115E2"/>
    <w:rsid w:val="00C1186B"/>
    <w:rsid w:val="00C118B4"/>
    <w:rsid w:val="00C118FD"/>
    <w:rsid w:val="00C11910"/>
    <w:rsid w:val="00C11956"/>
    <w:rsid w:val="00C11A14"/>
    <w:rsid w:val="00C11C75"/>
    <w:rsid w:val="00C11EE8"/>
    <w:rsid w:val="00C1213F"/>
    <w:rsid w:val="00C12185"/>
    <w:rsid w:val="00C122AE"/>
    <w:rsid w:val="00C123C2"/>
    <w:rsid w:val="00C123EF"/>
    <w:rsid w:val="00C12530"/>
    <w:rsid w:val="00C125FE"/>
    <w:rsid w:val="00C1261E"/>
    <w:rsid w:val="00C12720"/>
    <w:rsid w:val="00C12731"/>
    <w:rsid w:val="00C127E3"/>
    <w:rsid w:val="00C127F8"/>
    <w:rsid w:val="00C12847"/>
    <w:rsid w:val="00C12851"/>
    <w:rsid w:val="00C12874"/>
    <w:rsid w:val="00C1287D"/>
    <w:rsid w:val="00C12A2F"/>
    <w:rsid w:val="00C12A57"/>
    <w:rsid w:val="00C12C95"/>
    <w:rsid w:val="00C12CB5"/>
    <w:rsid w:val="00C12FD5"/>
    <w:rsid w:val="00C1310A"/>
    <w:rsid w:val="00C13237"/>
    <w:rsid w:val="00C132E7"/>
    <w:rsid w:val="00C133A7"/>
    <w:rsid w:val="00C133F4"/>
    <w:rsid w:val="00C1342D"/>
    <w:rsid w:val="00C134CE"/>
    <w:rsid w:val="00C1377E"/>
    <w:rsid w:val="00C137C0"/>
    <w:rsid w:val="00C137E4"/>
    <w:rsid w:val="00C138B0"/>
    <w:rsid w:val="00C1391C"/>
    <w:rsid w:val="00C139FC"/>
    <w:rsid w:val="00C13AEA"/>
    <w:rsid w:val="00C13B4E"/>
    <w:rsid w:val="00C13C13"/>
    <w:rsid w:val="00C13C2E"/>
    <w:rsid w:val="00C13E40"/>
    <w:rsid w:val="00C13F69"/>
    <w:rsid w:val="00C13F6B"/>
    <w:rsid w:val="00C13FB9"/>
    <w:rsid w:val="00C13FF0"/>
    <w:rsid w:val="00C14137"/>
    <w:rsid w:val="00C14373"/>
    <w:rsid w:val="00C14384"/>
    <w:rsid w:val="00C14413"/>
    <w:rsid w:val="00C1464C"/>
    <w:rsid w:val="00C146AD"/>
    <w:rsid w:val="00C147FF"/>
    <w:rsid w:val="00C148E6"/>
    <w:rsid w:val="00C14A4F"/>
    <w:rsid w:val="00C14BFD"/>
    <w:rsid w:val="00C14C8D"/>
    <w:rsid w:val="00C14CA4"/>
    <w:rsid w:val="00C14E1E"/>
    <w:rsid w:val="00C15022"/>
    <w:rsid w:val="00C1517A"/>
    <w:rsid w:val="00C152D4"/>
    <w:rsid w:val="00C152DA"/>
    <w:rsid w:val="00C15486"/>
    <w:rsid w:val="00C15522"/>
    <w:rsid w:val="00C15581"/>
    <w:rsid w:val="00C15643"/>
    <w:rsid w:val="00C159B6"/>
    <w:rsid w:val="00C159CB"/>
    <w:rsid w:val="00C15A49"/>
    <w:rsid w:val="00C15D97"/>
    <w:rsid w:val="00C15DC7"/>
    <w:rsid w:val="00C15E79"/>
    <w:rsid w:val="00C161B8"/>
    <w:rsid w:val="00C16443"/>
    <w:rsid w:val="00C1661A"/>
    <w:rsid w:val="00C166E1"/>
    <w:rsid w:val="00C16ADB"/>
    <w:rsid w:val="00C16B35"/>
    <w:rsid w:val="00C16B6B"/>
    <w:rsid w:val="00C16B8E"/>
    <w:rsid w:val="00C16C80"/>
    <w:rsid w:val="00C16C84"/>
    <w:rsid w:val="00C16DC4"/>
    <w:rsid w:val="00C16E90"/>
    <w:rsid w:val="00C17140"/>
    <w:rsid w:val="00C17377"/>
    <w:rsid w:val="00C17530"/>
    <w:rsid w:val="00C1772D"/>
    <w:rsid w:val="00C17897"/>
    <w:rsid w:val="00C17945"/>
    <w:rsid w:val="00C17959"/>
    <w:rsid w:val="00C179B8"/>
    <w:rsid w:val="00C17ABE"/>
    <w:rsid w:val="00C17BB8"/>
    <w:rsid w:val="00C17BE2"/>
    <w:rsid w:val="00C17C45"/>
    <w:rsid w:val="00C17DA3"/>
    <w:rsid w:val="00C17E18"/>
    <w:rsid w:val="00C17EC3"/>
    <w:rsid w:val="00C17F08"/>
    <w:rsid w:val="00C17F9A"/>
    <w:rsid w:val="00C17FA3"/>
    <w:rsid w:val="00C200FB"/>
    <w:rsid w:val="00C202C4"/>
    <w:rsid w:val="00C204B7"/>
    <w:rsid w:val="00C204D4"/>
    <w:rsid w:val="00C2065D"/>
    <w:rsid w:val="00C2070E"/>
    <w:rsid w:val="00C2080E"/>
    <w:rsid w:val="00C20913"/>
    <w:rsid w:val="00C20BF0"/>
    <w:rsid w:val="00C20CC5"/>
    <w:rsid w:val="00C20EE6"/>
    <w:rsid w:val="00C20F2C"/>
    <w:rsid w:val="00C2106C"/>
    <w:rsid w:val="00C210F8"/>
    <w:rsid w:val="00C21258"/>
    <w:rsid w:val="00C212F6"/>
    <w:rsid w:val="00C21496"/>
    <w:rsid w:val="00C214E6"/>
    <w:rsid w:val="00C215F2"/>
    <w:rsid w:val="00C216AF"/>
    <w:rsid w:val="00C21A71"/>
    <w:rsid w:val="00C21AA6"/>
    <w:rsid w:val="00C21B07"/>
    <w:rsid w:val="00C21BDA"/>
    <w:rsid w:val="00C21BDC"/>
    <w:rsid w:val="00C21CC0"/>
    <w:rsid w:val="00C21D2B"/>
    <w:rsid w:val="00C21D36"/>
    <w:rsid w:val="00C21D80"/>
    <w:rsid w:val="00C21E16"/>
    <w:rsid w:val="00C21EDC"/>
    <w:rsid w:val="00C2209F"/>
    <w:rsid w:val="00C220FF"/>
    <w:rsid w:val="00C221A9"/>
    <w:rsid w:val="00C22242"/>
    <w:rsid w:val="00C222F3"/>
    <w:rsid w:val="00C223C7"/>
    <w:rsid w:val="00C22571"/>
    <w:rsid w:val="00C229F3"/>
    <w:rsid w:val="00C22A7D"/>
    <w:rsid w:val="00C22B88"/>
    <w:rsid w:val="00C22C16"/>
    <w:rsid w:val="00C22E59"/>
    <w:rsid w:val="00C22E75"/>
    <w:rsid w:val="00C22F95"/>
    <w:rsid w:val="00C22FE4"/>
    <w:rsid w:val="00C230B5"/>
    <w:rsid w:val="00C23208"/>
    <w:rsid w:val="00C2338D"/>
    <w:rsid w:val="00C234F6"/>
    <w:rsid w:val="00C23746"/>
    <w:rsid w:val="00C23876"/>
    <w:rsid w:val="00C23896"/>
    <w:rsid w:val="00C23973"/>
    <w:rsid w:val="00C23A0C"/>
    <w:rsid w:val="00C23A35"/>
    <w:rsid w:val="00C23A83"/>
    <w:rsid w:val="00C23E61"/>
    <w:rsid w:val="00C24187"/>
    <w:rsid w:val="00C241F5"/>
    <w:rsid w:val="00C2424E"/>
    <w:rsid w:val="00C2430E"/>
    <w:rsid w:val="00C2444F"/>
    <w:rsid w:val="00C2453F"/>
    <w:rsid w:val="00C2467C"/>
    <w:rsid w:val="00C24795"/>
    <w:rsid w:val="00C24B94"/>
    <w:rsid w:val="00C24FF6"/>
    <w:rsid w:val="00C2530F"/>
    <w:rsid w:val="00C25319"/>
    <w:rsid w:val="00C253C8"/>
    <w:rsid w:val="00C25441"/>
    <w:rsid w:val="00C2555B"/>
    <w:rsid w:val="00C255DB"/>
    <w:rsid w:val="00C256A0"/>
    <w:rsid w:val="00C25707"/>
    <w:rsid w:val="00C2578D"/>
    <w:rsid w:val="00C25975"/>
    <w:rsid w:val="00C25C29"/>
    <w:rsid w:val="00C25C4B"/>
    <w:rsid w:val="00C25D2B"/>
    <w:rsid w:val="00C25D3C"/>
    <w:rsid w:val="00C25E4F"/>
    <w:rsid w:val="00C2608D"/>
    <w:rsid w:val="00C26172"/>
    <w:rsid w:val="00C26383"/>
    <w:rsid w:val="00C263B5"/>
    <w:rsid w:val="00C264D3"/>
    <w:rsid w:val="00C267F6"/>
    <w:rsid w:val="00C2680B"/>
    <w:rsid w:val="00C26870"/>
    <w:rsid w:val="00C26A50"/>
    <w:rsid w:val="00C26B2C"/>
    <w:rsid w:val="00C26BAD"/>
    <w:rsid w:val="00C26C2A"/>
    <w:rsid w:val="00C26F3C"/>
    <w:rsid w:val="00C26FBF"/>
    <w:rsid w:val="00C27513"/>
    <w:rsid w:val="00C27607"/>
    <w:rsid w:val="00C27863"/>
    <w:rsid w:val="00C278F2"/>
    <w:rsid w:val="00C279C7"/>
    <w:rsid w:val="00C27C9B"/>
    <w:rsid w:val="00C27FC5"/>
    <w:rsid w:val="00C30034"/>
    <w:rsid w:val="00C3003C"/>
    <w:rsid w:val="00C3033D"/>
    <w:rsid w:val="00C304D7"/>
    <w:rsid w:val="00C30517"/>
    <w:rsid w:val="00C30667"/>
    <w:rsid w:val="00C30A8F"/>
    <w:rsid w:val="00C30B0B"/>
    <w:rsid w:val="00C30D6D"/>
    <w:rsid w:val="00C30EDD"/>
    <w:rsid w:val="00C30F86"/>
    <w:rsid w:val="00C312A3"/>
    <w:rsid w:val="00C3136C"/>
    <w:rsid w:val="00C313D2"/>
    <w:rsid w:val="00C31425"/>
    <w:rsid w:val="00C3143F"/>
    <w:rsid w:val="00C314BA"/>
    <w:rsid w:val="00C3152C"/>
    <w:rsid w:val="00C3166F"/>
    <w:rsid w:val="00C31761"/>
    <w:rsid w:val="00C31C0E"/>
    <w:rsid w:val="00C31C5C"/>
    <w:rsid w:val="00C31F67"/>
    <w:rsid w:val="00C3230D"/>
    <w:rsid w:val="00C32395"/>
    <w:rsid w:val="00C324C5"/>
    <w:rsid w:val="00C325C7"/>
    <w:rsid w:val="00C326CE"/>
    <w:rsid w:val="00C326D3"/>
    <w:rsid w:val="00C32759"/>
    <w:rsid w:val="00C3275B"/>
    <w:rsid w:val="00C328B4"/>
    <w:rsid w:val="00C328C3"/>
    <w:rsid w:val="00C32A7E"/>
    <w:rsid w:val="00C32C08"/>
    <w:rsid w:val="00C32C62"/>
    <w:rsid w:val="00C32D0D"/>
    <w:rsid w:val="00C32D77"/>
    <w:rsid w:val="00C32DF1"/>
    <w:rsid w:val="00C32F49"/>
    <w:rsid w:val="00C32F7D"/>
    <w:rsid w:val="00C32FB3"/>
    <w:rsid w:val="00C3300F"/>
    <w:rsid w:val="00C3304B"/>
    <w:rsid w:val="00C3307F"/>
    <w:rsid w:val="00C33116"/>
    <w:rsid w:val="00C331A3"/>
    <w:rsid w:val="00C33244"/>
    <w:rsid w:val="00C3331C"/>
    <w:rsid w:val="00C33626"/>
    <w:rsid w:val="00C3370C"/>
    <w:rsid w:val="00C337C7"/>
    <w:rsid w:val="00C33838"/>
    <w:rsid w:val="00C3394A"/>
    <w:rsid w:val="00C3396D"/>
    <w:rsid w:val="00C33A52"/>
    <w:rsid w:val="00C33CC4"/>
    <w:rsid w:val="00C33D75"/>
    <w:rsid w:val="00C33DF6"/>
    <w:rsid w:val="00C33EA6"/>
    <w:rsid w:val="00C33F50"/>
    <w:rsid w:val="00C34019"/>
    <w:rsid w:val="00C3407D"/>
    <w:rsid w:val="00C34160"/>
    <w:rsid w:val="00C341C6"/>
    <w:rsid w:val="00C341D1"/>
    <w:rsid w:val="00C34391"/>
    <w:rsid w:val="00C3443E"/>
    <w:rsid w:val="00C34568"/>
    <w:rsid w:val="00C345BF"/>
    <w:rsid w:val="00C346B2"/>
    <w:rsid w:val="00C346E5"/>
    <w:rsid w:val="00C34811"/>
    <w:rsid w:val="00C34920"/>
    <w:rsid w:val="00C34984"/>
    <w:rsid w:val="00C34B3F"/>
    <w:rsid w:val="00C34C3E"/>
    <w:rsid w:val="00C34DC1"/>
    <w:rsid w:val="00C34E41"/>
    <w:rsid w:val="00C34E59"/>
    <w:rsid w:val="00C34FE6"/>
    <w:rsid w:val="00C34FF2"/>
    <w:rsid w:val="00C35116"/>
    <w:rsid w:val="00C35400"/>
    <w:rsid w:val="00C35994"/>
    <w:rsid w:val="00C35E7A"/>
    <w:rsid w:val="00C35F48"/>
    <w:rsid w:val="00C363D4"/>
    <w:rsid w:val="00C3647B"/>
    <w:rsid w:val="00C36548"/>
    <w:rsid w:val="00C366CA"/>
    <w:rsid w:val="00C36705"/>
    <w:rsid w:val="00C36862"/>
    <w:rsid w:val="00C3694D"/>
    <w:rsid w:val="00C36AF0"/>
    <w:rsid w:val="00C36AF8"/>
    <w:rsid w:val="00C36B30"/>
    <w:rsid w:val="00C36C68"/>
    <w:rsid w:val="00C36CDB"/>
    <w:rsid w:val="00C36F76"/>
    <w:rsid w:val="00C37010"/>
    <w:rsid w:val="00C371C6"/>
    <w:rsid w:val="00C371F4"/>
    <w:rsid w:val="00C378CB"/>
    <w:rsid w:val="00C378EB"/>
    <w:rsid w:val="00C37930"/>
    <w:rsid w:val="00C37A06"/>
    <w:rsid w:val="00C37B94"/>
    <w:rsid w:val="00C37C49"/>
    <w:rsid w:val="00C37DA5"/>
    <w:rsid w:val="00C37E05"/>
    <w:rsid w:val="00C37FED"/>
    <w:rsid w:val="00C401AF"/>
    <w:rsid w:val="00C404BE"/>
    <w:rsid w:val="00C40553"/>
    <w:rsid w:val="00C40660"/>
    <w:rsid w:val="00C40697"/>
    <w:rsid w:val="00C408B5"/>
    <w:rsid w:val="00C4097D"/>
    <w:rsid w:val="00C409C0"/>
    <w:rsid w:val="00C40C44"/>
    <w:rsid w:val="00C40C50"/>
    <w:rsid w:val="00C40CD4"/>
    <w:rsid w:val="00C40D98"/>
    <w:rsid w:val="00C40E8A"/>
    <w:rsid w:val="00C40EB2"/>
    <w:rsid w:val="00C40FC7"/>
    <w:rsid w:val="00C41067"/>
    <w:rsid w:val="00C4115B"/>
    <w:rsid w:val="00C411AC"/>
    <w:rsid w:val="00C41289"/>
    <w:rsid w:val="00C412C5"/>
    <w:rsid w:val="00C413FF"/>
    <w:rsid w:val="00C415D2"/>
    <w:rsid w:val="00C41683"/>
    <w:rsid w:val="00C416E8"/>
    <w:rsid w:val="00C418AD"/>
    <w:rsid w:val="00C41A5E"/>
    <w:rsid w:val="00C41A80"/>
    <w:rsid w:val="00C41B41"/>
    <w:rsid w:val="00C41E1E"/>
    <w:rsid w:val="00C41F2F"/>
    <w:rsid w:val="00C42023"/>
    <w:rsid w:val="00C4207A"/>
    <w:rsid w:val="00C421C8"/>
    <w:rsid w:val="00C421CE"/>
    <w:rsid w:val="00C421E9"/>
    <w:rsid w:val="00C422D2"/>
    <w:rsid w:val="00C42413"/>
    <w:rsid w:val="00C42553"/>
    <w:rsid w:val="00C42603"/>
    <w:rsid w:val="00C426D3"/>
    <w:rsid w:val="00C4284D"/>
    <w:rsid w:val="00C42905"/>
    <w:rsid w:val="00C42912"/>
    <w:rsid w:val="00C42A17"/>
    <w:rsid w:val="00C42A77"/>
    <w:rsid w:val="00C42E5F"/>
    <w:rsid w:val="00C42EE7"/>
    <w:rsid w:val="00C42F80"/>
    <w:rsid w:val="00C42FEE"/>
    <w:rsid w:val="00C430ED"/>
    <w:rsid w:val="00C431A5"/>
    <w:rsid w:val="00C43602"/>
    <w:rsid w:val="00C43611"/>
    <w:rsid w:val="00C436CA"/>
    <w:rsid w:val="00C436D6"/>
    <w:rsid w:val="00C4386B"/>
    <w:rsid w:val="00C438D6"/>
    <w:rsid w:val="00C43A0A"/>
    <w:rsid w:val="00C43A39"/>
    <w:rsid w:val="00C43AB3"/>
    <w:rsid w:val="00C43AB5"/>
    <w:rsid w:val="00C43CF9"/>
    <w:rsid w:val="00C43F39"/>
    <w:rsid w:val="00C44064"/>
    <w:rsid w:val="00C44174"/>
    <w:rsid w:val="00C44188"/>
    <w:rsid w:val="00C44223"/>
    <w:rsid w:val="00C4432B"/>
    <w:rsid w:val="00C44497"/>
    <w:rsid w:val="00C4449F"/>
    <w:rsid w:val="00C44514"/>
    <w:rsid w:val="00C445B3"/>
    <w:rsid w:val="00C445E5"/>
    <w:rsid w:val="00C446B8"/>
    <w:rsid w:val="00C4488D"/>
    <w:rsid w:val="00C449DC"/>
    <w:rsid w:val="00C449ED"/>
    <w:rsid w:val="00C44A03"/>
    <w:rsid w:val="00C44A2E"/>
    <w:rsid w:val="00C44C23"/>
    <w:rsid w:val="00C44EF2"/>
    <w:rsid w:val="00C450EE"/>
    <w:rsid w:val="00C451EE"/>
    <w:rsid w:val="00C4529C"/>
    <w:rsid w:val="00C452C3"/>
    <w:rsid w:val="00C45355"/>
    <w:rsid w:val="00C454CA"/>
    <w:rsid w:val="00C4554B"/>
    <w:rsid w:val="00C455EB"/>
    <w:rsid w:val="00C45746"/>
    <w:rsid w:val="00C45788"/>
    <w:rsid w:val="00C457D4"/>
    <w:rsid w:val="00C4585D"/>
    <w:rsid w:val="00C45A2F"/>
    <w:rsid w:val="00C45A5C"/>
    <w:rsid w:val="00C45ADD"/>
    <w:rsid w:val="00C45B37"/>
    <w:rsid w:val="00C45CC3"/>
    <w:rsid w:val="00C45D5D"/>
    <w:rsid w:val="00C45D61"/>
    <w:rsid w:val="00C45E6B"/>
    <w:rsid w:val="00C45E8C"/>
    <w:rsid w:val="00C45EC9"/>
    <w:rsid w:val="00C45F14"/>
    <w:rsid w:val="00C45FCF"/>
    <w:rsid w:val="00C4629C"/>
    <w:rsid w:val="00C4631E"/>
    <w:rsid w:val="00C46468"/>
    <w:rsid w:val="00C464D5"/>
    <w:rsid w:val="00C465C2"/>
    <w:rsid w:val="00C4662C"/>
    <w:rsid w:val="00C4692D"/>
    <w:rsid w:val="00C46949"/>
    <w:rsid w:val="00C46B06"/>
    <w:rsid w:val="00C46C24"/>
    <w:rsid w:val="00C46D1A"/>
    <w:rsid w:val="00C46ED6"/>
    <w:rsid w:val="00C47047"/>
    <w:rsid w:val="00C47066"/>
    <w:rsid w:val="00C4709D"/>
    <w:rsid w:val="00C47470"/>
    <w:rsid w:val="00C4750D"/>
    <w:rsid w:val="00C47514"/>
    <w:rsid w:val="00C47674"/>
    <w:rsid w:val="00C47765"/>
    <w:rsid w:val="00C477BD"/>
    <w:rsid w:val="00C47A7B"/>
    <w:rsid w:val="00C47B42"/>
    <w:rsid w:val="00C47B97"/>
    <w:rsid w:val="00C47D13"/>
    <w:rsid w:val="00C47D9A"/>
    <w:rsid w:val="00C47EB9"/>
    <w:rsid w:val="00C47F8A"/>
    <w:rsid w:val="00C47F9B"/>
    <w:rsid w:val="00C500D0"/>
    <w:rsid w:val="00C500DA"/>
    <w:rsid w:val="00C502DF"/>
    <w:rsid w:val="00C5031A"/>
    <w:rsid w:val="00C50384"/>
    <w:rsid w:val="00C50389"/>
    <w:rsid w:val="00C5047B"/>
    <w:rsid w:val="00C50727"/>
    <w:rsid w:val="00C50888"/>
    <w:rsid w:val="00C509B1"/>
    <w:rsid w:val="00C50A94"/>
    <w:rsid w:val="00C50B50"/>
    <w:rsid w:val="00C50BBC"/>
    <w:rsid w:val="00C50C1D"/>
    <w:rsid w:val="00C50CB9"/>
    <w:rsid w:val="00C50D79"/>
    <w:rsid w:val="00C50E28"/>
    <w:rsid w:val="00C50F85"/>
    <w:rsid w:val="00C51039"/>
    <w:rsid w:val="00C5109A"/>
    <w:rsid w:val="00C51236"/>
    <w:rsid w:val="00C5125B"/>
    <w:rsid w:val="00C512E0"/>
    <w:rsid w:val="00C513CF"/>
    <w:rsid w:val="00C514BA"/>
    <w:rsid w:val="00C51500"/>
    <w:rsid w:val="00C51517"/>
    <w:rsid w:val="00C5162D"/>
    <w:rsid w:val="00C51BFA"/>
    <w:rsid w:val="00C51C53"/>
    <w:rsid w:val="00C51E95"/>
    <w:rsid w:val="00C520C5"/>
    <w:rsid w:val="00C5216D"/>
    <w:rsid w:val="00C52194"/>
    <w:rsid w:val="00C52286"/>
    <w:rsid w:val="00C523B8"/>
    <w:rsid w:val="00C524FA"/>
    <w:rsid w:val="00C5251E"/>
    <w:rsid w:val="00C52540"/>
    <w:rsid w:val="00C52584"/>
    <w:rsid w:val="00C5262A"/>
    <w:rsid w:val="00C526ED"/>
    <w:rsid w:val="00C5288F"/>
    <w:rsid w:val="00C52CAA"/>
    <w:rsid w:val="00C52D59"/>
    <w:rsid w:val="00C52ED9"/>
    <w:rsid w:val="00C52F57"/>
    <w:rsid w:val="00C530A7"/>
    <w:rsid w:val="00C530E0"/>
    <w:rsid w:val="00C531D6"/>
    <w:rsid w:val="00C532B2"/>
    <w:rsid w:val="00C535B3"/>
    <w:rsid w:val="00C535E3"/>
    <w:rsid w:val="00C53729"/>
    <w:rsid w:val="00C5375B"/>
    <w:rsid w:val="00C53838"/>
    <w:rsid w:val="00C53860"/>
    <w:rsid w:val="00C53922"/>
    <w:rsid w:val="00C5397F"/>
    <w:rsid w:val="00C53CCB"/>
    <w:rsid w:val="00C53F86"/>
    <w:rsid w:val="00C543C0"/>
    <w:rsid w:val="00C5446E"/>
    <w:rsid w:val="00C5456A"/>
    <w:rsid w:val="00C54674"/>
    <w:rsid w:val="00C54F6B"/>
    <w:rsid w:val="00C5502A"/>
    <w:rsid w:val="00C55069"/>
    <w:rsid w:val="00C5507F"/>
    <w:rsid w:val="00C5524F"/>
    <w:rsid w:val="00C552D3"/>
    <w:rsid w:val="00C553CD"/>
    <w:rsid w:val="00C553E4"/>
    <w:rsid w:val="00C5544B"/>
    <w:rsid w:val="00C555D0"/>
    <w:rsid w:val="00C555FC"/>
    <w:rsid w:val="00C55850"/>
    <w:rsid w:val="00C558AE"/>
    <w:rsid w:val="00C55A84"/>
    <w:rsid w:val="00C55AFA"/>
    <w:rsid w:val="00C55B28"/>
    <w:rsid w:val="00C55C64"/>
    <w:rsid w:val="00C55DB2"/>
    <w:rsid w:val="00C55E7C"/>
    <w:rsid w:val="00C55F74"/>
    <w:rsid w:val="00C55FCF"/>
    <w:rsid w:val="00C5613B"/>
    <w:rsid w:val="00C56145"/>
    <w:rsid w:val="00C5614F"/>
    <w:rsid w:val="00C5625B"/>
    <w:rsid w:val="00C56684"/>
    <w:rsid w:val="00C56807"/>
    <w:rsid w:val="00C56865"/>
    <w:rsid w:val="00C56996"/>
    <w:rsid w:val="00C569C2"/>
    <w:rsid w:val="00C56AD7"/>
    <w:rsid w:val="00C56BB6"/>
    <w:rsid w:val="00C56D77"/>
    <w:rsid w:val="00C56D9F"/>
    <w:rsid w:val="00C56EAC"/>
    <w:rsid w:val="00C56EC8"/>
    <w:rsid w:val="00C56F47"/>
    <w:rsid w:val="00C57032"/>
    <w:rsid w:val="00C57130"/>
    <w:rsid w:val="00C57371"/>
    <w:rsid w:val="00C573A4"/>
    <w:rsid w:val="00C5741A"/>
    <w:rsid w:val="00C574DF"/>
    <w:rsid w:val="00C576E5"/>
    <w:rsid w:val="00C5772A"/>
    <w:rsid w:val="00C57766"/>
    <w:rsid w:val="00C57769"/>
    <w:rsid w:val="00C57870"/>
    <w:rsid w:val="00C578B7"/>
    <w:rsid w:val="00C579B0"/>
    <w:rsid w:val="00C57C48"/>
    <w:rsid w:val="00C57C6A"/>
    <w:rsid w:val="00C57DB8"/>
    <w:rsid w:val="00C6030B"/>
    <w:rsid w:val="00C603AF"/>
    <w:rsid w:val="00C60437"/>
    <w:rsid w:val="00C60572"/>
    <w:rsid w:val="00C605BF"/>
    <w:rsid w:val="00C6064E"/>
    <w:rsid w:val="00C6066F"/>
    <w:rsid w:val="00C6076D"/>
    <w:rsid w:val="00C6097B"/>
    <w:rsid w:val="00C609C6"/>
    <w:rsid w:val="00C60A95"/>
    <w:rsid w:val="00C60AF9"/>
    <w:rsid w:val="00C60CCD"/>
    <w:rsid w:val="00C60E2E"/>
    <w:rsid w:val="00C60FBC"/>
    <w:rsid w:val="00C60FC9"/>
    <w:rsid w:val="00C61079"/>
    <w:rsid w:val="00C61105"/>
    <w:rsid w:val="00C6121F"/>
    <w:rsid w:val="00C6131A"/>
    <w:rsid w:val="00C61399"/>
    <w:rsid w:val="00C6144A"/>
    <w:rsid w:val="00C61615"/>
    <w:rsid w:val="00C616E3"/>
    <w:rsid w:val="00C61912"/>
    <w:rsid w:val="00C61935"/>
    <w:rsid w:val="00C619F7"/>
    <w:rsid w:val="00C61A10"/>
    <w:rsid w:val="00C61B4B"/>
    <w:rsid w:val="00C61BB9"/>
    <w:rsid w:val="00C62065"/>
    <w:rsid w:val="00C62157"/>
    <w:rsid w:val="00C6223E"/>
    <w:rsid w:val="00C62442"/>
    <w:rsid w:val="00C624CA"/>
    <w:rsid w:val="00C624D1"/>
    <w:rsid w:val="00C62531"/>
    <w:rsid w:val="00C62741"/>
    <w:rsid w:val="00C62807"/>
    <w:rsid w:val="00C62BC6"/>
    <w:rsid w:val="00C62C55"/>
    <w:rsid w:val="00C62E67"/>
    <w:rsid w:val="00C63036"/>
    <w:rsid w:val="00C6314E"/>
    <w:rsid w:val="00C63275"/>
    <w:rsid w:val="00C632FC"/>
    <w:rsid w:val="00C6336B"/>
    <w:rsid w:val="00C6339A"/>
    <w:rsid w:val="00C6372D"/>
    <w:rsid w:val="00C638EE"/>
    <w:rsid w:val="00C63996"/>
    <w:rsid w:val="00C63BB4"/>
    <w:rsid w:val="00C63BB9"/>
    <w:rsid w:val="00C63BFD"/>
    <w:rsid w:val="00C63CED"/>
    <w:rsid w:val="00C63D50"/>
    <w:rsid w:val="00C63F50"/>
    <w:rsid w:val="00C64047"/>
    <w:rsid w:val="00C641C3"/>
    <w:rsid w:val="00C64246"/>
    <w:rsid w:val="00C642B0"/>
    <w:rsid w:val="00C642E2"/>
    <w:rsid w:val="00C64330"/>
    <w:rsid w:val="00C64396"/>
    <w:rsid w:val="00C643D3"/>
    <w:rsid w:val="00C6452A"/>
    <w:rsid w:val="00C649D6"/>
    <w:rsid w:val="00C649FD"/>
    <w:rsid w:val="00C64BDE"/>
    <w:rsid w:val="00C64CFA"/>
    <w:rsid w:val="00C64F31"/>
    <w:rsid w:val="00C64FD4"/>
    <w:rsid w:val="00C65293"/>
    <w:rsid w:val="00C65407"/>
    <w:rsid w:val="00C65410"/>
    <w:rsid w:val="00C654AE"/>
    <w:rsid w:val="00C65536"/>
    <w:rsid w:val="00C65775"/>
    <w:rsid w:val="00C657E4"/>
    <w:rsid w:val="00C65927"/>
    <w:rsid w:val="00C65965"/>
    <w:rsid w:val="00C659AE"/>
    <w:rsid w:val="00C65A1B"/>
    <w:rsid w:val="00C65B37"/>
    <w:rsid w:val="00C65B76"/>
    <w:rsid w:val="00C65BB7"/>
    <w:rsid w:val="00C65D0D"/>
    <w:rsid w:val="00C65DE2"/>
    <w:rsid w:val="00C65E25"/>
    <w:rsid w:val="00C65EEE"/>
    <w:rsid w:val="00C65F37"/>
    <w:rsid w:val="00C66058"/>
    <w:rsid w:val="00C66059"/>
    <w:rsid w:val="00C6615B"/>
    <w:rsid w:val="00C66193"/>
    <w:rsid w:val="00C66463"/>
    <w:rsid w:val="00C664BE"/>
    <w:rsid w:val="00C664FE"/>
    <w:rsid w:val="00C66602"/>
    <w:rsid w:val="00C66628"/>
    <w:rsid w:val="00C666F4"/>
    <w:rsid w:val="00C66747"/>
    <w:rsid w:val="00C6688E"/>
    <w:rsid w:val="00C668CF"/>
    <w:rsid w:val="00C6691A"/>
    <w:rsid w:val="00C669AF"/>
    <w:rsid w:val="00C669F5"/>
    <w:rsid w:val="00C66A26"/>
    <w:rsid w:val="00C66A7A"/>
    <w:rsid w:val="00C674B7"/>
    <w:rsid w:val="00C67541"/>
    <w:rsid w:val="00C6761E"/>
    <w:rsid w:val="00C6789F"/>
    <w:rsid w:val="00C67905"/>
    <w:rsid w:val="00C679D1"/>
    <w:rsid w:val="00C67B96"/>
    <w:rsid w:val="00C67BEF"/>
    <w:rsid w:val="00C67CF2"/>
    <w:rsid w:val="00C67D4F"/>
    <w:rsid w:val="00C67E35"/>
    <w:rsid w:val="00C7015B"/>
    <w:rsid w:val="00C703CB"/>
    <w:rsid w:val="00C70491"/>
    <w:rsid w:val="00C7059B"/>
    <w:rsid w:val="00C70725"/>
    <w:rsid w:val="00C7081E"/>
    <w:rsid w:val="00C70863"/>
    <w:rsid w:val="00C70966"/>
    <w:rsid w:val="00C70A2E"/>
    <w:rsid w:val="00C70A4B"/>
    <w:rsid w:val="00C70AC6"/>
    <w:rsid w:val="00C70AEE"/>
    <w:rsid w:val="00C70BA3"/>
    <w:rsid w:val="00C70C46"/>
    <w:rsid w:val="00C70CE2"/>
    <w:rsid w:val="00C70CF7"/>
    <w:rsid w:val="00C70DD1"/>
    <w:rsid w:val="00C7103C"/>
    <w:rsid w:val="00C7113B"/>
    <w:rsid w:val="00C7117C"/>
    <w:rsid w:val="00C71234"/>
    <w:rsid w:val="00C7125C"/>
    <w:rsid w:val="00C712D3"/>
    <w:rsid w:val="00C7132C"/>
    <w:rsid w:val="00C71465"/>
    <w:rsid w:val="00C7148E"/>
    <w:rsid w:val="00C7160D"/>
    <w:rsid w:val="00C7165F"/>
    <w:rsid w:val="00C7174E"/>
    <w:rsid w:val="00C717E9"/>
    <w:rsid w:val="00C719AC"/>
    <w:rsid w:val="00C71A07"/>
    <w:rsid w:val="00C71A3F"/>
    <w:rsid w:val="00C71AC5"/>
    <w:rsid w:val="00C71B19"/>
    <w:rsid w:val="00C71B9C"/>
    <w:rsid w:val="00C71B9F"/>
    <w:rsid w:val="00C71BC6"/>
    <w:rsid w:val="00C71D56"/>
    <w:rsid w:val="00C71F63"/>
    <w:rsid w:val="00C71FE1"/>
    <w:rsid w:val="00C720F7"/>
    <w:rsid w:val="00C721E9"/>
    <w:rsid w:val="00C72793"/>
    <w:rsid w:val="00C729AA"/>
    <w:rsid w:val="00C72C19"/>
    <w:rsid w:val="00C72C49"/>
    <w:rsid w:val="00C72CA7"/>
    <w:rsid w:val="00C72D1D"/>
    <w:rsid w:val="00C73084"/>
    <w:rsid w:val="00C73104"/>
    <w:rsid w:val="00C73244"/>
    <w:rsid w:val="00C7327F"/>
    <w:rsid w:val="00C7328E"/>
    <w:rsid w:val="00C73568"/>
    <w:rsid w:val="00C736B4"/>
    <w:rsid w:val="00C73785"/>
    <w:rsid w:val="00C737A2"/>
    <w:rsid w:val="00C737B5"/>
    <w:rsid w:val="00C73951"/>
    <w:rsid w:val="00C73A9D"/>
    <w:rsid w:val="00C73BCD"/>
    <w:rsid w:val="00C73C05"/>
    <w:rsid w:val="00C73C45"/>
    <w:rsid w:val="00C73E91"/>
    <w:rsid w:val="00C73EF4"/>
    <w:rsid w:val="00C73FD9"/>
    <w:rsid w:val="00C7404B"/>
    <w:rsid w:val="00C74179"/>
    <w:rsid w:val="00C741D6"/>
    <w:rsid w:val="00C741F8"/>
    <w:rsid w:val="00C74267"/>
    <w:rsid w:val="00C74466"/>
    <w:rsid w:val="00C74629"/>
    <w:rsid w:val="00C7489A"/>
    <w:rsid w:val="00C7499C"/>
    <w:rsid w:val="00C749A4"/>
    <w:rsid w:val="00C74A46"/>
    <w:rsid w:val="00C74E0E"/>
    <w:rsid w:val="00C74F60"/>
    <w:rsid w:val="00C75018"/>
    <w:rsid w:val="00C75089"/>
    <w:rsid w:val="00C7537A"/>
    <w:rsid w:val="00C753DD"/>
    <w:rsid w:val="00C754B6"/>
    <w:rsid w:val="00C755A0"/>
    <w:rsid w:val="00C755B9"/>
    <w:rsid w:val="00C755CC"/>
    <w:rsid w:val="00C75625"/>
    <w:rsid w:val="00C756E8"/>
    <w:rsid w:val="00C75997"/>
    <w:rsid w:val="00C75C1A"/>
    <w:rsid w:val="00C75DB1"/>
    <w:rsid w:val="00C75EBC"/>
    <w:rsid w:val="00C75F28"/>
    <w:rsid w:val="00C75F49"/>
    <w:rsid w:val="00C7611E"/>
    <w:rsid w:val="00C76229"/>
    <w:rsid w:val="00C766C2"/>
    <w:rsid w:val="00C768A3"/>
    <w:rsid w:val="00C76D50"/>
    <w:rsid w:val="00C76EC8"/>
    <w:rsid w:val="00C76F19"/>
    <w:rsid w:val="00C76F50"/>
    <w:rsid w:val="00C77001"/>
    <w:rsid w:val="00C7718F"/>
    <w:rsid w:val="00C77238"/>
    <w:rsid w:val="00C772D2"/>
    <w:rsid w:val="00C7731C"/>
    <w:rsid w:val="00C773FB"/>
    <w:rsid w:val="00C7746D"/>
    <w:rsid w:val="00C7759F"/>
    <w:rsid w:val="00C77643"/>
    <w:rsid w:val="00C77669"/>
    <w:rsid w:val="00C7788F"/>
    <w:rsid w:val="00C77BB9"/>
    <w:rsid w:val="00C77BE6"/>
    <w:rsid w:val="00C77C2A"/>
    <w:rsid w:val="00C77C93"/>
    <w:rsid w:val="00C77D34"/>
    <w:rsid w:val="00C77E13"/>
    <w:rsid w:val="00C77FBC"/>
    <w:rsid w:val="00C80092"/>
    <w:rsid w:val="00C800FE"/>
    <w:rsid w:val="00C8029D"/>
    <w:rsid w:val="00C803ED"/>
    <w:rsid w:val="00C80654"/>
    <w:rsid w:val="00C80993"/>
    <w:rsid w:val="00C80AAC"/>
    <w:rsid w:val="00C80BFF"/>
    <w:rsid w:val="00C80E61"/>
    <w:rsid w:val="00C80F0D"/>
    <w:rsid w:val="00C810DE"/>
    <w:rsid w:val="00C810E1"/>
    <w:rsid w:val="00C81123"/>
    <w:rsid w:val="00C811E0"/>
    <w:rsid w:val="00C812B4"/>
    <w:rsid w:val="00C812C6"/>
    <w:rsid w:val="00C813BA"/>
    <w:rsid w:val="00C816D8"/>
    <w:rsid w:val="00C8185C"/>
    <w:rsid w:val="00C81A56"/>
    <w:rsid w:val="00C81A99"/>
    <w:rsid w:val="00C81BE5"/>
    <w:rsid w:val="00C81C70"/>
    <w:rsid w:val="00C81C9E"/>
    <w:rsid w:val="00C81F02"/>
    <w:rsid w:val="00C81FB7"/>
    <w:rsid w:val="00C820D4"/>
    <w:rsid w:val="00C82225"/>
    <w:rsid w:val="00C82241"/>
    <w:rsid w:val="00C823DF"/>
    <w:rsid w:val="00C823F8"/>
    <w:rsid w:val="00C8241B"/>
    <w:rsid w:val="00C8244A"/>
    <w:rsid w:val="00C82568"/>
    <w:rsid w:val="00C82810"/>
    <w:rsid w:val="00C82A27"/>
    <w:rsid w:val="00C82AB7"/>
    <w:rsid w:val="00C82DED"/>
    <w:rsid w:val="00C82F2F"/>
    <w:rsid w:val="00C82F9F"/>
    <w:rsid w:val="00C82FED"/>
    <w:rsid w:val="00C832FB"/>
    <w:rsid w:val="00C83498"/>
    <w:rsid w:val="00C836B8"/>
    <w:rsid w:val="00C8383D"/>
    <w:rsid w:val="00C83A3F"/>
    <w:rsid w:val="00C83A56"/>
    <w:rsid w:val="00C83BBA"/>
    <w:rsid w:val="00C83C27"/>
    <w:rsid w:val="00C83E83"/>
    <w:rsid w:val="00C83F15"/>
    <w:rsid w:val="00C83FC0"/>
    <w:rsid w:val="00C84111"/>
    <w:rsid w:val="00C8423D"/>
    <w:rsid w:val="00C84491"/>
    <w:rsid w:val="00C844A8"/>
    <w:rsid w:val="00C844FD"/>
    <w:rsid w:val="00C8488E"/>
    <w:rsid w:val="00C84A59"/>
    <w:rsid w:val="00C84A5A"/>
    <w:rsid w:val="00C84B35"/>
    <w:rsid w:val="00C84DB0"/>
    <w:rsid w:val="00C84EBC"/>
    <w:rsid w:val="00C84ECB"/>
    <w:rsid w:val="00C85247"/>
    <w:rsid w:val="00C8528E"/>
    <w:rsid w:val="00C852E0"/>
    <w:rsid w:val="00C85314"/>
    <w:rsid w:val="00C85373"/>
    <w:rsid w:val="00C85395"/>
    <w:rsid w:val="00C8544D"/>
    <w:rsid w:val="00C8581C"/>
    <w:rsid w:val="00C85A1F"/>
    <w:rsid w:val="00C85CD3"/>
    <w:rsid w:val="00C85D16"/>
    <w:rsid w:val="00C85EBE"/>
    <w:rsid w:val="00C85FEF"/>
    <w:rsid w:val="00C86027"/>
    <w:rsid w:val="00C8608A"/>
    <w:rsid w:val="00C8608E"/>
    <w:rsid w:val="00C86205"/>
    <w:rsid w:val="00C8625A"/>
    <w:rsid w:val="00C862BB"/>
    <w:rsid w:val="00C863D2"/>
    <w:rsid w:val="00C866A1"/>
    <w:rsid w:val="00C866E5"/>
    <w:rsid w:val="00C867FE"/>
    <w:rsid w:val="00C86E97"/>
    <w:rsid w:val="00C86F4F"/>
    <w:rsid w:val="00C86FF0"/>
    <w:rsid w:val="00C871A7"/>
    <w:rsid w:val="00C87261"/>
    <w:rsid w:val="00C8742B"/>
    <w:rsid w:val="00C87497"/>
    <w:rsid w:val="00C875A8"/>
    <w:rsid w:val="00C8764C"/>
    <w:rsid w:val="00C8767B"/>
    <w:rsid w:val="00C8791C"/>
    <w:rsid w:val="00C879EA"/>
    <w:rsid w:val="00C87BFF"/>
    <w:rsid w:val="00C87D2B"/>
    <w:rsid w:val="00C87FBD"/>
    <w:rsid w:val="00C90075"/>
    <w:rsid w:val="00C9016E"/>
    <w:rsid w:val="00C901BE"/>
    <w:rsid w:val="00C9020E"/>
    <w:rsid w:val="00C902E9"/>
    <w:rsid w:val="00C903D8"/>
    <w:rsid w:val="00C904D2"/>
    <w:rsid w:val="00C90D22"/>
    <w:rsid w:val="00C90D55"/>
    <w:rsid w:val="00C90D6B"/>
    <w:rsid w:val="00C90F6F"/>
    <w:rsid w:val="00C910B8"/>
    <w:rsid w:val="00C911DA"/>
    <w:rsid w:val="00C9130A"/>
    <w:rsid w:val="00C91342"/>
    <w:rsid w:val="00C91501"/>
    <w:rsid w:val="00C915AE"/>
    <w:rsid w:val="00C915BB"/>
    <w:rsid w:val="00C91760"/>
    <w:rsid w:val="00C917D6"/>
    <w:rsid w:val="00C9198A"/>
    <w:rsid w:val="00C919A0"/>
    <w:rsid w:val="00C919C9"/>
    <w:rsid w:val="00C91B3C"/>
    <w:rsid w:val="00C91C62"/>
    <w:rsid w:val="00C91CCE"/>
    <w:rsid w:val="00C91D7B"/>
    <w:rsid w:val="00C91EC8"/>
    <w:rsid w:val="00C91F90"/>
    <w:rsid w:val="00C91FDB"/>
    <w:rsid w:val="00C921A2"/>
    <w:rsid w:val="00C921AE"/>
    <w:rsid w:val="00C9221B"/>
    <w:rsid w:val="00C92333"/>
    <w:rsid w:val="00C923B4"/>
    <w:rsid w:val="00C924A8"/>
    <w:rsid w:val="00C92592"/>
    <w:rsid w:val="00C925D2"/>
    <w:rsid w:val="00C927EA"/>
    <w:rsid w:val="00C92860"/>
    <w:rsid w:val="00C929B5"/>
    <w:rsid w:val="00C92B44"/>
    <w:rsid w:val="00C92BF3"/>
    <w:rsid w:val="00C92C8B"/>
    <w:rsid w:val="00C92CDE"/>
    <w:rsid w:val="00C92CE9"/>
    <w:rsid w:val="00C92CF3"/>
    <w:rsid w:val="00C92D1C"/>
    <w:rsid w:val="00C92D44"/>
    <w:rsid w:val="00C92EFF"/>
    <w:rsid w:val="00C9308D"/>
    <w:rsid w:val="00C931D7"/>
    <w:rsid w:val="00C931E7"/>
    <w:rsid w:val="00C93293"/>
    <w:rsid w:val="00C932E4"/>
    <w:rsid w:val="00C935C4"/>
    <w:rsid w:val="00C9379D"/>
    <w:rsid w:val="00C9381D"/>
    <w:rsid w:val="00C9381E"/>
    <w:rsid w:val="00C93893"/>
    <w:rsid w:val="00C93A5E"/>
    <w:rsid w:val="00C93C8F"/>
    <w:rsid w:val="00C93DCB"/>
    <w:rsid w:val="00C93FD7"/>
    <w:rsid w:val="00C942A1"/>
    <w:rsid w:val="00C942C9"/>
    <w:rsid w:val="00C942D2"/>
    <w:rsid w:val="00C94461"/>
    <w:rsid w:val="00C94482"/>
    <w:rsid w:val="00C944E9"/>
    <w:rsid w:val="00C947AA"/>
    <w:rsid w:val="00C947B4"/>
    <w:rsid w:val="00C9482B"/>
    <w:rsid w:val="00C949A8"/>
    <w:rsid w:val="00C949F9"/>
    <w:rsid w:val="00C94A1F"/>
    <w:rsid w:val="00C94C21"/>
    <w:rsid w:val="00C94C91"/>
    <w:rsid w:val="00C94C9F"/>
    <w:rsid w:val="00C94D36"/>
    <w:rsid w:val="00C94DB8"/>
    <w:rsid w:val="00C94FB8"/>
    <w:rsid w:val="00C953A3"/>
    <w:rsid w:val="00C95451"/>
    <w:rsid w:val="00C9548A"/>
    <w:rsid w:val="00C954AA"/>
    <w:rsid w:val="00C9573D"/>
    <w:rsid w:val="00C9574B"/>
    <w:rsid w:val="00C95761"/>
    <w:rsid w:val="00C95791"/>
    <w:rsid w:val="00C95828"/>
    <w:rsid w:val="00C95C05"/>
    <w:rsid w:val="00C95DBB"/>
    <w:rsid w:val="00C95EBB"/>
    <w:rsid w:val="00C95F0B"/>
    <w:rsid w:val="00C96006"/>
    <w:rsid w:val="00C9612F"/>
    <w:rsid w:val="00C96212"/>
    <w:rsid w:val="00C96267"/>
    <w:rsid w:val="00C96356"/>
    <w:rsid w:val="00C9651B"/>
    <w:rsid w:val="00C967F5"/>
    <w:rsid w:val="00C96891"/>
    <w:rsid w:val="00C96A81"/>
    <w:rsid w:val="00C96C01"/>
    <w:rsid w:val="00C96C46"/>
    <w:rsid w:val="00C96C65"/>
    <w:rsid w:val="00C96D28"/>
    <w:rsid w:val="00C96D74"/>
    <w:rsid w:val="00C96ED2"/>
    <w:rsid w:val="00C96EE8"/>
    <w:rsid w:val="00C96F32"/>
    <w:rsid w:val="00C970B2"/>
    <w:rsid w:val="00C970F2"/>
    <w:rsid w:val="00C9712C"/>
    <w:rsid w:val="00C9730F"/>
    <w:rsid w:val="00C97375"/>
    <w:rsid w:val="00C97779"/>
    <w:rsid w:val="00C979BF"/>
    <w:rsid w:val="00C97AA4"/>
    <w:rsid w:val="00C97B18"/>
    <w:rsid w:val="00C97CD2"/>
    <w:rsid w:val="00C97D56"/>
    <w:rsid w:val="00C97F37"/>
    <w:rsid w:val="00C97F3D"/>
    <w:rsid w:val="00C97FAC"/>
    <w:rsid w:val="00CA0001"/>
    <w:rsid w:val="00CA00C9"/>
    <w:rsid w:val="00CA05A5"/>
    <w:rsid w:val="00CA06EC"/>
    <w:rsid w:val="00CA076B"/>
    <w:rsid w:val="00CA0986"/>
    <w:rsid w:val="00CA09C1"/>
    <w:rsid w:val="00CA0A3C"/>
    <w:rsid w:val="00CA0A40"/>
    <w:rsid w:val="00CA0B5C"/>
    <w:rsid w:val="00CA0C3E"/>
    <w:rsid w:val="00CA0C5F"/>
    <w:rsid w:val="00CA0F6C"/>
    <w:rsid w:val="00CA1013"/>
    <w:rsid w:val="00CA1027"/>
    <w:rsid w:val="00CA1083"/>
    <w:rsid w:val="00CA12BC"/>
    <w:rsid w:val="00CA12E9"/>
    <w:rsid w:val="00CA133C"/>
    <w:rsid w:val="00CA1403"/>
    <w:rsid w:val="00CA14E8"/>
    <w:rsid w:val="00CA1679"/>
    <w:rsid w:val="00CA1871"/>
    <w:rsid w:val="00CA18A9"/>
    <w:rsid w:val="00CA1991"/>
    <w:rsid w:val="00CA1C7D"/>
    <w:rsid w:val="00CA1D2D"/>
    <w:rsid w:val="00CA1E96"/>
    <w:rsid w:val="00CA1F57"/>
    <w:rsid w:val="00CA2161"/>
    <w:rsid w:val="00CA2185"/>
    <w:rsid w:val="00CA22D2"/>
    <w:rsid w:val="00CA256F"/>
    <w:rsid w:val="00CA2653"/>
    <w:rsid w:val="00CA26EF"/>
    <w:rsid w:val="00CA26F6"/>
    <w:rsid w:val="00CA283D"/>
    <w:rsid w:val="00CA291D"/>
    <w:rsid w:val="00CA295C"/>
    <w:rsid w:val="00CA29C7"/>
    <w:rsid w:val="00CA2B1F"/>
    <w:rsid w:val="00CA2C6E"/>
    <w:rsid w:val="00CA2F95"/>
    <w:rsid w:val="00CA2FE6"/>
    <w:rsid w:val="00CA3052"/>
    <w:rsid w:val="00CA3196"/>
    <w:rsid w:val="00CA319E"/>
    <w:rsid w:val="00CA32E8"/>
    <w:rsid w:val="00CA3319"/>
    <w:rsid w:val="00CA341A"/>
    <w:rsid w:val="00CA3611"/>
    <w:rsid w:val="00CA3666"/>
    <w:rsid w:val="00CA36E0"/>
    <w:rsid w:val="00CA3AF0"/>
    <w:rsid w:val="00CA3C04"/>
    <w:rsid w:val="00CA3E06"/>
    <w:rsid w:val="00CA4064"/>
    <w:rsid w:val="00CA40AF"/>
    <w:rsid w:val="00CA41BE"/>
    <w:rsid w:val="00CA425A"/>
    <w:rsid w:val="00CA43FF"/>
    <w:rsid w:val="00CA4838"/>
    <w:rsid w:val="00CA48D2"/>
    <w:rsid w:val="00CA4A11"/>
    <w:rsid w:val="00CA4A14"/>
    <w:rsid w:val="00CA4A17"/>
    <w:rsid w:val="00CA4C98"/>
    <w:rsid w:val="00CA4CEA"/>
    <w:rsid w:val="00CA4CF8"/>
    <w:rsid w:val="00CA4F13"/>
    <w:rsid w:val="00CA53FF"/>
    <w:rsid w:val="00CA5410"/>
    <w:rsid w:val="00CA54B6"/>
    <w:rsid w:val="00CA5781"/>
    <w:rsid w:val="00CA584D"/>
    <w:rsid w:val="00CA58B5"/>
    <w:rsid w:val="00CA5927"/>
    <w:rsid w:val="00CA593F"/>
    <w:rsid w:val="00CA5A48"/>
    <w:rsid w:val="00CA5DC0"/>
    <w:rsid w:val="00CA5DD3"/>
    <w:rsid w:val="00CA5E19"/>
    <w:rsid w:val="00CA5EC3"/>
    <w:rsid w:val="00CA60EA"/>
    <w:rsid w:val="00CA65DD"/>
    <w:rsid w:val="00CA688C"/>
    <w:rsid w:val="00CA693F"/>
    <w:rsid w:val="00CA696E"/>
    <w:rsid w:val="00CA6A05"/>
    <w:rsid w:val="00CA6BCA"/>
    <w:rsid w:val="00CA6C55"/>
    <w:rsid w:val="00CA6DEC"/>
    <w:rsid w:val="00CA6E24"/>
    <w:rsid w:val="00CA6E34"/>
    <w:rsid w:val="00CA6E76"/>
    <w:rsid w:val="00CA6E7F"/>
    <w:rsid w:val="00CA6EEE"/>
    <w:rsid w:val="00CA702B"/>
    <w:rsid w:val="00CA705C"/>
    <w:rsid w:val="00CA722A"/>
    <w:rsid w:val="00CA725D"/>
    <w:rsid w:val="00CA74D4"/>
    <w:rsid w:val="00CA7530"/>
    <w:rsid w:val="00CA7711"/>
    <w:rsid w:val="00CA7987"/>
    <w:rsid w:val="00CA7A1A"/>
    <w:rsid w:val="00CA7ACE"/>
    <w:rsid w:val="00CA7C1C"/>
    <w:rsid w:val="00CA7F87"/>
    <w:rsid w:val="00CB0190"/>
    <w:rsid w:val="00CB030B"/>
    <w:rsid w:val="00CB03F9"/>
    <w:rsid w:val="00CB0598"/>
    <w:rsid w:val="00CB0694"/>
    <w:rsid w:val="00CB07FF"/>
    <w:rsid w:val="00CB08AF"/>
    <w:rsid w:val="00CB0998"/>
    <w:rsid w:val="00CB0A47"/>
    <w:rsid w:val="00CB0BF4"/>
    <w:rsid w:val="00CB0D53"/>
    <w:rsid w:val="00CB0D77"/>
    <w:rsid w:val="00CB0D83"/>
    <w:rsid w:val="00CB0EE8"/>
    <w:rsid w:val="00CB0EF9"/>
    <w:rsid w:val="00CB1037"/>
    <w:rsid w:val="00CB1164"/>
    <w:rsid w:val="00CB13F2"/>
    <w:rsid w:val="00CB158D"/>
    <w:rsid w:val="00CB1777"/>
    <w:rsid w:val="00CB179D"/>
    <w:rsid w:val="00CB18A3"/>
    <w:rsid w:val="00CB18EC"/>
    <w:rsid w:val="00CB18F6"/>
    <w:rsid w:val="00CB194A"/>
    <w:rsid w:val="00CB1AE2"/>
    <w:rsid w:val="00CB1C71"/>
    <w:rsid w:val="00CB1E2B"/>
    <w:rsid w:val="00CB1F2D"/>
    <w:rsid w:val="00CB1FFF"/>
    <w:rsid w:val="00CB2059"/>
    <w:rsid w:val="00CB2226"/>
    <w:rsid w:val="00CB236B"/>
    <w:rsid w:val="00CB236C"/>
    <w:rsid w:val="00CB24E2"/>
    <w:rsid w:val="00CB25AF"/>
    <w:rsid w:val="00CB27CC"/>
    <w:rsid w:val="00CB2901"/>
    <w:rsid w:val="00CB294C"/>
    <w:rsid w:val="00CB2A5B"/>
    <w:rsid w:val="00CB2AA6"/>
    <w:rsid w:val="00CB2C76"/>
    <w:rsid w:val="00CB2DB0"/>
    <w:rsid w:val="00CB2DD0"/>
    <w:rsid w:val="00CB2DFD"/>
    <w:rsid w:val="00CB2ECF"/>
    <w:rsid w:val="00CB2F27"/>
    <w:rsid w:val="00CB33B6"/>
    <w:rsid w:val="00CB33E7"/>
    <w:rsid w:val="00CB3414"/>
    <w:rsid w:val="00CB3612"/>
    <w:rsid w:val="00CB3656"/>
    <w:rsid w:val="00CB3832"/>
    <w:rsid w:val="00CB38E2"/>
    <w:rsid w:val="00CB398C"/>
    <w:rsid w:val="00CB3A28"/>
    <w:rsid w:val="00CB3AED"/>
    <w:rsid w:val="00CB3C44"/>
    <w:rsid w:val="00CB3D6D"/>
    <w:rsid w:val="00CB3DF2"/>
    <w:rsid w:val="00CB3EE9"/>
    <w:rsid w:val="00CB3F86"/>
    <w:rsid w:val="00CB3F88"/>
    <w:rsid w:val="00CB3FBB"/>
    <w:rsid w:val="00CB4145"/>
    <w:rsid w:val="00CB425C"/>
    <w:rsid w:val="00CB427F"/>
    <w:rsid w:val="00CB4284"/>
    <w:rsid w:val="00CB437B"/>
    <w:rsid w:val="00CB4478"/>
    <w:rsid w:val="00CB4788"/>
    <w:rsid w:val="00CB48D7"/>
    <w:rsid w:val="00CB490D"/>
    <w:rsid w:val="00CB4910"/>
    <w:rsid w:val="00CB4980"/>
    <w:rsid w:val="00CB4981"/>
    <w:rsid w:val="00CB4B65"/>
    <w:rsid w:val="00CB4D5E"/>
    <w:rsid w:val="00CB4E05"/>
    <w:rsid w:val="00CB4FA6"/>
    <w:rsid w:val="00CB4FEB"/>
    <w:rsid w:val="00CB50AB"/>
    <w:rsid w:val="00CB520C"/>
    <w:rsid w:val="00CB5378"/>
    <w:rsid w:val="00CB56C9"/>
    <w:rsid w:val="00CB5718"/>
    <w:rsid w:val="00CB5750"/>
    <w:rsid w:val="00CB5778"/>
    <w:rsid w:val="00CB5A74"/>
    <w:rsid w:val="00CB5B15"/>
    <w:rsid w:val="00CB5D4D"/>
    <w:rsid w:val="00CB5EEF"/>
    <w:rsid w:val="00CB5F83"/>
    <w:rsid w:val="00CB6055"/>
    <w:rsid w:val="00CB60AD"/>
    <w:rsid w:val="00CB61EE"/>
    <w:rsid w:val="00CB6274"/>
    <w:rsid w:val="00CB62C6"/>
    <w:rsid w:val="00CB638D"/>
    <w:rsid w:val="00CB64BA"/>
    <w:rsid w:val="00CB6586"/>
    <w:rsid w:val="00CB68D3"/>
    <w:rsid w:val="00CB6929"/>
    <w:rsid w:val="00CB695B"/>
    <w:rsid w:val="00CB6A7D"/>
    <w:rsid w:val="00CB6C27"/>
    <w:rsid w:val="00CB6F9D"/>
    <w:rsid w:val="00CB7027"/>
    <w:rsid w:val="00CB734D"/>
    <w:rsid w:val="00CB75D1"/>
    <w:rsid w:val="00CB7692"/>
    <w:rsid w:val="00CB773D"/>
    <w:rsid w:val="00CB7906"/>
    <w:rsid w:val="00CB79AB"/>
    <w:rsid w:val="00CB79CA"/>
    <w:rsid w:val="00CB7D11"/>
    <w:rsid w:val="00CB7D3F"/>
    <w:rsid w:val="00CB7D92"/>
    <w:rsid w:val="00CB7E29"/>
    <w:rsid w:val="00CB7EB7"/>
    <w:rsid w:val="00CB7ED3"/>
    <w:rsid w:val="00CC0149"/>
    <w:rsid w:val="00CC021C"/>
    <w:rsid w:val="00CC033F"/>
    <w:rsid w:val="00CC05D8"/>
    <w:rsid w:val="00CC06AE"/>
    <w:rsid w:val="00CC06FE"/>
    <w:rsid w:val="00CC07A4"/>
    <w:rsid w:val="00CC0814"/>
    <w:rsid w:val="00CC083F"/>
    <w:rsid w:val="00CC0AB7"/>
    <w:rsid w:val="00CC0B3E"/>
    <w:rsid w:val="00CC0B49"/>
    <w:rsid w:val="00CC0E36"/>
    <w:rsid w:val="00CC0E82"/>
    <w:rsid w:val="00CC0EB0"/>
    <w:rsid w:val="00CC1024"/>
    <w:rsid w:val="00CC119F"/>
    <w:rsid w:val="00CC1203"/>
    <w:rsid w:val="00CC14A7"/>
    <w:rsid w:val="00CC1684"/>
    <w:rsid w:val="00CC18DB"/>
    <w:rsid w:val="00CC1C51"/>
    <w:rsid w:val="00CC1D81"/>
    <w:rsid w:val="00CC1F3D"/>
    <w:rsid w:val="00CC204D"/>
    <w:rsid w:val="00CC22A4"/>
    <w:rsid w:val="00CC22D3"/>
    <w:rsid w:val="00CC2453"/>
    <w:rsid w:val="00CC2457"/>
    <w:rsid w:val="00CC24F2"/>
    <w:rsid w:val="00CC2569"/>
    <w:rsid w:val="00CC291C"/>
    <w:rsid w:val="00CC2929"/>
    <w:rsid w:val="00CC2AD4"/>
    <w:rsid w:val="00CC2E7B"/>
    <w:rsid w:val="00CC2F56"/>
    <w:rsid w:val="00CC30F8"/>
    <w:rsid w:val="00CC322B"/>
    <w:rsid w:val="00CC335F"/>
    <w:rsid w:val="00CC33B8"/>
    <w:rsid w:val="00CC33DE"/>
    <w:rsid w:val="00CC3464"/>
    <w:rsid w:val="00CC34D6"/>
    <w:rsid w:val="00CC34DE"/>
    <w:rsid w:val="00CC37B1"/>
    <w:rsid w:val="00CC37BE"/>
    <w:rsid w:val="00CC37C2"/>
    <w:rsid w:val="00CC3856"/>
    <w:rsid w:val="00CC38E5"/>
    <w:rsid w:val="00CC397F"/>
    <w:rsid w:val="00CC39C5"/>
    <w:rsid w:val="00CC3C9C"/>
    <w:rsid w:val="00CC3E23"/>
    <w:rsid w:val="00CC3E55"/>
    <w:rsid w:val="00CC41D3"/>
    <w:rsid w:val="00CC4253"/>
    <w:rsid w:val="00CC427F"/>
    <w:rsid w:val="00CC4509"/>
    <w:rsid w:val="00CC460D"/>
    <w:rsid w:val="00CC4647"/>
    <w:rsid w:val="00CC4814"/>
    <w:rsid w:val="00CC4867"/>
    <w:rsid w:val="00CC4AFC"/>
    <w:rsid w:val="00CC4BAD"/>
    <w:rsid w:val="00CC4C16"/>
    <w:rsid w:val="00CC4CBD"/>
    <w:rsid w:val="00CC4E61"/>
    <w:rsid w:val="00CC5064"/>
    <w:rsid w:val="00CC50BA"/>
    <w:rsid w:val="00CC51FE"/>
    <w:rsid w:val="00CC5377"/>
    <w:rsid w:val="00CC543D"/>
    <w:rsid w:val="00CC54FB"/>
    <w:rsid w:val="00CC5509"/>
    <w:rsid w:val="00CC5705"/>
    <w:rsid w:val="00CC580D"/>
    <w:rsid w:val="00CC583D"/>
    <w:rsid w:val="00CC593F"/>
    <w:rsid w:val="00CC5BA6"/>
    <w:rsid w:val="00CC5CA1"/>
    <w:rsid w:val="00CC5CD6"/>
    <w:rsid w:val="00CC5E5A"/>
    <w:rsid w:val="00CC5E85"/>
    <w:rsid w:val="00CC614A"/>
    <w:rsid w:val="00CC641F"/>
    <w:rsid w:val="00CC6557"/>
    <w:rsid w:val="00CC6587"/>
    <w:rsid w:val="00CC66A6"/>
    <w:rsid w:val="00CC67BA"/>
    <w:rsid w:val="00CC67D1"/>
    <w:rsid w:val="00CC69E4"/>
    <w:rsid w:val="00CC6CAE"/>
    <w:rsid w:val="00CC6DB4"/>
    <w:rsid w:val="00CC6EF1"/>
    <w:rsid w:val="00CC6FD3"/>
    <w:rsid w:val="00CC700C"/>
    <w:rsid w:val="00CC72BC"/>
    <w:rsid w:val="00CC7319"/>
    <w:rsid w:val="00CC743A"/>
    <w:rsid w:val="00CC7481"/>
    <w:rsid w:val="00CC7561"/>
    <w:rsid w:val="00CC758F"/>
    <w:rsid w:val="00CC75B2"/>
    <w:rsid w:val="00CC7678"/>
    <w:rsid w:val="00CC77C9"/>
    <w:rsid w:val="00CC77CA"/>
    <w:rsid w:val="00CC7892"/>
    <w:rsid w:val="00CC78A4"/>
    <w:rsid w:val="00CC7924"/>
    <w:rsid w:val="00CC7AD8"/>
    <w:rsid w:val="00CC7AE1"/>
    <w:rsid w:val="00CC7B2B"/>
    <w:rsid w:val="00CC7C76"/>
    <w:rsid w:val="00CC7F61"/>
    <w:rsid w:val="00CC7FDE"/>
    <w:rsid w:val="00CD0093"/>
    <w:rsid w:val="00CD0169"/>
    <w:rsid w:val="00CD0277"/>
    <w:rsid w:val="00CD0294"/>
    <w:rsid w:val="00CD03BD"/>
    <w:rsid w:val="00CD03C1"/>
    <w:rsid w:val="00CD0686"/>
    <w:rsid w:val="00CD07ED"/>
    <w:rsid w:val="00CD08D0"/>
    <w:rsid w:val="00CD0A38"/>
    <w:rsid w:val="00CD0AA0"/>
    <w:rsid w:val="00CD0B26"/>
    <w:rsid w:val="00CD0B42"/>
    <w:rsid w:val="00CD0B59"/>
    <w:rsid w:val="00CD0BD9"/>
    <w:rsid w:val="00CD0D17"/>
    <w:rsid w:val="00CD0E99"/>
    <w:rsid w:val="00CD0EED"/>
    <w:rsid w:val="00CD0F58"/>
    <w:rsid w:val="00CD0F82"/>
    <w:rsid w:val="00CD0FCB"/>
    <w:rsid w:val="00CD10AE"/>
    <w:rsid w:val="00CD11F2"/>
    <w:rsid w:val="00CD12C0"/>
    <w:rsid w:val="00CD1364"/>
    <w:rsid w:val="00CD14FC"/>
    <w:rsid w:val="00CD154A"/>
    <w:rsid w:val="00CD158C"/>
    <w:rsid w:val="00CD1650"/>
    <w:rsid w:val="00CD16ED"/>
    <w:rsid w:val="00CD17C6"/>
    <w:rsid w:val="00CD18CE"/>
    <w:rsid w:val="00CD1925"/>
    <w:rsid w:val="00CD1977"/>
    <w:rsid w:val="00CD19E0"/>
    <w:rsid w:val="00CD1B79"/>
    <w:rsid w:val="00CD1CA6"/>
    <w:rsid w:val="00CD1D13"/>
    <w:rsid w:val="00CD1D1D"/>
    <w:rsid w:val="00CD1EAA"/>
    <w:rsid w:val="00CD1EB8"/>
    <w:rsid w:val="00CD1F62"/>
    <w:rsid w:val="00CD2085"/>
    <w:rsid w:val="00CD21AF"/>
    <w:rsid w:val="00CD23B3"/>
    <w:rsid w:val="00CD23BA"/>
    <w:rsid w:val="00CD249D"/>
    <w:rsid w:val="00CD271C"/>
    <w:rsid w:val="00CD277C"/>
    <w:rsid w:val="00CD29ED"/>
    <w:rsid w:val="00CD2A76"/>
    <w:rsid w:val="00CD2B03"/>
    <w:rsid w:val="00CD2E04"/>
    <w:rsid w:val="00CD2ECC"/>
    <w:rsid w:val="00CD307D"/>
    <w:rsid w:val="00CD30D4"/>
    <w:rsid w:val="00CD3158"/>
    <w:rsid w:val="00CD3227"/>
    <w:rsid w:val="00CD32E3"/>
    <w:rsid w:val="00CD36D1"/>
    <w:rsid w:val="00CD3743"/>
    <w:rsid w:val="00CD3BEA"/>
    <w:rsid w:val="00CD3C35"/>
    <w:rsid w:val="00CD3C48"/>
    <w:rsid w:val="00CD3C4F"/>
    <w:rsid w:val="00CD3CAB"/>
    <w:rsid w:val="00CD3E0B"/>
    <w:rsid w:val="00CD3FA8"/>
    <w:rsid w:val="00CD3FFA"/>
    <w:rsid w:val="00CD4069"/>
    <w:rsid w:val="00CD40F6"/>
    <w:rsid w:val="00CD4137"/>
    <w:rsid w:val="00CD419B"/>
    <w:rsid w:val="00CD4388"/>
    <w:rsid w:val="00CD44CD"/>
    <w:rsid w:val="00CD4839"/>
    <w:rsid w:val="00CD4A2E"/>
    <w:rsid w:val="00CD4A51"/>
    <w:rsid w:val="00CD4B55"/>
    <w:rsid w:val="00CD4BBE"/>
    <w:rsid w:val="00CD4C58"/>
    <w:rsid w:val="00CD4E54"/>
    <w:rsid w:val="00CD4F62"/>
    <w:rsid w:val="00CD4FBE"/>
    <w:rsid w:val="00CD5038"/>
    <w:rsid w:val="00CD5289"/>
    <w:rsid w:val="00CD565C"/>
    <w:rsid w:val="00CD58C0"/>
    <w:rsid w:val="00CD5948"/>
    <w:rsid w:val="00CD5A4A"/>
    <w:rsid w:val="00CD5ACD"/>
    <w:rsid w:val="00CD5BE5"/>
    <w:rsid w:val="00CD5D7A"/>
    <w:rsid w:val="00CD5EA0"/>
    <w:rsid w:val="00CD5F3D"/>
    <w:rsid w:val="00CD64C3"/>
    <w:rsid w:val="00CD67C5"/>
    <w:rsid w:val="00CD6CC5"/>
    <w:rsid w:val="00CD6EB5"/>
    <w:rsid w:val="00CD7056"/>
    <w:rsid w:val="00CD71B3"/>
    <w:rsid w:val="00CD72BF"/>
    <w:rsid w:val="00CD72E3"/>
    <w:rsid w:val="00CD7345"/>
    <w:rsid w:val="00CD73F9"/>
    <w:rsid w:val="00CD7449"/>
    <w:rsid w:val="00CD7450"/>
    <w:rsid w:val="00CD75FF"/>
    <w:rsid w:val="00CD7768"/>
    <w:rsid w:val="00CD7793"/>
    <w:rsid w:val="00CD7A1C"/>
    <w:rsid w:val="00CD7B4B"/>
    <w:rsid w:val="00CD7BC6"/>
    <w:rsid w:val="00CD7CDF"/>
    <w:rsid w:val="00CD7DAD"/>
    <w:rsid w:val="00CD7DDA"/>
    <w:rsid w:val="00CD7FEB"/>
    <w:rsid w:val="00CE0042"/>
    <w:rsid w:val="00CE008A"/>
    <w:rsid w:val="00CE00BC"/>
    <w:rsid w:val="00CE00F8"/>
    <w:rsid w:val="00CE019A"/>
    <w:rsid w:val="00CE0469"/>
    <w:rsid w:val="00CE0562"/>
    <w:rsid w:val="00CE06CE"/>
    <w:rsid w:val="00CE0857"/>
    <w:rsid w:val="00CE087D"/>
    <w:rsid w:val="00CE0933"/>
    <w:rsid w:val="00CE0A0F"/>
    <w:rsid w:val="00CE0CB0"/>
    <w:rsid w:val="00CE0CFD"/>
    <w:rsid w:val="00CE0D10"/>
    <w:rsid w:val="00CE0E81"/>
    <w:rsid w:val="00CE0F08"/>
    <w:rsid w:val="00CE0F3E"/>
    <w:rsid w:val="00CE10AB"/>
    <w:rsid w:val="00CE113E"/>
    <w:rsid w:val="00CE1197"/>
    <w:rsid w:val="00CE14DF"/>
    <w:rsid w:val="00CE1509"/>
    <w:rsid w:val="00CE152F"/>
    <w:rsid w:val="00CE1688"/>
    <w:rsid w:val="00CE1A9B"/>
    <w:rsid w:val="00CE204E"/>
    <w:rsid w:val="00CE21D5"/>
    <w:rsid w:val="00CE2277"/>
    <w:rsid w:val="00CE22A8"/>
    <w:rsid w:val="00CE241B"/>
    <w:rsid w:val="00CE2689"/>
    <w:rsid w:val="00CE2712"/>
    <w:rsid w:val="00CE2798"/>
    <w:rsid w:val="00CE2A24"/>
    <w:rsid w:val="00CE2B96"/>
    <w:rsid w:val="00CE2D12"/>
    <w:rsid w:val="00CE2EDA"/>
    <w:rsid w:val="00CE2F1E"/>
    <w:rsid w:val="00CE2F61"/>
    <w:rsid w:val="00CE3053"/>
    <w:rsid w:val="00CE30BB"/>
    <w:rsid w:val="00CE36A5"/>
    <w:rsid w:val="00CE36E5"/>
    <w:rsid w:val="00CE37E1"/>
    <w:rsid w:val="00CE39C5"/>
    <w:rsid w:val="00CE3BA2"/>
    <w:rsid w:val="00CE3D6F"/>
    <w:rsid w:val="00CE4017"/>
    <w:rsid w:val="00CE40C5"/>
    <w:rsid w:val="00CE4275"/>
    <w:rsid w:val="00CE42AD"/>
    <w:rsid w:val="00CE434C"/>
    <w:rsid w:val="00CE436B"/>
    <w:rsid w:val="00CE43D9"/>
    <w:rsid w:val="00CE43EB"/>
    <w:rsid w:val="00CE47A2"/>
    <w:rsid w:val="00CE47AE"/>
    <w:rsid w:val="00CE4810"/>
    <w:rsid w:val="00CE4878"/>
    <w:rsid w:val="00CE4884"/>
    <w:rsid w:val="00CE4AB2"/>
    <w:rsid w:val="00CE4B84"/>
    <w:rsid w:val="00CE4DD2"/>
    <w:rsid w:val="00CE4DD8"/>
    <w:rsid w:val="00CE4E09"/>
    <w:rsid w:val="00CE5250"/>
    <w:rsid w:val="00CE537E"/>
    <w:rsid w:val="00CE56CC"/>
    <w:rsid w:val="00CE5764"/>
    <w:rsid w:val="00CE57C3"/>
    <w:rsid w:val="00CE5987"/>
    <w:rsid w:val="00CE5996"/>
    <w:rsid w:val="00CE5ACD"/>
    <w:rsid w:val="00CE5B70"/>
    <w:rsid w:val="00CE5C5B"/>
    <w:rsid w:val="00CE5CB0"/>
    <w:rsid w:val="00CE5D9A"/>
    <w:rsid w:val="00CE5E8D"/>
    <w:rsid w:val="00CE5EE7"/>
    <w:rsid w:val="00CE5F05"/>
    <w:rsid w:val="00CE5FB6"/>
    <w:rsid w:val="00CE603E"/>
    <w:rsid w:val="00CE603F"/>
    <w:rsid w:val="00CE607D"/>
    <w:rsid w:val="00CE617D"/>
    <w:rsid w:val="00CE6189"/>
    <w:rsid w:val="00CE6277"/>
    <w:rsid w:val="00CE62F8"/>
    <w:rsid w:val="00CE6734"/>
    <w:rsid w:val="00CE683C"/>
    <w:rsid w:val="00CE69B0"/>
    <w:rsid w:val="00CE69DD"/>
    <w:rsid w:val="00CE6A65"/>
    <w:rsid w:val="00CE6A87"/>
    <w:rsid w:val="00CE6C2A"/>
    <w:rsid w:val="00CE6D0E"/>
    <w:rsid w:val="00CE6E25"/>
    <w:rsid w:val="00CE70A3"/>
    <w:rsid w:val="00CE715C"/>
    <w:rsid w:val="00CE71C2"/>
    <w:rsid w:val="00CE71E2"/>
    <w:rsid w:val="00CE74D5"/>
    <w:rsid w:val="00CE74D6"/>
    <w:rsid w:val="00CE79A5"/>
    <w:rsid w:val="00CE7A7A"/>
    <w:rsid w:val="00CE7B3C"/>
    <w:rsid w:val="00CE7EBA"/>
    <w:rsid w:val="00CE7EE8"/>
    <w:rsid w:val="00CF0086"/>
    <w:rsid w:val="00CF0208"/>
    <w:rsid w:val="00CF0690"/>
    <w:rsid w:val="00CF0787"/>
    <w:rsid w:val="00CF07F5"/>
    <w:rsid w:val="00CF0A3D"/>
    <w:rsid w:val="00CF0BBA"/>
    <w:rsid w:val="00CF0EC4"/>
    <w:rsid w:val="00CF0F90"/>
    <w:rsid w:val="00CF0F97"/>
    <w:rsid w:val="00CF10E7"/>
    <w:rsid w:val="00CF115D"/>
    <w:rsid w:val="00CF117F"/>
    <w:rsid w:val="00CF1199"/>
    <w:rsid w:val="00CF1304"/>
    <w:rsid w:val="00CF138A"/>
    <w:rsid w:val="00CF185D"/>
    <w:rsid w:val="00CF197A"/>
    <w:rsid w:val="00CF19BD"/>
    <w:rsid w:val="00CF1B6D"/>
    <w:rsid w:val="00CF1D9B"/>
    <w:rsid w:val="00CF1F10"/>
    <w:rsid w:val="00CF2005"/>
    <w:rsid w:val="00CF20B9"/>
    <w:rsid w:val="00CF20D2"/>
    <w:rsid w:val="00CF20E2"/>
    <w:rsid w:val="00CF2349"/>
    <w:rsid w:val="00CF237D"/>
    <w:rsid w:val="00CF275D"/>
    <w:rsid w:val="00CF2789"/>
    <w:rsid w:val="00CF2842"/>
    <w:rsid w:val="00CF284C"/>
    <w:rsid w:val="00CF2A46"/>
    <w:rsid w:val="00CF2BC0"/>
    <w:rsid w:val="00CF2DAF"/>
    <w:rsid w:val="00CF2E60"/>
    <w:rsid w:val="00CF2F30"/>
    <w:rsid w:val="00CF2FA6"/>
    <w:rsid w:val="00CF3003"/>
    <w:rsid w:val="00CF30F6"/>
    <w:rsid w:val="00CF32F5"/>
    <w:rsid w:val="00CF347B"/>
    <w:rsid w:val="00CF34A2"/>
    <w:rsid w:val="00CF34AE"/>
    <w:rsid w:val="00CF34B1"/>
    <w:rsid w:val="00CF38DE"/>
    <w:rsid w:val="00CF39CA"/>
    <w:rsid w:val="00CF3B72"/>
    <w:rsid w:val="00CF3B8B"/>
    <w:rsid w:val="00CF3BC6"/>
    <w:rsid w:val="00CF3D09"/>
    <w:rsid w:val="00CF3D92"/>
    <w:rsid w:val="00CF401D"/>
    <w:rsid w:val="00CF4589"/>
    <w:rsid w:val="00CF45E1"/>
    <w:rsid w:val="00CF467B"/>
    <w:rsid w:val="00CF46F4"/>
    <w:rsid w:val="00CF4725"/>
    <w:rsid w:val="00CF49EB"/>
    <w:rsid w:val="00CF4B24"/>
    <w:rsid w:val="00CF4FB9"/>
    <w:rsid w:val="00CF5236"/>
    <w:rsid w:val="00CF52E1"/>
    <w:rsid w:val="00CF5370"/>
    <w:rsid w:val="00CF5483"/>
    <w:rsid w:val="00CF54DC"/>
    <w:rsid w:val="00CF554C"/>
    <w:rsid w:val="00CF56AB"/>
    <w:rsid w:val="00CF56D5"/>
    <w:rsid w:val="00CF570F"/>
    <w:rsid w:val="00CF5762"/>
    <w:rsid w:val="00CF57D5"/>
    <w:rsid w:val="00CF57F6"/>
    <w:rsid w:val="00CF584F"/>
    <w:rsid w:val="00CF592F"/>
    <w:rsid w:val="00CF5AC6"/>
    <w:rsid w:val="00CF5AD1"/>
    <w:rsid w:val="00CF5AF4"/>
    <w:rsid w:val="00CF5BF9"/>
    <w:rsid w:val="00CF5C16"/>
    <w:rsid w:val="00CF5C44"/>
    <w:rsid w:val="00CF5CFF"/>
    <w:rsid w:val="00CF5D74"/>
    <w:rsid w:val="00CF5E2D"/>
    <w:rsid w:val="00CF5E30"/>
    <w:rsid w:val="00CF5FED"/>
    <w:rsid w:val="00CF632B"/>
    <w:rsid w:val="00CF63C2"/>
    <w:rsid w:val="00CF63E2"/>
    <w:rsid w:val="00CF6600"/>
    <w:rsid w:val="00CF68F7"/>
    <w:rsid w:val="00CF694F"/>
    <w:rsid w:val="00CF69A3"/>
    <w:rsid w:val="00CF6B87"/>
    <w:rsid w:val="00CF6E15"/>
    <w:rsid w:val="00CF723D"/>
    <w:rsid w:val="00CF7257"/>
    <w:rsid w:val="00CF7358"/>
    <w:rsid w:val="00CF745D"/>
    <w:rsid w:val="00CF74D6"/>
    <w:rsid w:val="00CF74F4"/>
    <w:rsid w:val="00CF75D1"/>
    <w:rsid w:val="00CF75F5"/>
    <w:rsid w:val="00CF7616"/>
    <w:rsid w:val="00CF76AF"/>
    <w:rsid w:val="00CF76B5"/>
    <w:rsid w:val="00CF776D"/>
    <w:rsid w:val="00CF78E9"/>
    <w:rsid w:val="00CF7AEA"/>
    <w:rsid w:val="00CF7BB5"/>
    <w:rsid w:val="00CF7D9E"/>
    <w:rsid w:val="00CF7E18"/>
    <w:rsid w:val="00CF7E84"/>
    <w:rsid w:val="00CF7F13"/>
    <w:rsid w:val="00CF7F37"/>
    <w:rsid w:val="00CF7F80"/>
    <w:rsid w:val="00D000EC"/>
    <w:rsid w:val="00D0012A"/>
    <w:rsid w:val="00D001DD"/>
    <w:rsid w:val="00D002BB"/>
    <w:rsid w:val="00D002C0"/>
    <w:rsid w:val="00D00339"/>
    <w:rsid w:val="00D0044B"/>
    <w:rsid w:val="00D006E2"/>
    <w:rsid w:val="00D00775"/>
    <w:rsid w:val="00D00845"/>
    <w:rsid w:val="00D008B6"/>
    <w:rsid w:val="00D009FB"/>
    <w:rsid w:val="00D00A92"/>
    <w:rsid w:val="00D00C76"/>
    <w:rsid w:val="00D00EA7"/>
    <w:rsid w:val="00D011BE"/>
    <w:rsid w:val="00D0131C"/>
    <w:rsid w:val="00D013A9"/>
    <w:rsid w:val="00D01454"/>
    <w:rsid w:val="00D015F1"/>
    <w:rsid w:val="00D01673"/>
    <w:rsid w:val="00D01743"/>
    <w:rsid w:val="00D01C97"/>
    <w:rsid w:val="00D01D5A"/>
    <w:rsid w:val="00D01E92"/>
    <w:rsid w:val="00D02051"/>
    <w:rsid w:val="00D0207F"/>
    <w:rsid w:val="00D02113"/>
    <w:rsid w:val="00D021E0"/>
    <w:rsid w:val="00D0249C"/>
    <w:rsid w:val="00D0262F"/>
    <w:rsid w:val="00D02702"/>
    <w:rsid w:val="00D0270F"/>
    <w:rsid w:val="00D02797"/>
    <w:rsid w:val="00D02861"/>
    <w:rsid w:val="00D02872"/>
    <w:rsid w:val="00D02AF1"/>
    <w:rsid w:val="00D02D1D"/>
    <w:rsid w:val="00D02E54"/>
    <w:rsid w:val="00D02F82"/>
    <w:rsid w:val="00D030AC"/>
    <w:rsid w:val="00D03284"/>
    <w:rsid w:val="00D032DE"/>
    <w:rsid w:val="00D03312"/>
    <w:rsid w:val="00D033D5"/>
    <w:rsid w:val="00D034C8"/>
    <w:rsid w:val="00D03560"/>
    <w:rsid w:val="00D03653"/>
    <w:rsid w:val="00D0366D"/>
    <w:rsid w:val="00D038F9"/>
    <w:rsid w:val="00D0394A"/>
    <w:rsid w:val="00D03ADC"/>
    <w:rsid w:val="00D03C3D"/>
    <w:rsid w:val="00D03CB1"/>
    <w:rsid w:val="00D03D6C"/>
    <w:rsid w:val="00D03E4D"/>
    <w:rsid w:val="00D03F80"/>
    <w:rsid w:val="00D04015"/>
    <w:rsid w:val="00D04174"/>
    <w:rsid w:val="00D043C6"/>
    <w:rsid w:val="00D04482"/>
    <w:rsid w:val="00D0477B"/>
    <w:rsid w:val="00D048AB"/>
    <w:rsid w:val="00D048C2"/>
    <w:rsid w:val="00D04AB6"/>
    <w:rsid w:val="00D04B85"/>
    <w:rsid w:val="00D04C56"/>
    <w:rsid w:val="00D04F30"/>
    <w:rsid w:val="00D04F62"/>
    <w:rsid w:val="00D04FA9"/>
    <w:rsid w:val="00D0500A"/>
    <w:rsid w:val="00D05043"/>
    <w:rsid w:val="00D050A0"/>
    <w:rsid w:val="00D05169"/>
    <w:rsid w:val="00D0548A"/>
    <w:rsid w:val="00D05566"/>
    <w:rsid w:val="00D05694"/>
    <w:rsid w:val="00D056D4"/>
    <w:rsid w:val="00D057A3"/>
    <w:rsid w:val="00D05B2A"/>
    <w:rsid w:val="00D05B72"/>
    <w:rsid w:val="00D05BD4"/>
    <w:rsid w:val="00D05CF5"/>
    <w:rsid w:val="00D05D58"/>
    <w:rsid w:val="00D05DC5"/>
    <w:rsid w:val="00D06180"/>
    <w:rsid w:val="00D0636A"/>
    <w:rsid w:val="00D064D0"/>
    <w:rsid w:val="00D064DA"/>
    <w:rsid w:val="00D0660D"/>
    <w:rsid w:val="00D0662E"/>
    <w:rsid w:val="00D06652"/>
    <w:rsid w:val="00D067D0"/>
    <w:rsid w:val="00D06883"/>
    <w:rsid w:val="00D06933"/>
    <w:rsid w:val="00D06989"/>
    <w:rsid w:val="00D06A98"/>
    <w:rsid w:val="00D06B65"/>
    <w:rsid w:val="00D06B7C"/>
    <w:rsid w:val="00D06DBA"/>
    <w:rsid w:val="00D06E95"/>
    <w:rsid w:val="00D06FE8"/>
    <w:rsid w:val="00D07047"/>
    <w:rsid w:val="00D07149"/>
    <w:rsid w:val="00D0721E"/>
    <w:rsid w:val="00D07240"/>
    <w:rsid w:val="00D0739F"/>
    <w:rsid w:val="00D07A35"/>
    <w:rsid w:val="00D07B98"/>
    <w:rsid w:val="00D07C11"/>
    <w:rsid w:val="00D07F54"/>
    <w:rsid w:val="00D07F6A"/>
    <w:rsid w:val="00D1004D"/>
    <w:rsid w:val="00D1036B"/>
    <w:rsid w:val="00D10371"/>
    <w:rsid w:val="00D103F7"/>
    <w:rsid w:val="00D105AA"/>
    <w:rsid w:val="00D1096E"/>
    <w:rsid w:val="00D10994"/>
    <w:rsid w:val="00D10A23"/>
    <w:rsid w:val="00D10A85"/>
    <w:rsid w:val="00D10AE8"/>
    <w:rsid w:val="00D10BA6"/>
    <w:rsid w:val="00D10BE4"/>
    <w:rsid w:val="00D10F18"/>
    <w:rsid w:val="00D10FF6"/>
    <w:rsid w:val="00D1100B"/>
    <w:rsid w:val="00D111CE"/>
    <w:rsid w:val="00D112DB"/>
    <w:rsid w:val="00D113A1"/>
    <w:rsid w:val="00D114E3"/>
    <w:rsid w:val="00D11847"/>
    <w:rsid w:val="00D118D8"/>
    <w:rsid w:val="00D1193C"/>
    <w:rsid w:val="00D119EC"/>
    <w:rsid w:val="00D11A02"/>
    <w:rsid w:val="00D11A2F"/>
    <w:rsid w:val="00D11ADD"/>
    <w:rsid w:val="00D11B37"/>
    <w:rsid w:val="00D11B66"/>
    <w:rsid w:val="00D11BB6"/>
    <w:rsid w:val="00D11C2B"/>
    <w:rsid w:val="00D11DF4"/>
    <w:rsid w:val="00D11E7A"/>
    <w:rsid w:val="00D12050"/>
    <w:rsid w:val="00D12126"/>
    <w:rsid w:val="00D12140"/>
    <w:rsid w:val="00D12321"/>
    <w:rsid w:val="00D124D8"/>
    <w:rsid w:val="00D12700"/>
    <w:rsid w:val="00D12784"/>
    <w:rsid w:val="00D129E7"/>
    <w:rsid w:val="00D12AA0"/>
    <w:rsid w:val="00D12AC3"/>
    <w:rsid w:val="00D12BCA"/>
    <w:rsid w:val="00D12DDC"/>
    <w:rsid w:val="00D12E3A"/>
    <w:rsid w:val="00D12F75"/>
    <w:rsid w:val="00D12F8A"/>
    <w:rsid w:val="00D130D5"/>
    <w:rsid w:val="00D1314E"/>
    <w:rsid w:val="00D131B2"/>
    <w:rsid w:val="00D132EE"/>
    <w:rsid w:val="00D13303"/>
    <w:rsid w:val="00D13577"/>
    <w:rsid w:val="00D135CA"/>
    <w:rsid w:val="00D13A81"/>
    <w:rsid w:val="00D13C1D"/>
    <w:rsid w:val="00D13E42"/>
    <w:rsid w:val="00D13E61"/>
    <w:rsid w:val="00D141B5"/>
    <w:rsid w:val="00D141FE"/>
    <w:rsid w:val="00D142F1"/>
    <w:rsid w:val="00D143A8"/>
    <w:rsid w:val="00D143F0"/>
    <w:rsid w:val="00D14457"/>
    <w:rsid w:val="00D1448D"/>
    <w:rsid w:val="00D145D8"/>
    <w:rsid w:val="00D14949"/>
    <w:rsid w:val="00D14A93"/>
    <w:rsid w:val="00D14AB1"/>
    <w:rsid w:val="00D14CE3"/>
    <w:rsid w:val="00D14D94"/>
    <w:rsid w:val="00D14F51"/>
    <w:rsid w:val="00D14FAB"/>
    <w:rsid w:val="00D14FDE"/>
    <w:rsid w:val="00D150B2"/>
    <w:rsid w:val="00D1513D"/>
    <w:rsid w:val="00D15150"/>
    <w:rsid w:val="00D152EB"/>
    <w:rsid w:val="00D15310"/>
    <w:rsid w:val="00D1538F"/>
    <w:rsid w:val="00D155A6"/>
    <w:rsid w:val="00D155B4"/>
    <w:rsid w:val="00D157D4"/>
    <w:rsid w:val="00D15899"/>
    <w:rsid w:val="00D15AB7"/>
    <w:rsid w:val="00D15ABD"/>
    <w:rsid w:val="00D15B29"/>
    <w:rsid w:val="00D15D81"/>
    <w:rsid w:val="00D15DB8"/>
    <w:rsid w:val="00D15EE8"/>
    <w:rsid w:val="00D16002"/>
    <w:rsid w:val="00D160C9"/>
    <w:rsid w:val="00D16377"/>
    <w:rsid w:val="00D16447"/>
    <w:rsid w:val="00D165A2"/>
    <w:rsid w:val="00D165F8"/>
    <w:rsid w:val="00D1677C"/>
    <w:rsid w:val="00D168B6"/>
    <w:rsid w:val="00D16928"/>
    <w:rsid w:val="00D16AF6"/>
    <w:rsid w:val="00D16BB2"/>
    <w:rsid w:val="00D16DE5"/>
    <w:rsid w:val="00D170B3"/>
    <w:rsid w:val="00D170F3"/>
    <w:rsid w:val="00D17248"/>
    <w:rsid w:val="00D1735D"/>
    <w:rsid w:val="00D174BC"/>
    <w:rsid w:val="00D17666"/>
    <w:rsid w:val="00D1772D"/>
    <w:rsid w:val="00D17734"/>
    <w:rsid w:val="00D177A5"/>
    <w:rsid w:val="00D178E0"/>
    <w:rsid w:val="00D17901"/>
    <w:rsid w:val="00D17983"/>
    <w:rsid w:val="00D17996"/>
    <w:rsid w:val="00D17A84"/>
    <w:rsid w:val="00D17B67"/>
    <w:rsid w:val="00D17C52"/>
    <w:rsid w:val="00D17C92"/>
    <w:rsid w:val="00D17D13"/>
    <w:rsid w:val="00D17D5A"/>
    <w:rsid w:val="00D17D83"/>
    <w:rsid w:val="00D17DBD"/>
    <w:rsid w:val="00D17E8D"/>
    <w:rsid w:val="00D17EBD"/>
    <w:rsid w:val="00D17F1F"/>
    <w:rsid w:val="00D200A8"/>
    <w:rsid w:val="00D2016D"/>
    <w:rsid w:val="00D20297"/>
    <w:rsid w:val="00D203B1"/>
    <w:rsid w:val="00D20437"/>
    <w:rsid w:val="00D206B4"/>
    <w:rsid w:val="00D206EB"/>
    <w:rsid w:val="00D20763"/>
    <w:rsid w:val="00D20775"/>
    <w:rsid w:val="00D20980"/>
    <w:rsid w:val="00D209D6"/>
    <w:rsid w:val="00D20A10"/>
    <w:rsid w:val="00D20A8E"/>
    <w:rsid w:val="00D20C98"/>
    <w:rsid w:val="00D20ECA"/>
    <w:rsid w:val="00D20ECD"/>
    <w:rsid w:val="00D21003"/>
    <w:rsid w:val="00D210A3"/>
    <w:rsid w:val="00D210F9"/>
    <w:rsid w:val="00D2123B"/>
    <w:rsid w:val="00D2125A"/>
    <w:rsid w:val="00D216DB"/>
    <w:rsid w:val="00D21719"/>
    <w:rsid w:val="00D21768"/>
    <w:rsid w:val="00D217BB"/>
    <w:rsid w:val="00D2195E"/>
    <w:rsid w:val="00D219F0"/>
    <w:rsid w:val="00D21BF5"/>
    <w:rsid w:val="00D21E87"/>
    <w:rsid w:val="00D21F04"/>
    <w:rsid w:val="00D2202B"/>
    <w:rsid w:val="00D22089"/>
    <w:rsid w:val="00D22104"/>
    <w:rsid w:val="00D221E5"/>
    <w:rsid w:val="00D2224B"/>
    <w:rsid w:val="00D22332"/>
    <w:rsid w:val="00D223CA"/>
    <w:rsid w:val="00D223CB"/>
    <w:rsid w:val="00D22453"/>
    <w:rsid w:val="00D224BC"/>
    <w:rsid w:val="00D2252A"/>
    <w:rsid w:val="00D2281C"/>
    <w:rsid w:val="00D228C3"/>
    <w:rsid w:val="00D2293C"/>
    <w:rsid w:val="00D22993"/>
    <w:rsid w:val="00D229C6"/>
    <w:rsid w:val="00D22A0B"/>
    <w:rsid w:val="00D22A5A"/>
    <w:rsid w:val="00D22DBB"/>
    <w:rsid w:val="00D22EC2"/>
    <w:rsid w:val="00D22F19"/>
    <w:rsid w:val="00D22F2E"/>
    <w:rsid w:val="00D2310D"/>
    <w:rsid w:val="00D2318D"/>
    <w:rsid w:val="00D232A9"/>
    <w:rsid w:val="00D237DA"/>
    <w:rsid w:val="00D239DF"/>
    <w:rsid w:val="00D239F8"/>
    <w:rsid w:val="00D23AC4"/>
    <w:rsid w:val="00D23C9B"/>
    <w:rsid w:val="00D23CC3"/>
    <w:rsid w:val="00D23D5F"/>
    <w:rsid w:val="00D23E4E"/>
    <w:rsid w:val="00D24219"/>
    <w:rsid w:val="00D2440A"/>
    <w:rsid w:val="00D244BC"/>
    <w:rsid w:val="00D24554"/>
    <w:rsid w:val="00D2458B"/>
    <w:rsid w:val="00D246CA"/>
    <w:rsid w:val="00D24893"/>
    <w:rsid w:val="00D24C66"/>
    <w:rsid w:val="00D24D86"/>
    <w:rsid w:val="00D24E51"/>
    <w:rsid w:val="00D250CA"/>
    <w:rsid w:val="00D25537"/>
    <w:rsid w:val="00D255E5"/>
    <w:rsid w:val="00D25694"/>
    <w:rsid w:val="00D256CD"/>
    <w:rsid w:val="00D256D6"/>
    <w:rsid w:val="00D25873"/>
    <w:rsid w:val="00D25952"/>
    <w:rsid w:val="00D25AB7"/>
    <w:rsid w:val="00D25C1B"/>
    <w:rsid w:val="00D25CF2"/>
    <w:rsid w:val="00D25E6A"/>
    <w:rsid w:val="00D25FB3"/>
    <w:rsid w:val="00D260B6"/>
    <w:rsid w:val="00D26110"/>
    <w:rsid w:val="00D2622F"/>
    <w:rsid w:val="00D26329"/>
    <w:rsid w:val="00D263DB"/>
    <w:rsid w:val="00D26450"/>
    <w:rsid w:val="00D26474"/>
    <w:rsid w:val="00D2663E"/>
    <w:rsid w:val="00D266D5"/>
    <w:rsid w:val="00D2678A"/>
    <w:rsid w:val="00D267F0"/>
    <w:rsid w:val="00D26889"/>
    <w:rsid w:val="00D26960"/>
    <w:rsid w:val="00D26A52"/>
    <w:rsid w:val="00D26ADD"/>
    <w:rsid w:val="00D26B28"/>
    <w:rsid w:val="00D26D52"/>
    <w:rsid w:val="00D26EAC"/>
    <w:rsid w:val="00D2700F"/>
    <w:rsid w:val="00D272B6"/>
    <w:rsid w:val="00D27610"/>
    <w:rsid w:val="00D2761B"/>
    <w:rsid w:val="00D276E5"/>
    <w:rsid w:val="00D277E2"/>
    <w:rsid w:val="00D278EA"/>
    <w:rsid w:val="00D27A82"/>
    <w:rsid w:val="00D27AFC"/>
    <w:rsid w:val="00D27AFF"/>
    <w:rsid w:val="00D27B85"/>
    <w:rsid w:val="00D27C12"/>
    <w:rsid w:val="00D27D56"/>
    <w:rsid w:val="00D27F56"/>
    <w:rsid w:val="00D27FFA"/>
    <w:rsid w:val="00D30177"/>
    <w:rsid w:val="00D30285"/>
    <w:rsid w:val="00D303AD"/>
    <w:rsid w:val="00D30407"/>
    <w:rsid w:val="00D30671"/>
    <w:rsid w:val="00D30A89"/>
    <w:rsid w:val="00D30C42"/>
    <w:rsid w:val="00D30E77"/>
    <w:rsid w:val="00D30FF0"/>
    <w:rsid w:val="00D31049"/>
    <w:rsid w:val="00D310BD"/>
    <w:rsid w:val="00D3116A"/>
    <w:rsid w:val="00D311F6"/>
    <w:rsid w:val="00D31398"/>
    <w:rsid w:val="00D31484"/>
    <w:rsid w:val="00D3150E"/>
    <w:rsid w:val="00D3171C"/>
    <w:rsid w:val="00D31BCE"/>
    <w:rsid w:val="00D31D7E"/>
    <w:rsid w:val="00D31DDA"/>
    <w:rsid w:val="00D31F57"/>
    <w:rsid w:val="00D32073"/>
    <w:rsid w:val="00D3216A"/>
    <w:rsid w:val="00D3238D"/>
    <w:rsid w:val="00D3265D"/>
    <w:rsid w:val="00D326DF"/>
    <w:rsid w:val="00D32705"/>
    <w:rsid w:val="00D327C0"/>
    <w:rsid w:val="00D327FC"/>
    <w:rsid w:val="00D32844"/>
    <w:rsid w:val="00D32928"/>
    <w:rsid w:val="00D32A70"/>
    <w:rsid w:val="00D32B44"/>
    <w:rsid w:val="00D32C2B"/>
    <w:rsid w:val="00D32C97"/>
    <w:rsid w:val="00D32D8C"/>
    <w:rsid w:val="00D32E07"/>
    <w:rsid w:val="00D32E1F"/>
    <w:rsid w:val="00D32E43"/>
    <w:rsid w:val="00D32E87"/>
    <w:rsid w:val="00D32EB6"/>
    <w:rsid w:val="00D32F60"/>
    <w:rsid w:val="00D33061"/>
    <w:rsid w:val="00D33349"/>
    <w:rsid w:val="00D33405"/>
    <w:rsid w:val="00D33697"/>
    <w:rsid w:val="00D33729"/>
    <w:rsid w:val="00D33781"/>
    <w:rsid w:val="00D33840"/>
    <w:rsid w:val="00D33AF2"/>
    <w:rsid w:val="00D33B83"/>
    <w:rsid w:val="00D33BA5"/>
    <w:rsid w:val="00D33C0F"/>
    <w:rsid w:val="00D33E9E"/>
    <w:rsid w:val="00D34083"/>
    <w:rsid w:val="00D3431F"/>
    <w:rsid w:val="00D3440F"/>
    <w:rsid w:val="00D34516"/>
    <w:rsid w:val="00D34575"/>
    <w:rsid w:val="00D34587"/>
    <w:rsid w:val="00D34688"/>
    <w:rsid w:val="00D34983"/>
    <w:rsid w:val="00D34B8F"/>
    <w:rsid w:val="00D34BDE"/>
    <w:rsid w:val="00D34F79"/>
    <w:rsid w:val="00D34F90"/>
    <w:rsid w:val="00D3505C"/>
    <w:rsid w:val="00D351E5"/>
    <w:rsid w:val="00D35250"/>
    <w:rsid w:val="00D3529E"/>
    <w:rsid w:val="00D35463"/>
    <w:rsid w:val="00D35470"/>
    <w:rsid w:val="00D354B1"/>
    <w:rsid w:val="00D35531"/>
    <w:rsid w:val="00D356D4"/>
    <w:rsid w:val="00D35AFF"/>
    <w:rsid w:val="00D35C69"/>
    <w:rsid w:val="00D35EE5"/>
    <w:rsid w:val="00D36025"/>
    <w:rsid w:val="00D360D0"/>
    <w:rsid w:val="00D36167"/>
    <w:rsid w:val="00D36378"/>
    <w:rsid w:val="00D36532"/>
    <w:rsid w:val="00D3658C"/>
    <w:rsid w:val="00D36665"/>
    <w:rsid w:val="00D3671A"/>
    <w:rsid w:val="00D368A2"/>
    <w:rsid w:val="00D36A2C"/>
    <w:rsid w:val="00D36AEE"/>
    <w:rsid w:val="00D36AFB"/>
    <w:rsid w:val="00D36BA0"/>
    <w:rsid w:val="00D36EF1"/>
    <w:rsid w:val="00D36FCD"/>
    <w:rsid w:val="00D370C5"/>
    <w:rsid w:val="00D37378"/>
    <w:rsid w:val="00D373C0"/>
    <w:rsid w:val="00D3745F"/>
    <w:rsid w:val="00D3747F"/>
    <w:rsid w:val="00D374D5"/>
    <w:rsid w:val="00D3774F"/>
    <w:rsid w:val="00D3775E"/>
    <w:rsid w:val="00D37767"/>
    <w:rsid w:val="00D379BF"/>
    <w:rsid w:val="00D37AB2"/>
    <w:rsid w:val="00D37BC2"/>
    <w:rsid w:val="00D40010"/>
    <w:rsid w:val="00D40029"/>
    <w:rsid w:val="00D40510"/>
    <w:rsid w:val="00D40832"/>
    <w:rsid w:val="00D40B04"/>
    <w:rsid w:val="00D40C7C"/>
    <w:rsid w:val="00D40E2F"/>
    <w:rsid w:val="00D40E50"/>
    <w:rsid w:val="00D40EAE"/>
    <w:rsid w:val="00D40F76"/>
    <w:rsid w:val="00D4105F"/>
    <w:rsid w:val="00D41113"/>
    <w:rsid w:val="00D411EF"/>
    <w:rsid w:val="00D412ED"/>
    <w:rsid w:val="00D412F0"/>
    <w:rsid w:val="00D4143A"/>
    <w:rsid w:val="00D414E8"/>
    <w:rsid w:val="00D41560"/>
    <w:rsid w:val="00D417EA"/>
    <w:rsid w:val="00D4185B"/>
    <w:rsid w:val="00D41897"/>
    <w:rsid w:val="00D419DA"/>
    <w:rsid w:val="00D41B05"/>
    <w:rsid w:val="00D41C7F"/>
    <w:rsid w:val="00D41C88"/>
    <w:rsid w:val="00D41D1A"/>
    <w:rsid w:val="00D41DE9"/>
    <w:rsid w:val="00D41E95"/>
    <w:rsid w:val="00D41EB1"/>
    <w:rsid w:val="00D4206A"/>
    <w:rsid w:val="00D42198"/>
    <w:rsid w:val="00D422B7"/>
    <w:rsid w:val="00D423E4"/>
    <w:rsid w:val="00D42765"/>
    <w:rsid w:val="00D427CC"/>
    <w:rsid w:val="00D427DE"/>
    <w:rsid w:val="00D4294C"/>
    <w:rsid w:val="00D4297F"/>
    <w:rsid w:val="00D42AE0"/>
    <w:rsid w:val="00D42F87"/>
    <w:rsid w:val="00D430A7"/>
    <w:rsid w:val="00D4311B"/>
    <w:rsid w:val="00D431F1"/>
    <w:rsid w:val="00D43398"/>
    <w:rsid w:val="00D4341C"/>
    <w:rsid w:val="00D4343B"/>
    <w:rsid w:val="00D4358E"/>
    <w:rsid w:val="00D435EF"/>
    <w:rsid w:val="00D438D0"/>
    <w:rsid w:val="00D43958"/>
    <w:rsid w:val="00D43A42"/>
    <w:rsid w:val="00D43A99"/>
    <w:rsid w:val="00D43ACD"/>
    <w:rsid w:val="00D43B3C"/>
    <w:rsid w:val="00D43B84"/>
    <w:rsid w:val="00D43C71"/>
    <w:rsid w:val="00D43C81"/>
    <w:rsid w:val="00D43E0D"/>
    <w:rsid w:val="00D43EFE"/>
    <w:rsid w:val="00D43F69"/>
    <w:rsid w:val="00D43FE9"/>
    <w:rsid w:val="00D43FF6"/>
    <w:rsid w:val="00D44019"/>
    <w:rsid w:val="00D440CE"/>
    <w:rsid w:val="00D4414E"/>
    <w:rsid w:val="00D441CE"/>
    <w:rsid w:val="00D443CC"/>
    <w:rsid w:val="00D448A9"/>
    <w:rsid w:val="00D44C65"/>
    <w:rsid w:val="00D44DCC"/>
    <w:rsid w:val="00D44E02"/>
    <w:rsid w:val="00D45001"/>
    <w:rsid w:val="00D451C7"/>
    <w:rsid w:val="00D45201"/>
    <w:rsid w:val="00D45216"/>
    <w:rsid w:val="00D4523F"/>
    <w:rsid w:val="00D452E0"/>
    <w:rsid w:val="00D453AC"/>
    <w:rsid w:val="00D4547B"/>
    <w:rsid w:val="00D45490"/>
    <w:rsid w:val="00D454DE"/>
    <w:rsid w:val="00D4551C"/>
    <w:rsid w:val="00D455E6"/>
    <w:rsid w:val="00D45693"/>
    <w:rsid w:val="00D45792"/>
    <w:rsid w:val="00D459FC"/>
    <w:rsid w:val="00D45AA3"/>
    <w:rsid w:val="00D45BD3"/>
    <w:rsid w:val="00D45C76"/>
    <w:rsid w:val="00D45E1B"/>
    <w:rsid w:val="00D45F7D"/>
    <w:rsid w:val="00D46017"/>
    <w:rsid w:val="00D46092"/>
    <w:rsid w:val="00D46162"/>
    <w:rsid w:val="00D462B7"/>
    <w:rsid w:val="00D46331"/>
    <w:rsid w:val="00D463C8"/>
    <w:rsid w:val="00D46732"/>
    <w:rsid w:val="00D469CC"/>
    <w:rsid w:val="00D46BF1"/>
    <w:rsid w:val="00D46CB5"/>
    <w:rsid w:val="00D46CC6"/>
    <w:rsid w:val="00D46E84"/>
    <w:rsid w:val="00D470FF"/>
    <w:rsid w:val="00D471FD"/>
    <w:rsid w:val="00D47388"/>
    <w:rsid w:val="00D47446"/>
    <w:rsid w:val="00D474A6"/>
    <w:rsid w:val="00D47599"/>
    <w:rsid w:val="00D476D1"/>
    <w:rsid w:val="00D4776F"/>
    <w:rsid w:val="00D478D0"/>
    <w:rsid w:val="00D47A9A"/>
    <w:rsid w:val="00D47B6E"/>
    <w:rsid w:val="00D47D08"/>
    <w:rsid w:val="00D47F46"/>
    <w:rsid w:val="00D50103"/>
    <w:rsid w:val="00D501B2"/>
    <w:rsid w:val="00D501EF"/>
    <w:rsid w:val="00D50364"/>
    <w:rsid w:val="00D503B4"/>
    <w:rsid w:val="00D50400"/>
    <w:rsid w:val="00D505C4"/>
    <w:rsid w:val="00D5066B"/>
    <w:rsid w:val="00D50761"/>
    <w:rsid w:val="00D50783"/>
    <w:rsid w:val="00D50825"/>
    <w:rsid w:val="00D5097B"/>
    <w:rsid w:val="00D509F2"/>
    <w:rsid w:val="00D50A0D"/>
    <w:rsid w:val="00D50A6D"/>
    <w:rsid w:val="00D50AB6"/>
    <w:rsid w:val="00D50ABC"/>
    <w:rsid w:val="00D50B00"/>
    <w:rsid w:val="00D50BE2"/>
    <w:rsid w:val="00D50BEB"/>
    <w:rsid w:val="00D50E07"/>
    <w:rsid w:val="00D50E1B"/>
    <w:rsid w:val="00D50E39"/>
    <w:rsid w:val="00D51161"/>
    <w:rsid w:val="00D512F2"/>
    <w:rsid w:val="00D51340"/>
    <w:rsid w:val="00D5149A"/>
    <w:rsid w:val="00D5152E"/>
    <w:rsid w:val="00D51553"/>
    <w:rsid w:val="00D515E9"/>
    <w:rsid w:val="00D51607"/>
    <w:rsid w:val="00D51622"/>
    <w:rsid w:val="00D517D8"/>
    <w:rsid w:val="00D519AC"/>
    <w:rsid w:val="00D51A6B"/>
    <w:rsid w:val="00D51BAF"/>
    <w:rsid w:val="00D51D1B"/>
    <w:rsid w:val="00D51D25"/>
    <w:rsid w:val="00D51E2C"/>
    <w:rsid w:val="00D51FF2"/>
    <w:rsid w:val="00D52310"/>
    <w:rsid w:val="00D52417"/>
    <w:rsid w:val="00D526C7"/>
    <w:rsid w:val="00D52837"/>
    <w:rsid w:val="00D528B1"/>
    <w:rsid w:val="00D5296A"/>
    <w:rsid w:val="00D52A47"/>
    <w:rsid w:val="00D52A9F"/>
    <w:rsid w:val="00D52AAB"/>
    <w:rsid w:val="00D52B15"/>
    <w:rsid w:val="00D52BB7"/>
    <w:rsid w:val="00D52D0D"/>
    <w:rsid w:val="00D52D61"/>
    <w:rsid w:val="00D52E05"/>
    <w:rsid w:val="00D52FB5"/>
    <w:rsid w:val="00D530D2"/>
    <w:rsid w:val="00D5315A"/>
    <w:rsid w:val="00D53313"/>
    <w:rsid w:val="00D53387"/>
    <w:rsid w:val="00D533C6"/>
    <w:rsid w:val="00D53479"/>
    <w:rsid w:val="00D5347C"/>
    <w:rsid w:val="00D53578"/>
    <w:rsid w:val="00D5358D"/>
    <w:rsid w:val="00D535E0"/>
    <w:rsid w:val="00D53634"/>
    <w:rsid w:val="00D536BF"/>
    <w:rsid w:val="00D537D5"/>
    <w:rsid w:val="00D53800"/>
    <w:rsid w:val="00D5390F"/>
    <w:rsid w:val="00D53B05"/>
    <w:rsid w:val="00D53B29"/>
    <w:rsid w:val="00D53B7A"/>
    <w:rsid w:val="00D53B84"/>
    <w:rsid w:val="00D53D37"/>
    <w:rsid w:val="00D53DBC"/>
    <w:rsid w:val="00D54039"/>
    <w:rsid w:val="00D542A6"/>
    <w:rsid w:val="00D542F7"/>
    <w:rsid w:val="00D5452E"/>
    <w:rsid w:val="00D54624"/>
    <w:rsid w:val="00D5462C"/>
    <w:rsid w:val="00D54689"/>
    <w:rsid w:val="00D546B0"/>
    <w:rsid w:val="00D5472B"/>
    <w:rsid w:val="00D5486F"/>
    <w:rsid w:val="00D548B6"/>
    <w:rsid w:val="00D548EB"/>
    <w:rsid w:val="00D549C1"/>
    <w:rsid w:val="00D54B28"/>
    <w:rsid w:val="00D54C5A"/>
    <w:rsid w:val="00D54DDC"/>
    <w:rsid w:val="00D54F06"/>
    <w:rsid w:val="00D54F63"/>
    <w:rsid w:val="00D55026"/>
    <w:rsid w:val="00D55148"/>
    <w:rsid w:val="00D55317"/>
    <w:rsid w:val="00D55551"/>
    <w:rsid w:val="00D555C9"/>
    <w:rsid w:val="00D55683"/>
    <w:rsid w:val="00D5573C"/>
    <w:rsid w:val="00D558E5"/>
    <w:rsid w:val="00D5591D"/>
    <w:rsid w:val="00D55A37"/>
    <w:rsid w:val="00D55AA4"/>
    <w:rsid w:val="00D55B64"/>
    <w:rsid w:val="00D55BDD"/>
    <w:rsid w:val="00D55BF2"/>
    <w:rsid w:val="00D55D7A"/>
    <w:rsid w:val="00D55E7D"/>
    <w:rsid w:val="00D55F8E"/>
    <w:rsid w:val="00D5606C"/>
    <w:rsid w:val="00D56072"/>
    <w:rsid w:val="00D5612D"/>
    <w:rsid w:val="00D561CA"/>
    <w:rsid w:val="00D5625F"/>
    <w:rsid w:val="00D56360"/>
    <w:rsid w:val="00D5645E"/>
    <w:rsid w:val="00D564F6"/>
    <w:rsid w:val="00D566B0"/>
    <w:rsid w:val="00D56791"/>
    <w:rsid w:val="00D5692E"/>
    <w:rsid w:val="00D56930"/>
    <w:rsid w:val="00D569BB"/>
    <w:rsid w:val="00D56BAA"/>
    <w:rsid w:val="00D56E15"/>
    <w:rsid w:val="00D570FA"/>
    <w:rsid w:val="00D57269"/>
    <w:rsid w:val="00D573CE"/>
    <w:rsid w:val="00D57532"/>
    <w:rsid w:val="00D57537"/>
    <w:rsid w:val="00D575EF"/>
    <w:rsid w:val="00D576FC"/>
    <w:rsid w:val="00D57C2A"/>
    <w:rsid w:val="00D57E37"/>
    <w:rsid w:val="00D57FF4"/>
    <w:rsid w:val="00D600A3"/>
    <w:rsid w:val="00D601CE"/>
    <w:rsid w:val="00D6022F"/>
    <w:rsid w:val="00D602FF"/>
    <w:rsid w:val="00D60329"/>
    <w:rsid w:val="00D606A2"/>
    <w:rsid w:val="00D6080A"/>
    <w:rsid w:val="00D60873"/>
    <w:rsid w:val="00D609DB"/>
    <w:rsid w:val="00D609F1"/>
    <w:rsid w:val="00D60B37"/>
    <w:rsid w:val="00D60D18"/>
    <w:rsid w:val="00D60E40"/>
    <w:rsid w:val="00D60F06"/>
    <w:rsid w:val="00D60F16"/>
    <w:rsid w:val="00D60F29"/>
    <w:rsid w:val="00D60F9D"/>
    <w:rsid w:val="00D610BB"/>
    <w:rsid w:val="00D611ED"/>
    <w:rsid w:val="00D6124E"/>
    <w:rsid w:val="00D6162D"/>
    <w:rsid w:val="00D616FA"/>
    <w:rsid w:val="00D617BD"/>
    <w:rsid w:val="00D6181A"/>
    <w:rsid w:val="00D6181B"/>
    <w:rsid w:val="00D6187A"/>
    <w:rsid w:val="00D61999"/>
    <w:rsid w:val="00D6199C"/>
    <w:rsid w:val="00D619C1"/>
    <w:rsid w:val="00D61A55"/>
    <w:rsid w:val="00D61AA4"/>
    <w:rsid w:val="00D61B4F"/>
    <w:rsid w:val="00D61B54"/>
    <w:rsid w:val="00D61D48"/>
    <w:rsid w:val="00D61D61"/>
    <w:rsid w:val="00D61E35"/>
    <w:rsid w:val="00D61EC6"/>
    <w:rsid w:val="00D62166"/>
    <w:rsid w:val="00D62201"/>
    <w:rsid w:val="00D62411"/>
    <w:rsid w:val="00D62564"/>
    <w:rsid w:val="00D625CE"/>
    <w:rsid w:val="00D6284B"/>
    <w:rsid w:val="00D6291D"/>
    <w:rsid w:val="00D6296B"/>
    <w:rsid w:val="00D62B09"/>
    <w:rsid w:val="00D62DF1"/>
    <w:rsid w:val="00D62F6C"/>
    <w:rsid w:val="00D63006"/>
    <w:rsid w:val="00D6300D"/>
    <w:rsid w:val="00D630D0"/>
    <w:rsid w:val="00D630E3"/>
    <w:rsid w:val="00D6320A"/>
    <w:rsid w:val="00D63251"/>
    <w:rsid w:val="00D63292"/>
    <w:rsid w:val="00D63506"/>
    <w:rsid w:val="00D6359C"/>
    <w:rsid w:val="00D635CC"/>
    <w:rsid w:val="00D63684"/>
    <w:rsid w:val="00D636A6"/>
    <w:rsid w:val="00D63705"/>
    <w:rsid w:val="00D6373C"/>
    <w:rsid w:val="00D63755"/>
    <w:rsid w:val="00D63795"/>
    <w:rsid w:val="00D63A0B"/>
    <w:rsid w:val="00D63A68"/>
    <w:rsid w:val="00D63B9E"/>
    <w:rsid w:val="00D63C7E"/>
    <w:rsid w:val="00D63CE7"/>
    <w:rsid w:val="00D63D47"/>
    <w:rsid w:val="00D63E52"/>
    <w:rsid w:val="00D6411B"/>
    <w:rsid w:val="00D6416E"/>
    <w:rsid w:val="00D641DE"/>
    <w:rsid w:val="00D642B6"/>
    <w:rsid w:val="00D642BC"/>
    <w:rsid w:val="00D64371"/>
    <w:rsid w:val="00D64673"/>
    <w:rsid w:val="00D6468C"/>
    <w:rsid w:val="00D646A3"/>
    <w:rsid w:val="00D646CD"/>
    <w:rsid w:val="00D646EF"/>
    <w:rsid w:val="00D649E6"/>
    <w:rsid w:val="00D64C80"/>
    <w:rsid w:val="00D64D17"/>
    <w:rsid w:val="00D64F1F"/>
    <w:rsid w:val="00D64F8B"/>
    <w:rsid w:val="00D65147"/>
    <w:rsid w:val="00D65154"/>
    <w:rsid w:val="00D65161"/>
    <w:rsid w:val="00D651E3"/>
    <w:rsid w:val="00D65312"/>
    <w:rsid w:val="00D65467"/>
    <w:rsid w:val="00D654B9"/>
    <w:rsid w:val="00D654FE"/>
    <w:rsid w:val="00D654FF"/>
    <w:rsid w:val="00D65636"/>
    <w:rsid w:val="00D65662"/>
    <w:rsid w:val="00D657FA"/>
    <w:rsid w:val="00D658D2"/>
    <w:rsid w:val="00D65C44"/>
    <w:rsid w:val="00D65D47"/>
    <w:rsid w:val="00D65E45"/>
    <w:rsid w:val="00D65F91"/>
    <w:rsid w:val="00D66084"/>
    <w:rsid w:val="00D66246"/>
    <w:rsid w:val="00D663CC"/>
    <w:rsid w:val="00D66638"/>
    <w:rsid w:val="00D666AD"/>
    <w:rsid w:val="00D66863"/>
    <w:rsid w:val="00D66A13"/>
    <w:rsid w:val="00D66AC2"/>
    <w:rsid w:val="00D66B23"/>
    <w:rsid w:val="00D66B5B"/>
    <w:rsid w:val="00D66C6B"/>
    <w:rsid w:val="00D66E0A"/>
    <w:rsid w:val="00D66E43"/>
    <w:rsid w:val="00D66E98"/>
    <w:rsid w:val="00D67058"/>
    <w:rsid w:val="00D6707E"/>
    <w:rsid w:val="00D672B2"/>
    <w:rsid w:val="00D67400"/>
    <w:rsid w:val="00D67465"/>
    <w:rsid w:val="00D6762E"/>
    <w:rsid w:val="00D67782"/>
    <w:rsid w:val="00D677C1"/>
    <w:rsid w:val="00D67838"/>
    <w:rsid w:val="00D678CE"/>
    <w:rsid w:val="00D67BF3"/>
    <w:rsid w:val="00D67D00"/>
    <w:rsid w:val="00D67D29"/>
    <w:rsid w:val="00D67EF8"/>
    <w:rsid w:val="00D70038"/>
    <w:rsid w:val="00D700D8"/>
    <w:rsid w:val="00D7030A"/>
    <w:rsid w:val="00D70375"/>
    <w:rsid w:val="00D703D0"/>
    <w:rsid w:val="00D70640"/>
    <w:rsid w:val="00D7075B"/>
    <w:rsid w:val="00D707FF"/>
    <w:rsid w:val="00D7095F"/>
    <w:rsid w:val="00D709E1"/>
    <w:rsid w:val="00D70AFF"/>
    <w:rsid w:val="00D70D07"/>
    <w:rsid w:val="00D70FB4"/>
    <w:rsid w:val="00D711B4"/>
    <w:rsid w:val="00D711F5"/>
    <w:rsid w:val="00D712D7"/>
    <w:rsid w:val="00D714DD"/>
    <w:rsid w:val="00D71793"/>
    <w:rsid w:val="00D717D4"/>
    <w:rsid w:val="00D71A01"/>
    <w:rsid w:val="00D71A6B"/>
    <w:rsid w:val="00D71ABF"/>
    <w:rsid w:val="00D71BF3"/>
    <w:rsid w:val="00D71BF7"/>
    <w:rsid w:val="00D71DA7"/>
    <w:rsid w:val="00D71E3E"/>
    <w:rsid w:val="00D71FC4"/>
    <w:rsid w:val="00D72217"/>
    <w:rsid w:val="00D7221E"/>
    <w:rsid w:val="00D723A6"/>
    <w:rsid w:val="00D7244F"/>
    <w:rsid w:val="00D724DB"/>
    <w:rsid w:val="00D72514"/>
    <w:rsid w:val="00D72573"/>
    <w:rsid w:val="00D725C2"/>
    <w:rsid w:val="00D7274F"/>
    <w:rsid w:val="00D7283D"/>
    <w:rsid w:val="00D7292F"/>
    <w:rsid w:val="00D72A28"/>
    <w:rsid w:val="00D72B81"/>
    <w:rsid w:val="00D72CC8"/>
    <w:rsid w:val="00D72DA1"/>
    <w:rsid w:val="00D7300A"/>
    <w:rsid w:val="00D730ED"/>
    <w:rsid w:val="00D73136"/>
    <w:rsid w:val="00D7314C"/>
    <w:rsid w:val="00D731CB"/>
    <w:rsid w:val="00D7341B"/>
    <w:rsid w:val="00D734C0"/>
    <w:rsid w:val="00D736F0"/>
    <w:rsid w:val="00D73707"/>
    <w:rsid w:val="00D737D7"/>
    <w:rsid w:val="00D7396C"/>
    <w:rsid w:val="00D73A55"/>
    <w:rsid w:val="00D73D5B"/>
    <w:rsid w:val="00D74027"/>
    <w:rsid w:val="00D740E8"/>
    <w:rsid w:val="00D7412D"/>
    <w:rsid w:val="00D74151"/>
    <w:rsid w:val="00D74277"/>
    <w:rsid w:val="00D742A1"/>
    <w:rsid w:val="00D74539"/>
    <w:rsid w:val="00D7474C"/>
    <w:rsid w:val="00D74858"/>
    <w:rsid w:val="00D7485C"/>
    <w:rsid w:val="00D749A2"/>
    <w:rsid w:val="00D74A0C"/>
    <w:rsid w:val="00D74CEF"/>
    <w:rsid w:val="00D74D54"/>
    <w:rsid w:val="00D74D55"/>
    <w:rsid w:val="00D74E23"/>
    <w:rsid w:val="00D74E25"/>
    <w:rsid w:val="00D74E43"/>
    <w:rsid w:val="00D751DA"/>
    <w:rsid w:val="00D75267"/>
    <w:rsid w:val="00D7536E"/>
    <w:rsid w:val="00D75690"/>
    <w:rsid w:val="00D75742"/>
    <w:rsid w:val="00D75B61"/>
    <w:rsid w:val="00D75C63"/>
    <w:rsid w:val="00D75D14"/>
    <w:rsid w:val="00D75E94"/>
    <w:rsid w:val="00D7611F"/>
    <w:rsid w:val="00D7632C"/>
    <w:rsid w:val="00D76388"/>
    <w:rsid w:val="00D763AC"/>
    <w:rsid w:val="00D76504"/>
    <w:rsid w:val="00D76557"/>
    <w:rsid w:val="00D765E2"/>
    <w:rsid w:val="00D76A94"/>
    <w:rsid w:val="00D76B57"/>
    <w:rsid w:val="00D76C2A"/>
    <w:rsid w:val="00D76CAC"/>
    <w:rsid w:val="00D76D99"/>
    <w:rsid w:val="00D76E21"/>
    <w:rsid w:val="00D76FA0"/>
    <w:rsid w:val="00D76FEC"/>
    <w:rsid w:val="00D771A9"/>
    <w:rsid w:val="00D7720A"/>
    <w:rsid w:val="00D77469"/>
    <w:rsid w:val="00D77526"/>
    <w:rsid w:val="00D776E3"/>
    <w:rsid w:val="00D77987"/>
    <w:rsid w:val="00D77B01"/>
    <w:rsid w:val="00D77E51"/>
    <w:rsid w:val="00D77F5E"/>
    <w:rsid w:val="00D77F9E"/>
    <w:rsid w:val="00D80032"/>
    <w:rsid w:val="00D80238"/>
    <w:rsid w:val="00D8039B"/>
    <w:rsid w:val="00D80682"/>
    <w:rsid w:val="00D806C4"/>
    <w:rsid w:val="00D8070F"/>
    <w:rsid w:val="00D80837"/>
    <w:rsid w:val="00D8093D"/>
    <w:rsid w:val="00D8094D"/>
    <w:rsid w:val="00D809D5"/>
    <w:rsid w:val="00D80D29"/>
    <w:rsid w:val="00D81058"/>
    <w:rsid w:val="00D81144"/>
    <w:rsid w:val="00D8121B"/>
    <w:rsid w:val="00D8142A"/>
    <w:rsid w:val="00D81493"/>
    <w:rsid w:val="00D818FE"/>
    <w:rsid w:val="00D81932"/>
    <w:rsid w:val="00D81937"/>
    <w:rsid w:val="00D8193C"/>
    <w:rsid w:val="00D81ADE"/>
    <w:rsid w:val="00D81AFF"/>
    <w:rsid w:val="00D81BFC"/>
    <w:rsid w:val="00D81D5B"/>
    <w:rsid w:val="00D81D90"/>
    <w:rsid w:val="00D81DB1"/>
    <w:rsid w:val="00D81F04"/>
    <w:rsid w:val="00D820BA"/>
    <w:rsid w:val="00D820D2"/>
    <w:rsid w:val="00D82228"/>
    <w:rsid w:val="00D82335"/>
    <w:rsid w:val="00D825E0"/>
    <w:rsid w:val="00D827A8"/>
    <w:rsid w:val="00D82805"/>
    <w:rsid w:val="00D8281C"/>
    <w:rsid w:val="00D828D8"/>
    <w:rsid w:val="00D82A73"/>
    <w:rsid w:val="00D82B1B"/>
    <w:rsid w:val="00D82B34"/>
    <w:rsid w:val="00D831C5"/>
    <w:rsid w:val="00D832E4"/>
    <w:rsid w:val="00D832F4"/>
    <w:rsid w:val="00D835A0"/>
    <w:rsid w:val="00D83690"/>
    <w:rsid w:val="00D83854"/>
    <w:rsid w:val="00D838C9"/>
    <w:rsid w:val="00D83940"/>
    <w:rsid w:val="00D83BAA"/>
    <w:rsid w:val="00D83E89"/>
    <w:rsid w:val="00D83EC3"/>
    <w:rsid w:val="00D84008"/>
    <w:rsid w:val="00D840D6"/>
    <w:rsid w:val="00D84210"/>
    <w:rsid w:val="00D84330"/>
    <w:rsid w:val="00D8443C"/>
    <w:rsid w:val="00D844DE"/>
    <w:rsid w:val="00D8459E"/>
    <w:rsid w:val="00D845E9"/>
    <w:rsid w:val="00D846B7"/>
    <w:rsid w:val="00D846CD"/>
    <w:rsid w:val="00D84815"/>
    <w:rsid w:val="00D8491F"/>
    <w:rsid w:val="00D84972"/>
    <w:rsid w:val="00D84A99"/>
    <w:rsid w:val="00D84ABE"/>
    <w:rsid w:val="00D84E91"/>
    <w:rsid w:val="00D84FA2"/>
    <w:rsid w:val="00D84FE8"/>
    <w:rsid w:val="00D85026"/>
    <w:rsid w:val="00D8509D"/>
    <w:rsid w:val="00D8584A"/>
    <w:rsid w:val="00D85A01"/>
    <w:rsid w:val="00D85A9E"/>
    <w:rsid w:val="00D85ABC"/>
    <w:rsid w:val="00D85B05"/>
    <w:rsid w:val="00D85B5A"/>
    <w:rsid w:val="00D85B71"/>
    <w:rsid w:val="00D85B78"/>
    <w:rsid w:val="00D85B82"/>
    <w:rsid w:val="00D85BF2"/>
    <w:rsid w:val="00D85D43"/>
    <w:rsid w:val="00D85E17"/>
    <w:rsid w:val="00D85F55"/>
    <w:rsid w:val="00D85FC9"/>
    <w:rsid w:val="00D8619D"/>
    <w:rsid w:val="00D86263"/>
    <w:rsid w:val="00D86275"/>
    <w:rsid w:val="00D863A4"/>
    <w:rsid w:val="00D8642F"/>
    <w:rsid w:val="00D86578"/>
    <w:rsid w:val="00D865E4"/>
    <w:rsid w:val="00D86626"/>
    <w:rsid w:val="00D86B53"/>
    <w:rsid w:val="00D86B84"/>
    <w:rsid w:val="00D86BC8"/>
    <w:rsid w:val="00D86C0A"/>
    <w:rsid w:val="00D86D22"/>
    <w:rsid w:val="00D86F1E"/>
    <w:rsid w:val="00D87143"/>
    <w:rsid w:val="00D8722D"/>
    <w:rsid w:val="00D87311"/>
    <w:rsid w:val="00D87343"/>
    <w:rsid w:val="00D87349"/>
    <w:rsid w:val="00D873F5"/>
    <w:rsid w:val="00D87500"/>
    <w:rsid w:val="00D87547"/>
    <w:rsid w:val="00D875AE"/>
    <w:rsid w:val="00D876AE"/>
    <w:rsid w:val="00D87B75"/>
    <w:rsid w:val="00D87B83"/>
    <w:rsid w:val="00D87C82"/>
    <w:rsid w:val="00D87D70"/>
    <w:rsid w:val="00D87E1B"/>
    <w:rsid w:val="00D9014E"/>
    <w:rsid w:val="00D9023A"/>
    <w:rsid w:val="00D9047E"/>
    <w:rsid w:val="00D904D7"/>
    <w:rsid w:val="00D9057E"/>
    <w:rsid w:val="00D905DC"/>
    <w:rsid w:val="00D906B3"/>
    <w:rsid w:val="00D907CB"/>
    <w:rsid w:val="00D90917"/>
    <w:rsid w:val="00D90A36"/>
    <w:rsid w:val="00D90B31"/>
    <w:rsid w:val="00D90C3F"/>
    <w:rsid w:val="00D90D39"/>
    <w:rsid w:val="00D90E42"/>
    <w:rsid w:val="00D91165"/>
    <w:rsid w:val="00D9127B"/>
    <w:rsid w:val="00D913CC"/>
    <w:rsid w:val="00D91479"/>
    <w:rsid w:val="00D914CB"/>
    <w:rsid w:val="00D915BA"/>
    <w:rsid w:val="00D915D1"/>
    <w:rsid w:val="00D915EF"/>
    <w:rsid w:val="00D91647"/>
    <w:rsid w:val="00D916E2"/>
    <w:rsid w:val="00D917DA"/>
    <w:rsid w:val="00D9194A"/>
    <w:rsid w:val="00D91AC5"/>
    <w:rsid w:val="00D91B2F"/>
    <w:rsid w:val="00D91BB7"/>
    <w:rsid w:val="00D91BCB"/>
    <w:rsid w:val="00D91C0C"/>
    <w:rsid w:val="00D91CE3"/>
    <w:rsid w:val="00D91E3E"/>
    <w:rsid w:val="00D91E69"/>
    <w:rsid w:val="00D91F9B"/>
    <w:rsid w:val="00D91FA2"/>
    <w:rsid w:val="00D9207D"/>
    <w:rsid w:val="00D92159"/>
    <w:rsid w:val="00D92266"/>
    <w:rsid w:val="00D92352"/>
    <w:rsid w:val="00D923EC"/>
    <w:rsid w:val="00D9246C"/>
    <w:rsid w:val="00D924FB"/>
    <w:rsid w:val="00D92528"/>
    <w:rsid w:val="00D926C5"/>
    <w:rsid w:val="00D927E8"/>
    <w:rsid w:val="00D92A63"/>
    <w:rsid w:val="00D92B36"/>
    <w:rsid w:val="00D92C1C"/>
    <w:rsid w:val="00D92DA7"/>
    <w:rsid w:val="00D92E1D"/>
    <w:rsid w:val="00D92F44"/>
    <w:rsid w:val="00D92F72"/>
    <w:rsid w:val="00D92F87"/>
    <w:rsid w:val="00D9354F"/>
    <w:rsid w:val="00D93785"/>
    <w:rsid w:val="00D938BE"/>
    <w:rsid w:val="00D93B1F"/>
    <w:rsid w:val="00D93B61"/>
    <w:rsid w:val="00D93CF1"/>
    <w:rsid w:val="00D93E6D"/>
    <w:rsid w:val="00D93E8C"/>
    <w:rsid w:val="00D93ED6"/>
    <w:rsid w:val="00D93F8C"/>
    <w:rsid w:val="00D93FC6"/>
    <w:rsid w:val="00D940F2"/>
    <w:rsid w:val="00D94177"/>
    <w:rsid w:val="00D9422C"/>
    <w:rsid w:val="00D9442B"/>
    <w:rsid w:val="00D9458B"/>
    <w:rsid w:val="00D94793"/>
    <w:rsid w:val="00D94A33"/>
    <w:rsid w:val="00D94BE8"/>
    <w:rsid w:val="00D94D35"/>
    <w:rsid w:val="00D94E95"/>
    <w:rsid w:val="00D94EE7"/>
    <w:rsid w:val="00D94FA4"/>
    <w:rsid w:val="00D9523C"/>
    <w:rsid w:val="00D95244"/>
    <w:rsid w:val="00D953DA"/>
    <w:rsid w:val="00D953E6"/>
    <w:rsid w:val="00D9553E"/>
    <w:rsid w:val="00D955E2"/>
    <w:rsid w:val="00D95603"/>
    <w:rsid w:val="00D956A1"/>
    <w:rsid w:val="00D95AB8"/>
    <w:rsid w:val="00D95C82"/>
    <w:rsid w:val="00D95C99"/>
    <w:rsid w:val="00D95D93"/>
    <w:rsid w:val="00D95EB9"/>
    <w:rsid w:val="00D95EDA"/>
    <w:rsid w:val="00D95F47"/>
    <w:rsid w:val="00D95FE5"/>
    <w:rsid w:val="00D96113"/>
    <w:rsid w:val="00D9619A"/>
    <w:rsid w:val="00D961B6"/>
    <w:rsid w:val="00D962AB"/>
    <w:rsid w:val="00D9632F"/>
    <w:rsid w:val="00D963A2"/>
    <w:rsid w:val="00D96580"/>
    <w:rsid w:val="00D96659"/>
    <w:rsid w:val="00D967AE"/>
    <w:rsid w:val="00D96886"/>
    <w:rsid w:val="00D9699E"/>
    <w:rsid w:val="00D96CF6"/>
    <w:rsid w:val="00D96D2F"/>
    <w:rsid w:val="00D96DFD"/>
    <w:rsid w:val="00D96E3C"/>
    <w:rsid w:val="00D97231"/>
    <w:rsid w:val="00D97244"/>
    <w:rsid w:val="00D972D2"/>
    <w:rsid w:val="00D973B4"/>
    <w:rsid w:val="00D976E7"/>
    <w:rsid w:val="00D97801"/>
    <w:rsid w:val="00D97818"/>
    <w:rsid w:val="00D97C4D"/>
    <w:rsid w:val="00D97D10"/>
    <w:rsid w:val="00D97E21"/>
    <w:rsid w:val="00D97F9B"/>
    <w:rsid w:val="00DA0017"/>
    <w:rsid w:val="00DA003F"/>
    <w:rsid w:val="00DA0169"/>
    <w:rsid w:val="00DA080A"/>
    <w:rsid w:val="00DA0E62"/>
    <w:rsid w:val="00DA0E78"/>
    <w:rsid w:val="00DA10FD"/>
    <w:rsid w:val="00DA12DE"/>
    <w:rsid w:val="00DA1490"/>
    <w:rsid w:val="00DA1640"/>
    <w:rsid w:val="00DA165A"/>
    <w:rsid w:val="00DA16E3"/>
    <w:rsid w:val="00DA17EB"/>
    <w:rsid w:val="00DA1897"/>
    <w:rsid w:val="00DA18D3"/>
    <w:rsid w:val="00DA19B5"/>
    <w:rsid w:val="00DA1A3A"/>
    <w:rsid w:val="00DA1B34"/>
    <w:rsid w:val="00DA1E1A"/>
    <w:rsid w:val="00DA1EE9"/>
    <w:rsid w:val="00DA1FFE"/>
    <w:rsid w:val="00DA2082"/>
    <w:rsid w:val="00DA2288"/>
    <w:rsid w:val="00DA229F"/>
    <w:rsid w:val="00DA22FF"/>
    <w:rsid w:val="00DA2374"/>
    <w:rsid w:val="00DA276B"/>
    <w:rsid w:val="00DA2873"/>
    <w:rsid w:val="00DA2888"/>
    <w:rsid w:val="00DA28B8"/>
    <w:rsid w:val="00DA2AD5"/>
    <w:rsid w:val="00DA2BC9"/>
    <w:rsid w:val="00DA2C45"/>
    <w:rsid w:val="00DA2E11"/>
    <w:rsid w:val="00DA3171"/>
    <w:rsid w:val="00DA31AC"/>
    <w:rsid w:val="00DA31DE"/>
    <w:rsid w:val="00DA3472"/>
    <w:rsid w:val="00DA34CC"/>
    <w:rsid w:val="00DA35C1"/>
    <w:rsid w:val="00DA36E6"/>
    <w:rsid w:val="00DA36EE"/>
    <w:rsid w:val="00DA38DB"/>
    <w:rsid w:val="00DA3A21"/>
    <w:rsid w:val="00DA3BA5"/>
    <w:rsid w:val="00DA3CDB"/>
    <w:rsid w:val="00DA3E0B"/>
    <w:rsid w:val="00DA4076"/>
    <w:rsid w:val="00DA421F"/>
    <w:rsid w:val="00DA43E1"/>
    <w:rsid w:val="00DA446B"/>
    <w:rsid w:val="00DA44A9"/>
    <w:rsid w:val="00DA4788"/>
    <w:rsid w:val="00DA4842"/>
    <w:rsid w:val="00DA4967"/>
    <w:rsid w:val="00DA4A31"/>
    <w:rsid w:val="00DA4A42"/>
    <w:rsid w:val="00DA4AD1"/>
    <w:rsid w:val="00DA4BC1"/>
    <w:rsid w:val="00DA5557"/>
    <w:rsid w:val="00DA5608"/>
    <w:rsid w:val="00DA5656"/>
    <w:rsid w:val="00DA59D7"/>
    <w:rsid w:val="00DA5A80"/>
    <w:rsid w:val="00DA5C65"/>
    <w:rsid w:val="00DA5D1D"/>
    <w:rsid w:val="00DA5E31"/>
    <w:rsid w:val="00DA5E71"/>
    <w:rsid w:val="00DA5FCC"/>
    <w:rsid w:val="00DA60D0"/>
    <w:rsid w:val="00DA6313"/>
    <w:rsid w:val="00DA639C"/>
    <w:rsid w:val="00DA6443"/>
    <w:rsid w:val="00DA65C7"/>
    <w:rsid w:val="00DA6863"/>
    <w:rsid w:val="00DA6C62"/>
    <w:rsid w:val="00DA6CD4"/>
    <w:rsid w:val="00DA6E45"/>
    <w:rsid w:val="00DA6ED2"/>
    <w:rsid w:val="00DA70AB"/>
    <w:rsid w:val="00DA7148"/>
    <w:rsid w:val="00DA7155"/>
    <w:rsid w:val="00DA72AD"/>
    <w:rsid w:val="00DA7337"/>
    <w:rsid w:val="00DA7353"/>
    <w:rsid w:val="00DA7368"/>
    <w:rsid w:val="00DA73F1"/>
    <w:rsid w:val="00DA74FA"/>
    <w:rsid w:val="00DA75C5"/>
    <w:rsid w:val="00DA775E"/>
    <w:rsid w:val="00DA7788"/>
    <w:rsid w:val="00DA78D0"/>
    <w:rsid w:val="00DA7A44"/>
    <w:rsid w:val="00DA7BAA"/>
    <w:rsid w:val="00DA7C0E"/>
    <w:rsid w:val="00DA7CC9"/>
    <w:rsid w:val="00DA7DD2"/>
    <w:rsid w:val="00DA7DD4"/>
    <w:rsid w:val="00DA7F6D"/>
    <w:rsid w:val="00DB0096"/>
    <w:rsid w:val="00DB024A"/>
    <w:rsid w:val="00DB0371"/>
    <w:rsid w:val="00DB03D3"/>
    <w:rsid w:val="00DB07EC"/>
    <w:rsid w:val="00DB0AD1"/>
    <w:rsid w:val="00DB0B59"/>
    <w:rsid w:val="00DB0B67"/>
    <w:rsid w:val="00DB0CBD"/>
    <w:rsid w:val="00DB0CDC"/>
    <w:rsid w:val="00DB0E76"/>
    <w:rsid w:val="00DB0F93"/>
    <w:rsid w:val="00DB1115"/>
    <w:rsid w:val="00DB1244"/>
    <w:rsid w:val="00DB1322"/>
    <w:rsid w:val="00DB1341"/>
    <w:rsid w:val="00DB142E"/>
    <w:rsid w:val="00DB15E5"/>
    <w:rsid w:val="00DB1ABE"/>
    <w:rsid w:val="00DB1B65"/>
    <w:rsid w:val="00DB1B83"/>
    <w:rsid w:val="00DB1BEF"/>
    <w:rsid w:val="00DB1C3C"/>
    <w:rsid w:val="00DB1DDB"/>
    <w:rsid w:val="00DB23C0"/>
    <w:rsid w:val="00DB24F0"/>
    <w:rsid w:val="00DB2522"/>
    <w:rsid w:val="00DB2540"/>
    <w:rsid w:val="00DB2577"/>
    <w:rsid w:val="00DB2888"/>
    <w:rsid w:val="00DB298F"/>
    <w:rsid w:val="00DB29BB"/>
    <w:rsid w:val="00DB29F3"/>
    <w:rsid w:val="00DB2C99"/>
    <w:rsid w:val="00DB2C9C"/>
    <w:rsid w:val="00DB2D03"/>
    <w:rsid w:val="00DB2ED0"/>
    <w:rsid w:val="00DB2FE8"/>
    <w:rsid w:val="00DB313C"/>
    <w:rsid w:val="00DB3346"/>
    <w:rsid w:val="00DB3357"/>
    <w:rsid w:val="00DB3467"/>
    <w:rsid w:val="00DB35B5"/>
    <w:rsid w:val="00DB371C"/>
    <w:rsid w:val="00DB3831"/>
    <w:rsid w:val="00DB3C66"/>
    <w:rsid w:val="00DB3C80"/>
    <w:rsid w:val="00DB3D67"/>
    <w:rsid w:val="00DB3F44"/>
    <w:rsid w:val="00DB403C"/>
    <w:rsid w:val="00DB40B7"/>
    <w:rsid w:val="00DB4132"/>
    <w:rsid w:val="00DB41D3"/>
    <w:rsid w:val="00DB432D"/>
    <w:rsid w:val="00DB437F"/>
    <w:rsid w:val="00DB444C"/>
    <w:rsid w:val="00DB44B4"/>
    <w:rsid w:val="00DB46EE"/>
    <w:rsid w:val="00DB47C3"/>
    <w:rsid w:val="00DB4828"/>
    <w:rsid w:val="00DB485E"/>
    <w:rsid w:val="00DB492D"/>
    <w:rsid w:val="00DB496E"/>
    <w:rsid w:val="00DB4A6C"/>
    <w:rsid w:val="00DB4A7A"/>
    <w:rsid w:val="00DB4C9E"/>
    <w:rsid w:val="00DB4F3F"/>
    <w:rsid w:val="00DB4FCB"/>
    <w:rsid w:val="00DB5021"/>
    <w:rsid w:val="00DB513D"/>
    <w:rsid w:val="00DB5151"/>
    <w:rsid w:val="00DB5223"/>
    <w:rsid w:val="00DB54A7"/>
    <w:rsid w:val="00DB54C4"/>
    <w:rsid w:val="00DB5599"/>
    <w:rsid w:val="00DB55B9"/>
    <w:rsid w:val="00DB57E0"/>
    <w:rsid w:val="00DB590D"/>
    <w:rsid w:val="00DB5A31"/>
    <w:rsid w:val="00DB5A72"/>
    <w:rsid w:val="00DB5B09"/>
    <w:rsid w:val="00DB5B24"/>
    <w:rsid w:val="00DB5BA5"/>
    <w:rsid w:val="00DB5BFD"/>
    <w:rsid w:val="00DB5C75"/>
    <w:rsid w:val="00DB5CA7"/>
    <w:rsid w:val="00DB5E77"/>
    <w:rsid w:val="00DB60F1"/>
    <w:rsid w:val="00DB61B8"/>
    <w:rsid w:val="00DB61E8"/>
    <w:rsid w:val="00DB6280"/>
    <w:rsid w:val="00DB6283"/>
    <w:rsid w:val="00DB6290"/>
    <w:rsid w:val="00DB63D6"/>
    <w:rsid w:val="00DB64B7"/>
    <w:rsid w:val="00DB6527"/>
    <w:rsid w:val="00DB65D6"/>
    <w:rsid w:val="00DB669D"/>
    <w:rsid w:val="00DB6711"/>
    <w:rsid w:val="00DB6804"/>
    <w:rsid w:val="00DB68B4"/>
    <w:rsid w:val="00DB695D"/>
    <w:rsid w:val="00DB69D9"/>
    <w:rsid w:val="00DB6AE2"/>
    <w:rsid w:val="00DB6AF6"/>
    <w:rsid w:val="00DB6C9E"/>
    <w:rsid w:val="00DB6D2D"/>
    <w:rsid w:val="00DB6D50"/>
    <w:rsid w:val="00DB6DF1"/>
    <w:rsid w:val="00DB6E4E"/>
    <w:rsid w:val="00DB7125"/>
    <w:rsid w:val="00DB717E"/>
    <w:rsid w:val="00DB74DF"/>
    <w:rsid w:val="00DB75BC"/>
    <w:rsid w:val="00DB75BE"/>
    <w:rsid w:val="00DB7675"/>
    <w:rsid w:val="00DB770A"/>
    <w:rsid w:val="00DB77A1"/>
    <w:rsid w:val="00DB77B9"/>
    <w:rsid w:val="00DB7861"/>
    <w:rsid w:val="00DB7871"/>
    <w:rsid w:val="00DB78DB"/>
    <w:rsid w:val="00DB7A16"/>
    <w:rsid w:val="00DB7B3D"/>
    <w:rsid w:val="00DB7C45"/>
    <w:rsid w:val="00DB7CD1"/>
    <w:rsid w:val="00DB7D15"/>
    <w:rsid w:val="00DB7D52"/>
    <w:rsid w:val="00DB7F97"/>
    <w:rsid w:val="00DC0193"/>
    <w:rsid w:val="00DC01F3"/>
    <w:rsid w:val="00DC02D8"/>
    <w:rsid w:val="00DC04F2"/>
    <w:rsid w:val="00DC05A8"/>
    <w:rsid w:val="00DC0811"/>
    <w:rsid w:val="00DC092F"/>
    <w:rsid w:val="00DC098D"/>
    <w:rsid w:val="00DC0A49"/>
    <w:rsid w:val="00DC0B74"/>
    <w:rsid w:val="00DC0EB5"/>
    <w:rsid w:val="00DC108F"/>
    <w:rsid w:val="00DC10F7"/>
    <w:rsid w:val="00DC11D1"/>
    <w:rsid w:val="00DC16A5"/>
    <w:rsid w:val="00DC16F8"/>
    <w:rsid w:val="00DC1756"/>
    <w:rsid w:val="00DC182A"/>
    <w:rsid w:val="00DC1A25"/>
    <w:rsid w:val="00DC1B77"/>
    <w:rsid w:val="00DC1D95"/>
    <w:rsid w:val="00DC1DB2"/>
    <w:rsid w:val="00DC2005"/>
    <w:rsid w:val="00DC2060"/>
    <w:rsid w:val="00DC2159"/>
    <w:rsid w:val="00DC2166"/>
    <w:rsid w:val="00DC21AE"/>
    <w:rsid w:val="00DC224C"/>
    <w:rsid w:val="00DC22AE"/>
    <w:rsid w:val="00DC2305"/>
    <w:rsid w:val="00DC2333"/>
    <w:rsid w:val="00DC2400"/>
    <w:rsid w:val="00DC240C"/>
    <w:rsid w:val="00DC2618"/>
    <w:rsid w:val="00DC2650"/>
    <w:rsid w:val="00DC2652"/>
    <w:rsid w:val="00DC27BC"/>
    <w:rsid w:val="00DC2905"/>
    <w:rsid w:val="00DC29FB"/>
    <w:rsid w:val="00DC2ACB"/>
    <w:rsid w:val="00DC2BF5"/>
    <w:rsid w:val="00DC2CA4"/>
    <w:rsid w:val="00DC2E8A"/>
    <w:rsid w:val="00DC2FE5"/>
    <w:rsid w:val="00DC305E"/>
    <w:rsid w:val="00DC3120"/>
    <w:rsid w:val="00DC3505"/>
    <w:rsid w:val="00DC3537"/>
    <w:rsid w:val="00DC3620"/>
    <w:rsid w:val="00DC374A"/>
    <w:rsid w:val="00DC37ED"/>
    <w:rsid w:val="00DC3835"/>
    <w:rsid w:val="00DC3A7F"/>
    <w:rsid w:val="00DC3AEE"/>
    <w:rsid w:val="00DC3AFD"/>
    <w:rsid w:val="00DC3BA8"/>
    <w:rsid w:val="00DC3BCB"/>
    <w:rsid w:val="00DC3BE3"/>
    <w:rsid w:val="00DC3BE4"/>
    <w:rsid w:val="00DC3CDB"/>
    <w:rsid w:val="00DC3E7E"/>
    <w:rsid w:val="00DC408B"/>
    <w:rsid w:val="00DC40E7"/>
    <w:rsid w:val="00DC4149"/>
    <w:rsid w:val="00DC418E"/>
    <w:rsid w:val="00DC41B5"/>
    <w:rsid w:val="00DC4288"/>
    <w:rsid w:val="00DC42A6"/>
    <w:rsid w:val="00DC4397"/>
    <w:rsid w:val="00DC43A3"/>
    <w:rsid w:val="00DC441C"/>
    <w:rsid w:val="00DC442B"/>
    <w:rsid w:val="00DC459E"/>
    <w:rsid w:val="00DC4891"/>
    <w:rsid w:val="00DC4A67"/>
    <w:rsid w:val="00DC4A75"/>
    <w:rsid w:val="00DC4B1E"/>
    <w:rsid w:val="00DC4C26"/>
    <w:rsid w:val="00DC4E57"/>
    <w:rsid w:val="00DC50EF"/>
    <w:rsid w:val="00DC5179"/>
    <w:rsid w:val="00DC51E2"/>
    <w:rsid w:val="00DC55B7"/>
    <w:rsid w:val="00DC55C0"/>
    <w:rsid w:val="00DC56ED"/>
    <w:rsid w:val="00DC589A"/>
    <w:rsid w:val="00DC5911"/>
    <w:rsid w:val="00DC59F5"/>
    <w:rsid w:val="00DC5B7A"/>
    <w:rsid w:val="00DC5D71"/>
    <w:rsid w:val="00DC5E07"/>
    <w:rsid w:val="00DC5E8A"/>
    <w:rsid w:val="00DC619A"/>
    <w:rsid w:val="00DC61AB"/>
    <w:rsid w:val="00DC64E8"/>
    <w:rsid w:val="00DC66AB"/>
    <w:rsid w:val="00DC66B9"/>
    <w:rsid w:val="00DC678C"/>
    <w:rsid w:val="00DC67F7"/>
    <w:rsid w:val="00DC6AE3"/>
    <w:rsid w:val="00DC6AF8"/>
    <w:rsid w:val="00DC6C9F"/>
    <w:rsid w:val="00DC6D14"/>
    <w:rsid w:val="00DC6D7C"/>
    <w:rsid w:val="00DC6D92"/>
    <w:rsid w:val="00DC6E96"/>
    <w:rsid w:val="00DC6F60"/>
    <w:rsid w:val="00DC6F9D"/>
    <w:rsid w:val="00DC6FEA"/>
    <w:rsid w:val="00DC70C0"/>
    <w:rsid w:val="00DC7186"/>
    <w:rsid w:val="00DC7408"/>
    <w:rsid w:val="00DC7502"/>
    <w:rsid w:val="00DC7515"/>
    <w:rsid w:val="00DC754F"/>
    <w:rsid w:val="00DC799C"/>
    <w:rsid w:val="00DC799E"/>
    <w:rsid w:val="00DC7BCF"/>
    <w:rsid w:val="00DC7C16"/>
    <w:rsid w:val="00DC7E0C"/>
    <w:rsid w:val="00DC7FCB"/>
    <w:rsid w:val="00DD0099"/>
    <w:rsid w:val="00DD0121"/>
    <w:rsid w:val="00DD01B7"/>
    <w:rsid w:val="00DD0389"/>
    <w:rsid w:val="00DD03C0"/>
    <w:rsid w:val="00DD03F7"/>
    <w:rsid w:val="00DD042B"/>
    <w:rsid w:val="00DD05B9"/>
    <w:rsid w:val="00DD066E"/>
    <w:rsid w:val="00DD0933"/>
    <w:rsid w:val="00DD0ACC"/>
    <w:rsid w:val="00DD0BB3"/>
    <w:rsid w:val="00DD0EAA"/>
    <w:rsid w:val="00DD0FBD"/>
    <w:rsid w:val="00DD0FE8"/>
    <w:rsid w:val="00DD10A1"/>
    <w:rsid w:val="00DD11CB"/>
    <w:rsid w:val="00DD1473"/>
    <w:rsid w:val="00DD1628"/>
    <w:rsid w:val="00DD1696"/>
    <w:rsid w:val="00DD1886"/>
    <w:rsid w:val="00DD19CD"/>
    <w:rsid w:val="00DD19E0"/>
    <w:rsid w:val="00DD1A87"/>
    <w:rsid w:val="00DD2338"/>
    <w:rsid w:val="00DD252C"/>
    <w:rsid w:val="00DD2782"/>
    <w:rsid w:val="00DD2B9D"/>
    <w:rsid w:val="00DD2CA2"/>
    <w:rsid w:val="00DD2D1A"/>
    <w:rsid w:val="00DD2D3F"/>
    <w:rsid w:val="00DD2DF3"/>
    <w:rsid w:val="00DD2E4C"/>
    <w:rsid w:val="00DD2E63"/>
    <w:rsid w:val="00DD2EA5"/>
    <w:rsid w:val="00DD313C"/>
    <w:rsid w:val="00DD3151"/>
    <w:rsid w:val="00DD324C"/>
    <w:rsid w:val="00DD32F1"/>
    <w:rsid w:val="00DD3451"/>
    <w:rsid w:val="00DD3452"/>
    <w:rsid w:val="00DD376F"/>
    <w:rsid w:val="00DD3B13"/>
    <w:rsid w:val="00DD3DCD"/>
    <w:rsid w:val="00DD3FC3"/>
    <w:rsid w:val="00DD3FDD"/>
    <w:rsid w:val="00DD407A"/>
    <w:rsid w:val="00DD4344"/>
    <w:rsid w:val="00DD43A2"/>
    <w:rsid w:val="00DD4400"/>
    <w:rsid w:val="00DD4635"/>
    <w:rsid w:val="00DD472B"/>
    <w:rsid w:val="00DD47C6"/>
    <w:rsid w:val="00DD4878"/>
    <w:rsid w:val="00DD48B3"/>
    <w:rsid w:val="00DD48C0"/>
    <w:rsid w:val="00DD48F8"/>
    <w:rsid w:val="00DD4BB1"/>
    <w:rsid w:val="00DD4BDA"/>
    <w:rsid w:val="00DD4DD4"/>
    <w:rsid w:val="00DD4EC3"/>
    <w:rsid w:val="00DD4F4D"/>
    <w:rsid w:val="00DD5198"/>
    <w:rsid w:val="00DD51B0"/>
    <w:rsid w:val="00DD5243"/>
    <w:rsid w:val="00DD5251"/>
    <w:rsid w:val="00DD552C"/>
    <w:rsid w:val="00DD560A"/>
    <w:rsid w:val="00DD589F"/>
    <w:rsid w:val="00DD58E7"/>
    <w:rsid w:val="00DD5990"/>
    <w:rsid w:val="00DD59C4"/>
    <w:rsid w:val="00DD5A2A"/>
    <w:rsid w:val="00DD5ADC"/>
    <w:rsid w:val="00DD5BA5"/>
    <w:rsid w:val="00DD5D0D"/>
    <w:rsid w:val="00DD5D45"/>
    <w:rsid w:val="00DD5E37"/>
    <w:rsid w:val="00DD5E61"/>
    <w:rsid w:val="00DD6063"/>
    <w:rsid w:val="00DD626E"/>
    <w:rsid w:val="00DD6337"/>
    <w:rsid w:val="00DD6376"/>
    <w:rsid w:val="00DD63EF"/>
    <w:rsid w:val="00DD65FD"/>
    <w:rsid w:val="00DD675E"/>
    <w:rsid w:val="00DD679D"/>
    <w:rsid w:val="00DD681C"/>
    <w:rsid w:val="00DD6836"/>
    <w:rsid w:val="00DD68CB"/>
    <w:rsid w:val="00DD6982"/>
    <w:rsid w:val="00DD69FB"/>
    <w:rsid w:val="00DD6A3D"/>
    <w:rsid w:val="00DD6B2F"/>
    <w:rsid w:val="00DD6BC7"/>
    <w:rsid w:val="00DD6C2E"/>
    <w:rsid w:val="00DD6DC8"/>
    <w:rsid w:val="00DD7221"/>
    <w:rsid w:val="00DD7426"/>
    <w:rsid w:val="00DD7532"/>
    <w:rsid w:val="00DD75A4"/>
    <w:rsid w:val="00DD75D0"/>
    <w:rsid w:val="00DD760F"/>
    <w:rsid w:val="00DD76E1"/>
    <w:rsid w:val="00DD7718"/>
    <w:rsid w:val="00DD77A9"/>
    <w:rsid w:val="00DD7881"/>
    <w:rsid w:val="00DD78E8"/>
    <w:rsid w:val="00DD7934"/>
    <w:rsid w:val="00DD7A59"/>
    <w:rsid w:val="00DD7D37"/>
    <w:rsid w:val="00DD7F82"/>
    <w:rsid w:val="00DE006E"/>
    <w:rsid w:val="00DE0084"/>
    <w:rsid w:val="00DE00CE"/>
    <w:rsid w:val="00DE0297"/>
    <w:rsid w:val="00DE032D"/>
    <w:rsid w:val="00DE0849"/>
    <w:rsid w:val="00DE09DC"/>
    <w:rsid w:val="00DE0B4A"/>
    <w:rsid w:val="00DE0D0C"/>
    <w:rsid w:val="00DE0E73"/>
    <w:rsid w:val="00DE0F36"/>
    <w:rsid w:val="00DE0F50"/>
    <w:rsid w:val="00DE11E8"/>
    <w:rsid w:val="00DE1251"/>
    <w:rsid w:val="00DE1291"/>
    <w:rsid w:val="00DE1382"/>
    <w:rsid w:val="00DE139C"/>
    <w:rsid w:val="00DE13A7"/>
    <w:rsid w:val="00DE14CC"/>
    <w:rsid w:val="00DE1548"/>
    <w:rsid w:val="00DE15AC"/>
    <w:rsid w:val="00DE1790"/>
    <w:rsid w:val="00DE1806"/>
    <w:rsid w:val="00DE184F"/>
    <w:rsid w:val="00DE195A"/>
    <w:rsid w:val="00DE1972"/>
    <w:rsid w:val="00DE19B2"/>
    <w:rsid w:val="00DE19DF"/>
    <w:rsid w:val="00DE1B9B"/>
    <w:rsid w:val="00DE1E30"/>
    <w:rsid w:val="00DE200D"/>
    <w:rsid w:val="00DE201B"/>
    <w:rsid w:val="00DE226F"/>
    <w:rsid w:val="00DE2332"/>
    <w:rsid w:val="00DE2352"/>
    <w:rsid w:val="00DE23E6"/>
    <w:rsid w:val="00DE242B"/>
    <w:rsid w:val="00DE247E"/>
    <w:rsid w:val="00DE24A0"/>
    <w:rsid w:val="00DE2546"/>
    <w:rsid w:val="00DE256A"/>
    <w:rsid w:val="00DE2654"/>
    <w:rsid w:val="00DE271F"/>
    <w:rsid w:val="00DE28B6"/>
    <w:rsid w:val="00DE2B31"/>
    <w:rsid w:val="00DE2BC3"/>
    <w:rsid w:val="00DE2C29"/>
    <w:rsid w:val="00DE2DD3"/>
    <w:rsid w:val="00DE3041"/>
    <w:rsid w:val="00DE34A3"/>
    <w:rsid w:val="00DE3500"/>
    <w:rsid w:val="00DE365B"/>
    <w:rsid w:val="00DE3665"/>
    <w:rsid w:val="00DE373E"/>
    <w:rsid w:val="00DE3869"/>
    <w:rsid w:val="00DE3A4E"/>
    <w:rsid w:val="00DE3B4A"/>
    <w:rsid w:val="00DE3BD6"/>
    <w:rsid w:val="00DE3C82"/>
    <w:rsid w:val="00DE3D51"/>
    <w:rsid w:val="00DE3D77"/>
    <w:rsid w:val="00DE3F15"/>
    <w:rsid w:val="00DE432B"/>
    <w:rsid w:val="00DE4467"/>
    <w:rsid w:val="00DE44D2"/>
    <w:rsid w:val="00DE49ED"/>
    <w:rsid w:val="00DE4ADA"/>
    <w:rsid w:val="00DE4D9A"/>
    <w:rsid w:val="00DE4E63"/>
    <w:rsid w:val="00DE5013"/>
    <w:rsid w:val="00DE5107"/>
    <w:rsid w:val="00DE51C6"/>
    <w:rsid w:val="00DE532C"/>
    <w:rsid w:val="00DE5406"/>
    <w:rsid w:val="00DE5548"/>
    <w:rsid w:val="00DE597F"/>
    <w:rsid w:val="00DE5A74"/>
    <w:rsid w:val="00DE5B11"/>
    <w:rsid w:val="00DE5C1E"/>
    <w:rsid w:val="00DE5C52"/>
    <w:rsid w:val="00DE5E72"/>
    <w:rsid w:val="00DE6102"/>
    <w:rsid w:val="00DE61C2"/>
    <w:rsid w:val="00DE6233"/>
    <w:rsid w:val="00DE62A1"/>
    <w:rsid w:val="00DE632F"/>
    <w:rsid w:val="00DE65D3"/>
    <w:rsid w:val="00DE65E6"/>
    <w:rsid w:val="00DE6717"/>
    <w:rsid w:val="00DE6EA5"/>
    <w:rsid w:val="00DE6FCD"/>
    <w:rsid w:val="00DE72BE"/>
    <w:rsid w:val="00DE731B"/>
    <w:rsid w:val="00DE74EE"/>
    <w:rsid w:val="00DE7793"/>
    <w:rsid w:val="00DE7AB4"/>
    <w:rsid w:val="00DE7C89"/>
    <w:rsid w:val="00DE7D29"/>
    <w:rsid w:val="00DE7D34"/>
    <w:rsid w:val="00DE7D82"/>
    <w:rsid w:val="00DE7E19"/>
    <w:rsid w:val="00DE7EDD"/>
    <w:rsid w:val="00DF01F2"/>
    <w:rsid w:val="00DF03FC"/>
    <w:rsid w:val="00DF0491"/>
    <w:rsid w:val="00DF04F1"/>
    <w:rsid w:val="00DF058A"/>
    <w:rsid w:val="00DF062A"/>
    <w:rsid w:val="00DF0681"/>
    <w:rsid w:val="00DF0786"/>
    <w:rsid w:val="00DF09CF"/>
    <w:rsid w:val="00DF0A2A"/>
    <w:rsid w:val="00DF0A65"/>
    <w:rsid w:val="00DF0ABE"/>
    <w:rsid w:val="00DF0AF3"/>
    <w:rsid w:val="00DF0B52"/>
    <w:rsid w:val="00DF0BAF"/>
    <w:rsid w:val="00DF0CFD"/>
    <w:rsid w:val="00DF0D2C"/>
    <w:rsid w:val="00DF0E5E"/>
    <w:rsid w:val="00DF0EED"/>
    <w:rsid w:val="00DF10C7"/>
    <w:rsid w:val="00DF119D"/>
    <w:rsid w:val="00DF149D"/>
    <w:rsid w:val="00DF14F7"/>
    <w:rsid w:val="00DF1517"/>
    <w:rsid w:val="00DF15B7"/>
    <w:rsid w:val="00DF15BF"/>
    <w:rsid w:val="00DF178E"/>
    <w:rsid w:val="00DF18E6"/>
    <w:rsid w:val="00DF192E"/>
    <w:rsid w:val="00DF1A3B"/>
    <w:rsid w:val="00DF1B3E"/>
    <w:rsid w:val="00DF1C98"/>
    <w:rsid w:val="00DF1E87"/>
    <w:rsid w:val="00DF1EB5"/>
    <w:rsid w:val="00DF1F07"/>
    <w:rsid w:val="00DF1FA9"/>
    <w:rsid w:val="00DF216C"/>
    <w:rsid w:val="00DF225D"/>
    <w:rsid w:val="00DF2263"/>
    <w:rsid w:val="00DF22A3"/>
    <w:rsid w:val="00DF22BC"/>
    <w:rsid w:val="00DF23FF"/>
    <w:rsid w:val="00DF24A6"/>
    <w:rsid w:val="00DF27A8"/>
    <w:rsid w:val="00DF282A"/>
    <w:rsid w:val="00DF28E2"/>
    <w:rsid w:val="00DF2A06"/>
    <w:rsid w:val="00DF2A0D"/>
    <w:rsid w:val="00DF2A5C"/>
    <w:rsid w:val="00DF2FAF"/>
    <w:rsid w:val="00DF2FD2"/>
    <w:rsid w:val="00DF3262"/>
    <w:rsid w:val="00DF32D7"/>
    <w:rsid w:val="00DF3316"/>
    <w:rsid w:val="00DF34DC"/>
    <w:rsid w:val="00DF3667"/>
    <w:rsid w:val="00DF3751"/>
    <w:rsid w:val="00DF376E"/>
    <w:rsid w:val="00DF3806"/>
    <w:rsid w:val="00DF385A"/>
    <w:rsid w:val="00DF391D"/>
    <w:rsid w:val="00DF397F"/>
    <w:rsid w:val="00DF39B2"/>
    <w:rsid w:val="00DF3A28"/>
    <w:rsid w:val="00DF3A64"/>
    <w:rsid w:val="00DF3C24"/>
    <w:rsid w:val="00DF3CD7"/>
    <w:rsid w:val="00DF4064"/>
    <w:rsid w:val="00DF4145"/>
    <w:rsid w:val="00DF43B1"/>
    <w:rsid w:val="00DF43F2"/>
    <w:rsid w:val="00DF4458"/>
    <w:rsid w:val="00DF446C"/>
    <w:rsid w:val="00DF4561"/>
    <w:rsid w:val="00DF45C7"/>
    <w:rsid w:val="00DF463F"/>
    <w:rsid w:val="00DF4705"/>
    <w:rsid w:val="00DF476E"/>
    <w:rsid w:val="00DF47BF"/>
    <w:rsid w:val="00DF48D0"/>
    <w:rsid w:val="00DF49B9"/>
    <w:rsid w:val="00DF4A34"/>
    <w:rsid w:val="00DF4DBA"/>
    <w:rsid w:val="00DF4F2E"/>
    <w:rsid w:val="00DF502F"/>
    <w:rsid w:val="00DF5178"/>
    <w:rsid w:val="00DF5216"/>
    <w:rsid w:val="00DF5238"/>
    <w:rsid w:val="00DF52FA"/>
    <w:rsid w:val="00DF5317"/>
    <w:rsid w:val="00DF5325"/>
    <w:rsid w:val="00DF5436"/>
    <w:rsid w:val="00DF545A"/>
    <w:rsid w:val="00DF5667"/>
    <w:rsid w:val="00DF5691"/>
    <w:rsid w:val="00DF5A74"/>
    <w:rsid w:val="00DF5B7E"/>
    <w:rsid w:val="00DF5B8F"/>
    <w:rsid w:val="00DF5C42"/>
    <w:rsid w:val="00DF5C71"/>
    <w:rsid w:val="00DF5E4C"/>
    <w:rsid w:val="00DF5EAD"/>
    <w:rsid w:val="00DF6014"/>
    <w:rsid w:val="00DF6090"/>
    <w:rsid w:val="00DF60C1"/>
    <w:rsid w:val="00DF625A"/>
    <w:rsid w:val="00DF62E6"/>
    <w:rsid w:val="00DF6397"/>
    <w:rsid w:val="00DF64DA"/>
    <w:rsid w:val="00DF6688"/>
    <w:rsid w:val="00DF66EA"/>
    <w:rsid w:val="00DF66F6"/>
    <w:rsid w:val="00DF6748"/>
    <w:rsid w:val="00DF6882"/>
    <w:rsid w:val="00DF6A62"/>
    <w:rsid w:val="00DF6AAA"/>
    <w:rsid w:val="00DF6BFB"/>
    <w:rsid w:val="00DF6D3B"/>
    <w:rsid w:val="00DF6F00"/>
    <w:rsid w:val="00DF6F84"/>
    <w:rsid w:val="00DF711C"/>
    <w:rsid w:val="00DF7124"/>
    <w:rsid w:val="00DF71A7"/>
    <w:rsid w:val="00DF71B3"/>
    <w:rsid w:val="00DF76F4"/>
    <w:rsid w:val="00DF7A18"/>
    <w:rsid w:val="00DF7E1A"/>
    <w:rsid w:val="00DF7ECC"/>
    <w:rsid w:val="00DF7F79"/>
    <w:rsid w:val="00DF7FAC"/>
    <w:rsid w:val="00DF7FF0"/>
    <w:rsid w:val="00E000BF"/>
    <w:rsid w:val="00E00113"/>
    <w:rsid w:val="00E00128"/>
    <w:rsid w:val="00E001C8"/>
    <w:rsid w:val="00E00262"/>
    <w:rsid w:val="00E00364"/>
    <w:rsid w:val="00E004BF"/>
    <w:rsid w:val="00E00582"/>
    <w:rsid w:val="00E00769"/>
    <w:rsid w:val="00E00808"/>
    <w:rsid w:val="00E008E4"/>
    <w:rsid w:val="00E00990"/>
    <w:rsid w:val="00E00AFF"/>
    <w:rsid w:val="00E0126D"/>
    <w:rsid w:val="00E012D6"/>
    <w:rsid w:val="00E012FB"/>
    <w:rsid w:val="00E015C9"/>
    <w:rsid w:val="00E01767"/>
    <w:rsid w:val="00E01790"/>
    <w:rsid w:val="00E0188E"/>
    <w:rsid w:val="00E0199B"/>
    <w:rsid w:val="00E019DC"/>
    <w:rsid w:val="00E01A2C"/>
    <w:rsid w:val="00E01A4A"/>
    <w:rsid w:val="00E01B15"/>
    <w:rsid w:val="00E01CB9"/>
    <w:rsid w:val="00E01DFD"/>
    <w:rsid w:val="00E01E4C"/>
    <w:rsid w:val="00E0220A"/>
    <w:rsid w:val="00E02405"/>
    <w:rsid w:val="00E025BC"/>
    <w:rsid w:val="00E026C6"/>
    <w:rsid w:val="00E0296D"/>
    <w:rsid w:val="00E02A4B"/>
    <w:rsid w:val="00E02A59"/>
    <w:rsid w:val="00E02A61"/>
    <w:rsid w:val="00E02B9E"/>
    <w:rsid w:val="00E02D96"/>
    <w:rsid w:val="00E02EA3"/>
    <w:rsid w:val="00E02F25"/>
    <w:rsid w:val="00E03008"/>
    <w:rsid w:val="00E033B6"/>
    <w:rsid w:val="00E03477"/>
    <w:rsid w:val="00E03551"/>
    <w:rsid w:val="00E03CD0"/>
    <w:rsid w:val="00E03D3B"/>
    <w:rsid w:val="00E03E03"/>
    <w:rsid w:val="00E03EBB"/>
    <w:rsid w:val="00E03EFE"/>
    <w:rsid w:val="00E03F8B"/>
    <w:rsid w:val="00E04049"/>
    <w:rsid w:val="00E042CF"/>
    <w:rsid w:val="00E04380"/>
    <w:rsid w:val="00E04566"/>
    <w:rsid w:val="00E04638"/>
    <w:rsid w:val="00E047B1"/>
    <w:rsid w:val="00E047E0"/>
    <w:rsid w:val="00E048D1"/>
    <w:rsid w:val="00E04B2D"/>
    <w:rsid w:val="00E04D36"/>
    <w:rsid w:val="00E04EE3"/>
    <w:rsid w:val="00E050C1"/>
    <w:rsid w:val="00E0510C"/>
    <w:rsid w:val="00E0546E"/>
    <w:rsid w:val="00E0554F"/>
    <w:rsid w:val="00E056A9"/>
    <w:rsid w:val="00E057D3"/>
    <w:rsid w:val="00E058FD"/>
    <w:rsid w:val="00E05946"/>
    <w:rsid w:val="00E05A3E"/>
    <w:rsid w:val="00E05AA0"/>
    <w:rsid w:val="00E05BBE"/>
    <w:rsid w:val="00E05C96"/>
    <w:rsid w:val="00E06008"/>
    <w:rsid w:val="00E06316"/>
    <w:rsid w:val="00E06336"/>
    <w:rsid w:val="00E0650F"/>
    <w:rsid w:val="00E0670A"/>
    <w:rsid w:val="00E067FD"/>
    <w:rsid w:val="00E0685D"/>
    <w:rsid w:val="00E0687D"/>
    <w:rsid w:val="00E068B5"/>
    <w:rsid w:val="00E068FC"/>
    <w:rsid w:val="00E06963"/>
    <w:rsid w:val="00E06B1B"/>
    <w:rsid w:val="00E06C48"/>
    <w:rsid w:val="00E06D1B"/>
    <w:rsid w:val="00E06D8B"/>
    <w:rsid w:val="00E06DA4"/>
    <w:rsid w:val="00E06DFB"/>
    <w:rsid w:val="00E06E8E"/>
    <w:rsid w:val="00E07003"/>
    <w:rsid w:val="00E0709A"/>
    <w:rsid w:val="00E0732C"/>
    <w:rsid w:val="00E074A3"/>
    <w:rsid w:val="00E078BC"/>
    <w:rsid w:val="00E07AEB"/>
    <w:rsid w:val="00E07CC0"/>
    <w:rsid w:val="00E07D26"/>
    <w:rsid w:val="00E07D96"/>
    <w:rsid w:val="00E07F1B"/>
    <w:rsid w:val="00E10123"/>
    <w:rsid w:val="00E1014F"/>
    <w:rsid w:val="00E10170"/>
    <w:rsid w:val="00E10322"/>
    <w:rsid w:val="00E10332"/>
    <w:rsid w:val="00E103C3"/>
    <w:rsid w:val="00E10423"/>
    <w:rsid w:val="00E1045A"/>
    <w:rsid w:val="00E104ED"/>
    <w:rsid w:val="00E105BC"/>
    <w:rsid w:val="00E107B8"/>
    <w:rsid w:val="00E108A4"/>
    <w:rsid w:val="00E108CC"/>
    <w:rsid w:val="00E10A01"/>
    <w:rsid w:val="00E10B06"/>
    <w:rsid w:val="00E10C9F"/>
    <w:rsid w:val="00E10CF2"/>
    <w:rsid w:val="00E10D32"/>
    <w:rsid w:val="00E1101D"/>
    <w:rsid w:val="00E11393"/>
    <w:rsid w:val="00E113BA"/>
    <w:rsid w:val="00E11430"/>
    <w:rsid w:val="00E115DB"/>
    <w:rsid w:val="00E1166F"/>
    <w:rsid w:val="00E11902"/>
    <w:rsid w:val="00E1196E"/>
    <w:rsid w:val="00E1197D"/>
    <w:rsid w:val="00E119D4"/>
    <w:rsid w:val="00E119F0"/>
    <w:rsid w:val="00E11AF6"/>
    <w:rsid w:val="00E11B0B"/>
    <w:rsid w:val="00E11BB8"/>
    <w:rsid w:val="00E11D8A"/>
    <w:rsid w:val="00E11EEB"/>
    <w:rsid w:val="00E122CB"/>
    <w:rsid w:val="00E122CC"/>
    <w:rsid w:val="00E12436"/>
    <w:rsid w:val="00E12629"/>
    <w:rsid w:val="00E126C0"/>
    <w:rsid w:val="00E1277F"/>
    <w:rsid w:val="00E12916"/>
    <w:rsid w:val="00E12964"/>
    <w:rsid w:val="00E12AF6"/>
    <w:rsid w:val="00E13066"/>
    <w:rsid w:val="00E1308D"/>
    <w:rsid w:val="00E1327E"/>
    <w:rsid w:val="00E132F7"/>
    <w:rsid w:val="00E1342D"/>
    <w:rsid w:val="00E13471"/>
    <w:rsid w:val="00E134EE"/>
    <w:rsid w:val="00E13556"/>
    <w:rsid w:val="00E1381A"/>
    <w:rsid w:val="00E13851"/>
    <w:rsid w:val="00E1397D"/>
    <w:rsid w:val="00E139EC"/>
    <w:rsid w:val="00E13ACF"/>
    <w:rsid w:val="00E13B07"/>
    <w:rsid w:val="00E13B22"/>
    <w:rsid w:val="00E13B4A"/>
    <w:rsid w:val="00E13C45"/>
    <w:rsid w:val="00E13CE7"/>
    <w:rsid w:val="00E13D1A"/>
    <w:rsid w:val="00E13DF6"/>
    <w:rsid w:val="00E13E5E"/>
    <w:rsid w:val="00E13FB8"/>
    <w:rsid w:val="00E14089"/>
    <w:rsid w:val="00E140B8"/>
    <w:rsid w:val="00E143EE"/>
    <w:rsid w:val="00E144C7"/>
    <w:rsid w:val="00E144E0"/>
    <w:rsid w:val="00E145D5"/>
    <w:rsid w:val="00E148FE"/>
    <w:rsid w:val="00E14B1E"/>
    <w:rsid w:val="00E14CDF"/>
    <w:rsid w:val="00E14E73"/>
    <w:rsid w:val="00E14FBB"/>
    <w:rsid w:val="00E150DF"/>
    <w:rsid w:val="00E15122"/>
    <w:rsid w:val="00E1518B"/>
    <w:rsid w:val="00E1526F"/>
    <w:rsid w:val="00E15504"/>
    <w:rsid w:val="00E1587B"/>
    <w:rsid w:val="00E158AC"/>
    <w:rsid w:val="00E15940"/>
    <w:rsid w:val="00E1594D"/>
    <w:rsid w:val="00E15A18"/>
    <w:rsid w:val="00E15ADF"/>
    <w:rsid w:val="00E15BDB"/>
    <w:rsid w:val="00E15CB1"/>
    <w:rsid w:val="00E15F38"/>
    <w:rsid w:val="00E15FC6"/>
    <w:rsid w:val="00E16038"/>
    <w:rsid w:val="00E1605E"/>
    <w:rsid w:val="00E1609B"/>
    <w:rsid w:val="00E16264"/>
    <w:rsid w:val="00E1630C"/>
    <w:rsid w:val="00E1641B"/>
    <w:rsid w:val="00E1650A"/>
    <w:rsid w:val="00E16542"/>
    <w:rsid w:val="00E16599"/>
    <w:rsid w:val="00E165E5"/>
    <w:rsid w:val="00E167E1"/>
    <w:rsid w:val="00E16864"/>
    <w:rsid w:val="00E16968"/>
    <w:rsid w:val="00E16C37"/>
    <w:rsid w:val="00E16C90"/>
    <w:rsid w:val="00E16D3D"/>
    <w:rsid w:val="00E16E35"/>
    <w:rsid w:val="00E16E6C"/>
    <w:rsid w:val="00E16EFE"/>
    <w:rsid w:val="00E16FB5"/>
    <w:rsid w:val="00E17110"/>
    <w:rsid w:val="00E17201"/>
    <w:rsid w:val="00E1725A"/>
    <w:rsid w:val="00E1728F"/>
    <w:rsid w:val="00E172BF"/>
    <w:rsid w:val="00E172FF"/>
    <w:rsid w:val="00E173FA"/>
    <w:rsid w:val="00E174AC"/>
    <w:rsid w:val="00E174B1"/>
    <w:rsid w:val="00E175D9"/>
    <w:rsid w:val="00E17604"/>
    <w:rsid w:val="00E17805"/>
    <w:rsid w:val="00E17A7D"/>
    <w:rsid w:val="00E17C10"/>
    <w:rsid w:val="00E17D55"/>
    <w:rsid w:val="00E17E3B"/>
    <w:rsid w:val="00E17FA5"/>
    <w:rsid w:val="00E20023"/>
    <w:rsid w:val="00E20044"/>
    <w:rsid w:val="00E20201"/>
    <w:rsid w:val="00E20407"/>
    <w:rsid w:val="00E20491"/>
    <w:rsid w:val="00E20554"/>
    <w:rsid w:val="00E206A8"/>
    <w:rsid w:val="00E207A0"/>
    <w:rsid w:val="00E207F5"/>
    <w:rsid w:val="00E208A2"/>
    <w:rsid w:val="00E208D3"/>
    <w:rsid w:val="00E20A48"/>
    <w:rsid w:val="00E20C4C"/>
    <w:rsid w:val="00E20EBA"/>
    <w:rsid w:val="00E21061"/>
    <w:rsid w:val="00E21121"/>
    <w:rsid w:val="00E21313"/>
    <w:rsid w:val="00E213A2"/>
    <w:rsid w:val="00E213FD"/>
    <w:rsid w:val="00E214EE"/>
    <w:rsid w:val="00E2160B"/>
    <w:rsid w:val="00E2169F"/>
    <w:rsid w:val="00E21813"/>
    <w:rsid w:val="00E21980"/>
    <w:rsid w:val="00E21B1E"/>
    <w:rsid w:val="00E21B59"/>
    <w:rsid w:val="00E21B72"/>
    <w:rsid w:val="00E21B75"/>
    <w:rsid w:val="00E21C21"/>
    <w:rsid w:val="00E21C4C"/>
    <w:rsid w:val="00E21C54"/>
    <w:rsid w:val="00E21D9D"/>
    <w:rsid w:val="00E21DA6"/>
    <w:rsid w:val="00E21E32"/>
    <w:rsid w:val="00E21F2D"/>
    <w:rsid w:val="00E21F71"/>
    <w:rsid w:val="00E2213A"/>
    <w:rsid w:val="00E22357"/>
    <w:rsid w:val="00E22545"/>
    <w:rsid w:val="00E225F6"/>
    <w:rsid w:val="00E2265B"/>
    <w:rsid w:val="00E2273C"/>
    <w:rsid w:val="00E22890"/>
    <w:rsid w:val="00E2296F"/>
    <w:rsid w:val="00E229FD"/>
    <w:rsid w:val="00E22AFE"/>
    <w:rsid w:val="00E22BAE"/>
    <w:rsid w:val="00E22BC2"/>
    <w:rsid w:val="00E22CFC"/>
    <w:rsid w:val="00E22D07"/>
    <w:rsid w:val="00E231F4"/>
    <w:rsid w:val="00E23236"/>
    <w:rsid w:val="00E2324A"/>
    <w:rsid w:val="00E23345"/>
    <w:rsid w:val="00E2359C"/>
    <w:rsid w:val="00E236F8"/>
    <w:rsid w:val="00E237E9"/>
    <w:rsid w:val="00E238C3"/>
    <w:rsid w:val="00E239EF"/>
    <w:rsid w:val="00E23CB9"/>
    <w:rsid w:val="00E23D03"/>
    <w:rsid w:val="00E23DBE"/>
    <w:rsid w:val="00E23EE9"/>
    <w:rsid w:val="00E23EFE"/>
    <w:rsid w:val="00E23F56"/>
    <w:rsid w:val="00E2444D"/>
    <w:rsid w:val="00E2462C"/>
    <w:rsid w:val="00E24722"/>
    <w:rsid w:val="00E248C5"/>
    <w:rsid w:val="00E248F6"/>
    <w:rsid w:val="00E24957"/>
    <w:rsid w:val="00E24AB4"/>
    <w:rsid w:val="00E24B49"/>
    <w:rsid w:val="00E24BC9"/>
    <w:rsid w:val="00E24C13"/>
    <w:rsid w:val="00E24D32"/>
    <w:rsid w:val="00E24EC4"/>
    <w:rsid w:val="00E24F69"/>
    <w:rsid w:val="00E25047"/>
    <w:rsid w:val="00E25114"/>
    <w:rsid w:val="00E251CB"/>
    <w:rsid w:val="00E252DC"/>
    <w:rsid w:val="00E252E7"/>
    <w:rsid w:val="00E25474"/>
    <w:rsid w:val="00E254AB"/>
    <w:rsid w:val="00E25507"/>
    <w:rsid w:val="00E2584A"/>
    <w:rsid w:val="00E25A11"/>
    <w:rsid w:val="00E25E84"/>
    <w:rsid w:val="00E25F1C"/>
    <w:rsid w:val="00E25FF8"/>
    <w:rsid w:val="00E26080"/>
    <w:rsid w:val="00E26309"/>
    <w:rsid w:val="00E264DD"/>
    <w:rsid w:val="00E26570"/>
    <w:rsid w:val="00E2658E"/>
    <w:rsid w:val="00E26721"/>
    <w:rsid w:val="00E26771"/>
    <w:rsid w:val="00E268E1"/>
    <w:rsid w:val="00E26912"/>
    <w:rsid w:val="00E26B07"/>
    <w:rsid w:val="00E26F69"/>
    <w:rsid w:val="00E26F71"/>
    <w:rsid w:val="00E26FFB"/>
    <w:rsid w:val="00E2713F"/>
    <w:rsid w:val="00E271E1"/>
    <w:rsid w:val="00E273B9"/>
    <w:rsid w:val="00E274A4"/>
    <w:rsid w:val="00E27596"/>
    <w:rsid w:val="00E275C3"/>
    <w:rsid w:val="00E275DA"/>
    <w:rsid w:val="00E275F8"/>
    <w:rsid w:val="00E2762F"/>
    <w:rsid w:val="00E277CB"/>
    <w:rsid w:val="00E2780A"/>
    <w:rsid w:val="00E27822"/>
    <w:rsid w:val="00E2790B"/>
    <w:rsid w:val="00E27A4F"/>
    <w:rsid w:val="00E27B5F"/>
    <w:rsid w:val="00E27C11"/>
    <w:rsid w:val="00E27C5D"/>
    <w:rsid w:val="00E30074"/>
    <w:rsid w:val="00E30096"/>
    <w:rsid w:val="00E300C3"/>
    <w:rsid w:val="00E3018D"/>
    <w:rsid w:val="00E301C8"/>
    <w:rsid w:val="00E30234"/>
    <w:rsid w:val="00E3036A"/>
    <w:rsid w:val="00E30376"/>
    <w:rsid w:val="00E305A8"/>
    <w:rsid w:val="00E3060E"/>
    <w:rsid w:val="00E3066F"/>
    <w:rsid w:val="00E30670"/>
    <w:rsid w:val="00E307C7"/>
    <w:rsid w:val="00E30807"/>
    <w:rsid w:val="00E30954"/>
    <w:rsid w:val="00E309DE"/>
    <w:rsid w:val="00E309F3"/>
    <w:rsid w:val="00E30A7C"/>
    <w:rsid w:val="00E30B1E"/>
    <w:rsid w:val="00E30D29"/>
    <w:rsid w:val="00E30E01"/>
    <w:rsid w:val="00E30EDF"/>
    <w:rsid w:val="00E30F35"/>
    <w:rsid w:val="00E3136B"/>
    <w:rsid w:val="00E313ED"/>
    <w:rsid w:val="00E31428"/>
    <w:rsid w:val="00E31448"/>
    <w:rsid w:val="00E314F3"/>
    <w:rsid w:val="00E31751"/>
    <w:rsid w:val="00E317D4"/>
    <w:rsid w:val="00E318EE"/>
    <w:rsid w:val="00E31BA2"/>
    <w:rsid w:val="00E31C00"/>
    <w:rsid w:val="00E31C2D"/>
    <w:rsid w:val="00E31E4B"/>
    <w:rsid w:val="00E32084"/>
    <w:rsid w:val="00E320E1"/>
    <w:rsid w:val="00E3210D"/>
    <w:rsid w:val="00E32210"/>
    <w:rsid w:val="00E32251"/>
    <w:rsid w:val="00E32253"/>
    <w:rsid w:val="00E322AA"/>
    <w:rsid w:val="00E32398"/>
    <w:rsid w:val="00E3250F"/>
    <w:rsid w:val="00E32755"/>
    <w:rsid w:val="00E327A9"/>
    <w:rsid w:val="00E327AB"/>
    <w:rsid w:val="00E327E5"/>
    <w:rsid w:val="00E32830"/>
    <w:rsid w:val="00E32BD1"/>
    <w:rsid w:val="00E32BD4"/>
    <w:rsid w:val="00E32D0F"/>
    <w:rsid w:val="00E32D9A"/>
    <w:rsid w:val="00E32ED4"/>
    <w:rsid w:val="00E32F8F"/>
    <w:rsid w:val="00E334A4"/>
    <w:rsid w:val="00E33597"/>
    <w:rsid w:val="00E335BC"/>
    <w:rsid w:val="00E3362E"/>
    <w:rsid w:val="00E3366C"/>
    <w:rsid w:val="00E337BA"/>
    <w:rsid w:val="00E339D3"/>
    <w:rsid w:val="00E33A8F"/>
    <w:rsid w:val="00E33C62"/>
    <w:rsid w:val="00E33E94"/>
    <w:rsid w:val="00E33EDE"/>
    <w:rsid w:val="00E33EEA"/>
    <w:rsid w:val="00E33EFF"/>
    <w:rsid w:val="00E33F4B"/>
    <w:rsid w:val="00E33FBF"/>
    <w:rsid w:val="00E34042"/>
    <w:rsid w:val="00E34084"/>
    <w:rsid w:val="00E34248"/>
    <w:rsid w:val="00E342AC"/>
    <w:rsid w:val="00E34392"/>
    <w:rsid w:val="00E343FB"/>
    <w:rsid w:val="00E34496"/>
    <w:rsid w:val="00E3465C"/>
    <w:rsid w:val="00E34679"/>
    <w:rsid w:val="00E34752"/>
    <w:rsid w:val="00E34881"/>
    <w:rsid w:val="00E348F3"/>
    <w:rsid w:val="00E34B56"/>
    <w:rsid w:val="00E34F37"/>
    <w:rsid w:val="00E34FFA"/>
    <w:rsid w:val="00E3506A"/>
    <w:rsid w:val="00E35226"/>
    <w:rsid w:val="00E35310"/>
    <w:rsid w:val="00E35366"/>
    <w:rsid w:val="00E354A6"/>
    <w:rsid w:val="00E3554C"/>
    <w:rsid w:val="00E3578D"/>
    <w:rsid w:val="00E3580E"/>
    <w:rsid w:val="00E35864"/>
    <w:rsid w:val="00E35969"/>
    <w:rsid w:val="00E35A2B"/>
    <w:rsid w:val="00E35ACA"/>
    <w:rsid w:val="00E35ADF"/>
    <w:rsid w:val="00E35DBF"/>
    <w:rsid w:val="00E35DCF"/>
    <w:rsid w:val="00E35E3B"/>
    <w:rsid w:val="00E35F39"/>
    <w:rsid w:val="00E36001"/>
    <w:rsid w:val="00E36014"/>
    <w:rsid w:val="00E360D9"/>
    <w:rsid w:val="00E36126"/>
    <w:rsid w:val="00E3613A"/>
    <w:rsid w:val="00E362DD"/>
    <w:rsid w:val="00E3665F"/>
    <w:rsid w:val="00E36703"/>
    <w:rsid w:val="00E36902"/>
    <w:rsid w:val="00E3698E"/>
    <w:rsid w:val="00E36D77"/>
    <w:rsid w:val="00E36DA8"/>
    <w:rsid w:val="00E36F79"/>
    <w:rsid w:val="00E36FAB"/>
    <w:rsid w:val="00E37102"/>
    <w:rsid w:val="00E372A1"/>
    <w:rsid w:val="00E37385"/>
    <w:rsid w:val="00E373A8"/>
    <w:rsid w:val="00E373E1"/>
    <w:rsid w:val="00E37439"/>
    <w:rsid w:val="00E37556"/>
    <w:rsid w:val="00E37578"/>
    <w:rsid w:val="00E37643"/>
    <w:rsid w:val="00E37686"/>
    <w:rsid w:val="00E376A9"/>
    <w:rsid w:val="00E3788C"/>
    <w:rsid w:val="00E378E6"/>
    <w:rsid w:val="00E37A4E"/>
    <w:rsid w:val="00E37C2C"/>
    <w:rsid w:val="00E37E1C"/>
    <w:rsid w:val="00E37E4C"/>
    <w:rsid w:val="00E40298"/>
    <w:rsid w:val="00E403DF"/>
    <w:rsid w:val="00E4056D"/>
    <w:rsid w:val="00E40584"/>
    <w:rsid w:val="00E40678"/>
    <w:rsid w:val="00E40689"/>
    <w:rsid w:val="00E406E6"/>
    <w:rsid w:val="00E40768"/>
    <w:rsid w:val="00E40901"/>
    <w:rsid w:val="00E40A61"/>
    <w:rsid w:val="00E40A93"/>
    <w:rsid w:val="00E40AFC"/>
    <w:rsid w:val="00E40B4E"/>
    <w:rsid w:val="00E40B8A"/>
    <w:rsid w:val="00E40E00"/>
    <w:rsid w:val="00E40E87"/>
    <w:rsid w:val="00E40E90"/>
    <w:rsid w:val="00E40EB5"/>
    <w:rsid w:val="00E40EF0"/>
    <w:rsid w:val="00E40F63"/>
    <w:rsid w:val="00E410FE"/>
    <w:rsid w:val="00E4129F"/>
    <w:rsid w:val="00E412BC"/>
    <w:rsid w:val="00E4131B"/>
    <w:rsid w:val="00E4132A"/>
    <w:rsid w:val="00E413C0"/>
    <w:rsid w:val="00E4148C"/>
    <w:rsid w:val="00E41585"/>
    <w:rsid w:val="00E417EC"/>
    <w:rsid w:val="00E41B6D"/>
    <w:rsid w:val="00E41BFD"/>
    <w:rsid w:val="00E41C14"/>
    <w:rsid w:val="00E41C50"/>
    <w:rsid w:val="00E41D78"/>
    <w:rsid w:val="00E41DF8"/>
    <w:rsid w:val="00E41ED1"/>
    <w:rsid w:val="00E41F15"/>
    <w:rsid w:val="00E41F8B"/>
    <w:rsid w:val="00E42112"/>
    <w:rsid w:val="00E42337"/>
    <w:rsid w:val="00E42445"/>
    <w:rsid w:val="00E42860"/>
    <w:rsid w:val="00E42E44"/>
    <w:rsid w:val="00E42E47"/>
    <w:rsid w:val="00E42E9C"/>
    <w:rsid w:val="00E42F01"/>
    <w:rsid w:val="00E42F1C"/>
    <w:rsid w:val="00E42FB1"/>
    <w:rsid w:val="00E42FC9"/>
    <w:rsid w:val="00E43181"/>
    <w:rsid w:val="00E431BB"/>
    <w:rsid w:val="00E4342E"/>
    <w:rsid w:val="00E43483"/>
    <w:rsid w:val="00E43705"/>
    <w:rsid w:val="00E4373D"/>
    <w:rsid w:val="00E43759"/>
    <w:rsid w:val="00E4376F"/>
    <w:rsid w:val="00E437A0"/>
    <w:rsid w:val="00E43861"/>
    <w:rsid w:val="00E4392D"/>
    <w:rsid w:val="00E43A4F"/>
    <w:rsid w:val="00E43B26"/>
    <w:rsid w:val="00E43B5E"/>
    <w:rsid w:val="00E43BD3"/>
    <w:rsid w:val="00E43C26"/>
    <w:rsid w:val="00E43DC3"/>
    <w:rsid w:val="00E43E93"/>
    <w:rsid w:val="00E44278"/>
    <w:rsid w:val="00E4437A"/>
    <w:rsid w:val="00E44382"/>
    <w:rsid w:val="00E445D7"/>
    <w:rsid w:val="00E44660"/>
    <w:rsid w:val="00E44789"/>
    <w:rsid w:val="00E44835"/>
    <w:rsid w:val="00E448B0"/>
    <w:rsid w:val="00E4496D"/>
    <w:rsid w:val="00E449B4"/>
    <w:rsid w:val="00E44BF4"/>
    <w:rsid w:val="00E44CBC"/>
    <w:rsid w:val="00E44CE2"/>
    <w:rsid w:val="00E44D46"/>
    <w:rsid w:val="00E44DD7"/>
    <w:rsid w:val="00E44FF4"/>
    <w:rsid w:val="00E450C5"/>
    <w:rsid w:val="00E45133"/>
    <w:rsid w:val="00E45184"/>
    <w:rsid w:val="00E4524F"/>
    <w:rsid w:val="00E453C8"/>
    <w:rsid w:val="00E4543C"/>
    <w:rsid w:val="00E45719"/>
    <w:rsid w:val="00E4574F"/>
    <w:rsid w:val="00E45787"/>
    <w:rsid w:val="00E459C1"/>
    <w:rsid w:val="00E45EAE"/>
    <w:rsid w:val="00E4615C"/>
    <w:rsid w:val="00E4621B"/>
    <w:rsid w:val="00E46290"/>
    <w:rsid w:val="00E462A3"/>
    <w:rsid w:val="00E462B7"/>
    <w:rsid w:val="00E463A1"/>
    <w:rsid w:val="00E464D5"/>
    <w:rsid w:val="00E465C3"/>
    <w:rsid w:val="00E46600"/>
    <w:rsid w:val="00E4661B"/>
    <w:rsid w:val="00E46662"/>
    <w:rsid w:val="00E46670"/>
    <w:rsid w:val="00E468AD"/>
    <w:rsid w:val="00E4690A"/>
    <w:rsid w:val="00E46A67"/>
    <w:rsid w:val="00E46A80"/>
    <w:rsid w:val="00E46CDE"/>
    <w:rsid w:val="00E46DD1"/>
    <w:rsid w:val="00E46FFC"/>
    <w:rsid w:val="00E47105"/>
    <w:rsid w:val="00E47138"/>
    <w:rsid w:val="00E47438"/>
    <w:rsid w:val="00E4769C"/>
    <w:rsid w:val="00E47B41"/>
    <w:rsid w:val="00E47BEE"/>
    <w:rsid w:val="00E47DA2"/>
    <w:rsid w:val="00E50079"/>
    <w:rsid w:val="00E500AF"/>
    <w:rsid w:val="00E50120"/>
    <w:rsid w:val="00E50157"/>
    <w:rsid w:val="00E50167"/>
    <w:rsid w:val="00E50188"/>
    <w:rsid w:val="00E50265"/>
    <w:rsid w:val="00E503ED"/>
    <w:rsid w:val="00E504EC"/>
    <w:rsid w:val="00E50520"/>
    <w:rsid w:val="00E505E4"/>
    <w:rsid w:val="00E50751"/>
    <w:rsid w:val="00E5075A"/>
    <w:rsid w:val="00E508DC"/>
    <w:rsid w:val="00E509CB"/>
    <w:rsid w:val="00E50AA7"/>
    <w:rsid w:val="00E50AC6"/>
    <w:rsid w:val="00E50B31"/>
    <w:rsid w:val="00E50D55"/>
    <w:rsid w:val="00E50E64"/>
    <w:rsid w:val="00E5104E"/>
    <w:rsid w:val="00E511D6"/>
    <w:rsid w:val="00E5120F"/>
    <w:rsid w:val="00E51222"/>
    <w:rsid w:val="00E512EA"/>
    <w:rsid w:val="00E513BE"/>
    <w:rsid w:val="00E5146A"/>
    <w:rsid w:val="00E514EA"/>
    <w:rsid w:val="00E51618"/>
    <w:rsid w:val="00E5199D"/>
    <w:rsid w:val="00E519CF"/>
    <w:rsid w:val="00E51B36"/>
    <w:rsid w:val="00E51BC2"/>
    <w:rsid w:val="00E51C23"/>
    <w:rsid w:val="00E51E0C"/>
    <w:rsid w:val="00E51EE4"/>
    <w:rsid w:val="00E51F62"/>
    <w:rsid w:val="00E5201A"/>
    <w:rsid w:val="00E52044"/>
    <w:rsid w:val="00E5207A"/>
    <w:rsid w:val="00E5212C"/>
    <w:rsid w:val="00E52176"/>
    <w:rsid w:val="00E521B3"/>
    <w:rsid w:val="00E521C8"/>
    <w:rsid w:val="00E5246F"/>
    <w:rsid w:val="00E524DA"/>
    <w:rsid w:val="00E5265C"/>
    <w:rsid w:val="00E526FB"/>
    <w:rsid w:val="00E52713"/>
    <w:rsid w:val="00E527A0"/>
    <w:rsid w:val="00E52964"/>
    <w:rsid w:val="00E52A36"/>
    <w:rsid w:val="00E52AA0"/>
    <w:rsid w:val="00E52C88"/>
    <w:rsid w:val="00E52D0A"/>
    <w:rsid w:val="00E52DA2"/>
    <w:rsid w:val="00E52E3A"/>
    <w:rsid w:val="00E52F0D"/>
    <w:rsid w:val="00E53623"/>
    <w:rsid w:val="00E53647"/>
    <w:rsid w:val="00E5377B"/>
    <w:rsid w:val="00E537C6"/>
    <w:rsid w:val="00E53D5B"/>
    <w:rsid w:val="00E53EB7"/>
    <w:rsid w:val="00E53F9F"/>
    <w:rsid w:val="00E540E2"/>
    <w:rsid w:val="00E540F0"/>
    <w:rsid w:val="00E5412B"/>
    <w:rsid w:val="00E541D5"/>
    <w:rsid w:val="00E5433C"/>
    <w:rsid w:val="00E5433F"/>
    <w:rsid w:val="00E543DA"/>
    <w:rsid w:val="00E544CB"/>
    <w:rsid w:val="00E547A4"/>
    <w:rsid w:val="00E547D9"/>
    <w:rsid w:val="00E54A03"/>
    <w:rsid w:val="00E54A40"/>
    <w:rsid w:val="00E54CA8"/>
    <w:rsid w:val="00E54CF8"/>
    <w:rsid w:val="00E55069"/>
    <w:rsid w:val="00E551CE"/>
    <w:rsid w:val="00E5522F"/>
    <w:rsid w:val="00E55254"/>
    <w:rsid w:val="00E552E4"/>
    <w:rsid w:val="00E55316"/>
    <w:rsid w:val="00E554D2"/>
    <w:rsid w:val="00E55515"/>
    <w:rsid w:val="00E5587E"/>
    <w:rsid w:val="00E558D1"/>
    <w:rsid w:val="00E558D8"/>
    <w:rsid w:val="00E55A48"/>
    <w:rsid w:val="00E55C26"/>
    <w:rsid w:val="00E55C43"/>
    <w:rsid w:val="00E55D91"/>
    <w:rsid w:val="00E55F0F"/>
    <w:rsid w:val="00E55F23"/>
    <w:rsid w:val="00E55F8A"/>
    <w:rsid w:val="00E56091"/>
    <w:rsid w:val="00E56366"/>
    <w:rsid w:val="00E563DF"/>
    <w:rsid w:val="00E56516"/>
    <w:rsid w:val="00E5665B"/>
    <w:rsid w:val="00E56728"/>
    <w:rsid w:val="00E5679B"/>
    <w:rsid w:val="00E56822"/>
    <w:rsid w:val="00E5683C"/>
    <w:rsid w:val="00E56843"/>
    <w:rsid w:val="00E56AFB"/>
    <w:rsid w:val="00E56B29"/>
    <w:rsid w:val="00E56C58"/>
    <w:rsid w:val="00E56CE6"/>
    <w:rsid w:val="00E56E5E"/>
    <w:rsid w:val="00E572B5"/>
    <w:rsid w:val="00E57347"/>
    <w:rsid w:val="00E57507"/>
    <w:rsid w:val="00E57825"/>
    <w:rsid w:val="00E5791A"/>
    <w:rsid w:val="00E579BE"/>
    <w:rsid w:val="00E57B52"/>
    <w:rsid w:val="00E57B56"/>
    <w:rsid w:val="00E57B77"/>
    <w:rsid w:val="00E57C9E"/>
    <w:rsid w:val="00E57CB1"/>
    <w:rsid w:val="00E57F7D"/>
    <w:rsid w:val="00E604BB"/>
    <w:rsid w:val="00E60518"/>
    <w:rsid w:val="00E60685"/>
    <w:rsid w:val="00E606DB"/>
    <w:rsid w:val="00E6084D"/>
    <w:rsid w:val="00E609D5"/>
    <w:rsid w:val="00E609F5"/>
    <w:rsid w:val="00E60A52"/>
    <w:rsid w:val="00E60B97"/>
    <w:rsid w:val="00E60BE2"/>
    <w:rsid w:val="00E60C3F"/>
    <w:rsid w:val="00E6112D"/>
    <w:rsid w:val="00E61311"/>
    <w:rsid w:val="00E61315"/>
    <w:rsid w:val="00E6157A"/>
    <w:rsid w:val="00E61694"/>
    <w:rsid w:val="00E6173C"/>
    <w:rsid w:val="00E619CC"/>
    <w:rsid w:val="00E61BD5"/>
    <w:rsid w:val="00E61BDB"/>
    <w:rsid w:val="00E61CB2"/>
    <w:rsid w:val="00E61CC0"/>
    <w:rsid w:val="00E61DC5"/>
    <w:rsid w:val="00E61E15"/>
    <w:rsid w:val="00E61EAE"/>
    <w:rsid w:val="00E61F38"/>
    <w:rsid w:val="00E62018"/>
    <w:rsid w:val="00E62061"/>
    <w:rsid w:val="00E620CD"/>
    <w:rsid w:val="00E621C1"/>
    <w:rsid w:val="00E62277"/>
    <w:rsid w:val="00E62352"/>
    <w:rsid w:val="00E62412"/>
    <w:rsid w:val="00E62434"/>
    <w:rsid w:val="00E62445"/>
    <w:rsid w:val="00E62592"/>
    <w:rsid w:val="00E625B6"/>
    <w:rsid w:val="00E6264F"/>
    <w:rsid w:val="00E62662"/>
    <w:rsid w:val="00E62710"/>
    <w:rsid w:val="00E628D5"/>
    <w:rsid w:val="00E62945"/>
    <w:rsid w:val="00E62B9F"/>
    <w:rsid w:val="00E62CF1"/>
    <w:rsid w:val="00E62DD2"/>
    <w:rsid w:val="00E62E19"/>
    <w:rsid w:val="00E62F27"/>
    <w:rsid w:val="00E62F50"/>
    <w:rsid w:val="00E6303E"/>
    <w:rsid w:val="00E630CC"/>
    <w:rsid w:val="00E633B0"/>
    <w:rsid w:val="00E633FA"/>
    <w:rsid w:val="00E636C1"/>
    <w:rsid w:val="00E636C5"/>
    <w:rsid w:val="00E63700"/>
    <w:rsid w:val="00E6384A"/>
    <w:rsid w:val="00E63974"/>
    <w:rsid w:val="00E63AF1"/>
    <w:rsid w:val="00E63B0F"/>
    <w:rsid w:val="00E63DDF"/>
    <w:rsid w:val="00E63DE0"/>
    <w:rsid w:val="00E63EA5"/>
    <w:rsid w:val="00E63F86"/>
    <w:rsid w:val="00E63F8D"/>
    <w:rsid w:val="00E63F95"/>
    <w:rsid w:val="00E640C4"/>
    <w:rsid w:val="00E641A1"/>
    <w:rsid w:val="00E64216"/>
    <w:rsid w:val="00E643A9"/>
    <w:rsid w:val="00E644C6"/>
    <w:rsid w:val="00E64554"/>
    <w:rsid w:val="00E6457D"/>
    <w:rsid w:val="00E6459E"/>
    <w:rsid w:val="00E64613"/>
    <w:rsid w:val="00E6461B"/>
    <w:rsid w:val="00E64810"/>
    <w:rsid w:val="00E64821"/>
    <w:rsid w:val="00E64AD6"/>
    <w:rsid w:val="00E64E77"/>
    <w:rsid w:val="00E64ED0"/>
    <w:rsid w:val="00E64F33"/>
    <w:rsid w:val="00E65016"/>
    <w:rsid w:val="00E651EC"/>
    <w:rsid w:val="00E65670"/>
    <w:rsid w:val="00E656A6"/>
    <w:rsid w:val="00E65704"/>
    <w:rsid w:val="00E65727"/>
    <w:rsid w:val="00E6572E"/>
    <w:rsid w:val="00E65747"/>
    <w:rsid w:val="00E657ED"/>
    <w:rsid w:val="00E658A0"/>
    <w:rsid w:val="00E659AD"/>
    <w:rsid w:val="00E659B3"/>
    <w:rsid w:val="00E65A5C"/>
    <w:rsid w:val="00E65A70"/>
    <w:rsid w:val="00E65BBF"/>
    <w:rsid w:val="00E65C22"/>
    <w:rsid w:val="00E65CC1"/>
    <w:rsid w:val="00E65D55"/>
    <w:rsid w:val="00E65E83"/>
    <w:rsid w:val="00E65FF4"/>
    <w:rsid w:val="00E66047"/>
    <w:rsid w:val="00E6622D"/>
    <w:rsid w:val="00E6639F"/>
    <w:rsid w:val="00E6652E"/>
    <w:rsid w:val="00E665BA"/>
    <w:rsid w:val="00E66611"/>
    <w:rsid w:val="00E66626"/>
    <w:rsid w:val="00E6663C"/>
    <w:rsid w:val="00E66758"/>
    <w:rsid w:val="00E66779"/>
    <w:rsid w:val="00E668F5"/>
    <w:rsid w:val="00E66B24"/>
    <w:rsid w:val="00E66D77"/>
    <w:rsid w:val="00E66D8E"/>
    <w:rsid w:val="00E66E90"/>
    <w:rsid w:val="00E671D0"/>
    <w:rsid w:val="00E672FF"/>
    <w:rsid w:val="00E673CE"/>
    <w:rsid w:val="00E6744C"/>
    <w:rsid w:val="00E67450"/>
    <w:rsid w:val="00E6767F"/>
    <w:rsid w:val="00E6777B"/>
    <w:rsid w:val="00E6779E"/>
    <w:rsid w:val="00E67812"/>
    <w:rsid w:val="00E67BF4"/>
    <w:rsid w:val="00E67D3F"/>
    <w:rsid w:val="00E67D99"/>
    <w:rsid w:val="00E67DB9"/>
    <w:rsid w:val="00E67DC6"/>
    <w:rsid w:val="00E67EC3"/>
    <w:rsid w:val="00E67F4C"/>
    <w:rsid w:val="00E67F52"/>
    <w:rsid w:val="00E701B0"/>
    <w:rsid w:val="00E703AC"/>
    <w:rsid w:val="00E703EF"/>
    <w:rsid w:val="00E70459"/>
    <w:rsid w:val="00E704A7"/>
    <w:rsid w:val="00E706D3"/>
    <w:rsid w:val="00E706F0"/>
    <w:rsid w:val="00E70932"/>
    <w:rsid w:val="00E709BC"/>
    <w:rsid w:val="00E70A72"/>
    <w:rsid w:val="00E70AE3"/>
    <w:rsid w:val="00E70BE2"/>
    <w:rsid w:val="00E70C21"/>
    <w:rsid w:val="00E71047"/>
    <w:rsid w:val="00E7107E"/>
    <w:rsid w:val="00E71082"/>
    <w:rsid w:val="00E7125F"/>
    <w:rsid w:val="00E712E8"/>
    <w:rsid w:val="00E7133E"/>
    <w:rsid w:val="00E713EC"/>
    <w:rsid w:val="00E7144E"/>
    <w:rsid w:val="00E7146A"/>
    <w:rsid w:val="00E71506"/>
    <w:rsid w:val="00E71528"/>
    <w:rsid w:val="00E71604"/>
    <w:rsid w:val="00E717AD"/>
    <w:rsid w:val="00E71851"/>
    <w:rsid w:val="00E71A32"/>
    <w:rsid w:val="00E71B5A"/>
    <w:rsid w:val="00E71BC4"/>
    <w:rsid w:val="00E71C68"/>
    <w:rsid w:val="00E71CF7"/>
    <w:rsid w:val="00E71D52"/>
    <w:rsid w:val="00E71DD9"/>
    <w:rsid w:val="00E71E01"/>
    <w:rsid w:val="00E71E3F"/>
    <w:rsid w:val="00E71F95"/>
    <w:rsid w:val="00E71FCA"/>
    <w:rsid w:val="00E71FDC"/>
    <w:rsid w:val="00E72018"/>
    <w:rsid w:val="00E72029"/>
    <w:rsid w:val="00E72033"/>
    <w:rsid w:val="00E7207A"/>
    <w:rsid w:val="00E72174"/>
    <w:rsid w:val="00E723D5"/>
    <w:rsid w:val="00E724EB"/>
    <w:rsid w:val="00E72542"/>
    <w:rsid w:val="00E7260E"/>
    <w:rsid w:val="00E7269D"/>
    <w:rsid w:val="00E728B9"/>
    <w:rsid w:val="00E728FB"/>
    <w:rsid w:val="00E72A86"/>
    <w:rsid w:val="00E72A93"/>
    <w:rsid w:val="00E72DA9"/>
    <w:rsid w:val="00E72DFE"/>
    <w:rsid w:val="00E72E24"/>
    <w:rsid w:val="00E731F7"/>
    <w:rsid w:val="00E73279"/>
    <w:rsid w:val="00E73413"/>
    <w:rsid w:val="00E73473"/>
    <w:rsid w:val="00E734E3"/>
    <w:rsid w:val="00E734FB"/>
    <w:rsid w:val="00E7359C"/>
    <w:rsid w:val="00E735A1"/>
    <w:rsid w:val="00E736B9"/>
    <w:rsid w:val="00E7379F"/>
    <w:rsid w:val="00E737F6"/>
    <w:rsid w:val="00E738B9"/>
    <w:rsid w:val="00E738F2"/>
    <w:rsid w:val="00E738FC"/>
    <w:rsid w:val="00E73989"/>
    <w:rsid w:val="00E73A0A"/>
    <w:rsid w:val="00E73A59"/>
    <w:rsid w:val="00E73B6D"/>
    <w:rsid w:val="00E73C87"/>
    <w:rsid w:val="00E73CD1"/>
    <w:rsid w:val="00E73D51"/>
    <w:rsid w:val="00E73DB3"/>
    <w:rsid w:val="00E74009"/>
    <w:rsid w:val="00E740DF"/>
    <w:rsid w:val="00E741B2"/>
    <w:rsid w:val="00E7433F"/>
    <w:rsid w:val="00E743CF"/>
    <w:rsid w:val="00E746A0"/>
    <w:rsid w:val="00E7474C"/>
    <w:rsid w:val="00E747EE"/>
    <w:rsid w:val="00E748FD"/>
    <w:rsid w:val="00E74921"/>
    <w:rsid w:val="00E74A33"/>
    <w:rsid w:val="00E74EE8"/>
    <w:rsid w:val="00E75024"/>
    <w:rsid w:val="00E7522F"/>
    <w:rsid w:val="00E75266"/>
    <w:rsid w:val="00E754D7"/>
    <w:rsid w:val="00E75568"/>
    <w:rsid w:val="00E75A2E"/>
    <w:rsid w:val="00E75ACC"/>
    <w:rsid w:val="00E75B02"/>
    <w:rsid w:val="00E75BD5"/>
    <w:rsid w:val="00E75D4F"/>
    <w:rsid w:val="00E75DFE"/>
    <w:rsid w:val="00E760C7"/>
    <w:rsid w:val="00E76212"/>
    <w:rsid w:val="00E763BE"/>
    <w:rsid w:val="00E76472"/>
    <w:rsid w:val="00E7664D"/>
    <w:rsid w:val="00E76736"/>
    <w:rsid w:val="00E76739"/>
    <w:rsid w:val="00E76744"/>
    <w:rsid w:val="00E7676E"/>
    <w:rsid w:val="00E76873"/>
    <w:rsid w:val="00E768D4"/>
    <w:rsid w:val="00E76B1F"/>
    <w:rsid w:val="00E76B33"/>
    <w:rsid w:val="00E76C47"/>
    <w:rsid w:val="00E76C72"/>
    <w:rsid w:val="00E76D66"/>
    <w:rsid w:val="00E77261"/>
    <w:rsid w:val="00E77435"/>
    <w:rsid w:val="00E774C0"/>
    <w:rsid w:val="00E77596"/>
    <w:rsid w:val="00E775AA"/>
    <w:rsid w:val="00E776F4"/>
    <w:rsid w:val="00E77993"/>
    <w:rsid w:val="00E77A12"/>
    <w:rsid w:val="00E77BAE"/>
    <w:rsid w:val="00E77E13"/>
    <w:rsid w:val="00E77E1E"/>
    <w:rsid w:val="00E8016E"/>
    <w:rsid w:val="00E801DB"/>
    <w:rsid w:val="00E801F7"/>
    <w:rsid w:val="00E803D0"/>
    <w:rsid w:val="00E8051E"/>
    <w:rsid w:val="00E805E2"/>
    <w:rsid w:val="00E80695"/>
    <w:rsid w:val="00E806FF"/>
    <w:rsid w:val="00E80852"/>
    <w:rsid w:val="00E809D5"/>
    <w:rsid w:val="00E80B0B"/>
    <w:rsid w:val="00E80B75"/>
    <w:rsid w:val="00E80C5F"/>
    <w:rsid w:val="00E80D63"/>
    <w:rsid w:val="00E80DD3"/>
    <w:rsid w:val="00E80DEA"/>
    <w:rsid w:val="00E80F31"/>
    <w:rsid w:val="00E811C9"/>
    <w:rsid w:val="00E81434"/>
    <w:rsid w:val="00E8145C"/>
    <w:rsid w:val="00E8160A"/>
    <w:rsid w:val="00E8169D"/>
    <w:rsid w:val="00E81867"/>
    <w:rsid w:val="00E8195F"/>
    <w:rsid w:val="00E81B3C"/>
    <w:rsid w:val="00E81B50"/>
    <w:rsid w:val="00E81BF7"/>
    <w:rsid w:val="00E81C73"/>
    <w:rsid w:val="00E81D59"/>
    <w:rsid w:val="00E81D7A"/>
    <w:rsid w:val="00E81DC5"/>
    <w:rsid w:val="00E81F07"/>
    <w:rsid w:val="00E82190"/>
    <w:rsid w:val="00E82200"/>
    <w:rsid w:val="00E82278"/>
    <w:rsid w:val="00E82348"/>
    <w:rsid w:val="00E824D6"/>
    <w:rsid w:val="00E826A9"/>
    <w:rsid w:val="00E8275B"/>
    <w:rsid w:val="00E828F5"/>
    <w:rsid w:val="00E82918"/>
    <w:rsid w:val="00E82A1E"/>
    <w:rsid w:val="00E82A4D"/>
    <w:rsid w:val="00E82C0A"/>
    <w:rsid w:val="00E82CD8"/>
    <w:rsid w:val="00E82D20"/>
    <w:rsid w:val="00E82DAA"/>
    <w:rsid w:val="00E82DF1"/>
    <w:rsid w:val="00E82EB6"/>
    <w:rsid w:val="00E82EFC"/>
    <w:rsid w:val="00E82F00"/>
    <w:rsid w:val="00E82FD3"/>
    <w:rsid w:val="00E82FF9"/>
    <w:rsid w:val="00E83153"/>
    <w:rsid w:val="00E83206"/>
    <w:rsid w:val="00E8321B"/>
    <w:rsid w:val="00E832D5"/>
    <w:rsid w:val="00E83420"/>
    <w:rsid w:val="00E83532"/>
    <w:rsid w:val="00E83616"/>
    <w:rsid w:val="00E83657"/>
    <w:rsid w:val="00E83683"/>
    <w:rsid w:val="00E83688"/>
    <w:rsid w:val="00E83796"/>
    <w:rsid w:val="00E837AC"/>
    <w:rsid w:val="00E83890"/>
    <w:rsid w:val="00E83A12"/>
    <w:rsid w:val="00E83B3D"/>
    <w:rsid w:val="00E83BAF"/>
    <w:rsid w:val="00E83BC7"/>
    <w:rsid w:val="00E83CA5"/>
    <w:rsid w:val="00E83CD3"/>
    <w:rsid w:val="00E83D03"/>
    <w:rsid w:val="00E83D0A"/>
    <w:rsid w:val="00E83DCF"/>
    <w:rsid w:val="00E83DD1"/>
    <w:rsid w:val="00E83EB2"/>
    <w:rsid w:val="00E83F07"/>
    <w:rsid w:val="00E83F50"/>
    <w:rsid w:val="00E83F8C"/>
    <w:rsid w:val="00E83F95"/>
    <w:rsid w:val="00E84072"/>
    <w:rsid w:val="00E840DB"/>
    <w:rsid w:val="00E8414F"/>
    <w:rsid w:val="00E842AE"/>
    <w:rsid w:val="00E84362"/>
    <w:rsid w:val="00E8441D"/>
    <w:rsid w:val="00E84479"/>
    <w:rsid w:val="00E8448D"/>
    <w:rsid w:val="00E84524"/>
    <w:rsid w:val="00E845C8"/>
    <w:rsid w:val="00E84731"/>
    <w:rsid w:val="00E8474C"/>
    <w:rsid w:val="00E84A19"/>
    <w:rsid w:val="00E84A41"/>
    <w:rsid w:val="00E84B08"/>
    <w:rsid w:val="00E84B79"/>
    <w:rsid w:val="00E84BE2"/>
    <w:rsid w:val="00E84C39"/>
    <w:rsid w:val="00E84C41"/>
    <w:rsid w:val="00E84C60"/>
    <w:rsid w:val="00E84DA7"/>
    <w:rsid w:val="00E84DB5"/>
    <w:rsid w:val="00E84F77"/>
    <w:rsid w:val="00E84FBD"/>
    <w:rsid w:val="00E85020"/>
    <w:rsid w:val="00E8509C"/>
    <w:rsid w:val="00E8512D"/>
    <w:rsid w:val="00E8516D"/>
    <w:rsid w:val="00E8541E"/>
    <w:rsid w:val="00E85634"/>
    <w:rsid w:val="00E85637"/>
    <w:rsid w:val="00E857BC"/>
    <w:rsid w:val="00E85A12"/>
    <w:rsid w:val="00E85B3E"/>
    <w:rsid w:val="00E85C54"/>
    <w:rsid w:val="00E85E85"/>
    <w:rsid w:val="00E85F2F"/>
    <w:rsid w:val="00E85F81"/>
    <w:rsid w:val="00E86090"/>
    <w:rsid w:val="00E86092"/>
    <w:rsid w:val="00E86099"/>
    <w:rsid w:val="00E860DC"/>
    <w:rsid w:val="00E8611E"/>
    <w:rsid w:val="00E8633C"/>
    <w:rsid w:val="00E8635F"/>
    <w:rsid w:val="00E86396"/>
    <w:rsid w:val="00E863C8"/>
    <w:rsid w:val="00E8678C"/>
    <w:rsid w:val="00E8680C"/>
    <w:rsid w:val="00E86839"/>
    <w:rsid w:val="00E86891"/>
    <w:rsid w:val="00E868E2"/>
    <w:rsid w:val="00E86923"/>
    <w:rsid w:val="00E86A07"/>
    <w:rsid w:val="00E86A17"/>
    <w:rsid w:val="00E86BAB"/>
    <w:rsid w:val="00E87031"/>
    <w:rsid w:val="00E8711E"/>
    <w:rsid w:val="00E871F0"/>
    <w:rsid w:val="00E871FA"/>
    <w:rsid w:val="00E87211"/>
    <w:rsid w:val="00E87558"/>
    <w:rsid w:val="00E878B6"/>
    <w:rsid w:val="00E8795C"/>
    <w:rsid w:val="00E87A9F"/>
    <w:rsid w:val="00E87FE0"/>
    <w:rsid w:val="00E901E5"/>
    <w:rsid w:val="00E902ED"/>
    <w:rsid w:val="00E90520"/>
    <w:rsid w:val="00E9079E"/>
    <w:rsid w:val="00E90836"/>
    <w:rsid w:val="00E90C64"/>
    <w:rsid w:val="00E90D48"/>
    <w:rsid w:val="00E90DE5"/>
    <w:rsid w:val="00E90E31"/>
    <w:rsid w:val="00E91049"/>
    <w:rsid w:val="00E91256"/>
    <w:rsid w:val="00E9135D"/>
    <w:rsid w:val="00E91407"/>
    <w:rsid w:val="00E91635"/>
    <w:rsid w:val="00E916C3"/>
    <w:rsid w:val="00E91842"/>
    <w:rsid w:val="00E918BA"/>
    <w:rsid w:val="00E91936"/>
    <w:rsid w:val="00E9198B"/>
    <w:rsid w:val="00E91A5A"/>
    <w:rsid w:val="00E91AC5"/>
    <w:rsid w:val="00E91D51"/>
    <w:rsid w:val="00E9202E"/>
    <w:rsid w:val="00E92039"/>
    <w:rsid w:val="00E9206C"/>
    <w:rsid w:val="00E92180"/>
    <w:rsid w:val="00E921A5"/>
    <w:rsid w:val="00E92297"/>
    <w:rsid w:val="00E92499"/>
    <w:rsid w:val="00E92588"/>
    <w:rsid w:val="00E9258E"/>
    <w:rsid w:val="00E92620"/>
    <w:rsid w:val="00E926D2"/>
    <w:rsid w:val="00E9273C"/>
    <w:rsid w:val="00E9287A"/>
    <w:rsid w:val="00E928D0"/>
    <w:rsid w:val="00E92B6A"/>
    <w:rsid w:val="00E92DAB"/>
    <w:rsid w:val="00E92E16"/>
    <w:rsid w:val="00E92E2D"/>
    <w:rsid w:val="00E92E6E"/>
    <w:rsid w:val="00E92E8E"/>
    <w:rsid w:val="00E93132"/>
    <w:rsid w:val="00E93219"/>
    <w:rsid w:val="00E9321D"/>
    <w:rsid w:val="00E932ED"/>
    <w:rsid w:val="00E932F7"/>
    <w:rsid w:val="00E93574"/>
    <w:rsid w:val="00E935A1"/>
    <w:rsid w:val="00E935A6"/>
    <w:rsid w:val="00E935F6"/>
    <w:rsid w:val="00E9376B"/>
    <w:rsid w:val="00E937A2"/>
    <w:rsid w:val="00E93837"/>
    <w:rsid w:val="00E93840"/>
    <w:rsid w:val="00E93902"/>
    <w:rsid w:val="00E93905"/>
    <w:rsid w:val="00E93A02"/>
    <w:rsid w:val="00E93B1D"/>
    <w:rsid w:val="00E93C1E"/>
    <w:rsid w:val="00E93D9A"/>
    <w:rsid w:val="00E93FDF"/>
    <w:rsid w:val="00E93FFE"/>
    <w:rsid w:val="00E940A8"/>
    <w:rsid w:val="00E9425E"/>
    <w:rsid w:val="00E943E5"/>
    <w:rsid w:val="00E9443F"/>
    <w:rsid w:val="00E94513"/>
    <w:rsid w:val="00E945C2"/>
    <w:rsid w:val="00E9488F"/>
    <w:rsid w:val="00E9490B"/>
    <w:rsid w:val="00E94A43"/>
    <w:rsid w:val="00E94C28"/>
    <w:rsid w:val="00E94D01"/>
    <w:rsid w:val="00E94D59"/>
    <w:rsid w:val="00E94DF9"/>
    <w:rsid w:val="00E94EC2"/>
    <w:rsid w:val="00E94FEB"/>
    <w:rsid w:val="00E94FFE"/>
    <w:rsid w:val="00E95066"/>
    <w:rsid w:val="00E95071"/>
    <w:rsid w:val="00E950EA"/>
    <w:rsid w:val="00E9535E"/>
    <w:rsid w:val="00E95545"/>
    <w:rsid w:val="00E95817"/>
    <w:rsid w:val="00E95856"/>
    <w:rsid w:val="00E9597C"/>
    <w:rsid w:val="00E95A01"/>
    <w:rsid w:val="00E95A73"/>
    <w:rsid w:val="00E95B81"/>
    <w:rsid w:val="00E95CF4"/>
    <w:rsid w:val="00E95DDF"/>
    <w:rsid w:val="00E95E07"/>
    <w:rsid w:val="00E95F24"/>
    <w:rsid w:val="00E95FE8"/>
    <w:rsid w:val="00E96023"/>
    <w:rsid w:val="00E96496"/>
    <w:rsid w:val="00E9651C"/>
    <w:rsid w:val="00E966C0"/>
    <w:rsid w:val="00E966D4"/>
    <w:rsid w:val="00E967F8"/>
    <w:rsid w:val="00E969A5"/>
    <w:rsid w:val="00E96AA6"/>
    <w:rsid w:val="00E96AD1"/>
    <w:rsid w:val="00E96E09"/>
    <w:rsid w:val="00E96E44"/>
    <w:rsid w:val="00E96E98"/>
    <w:rsid w:val="00E96EA5"/>
    <w:rsid w:val="00E9712A"/>
    <w:rsid w:val="00E97214"/>
    <w:rsid w:val="00E97303"/>
    <w:rsid w:val="00E976EE"/>
    <w:rsid w:val="00E9783C"/>
    <w:rsid w:val="00E97B0D"/>
    <w:rsid w:val="00E97C88"/>
    <w:rsid w:val="00E97D65"/>
    <w:rsid w:val="00E97F4C"/>
    <w:rsid w:val="00EA00FD"/>
    <w:rsid w:val="00EA0932"/>
    <w:rsid w:val="00EA0969"/>
    <w:rsid w:val="00EA0ACC"/>
    <w:rsid w:val="00EA0C50"/>
    <w:rsid w:val="00EA0D15"/>
    <w:rsid w:val="00EA0E42"/>
    <w:rsid w:val="00EA0EB2"/>
    <w:rsid w:val="00EA1249"/>
    <w:rsid w:val="00EA124C"/>
    <w:rsid w:val="00EA142B"/>
    <w:rsid w:val="00EA1520"/>
    <w:rsid w:val="00EA159E"/>
    <w:rsid w:val="00EA1631"/>
    <w:rsid w:val="00EA16C9"/>
    <w:rsid w:val="00EA1827"/>
    <w:rsid w:val="00EA1890"/>
    <w:rsid w:val="00EA1988"/>
    <w:rsid w:val="00EA1A00"/>
    <w:rsid w:val="00EA1B52"/>
    <w:rsid w:val="00EA1CCD"/>
    <w:rsid w:val="00EA1CE1"/>
    <w:rsid w:val="00EA1DC4"/>
    <w:rsid w:val="00EA1ECC"/>
    <w:rsid w:val="00EA1FF2"/>
    <w:rsid w:val="00EA20E8"/>
    <w:rsid w:val="00EA2129"/>
    <w:rsid w:val="00EA236D"/>
    <w:rsid w:val="00EA23E1"/>
    <w:rsid w:val="00EA2438"/>
    <w:rsid w:val="00EA24E2"/>
    <w:rsid w:val="00EA24EB"/>
    <w:rsid w:val="00EA25CF"/>
    <w:rsid w:val="00EA2600"/>
    <w:rsid w:val="00EA26D8"/>
    <w:rsid w:val="00EA276D"/>
    <w:rsid w:val="00EA2BE5"/>
    <w:rsid w:val="00EA2CD1"/>
    <w:rsid w:val="00EA2D4D"/>
    <w:rsid w:val="00EA2E05"/>
    <w:rsid w:val="00EA2E48"/>
    <w:rsid w:val="00EA2E78"/>
    <w:rsid w:val="00EA2EEA"/>
    <w:rsid w:val="00EA2EF6"/>
    <w:rsid w:val="00EA301D"/>
    <w:rsid w:val="00EA307F"/>
    <w:rsid w:val="00EA3297"/>
    <w:rsid w:val="00EA32C9"/>
    <w:rsid w:val="00EA33C8"/>
    <w:rsid w:val="00EA3458"/>
    <w:rsid w:val="00EA3464"/>
    <w:rsid w:val="00EA3683"/>
    <w:rsid w:val="00EA3A06"/>
    <w:rsid w:val="00EA3A3E"/>
    <w:rsid w:val="00EA3A95"/>
    <w:rsid w:val="00EA3B24"/>
    <w:rsid w:val="00EA3BFA"/>
    <w:rsid w:val="00EA3E7C"/>
    <w:rsid w:val="00EA3EFE"/>
    <w:rsid w:val="00EA3F04"/>
    <w:rsid w:val="00EA3F1A"/>
    <w:rsid w:val="00EA3F2E"/>
    <w:rsid w:val="00EA3FEE"/>
    <w:rsid w:val="00EA3FFC"/>
    <w:rsid w:val="00EA403F"/>
    <w:rsid w:val="00EA4164"/>
    <w:rsid w:val="00EA41DB"/>
    <w:rsid w:val="00EA4254"/>
    <w:rsid w:val="00EA4372"/>
    <w:rsid w:val="00EA43EA"/>
    <w:rsid w:val="00EA455C"/>
    <w:rsid w:val="00EA4594"/>
    <w:rsid w:val="00EA460D"/>
    <w:rsid w:val="00EA4640"/>
    <w:rsid w:val="00EA465B"/>
    <w:rsid w:val="00EA465E"/>
    <w:rsid w:val="00EA495D"/>
    <w:rsid w:val="00EA4A25"/>
    <w:rsid w:val="00EA4A33"/>
    <w:rsid w:val="00EA4CD0"/>
    <w:rsid w:val="00EA4D45"/>
    <w:rsid w:val="00EA4E23"/>
    <w:rsid w:val="00EA4E5B"/>
    <w:rsid w:val="00EA4EED"/>
    <w:rsid w:val="00EA4F5F"/>
    <w:rsid w:val="00EA5032"/>
    <w:rsid w:val="00EA50BE"/>
    <w:rsid w:val="00EA532D"/>
    <w:rsid w:val="00EA53F4"/>
    <w:rsid w:val="00EA5620"/>
    <w:rsid w:val="00EA584D"/>
    <w:rsid w:val="00EA58AC"/>
    <w:rsid w:val="00EA5A6C"/>
    <w:rsid w:val="00EA5B74"/>
    <w:rsid w:val="00EA5D11"/>
    <w:rsid w:val="00EA5DF5"/>
    <w:rsid w:val="00EA5F15"/>
    <w:rsid w:val="00EA5F53"/>
    <w:rsid w:val="00EA654A"/>
    <w:rsid w:val="00EA6640"/>
    <w:rsid w:val="00EA67ED"/>
    <w:rsid w:val="00EA6865"/>
    <w:rsid w:val="00EA688A"/>
    <w:rsid w:val="00EA6AF6"/>
    <w:rsid w:val="00EA6C2F"/>
    <w:rsid w:val="00EA6D3B"/>
    <w:rsid w:val="00EA6D80"/>
    <w:rsid w:val="00EA6ED1"/>
    <w:rsid w:val="00EA7004"/>
    <w:rsid w:val="00EA70F5"/>
    <w:rsid w:val="00EA7173"/>
    <w:rsid w:val="00EA739A"/>
    <w:rsid w:val="00EA75A8"/>
    <w:rsid w:val="00EA75CB"/>
    <w:rsid w:val="00EA75E3"/>
    <w:rsid w:val="00EA7646"/>
    <w:rsid w:val="00EA799F"/>
    <w:rsid w:val="00EA7ABA"/>
    <w:rsid w:val="00EA7C05"/>
    <w:rsid w:val="00EA7C9D"/>
    <w:rsid w:val="00EA7DBE"/>
    <w:rsid w:val="00EA7EBC"/>
    <w:rsid w:val="00EA7F9C"/>
    <w:rsid w:val="00EB028D"/>
    <w:rsid w:val="00EB02E0"/>
    <w:rsid w:val="00EB06AE"/>
    <w:rsid w:val="00EB0806"/>
    <w:rsid w:val="00EB08FB"/>
    <w:rsid w:val="00EB094F"/>
    <w:rsid w:val="00EB09A5"/>
    <w:rsid w:val="00EB0AD2"/>
    <w:rsid w:val="00EB0BB2"/>
    <w:rsid w:val="00EB0C14"/>
    <w:rsid w:val="00EB0EB4"/>
    <w:rsid w:val="00EB0F3E"/>
    <w:rsid w:val="00EB0F50"/>
    <w:rsid w:val="00EB11EB"/>
    <w:rsid w:val="00EB13C3"/>
    <w:rsid w:val="00EB15B1"/>
    <w:rsid w:val="00EB162E"/>
    <w:rsid w:val="00EB16DE"/>
    <w:rsid w:val="00EB17B5"/>
    <w:rsid w:val="00EB1A8D"/>
    <w:rsid w:val="00EB1C11"/>
    <w:rsid w:val="00EB1CCC"/>
    <w:rsid w:val="00EB1FB4"/>
    <w:rsid w:val="00EB1FFC"/>
    <w:rsid w:val="00EB2002"/>
    <w:rsid w:val="00EB206C"/>
    <w:rsid w:val="00EB2256"/>
    <w:rsid w:val="00EB2284"/>
    <w:rsid w:val="00EB229E"/>
    <w:rsid w:val="00EB246A"/>
    <w:rsid w:val="00EB24AB"/>
    <w:rsid w:val="00EB2541"/>
    <w:rsid w:val="00EB256F"/>
    <w:rsid w:val="00EB27B5"/>
    <w:rsid w:val="00EB2852"/>
    <w:rsid w:val="00EB2926"/>
    <w:rsid w:val="00EB29C1"/>
    <w:rsid w:val="00EB2A4D"/>
    <w:rsid w:val="00EB2AA9"/>
    <w:rsid w:val="00EB2ACA"/>
    <w:rsid w:val="00EB2BEE"/>
    <w:rsid w:val="00EB2C38"/>
    <w:rsid w:val="00EB2E77"/>
    <w:rsid w:val="00EB30D4"/>
    <w:rsid w:val="00EB30D9"/>
    <w:rsid w:val="00EB3162"/>
    <w:rsid w:val="00EB34DA"/>
    <w:rsid w:val="00EB34E2"/>
    <w:rsid w:val="00EB34F0"/>
    <w:rsid w:val="00EB3519"/>
    <w:rsid w:val="00EB3621"/>
    <w:rsid w:val="00EB383C"/>
    <w:rsid w:val="00EB387D"/>
    <w:rsid w:val="00EB3892"/>
    <w:rsid w:val="00EB3A07"/>
    <w:rsid w:val="00EB3A79"/>
    <w:rsid w:val="00EB3B1F"/>
    <w:rsid w:val="00EB3B4E"/>
    <w:rsid w:val="00EB3D41"/>
    <w:rsid w:val="00EB3E8E"/>
    <w:rsid w:val="00EB3F3D"/>
    <w:rsid w:val="00EB4124"/>
    <w:rsid w:val="00EB4347"/>
    <w:rsid w:val="00EB4395"/>
    <w:rsid w:val="00EB43CE"/>
    <w:rsid w:val="00EB4406"/>
    <w:rsid w:val="00EB4558"/>
    <w:rsid w:val="00EB48C3"/>
    <w:rsid w:val="00EB4CB5"/>
    <w:rsid w:val="00EB4E5C"/>
    <w:rsid w:val="00EB4F50"/>
    <w:rsid w:val="00EB4FED"/>
    <w:rsid w:val="00EB510B"/>
    <w:rsid w:val="00EB5116"/>
    <w:rsid w:val="00EB5201"/>
    <w:rsid w:val="00EB522F"/>
    <w:rsid w:val="00EB5345"/>
    <w:rsid w:val="00EB580B"/>
    <w:rsid w:val="00EB58A4"/>
    <w:rsid w:val="00EB5DF7"/>
    <w:rsid w:val="00EB5DF8"/>
    <w:rsid w:val="00EB5F39"/>
    <w:rsid w:val="00EB60E0"/>
    <w:rsid w:val="00EB6196"/>
    <w:rsid w:val="00EB63FB"/>
    <w:rsid w:val="00EB67EE"/>
    <w:rsid w:val="00EB67FF"/>
    <w:rsid w:val="00EB699C"/>
    <w:rsid w:val="00EB6AAF"/>
    <w:rsid w:val="00EB6BD2"/>
    <w:rsid w:val="00EB6BDB"/>
    <w:rsid w:val="00EB6BEA"/>
    <w:rsid w:val="00EB6C4A"/>
    <w:rsid w:val="00EB6D37"/>
    <w:rsid w:val="00EB6DE9"/>
    <w:rsid w:val="00EB6EAD"/>
    <w:rsid w:val="00EB6F3B"/>
    <w:rsid w:val="00EB6F8C"/>
    <w:rsid w:val="00EB71D4"/>
    <w:rsid w:val="00EB71D8"/>
    <w:rsid w:val="00EB7200"/>
    <w:rsid w:val="00EB7249"/>
    <w:rsid w:val="00EB73C6"/>
    <w:rsid w:val="00EB73E7"/>
    <w:rsid w:val="00EB74AD"/>
    <w:rsid w:val="00EB77F9"/>
    <w:rsid w:val="00EB79A9"/>
    <w:rsid w:val="00EB79EC"/>
    <w:rsid w:val="00EB7BE5"/>
    <w:rsid w:val="00EB7D66"/>
    <w:rsid w:val="00EB7D7A"/>
    <w:rsid w:val="00EB7DB2"/>
    <w:rsid w:val="00EB7F04"/>
    <w:rsid w:val="00EB7F3D"/>
    <w:rsid w:val="00EB7F95"/>
    <w:rsid w:val="00EB7FA5"/>
    <w:rsid w:val="00EB7FCD"/>
    <w:rsid w:val="00EC00D6"/>
    <w:rsid w:val="00EC01B9"/>
    <w:rsid w:val="00EC0226"/>
    <w:rsid w:val="00EC04EF"/>
    <w:rsid w:val="00EC070E"/>
    <w:rsid w:val="00EC087C"/>
    <w:rsid w:val="00EC0CFA"/>
    <w:rsid w:val="00EC0D79"/>
    <w:rsid w:val="00EC0DEF"/>
    <w:rsid w:val="00EC0FE2"/>
    <w:rsid w:val="00EC1240"/>
    <w:rsid w:val="00EC12BB"/>
    <w:rsid w:val="00EC140F"/>
    <w:rsid w:val="00EC153D"/>
    <w:rsid w:val="00EC169B"/>
    <w:rsid w:val="00EC1857"/>
    <w:rsid w:val="00EC18D1"/>
    <w:rsid w:val="00EC1900"/>
    <w:rsid w:val="00EC194A"/>
    <w:rsid w:val="00EC1AF2"/>
    <w:rsid w:val="00EC1B25"/>
    <w:rsid w:val="00EC1B47"/>
    <w:rsid w:val="00EC1BD9"/>
    <w:rsid w:val="00EC1E66"/>
    <w:rsid w:val="00EC1FDF"/>
    <w:rsid w:val="00EC2047"/>
    <w:rsid w:val="00EC21A3"/>
    <w:rsid w:val="00EC238C"/>
    <w:rsid w:val="00EC24DB"/>
    <w:rsid w:val="00EC2629"/>
    <w:rsid w:val="00EC26C5"/>
    <w:rsid w:val="00EC29BC"/>
    <w:rsid w:val="00EC2BE4"/>
    <w:rsid w:val="00EC2BF9"/>
    <w:rsid w:val="00EC2E63"/>
    <w:rsid w:val="00EC2F7A"/>
    <w:rsid w:val="00EC30D4"/>
    <w:rsid w:val="00EC31B0"/>
    <w:rsid w:val="00EC31F5"/>
    <w:rsid w:val="00EC3213"/>
    <w:rsid w:val="00EC324E"/>
    <w:rsid w:val="00EC32CD"/>
    <w:rsid w:val="00EC32D0"/>
    <w:rsid w:val="00EC32D7"/>
    <w:rsid w:val="00EC3394"/>
    <w:rsid w:val="00EC344C"/>
    <w:rsid w:val="00EC370D"/>
    <w:rsid w:val="00EC37FD"/>
    <w:rsid w:val="00EC3831"/>
    <w:rsid w:val="00EC3A38"/>
    <w:rsid w:val="00EC3B84"/>
    <w:rsid w:val="00EC3CD9"/>
    <w:rsid w:val="00EC3CE9"/>
    <w:rsid w:val="00EC3F86"/>
    <w:rsid w:val="00EC4127"/>
    <w:rsid w:val="00EC4187"/>
    <w:rsid w:val="00EC4396"/>
    <w:rsid w:val="00EC44C1"/>
    <w:rsid w:val="00EC493B"/>
    <w:rsid w:val="00EC49D0"/>
    <w:rsid w:val="00EC4B69"/>
    <w:rsid w:val="00EC4DEE"/>
    <w:rsid w:val="00EC4F18"/>
    <w:rsid w:val="00EC50ED"/>
    <w:rsid w:val="00EC51B9"/>
    <w:rsid w:val="00EC5362"/>
    <w:rsid w:val="00EC5598"/>
    <w:rsid w:val="00EC5632"/>
    <w:rsid w:val="00EC56B1"/>
    <w:rsid w:val="00EC56B9"/>
    <w:rsid w:val="00EC5763"/>
    <w:rsid w:val="00EC57D2"/>
    <w:rsid w:val="00EC58D6"/>
    <w:rsid w:val="00EC58DD"/>
    <w:rsid w:val="00EC5954"/>
    <w:rsid w:val="00EC5AED"/>
    <w:rsid w:val="00EC5CAC"/>
    <w:rsid w:val="00EC5D17"/>
    <w:rsid w:val="00EC5E03"/>
    <w:rsid w:val="00EC5FD4"/>
    <w:rsid w:val="00EC60B9"/>
    <w:rsid w:val="00EC625D"/>
    <w:rsid w:val="00EC64C4"/>
    <w:rsid w:val="00EC64D5"/>
    <w:rsid w:val="00EC676F"/>
    <w:rsid w:val="00EC6792"/>
    <w:rsid w:val="00EC67A8"/>
    <w:rsid w:val="00EC67D8"/>
    <w:rsid w:val="00EC6E60"/>
    <w:rsid w:val="00EC72FE"/>
    <w:rsid w:val="00EC739A"/>
    <w:rsid w:val="00EC73CF"/>
    <w:rsid w:val="00EC7549"/>
    <w:rsid w:val="00EC7599"/>
    <w:rsid w:val="00EC75CE"/>
    <w:rsid w:val="00EC7780"/>
    <w:rsid w:val="00EC77A9"/>
    <w:rsid w:val="00EC7807"/>
    <w:rsid w:val="00EC793B"/>
    <w:rsid w:val="00EC7971"/>
    <w:rsid w:val="00EC7A40"/>
    <w:rsid w:val="00EC7A44"/>
    <w:rsid w:val="00EC7B5D"/>
    <w:rsid w:val="00EC7B7D"/>
    <w:rsid w:val="00EC7B9B"/>
    <w:rsid w:val="00EC7C00"/>
    <w:rsid w:val="00EC7DD7"/>
    <w:rsid w:val="00EC7DE8"/>
    <w:rsid w:val="00EC7E45"/>
    <w:rsid w:val="00EC7ED3"/>
    <w:rsid w:val="00EC7F50"/>
    <w:rsid w:val="00ED0095"/>
    <w:rsid w:val="00ED00EC"/>
    <w:rsid w:val="00ED02CC"/>
    <w:rsid w:val="00ED034C"/>
    <w:rsid w:val="00ED055B"/>
    <w:rsid w:val="00ED0581"/>
    <w:rsid w:val="00ED05BD"/>
    <w:rsid w:val="00ED07CC"/>
    <w:rsid w:val="00ED0A07"/>
    <w:rsid w:val="00ED0A2C"/>
    <w:rsid w:val="00ED0B10"/>
    <w:rsid w:val="00ED0B6B"/>
    <w:rsid w:val="00ED0BF5"/>
    <w:rsid w:val="00ED0D30"/>
    <w:rsid w:val="00ED0F79"/>
    <w:rsid w:val="00ED118A"/>
    <w:rsid w:val="00ED1191"/>
    <w:rsid w:val="00ED121A"/>
    <w:rsid w:val="00ED142A"/>
    <w:rsid w:val="00ED1452"/>
    <w:rsid w:val="00ED14F9"/>
    <w:rsid w:val="00ED15AF"/>
    <w:rsid w:val="00ED15D5"/>
    <w:rsid w:val="00ED1616"/>
    <w:rsid w:val="00ED17B2"/>
    <w:rsid w:val="00ED18CF"/>
    <w:rsid w:val="00ED19E0"/>
    <w:rsid w:val="00ED1A19"/>
    <w:rsid w:val="00ED1A22"/>
    <w:rsid w:val="00ED1AE4"/>
    <w:rsid w:val="00ED1B65"/>
    <w:rsid w:val="00ED1BC1"/>
    <w:rsid w:val="00ED1BEA"/>
    <w:rsid w:val="00ED1F32"/>
    <w:rsid w:val="00ED2042"/>
    <w:rsid w:val="00ED21FC"/>
    <w:rsid w:val="00ED23B1"/>
    <w:rsid w:val="00ED2448"/>
    <w:rsid w:val="00ED250A"/>
    <w:rsid w:val="00ED262C"/>
    <w:rsid w:val="00ED26A2"/>
    <w:rsid w:val="00ED26C9"/>
    <w:rsid w:val="00ED29B9"/>
    <w:rsid w:val="00ED2B5C"/>
    <w:rsid w:val="00ED2C41"/>
    <w:rsid w:val="00ED2D9C"/>
    <w:rsid w:val="00ED2EA8"/>
    <w:rsid w:val="00ED3146"/>
    <w:rsid w:val="00ED32C7"/>
    <w:rsid w:val="00ED3369"/>
    <w:rsid w:val="00ED344A"/>
    <w:rsid w:val="00ED34C1"/>
    <w:rsid w:val="00ED3576"/>
    <w:rsid w:val="00ED381E"/>
    <w:rsid w:val="00ED3878"/>
    <w:rsid w:val="00ED38F6"/>
    <w:rsid w:val="00ED39D9"/>
    <w:rsid w:val="00ED3A3B"/>
    <w:rsid w:val="00ED3AA4"/>
    <w:rsid w:val="00ED3BC5"/>
    <w:rsid w:val="00ED3CBC"/>
    <w:rsid w:val="00ED3F8B"/>
    <w:rsid w:val="00ED4029"/>
    <w:rsid w:val="00ED40B7"/>
    <w:rsid w:val="00ED40EF"/>
    <w:rsid w:val="00ED41CF"/>
    <w:rsid w:val="00ED443F"/>
    <w:rsid w:val="00ED447C"/>
    <w:rsid w:val="00ED44D2"/>
    <w:rsid w:val="00ED45BE"/>
    <w:rsid w:val="00ED471B"/>
    <w:rsid w:val="00ED471C"/>
    <w:rsid w:val="00ED475B"/>
    <w:rsid w:val="00ED47D1"/>
    <w:rsid w:val="00ED482A"/>
    <w:rsid w:val="00ED483E"/>
    <w:rsid w:val="00ED4848"/>
    <w:rsid w:val="00ED4A63"/>
    <w:rsid w:val="00ED4AC1"/>
    <w:rsid w:val="00ED4D89"/>
    <w:rsid w:val="00ED4ED2"/>
    <w:rsid w:val="00ED4FAB"/>
    <w:rsid w:val="00ED50D5"/>
    <w:rsid w:val="00ED52FC"/>
    <w:rsid w:val="00ED5453"/>
    <w:rsid w:val="00ED571C"/>
    <w:rsid w:val="00ED572F"/>
    <w:rsid w:val="00ED579F"/>
    <w:rsid w:val="00ED580A"/>
    <w:rsid w:val="00ED5844"/>
    <w:rsid w:val="00ED588F"/>
    <w:rsid w:val="00ED58AA"/>
    <w:rsid w:val="00ED5A5A"/>
    <w:rsid w:val="00ED5BAE"/>
    <w:rsid w:val="00ED5C04"/>
    <w:rsid w:val="00ED5E1D"/>
    <w:rsid w:val="00ED5EAA"/>
    <w:rsid w:val="00ED5EF0"/>
    <w:rsid w:val="00ED5EFB"/>
    <w:rsid w:val="00ED5F76"/>
    <w:rsid w:val="00ED615E"/>
    <w:rsid w:val="00ED6220"/>
    <w:rsid w:val="00ED62FA"/>
    <w:rsid w:val="00ED6520"/>
    <w:rsid w:val="00ED6733"/>
    <w:rsid w:val="00ED67B2"/>
    <w:rsid w:val="00ED68D7"/>
    <w:rsid w:val="00ED6901"/>
    <w:rsid w:val="00ED6A2E"/>
    <w:rsid w:val="00ED6AED"/>
    <w:rsid w:val="00ED6B22"/>
    <w:rsid w:val="00ED6B83"/>
    <w:rsid w:val="00ED6BFC"/>
    <w:rsid w:val="00ED6CFF"/>
    <w:rsid w:val="00ED6D3B"/>
    <w:rsid w:val="00ED6DD4"/>
    <w:rsid w:val="00ED6E9F"/>
    <w:rsid w:val="00ED6F1E"/>
    <w:rsid w:val="00ED6F72"/>
    <w:rsid w:val="00ED7094"/>
    <w:rsid w:val="00ED70F7"/>
    <w:rsid w:val="00ED715D"/>
    <w:rsid w:val="00ED719E"/>
    <w:rsid w:val="00ED7334"/>
    <w:rsid w:val="00ED74E9"/>
    <w:rsid w:val="00ED7574"/>
    <w:rsid w:val="00ED75CD"/>
    <w:rsid w:val="00ED77BA"/>
    <w:rsid w:val="00ED77C1"/>
    <w:rsid w:val="00ED77FD"/>
    <w:rsid w:val="00ED79E0"/>
    <w:rsid w:val="00ED7A29"/>
    <w:rsid w:val="00ED7BD6"/>
    <w:rsid w:val="00ED7C8C"/>
    <w:rsid w:val="00ED7CFA"/>
    <w:rsid w:val="00ED7D53"/>
    <w:rsid w:val="00ED7F42"/>
    <w:rsid w:val="00EE00C9"/>
    <w:rsid w:val="00EE0147"/>
    <w:rsid w:val="00EE0167"/>
    <w:rsid w:val="00EE0214"/>
    <w:rsid w:val="00EE0234"/>
    <w:rsid w:val="00EE02E7"/>
    <w:rsid w:val="00EE032E"/>
    <w:rsid w:val="00EE0391"/>
    <w:rsid w:val="00EE087A"/>
    <w:rsid w:val="00EE0891"/>
    <w:rsid w:val="00EE0910"/>
    <w:rsid w:val="00EE092C"/>
    <w:rsid w:val="00EE0A3B"/>
    <w:rsid w:val="00EE0A8F"/>
    <w:rsid w:val="00EE0CD8"/>
    <w:rsid w:val="00EE0D1A"/>
    <w:rsid w:val="00EE0D32"/>
    <w:rsid w:val="00EE0F50"/>
    <w:rsid w:val="00EE1012"/>
    <w:rsid w:val="00EE10EA"/>
    <w:rsid w:val="00EE1170"/>
    <w:rsid w:val="00EE11F0"/>
    <w:rsid w:val="00EE1262"/>
    <w:rsid w:val="00EE12CF"/>
    <w:rsid w:val="00EE14B1"/>
    <w:rsid w:val="00EE1559"/>
    <w:rsid w:val="00EE1599"/>
    <w:rsid w:val="00EE15E2"/>
    <w:rsid w:val="00EE1768"/>
    <w:rsid w:val="00EE1828"/>
    <w:rsid w:val="00EE19A4"/>
    <w:rsid w:val="00EE1A0F"/>
    <w:rsid w:val="00EE1AE1"/>
    <w:rsid w:val="00EE1CA5"/>
    <w:rsid w:val="00EE1F4E"/>
    <w:rsid w:val="00EE20F0"/>
    <w:rsid w:val="00EE2304"/>
    <w:rsid w:val="00EE2409"/>
    <w:rsid w:val="00EE2687"/>
    <w:rsid w:val="00EE26A0"/>
    <w:rsid w:val="00EE271C"/>
    <w:rsid w:val="00EE2A93"/>
    <w:rsid w:val="00EE2C17"/>
    <w:rsid w:val="00EE2CC8"/>
    <w:rsid w:val="00EE2DEB"/>
    <w:rsid w:val="00EE2EB5"/>
    <w:rsid w:val="00EE2FF6"/>
    <w:rsid w:val="00EE316B"/>
    <w:rsid w:val="00EE3328"/>
    <w:rsid w:val="00EE3396"/>
    <w:rsid w:val="00EE35BD"/>
    <w:rsid w:val="00EE364B"/>
    <w:rsid w:val="00EE373E"/>
    <w:rsid w:val="00EE385B"/>
    <w:rsid w:val="00EE38D7"/>
    <w:rsid w:val="00EE396D"/>
    <w:rsid w:val="00EE3B93"/>
    <w:rsid w:val="00EE3BDB"/>
    <w:rsid w:val="00EE3BE4"/>
    <w:rsid w:val="00EE3F47"/>
    <w:rsid w:val="00EE4143"/>
    <w:rsid w:val="00EE4482"/>
    <w:rsid w:val="00EE4664"/>
    <w:rsid w:val="00EE4991"/>
    <w:rsid w:val="00EE4AA1"/>
    <w:rsid w:val="00EE4BFE"/>
    <w:rsid w:val="00EE4C25"/>
    <w:rsid w:val="00EE4E83"/>
    <w:rsid w:val="00EE4F53"/>
    <w:rsid w:val="00EE4F5F"/>
    <w:rsid w:val="00EE5008"/>
    <w:rsid w:val="00EE51FD"/>
    <w:rsid w:val="00EE5221"/>
    <w:rsid w:val="00EE5619"/>
    <w:rsid w:val="00EE5635"/>
    <w:rsid w:val="00EE588D"/>
    <w:rsid w:val="00EE591D"/>
    <w:rsid w:val="00EE5946"/>
    <w:rsid w:val="00EE5973"/>
    <w:rsid w:val="00EE59C2"/>
    <w:rsid w:val="00EE5A08"/>
    <w:rsid w:val="00EE5A44"/>
    <w:rsid w:val="00EE5B32"/>
    <w:rsid w:val="00EE5CB0"/>
    <w:rsid w:val="00EE5D0B"/>
    <w:rsid w:val="00EE5D90"/>
    <w:rsid w:val="00EE5E65"/>
    <w:rsid w:val="00EE5EE6"/>
    <w:rsid w:val="00EE5EF5"/>
    <w:rsid w:val="00EE5FE9"/>
    <w:rsid w:val="00EE6064"/>
    <w:rsid w:val="00EE6097"/>
    <w:rsid w:val="00EE6175"/>
    <w:rsid w:val="00EE6193"/>
    <w:rsid w:val="00EE63B9"/>
    <w:rsid w:val="00EE677A"/>
    <w:rsid w:val="00EE67BA"/>
    <w:rsid w:val="00EE6810"/>
    <w:rsid w:val="00EE6822"/>
    <w:rsid w:val="00EE6949"/>
    <w:rsid w:val="00EE695A"/>
    <w:rsid w:val="00EE6AA4"/>
    <w:rsid w:val="00EE6AB4"/>
    <w:rsid w:val="00EE6AD6"/>
    <w:rsid w:val="00EE6FAA"/>
    <w:rsid w:val="00EE718D"/>
    <w:rsid w:val="00EE724B"/>
    <w:rsid w:val="00EE73EB"/>
    <w:rsid w:val="00EE7545"/>
    <w:rsid w:val="00EE7702"/>
    <w:rsid w:val="00EE7870"/>
    <w:rsid w:val="00EE78EC"/>
    <w:rsid w:val="00EE78F7"/>
    <w:rsid w:val="00EE7973"/>
    <w:rsid w:val="00EE7A57"/>
    <w:rsid w:val="00EE7BA2"/>
    <w:rsid w:val="00EE7C24"/>
    <w:rsid w:val="00EE7C63"/>
    <w:rsid w:val="00EE7DA0"/>
    <w:rsid w:val="00EE7F18"/>
    <w:rsid w:val="00EE7FD5"/>
    <w:rsid w:val="00EF01B8"/>
    <w:rsid w:val="00EF03DF"/>
    <w:rsid w:val="00EF0423"/>
    <w:rsid w:val="00EF07B2"/>
    <w:rsid w:val="00EF0880"/>
    <w:rsid w:val="00EF0996"/>
    <w:rsid w:val="00EF0B80"/>
    <w:rsid w:val="00EF0BCD"/>
    <w:rsid w:val="00EF0CBF"/>
    <w:rsid w:val="00EF0F0D"/>
    <w:rsid w:val="00EF0F51"/>
    <w:rsid w:val="00EF0F70"/>
    <w:rsid w:val="00EF1076"/>
    <w:rsid w:val="00EF1261"/>
    <w:rsid w:val="00EF13C2"/>
    <w:rsid w:val="00EF13CF"/>
    <w:rsid w:val="00EF13F2"/>
    <w:rsid w:val="00EF15DE"/>
    <w:rsid w:val="00EF16BA"/>
    <w:rsid w:val="00EF16CB"/>
    <w:rsid w:val="00EF16DF"/>
    <w:rsid w:val="00EF19A8"/>
    <w:rsid w:val="00EF1A2F"/>
    <w:rsid w:val="00EF1CF6"/>
    <w:rsid w:val="00EF1D6D"/>
    <w:rsid w:val="00EF1F8D"/>
    <w:rsid w:val="00EF2329"/>
    <w:rsid w:val="00EF23E1"/>
    <w:rsid w:val="00EF2402"/>
    <w:rsid w:val="00EF2461"/>
    <w:rsid w:val="00EF2633"/>
    <w:rsid w:val="00EF26F7"/>
    <w:rsid w:val="00EF27CE"/>
    <w:rsid w:val="00EF2A8C"/>
    <w:rsid w:val="00EF2BE3"/>
    <w:rsid w:val="00EF2E85"/>
    <w:rsid w:val="00EF2EAC"/>
    <w:rsid w:val="00EF30E4"/>
    <w:rsid w:val="00EF3190"/>
    <w:rsid w:val="00EF3391"/>
    <w:rsid w:val="00EF364D"/>
    <w:rsid w:val="00EF369E"/>
    <w:rsid w:val="00EF36A8"/>
    <w:rsid w:val="00EF3923"/>
    <w:rsid w:val="00EF3AD5"/>
    <w:rsid w:val="00EF3B56"/>
    <w:rsid w:val="00EF3D87"/>
    <w:rsid w:val="00EF3D9D"/>
    <w:rsid w:val="00EF3DF0"/>
    <w:rsid w:val="00EF4079"/>
    <w:rsid w:val="00EF41F9"/>
    <w:rsid w:val="00EF44B4"/>
    <w:rsid w:val="00EF4562"/>
    <w:rsid w:val="00EF456B"/>
    <w:rsid w:val="00EF4615"/>
    <w:rsid w:val="00EF4649"/>
    <w:rsid w:val="00EF49AD"/>
    <w:rsid w:val="00EF4A32"/>
    <w:rsid w:val="00EF4AC3"/>
    <w:rsid w:val="00EF4BF0"/>
    <w:rsid w:val="00EF5003"/>
    <w:rsid w:val="00EF50DB"/>
    <w:rsid w:val="00EF51CC"/>
    <w:rsid w:val="00EF5668"/>
    <w:rsid w:val="00EF57A8"/>
    <w:rsid w:val="00EF59AA"/>
    <w:rsid w:val="00EF59BE"/>
    <w:rsid w:val="00EF5AC5"/>
    <w:rsid w:val="00EF5C00"/>
    <w:rsid w:val="00EF6118"/>
    <w:rsid w:val="00EF6157"/>
    <w:rsid w:val="00EF6252"/>
    <w:rsid w:val="00EF6496"/>
    <w:rsid w:val="00EF6580"/>
    <w:rsid w:val="00EF65D3"/>
    <w:rsid w:val="00EF6749"/>
    <w:rsid w:val="00EF675A"/>
    <w:rsid w:val="00EF68D6"/>
    <w:rsid w:val="00EF6986"/>
    <w:rsid w:val="00EF6A05"/>
    <w:rsid w:val="00EF6D39"/>
    <w:rsid w:val="00EF6F1B"/>
    <w:rsid w:val="00EF6F67"/>
    <w:rsid w:val="00EF6FD2"/>
    <w:rsid w:val="00EF70CC"/>
    <w:rsid w:val="00EF70D4"/>
    <w:rsid w:val="00EF71E3"/>
    <w:rsid w:val="00EF75BD"/>
    <w:rsid w:val="00EF75DF"/>
    <w:rsid w:val="00EF7704"/>
    <w:rsid w:val="00EF7716"/>
    <w:rsid w:val="00EF7719"/>
    <w:rsid w:val="00EF77F6"/>
    <w:rsid w:val="00EF78A7"/>
    <w:rsid w:val="00EF793E"/>
    <w:rsid w:val="00EF7C36"/>
    <w:rsid w:val="00EF7D7D"/>
    <w:rsid w:val="00EF7DFE"/>
    <w:rsid w:val="00EF7E25"/>
    <w:rsid w:val="00EF7E5C"/>
    <w:rsid w:val="00EF7F2A"/>
    <w:rsid w:val="00EF7FB0"/>
    <w:rsid w:val="00EF7FF5"/>
    <w:rsid w:val="00F005A6"/>
    <w:rsid w:val="00F005E5"/>
    <w:rsid w:val="00F00A6D"/>
    <w:rsid w:val="00F00A6E"/>
    <w:rsid w:val="00F00AB2"/>
    <w:rsid w:val="00F00ABF"/>
    <w:rsid w:val="00F00C0F"/>
    <w:rsid w:val="00F00C4D"/>
    <w:rsid w:val="00F00C7B"/>
    <w:rsid w:val="00F00E37"/>
    <w:rsid w:val="00F00FB6"/>
    <w:rsid w:val="00F01119"/>
    <w:rsid w:val="00F011D5"/>
    <w:rsid w:val="00F0120A"/>
    <w:rsid w:val="00F012C5"/>
    <w:rsid w:val="00F012CB"/>
    <w:rsid w:val="00F01450"/>
    <w:rsid w:val="00F014E5"/>
    <w:rsid w:val="00F0171F"/>
    <w:rsid w:val="00F01801"/>
    <w:rsid w:val="00F018A4"/>
    <w:rsid w:val="00F01AB2"/>
    <w:rsid w:val="00F01B48"/>
    <w:rsid w:val="00F01BB7"/>
    <w:rsid w:val="00F01C02"/>
    <w:rsid w:val="00F01C41"/>
    <w:rsid w:val="00F01C5A"/>
    <w:rsid w:val="00F01C63"/>
    <w:rsid w:val="00F01CF2"/>
    <w:rsid w:val="00F01DBF"/>
    <w:rsid w:val="00F01EB9"/>
    <w:rsid w:val="00F01EEF"/>
    <w:rsid w:val="00F02072"/>
    <w:rsid w:val="00F021C1"/>
    <w:rsid w:val="00F023BB"/>
    <w:rsid w:val="00F02468"/>
    <w:rsid w:val="00F024A2"/>
    <w:rsid w:val="00F024FB"/>
    <w:rsid w:val="00F0254B"/>
    <w:rsid w:val="00F0266B"/>
    <w:rsid w:val="00F026F7"/>
    <w:rsid w:val="00F028BE"/>
    <w:rsid w:val="00F02C04"/>
    <w:rsid w:val="00F02C18"/>
    <w:rsid w:val="00F02C26"/>
    <w:rsid w:val="00F02CAC"/>
    <w:rsid w:val="00F02CC4"/>
    <w:rsid w:val="00F02DAE"/>
    <w:rsid w:val="00F02E67"/>
    <w:rsid w:val="00F03143"/>
    <w:rsid w:val="00F0314A"/>
    <w:rsid w:val="00F031FF"/>
    <w:rsid w:val="00F0334B"/>
    <w:rsid w:val="00F03406"/>
    <w:rsid w:val="00F0345F"/>
    <w:rsid w:val="00F036C0"/>
    <w:rsid w:val="00F0373D"/>
    <w:rsid w:val="00F037BC"/>
    <w:rsid w:val="00F037E2"/>
    <w:rsid w:val="00F0385C"/>
    <w:rsid w:val="00F03BDE"/>
    <w:rsid w:val="00F03C5A"/>
    <w:rsid w:val="00F0410C"/>
    <w:rsid w:val="00F04150"/>
    <w:rsid w:val="00F043B6"/>
    <w:rsid w:val="00F043CA"/>
    <w:rsid w:val="00F044D8"/>
    <w:rsid w:val="00F0450A"/>
    <w:rsid w:val="00F0458D"/>
    <w:rsid w:val="00F04667"/>
    <w:rsid w:val="00F0472C"/>
    <w:rsid w:val="00F048C1"/>
    <w:rsid w:val="00F04AFA"/>
    <w:rsid w:val="00F04BFB"/>
    <w:rsid w:val="00F04CE7"/>
    <w:rsid w:val="00F04D40"/>
    <w:rsid w:val="00F04DE1"/>
    <w:rsid w:val="00F050D3"/>
    <w:rsid w:val="00F05169"/>
    <w:rsid w:val="00F05208"/>
    <w:rsid w:val="00F05376"/>
    <w:rsid w:val="00F0540E"/>
    <w:rsid w:val="00F056A2"/>
    <w:rsid w:val="00F05799"/>
    <w:rsid w:val="00F058DB"/>
    <w:rsid w:val="00F0597A"/>
    <w:rsid w:val="00F05BDC"/>
    <w:rsid w:val="00F05C70"/>
    <w:rsid w:val="00F05D5D"/>
    <w:rsid w:val="00F0602E"/>
    <w:rsid w:val="00F06174"/>
    <w:rsid w:val="00F062F2"/>
    <w:rsid w:val="00F06309"/>
    <w:rsid w:val="00F06349"/>
    <w:rsid w:val="00F063C1"/>
    <w:rsid w:val="00F067BB"/>
    <w:rsid w:val="00F06F45"/>
    <w:rsid w:val="00F06FC4"/>
    <w:rsid w:val="00F06FE9"/>
    <w:rsid w:val="00F0700D"/>
    <w:rsid w:val="00F0740F"/>
    <w:rsid w:val="00F0741E"/>
    <w:rsid w:val="00F07478"/>
    <w:rsid w:val="00F074D5"/>
    <w:rsid w:val="00F0760D"/>
    <w:rsid w:val="00F076A5"/>
    <w:rsid w:val="00F076E8"/>
    <w:rsid w:val="00F078A5"/>
    <w:rsid w:val="00F07927"/>
    <w:rsid w:val="00F07A47"/>
    <w:rsid w:val="00F07A4D"/>
    <w:rsid w:val="00F07AFC"/>
    <w:rsid w:val="00F07CF4"/>
    <w:rsid w:val="00F07FAF"/>
    <w:rsid w:val="00F07FBE"/>
    <w:rsid w:val="00F1003C"/>
    <w:rsid w:val="00F1026B"/>
    <w:rsid w:val="00F102DA"/>
    <w:rsid w:val="00F1040C"/>
    <w:rsid w:val="00F10708"/>
    <w:rsid w:val="00F107BB"/>
    <w:rsid w:val="00F107EA"/>
    <w:rsid w:val="00F1084C"/>
    <w:rsid w:val="00F108F8"/>
    <w:rsid w:val="00F10906"/>
    <w:rsid w:val="00F1099A"/>
    <w:rsid w:val="00F10A1C"/>
    <w:rsid w:val="00F10B46"/>
    <w:rsid w:val="00F10BAE"/>
    <w:rsid w:val="00F10BEA"/>
    <w:rsid w:val="00F10CB4"/>
    <w:rsid w:val="00F10D4D"/>
    <w:rsid w:val="00F10D79"/>
    <w:rsid w:val="00F10DAF"/>
    <w:rsid w:val="00F10E18"/>
    <w:rsid w:val="00F10EE6"/>
    <w:rsid w:val="00F11037"/>
    <w:rsid w:val="00F110B1"/>
    <w:rsid w:val="00F11155"/>
    <w:rsid w:val="00F112FC"/>
    <w:rsid w:val="00F1137D"/>
    <w:rsid w:val="00F11499"/>
    <w:rsid w:val="00F11509"/>
    <w:rsid w:val="00F116F4"/>
    <w:rsid w:val="00F117F7"/>
    <w:rsid w:val="00F11A53"/>
    <w:rsid w:val="00F11BE7"/>
    <w:rsid w:val="00F11BEE"/>
    <w:rsid w:val="00F11C17"/>
    <w:rsid w:val="00F11E6F"/>
    <w:rsid w:val="00F11F09"/>
    <w:rsid w:val="00F11F99"/>
    <w:rsid w:val="00F120E7"/>
    <w:rsid w:val="00F1228E"/>
    <w:rsid w:val="00F1239C"/>
    <w:rsid w:val="00F123D3"/>
    <w:rsid w:val="00F1257F"/>
    <w:rsid w:val="00F125AF"/>
    <w:rsid w:val="00F126E6"/>
    <w:rsid w:val="00F12893"/>
    <w:rsid w:val="00F128D3"/>
    <w:rsid w:val="00F12B4E"/>
    <w:rsid w:val="00F12B82"/>
    <w:rsid w:val="00F12FDD"/>
    <w:rsid w:val="00F1308D"/>
    <w:rsid w:val="00F1340E"/>
    <w:rsid w:val="00F134CF"/>
    <w:rsid w:val="00F1352E"/>
    <w:rsid w:val="00F13581"/>
    <w:rsid w:val="00F138FF"/>
    <w:rsid w:val="00F13960"/>
    <w:rsid w:val="00F13A1F"/>
    <w:rsid w:val="00F13ABB"/>
    <w:rsid w:val="00F13B6B"/>
    <w:rsid w:val="00F13C76"/>
    <w:rsid w:val="00F13EF1"/>
    <w:rsid w:val="00F14005"/>
    <w:rsid w:val="00F140B5"/>
    <w:rsid w:val="00F140DE"/>
    <w:rsid w:val="00F14155"/>
    <w:rsid w:val="00F142FA"/>
    <w:rsid w:val="00F14390"/>
    <w:rsid w:val="00F143BB"/>
    <w:rsid w:val="00F144D6"/>
    <w:rsid w:val="00F1467B"/>
    <w:rsid w:val="00F14684"/>
    <w:rsid w:val="00F14742"/>
    <w:rsid w:val="00F14811"/>
    <w:rsid w:val="00F148F2"/>
    <w:rsid w:val="00F14A0E"/>
    <w:rsid w:val="00F14A6F"/>
    <w:rsid w:val="00F14AFA"/>
    <w:rsid w:val="00F14B59"/>
    <w:rsid w:val="00F14C90"/>
    <w:rsid w:val="00F14FF3"/>
    <w:rsid w:val="00F15067"/>
    <w:rsid w:val="00F151B5"/>
    <w:rsid w:val="00F1525D"/>
    <w:rsid w:val="00F15530"/>
    <w:rsid w:val="00F1553C"/>
    <w:rsid w:val="00F15545"/>
    <w:rsid w:val="00F156CF"/>
    <w:rsid w:val="00F156EF"/>
    <w:rsid w:val="00F15886"/>
    <w:rsid w:val="00F15891"/>
    <w:rsid w:val="00F15A04"/>
    <w:rsid w:val="00F15A5A"/>
    <w:rsid w:val="00F15B8E"/>
    <w:rsid w:val="00F15D42"/>
    <w:rsid w:val="00F15D93"/>
    <w:rsid w:val="00F1608D"/>
    <w:rsid w:val="00F16684"/>
    <w:rsid w:val="00F166BC"/>
    <w:rsid w:val="00F16781"/>
    <w:rsid w:val="00F167DF"/>
    <w:rsid w:val="00F16A1B"/>
    <w:rsid w:val="00F16B28"/>
    <w:rsid w:val="00F16D7B"/>
    <w:rsid w:val="00F16E0A"/>
    <w:rsid w:val="00F16E9E"/>
    <w:rsid w:val="00F16F75"/>
    <w:rsid w:val="00F17028"/>
    <w:rsid w:val="00F170A6"/>
    <w:rsid w:val="00F17380"/>
    <w:rsid w:val="00F1767D"/>
    <w:rsid w:val="00F17760"/>
    <w:rsid w:val="00F179BE"/>
    <w:rsid w:val="00F17C73"/>
    <w:rsid w:val="00F17DE0"/>
    <w:rsid w:val="00F17EC2"/>
    <w:rsid w:val="00F17F2B"/>
    <w:rsid w:val="00F2006C"/>
    <w:rsid w:val="00F2007D"/>
    <w:rsid w:val="00F2032A"/>
    <w:rsid w:val="00F204BA"/>
    <w:rsid w:val="00F205E9"/>
    <w:rsid w:val="00F20602"/>
    <w:rsid w:val="00F20614"/>
    <w:rsid w:val="00F20706"/>
    <w:rsid w:val="00F2092F"/>
    <w:rsid w:val="00F20A06"/>
    <w:rsid w:val="00F20B9E"/>
    <w:rsid w:val="00F20C98"/>
    <w:rsid w:val="00F20CD4"/>
    <w:rsid w:val="00F20D1B"/>
    <w:rsid w:val="00F20D2C"/>
    <w:rsid w:val="00F20D9E"/>
    <w:rsid w:val="00F20F65"/>
    <w:rsid w:val="00F21013"/>
    <w:rsid w:val="00F2101C"/>
    <w:rsid w:val="00F211E5"/>
    <w:rsid w:val="00F2176E"/>
    <w:rsid w:val="00F21794"/>
    <w:rsid w:val="00F217C5"/>
    <w:rsid w:val="00F21821"/>
    <w:rsid w:val="00F218BB"/>
    <w:rsid w:val="00F21933"/>
    <w:rsid w:val="00F21C2D"/>
    <w:rsid w:val="00F21D45"/>
    <w:rsid w:val="00F21F4D"/>
    <w:rsid w:val="00F21F8D"/>
    <w:rsid w:val="00F2200D"/>
    <w:rsid w:val="00F2207F"/>
    <w:rsid w:val="00F22236"/>
    <w:rsid w:val="00F22276"/>
    <w:rsid w:val="00F222D8"/>
    <w:rsid w:val="00F22309"/>
    <w:rsid w:val="00F223AB"/>
    <w:rsid w:val="00F22608"/>
    <w:rsid w:val="00F226DF"/>
    <w:rsid w:val="00F22B27"/>
    <w:rsid w:val="00F22C92"/>
    <w:rsid w:val="00F22D86"/>
    <w:rsid w:val="00F22E2F"/>
    <w:rsid w:val="00F22F43"/>
    <w:rsid w:val="00F23011"/>
    <w:rsid w:val="00F2302F"/>
    <w:rsid w:val="00F2303C"/>
    <w:rsid w:val="00F23076"/>
    <w:rsid w:val="00F230D5"/>
    <w:rsid w:val="00F23182"/>
    <w:rsid w:val="00F231B9"/>
    <w:rsid w:val="00F23235"/>
    <w:rsid w:val="00F23275"/>
    <w:rsid w:val="00F232B8"/>
    <w:rsid w:val="00F2330D"/>
    <w:rsid w:val="00F23436"/>
    <w:rsid w:val="00F2354D"/>
    <w:rsid w:val="00F2354E"/>
    <w:rsid w:val="00F235A5"/>
    <w:rsid w:val="00F235BE"/>
    <w:rsid w:val="00F235BF"/>
    <w:rsid w:val="00F23626"/>
    <w:rsid w:val="00F236A5"/>
    <w:rsid w:val="00F2391C"/>
    <w:rsid w:val="00F23A9E"/>
    <w:rsid w:val="00F23B90"/>
    <w:rsid w:val="00F23DBF"/>
    <w:rsid w:val="00F23DC9"/>
    <w:rsid w:val="00F23EEE"/>
    <w:rsid w:val="00F240C6"/>
    <w:rsid w:val="00F241D5"/>
    <w:rsid w:val="00F241FA"/>
    <w:rsid w:val="00F2423A"/>
    <w:rsid w:val="00F2424D"/>
    <w:rsid w:val="00F2427C"/>
    <w:rsid w:val="00F24323"/>
    <w:rsid w:val="00F24445"/>
    <w:rsid w:val="00F244B1"/>
    <w:rsid w:val="00F246A3"/>
    <w:rsid w:val="00F246DB"/>
    <w:rsid w:val="00F2478F"/>
    <w:rsid w:val="00F248E5"/>
    <w:rsid w:val="00F24A63"/>
    <w:rsid w:val="00F24CC1"/>
    <w:rsid w:val="00F24CCF"/>
    <w:rsid w:val="00F24CD7"/>
    <w:rsid w:val="00F24F1E"/>
    <w:rsid w:val="00F24F2D"/>
    <w:rsid w:val="00F24FC2"/>
    <w:rsid w:val="00F25129"/>
    <w:rsid w:val="00F25220"/>
    <w:rsid w:val="00F2533C"/>
    <w:rsid w:val="00F25381"/>
    <w:rsid w:val="00F257D1"/>
    <w:rsid w:val="00F257D3"/>
    <w:rsid w:val="00F2584F"/>
    <w:rsid w:val="00F258E9"/>
    <w:rsid w:val="00F259E7"/>
    <w:rsid w:val="00F25A69"/>
    <w:rsid w:val="00F25B5E"/>
    <w:rsid w:val="00F25B7E"/>
    <w:rsid w:val="00F25BBC"/>
    <w:rsid w:val="00F25BEF"/>
    <w:rsid w:val="00F25C0B"/>
    <w:rsid w:val="00F25F49"/>
    <w:rsid w:val="00F25F9B"/>
    <w:rsid w:val="00F26020"/>
    <w:rsid w:val="00F26089"/>
    <w:rsid w:val="00F261C8"/>
    <w:rsid w:val="00F26247"/>
    <w:rsid w:val="00F2637A"/>
    <w:rsid w:val="00F26426"/>
    <w:rsid w:val="00F26489"/>
    <w:rsid w:val="00F2652F"/>
    <w:rsid w:val="00F26539"/>
    <w:rsid w:val="00F26611"/>
    <w:rsid w:val="00F266C6"/>
    <w:rsid w:val="00F267E2"/>
    <w:rsid w:val="00F26980"/>
    <w:rsid w:val="00F269B3"/>
    <w:rsid w:val="00F26A76"/>
    <w:rsid w:val="00F26B52"/>
    <w:rsid w:val="00F26C89"/>
    <w:rsid w:val="00F26D06"/>
    <w:rsid w:val="00F26F30"/>
    <w:rsid w:val="00F26F37"/>
    <w:rsid w:val="00F270DC"/>
    <w:rsid w:val="00F27149"/>
    <w:rsid w:val="00F273C4"/>
    <w:rsid w:val="00F27636"/>
    <w:rsid w:val="00F27726"/>
    <w:rsid w:val="00F27859"/>
    <w:rsid w:val="00F279F5"/>
    <w:rsid w:val="00F27C34"/>
    <w:rsid w:val="00F27C42"/>
    <w:rsid w:val="00F27CD3"/>
    <w:rsid w:val="00F27DF3"/>
    <w:rsid w:val="00F27E06"/>
    <w:rsid w:val="00F27E10"/>
    <w:rsid w:val="00F27E25"/>
    <w:rsid w:val="00F27E2E"/>
    <w:rsid w:val="00F30314"/>
    <w:rsid w:val="00F3037D"/>
    <w:rsid w:val="00F303CF"/>
    <w:rsid w:val="00F3062C"/>
    <w:rsid w:val="00F306CE"/>
    <w:rsid w:val="00F30757"/>
    <w:rsid w:val="00F30849"/>
    <w:rsid w:val="00F30878"/>
    <w:rsid w:val="00F308F9"/>
    <w:rsid w:val="00F30C44"/>
    <w:rsid w:val="00F30C71"/>
    <w:rsid w:val="00F31103"/>
    <w:rsid w:val="00F311DA"/>
    <w:rsid w:val="00F3122D"/>
    <w:rsid w:val="00F313F4"/>
    <w:rsid w:val="00F3157B"/>
    <w:rsid w:val="00F31619"/>
    <w:rsid w:val="00F316F4"/>
    <w:rsid w:val="00F31712"/>
    <w:rsid w:val="00F3186B"/>
    <w:rsid w:val="00F31949"/>
    <w:rsid w:val="00F319A4"/>
    <w:rsid w:val="00F31A36"/>
    <w:rsid w:val="00F31AF1"/>
    <w:rsid w:val="00F31EB2"/>
    <w:rsid w:val="00F31F53"/>
    <w:rsid w:val="00F31F72"/>
    <w:rsid w:val="00F3202F"/>
    <w:rsid w:val="00F3211D"/>
    <w:rsid w:val="00F321FE"/>
    <w:rsid w:val="00F32620"/>
    <w:rsid w:val="00F327DC"/>
    <w:rsid w:val="00F327FA"/>
    <w:rsid w:val="00F3287F"/>
    <w:rsid w:val="00F32892"/>
    <w:rsid w:val="00F32951"/>
    <w:rsid w:val="00F32A12"/>
    <w:rsid w:val="00F32A7B"/>
    <w:rsid w:val="00F32BB4"/>
    <w:rsid w:val="00F32D8B"/>
    <w:rsid w:val="00F32E08"/>
    <w:rsid w:val="00F32E18"/>
    <w:rsid w:val="00F32EEF"/>
    <w:rsid w:val="00F33041"/>
    <w:rsid w:val="00F330CB"/>
    <w:rsid w:val="00F33190"/>
    <w:rsid w:val="00F33424"/>
    <w:rsid w:val="00F33455"/>
    <w:rsid w:val="00F33575"/>
    <w:rsid w:val="00F33673"/>
    <w:rsid w:val="00F33725"/>
    <w:rsid w:val="00F33796"/>
    <w:rsid w:val="00F3380E"/>
    <w:rsid w:val="00F3390A"/>
    <w:rsid w:val="00F33BD8"/>
    <w:rsid w:val="00F33C47"/>
    <w:rsid w:val="00F33D3A"/>
    <w:rsid w:val="00F33EFE"/>
    <w:rsid w:val="00F33FB2"/>
    <w:rsid w:val="00F340DE"/>
    <w:rsid w:val="00F341F6"/>
    <w:rsid w:val="00F34630"/>
    <w:rsid w:val="00F34760"/>
    <w:rsid w:val="00F347F3"/>
    <w:rsid w:val="00F34B6C"/>
    <w:rsid w:val="00F34C09"/>
    <w:rsid w:val="00F34CB4"/>
    <w:rsid w:val="00F34EAC"/>
    <w:rsid w:val="00F34EB6"/>
    <w:rsid w:val="00F34F98"/>
    <w:rsid w:val="00F34FDF"/>
    <w:rsid w:val="00F35046"/>
    <w:rsid w:val="00F35157"/>
    <w:rsid w:val="00F351EA"/>
    <w:rsid w:val="00F35441"/>
    <w:rsid w:val="00F35458"/>
    <w:rsid w:val="00F3546C"/>
    <w:rsid w:val="00F354D6"/>
    <w:rsid w:val="00F355EA"/>
    <w:rsid w:val="00F35628"/>
    <w:rsid w:val="00F356F4"/>
    <w:rsid w:val="00F35779"/>
    <w:rsid w:val="00F35826"/>
    <w:rsid w:val="00F35843"/>
    <w:rsid w:val="00F3596A"/>
    <w:rsid w:val="00F359C0"/>
    <w:rsid w:val="00F35B10"/>
    <w:rsid w:val="00F35B4B"/>
    <w:rsid w:val="00F35DFC"/>
    <w:rsid w:val="00F36013"/>
    <w:rsid w:val="00F36048"/>
    <w:rsid w:val="00F36450"/>
    <w:rsid w:val="00F36576"/>
    <w:rsid w:val="00F36A47"/>
    <w:rsid w:val="00F36A59"/>
    <w:rsid w:val="00F36C35"/>
    <w:rsid w:val="00F36C4B"/>
    <w:rsid w:val="00F36D76"/>
    <w:rsid w:val="00F36E95"/>
    <w:rsid w:val="00F36EAC"/>
    <w:rsid w:val="00F37153"/>
    <w:rsid w:val="00F3720D"/>
    <w:rsid w:val="00F374F5"/>
    <w:rsid w:val="00F376A1"/>
    <w:rsid w:val="00F37807"/>
    <w:rsid w:val="00F378EC"/>
    <w:rsid w:val="00F3794D"/>
    <w:rsid w:val="00F37A6F"/>
    <w:rsid w:val="00F37D4E"/>
    <w:rsid w:val="00F37D52"/>
    <w:rsid w:val="00F37DD1"/>
    <w:rsid w:val="00F37DE9"/>
    <w:rsid w:val="00F37DFC"/>
    <w:rsid w:val="00F37E8C"/>
    <w:rsid w:val="00F37E98"/>
    <w:rsid w:val="00F37F54"/>
    <w:rsid w:val="00F40052"/>
    <w:rsid w:val="00F4006F"/>
    <w:rsid w:val="00F401B5"/>
    <w:rsid w:val="00F4026B"/>
    <w:rsid w:val="00F402B6"/>
    <w:rsid w:val="00F403A3"/>
    <w:rsid w:val="00F40442"/>
    <w:rsid w:val="00F40502"/>
    <w:rsid w:val="00F40519"/>
    <w:rsid w:val="00F405D3"/>
    <w:rsid w:val="00F40691"/>
    <w:rsid w:val="00F4083E"/>
    <w:rsid w:val="00F40854"/>
    <w:rsid w:val="00F4090C"/>
    <w:rsid w:val="00F40A29"/>
    <w:rsid w:val="00F40ACD"/>
    <w:rsid w:val="00F40C99"/>
    <w:rsid w:val="00F40D0A"/>
    <w:rsid w:val="00F40EE1"/>
    <w:rsid w:val="00F40F79"/>
    <w:rsid w:val="00F41143"/>
    <w:rsid w:val="00F411EC"/>
    <w:rsid w:val="00F41282"/>
    <w:rsid w:val="00F413EB"/>
    <w:rsid w:val="00F413F0"/>
    <w:rsid w:val="00F4152A"/>
    <w:rsid w:val="00F41549"/>
    <w:rsid w:val="00F415CF"/>
    <w:rsid w:val="00F415FC"/>
    <w:rsid w:val="00F4183D"/>
    <w:rsid w:val="00F41856"/>
    <w:rsid w:val="00F418D7"/>
    <w:rsid w:val="00F418F5"/>
    <w:rsid w:val="00F419C4"/>
    <w:rsid w:val="00F41BF7"/>
    <w:rsid w:val="00F42038"/>
    <w:rsid w:val="00F420AD"/>
    <w:rsid w:val="00F42106"/>
    <w:rsid w:val="00F421FD"/>
    <w:rsid w:val="00F422E7"/>
    <w:rsid w:val="00F42380"/>
    <w:rsid w:val="00F424EC"/>
    <w:rsid w:val="00F4264E"/>
    <w:rsid w:val="00F42797"/>
    <w:rsid w:val="00F42828"/>
    <w:rsid w:val="00F42865"/>
    <w:rsid w:val="00F42880"/>
    <w:rsid w:val="00F42924"/>
    <w:rsid w:val="00F429F4"/>
    <w:rsid w:val="00F42AFC"/>
    <w:rsid w:val="00F42B04"/>
    <w:rsid w:val="00F42B7B"/>
    <w:rsid w:val="00F42BC6"/>
    <w:rsid w:val="00F42CDE"/>
    <w:rsid w:val="00F42D24"/>
    <w:rsid w:val="00F42D6A"/>
    <w:rsid w:val="00F42F44"/>
    <w:rsid w:val="00F431B2"/>
    <w:rsid w:val="00F4329E"/>
    <w:rsid w:val="00F43336"/>
    <w:rsid w:val="00F43404"/>
    <w:rsid w:val="00F43532"/>
    <w:rsid w:val="00F435BA"/>
    <w:rsid w:val="00F43839"/>
    <w:rsid w:val="00F438C7"/>
    <w:rsid w:val="00F43A91"/>
    <w:rsid w:val="00F43A97"/>
    <w:rsid w:val="00F43AC9"/>
    <w:rsid w:val="00F43B06"/>
    <w:rsid w:val="00F43D47"/>
    <w:rsid w:val="00F43F12"/>
    <w:rsid w:val="00F43FA1"/>
    <w:rsid w:val="00F4413C"/>
    <w:rsid w:val="00F44160"/>
    <w:rsid w:val="00F44259"/>
    <w:rsid w:val="00F4474A"/>
    <w:rsid w:val="00F447AC"/>
    <w:rsid w:val="00F447D7"/>
    <w:rsid w:val="00F448AB"/>
    <w:rsid w:val="00F448FB"/>
    <w:rsid w:val="00F4490E"/>
    <w:rsid w:val="00F44C54"/>
    <w:rsid w:val="00F44CDB"/>
    <w:rsid w:val="00F44E9A"/>
    <w:rsid w:val="00F45005"/>
    <w:rsid w:val="00F4518C"/>
    <w:rsid w:val="00F451EA"/>
    <w:rsid w:val="00F4541C"/>
    <w:rsid w:val="00F45933"/>
    <w:rsid w:val="00F45A73"/>
    <w:rsid w:val="00F45B72"/>
    <w:rsid w:val="00F45BDC"/>
    <w:rsid w:val="00F45E43"/>
    <w:rsid w:val="00F461B6"/>
    <w:rsid w:val="00F462AD"/>
    <w:rsid w:val="00F463BC"/>
    <w:rsid w:val="00F464AA"/>
    <w:rsid w:val="00F464E2"/>
    <w:rsid w:val="00F46610"/>
    <w:rsid w:val="00F4683F"/>
    <w:rsid w:val="00F46A14"/>
    <w:rsid w:val="00F46B67"/>
    <w:rsid w:val="00F46C04"/>
    <w:rsid w:val="00F46FD5"/>
    <w:rsid w:val="00F47100"/>
    <w:rsid w:val="00F47249"/>
    <w:rsid w:val="00F4731B"/>
    <w:rsid w:val="00F473C3"/>
    <w:rsid w:val="00F47663"/>
    <w:rsid w:val="00F47684"/>
    <w:rsid w:val="00F47A76"/>
    <w:rsid w:val="00F47B98"/>
    <w:rsid w:val="00F47D9C"/>
    <w:rsid w:val="00F47EA0"/>
    <w:rsid w:val="00F47F50"/>
    <w:rsid w:val="00F47FCA"/>
    <w:rsid w:val="00F500A8"/>
    <w:rsid w:val="00F5021C"/>
    <w:rsid w:val="00F50712"/>
    <w:rsid w:val="00F50934"/>
    <w:rsid w:val="00F50A27"/>
    <w:rsid w:val="00F50A48"/>
    <w:rsid w:val="00F50A4C"/>
    <w:rsid w:val="00F50AD3"/>
    <w:rsid w:val="00F50B82"/>
    <w:rsid w:val="00F50BD7"/>
    <w:rsid w:val="00F50BEF"/>
    <w:rsid w:val="00F50D6C"/>
    <w:rsid w:val="00F50E37"/>
    <w:rsid w:val="00F510E5"/>
    <w:rsid w:val="00F5119B"/>
    <w:rsid w:val="00F513AF"/>
    <w:rsid w:val="00F513FD"/>
    <w:rsid w:val="00F516BA"/>
    <w:rsid w:val="00F51720"/>
    <w:rsid w:val="00F5199A"/>
    <w:rsid w:val="00F51A90"/>
    <w:rsid w:val="00F51B60"/>
    <w:rsid w:val="00F51D34"/>
    <w:rsid w:val="00F51DA6"/>
    <w:rsid w:val="00F51E24"/>
    <w:rsid w:val="00F51E2B"/>
    <w:rsid w:val="00F51F09"/>
    <w:rsid w:val="00F5223E"/>
    <w:rsid w:val="00F52391"/>
    <w:rsid w:val="00F526D6"/>
    <w:rsid w:val="00F528FD"/>
    <w:rsid w:val="00F529F9"/>
    <w:rsid w:val="00F52B22"/>
    <w:rsid w:val="00F52C00"/>
    <w:rsid w:val="00F52DBB"/>
    <w:rsid w:val="00F52FAC"/>
    <w:rsid w:val="00F52FF1"/>
    <w:rsid w:val="00F5320C"/>
    <w:rsid w:val="00F53290"/>
    <w:rsid w:val="00F534B1"/>
    <w:rsid w:val="00F5354C"/>
    <w:rsid w:val="00F53640"/>
    <w:rsid w:val="00F5372D"/>
    <w:rsid w:val="00F5374C"/>
    <w:rsid w:val="00F537AE"/>
    <w:rsid w:val="00F53815"/>
    <w:rsid w:val="00F53833"/>
    <w:rsid w:val="00F5387C"/>
    <w:rsid w:val="00F53A27"/>
    <w:rsid w:val="00F53AF4"/>
    <w:rsid w:val="00F53B86"/>
    <w:rsid w:val="00F53DB0"/>
    <w:rsid w:val="00F53DD7"/>
    <w:rsid w:val="00F53E17"/>
    <w:rsid w:val="00F53F1D"/>
    <w:rsid w:val="00F53FBB"/>
    <w:rsid w:val="00F54166"/>
    <w:rsid w:val="00F541ED"/>
    <w:rsid w:val="00F542E3"/>
    <w:rsid w:val="00F54308"/>
    <w:rsid w:val="00F543A6"/>
    <w:rsid w:val="00F546AB"/>
    <w:rsid w:val="00F54973"/>
    <w:rsid w:val="00F54A71"/>
    <w:rsid w:val="00F54B4C"/>
    <w:rsid w:val="00F54C4D"/>
    <w:rsid w:val="00F54DAF"/>
    <w:rsid w:val="00F54E50"/>
    <w:rsid w:val="00F54F49"/>
    <w:rsid w:val="00F550B4"/>
    <w:rsid w:val="00F55144"/>
    <w:rsid w:val="00F55204"/>
    <w:rsid w:val="00F553F6"/>
    <w:rsid w:val="00F554E1"/>
    <w:rsid w:val="00F555D6"/>
    <w:rsid w:val="00F5575B"/>
    <w:rsid w:val="00F557B0"/>
    <w:rsid w:val="00F557DA"/>
    <w:rsid w:val="00F55A1E"/>
    <w:rsid w:val="00F55AF5"/>
    <w:rsid w:val="00F55D55"/>
    <w:rsid w:val="00F55E5F"/>
    <w:rsid w:val="00F56083"/>
    <w:rsid w:val="00F5628F"/>
    <w:rsid w:val="00F563F1"/>
    <w:rsid w:val="00F5640B"/>
    <w:rsid w:val="00F565FF"/>
    <w:rsid w:val="00F5663A"/>
    <w:rsid w:val="00F56720"/>
    <w:rsid w:val="00F56816"/>
    <w:rsid w:val="00F56B3A"/>
    <w:rsid w:val="00F56E0D"/>
    <w:rsid w:val="00F56FDD"/>
    <w:rsid w:val="00F56FED"/>
    <w:rsid w:val="00F5714D"/>
    <w:rsid w:val="00F571A4"/>
    <w:rsid w:val="00F576EC"/>
    <w:rsid w:val="00F57978"/>
    <w:rsid w:val="00F57D31"/>
    <w:rsid w:val="00F57DA2"/>
    <w:rsid w:val="00F57DD6"/>
    <w:rsid w:val="00F57FD5"/>
    <w:rsid w:val="00F601D0"/>
    <w:rsid w:val="00F601E8"/>
    <w:rsid w:val="00F60235"/>
    <w:rsid w:val="00F6036F"/>
    <w:rsid w:val="00F60545"/>
    <w:rsid w:val="00F60569"/>
    <w:rsid w:val="00F6070D"/>
    <w:rsid w:val="00F60909"/>
    <w:rsid w:val="00F609EC"/>
    <w:rsid w:val="00F60B5C"/>
    <w:rsid w:val="00F60C62"/>
    <w:rsid w:val="00F60E77"/>
    <w:rsid w:val="00F61027"/>
    <w:rsid w:val="00F610FC"/>
    <w:rsid w:val="00F612CC"/>
    <w:rsid w:val="00F612EE"/>
    <w:rsid w:val="00F6132F"/>
    <w:rsid w:val="00F6152C"/>
    <w:rsid w:val="00F61697"/>
    <w:rsid w:val="00F616A7"/>
    <w:rsid w:val="00F61717"/>
    <w:rsid w:val="00F61B6D"/>
    <w:rsid w:val="00F61CFD"/>
    <w:rsid w:val="00F61E89"/>
    <w:rsid w:val="00F61EA4"/>
    <w:rsid w:val="00F61F0B"/>
    <w:rsid w:val="00F61FDE"/>
    <w:rsid w:val="00F62094"/>
    <w:rsid w:val="00F621D0"/>
    <w:rsid w:val="00F62242"/>
    <w:rsid w:val="00F623E5"/>
    <w:rsid w:val="00F623EA"/>
    <w:rsid w:val="00F625DB"/>
    <w:rsid w:val="00F62667"/>
    <w:rsid w:val="00F62719"/>
    <w:rsid w:val="00F6276F"/>
    <w:rsid w:val="00F6283F"/>
    <w:rsid w:val="00F62C23"/>
    <w:rsid w:val="00F62E62"/>
    <w:rsid w:val="00F62EBF"/>
    <w:rsid w:val="00F630F3"/>
    <w:rsid w:val="00F63334"/>
    <w:rsid w:val="00F633F8"/>
    <w:rsid w:val="00F6356D"/>
    <w:rsid w:val="00F636B4"/>
    <w:rsid w:val="00F63805"/>
    <w:rsid w:val="00F638D2"/>
    <w:rsid w:val="00F63CE1"/>
    <w:rsid w:val="00F63D30"/>
    <w:rsid w:val="00F63DAE"/>
    <w:rsid w:val="00F64187"/>
    <w:rsid w:val="00F64190"/>
    <w:rsid w:val="00F641CA"/>
    <w:rsid w:val="00F642A8"/>
    <w:rsid w:val="00F644DA"/>
    <w:rsid w:val="00F6460E"/>
    <w:rsid w:val="00F64640"/>
    <w:rsid w:val="00F6498D"/>
    <w:rsid w:val="00F64C3E"/>
    <w:rsid w:val="00F64C3F"/>
    <w:rsid w:val="00F64D5A"/>
    <w:rsid w:val="00F64D85"/>
    <w:rsid w:val="00F64F28"/>
    <w:rsid w:val="00F651CC"/>
    <w:rsid w:val="00F65281"/>
    <w:rsid w:val="00F654D9"/>
    <w:rsid w:val="00F655E5"/>
    <w:rsid w:val="00F6568A"/>
    <w:rsid w:val="00F657A9"/>
    <w:rsid w:val="00F658AA"/>
    <w:rsid w:val="00F658AE"/>
    <w:rsid w:val="00F65AD9"/>
    <w:rsid w:val="00F65B23"/>
    <w:rsid w:val="00F65B7D"/>
    <w:rsid w:val="00F65C7C"/>
    <w:rsid w:val="00F65CB7"/>
    <w:rsid w:val="00F65CF0"/>
    <w:rsid w:val="00F65D72"/>
    <w:rsid w:val="00F65DEF"/>
    <w:rsid w:val="00F65E2E"/>
    <w:rsid w:val="00F65E83"/>
    <w:rsid w:val="00F65EDA"/>
    <w:rsid w:val="00F65F67"/>
    <w:rsid w:val="00F6608E"/>
    <w:rsid w:val="00F6612C"/>
    <w:rsid w:val="00F6612F"/>
    <w:rsid w:val="00F6633F"/>
    <w:rsid w:val="00F66550"/>
    <w:rsid w:val="00F665FE"/>
    <w:rsid w:val="00F66634"/>
    <w:rsid w:val="00F666A2"/>
    <w:rsid w:val="00F667C5"/>
    <w:rsid w:val="00F66828"/>
    <w:rsid w:val="00F669B9"/>
    <w:rsid w:val="00F66B2A"/>
    <w:rsid w:val="00F66B9F"/>
    <w:rsid w:val="00F66C4C"/>
    <w:rsid w:val="00F66E94"/>
    <w:rsid w:val="00F66ED9"/>
    <w:rsid w:val="00F672DA"/>
    <w:rsid w:val="00F6755B"/>
    <w:rsid w:val="00F67932"/>
    <w:rsid w:val="00F67992"/>
    <w:rsid w:val="00F67A1E"/>
    <w:rsid w:val="00F67CCF"/>
    <w:rsid w:val="00F67D50"/>
    <w:rsid w:val="00F70033"/>
    <w:rsid w:val="00F7019C"/>
    <w:rsid w:val="00F701C9"/>
    <w:rsid w:val="00F70200"/>
    <w:rsid w:val="00F702E5"/>
    <w:rsid w:val="00F703D0"/>
    <w:rsid w:val="00F705E8"/>
    <w:rsid w:val="00F70813"/>
    <w:rsid w:val="00F708B1"/>
    <w:rsid w:val="00F708F8"/>
    <w:rsid w:val="00F70937"/>
    <w:rsid w:val="00F709A4"/>
    <w:rsid w:val="00F70A9F"/>
    <w:rsid w:val="00F70DBD"/>
    <w:rsid w:val="00F70E34"/>
    <w:rsid w:val="00F71284"/>
    <w:rsid w:val="00F713A8"/>
    <w:rsid w:val="00F713BA"/>
    <w:rsid w:val="00F7157E"/>
    <w:rsid w:val="00F7173A"/>
    <w:rsid w:val="00F71841"/>
    <w:rsid w:val="00F71AD2"/>
    <w:rsid w:val="00F71C30"/>
    <w:rsid w:val="00F71D31"/>
    <w:rsid w:val="00F71E53"/>
    <w:rsid w:val="00F71F32"/>
    <w:rsid w:val="00F71F50"/>
    <w:rsid w:val="00F71FDF"/>
    <w:rsid w:val="00F72055"/>
    <w:rsid w:val="00F720B4"/>
    <w:rsid w:val="00F72103"/>
    <w:rsid w:val="00F72144"/>
    <w:rsid w:val="00F7221B"/>
    <w:rsid w:val="00F72301"/>
    <w:rsid w:val="00F7252A"/>
    <w:rsid w:val="00F72776"/>
    <w:rsid w:val="00F727AA"/>
    <w:rsid w:val="00F727DE"/>
    <w:rsid w:val="00F7283C"/>
    <w:rsid w:val="00F72876"/>
    <w:rsid w:val="00F728ED"/>
    <w:rsid w:val="00F7297C"/>
    <w:rsid w:val="00F72A6C"/>
    <w:rsid w:val="00F72ABF"/>
    <w:rsid w:val="00F72CDE"/>
    <w:rsid w:val="00F72F2D"/>
    <w:rsid w:val="00F730A1"/>
    <w:rsid w:val="00F7325E"/>
    <w:rsid w:val="00F732E6"/>
    <w:rsid w:val="00F73428"/>
    <w:rsid w:val="00F73451"/>
    <w:rsid w:val="00F7348C"/>
    <w:rsid w:val="00F734F8"/>
    <w:rsid w:val="00F73B5B"/>
    <w:rsid w:val="00F73BA2"/>
    <w:rsid w:val="00F73BC0"/>
    <w:rsid w:val="00F73BC5"/>
    <w:rsid w:val="00F73D09"/>
    <w:rsid w:val="00F73DB7"/>
    <w:rsid w:val="00F73F01"/>
    <w:rsid w:val="00F7412F"/>
    <w:rsid w:val="00F741D8"/>
    <w:rsid w:val="00F742F5"/>
    <w:rsid w:val="00F744A8"/>
    <w:rsid w:val="00F74521"/>
    <w:rsid w:val="00F7455E"/>
    <w:rsid w:val="00F7463B"/>
    <w:rsid w:val="00F7468A"/>
    <w:rsid w:val="00F746CA"/>
    <w:rsid w:val="00F7472D"/>
    <w:rsid w:val="00F7484A"/>
    <w:rsid w:val="00F748AE"/>
    <w:rsid w:val="00F74953"/>
    <w:rsid w:val="00F74D76"/>
    <w:rsid w:val="00F74E87"/>
    <w:rsid w:val="00F74EDD"/>
    <w:rsid w:val="00F7503A"/>
    <w:rsid w:val="00F7506B"/>
    <w:rsid w:val="00F750D4"/>
    <w:rsid w:val="00F75132"/>
    <w:rsid w:val="00F75156"/>
    <w:rsid w:val="00F75189"/>
    <w:rsid w:val="00F7529E"/>
    <w:rsid w:val="00F752B8"/>
    <w:rsid w:val="00F753F2"/>
    <w:rsid w:val="00F754E3"/>
    <w:rsid w:val="00F755EE"/>
    <w:rsid w:val="00F7566C"/>
    <w:rsid w:val="00F75734"/>
    <w:rsid w:val="00F75786"/>
    <w:rsid w:val="00F75C4A"/>
    <w:rsid w:val="00F75E2F"/>
    <w:rsid w:val="00F75F0F"/>
    <w:rsid w:val="00F75F91"/>
    <w:rsid w:val="00F75F9E"/>
    <w:rsid w:val="00F75FBB"/>
    <w:rsid w:val="00F75FF3"/>
    <w:rsid w:val="00F7600E"/>
    <w:rsid w:val="00F7612C"/>
    <w:rsid w:val="00F7627E"/>
    <w:rsid w:val="00F76280"/>
    <w:rsid w:val="00F7629E"/>
    <w:rsid w:val="00F76585"/>
    <w:rsid w:val="00F765A5"/>
    <w:rsid w:val="00F767F1"/>
    <w:rsid w:val="00F76936"/>
    <w:rsid w:val="00F769B1"/>
    <w:rsid w:val="00F76A98"/>
    <w:rsid w:val="00F76C5C"/>
    <w:rsid w:val="00F76ECE"/>
    <w:rsid w:val="00F770D1"/>
    <w:rsid w:val="00F77177"/>
    <w:rsid w:val="00F772BE"/>
    <w:rsid w:val="00F7733E"/>
    <w:rsid w:val="00F773C8"/>
    <w:rsid w:val="00F77499"/>
    <w:rsid w:val="00F778D4"/>
    <w:rsid w:val="00F77912"/>
    <w:rsid w:val="00F7795E"/>
    <w:rsid w:val="00F779DA"/>
    <w:rsid w:val="00F77B90"/>
    <w:rsid w:val="00F77E48"/>
    <w:rsid w:val="00F77ED4"/>
    <w:rsid w:val="00F80010"/>
    <w:rsid w:val="00F8008B"/>
    <w:rsid w:val="00F801A8"/>
    <w:rsid w:val="00F802A3"/>
    <w:rsid w:val="00F802F0"/>
    <w:rsid w:val="00F80357"/>
    <w:rsid w:val="00F803E2"/>
    <w:rsid w:val="00F80451"/>
    <w:rsid w:val="00F80648"/>
    <w:rsid w:val="00F80B71"/>
    <w:rsid w:val="00F80C40"/>
    <w:rsid w:val="00F80D28"/>
    <w:rsid w:val="00F80D50"/>
    <w:rsid w:val="00F80F52"/>
    <w:rsid w:val="00F8103E"/>
    <w:rsid w:val="00F8125B"/>
    <w:rsid w:val="00F812B5"/>
    <w:rsid w:val="00F81449"/>
    <w:rsid w:val="00F815ED"/>
    <w:rsid w:val="00F81628"/>
    <w:rsid w:val="00F816E9"/>
    <w:rsid w:val="00F81720"/>
    <w:rsid w:val="00F81732"/>
    <w:rsid w:val="00F8173B"/>
    <w:rsid w:val="00F81951"/>
    <w:rsid w:val="00F8199B"/>
    <w:rsid w:val="00F81A44"/>
    <w:rsid w:val="00F81A86"/>
    <w:rsid w:val="00F81AEB"/>
    <w:rsid w:val="00F81DC8"/>
    <w:rsid w:val="00F81E0B"/>
    <w:rsid w:val="00F81E9C"/>
    <w:rsid w:val="00F8210D"/>
    <w:rsid w:val="00F82181"/>
    <w:rsid w:val="00F821BE"/>
    <w:rsid w:val="00F8223C"/>
    <w:rsid w:val="00F822BD"/>
    <w:rsid w:val="00F82317"/>
    <w:rsid w:val="00F8232E"/>
    <w:rsid w:val="00F823B6"/>
    <w:rsid w:val="00F8260C"/>
    <w:rsid w:val="00F826C7"/>
    <w:rsid w:val="00F827E5"/>
    <w:rsid w:val="00F828E8"/>
    <w:rsid w:val="00F82AB8"/>
    <w:rsid w:val="00F82C56"/>
    <w:rsid w:val="00F82CFB"/>
    <w:rsid w:val="00F82E61"/>
    <w:rsid w:val="00F82EB1"/>
    <w:rsid w:val="00F82F28"/>
    <w:rsid w:val="00F82F4A"/>
    <w:rsid w:val="00F83234"/>
    <w:rsid w:val="00F8338B"/>
    <w:rsid w:val="00F833FB"/>
    <w:rsid w:val="00F83452"/>
    <w:rsid w:val="00F83556"/>
    <w:rsid w:val="00F835F8"/>
    <w:rsid w:val="00F8366C"/>
    <w:rsid w:val="00F8368B"/>
    <w:rsid w:val="00F8373A"/>
    <w:rsid w:val="00F83A65"/>
    <w:rsid w:val="00F83D76"/>
    <w:rsid w:val="00F83D9D"/>
    <w:rsid w:val="00F83DF6"/>
    <w:rsid w:val="00F83DF8"/>
    <w:rsid w:val="00F83EE5"/>
    <w:rsid w:val="00F84005"/>
    <w:rsid w:val="00F8404E"/>
    <w:rsid w:val="00F840C6"/>
    <w:rsid w:val="00F840D3"/>
    <w:rsid w:val="00F8433F"/>
    <w:rsid w:val="00F845AE"/>
    <w:rsid w:val="00F84723"/>
    <w:rsid w:val="00F8475F"/>
    <w:rsid w:val="00F8478F"/>
    <w:rsid w:val="00F84825"/>
    <w:rsid w:val="00F8491D"/>
    <w:rsid w:val="00F84983"/>
    <w:rsid w:val="00F849FE"/>
    <w:rsid w:val="00F84AFB"/>
    <w:rsid w:val="00F84BB9"/>
    <w:rsid w:val="00F84C94"/>
    <w:rsid w:val="00F84CD7"/>
    <w:rsid w:val="00F84EA0"/>
    <w:rsid w:val="00F84F12"/>
    <w:rsid w:val="00F84F4A"/>
    <w:rsid w:val="00F8503E"/>
    <w:rsid w:val="00F85095"/>
    <w:rsid w:val="00F850A0"/>
    <w:rsid w:val="00F8511C"/>
    <w:rsid w:val="00F85121"/>
    <w:rsid w:val="00F85169"/>
    <w:rsid w:val="00F85306"/>
    <w:rsid w:val="00F85527"/>
    <w:rsid w:val="00F855FF"/>
    <w:rsid w:val="00F85605"/>
    <w:rsid w:val="00F859E2"/>
    <w:rsid w:val="00F85AA4"/>
    <w:rsid w:val="00F85BCE"/>
    <w:rsid w:val="00F85C77"/>
    <w:rsid w:val="00F85DAE"/>
    <w:rsid w:val="00F85EA3"/>
    <w:rsid w:val="00F85EBF"/>
    <w:rsid w:val="00F85FB0"/>
    <w:rsid w:val="00F85FEA"/>
    <w:rsid w:val="00F860CE"/>
    <w:rsid w:val="00F86274"/>
    <w:rsid w:val="00F86282"/>
    <w:rsid w:val="00F862F2"/>
    <w:rsid w:val="00F86549"/>
    <w:rsid w:val="00F865F8"/>
    <w:rsid w:val="00F86691"/>
    <w:rsid w:val="00F86927"/>
    <w:rsid w:val="00F86B5B"/>
    <w:rsid w:val="00F86B84"/>
    <w:rsid w:val="00F86E20"/>
    <w:rsid w:val="00F86E95"/>
    <w:rsid w:val="00F86EAF"/>
    <w:rsid w:val="00F86F4C"/>
    <w:rsid w:val="00F86FBE"/>
    <w:rsid w:val="00F87004"/>
    <w:rsid w:val="00F87081"/>
    <w:rsid w:val="00F870CC"/>
    <w:rsid w:val="00F870D0"/>
    <w:rsid w:val="00F871D6"/>
    <w:rsid w:val="00F871DF"/>
    <w:rsid w:val="00F871F8"/>
    <w:rsid w:val="00F87390"/>
    <w:rsid w:val="00F87602"/>
    <w:rsid w:val="00F8767B"/>
    <w:rsid w:val="00F87745"/>
    <w:rsid w:val="00F8776F"/>
    <w:rsid w:val="00F87797"/>
    <w:rsid w:val="00F87CDA"/>
    <w:rsid w:val="00F87F54"/>
    <w:rsid w:val="00F900AB"/>
    <w:rsid w:val="00F90189"/>
    <w:rsid w:val="00F90288"/>
    <w:rsid w:val="00F902E8"/>
    <w:rsid w:val="00F905DB"/>
    <w:rsid w:val="00F9085D"/>
    <w:rsid w:val="00F9092C"/>
    <w:rsid w:val="00F90A4F"/>
    <w:rsid w:val="00F90BFB"/>
    <w:rsid w:val="00F90CC9"/>
    <w:rsid w:val="00F90DAC"/>
    <w:rsid w:val="00F90DD3"/>
    <w:rsid w:val="00F90E9C"/>
    <w:rsid w:val="00F90FA9"/>
    <w:rsid w:val="00F910D4"/>
    <w:rsid w:val="00F912BD"/>
    <w:rsid w:val="00F91368"/>
    <w:rsid w:val="00F9144C"/>
    <w:rsid w:val="00F914E7"/>
    <w:rsid w:val="00F9153A"/>
    <w:rsid w:val="00F915C8"/>
    <w:rsid w:val="00F9160D"/>
    <w:rsid w:val="00F9160E"/>
    <w:rsid w:val="00F917E2"/>
    <w:rsid w:val="00F9193E"/>
    <w:rsid w:val="00F9194F"/>
    <w:rsid w:val="00F91AD9"/>
    <w:rsid w:val="00F91BBD"/>
    <w:rsid w:val="00F91E58"/>
    <w:rsid w:val="00F91F99"/>
    <w:rsid w:val="00F91FA4"/>
    <w:rsid w:val="00F9214D"/>
    <w:rsid w:val="00F9215D"/>
    <w:rsid w:val="00F92220"/>
    <w:rsid w:val="00F922EF"/>
    <w:rsid w:val="00F92391"/>
    <w:rsid w:val="00F9252F"/>
    <w:rsid w:val="00F925C3"/>
    <w:rsid w:val="00F9265B"/>
    <w:rsid w:val="00F926BF"/>
    <w:rsid w:val="00F92705"/>
    <w:rsid w:val="00F9270E"/>
    <w:rsid w:val="00F927D7"/>
    <w:rsid w:val="00F9293E"/>
    <w:rsid w:val="00F92B25"/>
    <w:rsid w:val="00F92C4A"/>
    <w:rsid w:val="00F92CE8"/>
    <w:rsid w:val="00F92D62"/>
    <w:rsid w:val="00F92D9F"/>
    <w:rsid w:val="00F92DA4"/>
    <w:rsid w:val="00F92EF8"/>
    <w:rsid w:val="00F92F37"/>
    <w:rsid w:val="00F92F69"/>
    <w:rsid w:val="00F930C6"/>
    <w:rsid w:val="00F9326D"/>
    <w:rsid w:val="00F9334A"/>
    <w:rsid w:val="00F934B8"/>
    <w:rsid w:val="00F93529"/>
    <w:rsid w:val="00F936A1"/>
    <w:rsid w:val="00F936B2"/>
    <w:rsid w:val="00F936C1"/>
    <w:rsid w:val="00F93A3F"/>
    <w:rsid w:val="00F93A7C"/>
    <w:rsid w:val="00F93B32"/>
    <w:rsid w:val="00F93BF9"/>
    <w:rsid w:val="00F93CD9"/>
    <w:rsid w:val="00F93F9D"/>
    <w:rsid w:val="00F93FAB"/>
    <w:rsid w:val="00F93FFA"/>
    <w:rsid w:val="00F940B6"/>
    <w:rsid w:val="00F94290"/>
    <w:rsid w:val="00F942C2"/>
    <w:rsid w:val="00F942CE"/>
    <w:rsid w:val="00F94481"/>
    <w:rsid w:val="00F94514"/>
    <w:rsid w:val="00F9459F"/>
    <w:rsid w:val="00F946F8"/>
    <w:rsid w:val="00F94784"/>
    <w:rsid w:val="00F948E1"/>
    <w:rsid w:val="00F948FA"/>
    <w:rsid w:val="00F9499E"/>
    <w:rsid w:val="00F94B76"/>
    <w:rsid w:val="00F94D79"/>
    <w:rsid w:val="00F94DD8"/>
    <w:rsid w:val="00F94F80"/>
    <w:rsid w:val="00F951AC"/>
    <w:rsid w:val="00F952FF"/>
    <w:rsid w:val="00F954C3"/>
    <w:rsid w:val="00F95575"/>
    <w:rsid w:val="00F955D6"/>
    <w:rsid w:val="00F955E3"/>
    <w:rsid w:val="00F95628"/>
    <w:rsid w:val="00F957A4"/>
    <w:rsid w:val="00F95848"/>
    <w:rsid w:val="00F95ADF"/>
    <w:rsid w:val="00F95C08"/>
    <w:rsid w:val="00F95C78"/>
    <w:rsid w:val="00F95DCB"/>
    <w:rsid w:val="00F95E4B"/>
    <w:rsid w:val="00F95ECA"/>
    <w:rsid w:val="00F95EEA"/>
    <w:rsid w:val="00F95F90"/>
    <w:rsid w:val="00F95FD9"/>
    <w:rsid w:val="00F95FE9"/>
    <w:rsid w:val="00F9606A"/>
    <w:rsid w:val="00F9610A"/>
    <w:rsid w:val="00F9613A"/>
    <w:rsid w:val="00F962CB"/>
    <w:rsid w:val="00F962D3"/>
    <w:rsid w:val="00F9643F"/>
    <w:rsid w:val="00F966DA"/>
    <w:rsid w:val="00F967E9"/>
    <w:rsid w:val="00F969AD"/>
    <w:rsid w:val="00F96AD0"/>
    <w:rsid w:val="00F96B88"/>
    <w:rsid w:val="00F96B8E"/>
    <w:rsid w:val="00F96C60"/>
    <w:rsid w:val="00F96CB5"/>
    <w:rsid w:val="00F96ECC"/>
    <w:rsid w:val="00F96ED2"/>
    <w:rsid w:val="00F96EFF"/>
    <w:rsid w:val="00F97068"/>
    <w:rsid w:val="00F97120"/>
    <w:rsid w:val="00F97223"/>
    <w:rsid w:val="00F97250"/>
    <w:rsid w:val="00F972C2"/>
    <w:rsid w:val="00F97320"/>
    <w:rsid w:val="00F97379"/>
    <w:rsid w:val="00F9743D"/>
    <w:rsid w:val="00F974F5"/>
    <w:rsid w:val="00F97511"/>
    <w:rsid w:val="00F97706"/>
    <w:rsid w:val="00F977D7"/>
    <w:rsid w:val="00F979A1"/>
    <w:rsid w:val="00F979C9"/>
    <w:rsid w:val="00F97B60"/>
    <w:rsid w:val="00F97BC3"/>
    <w:rsid w:val="00F97C8B"/>
    <w:rsid w:val="00F97D50"/>
    <w:rsid w:val="00F97D77"/>
    <w:rsid w:val="00F97E04"/>
    <w:rsid w:val="00F97FC2"/>
    <w:rsid w:val="00FA0034"/>
    <w:rsid w:val="00FA01D0"/>
    <w:rsid w:val="00FA046D"/>
    <w:rsid w:val="00FA05BF"/>
    <w:rsid w:val="00FA05ED"/>
    <w:rsid w:val="00FA0639"/>
    <w:rsid w:val="00FA0742"/>
    <w:rsid w:val="00FA076D"/>
    <w:rsid w:val="00FA0917"/>
    <w:rsid w:val="00FA0E66"/>
    <w:rsid w:val="00FA0ED2"/>
    <w:rsid w:val="00FA115E"/>
    <w:rsid w:val="00FA138E"/>
    <w:rsid w:val="00FA14AB"/>
    <w:rsid w:val="00FA14B2"/>
    <w:rsid w:val="00FA163D"/>
    <w:rsid w:val="00FA16CE"/>
    <w:rsid w:val="00FA190E"/>
    <w:rsid w:val="00FA19D3"/>
    <w:rsid w:val="00FA1A06"/>
    <w:rsid w:val="00FA1B12"/>
    <w:rsid w:val="00FA1C03"/>
    <w:rsid w:val="00FA1C2F"/>
    <w:rsid w:val="00FA20D1"/>
    <w:rsid w:val="00FA2213"/>
    <w:rsid w:val="00FA22A1"/>
    <w:rsid w:val="00FA2473"/>
    <w:rsid w:val="00FA24B9"/>
    <w:rsid w:val="00FA25B8"/>
    <w:rsid w:val="00FA26EB"/>
    <w:rsid w:val="00FA27DF"/>
    <w:rsid w:val="00FA290B"/>
    <w:rsid w:val="00FA2AD2"/>
    <w:rsid w:val="00FA2BD0"/>
    <w:rsid w:val="00FA2D21"/>
    <w:rsid w:val="00FA2D61"/>
    <w:rsid w:val="00FA2DF4"/>
    <w:rsid w:val="00FA31DB"/>
    <w:rsid w:val="00FA337D"/>
    <w:rsid w:val="00FA3386"/>
    <w:rsid w:val="00FA3389"/>
    <w:rsid w:val="00FA3395"/>
    <w:rsid w:val="00FA3467"/>
    <w:rsid w:val="00FA34BE"/>
    <w:rsid w:val="00FA3541"/>
    <w:rsid w:val="00FA36F6"/>
    <w:rsid w:val="00FA3961"/>
    <w:rsid w:val="00FA3A56"/>
    <w:rsid w:val="00FA3B21"/>
    <w:rsid w:val="00FA3E74"/>
    <w:rsid w:val="00FA3F53"/>
    <w:rsid w:val="00FA3FCC"/>
    <w:rsid w:val="00FA405E"/>
    <w:rsid w:val="00FA4119"/>
    <w:rsid w:val="00FA4180"/>
    <w:rsid w:val="00FA41F0"/>
    <w:rsid w:val="00FA427D"/>
    <w:rsid w:val="00FA4292"/>
    <w:rsid w:val="00FA45A9"/>
    <w:rsid w:val="00FA46B8"/>
    <w:rsid w:val="00FA4920"/>
    <w:rsid w:val="00FA4926"/>
    <w:rsid w:val="00FA4AE0"/>
    <w:rsid w:val="00FA4B66"/>
    <w:rsid w:val="00FA4C01"/>
    <w:rsid w:val="00FA4E9E"/>
    <w:rsid w:val="00FA50B6"/>
    <w:rsid w:val="00FA512A"/>
    <w:rsid w:val="00FA52A5"/>
    <w:rsid w:val="00FA53F7"/>
    <w:rsid w:val="00FA5428"/>
    <w:rsid w:val="00FA54ED"/>
    <w:rsid w:val="00FA572E"/>
    <w:rsid w:val="00FA5986"/>
    <w:rsid w:val="00FA5E10"/>
    <w:rsid w:val="00FA5EC9"/>
    <w:rsid w:val="00FA5F3C"/>
    <w:rsid w:val="00FA5FCF"/>
    <w:rsid w:val="00FA6011"/>
    <w:rsid w:val="00FA62B5"/>
    <w:rsid w:val="00FA646D"/>
    <w:rsid w:val="00FA665B"/>
    <w:rsid w:val="00FA6730"/>
    <w:rsid w:val="00FA6764"/>
    <w:rsid w:val="00FA67A0"/>
    <w:rsid w:val="00FA69CC"/>
    <w:rsid w:val="00FA6A6F"/>
    <w:rsid w:val="00FA6A75"/>
    <w:rsid w:val="00FA6A9B"/>
    <w:rsid w:val="00FA6CE1"/>
    <w:rsid w:val="00FA6E7E"/>
    <w:rsid w:val="00FA71C7"/>
    <w:rsid w:val="00FA71FA"/>
    <w:rsid w:val="00FA7287"/>
    <w:rsid w:val="00FA731C"/>
    <w:rsid w:val="00FA73DE"/>
    <w:rsid w:val="00FA7562"/>
    <w:rsid w:val="00FA7766"/>
    <w:rsid w:val="00FA776B"/>
    <w:rsid w:val="00FA7873"/>
    <w:rsid w:val="00FA788B"/>
    <w:rsid w:val="00FA7946"/>
    <w:rsid w:val="00FA7A73"/>
    <w:rsid w:val="00FA7C41"/>
    <w:rsid w:val="00FA7F86"/>
    <w:rsid w:val="00FA7F91"/>
    <w:rsid w:val="00FA7FA4"/>
    <w:rsid w:val="00FB02B4"/>
    <w:rsid w:val="00FB079A"/>
    <w:rsid w:val="00FB0A22"/>
    <w:rsid w:val="00FB0A72"/>
    <w:rsid w:val="00FB0A85"/>
    <w:rsid w:val="00FB0D1B"/>
    <w:rsid w:val="00FB102B"/>
    <w:rsid w:val="00FB1174"/>
    <w:rsid w:val="00FB11A2"/>
    <w:rsid w:val="00FB144C"/>
    <w:rsid w:val="00FB1766"/>
    <w:rsid w:val="00FB17A1"/>
    <w:rsid w:val="00FB1AF5"/>
    <w:rsid w:val="00FB1B4A"/>
    <w:rsid w:val="00FB1C08"/>
    <w:rsid w:val="00FB1E9B"/>
    <w:rsid w:val="00FB1F97"/>
    <w:rsid w:val="00FB2029"/>
    <w:rsid w:val="00FB205D"/>
    <w:rsid w:val="00FB217C"/>
    <w:rsid w:val="00FB243D"/>
    <w:rsid w:val="00FB288B"/>
    <w:rsid w:val="00FB2AE8"/>
    <w:rsid w:val="00FB2BF4"/>
    <w:rsid w:val="00FB2BFE"/>
    <w:rsid w:val="00FB2D37"/>
    <w:rsid w:val="00FB2D4E"/>
    <w:rsid w:val="00FB2E03"/>
    <w:rsid w:val="00FB2EB3"/>
    <w:rsid w:val="00FB32D5"/>
    <w:rsid w:val="00FB3398"/>
    <w:rsid w:val="00FB3541"/>
    <w:rsid w:val="00FB363B"/>
    <w:rsid w:val="00FB3735"/>
    <w:rsid w:val="00FB37D4"/>
    <w:rsid w:val="00FB37E7"/>
    <w:rsid w:val="00FB39CC"/>
    <w:rsid w:val="00FB3A68"/>
    <w:rsid w:val="00FB3B64"/>
    <w:rsid w:val="00FB3C2A"/>
    <w:rsid w:val="00FB3CD1"/>
    <w:rsid w:val="00FB3F79"/>
    <w:rsid w:val="00FB3FF9"/>
    <w:rsid w:val="00FB41C2"/>
    <w:rsid w:val="00FB4211"/>
    <w:rsid w:val="00FB431D"/>
    <w:rsid w:val="00FB4452"/>
    <w:rsid w:val="00FB45A6"/>
    <w:rsid w:val="00FB4638"/>
    <w:rsid w:val="00FB4728"/>
    <w:rsid w:val="00FB4784"/>
    <w:rsid w:val="00FB47C4"/>
    <w:rsid w:val="00FB4884"/>
    <w:rsid w:val="00FB4922"/>
    <w:rsid w:val="00FB4A3F"/>
    <w:rsid w:val="00FB4B61"/>
    <w:rsid w:val="00FB4BB7"/>
    <w:rsid w:val="00FB4C6F"/>
    <w:rsid w:val="00FB4C95"/>
    <w:rsid w:val="00FB4CFD"/>
    <w:rsid w:val="00FB4E93"/>
    <w:rsid w:val="00FB4EBD"/>
    <w:rsid w:val="00FB509A"/>
    <w:rsid w:val="00FB52A7"/>
    <w:rsid w:val="00FB52DF"/>
    <w:rsid w:val="00FB53AB"/>
    <w:rsid w:val="00FB54FE"/>
    <w:rsid w:val="00FB569E"/>
    <w:rsid w:val="00FB57DA"/>
    <w:rsid w:val="00FB5B9F"/>
    <w:rsid w:val="00FB5BF4"/>
    <w:rsid w:val="00FB5CA1"/>
    <w:rsid w:val="00FB5F59"/>
    <w:rsid w:val="00FB5F6B"/>
    <w:rsid w:val="00FB5FA5"/>
    <w:rsid w:val="00FB5FD4"/>
    <w:rsid w:val="00FB6229"/>
    <w:rsid w:val="00FB62F9"/>
    <w:rsid w:val="00FB6333"/>
    <w:rsid w:val="00FB63B6"/>
    <w:rsid w:val="00FB63F1"/>
    <w:rsid w:val="00FB6425"/>
    <w:rsid w:val="00FB64BF"/>
    <w:rsid w:val="00FB656C"/>
    <w:rsid w:val="00FB6773"/>
    <w:rsid w:val="00FB6838"/>
    <w:rsid w:val="00FB68CE"/>
    <w:rsid w:val="00FB69EE"/>
    <w:rsid w:val="00FB6BAB"/>
    <w:rsid w:val="00FB6C36"/>
    <w:rsid w:val="00FB6DA5"/>
    <w:rsid w:val="00FB6E04"/>
    <w:rsid w:val="00FB7001"/>
    <w:rsid w:val="00FB7003"/>
    <w:rsid w:val="00FB71D1"/>
    <w:rsid w:val="00FB73C9"/>
    <w:rsid w:val="00FB73F9"/>
    <w:rsid w:val="00FB751E"/>
    <w:rsid w:val="00FB752E"/>
    <w:rsid w:val="00FB75C0"/>
    <w:rsid w:val="00FB773D"/>
    <w:rsid w:val="00FB77C3"/>
    <w:rsid w:val="00FB77CE"/>
    <w:rsid w:val="00FB7D54"/>
    <w:rsid w:val="00FB7EDF"/>
    <w:rsid w:val="00FC002A"/>
    <w:rsid w:val="00FC006C"/>
    <w:rsid w:val="00FC0189"/>
    <w:rsid w:val="00FC0617"/>
    <w:rsid w:val="00FC0706"/>
    <w:rsid w:val="00FC0857"/>
    <w:rsid w:val="00FC087A"/>
    <w:rsid w:val="00FC0C2F"/>
    <w:rsid w:val="00FC0CAB"/>
    <w:rsid w:val="00FC0D66"/>
    <w:rsid w:val="00FC0DD1"/>
    <w:rsid w:val="00FC0E7D"/>
    <w:rsid w:val="00FC1080"/>
    <w:rsid w:val="00FC1228"/>
    <w:rsid w:val="00FC1335"/>
    <w:rsid w:val="00FC1617"/>
    <w:rsid w:val="00FC1661"/>
    <w:rsid w:val="00FC167E"/>
    <w:rsid w:val="00FC16C9"/>
    <w:rsid w:val="00FC16D6"/>
    <w:rsid w:val="00FC1988"/>
    <w:rsid w:val="00FC1A9A"/>
    <w:rsid w:val="00FC1D5E"/>
    <w:rsid w:val="00FC1E17"/>
    <w:rsid w:val="00FC1E42"/>
    <w:rsid w:val="00FC2101"/>
    <w:rsid w:val="00FC242A"/>
    <w:rsid w:val="00FC260E"/>
    <w:rsid w:val="00FC2612"/>
    <w:rsid w:val="00FC2842"/>
    <w:rsid w:val="00FC297B"/>
    <w:rsid w:val="00FC2A44"/>
    <w:rsid w:val="00FC2A63"/>
    <w:rsid w:val="00FC2D04"/>
    <w:rsid w:val="00FC2EC2"/>
    <w:rsid w:val="00FC2FF1"/>
    <w:rsid w:val="00FC300C"/>
    <w:rsid w:val="00FC304F"/>
    <w:rsid w:val="00FC3120"/>
    <w:rsid w:val="00FC323C"/>
    <w:rsid w:val="00FC3275"/>
    <w:rsid w:val="00FC32DA"/>
    <w:rsid w:val="00FC32FC"/>
    <w:rsid w:val="00FC343D"/>
    <w:rsid w:val="00FC34FF"/>
    <w:rsid w:val="00FC3679"/>
    <w:rsid w:val="00FC3717"/>
    <w:rsid w:val="00FC3791"/>
    <w:rsid w:val="00FC3850"/>
    <w:rsid w:val="00FC3BBD"/>
    <w:rsid w:val="00FC3E3A"/>
    <w:rsid w:val="00FC4001"/>
    <w:rsid w:val="00FC4094"/>
    <w:rsid w:val="00FC410F"/>
    <w:rsid w:val="00FC42C8"/>
    <w:rsid w:val="00FC43BB"/>
    <w:rsid w:val="00FC4474"/>
    <w:rsid w:val="00FC448A"/>
    <w:rsid w:val="00FC448F"/>
    <w:rsid w:val="00FC4666"/>
    <w:rsid w:val="00FC4A46"/>
    <w:rsid w:val="00FC4BBE"/>
    <w:rsid w:val="00FC4BC4"/>
    <w:rsid w:val="00FC4CD4"/>
    <w:rsid w:val="00FC4FA2"/>
    <w:rsid w:val="00FC5022"/>
    <w:rsid w:val="00FC5025"/>
    <w:rsid w:val="00FC5036"/>
    <w:rsid w:val="00FC504D"/>
    <w:rsid w:val="00FC50A9"/>
    <w:rsid w:val="00FC50DD"/>
    <w:rsid w:val="00FC5124"/>
    <w:rsid w:val="00FC5208"/>
    <w:rsid w:val="00FC528D"/>
    <w:rsid w:val="00FC53FF"/>
    <w:rsid w:val="00FC5546"/>
    <w:rsid w:val="00FC5605"/>
    <w:rsid w:val="00FC57DA"/>
    <w:rsid w:val="00FC58E5"/>
    <w:rsid w:val="00FC5912"/>
    <w:rsid w:val="00FC5947"/>
    <w:rsid w:val="00FC59F3"/>
    <w:rsid w:val="00FC5A01"/>
    <w:rsid w:val="00FC5A6E"/>
    <w:rsid w:val="00FC5BEC"/>
    <w:rsid w:val="00FC5CC9"/>
    <w:rsid w:val="00FC5D51"/>
    <w:rsid w:val="00FC5DBD"/>
    <w:rsid w:val="00FC5E79"/>
    <w:rsid w:val="00FC5EB7"/>
    <w:rsid w:val="00FC5F81"/>
    <w:rsid w:val="00FC605B"/>
    <w:rsid w:val="00FC60DA"/>
    <w:rsid w:val="00FC636B"/>
    <w:rsid w:val="00FC6470"/>
    <w:rsid w:val="00FC6497"/>
    <w:rsid w:val="00FC65C4"/>
    <w:rsid w:val="00FC65D1"/>
    <w:rsid w:val="00FC6779"/>
    <w:rsid w:val="00FC680B"/>
    <w:rsid w:val="00FC6940"/>
    <w:rsid w:val="00FC6AD5"/>
    <w:rsid w:val="00FC6C47"/>
    <w:rsid w:val="00FC6C55"/>
    <w:rsid w:val="00FC6DB9"/>
    <w:rsid w:val="00FC6DD3"/>
    <w:rsid w:val="00FC6E5C"/>
    <w:rsid w:val="00FC6E62"/>
    <w:rsid w:val="00FC6EB2"/>
    <w:rsid w:val="00FC6EB4"/>
    <w:rsid w:val="00FC7060"/>
    <w:rsid w:val="00FC7252"/>
    <w:rsid w:val="00FC7261"/>
    <w:rsid w:val="00FC74D4"/>
    <w:rsid w:val="00FC76E9"/>
    <w:rsid w:val="00FC7760"/>
    <w:rsid w:val="00FC780A"/>
    <w:rsid w:val="00FC79C8"/>
    <w:rsid w:val="00FC79E0"/>
    <w:rsid w:val="00FC7C10"/>
    <w:rsid w:val="00FC7C2E"/>
    <w:rsid w:val="00FC7C77"/>
    <w:rsid w:val="00FC7D20"/>
    <w:rsid w:val="00FC7E68"/>
    <w:rsid w:val="00FC7E9C"/>
    <w:rsid w:val="00FC7EE6"/>
    <w:rsid w:val="00FD0121"/>
    <w:rsid w:val="00FD0260"/>
    <w:rsid w:val="00FD027E"/>
    <w:rsid w:val="00FD03C2"/>
    <w:rsid w:val="00FD04D6"/>
    <w:rsid w:val="00FD05F6"/>
    <w:rsid w:val="00FD06CC"/>
    <w:rsid w:val="00FD0710"/>
    <w:rsid w:val="00FD0722"/>
    <w:rsid w:val="00FD081F"/>
    <w:rsid w:val="00FD0825"/>
    <w:rsid w:val="00FD0991"/>
    <w:rsid w:val="00FD09F3"/>
    <w:rsid w:val="00FD0A15"/>
    <w:rsid w:val="00FD0A97"/>
    <w:rsid w:val="00FD0BA8"/>
    <w:rsid w:val="00FD0DB8"/>
    <w:rsid w:val="00FD0F8E"/>
    <w:rsid w:val="00FD10EA"/>
    <w:rsid w:val="00FD1209"/>
    <w:rsid w:val="00FD1243"/>
    <w:rsid w:val="00FD12AD"/>
    <w:rsid w:val="00FD132F"/>
    <w:rsid w:val="00FD13FD"/>
    <w:rsid w:val="00FD15DB"/>
    <w:rsid w:val="00FD17A2"/>
    <w:rsid w:val="00FD18FC"/>
    <w:rsid w:val="00FD18FD"/>
    <w:rsid w:val="00FD1B67"/>
    <w:rsid w:val="00FD1C58"/>
    <w:rsid w:val="00FD1F01"/>
    <w:rsid w:val="00FD1F9D"/>
    <w:rsid w:val="00FD1FF7"/>
    <w:rsid w:val="00FD2172"/>
    <w:rsid w:val="00FD2193"/>
    <w:rsid w:val="00FD2251"/>
    <w:rsid w:val="00FD24B0"/>
    <w:rsid w:val="00FD257F"/>
    <w:rsid w:val="00FD2589"/>
    <w:rsid w:val="00FD2765"/>
    <w:rsid w:val="00FD2795"/>
    <w:rsid w:val="00FD2846"/>
    <w:rsid w:val="00FD288D"/>
    <w:rsid w:val="00FD2A97"/>
    <w:rsid w:val="00FD2ABE"/>
    <w:rsid w:val="00FD2B18"/>
    <w:rsid w:val="00FD2BE8"/>
    <w:rsid w:val="00FD2C1B"/>
    <w:rsid w:val="00FD2D09"/>
    <w:rsid w:val="00FD2D33"/>
    <w:rsid w:val="00FD2DF1"/>
    <w:rsid w:val="00FD2EBE"/>
    <w:rsid w:val="00FD2FBD"/>
    <w:rsid w:val="00FD2FE8"/>
    <w:rsid w:val="00FD301A"/>
    <w:rsid w:val="00FD3023"/>
    <w:rsid w:val="00FD314E"/>
    <w:rsid w:val="00FD3335"/>
    <w:rsid w:val="00FD33E6"/>
    <w:rsid w:val="00FD356E"/>
    <w:rsid w:val="00FD369A"/>
    <w:rsid w:val="00FD36FB"/>
    <w:rsid w:val="00FD3732"/>
    <w:rsid w:val="00FD37F6"/>
    <w:rsid w:val="00FD38F6"/>
    <w:rsid w:val="00FD3974"/>
    <w:rsid w:val="00FD397E"/>
    <w:rsid w:val="00FD39F0"/>
    <w:rsid w:val="00FD3BBE"/>
    <w:rsid w:val="00FD3BCF"/>
    <w:rsid w:val="00FD3BEB"/>
    <w:rsid w:val="00FD3DA8"/>
    <w:rsid w:val="00FD3F54"/>
    <w:rsid w:val="00FD3FBB"/>
    <w:rsid w:val="00FD419C"/>
    <w:rsid w:val="00FD4348"/>
    <w:rsid w:val="00FD44A1"/>
    <w:rsid w:val="00FD4695"/>
    <w:rsid w:val="00FD46ED"/>
    <w:rsid w:val="00FD4864"/>
    <w:rsid w:val="00FD4C51"/>
    <w:rsid w:val="00FD4CD2"/>
    <w:rsid w:val="00FD4E58"/>
    <w:rsid w:val="00FD4E9F"/>
    <w:rsid w:val="00FD5050"/>
    <w:rsid w:val="00FD531A"/>
    <w:rsid w:val="00FD5563"/>
    <w:rsid w:val="00FD5845"/>
    <w:rsid w:val="00FD58CA"/>
    <w:rsid w:val="00FD5953"/>
    <w:rsid w:val="00FD5BAF"/>
    <w:rsid w:val="00FD5BED"/>
    <w:rsid w:val="00FD5F42"/>
    <w:rsid w:val="00FD60CF"/>
    <w:rsid w:val="00FD65D8"/>
    <w:rsid w:val="00FD6694"/>
    <w:rsid w:val="00FD698C"/>
    <w:rsid w:val="00FD69EC"/>
    <w:rsid w:val="00FD6B23"/>
    <w:rsid w:val="00FD6C3D"/>
    <w:rsid w:val="00FD6C5A"/>
    <w:rsid w:val="00FD6D98"/>
    <w:rsid w:val="00FD6E38"/>
    <w:rsid w:val="00FD70CE"/>
    <w:rsid w:val="00FD70DA"/>
    <w:rsid w:val="00FD71B2"/>
    <w:rsid w:val="00FD71EA"/>
    <w:rsid w:val="00FD7369"/>
    <w:rsid w:val="00FD73AB"/>
    <w:rsid w:val="00FD73BC"/>
    <w:rsid w:val="00FD742C"/>
    <w:rsid w:val="00FD7482"/>
    <w:rsid w:val="00FD75F5"/>
    <w:rsid w:val="00FD7686"/>
    <w:rsid w:val="00FD7940"/>
    <w:rsid w:val="00FD7B66"/>
    <w:rsid w:val="00FD7BF5"/>
    <w:rsid w:val="00FD7D12"/>
    <w:rsid w:val="00FD7DD5"/>
    <w:rsid w:val="00FD7E74"/>
    <w:rsid w:val="00FE0062"/>
    <w:rsid w:val="00FE0075"/>
    <w:rsid w:val="00FE046B"/>
    <w:rsid w:val="00FE0478"/>
    <w:rsid w:val="00FE04A4"/>
    <w:rsid w:val="00FE06CF"/>
    <w:rsid w:val="00FE07B6"/>
    <w:rsid w:val="00FE08A0"/>
    <w:rsid w:val="00FE08DD"/>
    <w:rsid w:val="00FE0930"/>
    <w:rsid w:val="00FE094F"/>
    <w:rsid w:val="00FE0CE0"/>
    <w:rsid w:val="00FE1182"/>
    <w:rsid w:val="00FE137C"/>
    <w:rsid w:val="00FE1519"/>
    <w:rsid w:val="00FE153C"/>
    <w:rsid w:val="00FE15FB"/>
    <w:rsid w:val="00FE187B"/>
    <w:rsid w:val="00FE1911"/>
    <w:rsid w:val="00FE1942"/>
    <w:rsid w:val="00FE1983"/>
    <w:rsid w:val="00FE19D2"/>
    <w:rsid w:val="00FE1A5D"/>
    <w:rsid w:val="00FE1B65"/>
    <w:rsid w:val="00FE1C3A"/>
    <w:rsid w:val="00FE1C49"/>
    <w:rsid w:val="00FE1DA1"/>
    <w:rsid w:val="00FE1DB7"/>
    <w:rsid w:val="00FE1E06"/>
    <w:rsid w:val="00FE1E97"/>
    <w:rsid w:val="00FE1F21"/>
    <w:rsid w:val="00FE23D2"/>
    <w:rsid w:val="00FE245E"/>
    <w:rsid w:val="00FE29AA"/>
    <w:rsid w:val="00FE2A8B"/>
    <w:rsid w:val="00FE2AA2"/>
    <w:rsid w:val="00FE2C35"/>
    <w:rsid w:val="00FE3345"/>
    <w:rsid w:val="00FE3382"/>
    <w:rsid w:val="00FE3575"/>
    <w:rsid w:val="00FE358C"/>
    <w:rsid w:val="00FE35FB"/>
    <w:rsid w:val="00FE3679"/>
    <w:rsid w:val="00FE376D"/>
    <w:rsid w:val="00FE395A"/>
    <w:rsid w:val="00FE3C4B"/>
    <w:rsid w:val="00FE3CEE"/>
    <w:rsid w:val="00FE3DFD"/>
    <w:rsid w:val="00FE4158"/>
    <w:rsid w:val="00FE41DD"/>
    <w:rsid w:val="00FE4393"/>
    <w:rsid w:val="00FE4501"/>
    <w:rsid w:val="00FE4535"/>
    <w:rsid w:val="00FE4600"/>
    <w:rsid w:val="00FE465E"/>
    <w:rsid w:val="00FE466D"/>
    <w:rsid w:val="00FE46F9"/>
    <w:rsid w:val="00FE4729"/>
    <w:rsid w:val="00FE4768"/>
    <w:rsid w:val="00FE4A58"/>
    <w:rsid w:val="00FE4AE4"/>
    <w:rsid w:val="00FE4B2B"/>
    <w:rsid w:val="00FE4C2A"/>
    <w:rsid w:val="00FE4D33"/>
    <w:rsid w:val="00FE4D94"/>
    <w:rsid w:val="00FE4DF1"/>
    <w:rsid w:val="00FE4F15"/>
    <w:rsid w:val="00FE5011"/>
    <w:rsid w:val="00FE509B"/>
    <w:rsid w:val="00FE5136"/>
    <w:rsid w:val="00FE5198"/>
    <w:rsid w:val="00FE5223"/>
    <w:rsid w:val="00FE5327"/>
    <w:rsid w:val="00FE5391"/>
    <w:rsid w:val="00FE549D"/>
    <w:rsid w:val="00FE560F"/>
    <w:rsid w:val="00FE583B"/>
    <w:rsid w:val="00FE586A"/>
    <w:rsid w:val="00FE586F"/>
    <w:rsid w:val="00FE5A25"/>
    <w:rsid w:val="00FE5AEB"/>
    <w:rsid w:val="00FE5BC5"/>
    <w:rsid w:val="00FE5C0D"/>
    <w:rsid w:val="00FE5D9A"/>
    <w:rsid w:val="00FE5DB9"/>
    <w:rsid w:val="00FE5E7F"/>
    <w:rsid w:val="00FE5EDB"/>
    <w:rsid w:val="00FE5EFF"/>
    <w:rsid w:val="00FE5F8A"/>
    <w:rsid w:val="00FE6348"/>
    <w:rsid w:val="00FE63C6"/>
    <w:rsid w:val="00FE63EB"/>
    <w:rsid w:val="00FE644A"/>
    <w:rsid w:val="00FE64CE"/>
    <w:rsid w:val="00FE67B9"/>
    <w:rsid w:val="00FE68C2"/>
    <w:rsid w:val="00FE6911"/>
    <w:rsid w:val="00FE6C25"/>
    <w:rsid w:val="00FE6D50"/>
    <w:rsid w:val="00FE6E2E"/>
    <w:rsid w:val="00FE6F3B"/>
    <w:rsid w:val="00FE7040"/>
    <w:rsid w:val="00FE737D"/>
    <w:rsid w:val="00FE761E"/>
    <w:rsid w:val="00FE7649"/>
    <w:rsid w:val="00FE7888"/>
    <w:rsid w:val="00FE7A61"/>
    <w:rsid w:val="00FE7A6B"/>
    <w:rsid w:val="00FE7CCD"/>
    <w:rsid w:val="00FE7DF9"/>
    <w:rsid w:val="00FE7E4C"/>
    <w:rsid w:val="00FE7E5D"/>
    <w:rsid w:val="00FE7F4F"/>
    <w:rsid w:val="00FF0511"/>
    <w:rsid w:val="00FF0657"/>
    <w:rsid w:val="00FF06F8"/>
    <w:rsid w:val="00FF077D"/>
    <w:rsid w:val="00FF0792"/>
    <w:rsid w:val="00FF082D"/>
    <w:rsid w:val="00FF0868"/>
    <w:rsid w:val="00FF0920"/>
    <w:rsid w:val="00FF098A"/>
    <w:rsid w:val="00FF0A50"/>
    <w:rsid w:val="00FF0AC2"/>
    <w:rsid w:val="00FF0B71"/>
    <w:rsid w:val="00FF0B8F"/>
    <w:rsid w:val="00FF0BD6"/>
    <w:rsid w:val="00FF0C1E"/>
    <w:rsid w:val="00FF1127"/>
    <w:rsid w:val="00FF1145"/>
    <w:rsid w:val="00FF121C"/>
    <w:rsid w:val="00FF1339"/>
    <w:rsid w:val="00FF1341"/>
    <w:rsid w:val="00FF1507"/>
    <w:rsid w:val="00FF17ED"/>
    <w:rsid w:val="00FF181B"/>
    <w:rsid w:val="00FF199F"/>
    <w:rsid w:val="00FF1A0D"/>
    <w:rsid w:val="00FF1B65"/>
    <w:rsid w:val="00FF1B83"/>
    <w:rsid w:val="00FF20F2"/>
    <w:rsid w:val="00FF2412"/>
    <w:rsid w:val="00FF244B"/>
    <w:rsid w:val="00FF2484"/>
    <w:rsid w:val="00FF27DD"/>
    <w:rsid w:val="00FF287B"/>
    <w:rsid w:val="00FF28DE"/>
    <w:rsid w:val="00FF293B"/>
    <w:rsid w:val="00FF29E5"/>
    <w:rsid w:val="00FF2C95"/>
    <w:rsid w:val="00FF2D13"/>
    <w:rsid w:val="00FF2D78"/>
    <w:rsid w:val="00FF301B"/>
    <w:rsid w:val="00FF31AA"/>
    <w:rsid w:val="00FF3268"/>
    <w:rsid w:val="00FF329B"/>
    <w:rsid w:val="00FF35A0"/>
    <w:rsid w:val="00FF35EB"/>
    <w:rsid w:val="00FF383E"/>
    <w:rsid w:val="00FF3861"/>
    <w:rsid w:val="00FF386A"/>
    <w:rsid w:val="00FF3923"/>
    <w:rsid w:val="00FF3975"/>
    <w:rsid w:val="00FF399B"/>
    <w:rsid w:val="00FF3A16"/>
    <w:rsid w:val="00FF40D4"/>
    <w:rsid w:val="00FF41E1"/>
    <w:rsid w:val="00FF4322"/>
    <w:rsid w:val="00FF4418"/>
    <w:rsid w:val="00FF444A"/>
    <w:rsid w:val="00FF44A8"/>
    <w:rsid w:val="00FF44D2"/>
    <w:rsid w:val="00FF4516"/>
    <w:rsid w:val="00FF45D3"/>
    <w:rsid w:val="00FF4768"/>
    <w:rsid w:val="00FF47ED"/>
    <w:rsid w:val="00FF4867"/>
    <w:rsid w:val="00FF4985"/>
    <w:rsid w:val="00FF4C70"/>
    <w:rsid w:val="00FF4F21"/>
    <w:rsid w:val="00FF503F"/>
    <w:rsid w:val="00FF5242"/>
    <w:rsid w:val="00FF52CC"/>
    <w:rsid w:val="00FF53AD"/>
    <w:rsid w:val="00FF55AF"/>
    <w:rsid w:val="00FF56E9"/>
    <w:rsid w:val="00FF572A"/>
    <w:rsid w:val="00FF58D0"/>
    <w:rsid w:val="00FF5917"/>
    <w:rsid w:val="00FF5AC5"/>
    <w:rsid w:val="00FF5C11"/>
    <w:rsid w:val="00FF5C61"/>
    <w:rsid w:val="00FF5D35"/>
    <w:rsid w:val="00FF6237"/>
    <w:rsid w:val="00FF630D"/>
    <w:rsid w:val="00FF63DA"/>
    <w:rsid w:val="00FF65C3"/>
    <w:rsid w:val="00FF692B"/>
    <w:rsid w:val="00FF6ACA"/>
    <w:rsid w:val="00FF6B3D"/>
    <w:rsid w:val="00FF6BB0"/>
    <w:rsid w:val="00FF6BB7"/>
    <w:rsid w:val="00FF6BE8"/>
    <w:rsid w:val="00FF6BF2"/>
    <w:rsid w:val="00FF6C93"/>
    <w:rsid w:val="00FF7056"/>
    <w:rsid w:val="00FF7427"/>
    <w:rsid w:val="00FF7624"/>
    <w:rsid w:val="00FF773E"/>
    <w:rsid w:val="00FF7785"/>
    <w:rsid w:val="00FF77B7"/>
    <w:rsid w:val="00FF7810"/>
    <w:rsid w:val="00FF79F4"/>
    <w:rsid w:val="00FF7D58"/>
    <w:rsid w:val="00FF7D85"/>
    <w:rsid w:val="00FF7F0E"/>
    <w:rsid w:val="00FF7F2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DCBA9B"/>
  <w15:chartTrackingRefBased/>
  <w15:docId w15:val="{F5CDD799-85AC-4BA1-A89D-A4FCE72A4E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lsdException w:name="annotation text" w:uiPriority="99"/>
    <w:lsdException w:name="footer" w:uiPriority="99"/>
    <w:lsdException w:name="caption" w:semiHidden="1" w:unhideWhenUsed="1" w:qFormat="1"/>
    <w:lsdException w:name="table of figures" w:uiPriority="99"/>
    <w:lsdException w:name="footnote reference" w:uiPriority="99"/>
    <w:lsdException w:name="annotation reference" w:uiPriority="99"/>
    <w:lsdException w:name="Title" w:qFormat="1"/>
    <w:lsdException w:name="Subtitle" w:uiPriority="11" w:qFormat="1"/>
    <w:lsdException w:name="Hyperlink" w:uiPriority="99"/>
    <w:lsdException w:name="Strong" w:uiPriority="22" w:qFormat="1"/>
    <w:lsdException w:name="Emphasis" w:uiPriority="20" w:qFormat="1"/>
    <w:lsdException w:name="Document Map" w:uiPriority="99"/>
    <w:lsdException w:name="Normal (Web)" w:uiPriority="99"/>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CD3C4F"/>
    <w:pPr>
      <w:jc w:val="both"/>
    </w:pPr>
    <w:rPr>
      <w:rFonts w:ascii="Arial" w:hAnsi="Arial"/>
      <w:sz w:val="22"/>
      <w:szCs w:val="24"/>
    </w:rPr>
  </w:style>
  <w:style w:type="paragraph" w:styleId="Nagwek1">
    <w:name w:val="heading 1"/>
    <w:basedOn w:val="Normalny"/>
    <w:next w:val="Normalny"/>
    <w:link w:val="Nagwek1Znak"/>
    <w:autoRedefine/>
    <w:qFormat/>
    <w:rsid w:val="005B3FFE"/>
    <w:pPr>
      <w:keepNext/>
      <w:pBdr>
        <w:top w:val="single" w:sz="4" w:space="10" w:color="auto"/>
        <w:left w:val="single" w:sz="4" w:space="4" w:color="auto"/>
        <w:bottom w:val="single" w:sz="4" w:space="0" w:color="auto"/>
        <w:right w:val="single" w:sz="4" w:space="4" w:color="auto"/>
      </w:pBdr>
      <w:shd w:val="solid" w:color="002060" w:fill="auto"/>
      <w:spacing w:before="240" w:after="240" w:line="360" w:lineRule="auto"/>
      <w:jc w:val="left"/>
      <w:outlineLvl w:val="0"/>
    </w:pPr>
    <w:rPr>
      <w:b/>
      <w:noProof/>
      <w:sz w:val="40"/>
      <w:szCs w:val="40"/>
    </w:rPr>
  </w:style>
  <w:style w:type="paragraph" w:styleId="Nagwek2">
    <w:name w:val="heading 2"/>
    <w:basedOn w:val="Normalny"/>
    <w:next w:val="Normalny"/>
    <w:link w:val="Nagwek2Znak"/>
    <w:qFormat/>
    <w:rsid w:val="00D06180"/>
    <w:pPr>
      <w:keepNext/>
      <w:spacing w:before="240" w:after="120" w:line="360" w:lineRule="auto"/>
      <w:contextualSpacing/>
      <w:jc w:val="left"/>
      <w:outlineLvl w:val="1"/>
    </w:pPr>
    <w:rPr>
      <w:b/>
      <w:bCs/>
      <w:iCs/>
      <w:color w:val="0070C0"/>
      <w:sz w:val="32"/>
      <w:szCs w:val="32"/>
    </w:rPr>
  </w:style>
  <w:style w:type="paragraph" w:styleId="Nagwek3">
    <w:name w:val="heading 3"/>
    <w:basedOn w:val="Normalny"/>
    <w:next w:val="Normalny"/>
    <w:link w:val="Nagwek3Znak"/>
    <w:qFormat/>
    <w:rsid w:val="00270CF3"/>
    <w:pPr>
      <w:keepNext/>
      <w:shd w:val="clear" w:color="auto" w:fill="FFFFFF"/>
      <w:tabs>
        <w:tab w:val="left" w:pos="718"/>
      </w:tabs>
      <w:spacing w:before="240" w:after="120" w:line="360" w:lineRule="auto"/>
      <w:jc w:val="left"/>
      <w:outlineLvl w:val="2"/>
    </w:pPr>
    <w:rPr>
      <w:b/>
      <w:bCs/>
      <w:noProof/>
      <w:color w:val="0070C0"/>
      <w:sz w:val="28"/>
      <w:szCs w:val="28"/>
    </w:rPr>
  </w:style>
  <w:style w:type="paragraph" w:styleId="Nagwek4">
    <w:name w:val="heading 4"/>
    <w:basedOn w:val="Normalny"/>
    <w:next w:val="Normalny"/>
    <w:link w:val="Nagwek4Znak"/>
    <w:qFormat/>
    <w:rsid w:val="00852522"/>
    <w:pPr>
      <w:spacing w:before="240" w:after="120" w:line="360" w:lineRule="auto"/>
      <w:jc w:val="left"/>
      <w:outlineLvl w:val="3"/>
    </w:pPr>
    <w:rPr>
      <w:b/>
      <w:color w:val="0070C0"/>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5B3FFE"/>
    <w:rPr>
      <w:rFonts w:ascii="Arial" w:hAnsi="Arial"/>
      <w:b/>
      <w:noProof/>
      <w:sz w:val="40"/>
      <w:szCs w:val="40"/>
      <w:shd w:val="solid" w:color="002060" w:fill="auto"/>
    </w:rPr>
  </w:style>
  <w:style w:type="character" w:customStyle="1" w:styleId="Nagwek2Znak">
    <w:name w:val="Nagłówek 2 Znak"/>
    <w:link w:val="Nagwek2"/>
    <w:rsid w:val="00D06180"/>
    <w:rPr>
      <w:rFonts w:ascii="Arial" w:hAnsi="Arial"/>
      <w:b/>
      <w:bCs/>
      <w:iCs/>
      <w:color w:val="0070C0"/>
      <w:sz w:val="32"/>
      <w:szCs w:val="32"/>
    </w:rPr>
  </w:style>
  <w:style w:type="character" w:customStyle="1" w:styleId="Nagwek3Znak">
    <w:name w:val="Nagłówek 3 Znak"/>
    <w:link w:val="Nagwek3"/>
    <w:rsid w:val="00270CF3"/>
    <w:rPr>
      <w:rFonts w:ascii="Arial" w:hAnsi="Arial"/>
      <w:b/>
      <w:bCs/>
      <w:noProof/>
      <w:color w:val="0070C0"/>
      <w:sz w:val="28"/>
      <w:szCs w:val="28"/>
      <w:shd w:val="clear" w:color="auto" w:fill="FFFFFF"/>
    </w:rPr>
  </w:style>
  <w:style w:type="character" w:customStyle="1" w:styleId="Nagwek4Znak">
    <w:name w:val="Nagłówek 4 Znak"/>
    <w:link w:val="Nagwek4"/>
    <w:rsid w:val="00852522"/>
    <w:rPr>
      <w:rFonts w:ascii="Arial" w:hAnsi="Arial"/>
      <w:b/>
      <w:color w:val="0070C0"/>
      <w:sz w:val="24"/>
      <w:szCs w:val="24"/>
    </w:rPr>
  </w:style>
  <w:style w:type="paragraph" w:styleId="Spistreci2">
    <w:name w:val="toc 2"/>
    <w:basedOn w:val="Normalny"/>
    <w:next w:val="Normalny"/>
    <w:autoRedefine/>
    <w:uiPriority w:val="39"/>
    <w:rsid w:val="00A525B0"/>
    <w:pPr>
      <w:tabs>
        <w:tab w:val="right" w:leader="dot" w:pos="9061"/>
      </w:tabs>
      <w:spacing w:line="360" w:lineRule="auto"/>
      <w:ind w:left="238" w:right="312"/>
      <w:jc w:val="left"/>
    </w:pPr>
    <w:rPr>
      <w:b/>
      <w:bCs/>
      <w:noProof/>
      <w:sz w:val="20"/>
      <w:szCs w:val="20"/>
    </w:rPr>
  </w:style>
  <w:style w:type="paragraph" w:styleId="Spistreci3">
    <w:name w:val="toc 3"/>
    <w:basedOn w:val="Normalny"/>
    <w:next w:val="Normalny"/>
    <w:autoRedefine/>
    <w:uiPriority w:val="39"/>
    <w:rsid w:val="00A525B0"/>
    <w:pPr>
      <w:tabs>
        <w:tab w:val="right" w:leader="dot" w:pos="9061"/>
      </w:tabs>
      <w:spacing w:line="360" w:lineRule="auto"/>
      <w:ind w:left="397"/>
      <w:jc w:val="left"/>
    </w:pPr>
    <w:rPr>
      <w:noProof/>
      <w:sz w:val="20"/>
      <w:szCs w:val="20"/>
    </w:rPr>
  </w:style>
  <w:style w:type="paragraph" w:styleId="Spistreci1">
    <w:name w:val="toc 1"/>
    <w:basedOn w:val="Normalny"/>
    <w:next w:val="Normalny"/>
    <w:autoRedefine/>
    <w:uiPriority w:val="39"/>
    <w:rsid w:val="00A525B0"/>
    <w:pPr>
      <w:tabs>
        <w:tab w:val="right" w:leader="dot" w:pos="9061"/>
      </w:tabs>
      <w:spacing w:line="360" w:lineRule="auto"/>
      <w:ind w:right="425"/>
    </w:pPr>
    <w:rPr>
      <w:b/>
      <w:noProof/>
      <w:color w:val="0070C0"/>
    </w:rPr>
  </w:style>
  <w:style w:type="paragraph" w:styleId="Mapadokumentu">
    <w:name w:val="Document Map"/>
    <w:aliases w:val="Plan dokumentu"/>
    <w:basedOn w:val="Normalny"/>
    <w:link w:val="MapadokumentuZnak"/>
    <w:uiPriority w:val="99"/>
    <w:semiHidden/>
    <w:rsid w:val="00411101"/>
    <w:pPr>
      <w:shd w:val="clear" w:color="auto" w:fill="000080"/>
    </w:pPr>
    <w:rPr>
      <w:rFonts w:ascii="Tahoma" w:hAnsi="Tahoma"/>
      <w:sz w:val="20"/>
      <w:szCs w:val="20"/>
      <w:lang w:val="x-none" w:eastAsia="x-none"/>
    </w:rPr>
  </w:style>
  <w:style w:type="paragraph" w:styleId="Tekstdymka">
    <w:name w:val="Balloon Text"/>
    <w:basedOn w:val="Normalny"/>
    <w:link w:val="TekstdymkaZnak"/>
    <w:semiHidden/>
    <w:rsid w:val="00411101"/>
    <w:rPr>
      <w:rFonts w:ascii="Tahoma" w:hAnsi="Tahoma"/>
      <w:sz w:val="16"/>
      <w:szCs w:val="16"/>
      <w:lang w:val="x-none" w:eastAsia="x-none"/>
    </w:rPr>
  </w:style>
  <w:style w:type="paragraph" w:styleId="Nagwek">
    <w:name w:val="header"/>
    <w:basedOn w:val="Normalny"/>
    <w:link w:val="NagwekZnak"/>
    <w:rsid w:val="00411101"/>
    <w:pPr>
      <w:tabs>
        <w:tab w:val="center" w:pos="4536"/>
        <w:tab w:val="right" w:pos="9072"/>
      </w:tabs>
    </w:pPr>
  </w:style>
  <w:style w:type="character" w:customStyle="1" w:styleId="NagwekZnak">
    <w:name w:val="Nagłówek Znak"/>
    <w:link w:val="Nagwek"/>
    <w:rsid w:val="00411101"/>
    <w:rPr>
      <w:rFonts w:ascii="Arial" w:hAnsi="Arial"/>
      <w:sz w:val="22"/>
      <w:szCs w:val="24"/>
      <w:lang w:val="pl-PL" w:eastAsia="pl-PL" w:bidi="ar-SA"/>
    </w:rPr>
  </w:style>
  <w:style w:type="paragraph" w:styleId="Stopka">
    <w:name w:val="footer"/>
    <w:basedOn w:val="Normalny"/>
    <w:link w:val="StopkaZnak"/>
    <w:uiPriority w:val="99"/>
    <w:rsid w:val="00411101"/>
    <w:pPr>
      <w:tabs>
        <w:tab w:val="center" w:pos="4536"/>
        <w:tab w:val="right" w:pos="9072"/>
      </w:tabs>
    </w:pPr>
  </w:style>
  <w:style w:type="character" w:customStyle="1" w:styleId="StopkaZnak">
    <w:name w:val="Stopka Znak"/>
    <w:link w:val="Stopka"/>
    <w:uiPriority w:val="99"/>
    <w:rsid w:val="00411101"/>
    <w:rPr>
      <w:rFonts w:ascii="Arial" w:hAnsi="Arial"/>
      <w:sz w:val="22"/>
      <w:szCs w:val="24"/>
      <w:lang w:val="pl-PL" w:eastAsia="pl-PL" w:bidi="ar-SA"/>
    </w:rPr>
  </w:style>
  <w:style w:type="character" w:styleId="Numerstrony">
    <w:name w:val="page number"/>
    <w:basedOn w:val="Domylnaczcionkaakapitu"/>
    <w:rsid w:val="00411101"/>
  </w:style>
  <w:style w:type="paragraph" w:customStyle="1" w:styleId="Tabelasiatki31">
    <w:name w:val="Tabela siatki 31"/>
    <w:basedOn w:val="Nagwek1"/>
    <w:next w:val="Normalny"/>
    <w:qFormat/>
    <w:rsid w:val="00411101"/>
    <w:pPr>
      <w:keepLines/>
      <w:spacing w:before="480" w:line="276" w:lineRule="auto"/>
      <w:outlineLvl w:val="9"/>
    </w:pPr>
    <w:rPr>
      <w:rFonts w:ascii="Cambria" w:hAnsi="Cambria"/>
      <w:bCs/>
      <w:color w:val="365F91"/>
      <w:sz w:val="28"/>
      <w:szCs w:val="28"/>
      <w:lang w:eastAsia="en-US"/>
    </w:rPr>
  </w:style>
  <w:style w:type="paragraph" w:styleId="Tytu">
    <w:name w:val="Title"/>
    <w:basedOn w:val="Normalny"/>
    <w:next w:val="Normalny"/>
    <w:link w:val="TytuZnak"/>
    <w:qFormat/>
    <w:rsid w:val="00411101"/>
    <w:pPr>
      <w:spacing w:line="360" w:lineRule="auto"/>
      <w:jc w:val="center"/>
      <w:outlineLvl w:val="0"/>
    </w:pPr>
    <w:rPr>
      <w:b/>
      <w:bCs/>
      <w:kern w:val="28"/>
      <w:sz w:val="48"/>
      <w:szCs w:val="32"/>
    </w:rPr>
  </w:style>
  <w:style w:type="character" w:customStyle="1" w:styleId="TytuZnak">
    <w:name w:val="Tytuł Znak"/>
    <w:link w:val="Tytu"/>
    <w:rsid w:val="00411101"/>
    <w:rPr>
      <w:rFonts w:ascii="Arial" w:hAnsi="Arial"/>
      <w:b/>
      <w:bCs/>
      <w:kern w:val="28"/>
      <w:sz w:val="48"/>
      <w:szCs w:val="32"/>
      <w:lang w:val="pl-PL" w:eastAsia="pl-PL" w:bidi="ar-SA"/>
    </w:rPr>
  </w:style>
  <w:style w:type="character" w:styleId="Hipercze">
    <w:name w:val="Hyperlink"/>
    <w:uiPriority w:val="99"/>
    <w:unhideWhenUsed/>
    <w:rsid w:val="00411101"/>
    <w:rPr>
      <w:color w:val="0000FF"/>
      <w:u w:val="single"/>
    </w:rPr>
  </w:style>
  <w:style w:type="paragraph" w:customStyle="1" w:styleId="ZnakZnak1">
    <w:name w:val="Znak Znak1"/>
    <w:basedOn w:val="Normalny"/>
    <w:rsid w:val="00411101"/>
    <w:pPr>
      <w:jc w:val="left"/>
    </w:pPr>
    <w:rPr>
      <w:rFonts w:ascii="Times New Roman" w:hAnsi="Times New Roman"/>
    </w:rPr>
  </w:style>
  <w:style w:type="paragraph" w:customStyle="1" w:styleId="Kolorowalistaakcent11">
    <w:name w:val="Kolorowa lista — akcent 11"/>
    <w:basedOn w:val="Normalny"/>
    <w:link w:val="Kolorowalistaakcent1Znak"/>
    <w:uiPriority w:val="34"/>
    <w:qFormat/>
    <w:rsid w:val="00411101"/>
    <w:pPr>
      <w:ind w:left="708"/>
    </w:pPr>
    <w:rPr>
      <w:lang w:val="x-none" w:eastAsia="x-none"/>
    </w:rPr>
  </w:style>
  <w:style w:type="paragraph" w:customStyle="1" w:styleId="StylArial11ptWyjustowany">
    <w:name w:val="Styl Arial 11 pt Wyjustowany"/>
    <w:basedOn w:val="Normalny"/>
    <w:rsid w:val="00411101"/>
    <w:rPr>
      <w:szCs w:val="20"/>
    </w:rPr>
  </w:style>
  <w:style w:type="paragraph" w:customStyle="1" w:styleId="Default">
    <w:name w:val="Default"/>
    <w:rsid w:val="00411101"/>
    <w:pPr>
      <w:autoSpaceDE w:val="0"/>
      <w:autoSpaceDN w:val="0"/>
      <w:adjustRightInd w:val="0"/>
    </w:pPr>
    <w:rPr>
      <w:rFonts w:ascii="Arial" w:hAnsi="Arial" w:cs="Arial"/>
      <w:color w:val="000000"/>
      <w:sz w:val="24"/>
      <w:szCs w:val="24"/>
    </w:rPr>
  </w:style>
  <w:style w:type="paragraph" w:styleId="Tekstpodstawowy3">
    <w:name w:val="Body Text 3"/>
    <w:basedOn w:val="Normalny"/>
    <w:link w:val="Tekstpodstawowy3Znak"/>
    <w:rsid w:val="00411101"/>
    <w:pPr>
      <w:spacing w:after="120"/>
      <w:jc w:val="left"/>
    </w:pPr>
    <w:rPr>
      <w:rFonts w:ascii="Times New Roman" w:hAnsi="Times New Roman"/>
      <w:sz w:val="16"/>
      <w:szCs w:val="16"/>
    </w:rPr>
  </w:style>
  <w:style w:type="character" w:customStyle="1" w:styleId="Tekstpodstawowy3Znak">
    <w:name w:val="Tekst podstawowy 3 Znak"/>
    <w:link w:val="Tekstpodstawowy3"/>
    <w:rsid w:val="00411101"/>
    <w:rPr>
      <w:sz w:val="16"/>
      <w:szCs w:val="16"/>
      <w:lang w:val="pl-PL" w:eastAsia="pl-PL" w:bidi="ar-SA"/>
    </w:rPr>
  </w:style>
  <w:style w:type="paragraph" w:customStyle="1" w:styleId="StylCzarnyPierwszywiersz0cmPo0pt">
    <w:name w:val="Styl Czarny Pierwszy wiersz:  0 cm Po:  0 pt"/>
    <w:basedOn w:val="Normalny"/>
    <w:rsid w:val="00411101"/>
    <w:pPr>
      <w:spacing w:before="120" w:after="120" w:line="360" w:lineRule="auto"/>
      <w:ind w:firstLine="709"/>
    </w:pPr>
    <w:rPr>
      <w:rFonts w:ascii="Times New Roman" w:hAnsi="Times New Roman"/>
      <w:color w:val="000000"/>
      <w:kern w:val="24"/>
      <w:sz w:val="24"/>
      <w:szCs w:val="20"/>
    </w:rPr>
  </w:style>
  <w:style w:type="paragraph" w:styleId="Tekstpodstawowy2">
    <w:name w:val="Body Text 2"/>
    <w:basedOn w:val="Normalny"/>
    <w:link w:val="Tekstpodstawowy2Znak"/>
    <w:rsid w:val="00411101"/>
    <w:pPr>
      <w:spacing w:after="120" w:line="480" w:lineRule="auto"/>
    </w:pPr>
  </w:style>
  <w:style w:type="character" w:customStyle="1" w:styleId="Tekstpodstawowy2Znak">
    <w:name w:val="Tekst podstawowy 2 Znak"/>
    <w:link w:val="Tekstpodstawowy2"/>
    <w:rsid w:val="00411101"/>
    <w:rPr>
      <w:rFonts w:ascii="Arial" w:hAnsi="Arial"/>
      <w:sz w:val="22"/>
      <w:szCs w:val="24"/>
      <w:lang w:val="pl-PL" w:eastAsia="pl-PL" w:bidi="ar-SA"/>
    </w:rPr>
  </w:style>
  <w:style w:type="paragraph" w:customStyle="1" w:styleId="Znak">
    <w:name w:val="Znak"/>
    <w:basedOn w:val="Normalny"/>
    <w:rsid w:val="00411101"/>
    <w:pPr>
      <w:jc w:val="left"/>
    </w:pPr>
    <w:rPr>
      <w:rFonts w:ascii="Times New Roman" w:hAnsi="Times New Roman"/>
      <w:sz w:val="24"/>
    </w:rPr>
  </w:style>
  <w:style w:type="table" w:styleId="Tabela-Siatka">
    <w:name w:val="Table Grid"/>
    <w:basedOn w:val="Standardowy"/>
    <w:uiPriority w:val="39"/>
    <w:rsid w:val="004111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dtytu">
    <w:name w:val="Subtitle"/>
    <w:basedOn w:val="Normalny"/>
    <w:link w:val="PodtytuZnak"/>
    <w:uiPriority w:val="11"/>
    <w:qFormat/>
    <w:rsid w:val="00411101"/>
    <w:pPr>
      <w:spacing w:before="120" w:line="360" w:lineRule="auto"/>
      <w:jc w:val="left"/>
    </w:pPr>
    <w:rPr>
      <w:rFonts w:ascii="Times New Roman" w:hAnsi="Times New Roman"/>
      <w:b/>
      <w:sz w:val="24"/>
      <w:szCs w:val="20"/>
    </w:rPr>
  </w:style>
  <w:style w:type="character" w:customStyle="1" w:styleId="PodtytuZnak">
    <w:name w:val="Podtytuł Znak"/>
    <w:link w:val="Podtytu"/>
    <w:uiPriority w:val="11"/>
    <w:rsid w:val="00411101"/>
    <w:rPr>
      <w:b/>
      <w:sz w:val="24"/>
      <w:lang w:val="pl-PL" w:eastAsia="pl-PL" w:bidi="ar-SA"/>
    </w:rPr>
  </w:style>
  <w:style w:type="paragraph" w:styleId="Tekstpodstawowy">
    <w:name w:val="Body Text"/>
    <w:basedOn w:val="Normalny"/>
    <w:link w:val="TekstpodstawowyZnak"/>
    <w:rsid w:val="00411101"/>
    <w:pPr>
      <w:spacing w:after="120"/>
    </w:pPr>
  </w:style>
  <w:style w:type="character" w:customStyle="1" w:styleId="TekstpodstawowyZnak">
    <w:name w:val="Tekst podstawowy Znak"/>
    <w:link w:val="Tekstpodstawowy"/>
    <w:rsid w:val="00411101"/>
    <w:rPr>
      <w:rFonts w:ascii="Arial" w:hAnsi="Arial"/>
      <w:sz w:val="22"/>
      <w:szCs w:val="24"/>
      <w:lang w:val="pl-PL" w:eastAsia="pl-PL" w:bidi="ar-SA"/>
    </w:rPr>
  </w:style>
  <w:style w:type="paragraph" w:styleId="NormalnyWeb">
    <w:name w:val="Normal (Web)"/>
    <w:basedOn w:val="Normalny"/>
    <w:uiPriority w:val="99"/>
    <w:rsid w:val="00411101"/>
    <w:pPr>
      <w:spacing w:before="100" w:beforeAutospacing="1" w:after="100" w:afterAutospacing="1"/>
      <w:jc w:val="left"/>
    </w:pPr>
    <w:rPr>
      <w:rFonts w:ascii="Times New Roman" w:hAnsi="Times New Roman"/>
      <w:sz w:val="24"/>
    </w:rPr>
  </w:style>
  <w:style w:type="paragraph" w:styleId="Tekstkomentarza">
    <w:name w:val="annotation text"/>
    <w:basedOn w:val="Normalny"/>
    <w:link w:val="TekstkomentarzaZnak"/>
    <w:uiPriority w:val="99"/>
    <w:rsid w:val="00411101"/>
    <w:rPr>
      <w:sz w:val="20"/>
      <w:szCs w:val="20"/>
    </w:rPr>
  </w:style>
  <w:style w:type="character" w:customStyle="1" w:styleId="TekstkomentarzaZnak">
    <w:name w:val="Tekst komentarza Znak"/>
    <w:link w:val="Tekstkomentarza"/>
    <w:uiPriority w:val="99"/>
    <w:rsid w:val="00411101"/>
    <w:rPr>
      <w:rFonts w:ascii="Arial" w:hAnsi="Arial"/>
      <w:lang w:val="pl-PL" w:eastAsia="pl-PL" w:bidi="ar-SA"/>
    </w:rPr>
  </w:style>
  <w:style w:type="paragraph" w:styleId="Tematkomentarza">
    <w:name w:val="annotation subject"/>
    <w:basedOn w:val="Tekstkomentarza"/>
    <w:next w:val="Tekstkomentarza"/>
    <w:link w:val="TematkomentarzaZnak"/>
    <w:semiHidden/>
    <w:rsid w:val="00411101"/>
    <w:rPr>
      <w:b/>
      <w:bCs/>
      <w:lang w:val="x-none" w:eastAsia="x-none"/>
    </w:rPr>
  </w:style>
  <w:style w:type="character" w:customStyle="1" w:styleId="ZnakZnak10">
    <w:name w:val="Znak Znak10"/>
    <w:rsid w:val="00411101"/>
    <w:rPr>
      <w:rFonts w:ascii="Arial" w:hAnsi="Arial"/>
      <w:b/>
      <w:bCs/>
      <w:iCs/>
      <w:sz w:val="24"/>
      <w:szCs w:val="28"/>
    </w:rPr>
  </w:style>
  <w:style w:type="paragraph" w:styleId="Tekstprzypisudolnego">
    <w:name w:val="footnote text"/>
    <w:aliases w:val="Podrozdział,Przypis,Footnote,Podrozdzia3,-E Fuﬂnotentext,Fuﬂnotentext Ursprung,Fußnotentext Ursprung,-E Fußnotentext,Fußnote,Footnote text,Tekst przypisu Znak Znak Znak Znak,Tekst przypisu Znak Znak Znak Znak Znak,footnote text,Pl"/>
    <w:basedOn w:val="Normalny"/>
    <w:link w:val="TekstprzypisudolnegoZnak"/>
    <w:uiPriority w:val="99"/>
    <w:unhideWhenUsed/>
    <w:rsid w:val="00CD3C4F"/>
    <w:pPr>
      <w:spacing w:line="360" w:lineRule="auto"/>
      <w:jc w:val="left"/>
    </w:pPr>
    <w:rPr>
      <w:rFonts w:eastAsia="Arial"/>
      <w:sz w:val="18"/>
      <w:szCs w:val="20"/>
      <w:lang w:eastAsia="en-US"/>
    </w:rPr>
  </w:style>
  <w:style w:type="character" w:customStyle="1" w:styleId="TekstprzypisudolnegoZnak">
    <w:name w:val="Tekst przypisu dolnego Znak"/>
    <w:aliases w:val="Podrozdział Znak,Przypis Znak,Footnote Znak,Podrozdzia3 Znak,-E Fuﬂnotentext Znak,Fuﬂnotentext Ursprung Znak,Fußnotentext Ursprung Znak,-E Fußnotentext Znak,Fußnote Znak,Footnote text Znak,footnote text Znak,Pl Znak"/>
    <w:link w:val="Tekstprzypisudolnego"/>
    <w:uiPriority w:val="99"/>
    <w:rsid w:val="00CD3C4F"/>
    <w:rPr>
      <w:rFonts w:ascii="Arial" w:eastAsia="Arial" w:hAnsi="Arial"/>
      <w:sz w:val="18"/>
      <w:lang w:eastAsia="en-US"/>
    </w:rPr>
  </w:style>
  <w:style w:type="character" w:styleId="Odwoanieprzypisudolnego">
    <w:name w:val="footnote reference"/>
    <w:aliases w:val="Footnote Reference Number,Footnote reference number,Footnote symbol,note TESI,SUPERS,EN Footnote Reference,Footnote number"/>
    <w:uiPriority w:val="99"/>
    <w:unhideWhenUsed/>
    <w:rsid w:val="00411101"/>
    <w:rPr>
      <w:vertAlign w:val="superscript"/>
    </w:rPr>
  </w:style>
  <w:style w:type="paragraph" w:customStyle="1" w:styleId="Akapitzlist1">
    <w:name w:val="Akapit z listą1"/>
    <w:basedOn w:val="Normalny"/>
    <w:rsid w:val="00411101"/>
    <w:pPr>
      <w:spacing w:after="200" w:line="276" w:lineRule="auto"/>
      <w:ind w:left="720"/>
      <w:contextualSpacing/>
      <w:jc w:val="left"/>
    </w:pPr>
    <w:rPr>
      <w:rFonts w:ascii="Calibri" w:hAnsi="Calibri"/>
      <w:szCs w:val="22"/>
      <w:lang w:eastAsia="en-US"/>
    </w:rPr>
  </w:style>
  <w:style w:type="paragraph" w:styleId="Zwykytekst">
    <w:name w:val="Plain Text"/>
    <w:basedOn w:val="Normalny"/>
    <w:link w:val="ZwykytekstZnak"/>
    <w:rsid w:val="00411101"/>
    <w:pPr>
      <w:jc w:val="left"/>
    </w:pPr>
    <w:rPr>
      <w:rFonts w:ascii="Courier New" w:hAnsi="Courier New"/>
      <w:sz w:val="20"/>
      <w:szCs w:val="20"/>
    </w:rPr>
  </w:style>
  <w:style w:type="character" w:customStyle="1" w:styleId="ZwykytekstZnak">
    <w:name w:val="Zwykły tekst Znak"/>
    <w:link w:val="Zwykytekst"/>
    <w:rsid w:val="00411101"/>
    <w:rPr>
      <w:rFonts w:ascii="Courier New" w:hAnsi="Courier New"/>
      <w:lang w:val="pl-PL" w:eastAsia="pl-PL" w:bidi="ar-SA"/>
    </w:rPr>
  </w:style>
  <w:style w:type="character" w:styleId="UyteHipercze">
    <w:name w:val="FollowedHyperlink"/>
    <w:rsid w:val="00411101"/>
    <w:rPr>
      <w:color w:val="800080"/>
      <w:u w:val="single"/>
    </w:rPr>
  </w:style>
  <w:style w:type="paragraph" w:customStyle="1" w:styleId="WW-Default">
    <w:name w:val="WW-Default"/>
    <w:rsid w:val="00411101"/>
    <w:pPr>
      <w:suppressAutoHyphens/>
      <w:autoSpaceDE w:val="0"/>
    </w:pPr>
    <w:rPr>
      <w:rFonts w:ascii="Arial" w:eastAsia="Arial" w:hAnsi="Arial" w:cs="Arial"/>
      <w:color w:val="000000"/>
      <w:sz w:val="24"/>
      <w:szCs w:val="24"/>
      <w:lang w:eastAsia="ar-SA"/>
    </w:rPr>
  </w:style>
  <w:style w:type="paragraph" w:customStyle="1" w:styleId="c71indicateur">
    <w:name w:val="c71indicateur"/>
    <w:basedOn w:val="Normalny"/>
    <w:rsid w:val="00411101"/>
    <w:pPr>
      <w:spacing w:before="600" w:after="560"/>
      <w:ind w:left="567"/>
      <w:jc w:val="center"/>
    </w:pPr>
    <w:rPr>
      <w:sz w:val="24"/>
    </w:rPr>
  </w:style>
  <w:style w:type="paragraph" w:customStyle="1" w:styleId="c30dispositifalinea">
    <w:name w:val="c30dispositifalinea"/>
    <w:basedOn w:val="Normalny"/>
    <w:rsid w:val="00411101"/>
    <w:pPr>
      <w:spacing w:after="240"/>
      <w:ind w:left="567"/>
    </w:pPr>
    <w:rPr>
      <w:b/>
      <w:bCs/>
      <w:sz w:val="24"/>
    </w:rPr>
  </w:style>
  <w:style w:type="paragraph" w:styleId="Tekstprzypisukocowego">
    <w:name w:val="endnote text"/>
    <w:basedOn w:val="Normalny"/>
    <w:link w:val="TekstprzypisukocowegoZnak"/>
    <w:rsid w:val="00411101"/>
    <w:rPr>
      <w:sz w:val="20"/>
      <w:szCs w:val="20"/>
    </w:rPr>
  </w:style>
  <w:style w:type="character" w:customStyle="1" w:styleId="TekstprzypisukocowegoZnak">
    <w:name w:val="Tekst przypisu końcowego Znak"/>
    <w:link w:val="Tekstprzypisukocowego"/>
    <w:rsid w:val="00411101"/>
    <w:rPr>
      <w:rFonts w:ascii="Arial" w:hAnsi="Arial"/>
      <w:lang w:val="pl-PL" w:eastAsia="pl-PL" w:bidi="ar-SA"/>
    </w:rPr>
  </w:style>
  <w:style w:type="character" w:styleId="Odwoanieprzypisukocowego">
    <w:name w:val="endnote reference"/>
    <w:rsid w:val="00411101"/>
    <w:rPr>
      <w:vertAlign w:val="superscript"/>
    </w:rPr>
  </w:style>
  <w:style w:type="character" w:styleId="Uwydatnienie">
    <w:name w:val="Emphasis"/>
    <w:uiPriority w:val="20"/>
    <w:qFormat/>
    <w:rsid w:val="00411101"/>
    <w:rPr>
      <w:i/>
      <w:iCs/>
    </w:rPr>
  </w:style>
  <w:style w:type="character" w:customStyle="1" w:styleId="Normalny1">
    <w:name w:val="Normalny1"/>
    <w:basedOn w:val="Domylnaczcionkaakapitu"/>
    <w:rsid w:val="00411101"/>
  </w:style>
  <w:style w:type="character" w:styleId="Pogrubienie">
    <w:name w:val="Strong"/>
    <w:uiPriority w:val="22"/>
    <w:qFormat/>
    <w:rsid w:val="00411101"/>
    <w:rPr>
      <w:b/>
      <w:bCs/>
    </w:rPr>
  </w:style>
  <w:style w:type="character" w:customStyle="1" w:styleId="highlight">
    <w:name w:val="highlight"/>
    <w:basedOn w:val="Domylnaczcionkaakapitu"/>
    <w:rsid w:val="00411101"/>
  </w:style>
  <w:style w:type="table" w:customStyle="1" w:styleId="Jasnasiatkaakcent11">
    <w:name w:val="Jasna siatka — akcent 11"/>
    <w:basedOn w:val="Standardowy"/>
    <w:rsid w:val="00411101"/>
    <w:rPr>
      <w:rFonts w:ascii="Calibri" w:eastAsia="Calibri" w:hAnsi="Calibri"/>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New York" w:eastAsia="Times New Roman"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ew York" w:eastAsia="Times New Roman"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Times New Roman" w:hAnsi="New York" w:cs="Times New Roman"/>
        <w:b/>
        <w:bCs/>
      </w:rPr>
    </w:tblStylePr>
    <w:tblStylePr w:type="lastCol">
      <w:rPr>
        <w:rFonts w:ascii="New York" w:eastAsia="Times New Roman"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listparagraph">
    <w:name w:val="listparagraph"/>
    <w:basedOn w:val="Normalny"/>
    <w:rsid w:val="00411101"/>
    <w:pPr>
      <w:spacing w:after="200" w:line="276" w:lineRule="auto"/>
      <w:ind w:left="720"/>
      <w:jc w:val="left"/>
    </w:pPr>
    <w:rPr>
      <w:rFonts w:ascii="Calibri" w:hAnsi="Calibri"/>
      <w:szCs w:val="22"/>
    </w:rPr>
  </w:style>
  <w:style w:type="character" w:customStyle="1" w:styleId="txt-new">
    <w:name w:val="txt-new"/>
    <w:rsid w:val="00EA301D"/>
  </w:style>
  <w:style w:type="character" w:styleId="Odwoaniedokomentarza">
    <w:name w:val="annotation reference"/>
    <w:uiPriority w:val="99"/>
    <w:rsid w:val="00542041"/>
    <w:rPr>
      <w:sz w:val="16"/>
      <w:szCs w:val="16"/>
    </w:rPr>
  </w:style>
  <w:style w:type="character" w:customStyle="1" w:styleId="st1">
    <w:name w:val="st1"/>
    <w:rsid w:val="00431640"/>
  </w:style>
  <w:style w:type="paragraph" w:customStyle="1" w:styleId="Kolorowecieniowanieakcent11">
    <w:name w:val="Kolorowe cieniowanie — akcent 11"/>
    <w:hidden/>
    <w:uiPriority w:val="99"/>
    <w:semiHidden/>
    <w:rsid w:val="000C785F"/>
    <w:rPr>
      <w:rFonts w:ascii="Arial" w:hAnsi="Arial"/>
      <w:sz w:val="22"/>
      <w:szCs w:val="24"/>
    </w:rPr>
  </w:style>
  <w:style w:type="paragraph" w:customStyle="1" w:styleId="redniasiatka21">
    <w:name w:val="Średnia siatka 21"/>
    <w:uiPriority w:val="1"/>
    <w:qFormat/>
    <w:rsid w:val="00B045C0"/>
    <w:rPr>
      <w:rFonts w:ascii="Calibri" w:hAnsi="Calibri"/>
      <w:sz w:val="22"/>
      <w:szCs w:val="22"/>
      <w:lang w:eastAsia="en-US"/>
    </w:rPr>
  </w:style>
  <w:style w:type="table" w:styleId="Tabela-Motyw">
    <w:name w:val="Table Theme"/>
    <w:basedOn w:val="Standardowy"/>
    <w:rsid w:val="00E8275B"/>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Zwykatabela1">
    <w:name w:val="Plain Table 1"/>
    <w:basedOn w:val="Standardowy"/>
    <w:uiPriority w:val="41"/>
    <w:rsid w:val="00E8275B"/>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elasiatki4akcent1">
    <w:name w:val="Grid Table 4 Accent 1"/>
    <w:basedOn w:val="Standardowy"/>
    <w:uiPriority w:val="49"/>
    <w:rsid w:val="00B6385F"/>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CM31">
    <w:name w:val="CM3+1"/>
    <w:basedOn w:val="Normalny"/>
    <w:next w:val="Normalny"/>
    <w:uiPriority w:val="99"/>
    <w:rsid w:val="00E636C5"/>
    <w:pPr>
      <w:autoSpaceDE w:val="0"/>
      <w:autoSpaceDN w:val="0"/>
      <w:adjustRightInd w:val="0"/>
      <w:jc w:val="left"/>
    </w:pPr>
    <w:rPr>
      <w:rFonts w:ascii="EUAlbertina" w:eastAsia="Calibri" w:hAnsi="EUAlbertina"/>
      <w:sz w:val="24"/>
    </w:rPr>
  </w:style>
  <w:style w:type="character" w:customStyle="1" w:styleId="apple-converted-space">
    <w:name w:val="apple-converted-space"/>
    <w:rsid w:val="00FF244B"/>
  </w:style>
  <w:style w:type="character" w:customStyle="1" w:styleId="Kolorowalistaakcent1Znak">
    <w:name w:val="Kolorowa lista — akcent 1 Znak"/>
    <w:link w:val="Kolorowalistaakcent11"/>
    <w:uiPriority w:val="34"/>
    <w:locked/>
    <w:rsid w:val="00571D19"/>
    <w:rPr>
      <w:rFonts w:ascii="Arial" w:hAnsi="Arial"/>
      <w:sz w:val="22"/>
      <w:szCs w:val="24"/>
    </w:rPr>
  </w:style>
  <w:style w:type="paragraph" w:styleId="Akapitzlist">
    <w:name w:val="List Paragraph"/>
    <w:aliases w:val="CW_Lista,lp1,Preambuła,Numerowanie,Akapit z listą BS,Dot pt,F5 List Paragraph,Recommendation,List Paragraph11,L1,List Paragraph,Normalny PDST,HŁ_Bullet1,Use Case List Paragraph,Heading2,Body Bullet"/>
    <w:basedOn w:val="Normalny"/>
    <w:link w:val="AkapitzlistZnak"/>
    <w:uiPriority w:val="34"/>
    <w:qFormat/>
    <w:rsid w:val="00F9252F"/>
    <w:pPr>
      <w:ind w:left="720"/>
      <w:contextualSpacing/>
    </w:pPr>
    <w:rPr>
      <w:sz w:val="24"/>
      <w:lang w:val="x-none" w:eastAsia="x-none"/>
    </w:rPr>
  </w:style>
  <w:style w:type="table" w:styleId="Tabelasiatki4akcent5">
    <w:name w:val="Grid Table 4 Accent 5"/>
    <w:basedOn w:val="Standardowy"/>
    <w:uiPriority w:val="49"/>
    <w:rsid w:val="00F9252F"/>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dok1">
    <w:name w:val="dok1"/>
    <w:basedOn w:val="Normalny"/>
    <w:rsid w:val="00DB5A31"/>
    <w:pPr>
      <w:widowControl w:val="0"/>
      <w:suppressAutoHyphens/>
      <w:spacing w:line="360" w:lineRule="auto"/>
    </w:pPr>
    <w:rPr>
      <w:rFonts w:ascii="Times New Roman" w:eastAsia="SimSun" w:hAnsi="Times New Roman" w:cs="Mangal"/>
      <w:kern w:val="1"/>
      <w:sz w:val="26"/>
      <w:lang w:eastAsia="hi-IN" w:bidi="hi-IN"/>
    </w:rPr>
  </w:style>
  <w:style w:type="paragraph" w:styleId="Bezodstpw">
    <w:name w:val="No Spacing"/>
    <w:link w:val="BezodstpwZnak"/>
    <w:uiPriority w:val="1"/>
    <w:qFormat/>
    <w:rsid w:val="005E5175"/>
    <w:rPr>
      <w:rFonts w:ascii="Calibri" w:eastAsia="Calibri" w:hAnsi="Calibri"/>
      <w:sz w:val="22"/>
      <w:szCs w:val="22"/>
      <w:lang w:eastAsia="en-US"/>
    </w:rPr>
  </w:style>
  <w:style w:type="paragraph" w:styleId="Tekstpodstawowywcity">
    <w:name w:val="Body Text Indent"/>
    <w:basedOn w:val="Normalny"/>
    <w:link w:val="TekstpodstawowywcityZnak"/>
    <w:rsid w:val="002F4F31"/>
    <w:pPr>
      <w:spacing w:after="120"/>
      <w:ind w:left="283"/>
    </w:pPr>
    <w:rPr>
      <w:lang w:val="x-none" w:eastAsia="x-none"/>
    </w:rPr>
  </w:style>
  <w:style w:type="character" w:customStyle="1" w:styleId="TekstpodstawowywcityZnak">
    <w:name w:val="Tekst podstawowy wcięty Znak"/>
    <w:link w:val="Tekstpodstawowywcity"/>
    <w:rsid w:val="002F4F31"/>
    <w:rPr>
      <w:rFonts w:ascii="Arial" w:hAnsi="Arial"/>
      <w:sz w:val="22"/>
      <w:szCs w:val="24"/>
    </w:rPr>
  </w:style>
  <w:style w:type="character" w:customStyle="1" w:styleId="AkapitzlistZnak">
    <w:name w:val="Akapit z listą Znak"/>
    <w:aliases w:val="CW_Lista Znak,lp1 Znak,Preambuła Znak,Numerowanie Znak,Akapit z listą BS Znak,Dot pt Znak,F5 List Paragraph Znak,Recommendation Znak,List Paragraph11 Znak,L1 Znak,List Paragraph Znak,Normalny PDST Znak,HŁ_Bullet1 Znak,Heading2 Znak"/>
    <w:link w:val="Akapitzlist"/>
    <w:uiPriority w:val="34"/>
    <w:qFormat/>
    <w:locked/>
    <w:rsid w:val="005E33E6"/>
    <w:rPr>
      <w:rFonts w:ascii="Arial" w:hAnsi="Arial"/>
      <w:sz w:val="24"/>
      <w:szCs w:val="24"/>
    </w:rPr>
  </w:style>
  <w:style w:type="paragraph" w:customStyle="1" w:styleId="xmsonormal">
    <w:name w:val="x_msonormal"/>
    <w:basedOn w:val="Normalny"/>
    <w:rsid w:val="005E33E6"/>
    <w:pPr>
      <w:spacing w:before="100" w:beforeAutospacing="1" w:after="100" w:afterAutospacing="1"/>
      <w:jc w:val="left"/>
    </w:pPr>
    <w:rPr>
      <w:rFonts w:ascii="Times New Roman" w:hAnsi="Times New Roman"/>
      <w:sz w:val="24"/>
    </w:rPr>
  </w:style>
  <w:style w:type="character" w:customStyle="1" w:styleId="Ppogrubienie">
    <w:name w:val="_P_ – pogrubienie"/>
    <w:uiPriority w:val="1"/>
    <w:qFormat/>
    <w:rsid w:val="005E33E6"/>
    <w:rPr>
      <w:b/>
    </w:rPr>
  </w:style>
  <w:style w:type="paragraph" w:customStyle="1" w:styleId="xmsolistparagraph">
    <w:name w:val="x_msolistparagraph"/>
    <w:basedOn w:val="Normalny"/>
    <w:rsid w:val="00EE5973"/>
    <w:pPr>
      <w:spacing w:before="100" w:beforeAutospacing="1" w:after="100" w:afterAutospacing="1"/>
      <w:jc w:val="left"/>
    </w:pPr>
    <w:rPr>
      <w:rFonts w:ascii="Times New Roman" w:hAnsi="Times New Roman"/>
      <w:sz w:val="24"/>
      <w:lang w:val="en-GB" w:eastAsia="en-GB"/>
    </w:rPr>
  </w:style>
  <w:style w:type="paragraph" w:customStyle="1" w:styleId="a">
    <w:basedOn w:val="Normalny"/>
    <w:next w:val="Mapadokumentu"/>
    <w:rsid w:val="00AD2BAF"/>
    <w:pPr>
      <w:shd w:val="clear" w:color="auto" w:fill="000080"/>
    </w:pPr>
    <w:rPr>
      <w:rFonts w:ascii="Tahoma" w:hAnsi="Tahoma" w:cs="Tahoma"/>
      <w:sz w:val="20"/>
      <w:szCs w:val="20"/>
    </w:rPr>
  </w:style>
  <w:style w:type="character" w:customStyle="1" w:styleId="TekstdymkaZnak">
    <w:name w:val="Tekst dymka Znak"/>
    <w:link w:val="Tekstdymka"/>
    <w:semiHidden/>
    <w:rsid w:val="00AD2BAF"/>
    <w:rPr>
      <w:rFonts w:ascii="Tahoma" w:hAnsi="Tahoma" w:cs="Tahoma"/>
      <w:sz w:val="16"/>
      <w:szCs w:val="16"/>
    </w:rPr>
  </w:style>
  <w:style w:type="paragraph" w:styleId="Nagwekspisutreci">
    <w:name w:val="TOC Heading"/>
    <w:basedOn w:val="Nagwek1"/>
    <w:next w:val="Normalny"/>
    <w:qFormat/>
    <w:rsid w:val="00AD2BAF"/>
    <w:pPr>
      <w:keepLines/>
      <w:spacing w:before="480" w:line="276" w:lineRule="auto"/>
      <w:outlineLvl w:val="9"/>
    </w:pPr>
    <w:rPr>
      <w:rFonts w:ascii="Cambria" w:hAnsi="Cambria"/>
      <w:bCs/>
      <w:color w:val="365F91"/>
      <w:sz w:val="28"/>
      <w:szCs w:val="28"/>
      <w:lang w:eastAsia="en-US"/>
    </w:rPr>
  </w:style>
  <w:style w:type="character" w:customStyle="1" w:styleId="TematkomentarzaZnak">
    <w:name w:val="Temat komentarza Znak"/>
    <w:link w:val="Tematkomentarza"/>
    <w:semiHidden/>
    <w:rsid w:val="00AD2BAF"/>
    <w:rPr>
      <w:rFonts w:ascii="Arial" w:hAnsi="Arial"/>
      <w:b/>
      <w:bCs/>
    </w:rPr>
  </w:style>
  <w:style w:type="paragraph" w:styleId="Poprawka">
    <w:name w:val="Revision"/>
    <w:hidden/>
    <w:uiPriority w:val="99"/>
    <w:semiHidden/>
    <w:rsid w:val="00AD2BAF"/>
    <w:rPr>
      <w:rFonts w:ascii="Arial" w:hAnsi="Arial"/>
      <w:sz w:val="22"/>
      <w:szCs w:val="24"/>
    </w:rPr>
  </w:style>
  <w:style w:type="table" w:customStyle="1" w:styleId="Zwykatabela11">
    <w:name w:val="Zwykła tabela 11"/>
    <w:basedOn w:val="Standardowy"/>
    <w:uiPriority w:val="41"/>
    <w:rsid w:val="00AD2BAF"/>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4akcent11">
    <w:name w:val="Tabela siatki 4 — akcent 11"/>
    <w:basedOn w:val="Standardowy"/>
    <w:uiPriority w:val="49"/>
    <w:rsid w:val="00AD2BAF"/>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MapadokumentuZnak">
    <w:name w:val="Mapa dokumentu Znak"/>
    <w:aliases w:val="Plan dokumentu Znak"/>
    <w:link w:val="Mapadokumentu"/>
    <w:uiPriority w:val="99"/>
    <w:semiHidden/>
    <w:rsid w:val="00AD2BAF"/>
    <w:rPr>
      <w:rFonts w:ascii="Tahoma" w:hAnsi="Tahoma" w:cs="Tahoma"/>
      <w:shd w:val="clear" w:color="auto" w:fill="000080"/>
    </w:rPr>
  </w:style>
  <w:style w:type="paragraph" w:styleId="Legenda">
    <w:name w:val="caption"/>
    <w:aliases w:val="Legenda WM"/>
    <w:basedOn w:val="Normalny"/>
    <w:next w:val="Normalny"/>
    <w:unhideWhenUsed/>
    <w:qFormat/>
    <w:rsid w:val="006C14EB"/>
    <w:pPr>
      <w:keepNext/>
      <w:spacing w:before="120" w:after="120" w:line="360" w:lineRule="auto"/>
      <w:jc w:val="left"/>
    </w:pPr>
    <w:rPr>
      <w:iCs/>
      <w:color w:val="44546A" w:themeColor="text2"/>
      <w:sz w:val="18"/>
      <w:szCs w:val="18"/>
    </w:rPr>
  </w:style>
  <w:style w:type="paragraph" w:styleId="Spisilustracji">
    <w:name w:val="table of figures"/>
    <w:basedOn w:val="Normalny"/>
    <w:next w:val="Normalny"/>
    <w:uiPriority w:val="99"/>
    <w:rsid w:val="00E620CD"/>
    <w:pPr>
      <w:spacing w:line="360" w:lineRule="auto"/>
      <w:jc w:val="left"/>
    </w:pPr>
    <w:rPr>
      <w:sz w:val="18"/>
    </w:rPr>
  </w:style>
  <w:style w:type="character" w:customStyle="1" w:styleId="Nierozpoznanawzmianka1">
    <w:name w:val="Nierozpoznana wzmianka1"/>
    <w:basedOn w:val="Domylnaczcionkaakapitu"/>
    <w:uiPriority w:val="99"/>
    <w:semiHidden/>
    <w:unhideWhenUsed/>
    <w:rPr>
      <w:color w:val="605E5C"/>
      <w:shd w:val="clear" w:color="auto" w:fill="E1DFDD"/>
    </w:rPr>
  </w:style>
  <w:style w:type="table" w:customStyle="1" w:styleId="Tabela-Siatka1">
    <w:name w:val="Tabela - Siatka1"/>
    <w:basedOn w:val="Standardowy"/>
    <w:next w:val="Tabela-Siatka"/>
    <w:uiPriority w:val="39"/>
    <w:rsid w:val="003B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2">
    <w:name w:val="Nierozpoznana wzmianka2"/>
    <w:basedOn w:val="Domylnaczcionkaakapitu"/>
    <w:uiPriority w:val="99"/>
    <w:semiHidden/>
    <w:unhideWhenUsed/>
    <w:rsid w:val="00316134"/>
    <w:rPr>
      <w:color w:val="605E5C"/>
      <w:shd w:val="clear" w:color="auto" w:fill="E1DFDD"/>
    </w:rPr>
  </w:style>
  <w:style w:type="character" w:customStyle="1" w:styleId="Nierozpoznanawzmianka3">
    <w:name w:val="Nierozpoznana wzmianka3"/>
    <w:basedOn w:val="Domylnaczcionkaakapitu"/>
    <w:uiPriority w:val="99"/>
    <w:semiHidden/>
    <w:unhideWhenUsed/>
    <w:rsid w:val="00D174BC"/>
    <w:rPr>
      <w:color w:val="605E5C"/>
      <w:shd w:val="clear" w:color="auto" w:fill="E1DFDD"/>
    </w:rPr>
  </w:style>
  <w:style w:type="character" w:customStyle="1" w:styleId="Nierozpoznanawzmianka4">
    <w:name w:val="Nierozpoznana wzmianka4"/>
    <w:basedOn w:val="Domylnaczcionkaakapitu"/>
    <w:uiPriority w:val="99"/>
    <w:semiHidden/>
    <w:unhideWhenUsed/>
    <w:rsid w:val="001D79C1"/>
    <w:rPr>
      <w:color w:val="605E5C"/>
      <w:shd w:val="clear" w:color="auto" w:fill="E1DFDD"/>
    </w:rPr>
  </w:style>
  <w:style w:type="character" w:customStyle="1" w:styleId="BezodstpwZnak">
    <w:name w:val="Bez odstępów Znak"/>
    <w:basedOn w:val="Domylnaczcionkaakapitu"/>
    <w:link w:val="Bezodstpw"/>
    <w:uiPriority w:val="1"/>
    <w:rsid w:val="00AF14A9"/>
    <w:rPr>
      <w:rFonts w:ascii="Calibri" w:eastAsia="Calibri" w:hAnsi="Calibri"/>
      <w:sz w:val="22"/>
      <w:szCs w:val="22"/>
      <w:lang w:eastAsia="en-US"/>
    </w:rPr>
  </w:style>
  <w:style w:type="character" w:customStyle="1" w:styleId="Nierozpoznanawzmianka5">
    <w:name w:val="Nierozpoznana wzmianka5"/>
    <w:basedOn w:val="Domylnaczcionkaakapitu"/>
    <w:uiPriority w:val="99"/>
    <w:semiHidden/>
    <w:unhideWhenUsed/>
    <w:rsid w:val="00544317"/>
    <w:rPr>
      <w:color w:val="605E5C"/>
      <w:shd w:val="clear" w:color="auto" w:fill="E1DFDD"/>
    </w:rPr>
  </w:style>
  <w:style w:type="character" w:customStyle="1" w:styleId="cf01">
    <w:name w:val="cf01"/>
    <w:basedOn w:val="Domylnaczcionkaakapitu"/>
    <w:rsid w:val="00C82810"/>
    <w:rPr>
      <w:rFonts w:ascii="Segoe UI" w:hAnsi="Segoe UI" w:cs="Segoe UI" w:hint="default"/>
      <w:i/>
      <w:iCs/>
      <w:sz w:val="18"/>
      <w:szCs w:val="18"/>
    </w:rPr>
  </w:style>
  <w:style w:type="paragraph" w:customStyle="1" w:styleId="StylNagwek116pktNiebieskiPo6pkt">
    <w:name w:val="Styl Nagłówek 1 + 16 pkt Niebieski Po:  6 pkt"/>
    <w:basedOn w:val="Nagwek1"/>
    <w:rsid w:val="00F2302F"/>
    <w:pPr>
      <w:spacing w:after="360"/>
    </w:pPr>
    <w:rPr>
      <w:bCs/>
      <w:szCs w:val="20"/>
    </w:rPr>
  </w:style>
  <w:style w:type="paragraph" w:customStyle="1" w:styleId="StylNagwek116pktNiebieskiZlewej0cmWysunicie">
    <w:name w:val="Styl Nagłówek 1 + 16 pkt Niebieski Z lewej:  0 cm Wysunięcie:  ..."/>
    <w:basedOn w:val="Nagwek1"/>
    <w:autoRedefine/>
    <w:qFormat/>
    <w:rsid w:val="009F2FE9"/>
    <w:pPr>
      <w:tabs>
        <w:tab w:val="left" w:pos="216"/>
      </w:tabs>
    </w:pPr>
    <w:rPr>
      <w:bCs/>
      <w:szCs w:val="20"/>
    </w:rPr>
  </w:style>
  <w:style w:type="paragraph" w:styleId="Tekstpodstawowyzwciciem">
    <w:name w:val="Body Text First Indent"/>
    <w:basedOn w:val="Tekstpodstawowy"/>
    <w:link w:val="TekstpodstawowyzwciciemZnak"/>
    <w:rsid w:val="008E1987"/>
    <w:pPr>
      <w:spacing w:after="0"/>
      <w:ind w:firstLine="360"/>
    </w:pPr>
  </w:style>
  <w:style w:type="character" w:customStyle="1" w:styleId="TekstpodstawowyzwciciemZnak">
    <w:name w:val="Tekst podstawowy z wcięciem Znak"/>
    <w:basedOn w:val="TekstpodstawowyZnak"/>
    <w:link w:val="Tekstpodstawowyzwciciem"/>
    <w:rsid w:val="008E1987"/>
    <w:rPr>
      <w:rFonts w:ascii="Arial" w:hAnsi="Arial"/>
      <w:sz w:val="22"/>
      <w:szCs w:val="24"/>
      <w:lang w:val="pl-PL" w:eastAsia="pl-PL"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397240">
      <w:bodyDiv w:val="1"/>
      <w:marLeft w:val="0"/>
      <w:marRight w:val="0"/>
      <w:marTop w:val="0"/>
      <w:marBottom w:val="0"/>
      <w:divBdr>
        <w:top w:val="none" w:sz="0" w:space="0" w:color="auto"/>
        <w:left w:val="none" w:sz="0" w:space="0" w:color="auto"/>
        <w:bottom w:val="none" w:sz="0" w:space="0" w:color="auto"/>
        <w:right w:val="none" w:sz="0" w:space="0" w:color="auto"/>
      </w:divBdr>
    </w:div>
    <w:div w:id="37776673">
      <w:bodyDiv w:val="1"/>
      <w:marLeft w:val="0"/>
      <w:marRight w:val="0"/>
      <w:marTop w:val="0"/>
      <w:marBottom w:val="0"/>
      <w:divBdr>
        <w:top w:val="none" w:sz="0" w:space="0" w:color="auto"/>
        <w:left w:val="none" w:sz="0" w:space="0" w:color="auto"/>
        <w:bottom w:val="none" w:sz="0" w:space="0" w:color="auto"/>
        <w:right w:val="none" w:sz="0" w:space="0" w:color="auto"/>
      </w:divBdr>
    </w:div>
    <w:div w:id="97068514">
      <w:bodyDiv w:val="1"/>
      <w:marLeft w:val="0"/>
      <w:marRight w:val="0"/>
      <w:marTop w:val="0"/>
      <w:marBottom w:val="0"/>
      <w:divBdr>
        <w:top w:val="none" w:sz="0" w:space="0" w:color="auto"/>
        <w:left w:val="none" w:sz="0" w:space="0" w:color="auto"/>
        <w:bottom w:val="none" w:sz="0" w:space="0" w:color="auto"/>
        <w:right w:val="none" w:sz="0" w:space="0" w:color="auto"/>
      </w:divBdr>
    </w:div>
    <w:div w:id="104273482">
      <w:bodyDiv w:val="1"/>
      <w:marLeft w:val="0"/>
      <w:marRight w:val="0"/>
      <w:marTop w:val="0"/>
      <w:marBottom w:val="0"/>
      <w:divBdr>
        <w:top w:val="none" w:sz="0" w:space="0" w:color="auto"/>
        <w:left w:val="none" w:sz="0" w:space="0" w:color="auto"/>
        <w:bottom w:val="none" w:sz="0" w:space="0" w:color="auto"/>
        <w:right w:val="none" w:sz="0" w:space="0" w:color="auto"/>
      </w:divBdr>
    </w:div>
    <w:div w:id="108941265">
      <w:bodyDiv w:val="1"/>
      <w:marLeft w:val="0"/>
      <w:marRight w:val="0"/>
      <w:marTop w:val="0"/>
      <w:marBottom w:val="0"/>
      <w:divBdr>
        <w:top w:val="none" w:sz="0" w:space="0" w:color="auto"/>
        <w:left w:val="none" w:sz="0" w:space="0" w:color="auto"/>
        <w:bottom w:val="none" w:sz="0" w:space="0" w:color="auto"/>
        <w:right w:val="none" w:sz="0" w:space="0" w:color="auto"/>
      </w:divBdr>
    </w:div>
    <w:div w:id="125709697">
      <w:bodyDiv w:val="1"/>
      <w:marLeft w:val="0"/>
      <w:marRight w:val="0"/>
      <w:marTop w:val="0"/>
      <w:marBottom w:val="0"/>
      <w:divBdr>
        <w:top w:val="none" w:sz="0" w:space="0" w:color="auto"/>
        <w:left w:val="none" w:sz="0" w:space="0" w:color="auto"/>
        <w:bottom w:val="none" w:sz="0" w:space="0" w:color="auto"/>
        <w:right w:val="none" w:sz="0" w:space="0" w:color="auto"/>
      </w:divBdr>
    </w:div>
    <w:div w:id="140074031">
      <w:bodyDiv w:val="1"/>
      <w:marLeft w:val="0"/>
      <w:marRight w:val="0"/>
      <w:marTop w:val="0"/>
      <w:marBottom w:val="0"/>
      <w:divBdr>
        <w:top w:val="none" w:sz="0" w:space="0" w:color="auto"/>
        <w:left w:val="none" w:sz="0" w:space="0" w:color="auto"/>
        <w:bottom w:val="none" w:sz="0" w:space="0" w:color="auto"/>
        <w:right w:val="none" w:sz="0" w:space="0" w:color="auto"/>
      </w:divBdr>
    </w:div>
    <w:div w:id="190068969">
      <w:bodyDiv w:val="1"/>
      <w:marLeft w:val="0"/>
      <w:marRight w:val="0"/>
      <w:marTop w:val="0"/>
      <w:marBottom w:val="0"/>
      <w:divBdr>
        <w:top w:val="none" w:sz="0" w:space="0" w:color="auto"/>
        <w:left w:val="none" w:sz="0" w:space="0" w:color="auto"/>
        <w:bottom w:val="none" w:sz="0" w:space="0" w:color="auto"/>
        <w:right w:val="none" w:sz="0" w:space="0" w:color="auto"/>
      </w:divBdr>
    </w:div>
    <w:div w:id="274410461">
      <w:bodyDiv w:val="1"/>
      <w:marLeft w:val="0"/>
      <w:marRight w:val="0"/>
      <w:marTop w:val="0"/>
      <w:marBottom w:val="0"/>
      <w:divBdr>
        <w:top w:val="none" w:sz="0" w:space="0" w:color="auto"/>
        <w:left w:val="none" w:sz="0" w:space="0" w:color="auto"/>
        <w:bottom w:val="none" w:sz="0" w:space="0" w:color="auto"/>
        <w:right w:val="none" w:sz="0" w:space="0" w:color="auto"/>
      </w:divBdr>
    </w:div>
    <w:div w:id="333186476">
      <w:bodyDiv w:val="1"/>
      <w:marLeft w:val="0"/>
      <w:marRight w:val="0"/>
      <w:marTop w:val="0"/>
      <w:marBottom w:val="0"/>
      <w:divBdr>
        <w:top w:val="none" w:sz="0" w:space="0" w:color="auto"/>
        <w:left w:val="none" w:sz="0" w:space="0" w:color="auto"/>
        <w:bottom w:val="none" w:sz="0" w:space="0" w:color="auto"/>
        <w:right w:val="none" w:sz="0" w:space="0" w:color="auto"/>
      </w:divBdr>
    </w:div>
    <w:div w:id="337780637">
      <w:bodyDiv w:val="1"/>
      <w:marLeft w:val="0"/>
      <w:marRight w:val="0"/>
      <w:marTop w:val="0"/>
      <w:marBottom w:val="0"/>
      <w:divBdr>
        <w:top w:val="none" w:sz="0" w:space="0" w:color="auto"/>
        <w:left w:val="none" w:sz="0" w:space="0" w:color="auto"/>
        <w:bottom w:val="none" w:sz="0" w:space="0" w:color="auto"/>
        <w:right w:val="none" w:sz="0" w:space="0" w:color="auto"/>
      </w:divBdr>
    </w:div>
    <w:div w:id="420033282">
      <w:bodyDiv w:val="1"/>
      <w:marLeft w:val="0"/>
      <w:marRight w:val="0"/>
      <w:marTop w:val="0"/>
      <w:marBottom w:val="0"/>
      <w:divBdr>
        <w:top w:val="none" w:sz="0" w:space="0" w:color="auto"/>
        <w:left w:val="none" w:sz="0" w:space="0" w:color="auto"/>
        <w:bottom w:val="none" w:sz="0" w:space="0" w:color="auto"/>
        <w:right w:val="none" w:sz="0" w:space="0" w:color="auto"/>
      </w:divBdr>
    </w:div>
    <w:div w:id="451484020">
      <w:bodyDiv w:val="1"/>
      <w:marLeft w:val="0"/>
      <w:marRight w:val="0"/>
      <w:marTop w:val="0"/>
      <w:marBottom w:val="0"/>
      <w:divBdr>
        <w:top w:val="none" w:sz="0" w:space="0" w:color="auto"/>
        <w:left w:val="none" w:sz="0" w:space="0" w:color="auto"/>
        <w:bottom w:val="none" w:sz="0" w:space="0" w:color="auto"/>
        <w:right w:val="none" w:sz="0" w:space="0" w:color="auto"/>
      </w:divBdr>
    </w:div>
    <w:div w:id="491725851">
      <w:bodyDiv w:val="1"/>
      <w:marLeft w:val="0"/>
      <w:marRight w:val="0"/>
      <w:marTop w:val="0"/>
      <w:marBottom w:val="0"/>
      <w:divBdr>
        <w:top w:val="none" w:sz="0" w:space="0" w:color="auto"/>
        <w:left w:val="none" w:sz="0" w:space="0" w:color="auto"/>
        <w:bottom w:val="none" w:sz="0" w:space="0" w:color="auto"/>
        <w:right w:val="none" w:sz="0" w:space="0" w:color="auto"/>
      </w:divBdr>
      <w:divsChild>
        <w:div w:id="229661900">
          <w:marLeft w:val="0"/>
          <w:marRight w:val="0"/>
          <w:marTop w:val="0"/>
          <w:marBottom w:val="0"/>
          <w:divBdr>
            <w:top w:val="none" w:sz="0" w:space="0" w:color="auto"/>
            <w:left w:val="none" w:sz="0" w:space="0" w:color="auto"/>
            <w:bottom w:val="none" w:sz="0" w:space="0" w:color="auto"/>
            <w:right w:val="none" w:sz="0" w:space="0" w:color="auto"/>
          </w:divBdr>
          <w:divsChild>
            <w:div w:id="174537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443072">
      <w:bodyDiv w:val="1"/>
      <w:marLeft w:val="0"/>
      <w:marRight w:val="0"/>
      <w:marTop w:val="0"/>
      <w:marBottom w:val="0"/>
      <w:divBdr>
        <w:top w:val="none" w:sz="0" w:space="0" w:color="auto"/>
        <w:left w:val="none" w:sz="0" w:space="0" w:color="auto"/>
        <w:bottom w:val="none" w:sz="0" w:space="0" w:color="auto"/>
        <w:right w:val="none" w:sz="0" w:space="0" w:color="auto"/>
      </w:divBdr>
    </w:div>
    <w:div w:id="515537768">
      <w:bodyDiv w:val="1"/>
      <w:marLeft w:val="0"/>
      <w:marRight w:val="0"/>
      <w:marTop w:val="0"/>
      <w:marBottom w:val="0"/>
      <w:divBdr>
        <w:top w:val="none" w:sz="0" w:space="0" w:color="auto"/>
        <w:left w:val="none" w:sz="0" w:space="0" w:color="auto"/>
        <w:bottom w:val="none" w:sz="0" w:space="0" w:color="auto"/>
        <w:right w:val="none" w:sz="0" w:space="0" w:color="auto"/>
      </w:divBdr>
    </w:div>
    <w:div w:id="596133693">
      <w:bodyDiv w:val="1"/>
      <w:marLeft w:val="0"/>
      <w:marRight w:val="0"/>
      <w:marTop w:val="0"/>
      <w:marBottom w:val="0"/>
      <w:divBdr>
        <w:top w:val="none" w:sz="0" w:space="0" w:color="auto"/>
        <w:left w:val="none" w:sz="0" w:space="0" w:color="auto"/>
        <w:bottom w:val="none" w:sz="0" w:space="0" w:color="auto"/>
        <w:right w:val="none" w:sz="0" w:space="0" w:color="auto"/>
      </w:divBdr>
    </w:div>
    <w:div w:id="611859224">
      <w:bodyDiv w:val="1"/>
      <w:marLeft w:val="0"/>
      <w:marRight w:val="0"/>
      <w:marTop w:val="0"/>
      <w:marBottom w:val="0"/>
      <w:divBdr>
        <w:top w:val="none" w:sz="0" w:space="0" w:color="auto"/>
        <w:left w:val="none" w:sz="0" w:space="0" w:color="auto"/>
        <w:bottom w:val="none" w:sz="0" w:space="0" w:color="auto"/>
        <w:right w:val="none" w:sz="0" w:space="0" w:color="auto"/>
      </w:divBdr>
    </w:div>
    <w:div w:id="747337992">
      <w:bodyDiv w:val="1"/>
      <w:marLeft w:val="0"/>
      <w:marRight w:val="0"/>
      <w:marTop w:val="0"/>
      <w:marBottom w:val="0"/>
      <w:divBdr>
        <w:top w:val="none" w:sz="0" w:space="0" w:color="auto"/>
        <w:left w:val="none" w:sz="0" w:space="0" w:color="auto"/>
        <w:bottom w:val="none" w:sz="0" w:space="0" w:color="auto"/>
        <w:right w:val="none" w:sz="0" w:space="0" w:color="auto"/>
      </w:divBdr>
    </w:div>
    <w:div w:id="796991453">
      <w:bodyDiv w:val="1"/>
      <w:marLeft w:val="0"/>
      <w:marRight w:val="0"/>
      <w:marTop w:val="0"/>
      <w:marBottom w:val="0"/>
      <w:divBdr>
        <w:top w:val="none" w:sz="0" w:space="0" w:color="auto"/>
        <w:left w:val="none" w:sz="0" w:space="0" w:color="auto"/>
        <w:bottom w:val="none" w:sz="0" w:space="0" w:color="auto"/>
        <w:right w:val="none" w:sz="0" w:space="0" w:color="auto"/>
      </w:divBdr>
    </w:div>
    <w:div w:id="857432326">
      <w:bodyDiv w:val="1"/>
      <w:marLeft w:val="0"/>
      <w:marRight w:val="0"/>
      <w:marTop w:val="0"/>
      <w:marBottom w:val="0"/>
      <w:divBdr>
        <w:top w:val="none" w:sz="0" w:space="0" w:color="auto"/>
        <w:left w:val="none" w:sz="0" w:space="0" w:color="auto"/>
        <w:bottom w:val="none" w:sz="0" w:space="0" w:color="auto"/>
        <w:right w:val="none" w:sz="0" w:space="0" w:color="auto"/>
      </w:divBdr>
    </w:div>
    <w:div w:id="958804777">
      <w:bodyDiv w:val="1"/>
      <w:marLeft w:val="0"/>
      <w:marRight w:val="0"/>
      <w:marTop w:val="0"/>
      <w:marBottom w:val="0"/>
      <w:divBdr>
        <w:top w:val="none" w:sz="0" w:space="0" w:color="auto"/>
        <w:left w:val="none" w:sz="0" w:space="0" w:color="auto"/>
        <w:bottom w:val="none" w:sz="0" w:space="0" w:color="auto"/>
        <w:right w:val="none" w:sz="0" w:space="0" w:color="auto"/>
      </w:divBdr>
    </w:div>
    <w:div w:id="1007948542">
      <w:bodyDiv w:val="1"/>
      <w:marLeft w:val="0"/>
      <w:marRight w:val="0"/>
      <w:marTop w:val="0"/>
      <w:marBottom w:val="0"/>
      <w:divBdr>
        <w:top w:val="none" w:sz="0" w:space="0" w:color="auto"/>
        <w:left w:val="none" w:sz="0" w:space="0" w:color="auto"/>
        <w:bottom w:val="none" w:sz="0" w:space="0" w:color="auto"/>
        <w:right w:val="none" w:sz="0" w:space="0" w:color="auto"/>
      </w:divBdr>
      <w:divsChild>
        <w:div w:id="637808528">
          <w:marLeft w:val="1080"/>
          <w:marRight w:val="0"/>
          <w:marTop w:val="100"/>
          <w:marBottom w:val="0"/>
          <w:divBdr>
            <w:top w:val="none" w:sz="0" w:space="0" w:color="auto"/>
            <w:left w:val="none" w:sz="0" w:space="0" w:color="auto"/>
            <w:bottom w:val="none" w:sz="0" w:space="0" w:color="auto"/>
            <w:right w:val="none" w:sz="0" w:space="0" w:color="auto"/>
          </w:divBdr>
        </w:div>
        <w:div w:id="1015500773">
          <w:marLeft w:val="1080"/>
          <w:marRight w:val="0"/>
          <w:marTop w:val="100"/>
          <w:marBottom w:val="0"/>
          <w:divBdr>
            <w:top w:val="none" w:sz="0" w:space="0" w:color="auto"/>
            <w:left w:val="none" w:sz="0" w:space="0" w:color="auto"/>
            <w:bottom w:val="none" w:sz="0" w:space="0" w:color="auto"/>
            <w:right w:val="none" w:sz="0" w:space="0" w:color="auto"/>
          </w:divBdr>
        </w:div>
        <w:div w:id="1447387813">
          <w:marLeft w:val="1080"/>
          <w:marRight w:val="0"/>
          <w:marTop w:val="100"/>
          <w:marBottom w:val="0"/>
          <w:divBdr>
            <w:top w:val="none" w:sz="0" w:space="0" w:color="auto"/>
            <w:left w:val="none" w:sz="0" w:space="0" w:color="auto"/>
            <w:bottom w:val="none" w:sz="0" w:space="0" w:color="auto"/>
            <w:right w:val="none" w:sz="0" w:space="0" w:color="auto"/>
          </w:divBdr>
        </w:div>
      </w:divsChild>
    </w:div>
    <w:div w:id="1031764883">
      <w:bodyDiv w:val="1"/>
      <w:marLeft w:val="0"/>
      <w:marRight w:val="0"/>
      <w:marTop w:val="0"/>
      <w:marBottom w:val="0"/>
      <w:divBdr>
        <w:top w:val="none" w:sz="0" w:space="0" w:color="auto"/>
        <w:left w:val="none" w:sz="0" w:space="0" w:color="auto"/>
        <w:bottom w:val="none" w:sz="0" w:space="0" w:color="auto"/>
        <w:right w:val="none" w:sz="0" w:space="0" w:color="auto"/>
      </w:divBdr>
    </w:div>
    <w:div w:id="1052119321">
      <w:bodyDiv w:val="1"/>
      <w:marLeft w:val="0"/>
      <w:marRight w:val="0"/>
      <w:marTop w:val="0"/>
      <w:marBottom w:val="0"/>
      <w:divBdr>
        <w:top w:val="none" w:sz="0" w:space="0" w:color="auto"/>
        <w:left w:val="none" w:sz="0" w:space="0" w:color="auto"/>
        <w:bottom w:val="none" w:sz="0" w:space="0" w:color="auto"/>
        <w:right w:val="none" w:sz="0" w:space="0" w:color="auto"/>
      </w:divBdr>
    </w:div>
    <w:div w:id="1077825105">
      <w:bodyDiv w:val="1"/>
      <w:marLeft w:val="0"/>
      <w:marRight w:val="0"/>
      <w:marTop w:val="0"/>
      <w:marBottom w:val="0"/>
      <w:divBdr>
        <w:top w:val="none" w:sz="0" w:space="0" w:color="auto"/>
        <w:left w:val="none" w:sz="0" w:space="0" w:color="auto"/>
        <w:bottom w:val="none" w:sz="0" w:space="0" w:color="auto"/>
        <w:right w:val="none" w:sz="0" w:space="0" w:color="auto"/>
      </w:divBdr>
    </w:div>
    <w:div w:id="1130396908">
      <w:bodyDiv w:val="1"/>
      <w:marLeft w:val="0"/>
      <w:marRight w:val="0"/>
      <w:marTop w:val="0"/>
      <w:marBottom w:val="0"/>
      <w:divBdr>
        <w:top w:val="none" w:sz="0" w:space="0" w:color="auto"/>
        <w:left w:val="none" w:sz="0" w:space="0" w:color="auto"/>
        <w:bottom w:val="none" w:sz="0" w:space="0" w:color="auto"/>
        <w:right w:val="none" w:sz="0" w:space="0" w:color="auto"/>
      </w:divBdr>
    </w:div>
    <w:div w:id="1135414380">
      <w:bodyDiv w:val="1"/>
      <w:marLeft w:val="0"/>
      <w:marRight w:val="0"/>
      <w:marTop w:val="0"/>
      <w:marBottom w:val="0"/>
      <w:divBdr>
        <w:top w:val="none" w:sz="0" w:space="0" w:color="auto"/>
        <w:left w:val="none" w:sz="0" w:space="0" w:color="auto"/>
        <w:bottom w:val="none" w:sz="0" w:space="0" w:color="auto"/>
        <w:right w:val="none" w:sz="0" w:space="0" w:color="auto"/>
      </w:divBdr>
    </w:div>
    <w:div w:id="1162311792">
      <w:bodyDiv w:val="1"/>
      <w:marLeft w:val="0"/>
      <w:marRight w:val="0"/>
      <w:marTop w:val="0"/>
      <w:marBottom w:val="0"/>
      <w:divBdr>
        <w:top w:val="none" w:sz="0" w:space="0" w:color="auto"/>
        <w:left w:val="none" w:sz="0" w:space="0" w:color="auto"/>
        <w:bottom w:val="none" w:sz="0" w:space="0" w:color="auto"/>
        <w:right w:val="none" w:sz="0" w:space="0" w:color="auto"/>
      </w:divBdr>
    </w:div>
    <w:div w:id="1188714214">
      <w:bodyDiv w:val="1"/>
      <w:marLeft w:val="0"/>
      <w:marRight w:val="0"/>
      <w:marTop w:val="0"/>
      <w:marBottom w:val="0"/>
      <w:divBdr>
        <w:top w:val="none" w:sz="0" w:space="0" w:color="auto"/>
        <w:left w:val="none" w:sz="0" w:space="0" w:color="auto"/>
        <w:bottom w:val="none" w:sz="0" w:space="0" w:color="auto"/>
        <w:right w:val="none" w:sz="0" w:space="0" w:color="auto"/>
      </w:divBdr>
    </w:div>
    <w:div w:id="1200896310">
      <w:bodyDiv w:val="1"/>
      <w:marLeft w:val="0"/>
      <w:marRight w:val="0"/>
      <w:marTop w:val="0"/>
      <w:marBottom w:val="0"/>
      <w:divBdr>
        <w:top w:val="none" w:sz="0" w:space="0" w:color="auto"/>
        <w:left w:val="none" w:sz="0" w:space="0" w:color="auto"/>
        <w:bottom w:val="none" w:sz="0" w:space="0" w:color="auto"/>
        <w:right w:val="none" w:sz="0" w:space="0" w:color="auto"/>
      </w:divBdr>
    </w:div>
    <w:div w:id="1245918401">
      <w:bodyDiv w:val="1"/>
      <w:marLeft w:val="0"/>
      <w:marRight w:val="0"/>
      <w:marTop w:val="0"/>
      <w:marBottom w:val="0"/>
      <w:divBdr>
        <w:top w:val="none" w:sz="0" w:space="0" w:color="auto"/>
        <w:left w:val="none" w:sz="0" w:space="0" w:color="auto"/>
        <w:bottom w:val="none" w:sz="0" w:space="0" w:color="auto"/>
        <w:right w:val="none" w:sz="0" w:space="0" w:color="auto"/>
      </w:divBdr>
    </w:div>
    <w:div w:id="1285622457">
      <w:bodyDiv w:val="1"/>
      <w:marLeft w:val="0"/>
      <w:marRight w:val="0"/>
      <w:marTop w:val="0"/>
      <w:marBottom w:val="0"/>
      <w:divBdr>
        <w:top w:val="none" w:sz="0" w:space="0" w:color="auto"/>
        <w:left w:val="none" w:sz="0" w:space="0" w:color="auto"/>
        <w:bottom w:val="none" w:sz="0" w:space="0" w:color="auto"/>
        <w:right w:val="none" w:sz="0" w:space="0" w:color="auto"/>
      </w:divBdr>
    </w:div>
    <w:div w:id="1289555666">
      <w:bodyDiv w:val="1"/>
      <w:marLeft w:val="0"/>
      <w:marRight w:val="0"/>
      <w:marTop w:val="0"/>
      <w:marBottom w:val="0"/>
      <w:divBdr>
        <w:top w:val="none" w:sz="0" w:space="0" w:color="auto"/>
        <w:left w:val="none" w:sz="0" w:space="0" w:color="auto"/>
        <w:bottom w:val="none" w:sz="0" w:space="0" w:color="auto"/>
        <w:right w:val="none" w:sz="0" w:space="0" w:color="auto"/>
      </w:divBdr>
    </w:div>
    <w:div w:id="1328558850">
      <w:bodyDiv w:val="1"/>
      <w:marLeft w:val="0"/>
      <w:marRight w:val="0"/>
      <w:marTop w:val="0"/>
      <w:marBottom w:val="0"/>
      <w:divBdr>
        <w:top w:val="none" w:sz="0" w:space="0" w:color="auto"/>
        <w:left w:val="none" w:sz="0" w:space="0" w:color="auto"/>
        <w:bottom w:val="none" w:sz="0" w:space="0" w:color="auto"/>
        <w:right w:val="none" w:sz="0" w:space="0" w:color="auto"/>
      </w:divBdr>
    </w:div>
    <w:div w:id="1337614878">
      <w:bodyDiv w:val="1"/>
      <w:marLeft w:val="0"/>
      <w:marRight w:val="0"/>
      <w:marTop w:val="0"/>
      <w:marBottom w:val="0"/>
      <w:divBdr>
        <w:top w:val="none" w:sz="0" w:space="0" w:color="auto"/>
        <w:left w:val="none" w:sz="0" w:space="0" w:color="auto"/>
        <w:bottom w:val="none" w:sz="0" w:space="0" w:color="auto"/>
        <w:right w:val="none" w:sz="0" w:space="0" w:color="auto"/>
      </w:divBdr>
    </w:div>
    <w:div w:id="1367098210">
      <w:bodyDiv w:val="1"/>
      <w:marLeft w:val="0"/>
      <w:marRight w:val="0"/>
      <w:marTop w:val="0"/>
      <w:marBottom w:val="0"/>
      <w:divBdr>
        <w:top w:val="none" w:sz="0" w:space="0" w:color="auto"/>
        <w:left w:val="none" w:sz="0" w:space="0" w:color="auto"/>
        <w:bottom w:val="none" w:sz="0" w:space="0" w:color="auto"/>
        <w:right w:val="none" w:sz="0" w:space="0" w:color="auto"/>
      </w:divBdr>
      <w:divsChild>
        <w:div w:id="949747717">
          <w:marLeft w:val="0"/>
          <w:marRight w:val="0"/>
          <w:marTop w:val="0"/>
          <w:marBottom w:val="0"/>
          <w:divBdr>
            <w:top w:val="none" w:sz="0" w:space="0" w:color="auto"/>
            <w:left w:val="none" w:sz="0" w:space="0" w:color="auto"/>
            <w:bottom w:val="none" w:sz="0" w:space="0" w:color="auto"/>
            <w:right w:val="none" w:sz="0" w:space="0" w:color="auto"/>
          </w:divBdr>
          <w:divsChild>
            <w:div w:id="199513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913379">
      <w:bodyDiv w:val="1"/>
      <w:marLeft w:val="0"/>
      <w:marRight w:val="0"/>
      <w:marTop w:val="0"/>
      <w:marBottom w:val="0"/>
      <w:divBdr>
        <w:top w:val="none" w:sz="0" w:space="0" w:color="auto"/>
        <w:left w:val="none" w:sz="0" w:space="0" w:color="auto"/>
        <w:bottom w:val="none" w:sz="0" w:space="0" w:color="auto"/>
        <w:right w:val="none" w:sz="0" w:space="0" w:color="auto"/>
      </w:divBdr>
    </w:div>
    <w:div w:id="1402943907">
      <w:bodyDiv w:val="1"/>
      <w:marLeft w:val="0"/>
      <w:marRight w:val="0"/>
      <w:marTop w:val="0"/>
      <w:marBottom w:val="0"/>
      <w:divBdr>
        <w:top w:val="none" w:sz="0" w:space="0" w:color="auto"/>
        <w:left w:val="none" w:sz="0" w:space="0" w:color="auto"/>
        <w:bottom w:val="none" w:sz="0" w:space="0" w:color="auto"/>
        <w:right w:val="none" w:sz="0" w:space="0" w:color="auto"/>
      </w:divBdr>
    </w:div>
    <w:div w:id="1408769117">
      <w:bodyDiv w:val="1"/>
      <w:marLeft w:val="0"/>
      <w:marRight w:val="0"/>
      <w:marTop w:val="0"/>
      <w:marBottom w:val="0"/>
      <w:divBdr>
        <w:top w:val="none" w:sz="0" w:space="0" w:color="auto"/>
        <w:left w:val="none" w:sz="0" w:space="0" w:color="auto"/>
        <w:bottom w:val="none" w:sz="0" w:space="0" w:color="auto"/>
        <w:right w:val="none" w:sz="0" w:space="0" w:color="auto"/>
      </w:divBdr>
    </w:div>
    <w:div w:id="1417550377">
      <w:bodyDiv w:val="1"/>
      <w:marLeft w:val="0"/>
      <w:marRight w:val="0"/>
      <w:marTop w:val="0"/>
      <w:marBottom w:val="0"/>
      <w:divBdr>
        <w:top w:val="none" w:sz="0" w:space="0" w:color="auto"/>
        <w:left w:val="none" w:sz="0" w:space="0" w:color="auto"/>
        <w:bottom w:val="none" w:sz="0" w:space="0" w:color="auto"/>
        <w:right w:val="none" w:sz="0" w:space="0" w:color="auto"/>
      </w:divBdr>
    </w:div>
    <w:div w:id="1433668863">
      <w:bodyDiv w:val="1"/>
      <w:marLeft w:val="0"/>
      <w:marRight w:val="0"/>
      <w:marTop w:val="0"/>
      <w:marBottom w:val="0"/>
      <w:divBdr>
        <w:top w:val="none" w:sz="0" w:space="0" w:color="auto"/>
        <w:left w:val="none" w:sz="0" w:space="0" w:color="auto"/>
        <w:bottom w:val="none" w:sz="0" w:space="0" w:color="auto"/>
        <w:right w:val="none" w:sz="0" w:space="0" w:color="auto"/>
      </w:divBdr>
    </w:div>
    <w:div w:id="1458180087">
      <w:bodyDiv w:val="1"/>
      <w:marLeft w:val="0"/>
      <w:marRight w:val="0"/>
      <w:marTop w:val="0"/>
      <w:marBottom w:val="0"/>
      <w:divBdr>
        <w:top w:val="none" w:sz="0" w:space="0" w:color="auto"/>
        <w:left w:val="none" w:sz="0" w:space="0" w:color="auto"/>
        <w:bottom w:val="none" w:sz="0" w:space="0" w:color="auto"/>
        <w:right w:val="none" w:sz="0" w:space="0" w:color="auto"/>
      </w:divBdr>
    </w:div>
    <w:div w:id="1511679427">
      <w:bodyDiv w:val="1"/>
      <w:marLeft w:val="0"/>
      <w:marRight w:val="0"/>
      <w:marTop w:val="0"/>
      <w:marBottom w:val="0"/>
      <w:divBdr>
        <w:top w:val="none" w:sz="0" w:space="0" w:color="auto"/>
        <w:left w:val="none" w:sz="0" w:space="0" w:color="auto"/>
        <w:bottom w:val="none" w:sz="0" w:space="0" w:color="auto"/>
        <w:right w:val="none" w:sz="0" w:space="0" w:color="auto"/>
      </w:divBdr>
    </w:div>
    <w:div w:id="1544436819">
      <w:bodyDiv w:val="1"/>
      <w:marLeft w:val="0"/>
      <w:marRight w:val="0"/>
      <w:marTop w:val="0"/>
      <w:marBottom w:val="0"/>
      <w:divBdr>
        <w:top w:val="none" w:sz="0" w:space="0" w:color="auto"/>
        <w:left w:val="none" w:sz="0" w:space="0" w:color="auto"/>
        <w:bottom w:val="none" w:sz="0" w:space="0" w:color="auto"/>
        <w:right w:val="none" w:sz="0" w:space="0" w:color="auto"/>
      </w:divBdr>
    </w:div>
    <w:div w:id="1583294082">
      <w:bodyDiv w:val="1"/>
      <w:marLeft w:val="0"/>
      <w:marRight w:val="0"/>
      <w:marTop w:val="0"/>
      <w:marBottom w:val="0"/>
      <w:divBdr>
        <w:top w:val="none" w:sz="0" w:space="0" w:color="auto"/>
        <w:left w:val="none" w:sz="0" w:space="0" w:color="auto"/>
        <w:bottom w:val="none" w:sz="0" w:space="0" w:color="auto"/>
        <w:right w:val="none" w:sz="0" w:space="0" w:color="auto"/>
      </w:divBdr>
    </w:div>
    <w:div w:id="1586913331">
      <w:bodyDiv w:val="1"/>
      <w:marLeft w:val="0"/>
      <w:marRight w:val="0"/>
      <w:marTop w:val="0"/>
      <w:marBottom w:val="0"/>
      <w:divBdr>
        <w:top w:val="none" w:sz="0" w:space="0" w:color="auto"/>
        <w:left w:val="none" w:sz="0" w:space="0" w:color="auto"/>
        <w:bottom w:val="none" w:sz="0" w:space="0" w:color="auto"/>
        <w:right w:val="none" w:sz="0" w:space="0" w:color="auto"/>
      </w:divBdr>
    </w:div>
    <w:div w:id="1589850381">
      <w:bodyDiv w:val="1"/>
      <w:marLeft w:val="0"/>
      <w:marRight w:val="0"/>
      <w:marTop w:val="0"/>
      <w:marBottom w:val="0"/>
      <w:divBdr>
        <w:top w:val="none" w:sz="0" w:space="0" w:color="auto"/>
        <w:left w:val="none" w:sz="0" w:space="0" w:color="auto"/>
        <w:bottom w:val="none" w:sz="0" w:space="0" w:color="auto"/>
        <w:right w:val="none" w:sz="0" w:space="0" w:color="auto"/>
      </w:divBdr>
    </w:div>
    <w:div w:id="1639601397">
      <w:bodyDiv w:val="1"/>
      <w:marLeft w:val="0"/>
      <w:marRight w:val="0"/>
      <w:marTop w:val="0"/>
      <w:marBottom w:val="0"/>
      <w:divBdr>
        <w:top w:val="none" w:sz="0" w:space="0" w:color="auto"/>
        <w:left w:val="none" w:sz="0" w:space="0" w:color="auto"/>
        <w:bottom w:val="none" w:sz="0" w:space="0" w:color="auto"/>
        <w:right w:val="none" w:sz="0" w:space="0" w:color="auto"/>
      </w:divBdr>
    </w:div>
    <w:div w:id="1663580539">
      <w:bodyDiv w:val="1"/>
      <w:marLeft w:val="0"/>
      <w:marRight w:val="0"/>
      <w:marTop w:val="0"/>
      <w:marBottom w:val="0"/>
      <w:divBdr>
        <w:top w:val="none" w:sz="0" w:space="0" w:color="auto"/>
        <w:left w:val="none" w:sz="0" w:space="0" w:color="auto"/>
        <w:bottom w:val="none" w:sz="0" w:space="0" w:color="auto"/>
        <w:right w:val="none" w:sz="0" w:space="0" w:color="auto"/>
      </w:divBdr>
    </w:div>
    <w:div w:id="1734352026">
      <w:bodyDiv w:val="1"/>
      <w:marLeft w:val="0"/>
      <w:marRight w:val="0"/>
      <w:marTop w:val="0"/>
      <w:marBottom w:val="0"/>
      <w:divBdr>
        <w:top w:val="none" w:sz="0" w:space="0" w:color="auto"/>
        <w:left w:val="none" w:sz="0" w:space="0" w:color="auto"/>
        <w:bottom w:val="none" w:sz="0" w:space="0" w:color="auto"/>
        <w:right w:val="none" w:sz="0" w:space="0" w:color="auto"/>
      </w:divBdr>
    </w:div>
    <w:div w:id="1760638115">
      <w:bodyDiv w:val="1"/>
      <w:marLeft w:val="0"/>
      <w:marRight w:val="0"/>
      <w:marTop w:val="0"/>
      <w:marBottom w:val="0"/>
      <w:divBdr>
        <w:top w:val="none" w:sz="0" w:space="0" w:color="auto"/>
        <w:left w:val="none" w:sz="0" w:space="0" w:color="auto"/>
        <w:bottom w:val="none" w:sz="0" w:space="0" w:color="auto"/>
        <w:right w:val="none" w:sz="0" w:space="0" w:color="auto"/>
      </w:divBdr>
    </w:div>
    <w:div w:id="1775402342">
      <w:bodyDiv w:val="1"/>
      <w:marLeft w:val="0"/>
      <w:marRight w:val="0"/>
      <w:marTop w:val="0"/>
      <w:marBottom w:val="0"/>
      <w:divBdr>
        <w:top w:val="none" w:sz="0" w:space="0" w:color="auto"/>
        <w:left w:val="none" w:sz="0" w:space="0" w:color="auto"/>
        <w:bottom w:val="none" w:sz="0" w:space="0" w:color="auto"/>
        <w:right w:val="none" w:sz="0" w:space="0" w:color="auto"/>
      </w:divBdr>
    </w:div>
    <w:div w:id="1785268007">
      <w:bodyDiv w:val="1"/>
      <w:marLeft w:val="0"/>
      <w:marRight w:val="0"/>
      <w:marTop w:val="0"/>
      <w:marBottom w:val="0"/>
      <w:divBdr>
        <w:top w:val="none" w:sz="0" w:space="0" w:color="auto"/>
        <w:left w:val="none" w:sz="0" w:space="0" w:color="auto"/>
        <w:bottom w:val="none" w:sz="0" w:space="0" w:color="auto"/>
        <w:right w:val="none" w:sz="0" w:space="0" w:color="auto"/>
      </w:divBdr>
    </w:div>
    <w:div w:id="1795098646">
      <w:bodyDiv w:val="1"/>
      <w:marLeft w:val="0"/>
      <w:marRight w:val="0"/>
      <w:marTop w:val="0"/>
      <w:marBottom w:val="0"/>
      <w:divBdr>
        <w:top w:val="none" w:sz="0" w:space="0" w:color="auto"/>
        <w:left w:val="none" w:sz="0" w:space="0" w:color="auto"/>
        <w:bottom w:val="none" w:sz="0" w:space="0" w:color="auto"/>
        <w:right w:val="none" w:sz="0" w:space="0" w:color="auto"/>
      </w:divBdr>
    </w:div>
    <w:div w:id="1890915818">
      <w:bodyDiv w:val="1"/>
      <w:marLeft w:val="0"/>
      <w:marRight w:val="0"/>
      <w:marTop w:val="0"/>
      <w:marBottom w:val="0"/>
      <w:divBdr>
        <w:top w:val="none" w:sz="0" w:space="0" w:color="auto"/>
        <w:left w:val="none" w:sz="0" w:space="0" w:color="auto"/>
        <w:bottom w:val="none" w:sz="0" w:space="0" w:color="auto"/>
        <w:right w:val="none" w:sz="0" w:space="0" w:color="auto"/>
      </w:divBdr>
    </w:div>
    <w:div w:id="1906181591">
      <w:bodyDiv w:val="1"/>
      <w:marLeft w:val="0"/>
      <w:marRight w:val="0"/>
      <w:marTop w:val="0"/>
      <w:marBottom w:val="0"/>
      <w:divBdr>
        <w:top w:val="none" w:sz="0" w:space="0" w:color="auto"/>
        <w:left w:val="none" w:sz="0" w:space="0" w:color="auto"/>
        <w:bottom w:val="none" w:sz="0" w:space="0" w:color="auto"/>
        <w:right w:val="none" w:sz="0" w:space="0" w:color="auto"/>
      </w:divBdr>
    </w:div>
    <w:div w:id="1939677676">
      <w:bodyDiv w:val="1"/>
      <w:marLeft w:val="0"/>
      <w:marRight w:val="0"/>
      <w:marTop w:val="0"/>
      <w:marBottom w:val="0"/>
      <w:divBdr>
        <w:top w:val="none" w:sz="0" w:space="0" w:color="auto"/>
        <w:left w:val="none" w:sz="0" w:space="0" w:color="auto"/>
        <w:bottom w:val="none" w:sz="0" w:space="0" w:color="auto"/>
        <w:right w:val="none" w:sz="0" w:space="0" w:color="auto"/>
      </w:divBdr>
    </w:div>
    <w:div w:id="1948271115">
      <w:bodyDiv w:val="1"/>
      <w:marLeft w:val="0"/>
      <w:marRight w:val="0"/>
      <w:marTop w:val="0"/>
      <w:marBottom w:val="0"/>
      <w:divBdr>
        <w:top w:val="none" w:sz="0" w:space="0" w:color="auto"/>
        <w:left w:val="none" w:sz="0" w:space="0" w:color="auto"/>
        <w:bottom w:val="none" w:sz="0" w:space="0" w:color="auto"/>
        <w:right w:val="none" w:sz="0" w:space="0" w:color="auto"/>
      </w:divBdr>
    </w:div>
    <w:div w:id="1956867998">
      <w:bodyDiv w:val="1"/>
      <w:marLeft w:val="0"/>
      <w:marRight w:val="0"/>
      <w:marTop w:val="0"/>
      <w:marBottom w:val="0"/>
      <w:divBdr>
        <w:top w:val="none" w:sz="0" w:space="0" w:color="auto"/>
        <w:left w:val="none" w:sz="0" w:space="0" w:color="auto"/>
        <w:bottom w:val="none" w:sz="0" w:space="0" w:color="auto"/>
        <w:right w:val="none" w:sz="0" w:space="0" w:color="auto"/>
      </w:divBdr>
    </w:div>
    <w:div w:id="1957833309">
      <w:bodyDiv w:val="1"/>
      <w:marLeft w:val="0"/>
      <w:marRight w:val="0"/>
      <w:marTop w:val="0"/>
      <w:marBottom w:val="0"/>
      <w:divBdr>
        <w:top w:val="none" w:sz="0" w:space="0" w:color="auto"/>
        <w:left w:val="none" w:sz="0" w:space="0" w:color="auto"/>
        <w:bottom w:val="none" w:sz="0" w:space="0" w:color="auto"/>
        <w:right w:val="none" w:sz="0" w:space="0" w:color="auto"/>
      </w:divBdr>
    </w:div>
    <w:div w:id="1972125329">
      <w:bodyDiv w:val="1"/>
      <w:marLeft w:val="0"/>
      <w:marRight w:val="0"/>
      <w:marTop w:val="0"/>
      <w:marBottom w:val="0"/>
      <w:divBdr>
        <w:top w:val="none" w:sz="0" w:space="0" w:color="auto"/>
        <w:left w:val="none" w:sz="0" w:space="0" w:color="auto"/>
        <w:bottom w:val="none" w:sz="0" w:space="0" w:color="auto"/>
        <w:right w:val="none" w:sz="0" w:space="0" w:color="auto"/>
      </w:divBdr>
    </w:div>
    <w:div w:id="2008514284">
      <w:bodyDiv w:val="1"/>
      <w:marLeft w:val="0"/>
      <w:marRight w:val="0"/>
      <w:marTop w:val="0"/>
      <w:marBottom w:val="0"/>
      <w:divBdr>
        <w:top w:val="none" w:sz="0" w:space="0" w:color="auto"/>
        <w:left w:val="none" w:sz="0" w:space="0" w:color="auto"/>
        <w:bottom w:val="none" w:sz="0" w:space="0" w:color="auto"/>
        <w:right w:val="none" w:sz="0" w:space="0" w:color="auto"/>
      </w:divBdr>
    </w:div>
    <w:div w:id="2047102938">
      <w:bodyDiv w:val="1"/>
      <w:marLeft w:val="0"/>
      <w:marRight w:val="0"/>
      <w:marTop w:val="0"/>
      <w:marBottom w:val="0"/>
      <w:divBdr>
        <w:top w:val="none" w:sz="0" w:space="0" w:color="auto"/>
        <w:left w:val="none" w:sz="0" w:space="0" w:color="auto"/>
        <w:bottom w:val="none" w:sz="0" w:space="0" w:color="auto"/>
        <w:right w:val="none" w:sz="0" w:space="0" w:color="auto"/>
      </w:divBdr>
    </w:div>
    <w:div w:id="2112310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png"/><Relationship Id="rId21" Type="http://schemas.openxmlformats.org/officeDocument/2006/relationships/chart" Target="charts/chart5.xml"/><Relationship Id="rId42" Type="http://schemas.openxmlformats.org/officeDocument/2006/relationships/chart" Target="charts/chart26.xml"/><Relationship Id="rId63" Type="http://schemas.openxmlformats.org/officeDocument/2006/relationships/hyperlink" Target="https://ec.europa.eu/trade/policy/countries-and-regions/negotiations-and-agreements/index_en.htm" TargetMode="External"/><Relationship Id="rId84" Type="http://schemas.openxmlformats.org/officeDocument/2006/relationships/image" Target="media/image18.jpeg"/><Relationship Id="rId16" Type="http://schemas.openxmlformats.org/officeDocument/2006/relationships/hyperlink" Target="https://www.gov.pl/web/uzp/sprawozdanie-za-2025-rok--dane-analityczne" TargetMode="External"/><Relationship Id="rId107" Type="http://schemas.openxmlformats.org/officeDocument/2006/relationships/image" Target="media/image29.jpeg"/><Relationship Id="rId11" Type="http://schemas.openxmlformats.org/officeDocument/2006/relationships/image" Target="media/image2.png"/><Relationship Id="rId32" Type="http://schemas.openxmlformats.org/officeDocument/2006/relationships/chart" Target="charts/chart16.xml"/><Relationship Id="rId37" Type="http://schemas.openxmlformats.org/officeDocument/2006/relationships/chart" Target="charts/chart21.xml"/><Relationship Id="rId53" Type="http://schemas.openxmlformats.org/officeDocument/2006/relationships/chart" Target="charts/chart37.xml"/><Relationship Id="rId58" Type="http://schemas.openxmlformats.org/officeDocument/2006/relationships/chart" Target="charts/chart42.xml"/><Relationship Id="rId74" Type="http://schemas.openxmlformats.org/officeDocument/2006/relationships/image" Target="media/image8.jpg"/><Relationship Id="rId79" Type="http://schemas.openxmlformats.org/officeDocument/2006/relationships/image" Target="media/image13.jpeg"/><Relationship Id="rId102" Type="http://schemas.openxmlformats.org/officeDocument/2006/relationships/header" Target="header4.xml"/><Relationship Id="rId123" Type="http://schemas.openxmlformats.org/officeDocument/2006/relationships/image" Target="media/image45.jpeg"/><Relationship Id="rId128" Type="http://schemas.openxmlformats.org/officeDocument/2006/relationships/header" Target="header6.xml"/><Relationship Id="rId5" Type="http://schemas.openxmlformats.org/officeDocument/2006/relationships/webSettings" Target="webSettings.xml"/><Relationship Id="rId90" Type="http://schemas.openxmlformats.org/officeDocument/2006/relationships/hyperlink" Target="https://www.gov.pl/web/uzp/lista-studiow-podyplomowych-objetych-patronatem-prezesa-uzp" TargetMode="External"/><Relationship Id="rId95" Type="http://schemas.openxmlformats.org/officeDocument/2006/relationships/hyperlink" Target="https://www.gov.pl/web/uzp/lista-organizacji-uprawnionych-do-wnoszenia-odwolan" TargetMode="External"/><Relationship Id="rId22" Type="http://schemas.openxmlformats.org/officeDocument/2006/relationships/chart" Target="charts/chart6.xml"/><Relationship Id="rId27" Type="http://schemas.openxmlformats.org/officeDocument/2006/relationships/chart" Target="charts/chart11.xml"/><Relationship Id="rId43" Type="http://schemas.openxmlformats.org/officeDocument/2006/relationships/chart" Target="charts/chart27.xml"/><Relationship Id="rId48" Type="http://schemas.openxmlformats.org/officeDocument/2006/relationships/chart" Target="charts/chart32.xml"/><Relationship Id="rId64" Type="http://schemas.openxmlformats.org/officeDocument/2006/relationships/hyperlink" Target="https://single-market-economy.ec.europa.eu/single-market/public-procurement/international-public-procurement/bilateral-relations-non-eu-countries_pl" TargetMode="External"/><Relationship Id="rId69" Type="http://schemas.openxmlformats.org/officeDocument/2006/relationships/image" Target="media/image6.png"/><Relationship Id="rId113" Type="http://schemas.openxmlformats.org/officeDocument/2006/relationships/image" Target="media/image35.png"/><Relationship Id="rId118" Type="http://schemas.openxmlformats.org/officeDocument/2006/relationships/image" Target="media/image40.jpeg"/><Relationship Id="rId80" Type="http://schemas.openxmlformats.org/officeDocument/2006/relationships/image" Target="media/image14.png"/><Relationship Id="rId85" Type="http://schemas.openxmlformats.org/officeDocument/2006/relationships/image" Target="media/image19.jpeg"/><Relationship Id="rId12" Type="http://schemas.openxmlformats.org/officeDocument/2006/relationships/header" Target="header1.xml"/><Relationship Id="rId17" Type="http://schemas.openxmlformats.org/officeDocument/2006/relationships/chart" Target="charts/chart1.xml"/><Relationship Id="rId33" Type="http://schemas.openxmlformats.org/officeDocument/2006/relationships/chart" Target="charts/chart17.xml"/><Relationship Id="rId38" Type="http://schemas.openxmlformats.org/officeDocument/2006/relationships/chart" Target="charts/chart22.xml"/><Relationship Id="rId59" Type="http://schemas.openxmlformats.org/officeDocument/2006/relationships/chart" Target="charts/chart43.xml"/><Relationship Id="rId103" Type="http://schemas.openxmlformats.org/officeDocument/2006/relationships/image" Target="media/image25.jpeg"/><Relationship Id="rId108" Type="http://schemas.openxmlformats.org/officeDocument/2006/relationships/image" Target="media/image30.jpeg"/><Relationship Id="rId124" Type="http://schemas.openxmlformats.org/officeDocument/2006/relationships/image" Target="media/image46.png"/><Relationship Id="rId129" Type="http://schemas.openxmlformats.org/officeDocument/2006/relationships/header" Target="header7.xml"/><Relationship Id="rId54" Type="http://schemas.openxmlformats.org/officeDocument/2006/relationships/chart" Target="charts/chart38.xml"/><Relationship Id="rId70" Type="http://schemas.openxmlformats.org/officeDocument/2006/relationships/chart" Target="charts/chart47.xml"/><Relationship Id="rId75" Type="http://schemas.openxmlformats.org/officeDocument/2006/relationships/image" Target="media/image9.png"/><Relationship Id="rId91" Type="http://schemas.openxmlformats.org/officeDocument/2006/relationships/hyperlink" Target="https://www.gov.pl/web/uzp/publikacje-z-obszaru-zzp" TargetMode="External"/><Relationship Id="rId96" Type="http://schemas.openxmlformats.org/officeDocument/2006/relationships/hyperlink" Target="https://eur-lex.europa.eu/legal-content/PL/TXT/?uri=CELEX%3A32026R0718&amp;qid=1775636514816"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7.xml"/><Relationship Id="rId28" Type="http://schemas.openxmlformats.org/officeDocument/2006/relationships/chart" Target="charts/chart12.xml"/><Relationship Id="rId49" Type="http://schemas.openxmlformats.org/officeDocument/2006/relationships/chart" Target="charts/chart33.xml"/><Relationship Id="rId114" Type="http://schemas.openxmlformats.org/officeDocument/2006/relationships/image" Target="media/image36.jpeg"/><Relationship Id="rId119" Type="http://schemas.openxmlformats.org/officeDocument/2006/relationships/image" Target="media/image41.jpeg"/><Relationship Id="rId44" Type="http://schemas.openxmlformats.org/officeDocument/2006/relationships/chart" Target="charts/chart28.xml"/><Relationship Id="rId60" Type="http://schemas.openxmlformats.org/officeDocument/2006/relationships/chart" Target="charts/chart44.xml"/><Relationship Id="rId65" Type="http://schemas.openxmlformats.org/officeDocument/2006/relationships/image" Target="media/image5.jpg"/><Relationship Id="rId81" Type="http://schemas.openxmlformats.org/officeDocument/2006/relationships/image" Target="media/image15.png"/><Relationship Id="rId86" Type="http://schemas.openxmlformats.org/officeDocument/2006/relationships/image" Target="media/image20.jpeg"/><Relationship Id="rId130" Type="http://schemas.openxmlformats.org/officeDocument/2006/relationships/header" Target="header8.xml"/><Relationship Id="rId13" Type="http://schemas.openxmlformats.org/officeDocument/2006/relationships/footer" Target="footer3.xml"/><Relationship Id="rId18" Type="http://schemas.openxmlformats.org/officeDocument/2006/relationships/chart" Target="charts/chart2.xml"/><Relationship Id="rId39" Type="http://schemas.openxmlformats.org/officeDocument/2006/relationships/chart" Target="charts/chart23.xml"/><Relationship Id="rId109" Type="http://schemas.openxmlformats.org/officeDocument/2006/relationships/image" Target="media/image31.jpeg"/><Relationship Id="rId34" Type="http://schemas.openxmlformats.org/officeDocument/2006/relationships/chart" Target="charts/chart18.xml"/><Relationship Id="rId50" Type="http://schemas.openxmlformats.org/officeDocument/2006/relationships/chart" Target="charts/chart34.xml"/><Relationship Id="rId55" Type="http://schemas.openxmlformats.org/officeDocument/2006/relationships/chart" Target="charts/chart39.xml"/><Relationship Id="rId76" Type="http://schemas.openxmlformats.org/officeDocument/2006/relationships/image" Target="media/image10.png"/><Relationship Id="rId97" Type="http://schemas.openxmlformats.org/officeDocument/2006/relationships/hyperlink" Target="https://eur-lex.europa.eu/legal-content/EN/TXT/PDF/?uri=CELEX:52025SC0332" TargetMode="External"/><Relationship Id="rId104" Type="http://schemas.openxmlformats.org/officeDocument/2006/relationships/image" Target="media/image26.png"/><Relationship Id="rId120" Type="http://schemas.openxmlformats.org/officeDocument/2006/relationships/image" Target="media/image42.jpeg"/><Relationship Id="rId125"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chart" Target="charts/chart48.xml"/><Relationship Id="rId92" Type="http://schemas.openxmlformats.org/officeDocument/2006/relationships/hyperlink" Target="https://www.gov.pl/web/uzp/slowem-o-zamowieniach-publicznych-i-nie-tylko---wszystkie-odcinki-podcastow" TargetMode="External"/><Relationship Id="rId2" Type="http://schemas.openxmlformats.org/officeDocument/2006/relationships/numbering" Target="numbering.xml"/><Relationship Id="rId29" Type="http://schemas.openxmlformats.org/officeDocument/2006/relationships/chart" Target="charts/chart13.xml"/><Relationship Id="rId24" Type="http://schemas.openxmlformats.org/officeDocument/2006/relationships/chart" Target="charts/chart8.xml"/><Relationship Id="rId40" Type="http://schemas.openxmlformats.org/officeDocument/2006/relationships/chart" Target="charts/chart24.xml"/><Relationship Id="rId45" Type="http://schemas.openxmlformats.org/officeDocument/2006/relationships/chart" Target="charts/chart29.xml"/><Relationship Id="rId66" Type="http://schemas.openxmlformats.org/officeDocument/2006/relationships/hyperlink" Target="https://www.gov.pl/web/uzp/wyrok-tsue-sprawa-c-65222-kolin" TargetMode="External"/><Relationship Id="rId87" Type="http://schemas.openxmlformats.org/officeDocument/2006/relationships/image" Target="media/image21.jpeg"/><Relationship Id="rId110" Type="http://schemas.openxmlformats.org/officeDocument/2006/relationships/image" Target="media/image32.png"/><Relationship Id="rId115" Type="http://schemas.openxmlformats.org/officeDocument/2006/relationships/image" Target="media/image37.jpeg"/><Relationship Id="rId131" Type="http://schemas.openxmlformats.org/officeDocument/2006/relationships/footer" Target="footer4.xml"/><Relationship Id="rId61" Type="http://schemas.openxmlformats.org/officeDocument/2006/relationships/hyperlink" Target="https://e-gpa.wto.org/" TargetMode="External"/><Relationship Id="rId82" Type="http://schemas.openxmlformats.org/officeDocument/2006/relationships/image" Target="media/image16.jpeg"/><Relationship Id="rId19" Type="http://schemas.openxmlformats.org/officeDocument/2006/relationships/chart" Target="charts/chart3.xml"/><Relationship Id="rId14" Type="http://schemas.openxmlformats.org/officeDocument/2006/relationships/image" Target="media/image3.png"/><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chart" Target="charts/chart40.xml"/><Relationship Id="rId77" Type="http://schemas.openxmlformats.org/officeDocument/2006/relationships/image" Target="media/image11.png"/><Relationship Id="rId100" Type="http://schemas.openxmlformats.org/officeDocument/2006/relationships/header" Target="header2.xml"/><Relationship Id="rId105" Type="http://schemas.openxmlformats.org/officeDocument/2006/relationships/image" Target="media/image27.png"/><Relationship Id="rId126" Type="http://schemas.openxmlformats.org/officeDocument/2006/relationships/image" Target="media/image48.png"/><Relationship Id="rId8" Type="http://schemas.openxmlformats.org/officeDocument/2006/relationships/image" Target="media/image1.jpg"/><Relationship Id="rId51" Type="http://schemas.openxmlformats.org/officeDocument/2006/relationships/chart" Target="charts/chart35.xml"/><Relationship Id="rId72" Type="http://schemas.openxmlformats.org/officeDocument/2006/relationships/chart" Target="charts/chart49.xml"/><Relationship Id="rId93" Type="http://schemas.openxmlformats.org/officeDocument/2006/relationships/hyperlink" Target="https://www.youtube.com/watch?v=epMh-xlh51A" TargetMode="External"/><Relationship Id="rId98" Type="http://schemas.openxmlformats.org/officeDocument/2006/relationships/hyperlink" Target="file:///C:\Users\monika.poltorak-bars\Desktop\EUR-Lex%20-%2052025SC0333%20-%20EN%20-%20EUR-Lex" TargetMode="External"/><Relationship Id="rId121" Type="http://schemas.openxmlformats.org/officeDocument/2006/relationships/image" Target="media/image43.png"/><Relationship Id="rId3" Type="http://schemas.openxmlformats.org/officeDocument/2006/relationships/styles" Target="styles.xml"/><Relationship Id="rId25" Type="http://schemas.openxmlformats.org/officeDocument/2006/relationships/chart" Target="charts/chart9.xml"/><Relationship Id="rId46" Type="http://schemas.openxmlformats.org/officeDocument/2006/relationships/chart" Target="charts/chart30.xml"/><Relationship Id="rId67" Type="http://schemas.openxmlformats.org/officeDocument/2006/relationships/chart" Target="charts/chart45.xml"/><Relationship Id="rId116" Type="http://schemas.openxmlformats.org/officeDocument/2006/relationships/image" Target="media/image38.png"/><Relationship Id="rId20" Type="http://schemas.openxmlformats.org/officeDocument/2006/relationships/chart" Target="charts/chart4.xml"/><Relationship Id="rId41" Type="http://schemas.openxmlformats.org/officeDocument/2006/relationships/chart" Target="charts/chart25.xml"/><Relationship Id="rId62" Type="http://schemas.openxmlformats.org/officeDocument/2006/relationships/hyperlink" Target="https://webgate.ec.europa.eu/procurementbuyers/pl/" TargetMode="External"/><Relationship Id="rId83" Type="http://schemas.openxmlformats.org/officeDocument/2006/relationships/image" Target="media/image17.jpeg"/><Relationship Id="rId88" Type="http://schemas.openxmlformats.org/officeDocument/2006/relationships/image" Target="media/image22.jpeg"/><Relationship Id="rId111" Type="http://schemas.openxmlformats.org/officeDocument/2006/relationships/image" Target="media/image33.png"/><Relationship Id="rId132" Type="http://schemas.openxmlformats.org/officeDocument/2006/relationships/fontTable" Target="fontTable.xml"/><Relationship Id="rId15" Type="http://schemas.openxmlformats.org/officeDocument/2006/relationships/image" Target="media/image4.jpeg"/><Relationship Id="rId36" Type="http://schemas.openxmlformats.org/officeDocument/2006/relationships/chart" Target="charts/chart20.xml"/><Relationship Id="rId57" Type="http://schemas.openxmlformats.org/officeDocument/2006/relationships/chart" Target="charts/chart41.xml"/><Relationship Id="rId106" Type="http://schemas.openxmlformats.org/officeDocument/2006/relationships/image" Target="media/image28.jpeg"/><Relationship Id="rId127" Type="http://schemas.openxmlformats.org/officeDocument/2006/relationships/header" Target="header5.xml"/><Relationship Id="rId10" Type="http://schemas.openxmlformats.org/officeDocument/2006/relationships/footer" Target="footer2.xml"/><Relationship Id="rId31" Type="http://schemas.openxmlformats.org/officeDocument/2006/relationships/chart" Target="charts/chart15.xml"/><Relationship Id="rId52" Type="http://schemas.openxmlformats.org/officeDocument/2006/relationships/chart" Target="charts/chart36.xml"/><Relationship Id="rId73" Type="http://schemas.openxmlformats.org/officeDocument/2006/relationships/image" Target="media/image7.png"/><Relationship Id="rId78" Type="http://schemas.openxmlformats.org/officeDocument/2006/relationships/image" Target="media/image12.jpeg"/><Relationship Id="rId94" Type="http://schemas.openxmlformats.org/officeDocument/2006/relationships/hyperlink" Target="https://www.youtube.com/watch?v=uj_-bEPFmno" TargetMode="External"/><Relationship Id="rId99" Type="http://schemas.openxmlformats.org/officeDocument/2006/relationships/image" Target="media/image24.jpeg"/><Relationship Id="rId101" Type="http://schemas.openxmlformats.org/officeDocument/2006/relationships/header" Target="header3.xml"/><Relationship Id="rId12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chart" Target="charts/chart10.xml"/><Relationship Id="rId47" Type="http://schemas.openxmlformats.org/officeDocument/2006/relationships/chart" Target="charts/chart31.xml"/><Relationship Id="rId68" Type="http://schemas.openxmlformats.org/officeDocument/2006/relationships/chart" Target="charts/chart46.xml"/><Relationship Id="rId89" Type="http://schemas.openxmlformats.org/officeDocument/2006/relationships/image" Target="media/image23.jpeg"/><Relationship Id="rId112" Type="http://schemas.openxmlformats.org/officeDocument/2006/relationships/image" Target="media/image34.jpeg"/><Relationship Id="rId133"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public-procurement-data-space.europa.eu"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5.xml"/><Relationship Id="rId1" Type="http://schemas.microsoft.com/office/2011/relationships/chartStyle" Target="style25.xm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9.xml"/></Relationships>
</file>

<file path=word/charts/_rels/chart31.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Pulpit/Statystyki_2025/Arkusz_2024_wszyscy%20zamawiaj&#261;cy.xlsx" TargetMode="External"/><Relationship Id="rId2" Type="http://schemas.microsoft.com/office/2011/relationships/chartColorStyle" Target="colors27.xml"/><Relationship Id="rId1" Type="http://schemas.microsoft.com/office/2011/relationships/chartStyle" Target="style27.xml"/></Relationships>
</file>

<file path=word/charts/_rels/chart32.xml.rels><?xml version="1.0" encoding="UTF-8" standalone="yes"?>
<Relationships xmlns="http://schemas.openxmlformats.org/package/2006/relationships"><Relationship Id="rId1" Type="http://schemas.openxmlformats.org/officeDocument/2006/relationships/oleObject" Target="https://uzpgovpl0-my.sharepoint.com/personal/mskowron_uzp_gov_pl/Documents/Pulpit/Statystyki_2025/Arkusz_2025_wszyscy%20zamawiaj&#261;cy.xlsx" TargetMode="External"/></Relationships>
</file>

<file path=word/charts/_rels/chart33.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Pulpit/Statystyki_2025/Arkusz_2024_wszyscy%20zamawiaj&#261;cy.xlsx" TargetMode="External"/><Relationship Id="rId2" Type="http://schemas.microsoft.com/office/2011/relationships/chartColorStyle" Target="colors28.xml"/><Relationship Id="rId1" Type="http://schemas.microsoft.com/office/2011/relationships/chartStyle" Target="style28.xml"/></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29.xml"/><Relationship Id="rId1" Type="http://schemas.microsoft.com/office/2011/relationships/chartStyle" Target="style29.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0.xml"/></Relationships>
</file>

<file path=word/charts/_rels/chart37.xml.rels><?xml version="1.0" encoding="UTF-8" standalone="yes"?>
<Relationships xmlns="http://schemas.openxmlformats.org/package/2006/relationships"><Relationship Id="rId1" Type="http://schemas.openxmlformats.org/officeDocument/2006/relationships/oleObject" Target="https://uzpgovpl0-my.sharepoint.com/personal/mskowron_uzp_gov_pl/Documents/Pulpit/Statystyki_2025/Arkusz_2025_JARZ.ods"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https://uzpgovpl0-my.sharepoint.com/personal/mskowron_uzp_gov_pl/Documents/Pulpit/Statystyki_2025/Arkusz_2025_JARZ.ods"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https://uzpgovpl0-my.sharepoint.com/personal/mskowron_uzp_gov_pl/Documents/Pulpit/Statystyki_2025/Arkusz_2025_JARZ.ods"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1" Type="http://schemas.openxmlformats.org/officeDocument/2006/relationships/oleObject" Target="https://uzpgovpl0-my.sharepoint.com/personal/mskowron_uzp_gov_pl/Documents/Pulpit/Statystyki_2025/Arkusz_2025_JARZ.ods"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33.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1.xml"/><Relationship Id="rId1" Type="http://schemas.microsoft.com/office/2011/relationships/chartStyle" Target="style31.xml"/><Relationship Id="rId5" Type="http://schemas.openxmlformats.org/officeDocument/2006/relationships/chartUserShapes" Target="../drawings/drawing1.xml"/><Relationship Id="rId4" Type="http://schemas.openxmlformats.org/officeDocument/2006/relationships/package" Target="../embeddings/Microsoft_Excel_Worksheet34.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35.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36.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37.xlsx"/></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35.xml"/><Relationship Id="rId1" Type="http://schemas.microsoft.com/office/2011/relationships/chartStyle" Target="style35.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6.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37.xm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uzpfs\dias\Sprawozdanie%202025\Wk&#322;ady\DKZP\DKZP%20-%20wykresy%202025.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Arkusz1!$C$1</c:f>
              <c:strCache>
                <c:ptCount val="1"/>
                <c:pt idx="0">
                  <c:v>liczba (tys.)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Arkusz1!$A$2:$A$13</c:f>
              <c:strCach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strCache>
            </c:strRef>
          </c:cat>
          <c:val>
            <c:numRef>
              <c:f>Arkusz1!$C$2:$C$13</c:f>
              <c:numCache>
                <c:formatCode>General</c:formatCode>
                <c:ptCount val="12"/>
                <c:pt idx="0">
                  <c:v>174</c:v>
                </c:pt>
                <c:pt idx="1">
                  <c:v>142</c:v>
                </c:pt>
                <c:pt idx="2">
                  <c:v>129</c:v>
                </c:pt>
                <c:pt idx="3">
                  <c:v>139</c:v>
                </c:pt>
                <c:pt idx="4">
                  <c:v>143</c:v>
                </c:pt>
                <c:pt idx="5">
                  <c:v>141</c:v>
                </c:pt>
                <c:pt idx="6">
                  <c:v>135</c:v>
                </c:pt>
                <c:pt idx="7">
                  <c:v>129</c:v>
                </c:pt>
                <c:pt idx="8">
                  <c:v>143</c:v>
                </c:pt>
                <c:pt idx="9">
                  <c:v>157</c:v>
                </c:pt>
                <c:pt idx="10">
                  <c:v>153</c:v>
                </c:pt>
                <c:pt idx="11">
                  <c:v>189</c:v>
                </c:pt>
              </c:numCache>
            </c:numRef>
          </c:val>
          <c:extLst>
            <c:ext xmlns:c16="http://schemas.microsoft.com/office/drawing/2014/chart" uri="{C3380CC4-5D6E-409C-BE32-E72D297353CC}">
              <c16:uniqueId val="{00000000-34A5-41F3-87B8-420A07071E02}"/>
            </c:ext>
          </c:extLst>
        </c:ser>
        <c:dLbls>
          <c:showLegendKey val="0"/>
          <c:showVal val="0"/>
          <c:showCatName val="0"/>
          <c:showSerName val="0"/>
          <c:showPercent val="0"/>
          <c:showBubbleSize val="0"/>
        </c:dLbls>
        <c:gapWidth val="219"/>
        <c:overlap val="-27"/>
        <c:axId val="533439584"/>
        <c:axId val="533439256"/>
      </c:barChart>
      <c:lineChart>
        <c:grouping val="standard"/>
        <c:varyColors val="0"/>
        <c:ser>
          <c:idx val="0"/>
          <c:order val="0"/>
          <c:tx>
            <c:strRef>
              <c:f>Arkusz1!$B$1</c:f>
              <c:strCache>
                <c:ptCount val="1"/>
                <c:pt idx="0">
                  <c:v>wartość (mld zł.)</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0070C0"/>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Arkusz1!$A$2:$A$13</c:f>
              <c:strCach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strCache>
            </c:strRef>
          </c:cat>
          <c:val>
            <c:numRef>
              <c:f>Arkusz1!$B$2:$B$13</c:f>
              <c:numCache>
                <c:formatCode>General</c:formatCode>
                <c:ptCount val="12"/>
                <c:pt idx="0">
                  <c:v>133.19999999999999</c:v>
                </c:pt>
                <c:pt idx="1">
                  <c:v>116.3</c:v>
                </c:pt>
                <c:pt idx="2">
                  <c:v>107.4</c:v>
                </c:pt>
                <c:pt idx="3">
                  <c:v>163.19999999999999</c:v>
                </c:pt>
                <c:pt idx="4">
                  <c:v>202.1</c:v>
                </c:pt>
                <c:pt idx="5">
                  <c:v>198.9</c:v>
                </c:pt>
                <c:pt idx="6">
                  <c:v>183.5</c:v>
                </c:pt>
                <c:pt idx="7">
                  <c:v>184.6</c:v>
                </c:pt>
                <c:pt idx="8">
                  <c:v>274.8</c:v>
                </c:pt>
                <c:pt idx="9">
                  <c:v>279.8</c:v>
                </c:pt>
                <c:pt idx="10">
                  <c:v>330.4</c:v>
                </c:pt>
                <c:pt idx="11">
                  <c:v>350.2</c:v>
                </c:pt>
              </c:numCache>
            </c:numRef>
          </c:val>
          <c:smooth val="0"/>
          <c:extLst>
            <c:ext xmlns:c16="http://schemas.microsoft.com/office/drawing/2014/chart" uri="{C3380CC4-5D6E-409C-BE32-E72D297353CC}">
              <c16:uniqueId val="{00000001-34A5-41F3-87B8-420A07071E02}"/>
            </c:ext>
          </c:extLst>
        </c:ser>
        <c:dLbls>
          <c:showLegendKey val="0"/>
          <c:showVal val="0"/>
          <c:showCatName val="0"/>
          <c:showSerName val="0"/>
          <c:showPercent val="0"/>
          <c:showBubbleSize val="0"/>
        </c:dLbls>
        <c:marker val="1"/>
        <c:smooth val="0"/>
        <c:axId val="482948128"/>
        <c:axId val="482949112"/>
      </c:lineChart>
      <c:catAx>
        <c:axId val="48294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82949112"/>
        <c:crossesAt val="-50"/>
        <c:auto val="1"/>
        <c:lblAlgn val="ctr"/>
        <c:lblOffset val="100"/>
        <c:noMultiLvlLbl val="0"/>
      </c:catAx>
      <c:valAx>
        <c:axId val="482949112"/>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2948128"/>
        <c:crosses val="autoZero"/>
        <c:crossBetween val="between"/>
      </c:valAx>
      <c:valAx>
        <c:axId val="533439256"/>
        <c:scaling>
          <c:orientation val="minMax"/>
          <c:max val="300"/>
          <c:min val="120"/>
        </c:scaling>
        <c:delete val="0"/>
        <c:axPos val="r"/>
        <c:numFmt formatCode="General"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3439584"/>
        <c:crosses val="max"/>
        <c:crossBetween val="between"/>
      </c:valAx>
      <c:catAx>
        <c:axId val="533439584"/>
        <c:scaling>
          <c:orientation val="minMax"/>
        </c:scaling>
        <c:delete val="1"/>
        <c:axPos val="b"/>
        <c:numFmt formatCode="General" sourceLinked="1"/>
        <c:majorTickMark val="out"/>
        <c:minorTickMark val="none"/>
        <c:tickLblPos val="nextTo"/>
        <c:crossAx val="5334392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85906432748538"/>
          <c:y val="5.6793359545653122E-2"/>
          <c:w val="0.79140935672514623"/>
          <c:h val="0.89822774446772136"/>
        </c:manualLayout>
      </c:layout>
      <c:barChart>
        <c:barDir val="bar"/>
        <c:grouping val="clustered"/>
        <c:varyColors val="0"/>
        <c:ser>
          <c:idx val="0"/>
          <c:order val="0"/>
          <c:tx>
            <c:strRef>
              <c:f>Arkusz1!$B$1</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Dialog konkurencyjny</c:v>
                </c:pt>
                <c:pt idx="1">
                  <c:v>Negocjacje bez ogłoszenia</c:v>
                </c:pt>
                <c:pt idx="2">
                  <c:v>Negocjacje z ogłoszeniem</c:v>
                </c:pt>
                <c:pt idx="3">
                  <c:v>Partnerstwo innowacyjne</c:v>
                </c:pt>
                <c:pt idx="4">
                  <c:v>Przetarg nieograniczony</c:v>
                </c:pt>
                <c:pt idx="5">
                  <c:v>Przetarg ograniczony</c:v>
                </c:pt>
                <c:pt idx="6">
                  <c:v>Zamówienie z wolnej ręki</c:v>
                </c:pt>
              </c:strCache>
            </c:strRef>
          </c:cat>
          <c:val>
            <c:numRef>
              <c:f>Arkusz1!$B$2:$B$8</c:f>
              <c:numCache>
                <c:formatCode>0.00%</c:formatCode>
                <c:ptCount val="7"/>
                <c:pt idx="0">
                  <c:v>5.9999999999999995E-4</c:v>
                </c:pt>
                <c:pt idx="1">
                  <c:v>3.8999999999999998E-3</c:v>
                </c:pt>
                <c:pt idx="2">
                  <c:v>2.0999999999999999E-3</c:v>
                </c:pt>
                <c:pt idx="3">
                  <c:v>0</c:v>
                </c:pt>
                <c:pt idx="4">
                  <c:v>0.88100000000000001</c:v>
                </c:pt>
                <c:pt idx="5">
                  <c:v>7.4000000000000003E-3</c:v>
                </c:pt>
                <c:pt idx="6">
                  <c:v>0.105</c:v>
                </c:pt>
              </c:numCache>
            </c:numRef>
          </c:val>
          <c:extLst>
            <c:ext xmlns:c16="http://schemas.microsoft.com/office/drawing/2014/chart" uri="{C3380CC4-5D6E-409C-BE32-E72D297353CC}">
              <c16:uniqueId val="{00000000-10C6-4732-ACD0-590C32033702}"/>
            </c:ext>
          </c:extLst>
        </c:ser>
        <c:ser>
          <c:idx val="1"/>
          <c:order val="1"/>
          <c:tx>
            <c:strRef>
              <c:f>Arkusz1!$C$1</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Dialog konkurencyjny</c:v>
                </c:pt>
                <c:pt idx="1">
                  <c:v>Negocjacje bez ogłoszenia</c:v>
                </c:pt>
                <c:pt idx="2">
                  <c:v>Negocjacje z ogłoszeniem</c:v>
                </c:pt>
                <c:pt idx="3">
                  <c:v>Partnerstwo innowacyjne</c:v>
                </c:pt>
                <c:pt idx="4">
                  <c:v>Przetarg nieograniczony</c:v>
                </c:pt>
                <c:pt idx="5">
                  <c:v>Przetarg ograniczony</c:v>
                </c:pt>
                <c:pt idx="6">
                  <c:v>Zamówienie z wolnej ręki</c:v>
                </c:pt>
              </c:strCache>
            </c:strRef>
          </c:cat>
          <c:val>
            <c:numRef>
              <c:f>Arkusz1!$C$2:$C$8</c:f>
              <c:numCache>
                <c:formatCode>0.00%</c:formatCode>
                <c:ptCount val="7"/>
                <c:pt idx="0">
                  <c:v>5.0000000000000001E-4</c:v>
                </c:pt>
                <c:pt idx="1">
                  <c:v>1.1999999999999999E-3</c:v>
                </c:pt>
                <c:pt idx="2">
                  <c:v>1.9E-3</c:v>
                </c:pt>
                <c:pt idx="3">
                  <c:v>0</c:v>
                </c:pt>
                <c:pt idx="4">
                  <c:v>0.90680000000000005</c:v>
                </c:pt>
                <c:pt idx="5">
                  <c:v>7.1999999999999998E-3</c:v>
                </c:pt>
                <c:pt idx="6">
                  <c:v>8.2400000000000001E-2</c:v>
                </c:pt>
              </c:numCache>
            </c:numRef>
          </c:val>
          <c:extLst>
            <c:ext xmlns:c16="http://schemas.microsoft.com/office/drawing/2014/chart" uri="{C3380CC4-5D6E-409C-BE32-E72D297353CC}">
              <c16:uniqueId val="{00000001-10C6-4732-ACD0-590C32033702}"/>
            </c:ext>
          </c:extLst>
        </c:ser>
        <c:ser>
          <c:idx val="2"/>
          <c:order val="2"/>
          <c:tx>
            <c:strRef>
              <c:f>Arkusz1!$D$1</c:f>
              <c:strCache>
                <c:ptCount val="1"/>
                <c:pt idx="0">
                  <c:v>2024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Dialog konkurencyjny</c:v>
                </c:pt>
                <c:pt idx="1">
                  <c:v>Negocjacje bez ogłoszenia</c:v>
                </c:pt>
                <c:pt idx="2">
                  <c:v>Negocjacje z ogłoszeniem</c:v>
                </c:pt>
                <c:pt idx="3">
                  <c:v>Partnerstwo innowacyjne</c:v>
                </c:pt>
                <c:pt idx="4">
                  <c:v>Przetarg nieograniczony</c:v>
                </c:pt>
                <c:pt idx="5">
                  <c:v>Przetarg ograniczony</c:v>
                </c:pt>
                <c:pt idx="6">
                  <c:v>Zamówienie z wolnej ręki</c:v>
                </c:pt>
              </c:strCache>
            </c:strRef>
          </c:cat>
          <c:val>
            <c:numRef>
              <c:f>Arkusz1!$D$2:$D$8</c:f>
              <c:numCache>
                <c:formatCode>0.00%</c:formatCode>
                <c:ptCount val="7"/>
                <c:pt idx="0">
                  <c:v>5.9999999999999995E-4</c:v>
                </c:pt>
                <c:pt idx="1">
                  <c:v>8.0000000000000004E-4</c:v>
                </c:pt>
                <c:pt idx="2">
                  <c:v>1.2999999999999999E-3</c:v>
                </c:pt>
                <c:pt idx="3">
                  <c:v>0</c:v>
                </c:pt>
                <c:pt idx="4">
                  <c:v>0.91720000000000002</c:v>
                </c:pt>
                <c:pt idx="5">
                  <c:v>9.4000000000000004E-3</c:v>
                </c:pt>
                <c:pt idx="6">
                  <c:v>7.0699999999999999E-2</c:v>
                </c:pt>
              </c:numCache>
            </c:numRef>
          </c:val>
          <c:extLst>
            <c:ext xmlns:c16="http://schemas.microsoft.com/office/drawing/2014/chart" uri="{C3380CC4-5D6E-409C-BE32-E72D297353CC}">
              <c16:uniqueId val="{00000002-10C6-4732-ACD0-590C32033702}"/>
            </c:ext>
          </c:extLst>
        </c:ser>
        <c:ser>
          <c:idx val="3"/>
          <c:order val="3"/>
          <c:tx>
            <c:strRef>
              <c:f>Arkusz1!$E$1</c:f>
              <c:strCache>
                <c:ptCount val="1"/>
                <c:pt idx="0">
                  <c:v>2025</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Dialog konkurencyjny</c:v>
                </c:pt>
                <c:pt idx="1">
                  <c:v>Negocjacje bez ogłoszenia</c:v>
                </c:pt>
                <c:pt idx="2">
                  <c:v>Negocjacje z ogłoszeniem</c:v>
                </c:pt>
                <c:pt idx="3">
                  <c:v>Partnerstwo innowacyjne</c:v>
                </c:pt>
                <c:pt idx="4">
                  <c:v>Przetarg nieograniczony</c:v>
                </c:pt>
                <c:pt idx="5">
                  <c:v>Przetarg ograniczony</c:v>
                </c:pt>
                <c:pt idx="6">
                  <c:v>Zamówienie z wolnej ręki</c:v>
                </c:pt>
              </c:strCache>
            </c:strRef>
          </c:cat>
          <c:val>
            <c:numRef>
              <c:f>Arkusz1!$E$2:$E$8</c:f>
              <c:numCache>
                <c:formatCode>0.00%</c:formatCode>
                <c:ptCount val="7"/>
                <c:pt idx="0">
                  <c:v>5.4754517247672938E-4</c:v>
                </c:pt>
                <c:pt idx="1">
                  <c:v>3.650301149844862E-4</c:v>
                </c:pt>
                <c:pt idx="2">
                  <c:v>1.1472375042369566E-3</c:v>
                </c:pt>
                <c:pt idx="3">
                  <c:v>0</c:v>
                </c:pt>
                <c:pt idx="4">
                  <c:v>0.91974552186269654</c:v>
                </c:pt>
                <c:pt idx="5">
                  <c:v>8.5260605428519286E-3</c:v>
                </c:pt>
                <c:pt idx="6">
                  <c:v>6.8573514457799911E-2</c:v>
                </c:pt>
              </c:numCache>
            </c:numRef>
          </c:val>
          <c:extLst>
            <c:ext xmlns:c16="http://schemas.microsoft.com/office/drawing/2014/chart" uri="{C3380CC4-5D6E-409C-BE32-E72D297353CC}">
              <c16:uniqueId val="{00000003-10C6-4732-ACD0-590C32033702}"/>
            </c:ext>
          </c:extLst>
        </c:ser>
        <c:dLbls>
          <c:dLblPos val="outEnd"/>
          <c:showLegendKey val="0"/>
          <c:showVal val="1"/>
          <c:showCatName val="0"/>
          <c:showSerName val="0"/>
          <c:showPercent val="0"/>
          <c:showBubbleSize val="0"/>
        </c:dLbls>
        <c:gapWidth val="50"/>
        <c:overlap val="-10"/>
        <c:axId val="424551144"/>
        <c:axId val="424549176"/>
      </c:barChart>
      <c:catAx>
        <c:axId val="424551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24549176"/>
        <c:crosses val="autoZero"/>
        <c:auto val="0"/>
        <c:lblAlgn val="ctr"/>
        <c:lblOffset val="100"/>
        <c:noMultiLvlLbl val="0"/>
      </c:catAx>
      <c:valAx>
        <c:axId val="424549176"/>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4551144"/>
        <c:crosses val="autoZero"/>
        <c:crossBetween val="between"/>
        <c:majorUnit val="0.30000000000000004"/>
      </c:valAx>
      <c:spPr>
        <a:noFill/>
        <a:ln>
          <a:noFill/>
        </a:ln>
        <a:effectLst/>
      </c:spPr>
    </c:plotArea>
    <c:legend>
      <c:legendPos val="r"/>
      <c:layout>
        <c:manualLayout>
          <c:xMode val="edge"/>
          <c:yMode val="edge"/>
          <c:x val="0.82086304316127146"/>
          <c:y val="6.114548181477316E-2"/>
          <c:w val="8.9253404097968433E-2"/>
          <c:h val="0.29197154214244114"/>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85906432748538"/>
          <c:y val="5.6793359545653122E-2"/>
          <c:w val="0.79140935672514623"/>
          <c:h val="0.89822774446772136"/>
        </c:manualLayout>
      </c:layout>
      <c:barChart>
        <c:barDir val="bar"/>
        <c:grouping val="clustered"/>
        <c:varyColors val="0"/>
        <c:ser>
          <c:idx val="0"/>
          <c:order val="0"/>
          <c:tx>
            <c:strRef>
              <c:f>Arkusz1!$B$1</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Dialog konkurencyjny</c:v>
                </c:pt>
                <c:pt idx="1">
                  <c:v>Negocjacje bez ogłoszenia</c:v>
                </c:pt>
                <c:pt idx="2">
                  <c:v>Negocjacje z ogłoszeniem</c:v>
                </c:pt>
                <c:pt idx="3">
                  <c:v>Partnerstwo innowacyjne</c:v>
                </c:pt>
                <c:pt idx="4">
                  <c:v>Przetarg nieograniczony</c:v>
                </c:pt>
                <c:pt idx="5">
                  <c:v>Przetarg ograniczony</c:v>
                </c:pt>
                <c:pt idx="6">
                  <c:v>Zamówienie z wolnej ręki</c:v>
                </c:pt>
              </c:strCache>
            </c:strRef>
          </c:cat>
          <c:val>
            <c:numRef>
              <c:f>Arkusz1!$B$2:$B$8</c:f>
              <c:numCache>
                <c:formatCode>0.00%</c:formatCode>
                <c:ptCount val="7"/>
                <c:pt idx="0">
                  <c:v>1.2800000000000001E-2</c:v>
                </c:pt>
                <c:pt idx="1">
                  <c:v>2.5999999999999999E-3</c:v>
                </c:pt>
                <c:pt idx="2">
                  <c:v>1.1599999999999999E-2</c:v>
                </c:pt>
                <c:pt idx="3">
                  <c:v>0</c:v>
                </c:pt>
                <c:pt idx="4">
                  <c:v>0.83330000000000004</c:v>
                </c:pt>
                <c:pt idx="5">
                  <c:v>1.8200000000000001E-2</c:v>
                </c:pt>
                <c:pt idx="6">
                  <c:v>0.1215</c:v>
                </c:pt>
              </c:numCache>
            </c:numRef>
          </c:val>
          <c:extLst>
            <c:ext xmlns:c16="http://schemas.microsoft.com/office/drawing/2014/chart" uri="{C3380CC4-5D6E-409C-BE32-E72D297353CC}">
              <c16:uniqueId val="{00000000-8741-41FC-9528-1F2B05FAD48A}"/>
            </c:ext>
          </c:extLst>
        </c:ser>
        <c:ser>
          <c:idx val="1"/>
          <c:order val="1"/>
          <c:tx>
            <c:strRef>
              <c:f>Arkusz1!$C$1</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Dialog konkurencyjny</c:v>
                </c:pt>
                <c:pt idx="1">
                  <c:v>Negocjacje bez ogłoszenia</c:v>
                </c:pt>
                <c:pt idx="2">
                  <c:v>Negocjacje z ogłoszeniem</c:v>
                </c:pt>
                <c:pt idx="3">
                  <c:v>Partnerstwo innowacyjne</c:v>
                </c:pt>
                <c:pt idx="4">
                  <c:v>Przetarg nieograniczony</c:v>
                </c:pt>
                <c:pt idx="5">
                  <c:v>Przetarg ograniczony</c:v>
                </c:pt>
                <c:pt idx="6">
                  <c:v>Zamówienie z wolnej ręki</c:v>
                </c:pt>
              </c:strCache>
            </c:strRef>
          </c:cat>
          <c:val>
            <c:numRef>
              <c:f>Arkusz1!$C$2:$C$8</c:f>
              <c:numCache>
                <c:formatCode>0.00%</c:formatCode>
                <c:ptCount val="7"/>
                <c:pt idx="0">
                  <c:v>3.7000000000000002E-3</c:v>
                </c:pt>
                <c:pt idx="1">
                  <c:v>4.1999999999999997E-3</c:v>
                </c:pt>
                <c:pt idx="2">
                  <c:v>5.7999999999999996E-3</c:v>
                </c:pt>
                <c:pt idx="3">
                  <c:v>0</c:v>
                </c:pt>
                <c:pt idx="4">
                  <c:v>0.84570000000000001</c:v>
                </c:pt>
                <c:pt idx="5">
                  <c:v>2.8799999999999999E-2</c:v>
                </c:pt>
                <c:pt idx="6">
                  <c:v>0.1118</c:v>
                </c:pt>
              </c:numCache>
            </c:numRef>
          </c:val>
          <c:extLst>
            <c:ext xmlns:c16="http://schemas.microsoft.com/office/drawing/2014/chart" uri="{C3380CC4-5D6E-409C-BE32-E72D297353CC}">
              <c16:uniqueId val="{00000001-8741-41FC-9528-1F2B05FAD48A}"/>
            </c:ext>
          </c:extLst>
        </c:ser>
        <c:ser>
          <c:idx val="2"/>
          <c:order val="2"/>
          <c:tx>
            <c:strRef>
              <c:f>Arkusz1!$D$1</c:f>
              <c:strCache>
                <c:ptCount val="1"/>
                <c:pt idx="0">
                  <c:v>2024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Dialog konkurencyjny</c:v>
                </c:pt>
                <c:pt idx="1">
                  <c:v>Negocjacje bez ogłoszenia</c:v>
                </c:pt>
                <c:pt idx="2">
                  <c:v>Negocjacje z ogłoszeniem</c:v>
                </c:pt>
                <c:pt idx="3">
                  <c:v>Partnerstwo innowacyjne</c:v>
                </c:pt>
                <c:pt idx="4">
                  <c:v>Przetarg nieograniczony</c:v>
                </c:pt>
                <c:pt idx="5">
                  <c:v>Przetarg ograniczony</c:v>
                </c:pt>
                <c:pt idx="6">
                  <c:v>Zamówienie z wolnej ręki</c:v>
                </c:pt>
              </c:strCache>
            </c:strRef>
          </c:cat>
          <c:val>
            <c:numRef>
              <c:f>Arkusz1!$D$2:$D$8</c:f>
              <c:numCache>
                <c:formatCode>0.00%</c:formatCode>
                <c:ptCount val="7"/>
                <c:pt idx="0">
                  <c:v>1.6999999999999999E-3</c:v>
                </c:pt>
                <c:pt idx="1">
                  <c:v>8.9999999999999998E-4</c:v>
                </c:pt>
                <c:pt idx="2">
                  <c:v>7.3000000000000001E-3</c:v>
                </c:pt>
                <c:pt idx="3">
                  <c:v>0</c:v>
                </c:pt>
                <c:pt idx="4">
                  <c:v>0.8548</c:v>
                </c:pt>
                <c:pt idx="5">
                  <c:v>2.18E-2</c:v>
                </c:pt>
                <c:pt idx="6">
                  <c:v>0.1135</c:v>
                </c:pt>
              </c:numCache>
            </c:numRef>
          </c:val>
          <c:extLst>
            <c:ext xmlns:c16="http://schemas.microsoft.com/office/drawing/2014/chart" uri="{C3380CC4-5D6E-409C-BE32-E72D297353CC}">
              <c16:uniqueId val="{00000002-8741-41FC-9528-1F2B05FAD48A}"/>
            </c:ext>
          </c:extLst>
        </c:ser>
        <c:ser>
          <c:idx val="3"/>
          <c:order val="3"/>
          <c:tx>
            <c:strRef>
              <c:f>Arkusz1!$E$1</c:f>
              <c:strCache>
                <c:ptCount val="1"/>
                <c:pt idx="0">
                  <c:v>2025</c:v>
                </c:pt>
              </c:strCache>
            </c:strRef>
          </c:tx>
          <c:spPr>
            <a:solidFill>
              <a:schemeClr val="accent4"/>
            </a:solidFill>
            <a:ln>
              <a:noFill/>
            </a:ln>
            <a:effectLst/>
          </c:spPr>
          <c:invertIfNegative val="0"/>
          <c:dLbls>
            <c:dLbl>
              <c:idx val="0"/>
              <c:tx>
                <c:rich>
                  <a:bodyPr/>
                  <a:lstStyle/>
                  <a:p>
                    <a:fld id="{C45CEEAB-57F3-46F7-89F8-F79A7196B5E5}" type="VALUE">
                      <a:rPr lang="en-US" sz="1000"/>
                      <a:pPr/>
                      <a:t>[WARTOŚĆ]</a:t>
                    </a:fld>
                    <a:endParaRPr lang="pl-PL"/>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741-41FC-9528-1F2B05FAD48A}"/>
                </c:ext>
              </c:extLst>
            </c:dLbl>
            <c:dLbl>
              <c:idx val="1"/>
              <c:tx>
                <c:rich>
                  <a:bodyPr/>
                  <a:lstStyle/>
                  <a:p>
                    <a:fld id="{593EA11B-3534-4AB6-A0E5-D3ADDE7108F3}" type="VALUE">
                      <a:rPr lang="en-US" sz="1000"/>
                      <a:pPr/>
                      <a:t>[WARTOŚĆ]</a:t>
                    </a:fld>
                    <a:endParaRPr lang="pl-PL"/>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8741-41FC-9528-1F2B05FAD48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Dialog konkurencyjny</c:v>
                </c:pt>
                <c:pt idx="1">
                  <c:v>Negocjacje bez ogłoszenia</c:v>
                </c:pt>
                <c:pt idx="2">
                  <c:v>Negocjacje z ogłoszeniem</c:v>
                </c:pt>
                <c:pt idx="3">
                  <c:v>Partnerstwo innowacyjne</c:v>
                </c:pt>
                <c:pt idx="4">
                  <c:v>Przetarg nieograniczony</c:v>
                </c:pt>
                <c:pt idx="5">
                  <c:v>Przetarg ograniczony</c:v>
                </c:pt>
                <c:pt idx="6">
                  <c:v>Zamówienie z wolnej ręki</c:v>
                </c:pt>
              </c:strCache>
            </c:strRef>
          </c:cat>
          <c:val>
            <c:numRef>
              <c:f>Arkusz1!$E$2:$E$8</c:f>
              <c:numCache>
                <c:formatCode>0.00%</c:formatCode>
                <c:ptCount val="7"/>
                <c:pt idx="0">
                  <c:v>4.6392580462219453E-2</c:v>
                </c:pt>
                <c:pt idx="1">
                  <c:v>1.9981999999999999E-4</c:v>
                </c:pt>
                <c:pt idx="2">
                  <c:v>1.1606945396411472E-3</c:v>
                </c:pt>
                <c:pt idx="3">
                  <c:v>0</c:v>
                </c:pt>
                <c:pt idx="4">
                  <c:v>0.82170140999999997</c:v>
                </c:pt>
                <c:pt idx="5">
                  <c:v>2.11492513386792E-2</c:v>
                </c:pt>
                <c:pt idx="6">
                  <c:v>0.105244447</c:v>
                </c:pt>
              </c:numCache>
            </c:numRef>
          </c:val>
          <c:extLst>
            <c:ext xmlns:c16="http://schemas.microsoft.com/office/drawing/2014/chart" uri="{C3380CC4-5D6E-409C-BE32-E72D297353CC}">
              <c16:uniqueId val="{00000005-8741-41FC-9528-1F2B05FAD48A}"/>
            </c:ext>
          </c:extLst>
        </c:ser>
        <c:dLbls>
          <c:dLblPos val="outEnd"/>
          <c:showLegendKey val="0"/>
          <c:showVal val="1"/>
          <c:showCatName val="0"/>
          <c:showSerName val="0"/>
          <c:showPercent val="0"/>
          <c:showBubbleSize val="0"/>
        </c:dLbls>
        <c:gapWidth val="50"/>
        <c:overlap val="-10"/>
        <c:axId val="424551144"/>
        <c:axId val="424549176"/>
      </c:barChart>
      <c:catAx>
        <c:axId val="424551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24549176"/>
        <c:crosses val="autoZero"/>
        <c:auto val="0"/>
        <c:lblAlgn val="ctr"/>
        <c:lblOffset val="100"/>
        <c:noMultiLvlLbl val="0"/>
      </c:catAx>
      <c:valAx>
        <c:axId val="424549176"/>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4551144"/>
        <c:crosses val="autoZero"/>
        <c:crossBetween val="between"/>
        <c:majorUnit val="0.30000000000000004"/>
      </c:valAx>
      <c:spPr>
        <a:noFill/>
        <a:ln>
          <a:noFill/>
        </a:ln>
        <a:effectLst/>
      </c:spPr>
    </c:plotArea>
    <c:legend>
      <c:legendPos val="tr"/>
      <c:layout>
        <c:manualLayout>
          <c:xMode val="edge"/>
          <c:yMode val="edge"/>
          <c:x val="0.81391859871682704"/>
          <c:y val="3.5714285714285712E-2"/>
          <c:w val="9.3488808690580349E-2"/>
          <c:h val="0.30628046494188227"/>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EOG</c:v>
                </c:pt>
                <c:pt idx="1">
                  <c:v>UE-14</c:v>
                </c:pt>
                <c:pt idx="2">
                  <c:v>CEE</c:v>
                </c:pt>
                <c:pt idx="3">
                  <c:v>Polska</c:v>
                </c:pt>
              </c:strCache>
            </c:strRef>
          </c:cat>
          <c:val>
            <c:numRef>
              <c:f>Sheet1!$B$2:$B$5</c:f>
              <c:numCache>
                <c:formatCode>General</c:formatCode>
                <c:ptCount val="4"/>
                <c:pt idx="0">
                  <c:v>143</c:v>
                </c:pt>
                <c:pt idx="1">
                  <c:v>100</c:v>
                </c:pt>
                <c:pt idx="2">
                  <c:v>158</c:v>
                </c:pt>
                <c:pt idx="3">
                  <c:v>63</c:v>
                </c:pt>
              </c:numCache>
            </c:numRef>
          </c:val>
          <c:extLst>
            <c:ext xmlns:c16="http://schemas.microsoft.com/office/drawing/2014/chart" uri="{C3380CC4-5D6E-409C-BE32-E72D297353CC}">
              <c16:uniqueId val="{00000000-F3CF-4116-8E07-F88FF8BDE6FB}"/>
            </c:ext>
          </c:extLst>
        </c:ser>
        <c:dLbls>
          <c:showLegendKey val="0"/>
          <c:showVal val="0"/>
          <c:showCatName val="0"/>
          <c:showSerName val="0"/>
          <c:showPercent val="0"/>
          <c:showBubbleSize val="0"/>
        </c:dLbls>
        <c:gapWidth val="150"/>
        <c:overlap val="100"/>
        <c:axId val="626374328"/>
        <c:axId val="626367768"/>
      </c:barChart>
      <c:catAx>
        <c:axId val="626374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626367768"/>
        <c:crosses val="autoZero"/>
        <c:auto val="1"/>
        <c:lblAlgn val="ctr"/>
        <c:lblOffset val="100"/>
        <c:noMultiLvlLbl val="0"/>
      </c:catAx>
      <c:valAx>
        <c:axId val="626367768"/>
        <c:scaling>
          <c:orientation val="minMax"/>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63743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9992666357881736E-2"/>
          <c:y val="5.0925925925925923E-2"/>
          <c:w val="0.91945171375636869"/>
          <c:h val="0.7213735783027122"/>
        </c:manualLayout>
      </c:layout>
      <c:barChart>
        <c:barDir val="col"/>
        <c:grouping val="clustered"/>
        <c:varyColors val="1"/>
        <c:ser>
          <c:idx val="0"/>
          <c:order val="0"/>
          <c:tx>
            <c:strRef>
              <c:f>Sheet1!$B$1</c:f>
              <c:strCache>
                <c:ptCount val="1"/>
                <c:pt idx="0">
                  <c:v>roboty budowlane</c:v>
                </c:pt>
              </c:strCache>
            </c:strRef>
          </c:tx>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06FA-4110-AC30-4E8D43C22FA0}"/>
              </c:ext>
            </c:extLst>
          </c:dPt>
          <c:dPt>
            <c:idx val="1"/>
            <c:invertIfNegative val="0"/>
            <c:bubble3D val="0"/>
            <c:spPr>
              <a:solidFill>
                <a:schemeClr val="accent1"/>
              </a:solidFill>
              <a:ln>
                <a:noFill/>
              </a:ln>
              <a:effectLst/>
            </c:spPr>
            <c:extLst>
              <c:ext xmlns:c16="http://schemas.microsoft.com/office/drawing/2014/chart" uri="{C3380CC4-5D6E-409C-BE32-E72D297353CC}">
                <c16:uniqueId val="{00000003-06FA-4110-AC30-4E8D43C22FA0}"/>
              </c:ext>
            </c:extLst>
          </c:dPt>
          <c:dPt>
            <c:idx val="2"/>
            <c:invertIfNegative val="0"/>
            <c:bubble3D val="0"/>
            <c:spPr>
              <a:solidFill>
                <a:schemeClr val="accent1"/>
              </a:solidFill>
              <a:ln>
                <a:noFill/>
              </a:ln>
              <a:effectLst/>
            </c:spPr>
            <c:extLst>
              <c:ext xmlns:c16="http://schemas.microsoft.com/office/drawing/2014/chart" uri="{C3380CC4-5D6E-409C-BE32-E72D297353CC}">
                <c16:uniqueId val="{00000005-06FA-4110-AC30-4E8D43C22FA0}"/>
              </c:ext>
            </c:extLst>
          </c:dPt>
          <c:dPt>
            <c:idx val="3"/>
            <c:invertIfNegative val="0"/>
            <c:bubble3D val="0"/>
            <c:spPr>
              <a:solidFill>
                <a:schemeClr val="accent1"/>
              </a:solidFill>
              <a:ln>
                <a:noFill/>
              </a:ln>
              <a:effectLst/>
            </c:spPr>
            <c:extLst>
              <c:ext xmlns:c16="http://schemas.microsoft.com/office/drawing/2014/chart" uri="{C3380CC4-5D6E-409C-BE32-E72D297353CC}">
                <c16:uniqueId val="{00000007-06FA-4110-AC30-4E8D43C22FA0}"/>
              </c:ext>
            </c:extLst>
          </c:dPt>
          <c:dPt>
            <c:idx val="4"/>
            <c:invertIfNegative val="0"/>
            <c:bubble3D val="0"/>
            <c:spPr>
              <a:solidFill>
                <a:schemeClr val="accent1"/>
              </a:solidFill>
              <a:ln>
                <a:noFill/>
              </a:ln>
              <a:effectLst/>
            </c:spPr>
            <c:extLst>
              <c:ext xmlns:c16="http://schemas.microsoft.com/office/drawing/2014/chart" uri="{C3380CC4-5D6E-409C-BE32-E72D297353CC}">
                <c16:uniqueId val="{00000009-06FA-4110-AC30-4E8D43C22FA0}"/>
              </c:ext>
            </c:extLst>
          </c:dPt>
          <c:dPt>
            <c:idx val="5"/>
            <c:invertIfNegative val="0"/>
            <c:bubble3D val="0"/>
            <c:spPr>
              <a:solidFill>
                <a:schemeClr val="accent1"/>
              </a:solidFill>
              <a:ln>
                <a:noFill/>
              </a:ln>
              <a:effectLst/>
            </c:spPr>
            <c:extLst>
              <c:ext xmlns:c16="http://schemas.microsoft.com/office/drawing/2014/chart" uri="{C3380CC4-5D6E-409C-BE32-E72D297353CC}">
                <c16:uniqueId val="{0000000B-06FA-4110-AC30-4E8D43C22FA0}"/>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EOG</c:v>
                </c:pt>
                <c:pt idx="1">
                  <c:v>UE-14</c:v>
                </c:pt>
                <c:pt idx="2">
                  <c:v>EEC</c:v>
                </c:pt>
                <c:pt idx="3">
                  <c:v>Polska</c:v>
                </c:pt>
              </c:strCache>
            </c:strRef>
          </c:cat>
          <c:val>
            <c:numRef>
              <c:f>Sheet1!$B$2:$B$5</c:f>
              <c:numCache>
                <c:formatCode>General</c:formatCode>
                <c:ptCount val="4"/>
                <c:pt idx="0">
                  <c:v>99</c:v>
                </c:pt>
                <c:pt idx="1">
                  <c:v>88</c:v>
                </c:pt>
                <c:pt idx="2">
                  <c:v>170</c:v>
                </c:pt>
                <c:pt idx="3">
                  <c:v>111</c:v>
                </c:pt>
              </c:numCache>
            </c:numRef>
          </c:val>
          <c:extLst>
            <c:ext xmlns:c16="http://schemas.microsoft.com/office/drawing/2014/chart" uri="{C3380CC4-5D6E-409C-BE32-E72D297353CC}">
              <c16:uniqueId val="{0000000C-06FA-4110-AC30-4E8D43C22FA0}"/>
            </c:ext>
          </c:extLst>
        </c:ser>
        <c:ser>
          <c:idx val="1"/>
          <c:order val="1"/>
          <c:tx>
            <c:strRef>
              <c:f>Sheet1!$C$1</c:f>
              <c:strCache>
                <c:ptCount val="1"/>
                <c:pt idx="0">
                  <c:v>dostawy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EOG</c:v>
                </c:pt>
                <c:pt idx="1">
                  <c:v>UE-14</c:v>
                </c:pt>
                <c:pt idx="2">
                  <c:v>EEC</c:v>
                </c:pt>
                <c:pt idx="3">
                  <c:v>Polska</c:v>
                </c:pt>
              </c:strCache>
            </c:strRef>
          </c:cat>
          <c:val>
            <c:numRef>
              <c:f>Sheet1!$C$2:$C$5</c:f>
              <c:numCache>
                <c:formatCode>General</c:formatCode>
                <c:ptCount val="4"/>
                <c:pt idx="0">
                  <c:v>150</c:v>
                </c:pt>
                <c:pt idx="1">
                  <c:v>110</c:v>
                </c:pt>
                <c:pt idx="2">
                  <c:v>154</c:v>
                </c:pt>
                <c:pt idx="3">
                  <c:v>61</c:v>
                </c:pt>
              </c:numCache>
            </c:numRef>
          </c:val>
          <c:extLst>
            <c:ext xmlns:c16="http://schemas.microsoft.com/office/drawing/2014/chart" uri="{C3380CC4-5D6E-409C-BE32-E72D297353CC}">
              <c16:uniqueId val="{0000000D-06FA-4110-AC30-4E8D43C22FA0}"/>
            </c:ext>
          </c:extLst>
        </c:ser>
        <c:ser>
          <c:idx val="2"/>
          <c:order val="2"/>
          <c:tx>
            <c:strRef>
              <c:f>Sheet1!$D$1</c:f>
              <c:strCache>
                <c:ptCount val="1"/>
                <c:pt idx="0">
                  <c:v>usługi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EOG</c:v>
                </c:pt>
                <c:pt idx="1">
                  <c:v>UE-14</c:v>
                </c:pt>
                <c:pt idx="2">
                  <c:v>EEC</c:v>
                </c:pt>
                <c:pt idx="3">
                  <c:v>Polska</c:v>
                </c:pt>
              </c:strCache>
            </c:strRef>
          </c:cat>
          <c:val>
            <c:numRef>
              <c:f>Sheet1!$D$2:$D$5</c:f>
              <c:numCache>
                <c:formatCode>General</c:formatCode>
                <c:ptCount val="4"/>
                <c:pt idx="0">
                  <c:v>151</c:v>
                </c:pt>
                <c:pt idx="1">
                  <c:v>93</c:v>
                </c:pt>
                <c:pt idx="2">
                  <c:v>210</c:v>
                </c:pt>
                <c:pt idx="3">
                  <c:v>67</c:v>
                </c:pt>
              </c:numCache>
            </c:numRef>
          </c:val>
          <c:extLst>
            <c:ext xmlns:c16="http://schemas.microsoft.com/office/drawing/2014/chart" uri="{C3380CC4-5D6E-409C-BE32-E72D297353CC}">
              <c16:uniqueId val="{0000000E-06FA-4110-AC30-4E8D43C22FA0}"/>
            </c:ext>
          </c:extLst>
        </c:ser>
        <c:dLbls>
          <c:dLblPos val="ctr"/>
          <c:showLegendKey val="0"/>
          <c:showVal val="1"/>
          <c:showCatName val="0"/>
          <c:showSerName val="0"/>
          <c:showPercent val="0"/>
          <c:showBubbleSize val="0"/>
        </c:dLbls>
        <c:gapWidth val="90"/>
        <c:overlap val="-27"/>
        <c:axId val="584609160"/>
        <c:axId val="312605544"/>
      </c:barChart>
      <c:catAx>
        <c:axId val="584609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312605544"/>
        <c:crosses val="autoZero"/>
        <c:auto val="1"/>
        <c:lblAlgn val="ctr"/>
        <c:lblOffset val="100"/>
        <c:noMultiLvlLbl val="0"/>
      </c:catAx>
      <c:valAx>
        <c:axId val="31260554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84609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Arkusz1!$B$1</c:f>
              <c:strCache>
                <c:ptCount val="1"/>
                <c:pt idx="0">
                  <c:v>postępowania o wartości mniejszej niż progi unijne</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Arkusz1!$A$2:$A$6</c:f>
              <c:numCache>
                <c:formatCode>General</c:formatCode>
                <c:ptCount val="5"/>
                <c:pt idx="0">
                  <c:v>2021</c:v>
                </c:pt>
                <c:pt idx="1">
                  <c:v>2022</c:v>
                </c:pt>
                <c:pt idx="2">
                  <c:v>2023</c:v>
                </c:pt>
                <c:pt idx="3">
                  <c:v>2024</c:v>
                </c:pt>
                <c:pt idx="4">
                  <c:v>2025</c:v>
                </c:pt>
              </c:numCache>
            </c:numRef>
          </c:cat>
          <c:val>
            <c:numRef>
              <c:f>Arkusz1!$B$2:$B$6</c:f>
              <c:numCache>
                <c:formatCode>0%</c:formatCode>
                <c:ptCount val="5"/>
                <c:pt idx="0">
                  <c:v>0.83</c:v>
                </c:pt>
                <c:pt idx="1">
                  <c:v>0.8</c:v>
                </c:pt>
                <c:pt idx="2">
                  <c:v>0.77</c:v>
                </c:pt>
                <c:pt idx="3">
                  <c:v>0.76</c:v>
                </c:pt>
                <c:pt idx="4">
                  <c:v>0.75</c:v>
                </c:pt>
              </c:numCache>
            </c:numRef>
          </c:val>
          <c:smooth val="0"/>
          <c:extLst>
            <c:ext xmlns:c16="http://schemas.microsoft.com/office/drawing/2014/chart" uri="{C3380CC4-5D6E-409C-BE32-E72D297353CC}">
              <c16:uniqueId val="{00000000-83AF-4888-83CC-CA99D8CD8AC2}"/>
            </c:ext>
          </c:extLst>
        </c:ser>
        <c:ser>
          <c:idx val="1"/>
          <c:order val="1"/>
          <c:tx>
            <c:strRef>
              <c:f>Arkusz1!$C$1</c:f>
              <c:strCache>
                <c:ptCount val="1"/>
                <c:pt idx="0">
                  <c:v>postępowania o wartości równej lub przekraczającej progi unijne</c:v>
                </c:pt>
              </c:strCache>
            </c:strRef>
          </c:tx>
          <c:spPr>
            <a:ln w="28575" cap="rnd">
              <a:solidFill>
                <a:schemeClr val="accent2"/>
              </a:solidFill>
              <a:round/>
            </a:ln>
            <a:effectLst/>
          </c:spPr>
          <c:marker>
            <c:symbol val="triangle"/>
            <c:size val="7"/>
            <c:spPr>
              <a:solidFill>
                <a:schemeClr val="accent2"/>
              </a:solidFill>
              <a:ln w="9525">
                <a:solidFill>
                  <a:schemeClr val="accent2"/>
                </a:solidFill>
              </a:ln>
              <a:effectLst/>
            </c:spPr>
          </c:marker>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Arkusz1!$A$2:$A$6</c:f>
              <c:numCache>
                <c:formatCode>General</c:formatCode>
                <c:ptCount val="5"/>
                <c:pt idx="0">
                  <c:v>2021</c:v>
                </c:pt>
                <c:pt idx="1">
                  <c:v>2022</c:v>
                </c:pt>
                <c:pt idx="2">
                  <c:v>2023</c:v>
                </c:pt>
                <c:pt idx="3">
                  <c:v>2024</c:v>
                </c:pt>
                <c:pt idx="4">
                  <c:v>2025</c:v>
                </c:pt>
              </c:numCache>
            </c:numRef>
          </c:cat>
          <c:val>
            <c:numRef>
              <c:f>Arkusz1!$C$2:$C$6</c:f>
              <c:numCache>
                <c:formatCode>0%</c:formatCode>
                <c:ptCount val="5"/>
                <c:pt idx="0">
                  <c:v>0.65</c:v>
                </c:pt>
                <c:pt idx="1">
                  <c:v>0.61</c:v>
                </c:pt>
                <c:pt idx="2">
                  <c:v>0.57999999999999996</c:v>
                </c:pt>
                <c:pt idx="3">
                  <c:v>0.62</c:v>
                </c:pt>
                <c:pt idx="4">
                  <c:v>0.55000000000000004</c:v>
                </c:pt>
              </c:numCache>
            </c:numRef>
          </c:val>
          <c:smooth val="0"/>
          <c:extLst>
            <c:ext xmlns:c16="http://schemas.microsoft.com/office/drawing/2014/chart" uri="{C3380CC4-5D6E-409C-BE32-E72D297353CC}">
              <c16:uniqueId val="{00000001-83AF-4888-83CC-CA99D8CD8AC2}"/>
            </c:ext>
          </c:extLst>
        </c:ser>
        <c:dLbls>
          <c:showLegendKey val="0"/>
          <c:showVal val="0"/>
          <c:showCatName val="0"/>
          <c:showSerName val="0"/>
          <c:showPercent val="0"/>
          <c:showBubbleSize val="0"/>
        </c:dLbls>
        <c:marker val="1"/>
        <c:smooth val="0"/>
        <c:axId val="351689216"/>
        <c:axId val="1"/>
      </c:lineChart>
      <c:catAx>
        <c:axId val="351689216"/>
        <c:scaling>
          <c:orientation val="minMax"/>
        </c:scaling>
        <c:delete val="0"/>
        <c:axPos val="b"/>
        <c:majorGridlines>
          <c:spPr>
            <a:ln w="9525" cap="flat" cmpd="sng" algn="ctr">
              <a:solidFill>
                <a:sysClr val="windowText" lastClr="000000">
                  <a:lumMod val="15000"/>
                  <a:lumOff val="85000"/>
                </a:sys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in val="0.55000000000000004"/>
        </c:scaling>
        <c:delete val="1"/>
        <c:axPos val="l"/>
        <c:numFmt formatCode="0%" sourceLinked="1"/>
        <c:majorTickMark val="out"/>
        <c:minorTickMark val="none"/>
        <c:tickLblPos val="nextTo"/>
        <c:crossAx val="351689216"/>
        <c:crosses val="autoZero"/>
        <c:crossBetween val="midCat"/>
      </c:valAx>
      <c:spPr>
        <a:noFill/>
        <a:ln w="25400">
          <a:noFill/>
        </a:ln>
      </c:spPr>
    </c:plotArea>
    <c:legend>
      <c:legendPos val="b"/>
      <c:layout>
        <c:manualLayout>
          <c:xMode val="edge"/>
          <c:yMode val="edge"/>
          <c:x val="9.2624671916010492E-3"/>
          <c:y val="0.84080088947214926"/>
          <c:w val="0.98425262467191599"/>
          <c:h val="0.15456948089822109"/>
        </c:manualLayout>
      </c:layout>
      <c:overlay val="0"/>
      <c:spPr>
        <a:noFill/>
        <a:ln w="25400">
          <a:noFill/>
        </a:ln>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4304988192265443"/>
          <c:y val="1.6420361247947456E-2"/>
          <c:w val="0.54441878975654368"/>
          <c:h val="0.79847562158178509"/>
        </c:manualLayout>
      </c:layout>
      <c:barChart>
        <c:barDir val="bar"/>
        <c:grouping val="clustered"/>
        <c:varyColors val="0"/>
        <c:ser>
          <c:idx val="0"/>
          <c:order val="0"/>
          <c:tx>
            <c:strRef>
              <c:f>Sheet1!$B$1</c:f>
              <c:strCache>
                <c:ptCount val="1"/>
                <c:pt idx="0">
                  <c:v>postępowanie o wartości mniejszej niż progi unijne</c:v>
                </c:pt>
              </c:strCache>
            </c:strRef>
          </c:tx>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czas reakcji na zgłoszenia błędów / reklamacji</c:v>
                </c:pt>
                <c:pt idx="1">
                  <c:v>jakość / funkcjonalność / parametrytechniczne</c:v>
                </c:pt>
                <c:pt idx="2">
                  <c:v>termin realizacji / czas dostawy</c:v>
                </c:pt>
                <c:pt idx="3">
                  <c:v>warunki / terminy płatności</c:v>
                </c:pt>
                <c:pt idx="4">
                  <c:v>warunki gwarancji / rękojmi</c:v>
                </c:pt>
                <c:pt idx="5">
                  <c:v>wiedza / doświadczenie</c:v>
                </c:pt>
              </c:strCache>
            </c:strRef>
          </c:cat>
          <c:val>
            <c:numRef>
              <c:f>Sheet1!$B$2:$B$7</c:f>
              <c:numCache>
                <c:formatCode>0%</c:formatCode>
                <c:ptCount val="6"/>
                <c:pt idx="0">
                  <c:v>7.3070770698168877E-2</c:v>
                </c:pt>
                <c:pt idx="1">
                  <c:v>4.9707398980615804E-2</c:v>
                </c:pt>
                <c:pt idx="2">
                  <c:v>0.32110105415851126</c:v>
                </c:pt>
                <c:pt idx="3">
                  <c:v>5.5549483849814701E-2</c:v>
                </c:pt>
                <c:pt idx="4">
                  <c:v>0.40500650776460767</c:v>
                </c:pt>
                <c:pt idx="5">
                  <c:v>9.5564784548281656E-2</c:v>
                </c:pt>
              </c:numCache>
            </c:numRef>
          </c:val>
          <c:extLst>
            <c:ext xmlns:c16="http://schemas.microsoft.com/office/drawing/2014/chart" uri="{C3380CC4-5D6E-409C-BE32-E72D297353CC}">
              <c16:uniqueId val="{00000000-07AF-49EC-AF17-64628B22AB02}"/>
            </c:ext>
          </c:extLst>
        </c:ser>
        <c:ser>
          <c:idx val="1"/>
          <c:order val="1"/>
          <c:tx>
            <c:strRef>
              <c:f>Sheet1!$C$1</c:f>
              <c:strCache>
                <c:ptCount val="1"/>
                <c:pt idx="0">
                  <c:v>postępowania o wartości równej lub przekraczającej progi unijne</c:v>
                </c:pt>
              </c:strCache>
            </c:strRef>
          </c:tx>
          <c:spPr>
            <a:solidFill>
              <a:srgbClr val="ED7D31"/>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czas reakcji na zgłoszenia błędów / reklamacji</c:v>
                </c:pt>
                <c:pt idx="1">
                  <c:v>jakość / funkcjonalność / parametrytechniczne</c:v>
                </c:pt>
                <c:pt idx="2">
                  <c:v>termin realizacji / czas dostawy</c:v>
                </c:pt>
                <c:pt idx="3">
                  <c:v>warunki / terminy płatności</c:v>
                </c:pt>
                <c:pt idx="4">
                  <c:v>warunki gwarancji / rękojmi</c:v>
                </c:pt>
                <c:pt idx="5">
                  <c:v>wiedza / doświadczenie</c:v>
                </c:pt>
              </c:strCache>
            </c:strRef>
          </c:cat>
          <c:val>
            <c:numRef>
              <c:f>Sheet1!$C$2:$C$7</c:f>
              <c:numCache>
                <c:formatCode>0%</c:formatCode>
                <c:ptCount val="6"/>
                <c:pt idx="0">
                  <c:v>0.03</c:v>
                </c:pt>
                <c:pt idx="1">
                  <c:v>0.19919999999999999</c:v>
                </c:pt>
                <c:pt idx="2">
                  <c:v>0.36749999999999999</c:v>
                </c:pt>
                <c:pt idx="3">
                  <c:v>5.0700000000000002E-2</c:v>
                </c:pt>
                <c:pt idx="4">
                  <c:v>0.27639999999999998</c:v>
                </c:pt>
                <c:pt idx="5">
                  <c:v>7.4899999999999994E-2</c:v>
                </c:pt>
              </c:numCache>
            </c:numRef>
          </c:val>
          <c:extLst>
            <c:ext xmlns:c16="http://schemas.microsoft.com/office/drawing/2014/chart" uri="{C3380CC4-5D6E-409C-BE32-E72D297353CC}">
              <c16:uniqueId val="{00000001-07AF-49EC-AF17-64628B22AB02}"/>
            </c:ext>
          </c:extLst>
        </c:ser>
        <c:dLbls>
          <c:showLegendKey val="0"/>
          <c:showVal val="0"/>
          <c:showCatName val="0"/>
          <c:showSerName val="0"/>
          <c:showPercent val="0"/>
          <c:showBubbleSize val="0"/>
        </c:dLbls>
        <c:gapWidth val="120"/>
        <c:overlap val="-20"/>
        <c:axId val="313543832"/>
        <c:axId val="1"/>
      </c:barChart>
      <c:catAx>
        <c:axId val="3135438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ax val="0.45"/>
        </c:scaling>
        <c:delete val="1"/>
        <c:axPos val="t"/>
        <c:numFmt formatCode="0%" sourceLinked="1"/>
        <c:majorTickMark val="out"/>
        <c:minorTickMark val="none"/>
        <c:tickLblPos val="nextTo"/>
        <c:crossAx val="313543832"/>
        <c:crosses val="autoZero"/>
        <c:crossBetween val="between"/>
        <c:majorUnit val="0.15000000000000002"/>
      </c:valAx>
      <c:spPr>
        <a:noFill/>
        <a:ln w="25400">
          <a:noFill/>
        </a:ln>
      </c:spPr>
    </c:plotArea>
    <c:legend>
      <c:legendPos val="b"/>
      <c:layout>
        <c:manualLayout>
          <c:xMode val="edge"/>
          <c:yMode val="edge"/>
          <c:x val="9.007591156368612E-2"/>
          <c:y val="0.82310616345370624"/>
          <c:w val="0.82611384103302876"/>
          <c:h val="0.14815820436238575"/>
        </c:manualLayout>
      </c:layout>
      <c:overlay val="0"/>
      <c:spPr>
        <a:noFill/>
        <a:ln w="25400">
          <a:noFill/>
        </a:ln>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ndard"/>
        <c:varyColors val="0"/>
        <c:ser>
          <c:idx val="0"/>
          <c:order val="0"/>
          <c:tx>
            <c:strRef>
              <c:f>Sheet1!$B$1</c:f>
              <c:strCache>
                <c:ptCount val="1"/>
                <c:pt idx="0">
                  <c:v>Series 1</c:v>
                </c:pt>
              </c:strCache>
            </c:strRef>
          </c:tx>
          <c:spPr>
            <a:gradFill>
              <a:gsLst>
                <a:gs pos="100000">
                  <a:schemeClr val="accent1"/>
                </a:gs>
                <a:gs pos="0">
                  <a:schemeClr val="accent1">
                    <a:lumMod val="75000"/>
                  </a:schemeClr>
                </a:gs>
              </a:gsLst>
              <a:lin ang="0" scaled="1"/>
            </a:gradFill>
            <a:ln>
              <a:solidFill>
                <a:schemeClr val="bg1"/>
              </a:solidFill>
            </a:ln>
            <a:effectLst>
              <a:innerShdw dist="12700" dir="16200000">
                <a:schemeClr val="lt1">
                  <a:alpha val="75000"/>
                </a:schemeClr>
              </a:innerShdw>
            </a:effectLst>
          </c:spPr>
          <c:dLbls>
            <c:dLbl>
              <c:idx val="0"/>
              <c:layout>
                <c:manualLayout>
                  <c:x val="8.3333333333333332E-3"/>
                  <c:y val="-0.282407407407407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75-4801-A8EC-105D6A43C97D}"/>
                </c:ext>
              </c:extLst>
            </c:dLbl>
            <c:dLbl>
              <c:idx val="1"/>
              <c:layout>
                <c:manualLayout>
                  <c:x val="-2.7777777777778286E-3"/>
                  <c:y val="-0.259259259259259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75-4801-A8EC-105D6A43C97D}"/>
                </c:ext>
              </c:extLst>
            </c:dLbl>
            <c:dLbl>
              <c:idx val="2"/>
              <c:layout>
                <c:manualLayout>
                  <c:x val="0"/>
                  <c:y val="-0.319444444444444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75-4801-A8EC-105D6A43C97D}"/>
                </c:ext>
              </c:extLst>
            </c:dLbl>
            <c:dLbl>
              <c:idx val="3"/>
              <c:layout>
                <c:manualLayout>
                  <c:x val="-5.5555555555555558E-3"/>
                  <c:y val="-0.379629629629629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275-4801-A8EC-105D6A43C97D}"/>
                </c:ext>
              </c:extLst>
            </c:dLbl>
            <c:dLbl>
              <c:idx val="4"/>
              <c:layout>
                <c:manualLayout>
                  <c:x val="0"/>
                  <c:y val="-0.384920634920634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275-4801-A8EC-105D6A43C97D}"/>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Sheet1!$A$2:$A$6</c:f>
              <c:numCache>
                <c:formatCode>General</c:formatCode>
                <c:ptCount val="5"/>
                <c:pt idx="0">
                  <c:v>2021</c:v>
                </c:pt>
                <c:pt idx="1">
                  <c:v>2022</c:v>
                </c:pt>
                <c:pt idx="2">
                  <c:v>2023</c:v>
                </c:pt>
                <c:pt idx="3">
                  <c:v>2024</c:v>
                </c:pt>
                <c:pt idx="4">
                  <c:v>2025</c:v>
                </c:pt>
              </c:numCache>
            </c:numRef>
          </c:cat>
          <c:val>
            <c:numRef>
              <c:f>Sheet1!$B$2:$B$6</c:f>
              <c:numCache>
                <c:formatCode>General</c:formatCode>
                <c:ptCount val="5"/>
                <c:pt idx="0">
                  <c:v>2.42</c:v>
                </c:pt>
                <c:pt idx="1">
                  <c:v>2.3199999999999998</c:v>
                </c:pt>
                <c:pt idx="2">
                  <c:v>2.41</c:v>
                </c:pt>
                <c:pt idx="3">
                  <c:v>2.84</c:v>
                </c:pt>
                <c:pt idx="4">
                  <c:v>2.92</c:v>
                </c:pt>
              </c:numCache>
            </c:numRef>
          </c:val>
          <c:extLst>
            <c:ext xmlns:c16="http://schemas.microsoft.com/office/drawing/2014/chart" uri="{C3380CC4-5D6E-409C-BE32-E72D297353CC}">
              <c16:uniqueId val="{00000005-0275-4801-A8EC-105D6A43C97D}"/>
            </c:ext>
          </c:extLst>
        </c:ser>
        <c:dLbls>
          <c:showLegendKey val="0"/>
          <c:showVal val="1"/>
          <c:showCatName val="0"/>
          <c:showSerName val="0"/>
          <c:showPercent val="0"/>
          <c:showBubbleSize val="0"/>
        </c:dLbls>
        <c:dropLines>
          <c:spPr>
            <a:ln w="9525" cap="flat" cmpd="sng" algn="ctr">
              <a:solidFill>
                <a:schemeClr val="bg1"/>
              </a:solidFill>
              <a:round/>
            </a:ln>
            <a:effectLst/>
          </c:spPr>
        </c:dropLines>
        <c:axId val="474630288"/>
        <c:axId val="474628320"/>
      </c:areaChart>
      <c:catAx>
        <c:axId val="474630288"/>
        <c:scaling>
          <c:orientation val="minMax"/>
        </c:scaling>
        <c:delete val="0"/>
        <c:axPos val="b"/>
        <c:numFmt formatCode="General" sourceLinked="1"/>
        <c:majorTickMark val="none"/>
        <c:minorTickMark val="none"/>
        <c:tickLblPos val="nextTo"/>
        <c:spPr>
          <a:noFill/>
          <a:ln w="9575" cap="flat" cmpd="sng" algn="ctr">
            <a:solidFill>
              <a:schemeClr val="lt1">
                <a:lumMod val="75000"/>
              </a:schemeClr>
            </a:solidFill>
            <a:round/>
            <a:headEnd type="none" w="sm" len="sm"/>
            <a:tailEnd type="none" w="sm" len="sm"/>
          </a:ln>
          <a:effectLst/>
        </c:spPr>
        <c:txPr>
          <a:bodyPr rot="-60000000" spcFirstLastPara="1" vertOverflow="ellipsis" vert="horz" wrap="square" anchor="ctr" anchorCtr="1"/>
          <a:lstStyle/>
          <a:p>
            <a:pPr>
              <a:defRPr sz="1100" b="1" i="0" u="none" strike="noStrike" kern="1200" cap="all" baseline="0">
                <a:solidFill>
                  <a:schemeClr val="tx1"/>
                </a:solidFill>
                <a:latin typeface="+mn-lt"/>
                <a:ea typeface="+mn-ea"/>
                <a:cs typeface="+mn-cs"/>
              </a:defRPr>
            </a:pPr>
            <a:endParaRPr lang="pl-PL"/>
          </a:p>
        </c:txPr>
        <c:crossAx val="474628320"/>
        <c:crosses val="autoZero"/>
        <c:auto val="1"/>
        <c:lblAlgn val="ctr"/>
        <c:lblOffset val="100"/>
        <c:noMultiLvlLbl val="0"/>
      </c:catAx>
      <c:valAx>
        <c:axId val="474628320"/>
        <c:scaling>
          <c:orientation val="minMax"/>
          <c:max val="3.2"/>
          <c:min val="1.8"/>
        </c:scaling>
        <c:delete val="1"/>
        <c:axPos val="l"/>
        <c:numFmt formatCode="General" sourceLinked="1"/>
        <c:majorTickMark val="out"/>
        <c:minorTickMark val="none"/>
        <c:tickLblPos val="nextTo"/>
        <c:crossAx val="474630288"/>
        <c:crosses val="autoZero"/>
        <c:crossBetween val="midCat"/>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ndard"/>
        <c:varyColors val="0"/>
        <c:ser>
          <c:idx val="0"/>
          <c:order val="0"/>
          <c:tx>
            <c:strRef>
              <c:f>Sheet1!$B$1</c:f>
              <c:strCache>
                <c:ptCount val="1"/>
                <c:pt idx="0">
                  <c:v>Series 1</c:v>
                </c:pt>
              </c:strCache>
            </c:strRef>
          </c:tx>
          <c:spPr>
            <a:gradFill>
              <a:gsLst>
                <a:gs pos="100000">
                  <a:schemeClr val="accent1"/>
                </a:gs>
                <a:gs pos="0">
                  <a:schemeClr val="accent1">
                    <a:lumMod val="75000"/>
                  </a:schemeClr>
                </a:gs>
              </a:gsLst>
              <a:lin ang="0" scaled="1"/>
            </a:gradFill>
            <a:ln>
              <a:solidFill>
                <a:schemeClr val="bg1"/>
              </a:solidFill>
            </a:ln>
            <a:effectLst>
              <a:innerShdw dist="12700" dir="16200000">
                <a:schemeClr val="lt1">
                  <a:alpha val="75000"/>
                </a:schemeClr>
              </a:innerShdw>
            </a:effectLst>
          </c:spPr>
          <c:dLbls>
            <c:dLbl>
              <c:idx val="0"/>
              <c:layout>
                <c:manualLayout>
                  <c:x val="8.3333333333333332E-3"/>
                  <c:y val="-0.282407407407407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AA-42E8-AC84-CC60FB5A8A51}"/>
                </c:ext>
              </c:extLst>
            </c:dLbl>
            <c:dLbl>
              <c:idx val="1"/>
              <c:layout>
                <c:manualLayout>
                  <c:x val="-2.7777777777778286E-3"/>
                  <c:y val="-0.259259259259259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AA-42E8-AC84-CC60FB5A8A51}"/>
                </c:ext>
              </c:extLst>
            </c:dLbl>
            <c:dLbl>
              <c:idx val="2"/>
              <c:layout>
                <c:manualLayout>
                  <c:x val="0"/>
                  <c:y val="-0.319444444444444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0AA-42E8-AC84-CC60FB5A8A51}"/>
                </c:ext>
              </c:extLst>
            </c:dLbl>
            <c:dLbl>
              <c:idx val="3"/>
              <c:layout>
                <c:manualLayout>
                  <c:x val="-5.5555555555555558E-3"/>
                  <c:y val="-0.379629629629629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0AA-42E8-AC84-CC60FB5A8A51}"/>
                </c:ext>
              </c:extLst>
            </c:dLbl>
            <c:dLbl>
              <c:idx val="4"/>
              <c:layout>
                <c:manualLayout>
                  <c:x val="0"/>
                  <c:y val="-0.404761904761904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0AA-42E8-AC84-CC60FB5A8A51}"/>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Sheet1!$A$2:$A$6</c:f>
              <c:numCache>
                <c:formatCode>General</c:formatCode>
                <c:ptCount val="5"/>
                <c:pt idx="0">
                  <c:v>2021</c:v>
                </c:pt>
                <c:pt idx="1">
                  <c:v>2022</c:v>
                </c:pt>
                <c:pt idx="2">
                  <c:v>2023</c:v>
                </c:pt>
                <c:pt idx="3">
                  <c:v>2024</c:v>
                </c:pt>
                <c:pt idx="4">
                  <c:v>2025</c:v>
                </c:pt>
              </c:numCache>
            </c:numRef>
          </c:cat>
          <c:val>
            <c:numRef>
              <c:f>Sheet1!$B$2:$B$6</c:f>
              <c:numCache>
                <c:formatCode>General</c:formatCode>
                <c:ptCount val="5"/>
                <c:pt idx="0">
                  <c:v>2.59</c:v>
                </c:pt>
                <c:pt idx="1">
                  <c:v>2.4300000000000002</c:v>
                </c:pt>
                <c:pt idx="2">
                  <c:v>2.64</c:v>
                </c:pt>
                <c:pt idx="3">
                  <c:v>2.89</c:v>
                </c:pt>
                <c:pt idx="4">
                  <c:v>3.01</c:v>
                </c:pt>
              </c:numCache>
            </c:numRef>
          </c:val>
          <c:extLst>
            <c:ext xmlns:c16="http://schemas.microsoft.com/office/drawing/2014/chart" uri="{C3380CC4-5D6E-409C-BE32-E72D297353CC}">
              <c16:uniqueId val="{00000005-00AA-42E8-AC84-CC60FB5A8A51}"/>
            </c:ext>
          </c:extLst>
        </c:ser>
        <c:dLbls>
          <c:showLegendKey val="0"/>
          <c:showVal val="1"/>
          <c:showCatName val="0"/>
          <c:showSerName val="0"/>
          <c:showPercent val="0"/>
          <c:showBubbleSize val="0"/>
        </c:dLbls>
        <c:dropLines>
          <c:spPr>
            <a:ln w="9525" cap="flat" cmpd="sng" algn="ctr">
              <a:solidFill>
                <a:schemeClr val="bg1"/>
              </a:solidFill>
              <a:round/>
            </a:ln>
            <a:effectLst/>
          </c:spPr>
        </c:dropLines>
        <c:axId val="474630288"/>
        <c:axId val="474628320"/>
      </c:areaChart>
      <c:catAx>
        <c:axId val="474630288"/>
        <c:scaling>
          <c:orientation val="minMax"/>
        </c:scaling>
        <c:delete val="0"/>
        <c:axPos val="b"/>
        <c:numFmt formatCode="General" sourceLinked="1"/>
        <c:majorTickMark val="none"/>
        <c:minorTickMark val="none"/>
        <c:tickLblPos val="nextTo"/>
        <c:spPr>
          <a:noFill/>
          <a:ln w="9575" cap="flat" cmpd="sng" algn="ctr">
            <a:solidFill>
              <a:schemeClr val="lt1">
                <a:lumMod val="75000"/>
              </a:schemeClr>
            </a:solidFill>
            <a:round/>
            <a:headEnd type="none" w="sm" len="sm"/>
            <a:tailEnd type="none" w="sm" len="sm"/>
          </a:ln>
          <a:effectLst/>
        </c:spPr>
        <c:txPr>
          <a:bodyPr rot="-60000000" spcFirstLastPara="1" vertOverflow="ellipsis" vert="horz" wrap="square" anchor="ctr" anchorCtr="1"/>
          <a:lstStyle/>
          <a:p>
            <a:pPr>
              <a:defRPr sz="1100" b="1" i="0" u="none" strike="noStrike" kern="1200" cap="all" baseline="0">
                <a:solidFill>
                  <a:schemeClr val="tx1"/>
                </a:solidFill>
                <a:latin typeface="+mn-lt"/>
                <a:ea typeface="+mn-ea"/>
                <a:cs typeface="+mn-cs"/>
              </a:defRPr>
            </a:pPr>
            <a:endParaRPr lang="pl-PL"/>
          </a:p>
        </c:txPr>
        <c:crossAx val="474628320"/>
        <c:crosses val="autoZero"/>
        <c:auto val="1"/>
        <c:lblAlgn val="ctr"/>
        <c:lblOffset val="100"/>
        <c:noMultiLvlLbl val="0"/>
      </c:catAx>
      <c:valAx>
        <c:axId val="474628320"/>
        <c:scaling>
          <c:orientation val="minMax"/>
          <c:max val="3.2"/>
          <c:min val="1.8"/>
        </c:scaling>
        <c:delete val="1"/>
        <c:axPos val="l"/>
        <c:numFmt formatCode="General" sourceLinked="1"/>
        <c:majorTickMark val="out"/>
        <c:minorTickMark val="none"/>
        <c:tickLblPos val="nextTo"/>
        <c:crossAx val="474630288"/>
        <c:crosses val="autoZero"/>
        <c:crossBetween val="midCat"/>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ndard"/>
        <c:varyColors val="0"/>
        <c:ser>
          <c:idx val="0"/>
          <c:order val="0"/>
          <c:tx>
            <c:strRef>
              <c:f>Sheet1!$B$1</c:f>
              <c:strCache>
                <c:ptCount val="1"/>
                <c:pt idx="0">
                  <c:v>Series 1</c:v>
                </c:pt>
              </c:strCache>
            </c:strRef>
          </c:tx>
          <c:spPr>
            <a:gradFill>
              <a:gsLst>
                <a:gs pos="100000">
                  <a:schemeClr val="accent1"/>
                </a:gs>
                <a:gs pos="0">
                  <a:schemeClr val="accent1">
                    <a:lumMod val="75000"/>
                  </a:schemeClr>
                </a:gs>
              </a:gsLst>
              <a:lin ang="0" scaled="1"/>
            </a:gradFill>
            <a:ln>
              <a:solidFill>
                <a:schemeClr val="bg1"/>
              </a:solidFill>
            </a:ln>
            <a:effectLst>
              <a:innerShdw dist="12700" dir="16200000">
                <a:schemeClr val="lt1">
                  <a:alpha val="75000"/>
                </a:schemeClr>
              </a:innerShdw>
            </a:effectLst>
          </c:spPr>
          <c:dLbls>
            <c:dLbl>
              <c:idx val="0"/>
              <c:layout>
                <c:manualLayout>
                  <c:x val="8.3333333333333332E-3"/>
                  <c:y val="-0.282407407407407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280-4C1A-B43D-E24C3F1EEB52}"/>
                </c:ext>
              </c:extLst>
            </c:dLbl>
            <c:dLbl>
              <c:idx val="1"/>
              <c:layout>
                <c:manualLayout>
                  <c:x val="-2.7777777777778286E-3"/>
                  <c:y val="-0.259259259259259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280-4C1A-B43D-E24C3F1EEB52}"/>
                </c:ext>
              </c:extLst>
            </c:dLbl>
            <c:dLbl>
              <c:idx val="2"/>
              <c:layout>
                <c:manualLayout>
                  <c:x val="0"/>
                  <c:y val="-0.319444444444444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280-4C1A-B43D-E24C3F1EEB52}"/>
                </c:ext>
              </c:extLst>
            </c:dLbl>
            <c:dLbl>
              <c:idx val="3"/>
              <c:layout>
                <c:manualLayout>
                  <c:x val="-5.5555555555555558E-3"/>
                  <c:y val="-0.379629629629629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280-4C1A-B43D-E24C3F1EEB52}"/>
                </c:ext>
              </c:extLst>
            </c:dLbl>
            <c:dLbl>
              <c:idx val="4"/>
              <c:layout>
                <c:manualLayout>
                  <c:x val="-6.9444444444444441E-3"/>
                  <c:y val="-0.384920634920634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280-4C1A-B43D-E24C3F1EEB52}"/>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Sheet1!$A$2:$A$6</c:f>
              <c:numCache>
                <c:formatCode>General</c:formatCode>
                <c:ptCount val="5"/>
                <c:pt idx="0">
                  <c:v>2021</c:v>
                </c:pt>
                <c:pt idx="1">
                  <c:v>2022</c:v>
                </c:pt>
                <c:pt idx="2">
                  <c:v>2023</c:v>
                </c:pt>
                <c:pt idx="3">
                  <c:v>2024</c:v>
                </c:pt>
                <c:pt idx="4">
                  <c:v>2025</c:v>
                </c:pt>
              </c:numCache>
            </c:numRef>
          </c:cat>
          <c:val>
            <c:numRef>
              <c:f>Sheet1!$B$2:$B$6</c:f>
              <c:numCache>
                <c:formatCode>General</c:formatCode>
                <c:ptCount val="5"/>
                <c:pt idx="0">
                  <c:v>2.25</c:v>
                </c:pt>
                <c:pt idx="1">
                  <c:v>2.1800000000000002</c:v>
                </c:pt>
                <c:pt idx="2">
                  <c:v>2.12</c:v>
                </c:pt>
                <c:pt idx="3">
                  <c:v>2.48</c:v>
                </c:pt>
                <c:pt idx="4">
                  <c:v>2.4700000000000002</c:v>
                </c:pt>
              </c:numCache>
            </c:numRef>
          </c:val>
          <c:extLst>
            <c:ext xmlns:c16="http://schemas.microsoft.com/office/drawing/2014/chart" uri="{C3380CC4-5D6E-409C-BE32-E72D297353CC}">
              <c16:uniqueId val="{00000005-6280-4C1A-B43D-E24C3F1EEB52}"/>
            </c:ext>
          </c:extLst>
        </c:ser>
        <c:dLbls>
          <c:showLegendKey val="0"/>
          <c:showVal val="1"/>
          <c:showCatName val="0"/>
          <c:showSerName val="0"/>
          <c:showPercent val="0"/>
          <c:showBubbleSize val="0"/>
        </c:dLbls>
        <c:dropLines>
          <c:spPr>
            <a:ln w="9525" cap="flat" cmpd="sng" algn="ctr">
              <a:solidFill>
                <a:schemeClr val="bg1"/>
              </a:solidFill>
              <a:round/>
            </a:ln>
            <a:effectLst/>
          </c:spPr>
        </c:dropLines>
        <c:axId val="474630288"/>
        <c:axId val="474628320"/>
      </c:areaChart>
      <c:catAx>
        <c:axId val="474630288"/>
        <c:scaling>
          <c:orientation val="minMax"/>
        </c:scaling>
        <c:delete val="0"/>
        <c:axPos val="b"/>
        <c:numFmt formatCode="General" sourceLinked="1"/>
        <c:majorTickMark val="none"/>
        <c:minorTickMark val="none"/>
        <c:tickLblPos val="nextTo"/>
        <c:spPr>
          <a:noFill/>
          <a:ln w="9575" cap="flat" cmpd="sng" algn="ctr">
            <a:solidFill>
              <a:schemeClr val="lt1">
                <a:lumMod val="75000"/>
              </a:schemeClr>
            </a:solidFill>
            <a:round/>
            <a:headEnd type="none" w="sm" len="sm"/>
            <a:tailEnd type="none" w="sm" len="sm"/>
          </a:ln>
          <a:effectLst/>
        </c:spPr>
        <c:txPr>
          <a:bodyPr rot="-60000000" spcFirstLastPara="1" vertOverflow="ellipsis" vert="horz" wrap="square" anchor="ctr" anchorCtr="1"/>
          <a:lstStyle/>
          <a:p>
            <a:pPr>
              <a:defRPr sz="1100" b="1" i="0" u="none" strike="noStrike" kern="1200" cap="all" baseline="0">
                <a:solidFill>
                  <a:schemeClr val="tx1"/>
                </a:solidFill>
                <a:latin typeface="+mn-lt"/>
                <a:ea typeface="+mn-ea"/>
                <a:cs typeface="+mn-cs"/>
              </a:defRPr>
            </a:pPr>
            <a:endParaRPr lang="pl-PL"/>
          </a:p>
        </c:txPr>
        <c:crossAx val="474628320"/>
        <c:crosses val="autoZero"/>
        <c:auto val="1"/>
        <c:lblAlgn val="ctr"/>
        <c:lblOffset val="100"/>
        <c:noMultiLvlLbl val="0"/>
      </c:catAx>
      <c:valAx>
        <c:axId val="474628320"/>
        <c:scaling>
          <c:orientation val="minMax"/>
          <c:max val="3.2"/>
          <c:min val="1.8"/>
        </c:scaling>
        <c:delete val="1"/>
        <c:axPos val="l"/>
        <c:numFmt formatCode="General" sourceLinked="1"/>
        <c:majorTickMark val="out"/>
        <c:minorTickMark val="none"/>
        <c:tickLblPos val="nextTo"/>
        <c:crossAx val="474630288"/>
        <c:crosses val="autoZero"/>
        <c:crossBetween val="midCat"/>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Arkusz1!$B$1</c:f>
              <c:strCache>
                <c:ptCount val="1"/>
                <c:pt idx="0">
                  <c:v>Seria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2021</c:v>
                </c:pt>
                <c:pt idx="1">
                  <c:v>2022</c:v>
                </c:pt>
                <c:pt idx="2">
                  <c:v>2023</c:v>
                </c:pt>
                <c:pt idx="3">
                  <c:v>2024</c:v>
                </c:pt>
                <c:pt idx="4">
                  <c:v>2025</c:v>
                </c:pt>
              </c:numCache>
            </c:numRef>
          </c:cat>
          <c:val>
            <c:numRef>
              <c:f>Arkusz1!$B$2:$B$6</c:f>
              <c:numCache>
                <c:formatCode>0.00%</c:formatCode>
                <c:ptCount val="5"/>
                <c:pt idx="0">
                  <c:v>0.28149999999999997</c:v>
                </c:pt>
                <c:pt idx="1">
                  <c:v>0.28310000000000002</c:v>
                </c:pt>
                <c:pt idx="2">
                  <c:v>0.23580000000000001</c:v>
                </c:pt>
                <c:pt idx="3">
                  <c:v>0.20699999999999999</c:v>
                </c:pt>
                <c:pt idx="4">
                  <c:v>0.27779999999999999</c:v>
                </c:pt>
              </c:numCache>
            </c:numRef>
          </c:val>
          <c:extLst>
            <c:ext xmlns:c16="http://schemas.microsoft.com/office/drawing/2014/chart" uri="{C3380CC4-5D6E-409C-BE32-E72D297353CC}">
              <c16:uniqueId val="{00000000-5AB2-41CB-8680-F5387C730BD4}"/>
            </c:ext>
          </c:extLst>
        </c:ser>
        <c:dLbls>
          <c:showLegendKey val="0"/>
          <c:showVal val="0"/>
          <c:showCatName val="0"/>
          <c:showSerName val="0"/>
          <c:showPercent val="0"/>
          <c:showBubbleSize val="0"/>
        </c:dLbls>
        <c:gapWidth val="150"/>
        <c:overlap val="100"/>
        <c:axId val="371747200"/>
        <c:axId val="371748184"/>
        <c:extLst/>
      </c:barChart>
      <c:catAx>
        <c:axId val="37174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371748184"/>
        <c:crosses val="autoZero"/>
        <c:auto val="1"/>
        <c:lblAlgn val="ctr"/>
        <c:lblOffset val="100"/>
        <c:noMultiLvlLbl val="0"/>
      </c:catAx>
      <c:valAx>
        <c:axId val="371748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3717472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Arkusz1!$B$1</c:f>
              <c:strCache>
                <c:ptCount val="1"/>
                <c:pt idx="0">
                  <c:v>roboty budowlane</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dLbl>
              <c:idx val="1"/>
              <c:layout>
                <c:manualLayout>
                  <c:x val="-2.8555555555555556E-2"/>
                  <c:y val="4.401611256926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E0-45CE-A0A7-AED6AB2C0D8E}"/>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2021</c:v>
                </c:pt>
                <c:pt idx="1">
                  <c:v>2022</c:v>
                </c:pt>
                <c:pt idx="2">
                  <c:v>2023</c:v>
                </c:pt>
                <c:pt idx="3">
                  <c:v>2024</c:v>
                </c:pt>
                <c:pt idx="4">
                  <c:v>2025</c:v>
                </c:pt>
              </c:strCache>
            </c:strRef>
          </c:cat>
          <c:val>
            <c:numRef>
              <c:f>Arkusz1!$B$2:$B$6</c:f>
              <c:numCache>
                <c:formatCode>0%</c:formatCode>
                <c:ptCount val="5"/>
                <c:pt idx="0">
                  <c:v>0.39</c:v>
                </c:pt>
                <c:pt idx="1">
                  <c:v>0.34</c:v>
                </c:pt>
                <c:pt idx="2">
                  <c:v>0.33</c:v>
                </c:pt>
                <c:pt idx="3">
                  <c:v>0.39</c:v>
                </c:pt>
                <c:pt idx="4">
                  <c:v>0.33</c:v>
                </c:pt>
              </c:numCache>
            </c:numRef>
          </c:val>
          <c:smooth val="0"/>
          <c:extLst>
            <c:ext xmlns:c16="http://schemas.microsoft.com/office/drawing/2014/chart" uri="{C3380CC4-5D6E-409C-BE32-E72D297353CC}">
              <c16:uniqueId val="{00000001-60E0-45CE-A0A7-AED6AB2C0D8E}"/>
            </c:ext>
          </c:extLst>
        </c:ser>
        <c:ser>
          <c:idx val="1"/>
          <c:order val="1"/>
          <c:tx>
            <c:strRef>
              <c:f>Arkusz1!$C$1</c:f>
              <c:strCache>
                <c:ptCount val="1"/>
                <c:pt idx="0">
                  <c:v>dostawy</c:v>
                </c:pt>
              </c:strCache>
            </c:strRef>
          </c:tx>
          <c:spPr>
            <a:ln w="28575" cap="rnd">
              <a:solidFill>
                <a:schemeClr val="accent2"/>
              </a:solidFill>
              <a:round/>
            </a:ln>
            <a:effectLst/>
          </c:spPr>
          <c:marker>
            <c:symbol val="square"/>
            <c:size val="7"/>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2021</c:v>
                </c:pt>
                <c:pt idx="1">
                  <c:v>2022</c:v>
                </c:pt>
                <c:pt idx="2">
                  <c:v>2023</c:v>
                </c:pt>
                <c:pt idx="3">
                  <c:v>2024</c:v>
                </c:pt>
                <c:pt idx="4">
                  <c:v>2025</c:v>
                </c:pt>
              </c:strCache>
            </c:strRef>
          </c:cat>
          <c:val>
            <c:numRef>
              <c:f>Arkusz1!$C$2:$C$6</c:f>
              <c:numCache>
                <c:formatCode>0%</c:formatCode>
                <c:ptCount val="5"/>
                <c:pt idx="0">
                  <c:v>0.31</c:v>
                </c:pt>
                <c:pt idx="1">
                  <c:v>0.37</c:v>
                </c:pt>
                <c:pt idx="2">
                  <c:v>0.39</c:v>
                </c:pt>
                <c:pt idx="3">
                  <c:v>0.34</c:v>
                </c:pt>
                <c:pt idx="4">
                  <c:v>0.4</c:v>
                </c:pt>
              </c:numCache>
            </c:numRef>
          </c:val>
          <c:smooth val="0"/>
          <c:extLst>
            <c:ext xmlns:c16="http://schemas.microsoft.com/office/drawing/2014/chart" uri="{C3380CC4-5D6E-409C-BE32-E72D297353CC}">
              <c16:uniqueId val="{00000002-60E0-45CE-A0A7-AED6AB2C0D8E}"/>
            </c:ext>
          </c:extLst>
        </c:ser>
        <c:ser>
          <c:idx val="2"/>
          <c:order val="2"/>
          <c:tx>
            <c:strRef>
              <c:f>Arkusz1!$D$1</c:f>
              <c:strCache>
                <c:ptCount val="1"/>
                <c:pt idx="0">
                  <c:v>usługi</c:v>
                </c:pt>
              </c:strCache>
            </c:strRef>
          </c:tx>
          <c:spPr>
            <a:ln w="28575" cap="rnd">
              <a:solidFill>
                <a:schemeClr val="accent3"/>
              </a:solidFill>
              <a:round/>
            </a:ln>
            <a:effectLst/>
          </c:spPr>
          <c:marker>
            <c:symbol val="triangle"/>
            <c:size val="7"/>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3"/>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2021</c:v>
                </c:pt>
                <c:pt idx="1">
                  <c:v>2022</c:v>
                </c:pt>
                <c:pt idx="2">
                  <c:v>2023</c:v>
                </c:pt>
                <c:pt idx="3">
                  <c:v>2024</c:v>
                </c:pt>
                <c:pt idx="4">
                  <c:v>2025</c:v>
                </c:pt>
              </c:strCache>
            </c:strRef>
          </c:cat>
          <c:val>
            <c:numRef>
              <c:f>Arkusz1!$D$2:$D$6</c:f>
              <c:numCache>
                <c:formatCode>0%</c:formatCode>
                <c:ptCount val="5"/>
                <c:pt idx="0">
                  <c:v>0.3</c:v>
                </c:pt>
                <c:pt idx="1">
                  <c:v>0.28999999999999998</c:v>
                </c:pt>
                <c:pt idx="2">
                  <c:v>0.28000000000000003</c:v>
                </c:pt>
                <c:pt idx="3">
                  <c:v>0.27</c:v>
                </c:pt>
                <c:pt idx="4">
                  <c:v>0.26999999999999991</c:v>
                </c:pt>
              </c:numCache>
            </c:numRef>
          </c:val>
          <c:smooth val="0"/>
          <c:extLst>
            <c:ext xmlns:c16="http://schemas.microsoft.com/office/drawing/2014/chart" uri="{C3380CC4-5D6E-409C-BE32-E72D297353CC}">
              <c16:uniqueId val="{00000003-60E0-45CE-A0A7-AED6AB2C0D8E}"/>
            </c:ext>
          </c:extLst>
        </c:ser>
        <c:dLbls>
          <c:dLblPos val="t"/>
          <c:showLegendKey val="0"/>
          <c:showVal val="1"/>
          <c:showCatName val="0"/>
          <c:showSerName val="0"/>
          <c:showPercent val="0"/>
          <c:showBubbleSize val="0"/>
        </c:dLbls>
        <c:marker val="1"/>
        <c:smooth val="0"/>
        <c:axId val="472840352"/>
        <c:axId val="472840680"/>
      </c:lineChart>
      <c:catAx>
        <c:axId val="47284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72840680"/>
        <c:crosses val="autoZero"/>
        <c:auto val="1"/>
        <c:lblAlgn val="ctr"/>
        <c:lblOffset val="100"/>
        <c:noMultiLvlLbl val="0"/>
      </c:catAx>
      <c:valAx>
        <c:axId val="472840680"/>
        <c:scaling>
          <c:orientation val="minMax"/>
          <c:max val="0.5"/>
          <c:min val="0.2"/>
        </c:scaling>
        <c:delete val="1"/>
        <c:axPos val="l"/>
        <c:numFmt formatCode="0%" sourceLinked="1"/>
        <c:majorTickMark val="none"/>
        <c:minorTickMark val="none"/>
        <c:tickLblPos val="nextTo"/>
        <c:crossAx val="4728403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249999999999999"/>
          <c:y val="2.0833333333333332E-2"/>
          <c:w val="0.5805555555555556"/>
          <c:h val="0.96759259259259256"/>
        </c:manualLayout>
      </c:layout>
      <c:doughnutChart>
        <c:varyColors val="1"/>
        <c:ser>
          <c:idx val="0"/>
          <c:order val="0"/>
          <c:tx>
            <c:strRef>
              <c:f>Arkusz1!$B$1</c:f>
              <c:strCache>
                <c:ptCount val="1"/>
                <c:pt idx="0">
                  <c:v>Seria 1</c:v>
                </c:pt>
              </c:strCache>
            </c:strRef>
          </c:tx>
          <c:explosion val="5"/>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861-48BF-8893-F4987CFAA44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861-48BF-8893-F4987CFAA44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861-48BF-8893-F4987CFAA44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861-48BF-8893-F4987CFAA441}"/>
              </c:ext>
            </c:extLst>
          </c:dPt>
          <c:dLbls>
            <c:dLbl>
              <c:idx val="0"/>
              <c:layout>
                <c:manualLayout>
                  <c:x val="-0.18333333333333332"/>
                  <c:y val="0.11574074074074082"/>
                </c:manualLayout>
              </c:layout>
              <c:showLegendKey val="0"/>
              <c:showVal val="1"/>
              <c:showCatName val="1"/>
              <c:showSerName val="0"/>
              <c:showPercent val="0"/>
              <c:showBubbleSize val="0"/>
              <c:extLst>
                <c:ext xmlns:c15="http://schemas.microsoft.com/office/drawing/2012/chart" uri="{CE6537A1-D6FC-4f65-9D91-7224C49458BB}">
                  <c15:layout>
                    <c:manualLayout>
                      <c:w val="0.23015288713910761"/>
                      <c:h val="0.12689814814814815"/>
                    </c:manualLayout>
                  </c15:layout>
                </c:ext>
                <c:ext xmlns:c16="http://schemas.microsoft.com/office/drawing/2014/chart" uri="{C3380CC4-5D6E-409C-BE32-E72D297353CC}">
                  <c16:uniqueId val="{00000001-E861-48BF-8893-F4987CFAA441}"/>
                </c:ext>
              </c:extLst>
            </c:dLbl>
            <c:dLbl>
              <c:idx val="1"/>
              <c:layout>
                <c:manualLayout>
                  <c:x val="0.14166666666666666"/>
                  <c:y val="-0.17652970627808851"/>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861-48BF-8893-F4987CFAA441}"/>
                </c:ext>
              </c:extLst>
            </c:dLbl>
            <c:dLbl>
              <c:idx val="2"/>
              <c:layout>
                <c:manualLayout>
                  <c:x val="0.17499999999999999"/>
                  <c:y val="-0.10128820261228524"/>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861-48BF-8893-F4987CFAA441}"/>
                </c:ext>
              </c:extLst>
            </c:dLbl>
            <c:dLbl>
              <c:idx val="3"/>
              <c:layout>
                <c:manualLayout>
                  <c:x val="0.20277777777777767"/>
                  <c:y val="-1.892121955461181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861-48BF-8893-F4987CFAA441}"/>
                </c:ext>
              </c:extLst>
            </c:dLbl>
            <c:dLbl>
              <c:idx val="4"/>
              <c:layout>
                <c:manualLayout>
                  <c:x val="0.20601851851851852"/>
                  <c:y val="0.1388888888888889"/>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861-48BF-8893-F4987CFAA441}"/>
                </c:ext>
              </c:extLst>
            </c:dLbl>
            <c:dLbl>
              <c:idx val="5"/>
              <c:layout>
                <c:manualLayout>
                  <c:x val="0.19907407407407407"/>
                  <c:y val="5.15873015873015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861-48BF-8893-F4987CFAA441}"/>
                </c:ext>
              </c:extLst>
            </c:dLbl>
            <c:spPr>
              <a:noFill/>
              <a:ln>
                <a:noFill/>
              </a:ln>
              <a:effectLst/>
            </c:spPr>
            <c:txPr>
              <a:bodyPr rot="0" spcFirstLastPara="1" vertOverflow="ellipsis" vert="horz" wrap="non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c15:spPr>
              </c:ext>
            </c:extLst>
          </c:dLbls>
          <c:cat>
            <c:strRef>
              <c:f>Arkusz1!$A$2:$A$7</c:f>
              <c:strCache>
                <c:ptCount val="6"/>
                <c:pt idx="0">
                  <c:v>art. 255</c:v>
                </c:pt>
                <c:pt idx="1">
                  <c:v>art. 256</c:v>
                </c:pt>
                <c:pt idx="2">
                  <c:v>art. 257</c:v>
                </c:pt>
                <c:pt idx="3">
                  <c:v>art. 258</c:v>
                </c:pt>
                <c:pt idx="4">
                  <c:v>art. 310</c:v>
                </c:pt>
                <c:pt idx="5">
                  <c:v>art. 355</c:v>
                </c:pt>
              </c:strCache>
            </c:strRef>
          </c:cat>
          <c:val>
            <c:numRef>
              <c:f>Arkusz1!$B$2:$B$7</c:f>
              <c:numCache>
                <c:formatCode>0.00%</c:formatCode>
                <c:ptCount val="6"/>
                <c:pt idx="0">
                  <c:v>0.98750000000000004</c:v>
                </c:pt>
                <c:pt idx="1">
                  <c:v>7.0000000000000001E-3</c:v>
                </c:pt>
                <c:pt idx="2">
                  <c:v>2.9999999999999997E-4</c:v>
                </c:pt>
                <c:pt idx="3">
                  <c:v>2.0000000000000001E-4</c:v>
                </c:pt>
                <c:pt idx="4">
                  <c:v>4.7999999999999996E-3</c:v>
                </c:pt>
                <c:pt idx="5">
                  <c:v>1E-4</c:v>
                </c:pt>
              </c:numCache>
            </c:numRef>
          </c:val>
          <c:extLst>
            <c:ext xmlns:c16="http://schemas.microsoft.com/office/drawing/2014/chart" uri="{C3380CC4-5D6E-409C-BE32-E72D297353CC}">
              <c16:uniqueId val="{0000000A-E861-48BF-8893-F4987CFAA441}"/>
            </c:ext>
          </c:extLst>
        </c:ser>
        <c:dLbls>
          <c:showLegendKey val="0"/>
          <c:showVal val="0"/>
          <c:showCatName val="0"/>
          <c:showSerName val="0"/>
          <c:showPercent val="0"/>
          <c:showBubbleSize val="0"/>
          <c:showLeaderLines val="1"/>
        </c:dLbls>
        <c:firstSliceAng val="55"/>
        <c:holeSize val="5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280138988308279"/>
          <c:y val="1.5306659214571043E-2"/>
          <c:w val="0.81965924003817703"/>
          <c:h val="0.96323608283141837"/>
        </c:manualLayout>
      </c:layout>
      <c:barChart>
        <c:barDir val="bar"/>
        <c:grouping val="clustered"/>
        <c:varyColors val="0"/>
        <c:ser>
          <c:idx val="0"/>
          <c:order val="0"/>
          <c:tx>
            <c:strRef>
              <c:f>Arkusz1!$B$1</c:f>
              <c:strCache>
                <c:ptCount val="1"/>
                <c:pt idx="0">
                  <c:v>Roboty budowlane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Arkusz1!$A$2:$A$13</c:f>
              <c:strCache>
                <c:ptCount val="12"/>
                <c:pt idx="0">
                  <c:v>art. 255 pkt 1</c:v>
                </c:pt>
                <c:pt idx="1">
                  <c:v>art. 255 pkt 2</c:v>
                </c:pt>
                <c:pt idx="2">
                  <c:v>art. 255 pkt 3</c:v>
                </c:pt>
                <c:pt idx="3">
                  <c:v>art. 255 pkt 4</c:v>
                </c:pt>
                <c:pt idx="4">
                  <c:v>art. 255 pkt 5</c:v>
                </c:pt>
                <c:pt idx="5">
                  <c:v>art. 255 pkt 6</c:v>
                </c:pt>
                <c:pt idx="6">
                  <c:v>art. 255 pkt 7</c:v>
                </c:pt>
                <c:pt idx="7">
                  <c:v>art. 255 pkt 8</c:v>
                </c:pt>
                <c:pt idx="8">
                  <c:v>art. 256</c:v>
                </c:pt>
                <c:pt idx="9">
                  <c:v>art. 257</c:v>
                </c:pt>
                <c:pt idx="10">
                  <c:v>art. 258</c:v>
                </c:pt>
                <c:pt idx="11">
                  <c:v>art. 310</c:v>
                </c:pt>
              </c:strCache>
            </c:strRef>
          </c:cat>
          <c:val>
            <c:numRef>
              <c:f>Arkusz1!$B$2:$B$13</c:f>
              <c:numCache>
                <c:formatCode>0.00%</c:formatCode>
                <c:ptCount val="12"/>
                <c:pt idx="0">
                  <c:v>0.21086788066640838</c:v>
                </c:pt>
                <c:pt idx="1">
                  <c:v>0.11216582719876017</c:v>
                </c:pt>
                <c:pt idx="2">
                  <c:v>0.52499031383184813</c:v>
                </c:pt>
                <c:pt idx="3">
                  <c:v>1.9372336303758234E-4</c:v>
                </c:pt>
                <c:pt idx="4">
                  <c:v>1.0751646648585819E-2</c:v>
                </c:pt>
                <c:pt idx="5">
                  <c:v>5.1724137931034482E-2</c:v>
                </c:pt>
                <c:pt idx="6">
                  <c:v>4.416892677256877E-2</c:v>
                </c:pt>
                <c:pt idx="7">
                  <c:v>8.9112746997287873E-3</c:v>
                </c:pt>
                <c:pt idx="8">
                  <c:v>1.7725687717938782E-2</c:v>
                </c:pt>
                <c:pt idx="9">
                  <c:v>3.6807438977140643E-3</c:v>
                </c:pt>
                <c:pt idx="10">
                  <c:v>2.9058504455637351E-4</c:v>
                </c:pt>
                <c:pt idx="11">
                  <c:v>1.4529252227818675E-2</c:v>
                </c:pt>
              </c:numCache>
            </c:numRef>
          </c:val>
          <c:extLst>
            <c:ext xmlns:c16="http://schemas.microsoft.com/office/drawing/2014/chart" uri="{C3380CC4-5D6E-409C-BE32-E72D297353CC}">
              <c16:uniqueId val="{00000000-C8A0-481C-980C-32B55553076A}"/>
            </c:ext>
          </c:extLst>
        </c:ser>
        <c:ser>
          <c:idx val="1"/>
          <c:order val="1"/>
          <c:tx>
            <c:strRef>
              <c:f>Arkusz1!$C$1</c:f>
              <c:strCache>
                <c:ptCount val="1"/>
                <c:pt idx="0">
                  <c:v>Dostawy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Arkusz1!$A$2:$A$13</c:f>
              <c:strCache>
                <c:ptCount val="12"/>
                <c:pt idx="0">
                  <c:v>art. 255 pkt 1</c:v>
                </c:pt>
                <c:pt idx="1">
                  <c:v>art. 255 pkt 2</c:v>
                </c:pt>
                <c:pt idx="2">
                  <c:v>art. 255 pkt 3</c:v>
                </c:pt>
                <c:pt idx="3">
                  <c:v>art. 255 pkt 4</c:v>
                </c:pt>
                <c:pt idx="4">
                  <c:v>art. 255 pkt 5</c:v>
                </c:pt>
                <c:pt idx="5">
                  <c:v>art. 255 pkt 6</c:v>
                </c:pt>
                <c:pt idx="6">
                  <c:v>art. 255 pkt 7</c:v>
                </c:pt>
                <c:pt idx="7">
                  <c:v>art. 255 pkt 8</c:v>
                </c:pt>
                <c:pt idx="8">
                  <c:v>art. 256</c:v>
                </c:pt>
                <c:pt idx="9">
                  <c:v>art. 257</c:v>
                </c:pt>
                <c:pt idx="10">
                  <c:v>art. 258</c:v>
                </c:pt>
                <c:pt idx="11">
                  <c:v>art. 310</c:v>
                </c:pt>
              </c:strCache>
            </c:strRef>
          </c:cat>
          <c:val>
            <c:numRef>
              <c:f>Arkusz1!$C$2:$C$13</c:f>
              <c:numCache>
                <c:formatCode>0.00%</c:formatCode>
                <c:ptCount val="12"/>
                <c:pt idx="0">
                  <c:v>0.40487638145152099</c:v>
                </c:pt>
                <c:pt idx="1">
                  <c:v>0.22773157115187423</c:v>
                </c:pt>
                <c:pt idx="2">
                  <c:v>0.23208385553150279</c:v>
                </c:pt>
                <c:pt idx="3">
                  <c:v>2.6204853594622309E-3</c:v>
                </c:pt>
                <c:pt idx="4">
                  <c:v>7.1778512020052414E-3</c:v>
                </c:pt>
                <c:pt idx="5">
                  <c:v>5.2956591090349781E-2</c:v>
                </c:pt>
                <c:pt idx="6">
                  <c:v>5.1202005240970717E-2</c:v>
                </c:pt>
                <c:pt idx="7">
                  <c:v>5.6511336447533323E-3</c:v>
                </c:pt>
                <c:pt idx="8">
                  <c:v>7.086703885154381E-3</c:v>
                </c:pt>
                <c:pt idx="9">
                  <c:v>9.7983365614674723E-4</c:v>
                </c:pt>
                <c:pt idx="10">
                  <c:v>4.3294975504158597E-4</c:v>
                </c:pt>
                <c:pt idx="11">
                  <c:v>7.2006380312179558E-3</c:v>
                </c:pt>
              </c:numCache>
            </c:numRef>
          </c:val>
          <c:extLst>
            <c:ext xmlns:c16="http://schemas.microsoft.com/office/drawing/2014/chart" uri="{C3380CC4-5D6E-409C-BE32-E72D297353CC}">
              <c16:uniqueId val="{00000001-C8A0-481C-980C-32B55553076A}"/>
            </c:ext>
          </c:extLst>
        </c:ser>
        <c:ser>
          <c:idx val="2"/>
          <c:order val="2"/>
          <c:tx>
            <c:strRef>
              <c:f>Arkusz1!$D$1</c:f>
              <c:strCache>
                <c:ptCount val="1"/>
                <c:pt idx="0">
                  <c:v>Usługi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3"/>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Arkusz1!$A$2:$A$13</c:f>
              <c:strCache>
                <c:ptCount val="12"/>
                <c:pt idx="0">
                  <c:v>art. 255 pkt 1</c:v>
                </c:pt>
                <c:pt idx="1">
                  <c:v>art. 255 pkt 2</c:v>
                </c:pt>
                <c:pt idx="2">
                  <c:v>art. 255 pkt 3</c:v>
                </c:pt>
                <c:pt idx="3">
                  <c:v>art. 255 pkt 4</c:v>
                </c:pt>
                <c:pt idx="4">
                  <c:v>art. 255 pkt 5</c:v>
                </c:pt>
                <c:pt idx="5">
                  <c:v>art. 255 pkt 6</c:v>
                </c:pt>
                <c:pt idx="6">
                  <c:v>art. 255 pkt 7</c:v>
                </c:pt>
                <c:pt idx="7">
                  <c:v>art. 255 pkt 8</c:v>
                </c:pt>
                <c:pt idx="8">
                  <c:v>art. 256</c:v>
                </c:pt>
                <c:pt idx="9">
                  <c:v>art. 257</c:v>
                </c:pt>
                <c:pt idx="10">
                  <c:v>art. 258</c:v>
                </c:pt>
                <c:pt idx="11">
                  <c:v>art. 310</c:v>
                </c:pt>
              </c:strCache>
            </c:strRef>
          </c:cat>
          <c:val>
            <c:numRef>
              <c:f>Arkusz1!$D$2:$D$13</c:f>
              <c:numCache>
                <c:formatCode>0.00%</c:formatCode>
                <c:ptCount val="12"/>
                <c:pt idx="0">
                  <c:v>0.38223850593346737</c:v>
                </c:pt>
                <c:pt idx="1">
                  <c:v>0.20799559042863627</c:v>
                </c:pt>
                <c:pt idx="2">
                  <c:v>0.29417677193437519</c:v>
                </c:pt>
                <c:pt idx="3">
                  <c:v>3.8259516244082744E-3</c:v>
                </c:pt>
                <c:pt idx="4">
                  <c:v>1.0440308669995461E-2</c:v>
                </c:pt>
                <c:pt idx="5">
                  <c:v>4.8148628493612608E-2</c:v>
                </c:pt>
                <c:pt idx="6">
                  <c:v>3.4498411257376307E-2</c:v>
                </c:pt>
                <c:pt idx="7">
                  <c:v>6.7440503209908569E-3</c:v>
                </c:pt>
                <c:pt idx="8">
                  <c:v>1.0602425264250049E-2</c:v>
                </c:pt>
                <c:pt idx="9">
                  <c:v>1.6211659425458791E-4</c:v>
                </c:pt>
                <c:pt idx="10">
                  <c:v>3.566565073600934E-4</c:v>
                </c:pt>
                <c:pt idx="11">
                  <c:v>8.1058297127293948E-4</c:v>
                </c:pt>
              </c:numCache>
            </c:numRef>
          </c:val>
          <c:extLst>
            <c:ext xmlns:c16="http://schemas.microsoft.com/office/drawing/2014/chart" uri="{C3380CC4-5D6E-409C-BE32-E72D297353CC}">
              <c16:uniqueId val="{00000002-C8A0-481C-980C-32B55553076A}"/>
            </c:ext>
          </c:extLst>
        </c:ser>
        <c:dLbls>
          <c:showLegendKey val="0"/>
          <c:showVal val="0"/>
          <c:showCatName val="0"/>
          <c:showSerName val="0"/>
          <c:showPercent val="0"/>
          <c:showBubbleSize val="0"/>
        </c:dLbls>
        <c:gapWidth val="90"/>
        <c:overlap val="-20"/>
        <c:axId val="472041360"/>
        <c:axId val="472043328"/>
      </c:barChart>
      <c:catAx>
        <c:axId val="4720413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472043328"/>
        <c:crosses val="autoZero"/>
        <c:auto val="1"/>
        <c:lblAlgn val="ctr"/>
        <c:lblOffset val="100"/>
        <c:noMultiLvlLbl val="0"/>
      </c:catAx>
      <c:valAx>
        <c:axId val="472043328"/>
        <c:scaling>
          <c:orientation val="minMax"/>
          <c:max val="0.65000000000000013"/>
        </c:scaling>
        <c:delete val="1"/>
        <c:axPos val="t"/>
        <c:majorGridlines>
          <c:spPr>
            <a:ln w="9525" cap="flat" cmpd="sng" algn="ctr">
              <a:noFill/>
              <a:round/>
            </a:ln>
            <a:effectLst/>
          </c:spPr>
        </c:majorGridlines>
        <c:numFmt formatCode="0%" sourceLinked="0"/>
        <c:majorTickMark val="out"/>
        <c:minorTickMark val="none"/>
        <c:tickLblPos val="nextTo"/>
        <c:crossAx val="472041360"/>
        <c:crosses val="autoZero"/>
        <c:crossBetween val="between"/>
        <c:majorUnit val="5.000000000000001E-2"/>
      </c:valAx>
      <c:spPr>
        <a:noFill/>
        <a:ln>
          <a:noFill/>
        </a:ln>
        <a:effectLst/>
      </c:spPr>
    </c:plotArea>
    <c:legend>
      <c:legendPos val="b"/>
      <c:legendEntry>
        <c:idx val="0"/>
        <c:txPr>
          <a:bodyPr rot="0" spcFirstLastPara="1" vertOverflow="ellipsis" vert="horz" wrap="square" anchor="ctr" anchorCtr="1"/>
          <a:lstStyle/>
          <a:p>
            <a:pPr>
              <a:defRPr sz="1000" b="1" i="0" u="none" strike="noStrike" kern="1200" baseline="0">
                <a:solidFill>
                  <a:schemeClr val="accent1"/>
                </a:solidFill>
                <a:latin typeface="+mn-lt"/>
                <a:ea typeface="+mn-ea"/>
                <a:cs typeface="+mn-cs"/>
              </a:defRPr>
            </a:pPr>
            <a:endParaRPr lang="pl-PL"/>
          </a:p>
        </c:txPr>
      </c:legendEntry>
      <c:legendEntry>
        <c:idx val="1"/>
        <c:txPr>
          <a:bodyPr rot="0" spcFirstLastPara="1" vertOverflow="ellipsis" vert="horz" wrap="square" anchor="ctr" anchorCtr="1"/>
          <a:lstStyle/>
          <a:p>
            <a:pPr>
              <a:defRPr sz="1000" b="1" i="0" u="none" strike="noStrike" kern="1200" baseline="0">
                <a:solidFill>
                  <a:schemeClr val="accent2"/>
                </a:solidFill>
                <a:latin typeface="+mn-lt"/>
                <a:ea typeface="+mn-ea"/>
                <a:cs typeface="+mn-cs"/>
              </a:defRPr>
            </a:pPr>
            <a:endParaRPr lang="pl-PL"/>
          </a:p>
        </c:txPr>
      </c:legendEntry>
      <c:legendEntry>
        <c:idx val="2"/>
        <c:txPr>
          <a:bodyPr rot="0" spcFirstLastPara="1" vertOverflow="ellipsis" vert="horz" wrap="square" anchor="ctr" anchorCtr="1"/>
          <a:lstStyle/>
          <a:p>
            <a:pPr>
              <a:defRPr sz="1000" b="1" i="0" u="none" strike="noStrike" kern="1200" baseline="0">
                <a:solidFill>
                  <a:schemeClr val="accent3"/>
                </a:solidFill>
                <a:latin typeface="+mn-lt"/>
                <a:ea typeface="+mn-ea"/>
                <a:cs typeface="+mn-cs"/>
              </a:defRPr>
            </a:pPr>
            <a:endParaRPr lang="pl-PL"/>
          </a:p>
        </c:txPr>
      </c:legendEntry>
      <c:layout>
        <c:manualLayout>
          <c:xMode val="edge"/>
          <c:yMode val="edge"/>
          <c:x val="0.74648987842036985"/>
          <c:y val="0.7918110710844688"/>
          <c:w val="0.25351011655988925"/>
          <c:h val="0.12288338102061258"/>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Seria 1</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D52-43CF-B4A0-834B480D0461}"/>
              </c:ext>
            </c:extLst>
          </c:dPt>
          <c:dPt>
            <c:idx val="1"/>
            <c:bubble3D val="0"/>
            <c:spPr>
              <a:solidFill>
                <a:schemeClr val="bg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6D52-43CF-B4A0-834B480D0461}"/>
              </c:ext>
            </c:extLst>
          </c:dPt>
          <c:dLbls>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52-43CF-B4A0-834B480D0461}"/>
                </c:ext>
              </c:extLst>
            </c:dLbl>
            <c:dLbl>
              <c:idx val="1"/>
              <c:delete val="1"/>
              <c:extLst>
                <c:ext xmlns:c15="http://schemas.microsoft.com/office/drawing/2012/chart" uri="{CE6537A1-D6FC-4f65-9D91-7224C49458BB}"/>
                <c:ext xmlns:c16="http://schemas.microsoft.com/office/drawing/2014/chart" uri="{C3380CC4-5D6E-409C-BE32-E72D297353CC}">
                  <c16:uniqueId val="{00000003-6D52-43CF-B4A0-834B480D0461}"/>
                </c:ext>
              </c:extLst>
            </c:dLbl>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extLst>
          </c:dLbls>
          <c:cat>
            <c:strRef>
              <c:f>Arkusz1!$A$2:$A$3</c:f>
              <c:strCache>
                <c:ptCount val="2"/>
                <c:pt idx="0">
                  <c:v>Kategoria 1</c:v>
                </c:pt>
                <c:pt idx="1">
                  <c:v>Kategoria 2</c:v>
                </c:pt>
              </c:strCache>
            </c:strRef>
          </c:cat>
          <c:val>
            <c:numRef>
              <c:f>Arkusz1!$B$2:$B$3</c:f>
              <c:numCache>
                <c:formatCode>0%</c:formatCode>
                <c:ptCount val="2"/>
                <c:pt idx="0">
                  <c:v>0.87</c:v>
                </c:pt>
                <c:pt idx="1">
                  <c:v>0.13</c:v>
                </c:pt>
              </c:numCache>
            </c:numRef>
          </c:val>
          <c:extLst>
            <c:ext xmlns:c16="http://schemas.microsoft.com/office/drawing/2014/chart" uri="{C3380CC4-5D6E-409C-BE32-E72D297353CC}">
              <c16:uniqueId val="{00000004-6D52-43CF-B4A0-834B480D0461}"/>
            </c:ext>
          </c:extLst>
        </c:ser>
        <c:dLbls>
          <c:showLegendKey val="0"/>
          <c:showVal val="1"/>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chemeClr val="accent1"/>
            </a:solidFill>
            <a:ln>
              <a:noFill/>
            </a:ln>
            <a:effectLst/>
          </c:spPr>
          <c:invertIfNegative val="0"/>
          <c:dPt>
            <c:idx val="1"/>
            <c:invertIfNegative val="0"/>
            <c:bubble3D val="0"/>
            <c:spPr>
              <a:solidFill>
                <a:srgbClr val="ED7D31"/>
              </a:solidFill>
              <a:ln>
                <a:noFill/>
              </a:ln>
              <a:effectLst/>
            </c:spPr>
            <c:extLst>
              <c:ext xmlns:c16="http://schemas.microsoft.com/office/drawing/2014/chart" uri="{C3380CC4-5D6E-409C-BE32-E72D297353CC}">
                <c16:uniqueId val="{00000001-C6DF-4E1B-80A1-73986BC488A5}"/>
              </c:ext>
            </c:extLst>
          </c:dPt>
          <c:dPt>
            <c:idx val="2"/>
            <c:invertIfNegative val="0"/>
            <c:bubble3D val="0"/>
            <c:spPr>
              <a:solidFill>
                <a:srgbClr val="A5A5A5"/>
              </a:solidFill>
              <a:ln>
                <a:noFill/>
              </a:ln>
              <a:effectLst/>
            </c:spPr>
            <c:extLst>
              <c:ext xmlns:c16="http://schemas.microsoft.com/office/drawing/2014/chart" uri="{C3380CC4-5D6E-409C-BE32-E72D297353CC}">
                <c16:uniqueId val="{00000003-C6DF-4E1B-80A1-73986BC488A5}"/>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Roboty budowlane</c:v>
                </c:pt>
                <c:pt idx="1">
                  <c:v>Dostawy</c:v>
                </c:pt>
                <c:pt idx="2">
                  <c:v>Usługi</c:v>
                </c:pt>
              </c:strCache>
            </c:strRef>
          </c:cat>
          <c:val>
            <c:numRef>
              <c:f>Arkusz1!$B$2:$B$4</c:f>
              <c:numCache>
                <c:formatCode>0%</c:formatCode>
                <c:ptCount val="3"/>
                <c:pt idx="0">
                  <c:v>0.95</c:v>
                </c:pt>
                <c:pt idx="1">
                  <c:v>0.84</c:v>
                </c:pt>
                <c:pt idx="2">
                  <c:v>0.85</c:v>
                </c:pt>
              </c:numCache>
            </c:numRef>
          </c:val>
          <c:extLst>
            <c:ext xmlns:c16="http://schemas.microsoft.com/office/drawing/2014/chart" uri="{C3380CC4-5D6E-409C-BE32-E72D297353CC}">
              <c16:uniqueId val="{00000004-C6DF-4E1B-80A1-73986BC488A5}"/>
            </c:ext>
          </c:extLst>
        </c:ser>
        <c:dLbls>
          <c:dLblPos val="ctr"/>
          <c:showLegendKey val="0"/>
          <c:showVal val="1"/>
          <c:showCatName val="0"/>
          <c:showSerName val="0"/>
          <c:showPercent val="0"/>
          <c:showBubbleSize val="0"/>
        </c:dLbls>
        <c:gapWidth val="100"/>
        <c:overlap val="-27"/>
        <c:axId val="421912312"/>
        <c:axId val="421909360"/>
      </c:barChart>
      <c:catAx>
        <c:axId val="421912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21909360"/>
        <c:crosses val="autoZero"/>
        <c:auto val="1"/>
        <c:lblAlgn val="ctr"/>
        <c:lblOffset val="100"/>
        <c:noMultiLvlLbl val="0"/>
      </c:catAx>
      <c:valAx>
        <c:axId val="421909360"/>
        <c:scaling>
          <c:orientation val="minMax"/>
          <c:min val="0"/>
        </c:scaling>
        <c:delete val="1"/>
        <c:axPos val="l"/>
        <c:numFmt formatCode="0%" sourceLinked="1"/>
        <c:majorTickMark val="none"/>
        <c:minorTickMark val="none"/>
        <c:tickLblPos val="nextTo"/>
        <c:crossAx val="4219123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Odsetek liczby</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Roboty budowlane</c:v>
                </c:pt>
                <c:pt idx="1">
                  <c:v>Dostawy</c:v>
                </c:pt>
                <c:pt idx="2">
                  <c:v>Usługi</c:v>
                </c:pt>
                <c:pt idx="3">
                  <c:v>Ogółem</c:v>
                </c:pt>
              </c:strCache>
            </c:strRef>
          </c:cat>
          <c:val>
            <c:numRef>
              <c:f>Arkusz1!$B$2:$B$5</c:f>
              <c:numCache>
                <c:formatCode>0.00%</c:formatCode>
                <c:ptCount val="4"/>
                <c:pt idx="0">
                  <c:v>0.82450000000000001</c:v>
                </c:pt>
                <c:pt idx="1">
                  <c:v>0.58420000000000005</c:v>
                </c:pt>
                <c:pt idx="2">
                  <c:v>0.63090000000000002</c:v>
                </c:pt>
                <c:pt idx="3">
                  <c:v>0.64870000000000005</c:v>
                </c:pt>
              </c:numCache>
            </c:numRef>
          </c:val>
          <c:extLst>
            <c:ext xmlns:c16="http://schemas.microsoft.com/office/drawing/2014/chart" uri="{C3380CC4-5D6E-409C-BE32-E72D297353CC}">
              <c16:uniqueId val="{00000000-253E-4406-B6C6-A0D340AB0B7A}"/>
            </c:ext>
          </c:extLst>
        </c:ser>
        <c:ser>
          <c:idx val="1"/>
          <c:order val="1"/>
          <c:tx>
            <c:strRef>
              <c:f>Arkusz1!$C$1</c:f>
              <c:strCache>
                <c:ptCount val="1"/>
                <c:pt idx="0">
                  <c:v>Odsetek wartości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Roboty budowlane</c:v>
                </c:pt>
                <c:pt idx="1">
                  <c:v>Dostawy</c:v>
                </c:pt>
                <c:pt idx="2">
                  <c:v>Usługi</c:v>
                </c:pt>
                <c:pt idx="3">
                  <c:v>Ogółem</c:v>
                </c:pt>
              </c:strCache>
            </c:strRef>
          </c:cat>
          <c:val>
            <c:numRef>
              <c:f>Arkusz1!$C$2:$C$5</c:f>
              <c:numCache>
                <c:formatCode>0.00%</c:formatCode>
                <c:ptCount val="4"/>
                <c:pt idx="0">
                  <c:v>0.79259999999999997</c:v>
                </c:pt>
                <c:pt idx="1">
                  <c:v>0.60419999999999996</c:v>
                </c:pt>
                <c:pt idx="2">
                  <c:v>0.65300000000000002</c:v>
                </c:pt>
                <c:pt idx="3">
                  <c:v>0.73619999999999997</c:v>
                </c:pt>
              </c:numCache>
            </c:numRef>
          </c:val>
          <c:extLst>
            <c:ext xmlns:c16="http://schemas.microsoft.com/office/drawing/2014/chart" uri="{C3380CC4-5D6E-409C-BE32-E72D297353CC}">
              <c16:uniqueId val="{00000001-253E-4406-B6C6-A0D340AB0B7A}"/>
            </c:ext>
          </c:extLst>
        </c:ser>
        <c:dLbls>
          <c:dLblPos val="outEnd"/>
          <c:showLegendKey val="0"/>
          <c:showVal val="1"/>
          <c:showCatName val="0"/>
          <c:showSerName val="0"/>
          <c:showPercent val="0"/>
          <c:showBubbleSize val="0"/>
        </c:dLbls>
        <c:gapWidth val="100"/>
        <c:overlap val="-18"/>
        <c:axId val="496943384"/>
        <c:axId val="496945024"/>
      </c:barChart>
      <c:catAx>
        <c:axId val="4969433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96945024"/>
        <c:crosses val="autoZero"/>
        <c:auto val="1"/>
        <c:lblAlgn val="ctr"/>
        <c:lblOffset val="100"/>
        <c:noMultiLvlLbl val="0"/>
      </c:catAx>
      <c:valAx>
        <c:axId val="496945024"/>
        <c:scaling>
          <c:orientation val="minMax"/>
        </c:scaling>
        <c:delete val="1"/>
        <c:axPos val="t"/>
        <c:numFmt formatCode="0.00%" sourceLinked="1"/>
        <c:majorTickMark val="none"/>
        <c:minorTickMark val="none"/>
        <c:tickLblPos val="nextTo"/>
        <c:crossAx val="496943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Seria 1</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CF0-4DF7-B8B1-B4232135E955}"/>
              </c:ext>
            </c:extLst>
          </c:dPt>
          <c:dPt>
            <c:idx val="1"/>
            <c:bubble3D val="0"/>
            <c:spPr>
              <a:solidFill>
                <a:schemeClr val="bg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6CF0-4DF7-B8B1-B4232135E955}"/>
              </c:ext>
            </c:extLst>
          </c:dPt>
          <c:dLbls>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F0-4DF7-B8B1-B4232135E955}"/>
                </c:ext>
              </c:extLst>
            </c:dLbl>
            <c:dLbl>
              <c:idx val="1"/>
              <c:delete val="1"/>
              <c:extLst>
                <c:ext xmlns:c15="http://schemas.microsoft.com/office/drawing/2012/chart" uri="{CE6537A1-D6FC-4f65-9D91-7224C49458BB}"/>
                <c:ext xmlns:c16="http://schemas.microsoft.com/office/drawing/2014/chart" uri="{C3380CC4-5D6E-409C-BE32-E72D297353CC}">
                  <c16:uniqueId val="{00000003-6CF0-4DF7-B8B1-B4232135E955}"/>
                </c:ext>
              </c:extLst>
            </c:dLbl>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extLst>
          </c:dLbls>
          <c:cat>
            <c:strRef>
              <c:f>Arkusz1!$A$2:$A$3</c:f>
              <c:strCache>
                <c:ptCount val="2"/>
                <c:pt idx="0">
                  <c:v>Kategoria 1</c:v>
                </c:pt>
                <c:pt idx="1">
                  <c:v>Kategoria 2</c:v>
                </c:pt>
              </c:strCache>
            </c:strRef>
          </c:cat>
          <c:val>
            <c:numRef>
              <c:f>Arkusz1!$B$2:$B$3</c:f>
              <c:numCache>
                <c:formatCode>0%</c:formatCode>
                <c:ptCount val="2"/>
                <c:pt idx="0">
                  <c:v>0.56000000000000005</c:v>
                </c:pt>
                <c:pt idx="1">
                  <c:v>0.44</c:v>
                </c:pt>
              </c:numCache>
            </c:numRef>
          </c:val>
          <c:extLst>
            <c:ext xmlns:c16="http://schemas.microsoft.com/office/drawing/2014/chart" uri="{C3380CC4-5D6E-409C-BE32-E72D297353CC}">
              <c16:uniqueId val="{00000004-6CF0-4DF7-B8B1-B4232135E955}"/>
            </c:ext>
          </c:extLst>
        </c:ser>
        <c:dLbls>
          <c:showLegendKey val="0"/>
          <c:showVal val="1"/>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chemeClr val="accent1"/>
            </a:solidFill>
            <a:ln>
              <a:noFill/>
            </a:ln>
            <a:effectLst/>
          </c:spPr>
          <c:invertIfNegative val="0"/>
          <c:dPt>
            <c:idx val="1"/>
            <c:invertIfNegative val="0"/>
            <c:bubble3D val="0"/>
            <c:spPr>
              <a:solidFill>
                <a:srgbClr val="ED7D31"/>
              </a:solidFill>
              <a:ln>
                <a:noFill/>
              </a:ln>
              <a:effectLst/>
            </c:spPr>
            <c:extLst>
              <c:ext xmlns:c16="http://schemas.microsoft.com/office/drawing/2014/chart" uri="{C3380CC4-5D6E-409C-BE32-E72D297353CC}">
                <c16:uniqueId val="{00000001-8430-4A0B-B605-3EDA747819BE}"/>
              </c:ext>
            </c:extLst>
          </c:dPt>
          <c:dPt>
            <c:idx val="2"/>
            <c:invertIfNegative val="0"/>
            <c:bubble3D val="0"/>
            <c:spPr>
              <a:solidFill>
                <a:srgbClr val="A5A5A5"/>
              </a:solidFill>
              <a:ln>
                <a:noFill/>
              </a:ln>
              <a:effectLst/>
            </c:spPr>
            <c:extLst>
              <c:ext xmlns:c16="http://schemas.microsoft.com/office/drawing/2014/chart" uri="{C3380CC4-5D6E-409C-BE32-E72D297353CC}">
                <c16:uniqueId val="{00000003-8430-4A0B-B605-3EDA747819BE}"/>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Roboty budowlane</c:v>
                </c:pt>
                <c:pt idx="1">
                  <c:v>Dostawy</c:v>
                </c:pt>
                <c:pt idx="2">
                  <c:v>Usługi</c:v>
                </c:pt>
              </c:strCache>
            </c:strRef>
          </c:cat>
          <c:val>
            <c:numRef>
              <c:f>Arkusz1!$B$2:$B$4</c:f>
              <c:numCache>
                <c:formatCode>0%</c:formatCode>
                <c:ptCount val="3"/>
                <c:pt idx="0">
                  <c:v>0.71</c:v>
                </c:pt>
                <c:pt idx="1">
                  <c:v>0.67</c:v>
                </c:pt>
                <c:pt idx="2">
                  <c:v>0.73</c:v>
                </c:pt>
              </c:numCache>
            </c:numRef>
          </c:val>
          <c:extLst>
            <c:ext xmlns:c16="http://schemas.microsoft.com/office/drawing/2014/chart" uri="{C3380CC4-5D6E-409C-BE32-E72D297353CC}">
              <c16:uniqueId val="{00000004-8430-4A0B-B605-3EDA747819BE}"/>
            </c:ext>
          </c:extLst>
        </c:ser>
        <c:dLbls>
          <c:dLblPos val="ctr"/>
          <c:showLegendKey val="0"/>
          <c:showVal val="1"/>
          <c:showCatName val="0"/>
          <c:showSerName val="0"/>
          <c:showPercent val="0"/>
          <c:showBubbleSize val="0"/>
        </c:dLbls>
        <c:gapWidth val="100"/>
        <c:overlap val="-27"/>
        <c:axId val="421912312"/>
        <c:axId val="421909360"/>
      </c:barChart>
      <c:catAx>
        <c:axId val="421912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21909360"/>
        <c:crosses val="autoZero"/>
        <c:auto val="1"/>
        <c:lblAlgn val="ctr"/>
        <c:lblOffset val="100"/>
        <c:noMultiLvlLbl val="0"/>
      </c:catAx>
      <c:valAx>
        <c:axId val="421909360"/>
        <c:scaling>
          <c:orientation val="minMax"/>
          <c:min val="0"/>
        </c:scaling>
        <c:delete val="1"/>
        <c:axPos val="l"/>
        <c:numFmt formatCode="0%" sourceLinked="1"/>
        <c:majorTickMark val="none"/>
        <c:minorTickMark val="none"/>
        <c:tickLblPos val="nextTo"/>
        <c:crossAx val="4219123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Odsetek liczby</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Roboty budowlane</c:v>
                </c:pt>
                <c:pt idx="1">
                  <c:v>Dostawy</c:v>
                </c:pt>
                <c:pt idx="2">
                  <c:v>Usługi</c:v>
                </c:pt>
                <c:pt idx="3">
                  <c:v>Ogółem</c:v>
                </c:pt>
              </c:strCache>
            </c:strRef>
          </c:cat>
          <c:val>
            <c:numRef>
              <c:f>Arkusz1!$B$2:$B$5</c:f>
              <c:numCache>
                <c:formatCode>0.00%</c:formatCode>
                <c:ptCount val="4"/>
                <c:pt idx="0">
                  <c:v>0.70730000000000004</c:v>
                </c:pt>
                <c:pt idx="1">
                  <c:v>0.72460000000000002</c:v>
                </c:pt>
                <c:pt idx="2">
                  <c:v>0.75239999999999996</c:v>
                </c:pt>
                <c:pt idx="3">
                  <c:v>0.73560000000000003</c:v>
                </c:pt>
              </c:numCache>
            </c:numRef>
          </c:val>
          <c:extLst>
            <c:ext xmlns:c16="http://schemas.microsoft.com/office/drawing/2014/chart" uri="{C3380CC4-5D6E-409C-BE32-E72D297353CC}">
              <c16:uniqueId val="{00000000-6F45-4990-BF27-F8911D228EF6}"/>
            </c:ext>
          </c:extLst>
        </c:ser>
        <c:ser>
          <c:idx val="1"/>
          <c:order val="1"/>
          <c:tx>
            <c:strRef>
              <c:f>Arkusz1!$C$1</c:f>
              <c:strCache>
                <c:ptCount val="1"/>
                <c:pt idx="0">
                  <c:v>Odsetek wartości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Roboty budowlane</c:v>
                </c:pt>
                <c:pt idx="1">
                  <c:v>Dostawy</c:v>
                </c:pt>
                <c:pt idx="2">
                  <c:v>Usługi</c:v>
                </c:pt>
                <c:pt idx="3">
                  <c:v>Ogółem</c:v>
                </c:pt>
              </c:strCache>
            </c:strRef>
          </c:cat>
          <c:val>
            <c:numRef>
              <c:f>Arkusz1!$C$2:$C$5</c:f>
              <c:numCache>
                <c:formatCode>0.00%</c:formatCode>
                <c:ptCount val="4"/>
                <c:pt idx="0">
                  <c:v>0.39079999999999998</c:v>
                </c:pt>
                <c:pt idx="1">
                  <c:v>0.50449999999999995</c:v>
                </c:pt>
                <c:pt idx="2">
                  <c:v>0.46100000000000002</c:v>
                </c:pt>
                <c:pt idx="3">
                  <c:v>0.46479999999999999</c:v>
                </c:pt>
              </c:numCache>
            </c:numRef>
          </c:val>
          <c:extLst>
            <c:ext xmlns:c16="http://schemas.microsoft.com/office/drawing/2014/chart" uri="{C3380CC4-5D6E-409C-BE32-E72D297353CC}">
              <c16:uniqueId val="{00000001-6F45-4990-BF27-F8911D228EF6}"/>
            </c:ext>
          </c:extLst>
        </c:ser>
        <c:dLbls>
          <c:dLblPos val="outEnd"/>
          <c:showLegendKey val="0"/>
          <c:showVal val="1"/>
          <c:showCatName val="0"/>
          <c:showSerName val="0"/>
          <c:showPercent val="0"/>
          <c:showBubbleSize val="0"/>
        </c:dLbls>
        <c:gapWidth val="100"/>
        <c:overlap val="-18"/>
        <c:axId val="496943384"/>
        <c:axId val="496945024"/>
      </c:barChart>
      <c:catAx>
        <c:axId val="4969433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96945024"/>
        <c:crosses val="autoZero"/>
        <c:auto val="1"/>
        <c:lblAlgn val="ctr"/>
        <c:lblOffset val="100"/>
        <c:noMultiLvlLbl val="0"/>
      </c:catAx>
      <c:valAx>
        <c:axId val="496945024"/>
        <c:scaling>
          <c:orientation val="minMax"/>
        </c:scaling>
        <c:delete val="1"/>
        <c:axPos val="t"/>
        <c:numFmt formatCode="0.00%" sourceLinked="1"/>
        <c:majorTickMark val="none"/>
        <c:minorTickMark val="none"/>
        <c:tickLblPos val="nextTo"/>
        <c:crossAx val="496943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9386243998380284E-2"/>
          <c:y val="6.8352687668941916E-3"/>
          <c:w val="0.93766332587616319"/>
          <c:h val="0.87997949338135739"/>
        </c:manualLayout>
      </c:layout>
      <c:barChart>
        <c:barDir val="col"/>
        <c:grouping val="clustered"/>
        <c:varyColors val="0"/>
        <c:ser>
          <c:idx val="0"/>
          <c:order val="0"/>
          <c:tx>
            <c:strRef>
              <c:f>Arkusz1!$A$21</c:f>
              <c:strCache>
                <c:ptCount val="1"/>
                <c:pt idx="0">
                  <c:v>rob. budowlane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Arkusz1!$E$20:$I$20</c:f>
              <c:numCache>
                <c:formatCode>General</c:formatCode>
                <c:ptCount val="5"/>
                <c:pt idx="0">
                  <c:v>2021</c:v>
                </c:pt>
                <c:pt idx="1">
                  <c:v>2022</c:v>
                </c:pt>
                <c:pt idx="2">
                  <c:v>2023</c:v>
                </c:pt>
                <c:pt idx="3">
                  <c:v>2024</c:v>
                </c:pt>
                <c:pt idx="4">
                  <c:v>2025</c:v>
                </c:pt>
              </c:numCache>
            </c:numRef>
          </c:cat>
          <c:val>
            <c:numRef>
              <c:f>Arkusz1!$E$21:$I$21</c:f>
              <c:numCache>
                <c:formatCode>#,##0</c:formatCode>
                <c:ptCount val="5"/>
                <c:pt idx="0">
                  <c:v>1029</c:v>
                </c:pt>
                <c:pt idx="1">
                  <c:v>761</c:v>
                </c:pt>
                <c:pt idx="2">
                  <c:v>974</c:v>
                </c:pt>
                <c:pt idx="3">
                  <c:v>1309</c:v>
                </c:pt>
                <c:pt idx="4">
                  <c:v>1630</c:v>
                </c:pt>
              </c:numCache>
            </c:numRef>
          </c:val>
          <c:extLst>
            <c:ext xmlns:c16="http://schemas.microsoft.com/office/drawing/2014/chart" uri="{C3380CC4-5D6E-409C-BE32-E72D297353CC}">
              <c16:uniqueId val="{00000000-9262-4F3C-90A1-EB78292CC432}"/>
            </c:ext>
          </c:extLst>
        </c:ser>
        <c:ser>
          <c:idx val="1"/>
          <c:order val="1"/>
          <c:tx>
            <c:strRef>
              <c:f>Arkusz1!$A$22</c:f>
              <c:strCache>
                <c:ptCount val="1"/>
                <c:pt idx="0">
                  <c:v>dostawy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Arkusz1!$E$20:$I$20</c:f>
              <c:numCache>
                <c:formatCode>General</c:formatCode>
                <c:ptCount val="5"/>
                <c:pt idx="0">
                  <c:v>2021</c:v>
                </c:pt>
                <c:pt idx="1">
                  <c:v>2022</c:v>
                </c:pt>
                <c:pt idx="2">
                  <c:v>2023</c:v>
                </c:pt>
                <c:pt idx="3">
                  <c:v>2024</c:v>
                </c:pt>
                <c:pt idx="4">
                  <c:v>2025</c:v>
                </c:pt>
              </c:numCache>
            </c:numRef>
          </c:cat>
          <c:val>
            <c:numRef>
              <c:f>Arkusz1!$E$22:$I$22</c:f>
              <c:numCache>
                <c:formatCode>#,##0</c:formatCode>
                <c:ptCount val="5"/>
                <c:pt idx="0">
                  <c:v>1105</c:v>
                </c:pt>
                <c:pt idx="1">
                  <c:v>878</c:v>
                </c:pt>
                <c:pt idx="2">
                  <c:v>1150</c:v>
                </c:pt>
                <c:pt idx="3">
                  <c:v>1470</c:v>
                </c:pt>
                <c:pt idx="4">
                  <c:v>1634</c:v>
                </c:pt>
              </c:numCache>
            </c:numRef>
          </c:val>
          <c:extLst>
            <c:ext xmlns:c16="http://schemas.microsoft.com/office/drawing/2014/chart" uri="{C3380CC4-5D6E-409C-BE32-E72D297353CC}">
              <c16:uniqueId val="{00000001-9262-4F3C-90A1-EB78292CC432}"/>
            </c:ext>
          </c:extLst>
        </c:ser>
        <c:ser>
          <c:idx val="2"/>
          <c:order val="2"/>
          <c:tx>
            <c:strRef>
              <c:f>Arkusz1!$A$23</c:f>
              <c:strCache>
                <c:ptCount val="1"/>
                <c:pt idx="0">
                  <c:v>usługi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Arkusz1!$E$20:$I$20</c:f>
              <c:numCache>
                <c:formatCode>General</c:formatCode>
                <c:ptCount val="5"/>
                <c:pt idx="0">
                  <c:v>2021</c:v>
                </c:pt>
                <c:pt idx="1">
                  <c:v>2022</c:v>
                </c:pt>
                <c:pt idx="2">
                  <c:v>2023</c:v>
                </c:pt>
                <c:pt idx="3">
                  <c:v>2024</c:v>
                </c:pt>
                <c:pt idx="4">
                  <c:v>2025</c:v>
                </c:pt>
              </c:numCache>
            </c:numRef>
          </c:cat>
          <c:val>
            <c:numRef>
              <c:f>Arkusz1!$E$23:$I$23</c:f>
              <c:numCache>
                <c:formatCode>#,##0</c:formatCode>
                <c:ptCount val="5"/>
                <c:pt idx="0">
                  <c:v>1677</c:v>
                </c:pt>
                <c:pt idx="1">
                  <c:v>1891</c:v>
                </c:pt>
                <c:pt idx="2">
                  <c:v>1837</c:v>
                </c:pt>
                <c:pt idx="3">
                  <c:v>2263</c:v>
                </c:pt>
                <c:pt idx="4">
                  <c:v>2720</c:v>
                </c:pt>
              </c:numCache>
            </c:numRef>
          </c:val>
          <c:extLst>
            <c:ext xmlns:c16="http://schemas.microsoft.com/office/drawing/2014/chart" uri="{C3380CC4-5D6E-409C-BE32-E72D297353CC}">
              <c16:uniqueId val="{00000002-9262-4F3C-90A1-EB78292CC432}"/>
            </c:ext>
          </c:extLst>
        </c:ser>
        <c:dLbls>
          <c:showLegendKey val="0"/>
          <c:showVal val="0"/>
          <c:showCatName val="0"/>
          <c:showSerName val="0"/>
          <c:showPercent val="0"/>
          <c:showBubbleSize val="0"/>
        </c:dLbls>
        <c:gapWidth val="150"/>
        <c:axId val="500048744"/>
        <c:axId val="500051040"/>
        <c:extLst>
          <c:ext xmlns:c15="http://schemas.microsoft.com/office/drawing/2012/chart" uri="{02D57815-91ED-43cb-92C2-25804820EDAC}">
            <c15:filteredBarSeries>
              <c15:ser>
                <c:idx val="4"/>
                <c:order val="4"/>
                <c:tx>
                  <c:strRef>
                    <c:extLst>
                      <c:ext uri="{02D57815-91ED-43cb-92C2-25804820EDAC}">
                        <c15:formulaRef>
                          <c15:sqref>Arkusz1!$A$25</c15:sqref>
                        </c15:formulaRef>
                      </c:ext>
                    </c:extLst>
                    <c:strCache>
                      <c:ptCount val="1"/>
                    </c:strCache>
                  </c:strRef>
                </c:tx>
                <c:spPr>
                  <a:solidFill>
                    <a:schemeClr val="accent3">
                      <a:lumMod val="60000"/>
                    </a:schemeClr>
                  </a:solidFill>
                  <a:ln>
                    <a:noFill/>
                  </a:ln>
                  <a:effectLst/>
                </c:spPr>
                <c:invertIfNegative val="0"/>
                <c:dPt>
                  <c:idx val="4"/>
                  <c:invertIfNegative val="0"/>
                  <c:bubble3D val="0"/>
                  <c:spPr>
                    <a:solidFill>
                      <a:schemeClr val="accent3">
                        <a:lumMod val="60000"/>
                      </a:schemeClr>
                    </a:solidFill>
                    <a:ln>
                      <a:noFill/>
                    </a:ln>
                    <a:effectLst/>
                  </c:spPr>
                  <c:extLst>
                    <c:ext xmlns:c16="http://schemas.microsoft.com/office/drawing/2014/chart" uri="{C3380CC4-5D6E-409C-BE32-E72D297353CC}">
                      <c16:uniqueId val="{00000005-9262-4F3C-90A1-EB78292CC43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Arkusz1!$E$20:$I$20</c15:sqref>
                        </c15:formulaRef>
                      </c:ext>
                    </c:extLst>
                    <c:numCache>
                      <c:formatCode>General</c:formatCode>
                      <c:ptCount val="5"/>
                      <c:pt idx="0">
                        <c:v>2021</c:v>
                      </c:pt>
                      <c:pt idx="1">
                        <c:v>2022</c:v>
                      </c:pt>
                      <c:pt idx="2">
                        <c:v>2023</c:v>
                      </c:pt>
                      <c:pt idx="3">
                        <c:v>2024</c:v>
                      </c:pt>
                      <c:pt idx="4">
                        <c:v>2025</c:v>
                      </c:pt>
                    </c:numCache>
                  </c:numRef>
                </c:cat>
                <c:val>
                  <c:numRef>
                    <c:extLst>
                      <c:ext uri="{02D57815-91ED-43cb-92C2-25804820EDAC}">
                        <c15:formulaRef>
                          <c15:sqref>Arkusz1!$E$25:$H$25</c15:sqref>
                        </c15:formulaRef>
                      </c:ext>
                    </c:extLst>
                    <c:numCache>
                      <c:formatCode>General</c:formatCode>
                      <c:ptCount val="4"/>
                    </c:numCache>
                  </c:numRef>
                </c:val>
                <c:extLst>
                  <c:ext xmlns:c16="http://schemas.microsoft.com/office/drawing/2014/chart" uri="{C3380CC4-5D6E-409C-BE32-E72D297353CC}">
                    <c16:uniqueId val="{00000006-9262-4F3C-90A1-EB78292CC432}"/>
                  </c:ext>
                </c:extLst>
              </c15:ser>
            </c15:filteredBarSeries>
          </c:ext>
        </c:extLst>
      </c:barChart>
      <c:lineChart>
        <c:grouping val="standard"/>
        <c:varyColors val="0"/>
        <c:ser>
          <c:idx val="3"/>
          <c:order val="3"/>
          <c:tx>
            <c:strRef>
              <c:f>Arkusz1!$A$24</c:f>
              <c:strCache>
                <c:ptCount val="1"/>
                <c:pt idx="0">
                  <c:v>Ogółem</c:v>
                </c:pt>
              </c:strCache>
            </c:strRef>
          </c:tx>
          <c:spPr>
            <a:ln w="28575" cap="rnd">
              <a:solidFill>
                <a:schemeClr val="accent1">
                  <a:lumMod val="60000"/>
                </a:schemeClr>
              </a:solidFill>
              <a:round/>
            </a:ln>
            <a:effectLst/>
          </c:spPr>
          <c:marker>
            <c:symbol val="square"/>
            <c:size val="5"/>
            <c:spPr>
              <a:solidFill>
                <a:schemeClr val="accent1">
                  <a:lumMod val="60000"/>
                </a:schemeClr>
              </a:solidFill>
              <a:ln w="9525">
                <a:solidFill>
                  <a:schemeClr val="accent1">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Arkusz1!$E$20:$H$20</c:f>
              <c:numCache>
                <c:formatCode>General</c:formatCode>
                <c:ptCount val="4"/>
                <c:pt idx="0">
                  <c:v>2021</c:v>
                </c:pt>
                <c:pt idx="1">
                  <c:v>2022</c:v>
                </c:pt>
                <c:pt idx="2">
                  <c:v>2023</c:v>
                </c:pt>
                <c:pt idx="3">
                  <c:v>2024</c:v>
                </c:pt>
              </c:numCache>
            </c:numRef>
          </c:cat>
          <c:val>
            <c:numRef>
              <c:f>Arkusz1!$E$24:$I$24</c:f>
              <c:numCache>
                <c:formatCode>#,##0</c:formatCode>
                <c:ptCount val="5"/>
                <c:pt idx="0">
                  <c:v>3811</c:v>
                </c:pt>
                <c:pt idx="1">
                  <c:v>3537</c:v>
                </c:pt>
                <c:pt idx="2">
                  <c:v>3963</c:v>
                </c:pt>
                <c:pt idx="3">
                  <c:v>5060</c:v>
                </c:pt>
                <c:pt idx="4">
                  <c:v>5986</c:v>
                </c:pt>
              </c:numCache>
            </c:numRef>
          </c:val>
          <c:smooth val="0"/>
          <c:extLst>
            <c:ext xmlns:c16="http://schemas.microsoft.com/office/drawing/2014/chart" uri="{C3380CC4-5D6E-409C-BE32-E72D297353CC}">
              <c16:uniqueId val="{00000003-9262-4F3C-90A1-EB78292CC432}"/>
            </c:ext>
          </c:extLst>
        </c:ser>
        <c:dLbls>
          <c:showLegendKey val="0"/>
          <c:showVal val="0"/>
          <c:showCatName val="0"/>
          <c:showSerName val="0"/>
          <c:showPercent val="0"/>
          <c:showBubbleSize val="0"/>
        </c:dLbls>
        <c:marker val="1"/>
        <c:smooth val="0"/>
        <c:axId val="1993630303"/>
        <c:axId val="1993637023"/>
      </c:lineChart>
      <c:catAx>
        <c:axId val="500048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0051040"/>
        <c:crosses val="autoZero"/>
        <c:auto val="1"/>
        <c:lblAlgn val="ctr"/>
        <c:lblOffset val="100"/>
        <c:noMultiLvlLbl val="0"/>
      </c:catAx>
      <c:valAx>
        <c:axId val="500051040"/>
        <c:scaling>
          <c:orientation val="minMax"/>
          <c:max val="2500"/>
          <c:min val="0"/>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500048744"/>
        <c:crosses val="autoZero"/>
        <c:crossBetween val="between"/>
      </c:valAx>
      <c:valAx>
        <c:axId val="1993637023"/>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93630303"/>
        <c:crosses val="max"/>
        <c:crossBetween val="between"/>
      </c:valAx>
      <c:catAx>
        <c:axId val="1993630303"/>
        <c:scaling>
          <c:orientation val="minMax"/>
        </c:scaling>
        <c:delete val="1"/>
        <c:axPos val="b"/>
        <c:numFmt formatCode="General" sourceLinked="1"/>
        <c:majorTickMark val="out"/>
        <c:minorTickMark val="none"/>
        <c:tickLblPos val="nextTo"/>
        <c:crossAx val="1993637023"/>
        <c:crosses val="autoZero"/>
        <c:auto val="1"/>
        <c:lblAlgn val="ctr"/>
        <c:lblOffset val="100"/>
        <c:noMultiLvlLbl val="0"/>
      </c:catAx>
      <c:spPr>
        <a:noFill/>
        <a:ln>
          <a:noFill/>
        </a:ln>
        <a:effectLst/>
      </c:spPr>
    </c:plotArea>
    <c:legend>
      <c:legendPos val="b"/>
      <c:layout>
        <c:manualLayout>
          <c:xMode val="edge"/>
          <c:yMode val="edge"/>
          <c:x val="0.18908001083197934"/>
          <c:y val="0.93997823898190924"/>
          <c:w val="0.62183997833604132"/>
          <c:h val="6.002176101809077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Określenie etykiety związanej z aspektami społecznymi albo innego przedmiotowego środka, o którym mowa w art. 104</c:v>
                </c:pt>
                <c:pt idx="1">
                  <c:v>Zamówienie udzielone jako zamówienie zastrzeżone, o którym mowa w art. 94 ust. 1</c:v>
                </c:pt>
                <c:pt idx="2">
                  <c:v>Zamówienia zastrzeżone na usługi zdrowotne, społeczne lub kulturalne, o których mowa w art. 361 ust. 1 lub art. 392 ust. 3</c:v>
                </c:pt>
                <c:pt idx="3">
                  <c:v>Określenie wymagań związanych z realizacją zamówienia obejmujących aspekty społ. zw. z zatrudnieniem o których mowa w art. 96 ust. 1</c:v>
                </c:pt>
                <c:pt idx="4">
                  <c:v>Określenie aspektów społecznych w kryteriach oceny ofert, o których mowa w art. 242 ust. 2</c:v>
                </c:pt>
                <c:pt idx="5">
                  <c:v>Określenie w opisie przedmiotu zamówienia wymagań w zakresie dostępności dla osób niepełnosprawnych lub projektowania z przeznaczeniem dla wszystkich użytkowników, o których mowa w art. 100 ust. 1</c:v>
                </c:pt>
                <c:pt idx="6">
                  <c:v>Określenie wymagań związanych z realizacją zamówienia w zakresie zatrudnienia na podst. stosunku pracy, o których mowa w art. 95 ust. 1 </c:v>
                </c:pt>
              </c:strCache>
            </c:strRef>
          </c:cat>
          <c:val>
            <c:numRef>
              <c:f>Arkusz1!$B$2:$B$8</c:f>
              <c:numCache>
                <c:formatCode>General</c:formatCode>
                <c:ptCount val="7"/>
                <c:pt idx="0">
                  <c:v>279</c:v>
                </c:pt>
                <c:pt idx="1">
                  <c:v>321</c:v>
                </c:pt>
                <c:pt idx="2">
                  <c:v>667</c:v>
                </c:pt>
                <c:pt idx="3">
                  <c:v>1502</c:v>
                </c:pt>
                <c:pt idx="4">
                  <c:v>2464</c:v>
                </c:pt>
                <c:pt idx="5">
                  <c:v>9888</c:v>
                </c:pt>
                <c:pt idx="6">
                  <c:v>40478</c:v>
                </c:pt>
              </c:numCache>
            </c:numRef>
          </c:val>
          <c:extLst>
            <c:ext xmlns:c16="http://schemas.microsoft.com/office/drawing/2014/chart" uri="{C3380CC4-5D6E-409C-BE32-E72D297353CC}">
              <c16:uniqueId val="{00000000-40D2-49C7-8AAB-45212C7A22BB}"/>
            </c:ext>
          </c:extLst>
        </c:ser>
        <c:dLbls>
          <c:dLblPos val="outEnd"/>
          <c:showLegendKey val="0"/>
          <c:showVal val="1"/>
          <c:showCatName val="0"/>
          <c:showSerName val="0"/>
          <c:showPercent val="0"/>
          <c:showBubbleSize val="0"/>
        </c:dLbls>
        <c:gapWidth val="182"/>
        <c:axId val="1446816208"/>
        <c:axId val="1446816688"/>
      </c:barChart>
      <c:catAx>
        <c:axId val="1446816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446816688"/>
        <c:crosses val="autoZero"/>
        <c:auto val="1"/>
        <c:lblAlgn val="ctr"/>
        <c:lblOffset val="100"/>
        <c:noMultiLvlLbl val="0"/>
      </c:catAx>
      <c:valAx>
        <c:axId val="14468166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446816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Arkusz1!$B$1</c:f>
              <c:strCache>
                <c:ptCount val="1"/>
                <c:pt idx="0">
                  <c:v>roboty budowlane</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dLbl>
              <c:idx val="1"/>
              <c:layout>
                <c:manualLayout>
                  <c:x val="-2.8555555555555556E-2"/>
                  <c:y val="4.401611256926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D62-49EA-9B8D-4029848DF1C0}"/>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2021</c:v>
                </c:pt>
                <c:pt idx="1">
                  <c:v>2022</c:v>
                </c:pt>
                <c:pt idx="2">
                  <c:v>2023</c:v>
                </c:pt>
                <c:pt idx="3">
                  <c:v>2024</c:v>
                </c:pt>
                <c:pt idx="4">
                  <c:v>2025</c:v>
                </c:pt>
              </c:strCache>
            </c:strRef>
          </c:cat>
          <c:val>
            <c:numRef>
              <c:f>Arkusz1!$B$2:$B$6</c:f>
              <c:numCache>
                <c:formatCode>0%</c:formatCode>
                <c:ptCount val="5"/>
                <c:pt idx="0">
                  <c:v>0.27</c:v>
                </c:pt>
                <c:pt idx="1">
                  <c:v>0.25</c:v>
                </c:pt>
                <c:pt idx="2">
                  <c:v>0.24</c:v>
                </c:pt>
                <c:pt idx="3">
                  <c:v>0.25</c:v>
                </c:pt>
                <c:pt idx="4">
                  <c:v>0.22</c:v>
                </c:pt>
              </c:numCache>
            </c:numRef>
          </c:val>
          <c:smooth val="0"/>
          <c:extLst>
            <c:ext xmlns:c16="http://schemas.microsoft.com/office/drawing/2014/chart" uri="{C3380CC4-5D6E-409C-BE32-E72D297353CC}">
              <c16:uniqueId val="{00000001-2D62-49EA-9B8D-4029848DF1C0}"/>
            </c:ext>
          </c:extLst>
        </c:ser>
        <c:ser>
          <c:idx val="1"/>
          <c:order val="1"/>
          <c:tx>
            <c:strRef>
              <c:f>Arkusz1!$C$1</c:f>
              <c:strCache>
                <c:ptCount val="1"/>
                <c:pt idx="0">
                  <c:v>dostawy</c:v>
                </c:pt>
              </c:strCache>
            </c:strRef>
          </c:tx>
          <c:spPr>
            <a:ln w="28575" cap="rnd">
              <a:solidFill>
                <a:schemeClr val="accent2"/>
              </a:solidFill>
              <a:round/>
            </a:ln>
            <a:effectLst/>
          </c:spPr>
          <c:marker>
            <c:symbol val="square"/>
            <c:size val="7"/>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2021</c:v>
                </c:pt>
                <c:pt idx="1">
                  <c:v>2022</c:v>
                </c:pt>
                <c:pt idx="2">
                  <c:v>2023</c:v>
                </c:pt>
                <c:pt idx="3">
                  <c:v>2024</c:v>
                </c:pt>
                <c:pt idx="4">
                  <c:v>2025</c:v>
                </c:pt>
              </c:strCache>
            </c:strRef>
          </c:cat>
          <c:val>
            <c:numRef>
              <c:f>Arkusz1!$C$2:$C$6</c:f>
              <c:numCache>
                <c:formatCode>0%</c:formatCode>
                <c:ptCount val="5"/>
                <c:pt idx="0">
                  <c:v>0.4</c:v>
                </c:pt>
                <c:pt idx="1">
                  <c:v>0.41</c:v>
                </c:pt>
                <c:pt idx="2">
                  <c:v>0.44</c:v>
                </c:pt>
                <c:pt idx="3">
                  <c:v>0.42</c:v>
                </c:pt>
                <c:pt idx="4">
                  <c:v>0.46</c:v>
                </c:pt>
              </c:numCache>
            </c:numRef>
          </c:val>
          <c:smooth val="0"/>
          <c:extLst>
            <c:ext xmlns:c16="http://schemas.microsoft.com/office/drawing/2014/chart" uri="{C3380CC4-5D6E-409C-BE32-E72D297353CC}">
              <c16:uniqueId val="{00000002-2D62-49EA-9B8D-4029848DF1C0}"/>
            </c:ext>
          </c:extLst>
        </c:ser>
        <c:ser>
          <c:idx val="2"/>
          <c:order val="2"/>
          <c:tx>
            <c:strRef>
              <c:f>Arkusz1!$D$1</c:f>
              <c:strCache>
                <c:ptCount val="1"/>
                <c:pt idx="0">
                  <c:v>usługi</c:v>
                </c:pt>
              </c:strCache>
            </c:strRef>
          </c:tx>
          <c:spPr>
            <a:ln w="28575" cap="rnd">
              <a:solidFill>
                <a:schemeClr val="accent3"/>
              </a:solidFill>
              <a:round/>
            </a:ln>
            <a:effectLst/>
          </c:spPr>
          <c:marker>
            <c:symbol val="triangle"/>
            <c:size val="7"/>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3"/>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2021</c:v>
                </c:pt>
                <c:pt idx="1">
                  <c:v>2022</c:v>
                </c:pt>
                <c:pt idx="2">
                  <c:v>2023</c:v>
                </c:pt>
                <c:pt idx="3">
                  <c:v>2024</c:v>
                </c:pt>
                <c:pt idx="4">
                  <c:v>2025</c:v>
                </c:pt>
              </c:strCache>
            </c:strRef>
          </c:cat>
          <c:val>
            <c:numRef>
              <c:f>Arkusz1!$D$2:$D$6</c:f>
              <c:numCache>
                <c:formatCode>0%</c:formatCode>
                <c:ptCount val="5"/>
                <c:pt idx="0">
                  <c:v>0.33</c:v>
                </c:pt>
                <c:pt idx="1">
                  <c:v>0.34</c:v>
                </c:pt>
                <c:pt idx="2">
                  <c:v>0.32</c:v>
                </c:pt>
                <c:pt idx="3">
                  <c:v>0.33</c:v>
                </c:pt>
                <c:pt idx="4">
                  <c:v>0.32</c:v>
                </c:pt>
              </c:numCache>
            </c:numRef>
          </c:val>
          <c:smooth val="0"/>
          <c:extLst>
            <c:ext xmlns:c16="http://schemas.microsoft.com/office/drawing/2014/chart" uri="{C3380CC4-5D6E-409C-BE32-E72D297353CC}">
              <c16:uniqueId val="{00000003-2D62-49EA-9B8D-4029848DF1C0}"/>
            </c:ext>
          </c:extLst>
        </c:ser>
        <c:dLbls>
          <c:dLblPos val="t"/>
          <c:showLegendKey val="0"/>
          <c:showVal val="1"/>
          <c:showCatName val="0"/>
          <c:showSerName val="0"/>
          <c:showPercent val="0"/>
          <c:showBubbleSize val="0"/>
        </c:dLbls>
        <c:marker val="1"/>
        <c:smooth val="0"/>
        <c:axId val="472840352"/>
        <c:axId val="472840680"/>
      </c:lineChart>
      <c:catAx>
        <c:axId val="47284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72840680"/>
        <c:crosses val="autoZero"/>
        <c:auto val="1"/>
        <c:lblAlgn val="ctr"/>
        <c:lblOffset val="100"/>
        <c:noMultiLvlLbl val="0"/>
      </c:catAx>
      <c:valAx>
        <c:axId val="472840680"/>
        <c:scaling>
          <c:orientation val="minMax"/>
          <c:max val="0.5"/>
          <c:min val="0.2"/>
        </c:scaling>
        <c:delete val="1"/>
        <c:axPos val="l"/>
        <c:numFmt formatCode="0%" sourceLinked="1"/>
        <c:majorTickMark val="none"/>
        <c:minorTickMark val="none"/>
        <c:tickLblPos val="nextTo"/>
        <c:crossAx val="4728403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Arkusz2!$B$1</c:f>
              <c:strCache>
                <c:ptCount val="1"/>
                <c:pt idx="0">
                  <c:v>Wartość zamówień</c:v>
                </c:pt>
              </c:strCache>
            </c:strRef>
          </c:tx>
          <c:spPr>
            <a:solidFill>
              <a:schemeClr val="accent1"/>
            </a:solidFill>
            <a:ln>
              <a:noFill/>
            </a:ln>
            <a:effectLst/>
          </c:spPr>
          <c:invertIfNegative val="0"/>
          <c:dLbls>
            <c:dLbl>
              <c:idx val="0"/>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3A17-4103-A564-4441609A7B04}"/>
                </c:ext>
              </c:extLst>
            </c:dLbl>
            <c:dLbl>
              <c:idx val="1"/>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3A17-4103-A564-4441609A7B04}"/>
                </c:ext>
              </c:extLst>
            </c:dLbl>
            <c:dLbl>
              <c:idx val="2"/>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3A17-4103-A564-4441609A7B04}"/>
                </c:ext>
              </c:extLst>
            </c:dLbl>
            <c:dLbl>
              <c:idx val="3"/>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3A17-4103-A564-4441609A7B04}"/>
                </c:ext>
              </c:extLst>
            </c:dLbl>
            <c:dLbl>
              <c:idx val="4"/>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3A17-4103-A564-4441609A7B04}"/>
                </c:ext>
              </c:extLst>
            </c:dLbl>
            <c:dLbl>
              <c:idx val="5"/>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3A17-4103-A564-4441609A7B04}"/>
                </c:ext>
              </c:extLst>
            </c:dLbl>
            <c:dLbl>
              <c:idx val="6"/>
              <c:layout>
                <c:manualLayout>
                  <c:x val="-2.4109792284866378E-2"/>
                  <c:y val="2.2568269013766643E-3"/>
                </c:manualLayout>
              </c:layout>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15:layout>
                    <c:manualLayout>
                      <c:w val="0.26252443592918839"/>
                      <c:h val="5.635296772737531E-2"/>
                    </c:manualLayout>
                  </c15:layout>
                </c:ext>
                <c:ext xmlns:c16="http://schemas.microsoft.com/office/drawing/2014/chart" uri="{C3380CC4-5D6E-409C-BE32-E72D297353CC}">
                  <c16:uniqueId val="{00000000-3A17-4103-A564-4441609A7B04}"/>
                </c:ext>
              </c:extLst>
            </c:dLbl>
            <c:numFmt formatCode="#,##0.00"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Arkusz2!$A$2:$A$8</c:f>
              <c:strCache>
                <c:ptCount val="7"/>
                <c:pt idx="0">
                  <c:v>Zamówienie udzielone jako zamówienie zastrzeżone, o którym mowa w art. 94 ust. 1</c:v>
                </c:pt>
                <c:pt idx="1">
                  <c:v>Zamówienia zastrzeżone na usługi zdrowotne, społeczne lub kulturalne, o których mowa w art. 361 ust. 1 lub art. 392 ust. 3</c:v>
                </c:pt>
                <c:pt idx="2">
                  <c:v>Określenie etykiety związanej z aspektami społ. albo innego przedmiotowego środka dowodowego, o których mowa w art. 104</c:v>
                </c:pt>
                <c:pt idx="3">
                  <c:v>Określenie aspektów społecznych w kryteriach oceny ofert, o których mowa w art. 242 ust. 2</c:v>
                </c:pt>
                <c:pt idx="4">
                  <c:v>Określenie wymagań związanych z realizacją zamówienia obejmujących aspekty społ. związane z zatrudnieniem, o których mowa w art. 96 ust. 1</c:v>
                </c:pt>
                <c:pt idx="5">
                  <c:v>Określenie w opisie przedmiotu zamówienia wymagań w zakresie dostępności dla osób niepełnosprawnych lub projektowania z przeznaczeniem dla wszystkich użytkowników, o których mowa w art. 100 ust. 1</c:v>
                </c:pt>
                <c:pt idx="6">
                  <c:v>Określenie wymagań związanych z realizacją zamówienia w zakresie zatrudnienia na podstawie stosunku pracy, o których mowa w art. 95 ust. 1</c:v>
                </c:pt>
              </c:strCache>
            </c:strRef>
          </c:cat>
          <c:val>
            <c:numRef>
              <c:f>Arkusz2!$B$2:$B$8</c:f>
              <c:numCache>
                <c:formatCode>_-* #\ ##0.00\ _z_ł_-;\-* #\ ##0.00\ _z_ł_-;_-* "-"??\ _z_ł_-;_-@_-</c:formatCode>
                <c:ptCount val="7"/>
                <c:pt idx="0">
                  <c:v>387141112.16000003</c:v>
                </c:pt>
                <c:pt idx="1">
                  <c:v>608925460.49000001</c:v>
                </c:pt>
                <c:pt idx="2">
                  <c:v>1068945818.76</c:v>
                </c:pt>
                <c:pt idx="3">
                  <c:v>2753384141.25</c:v>
                </c:pt>
                <c:pt idx="4">
                  <c:v>3513085812.9699998</c:v>
                </c:pt>
                <c:pt idx="5">
                  <c:v>35078949760.32</c:v>
                </c:pt>
                <c:pt idx="6">
                  <c:v>105059561367.71001</c:v>
                </c:pt>
              </c:numCache>
            </c:numRef>
          </c:val>
          <c:extLst>
            <c:ext xmlns:c16="http://schemas.microsoft.com/office/drawing/2014/chart" uri="{C3380CC4-5D6E-409C-BE32-E72D297353CC}">
              <c16:uniqueId val="{00000001-3A17-4103-A564-4441609A7B04}"/>
            </c:ext>
          </c:extLst>
        </c:ser>
        <c:dLbls>
          <c:dLblPos val="outEnd"/>
          <c:showLegendKey val="0"/>
          <c:showVal val="1"/>
          <c:showCatName val="0"/>
          <c:showSerName val="0"/>
          <c:showPercent val="0"/>
          <c:showBubbleSize val="0"/>
        </c:dLbls>
        <c:gapWidth val="182"/>
        <c:axId val="793109680"/>
        <c:axId val="793110160"/>
      </c:barChart>
      <c:catAx>
        <c:axId val="793109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793110160"/>
        <c:crosses val="autoZero"/>
        <c:auto val="1"/>
        <c:lblAlgn val="ctr"/>
        <c:lblOffset val="100"/>
        <c:noMultiLvlLbl val="0"/>
      </c:catAx>
      <c:valAx>
        <c:axId val="793110160"/>
        <c:scaling>
          <c:orientation val="minMax"/>
        </c:scaling>
        <c:delete val="1"/>
        <c:axPos val="b"/>
        <c:majorGridlines>
          <c:spPr>
            <a:ln w="9525" cap="flat" cmpd="sng" algn="ctr">
              <a:solidFill>
                <a:schemeClr val="tx1">
                  <a:lumMod val="15000"/>
                  <a:lumOff val="85000"/>
                </a:schemeClr>
              </a:solidFill>
              <a:round/>
            </a:ln>
            <a:effectLst/>
          </c:spPr>
        </c:majorGridlines>
        <c:numFmt formatCode="_-* #\ ##0.00\ _z_ł_-;\-* #\ ##0.00\ _z_ł_-;_-* &quot;-&quot;??\ _z_ł_-;_-@_-" sourceLinked="1"/>
        <c:majorTickMark val="none"/>
        <c:minorTickMark val="none"/>
        <c:tickLblPos val="nextTo"/>
        <c:crossAx val="793109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6">
                <a:lumMod val="20000"/>
                <a:lumOff val="80000"/>
              </a:schemeClr>
            </a:solidFill>
            <a:ln>
              <a:solidFill>
                <a:schemeClr val="accent6">
                  <a:lumMod val="40000"/>
                  <a:lumOff val="60000"/>
                </a:schemeClr>
              </a:solid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Zastosowanie kryterium kosztu z wykorzystaniem rachunku kosztów cyklu życia, o którym mowa w art. 245 ust. 1 ustawy Pzp</c:v>
                </c:pt>
                <c:pt idx="1">
                  <c:v>Określenie wymogu spełniania wymagań odpowiednich systemów lub norm zarządzania środowiskowego zgodnie z art. 116 ust. 1 ustawy Pzp</c:v>
                </c:pt>
                <c:pt idx="2">
                  <c:v>Określenie etykiety związanej z aspektami środowiskowymi albo innego przedmiotowego środka dowodowego, o których mowa w art. 104 ustawy Pzp</c:v>
                </c:pt>
                <c:pt idx="3">
                  <c:v>Określenie w kryteriach oceny ofert aspektów środowiskowych, w tym efektywności energetycznej przedmiotu zamówienia, o których mowa w art. 242 ust. 2 ustawy Pzp</c:v>
                </c:pt>
                <c:pt idx="4">
                  <c:v>Określenie w opisie przedmiotu zamówienia wymagań środowiskowych zgodnie z art. 101 ustawy Pzp</c:v>
                </c:pt>
                <c:pt idx="5">
                  <c:v>Określenie wymagań zw. z realizacją zamówienia obejmujących aspekty środowiskowe, o których mowa w art. 96 ust. 1 ustawy Pzp</c:v>
                </c:pt>
              </c:strCache>
            </c:strRef>
          </c:cat>
          <c:val>
            <c:numRef>
              <c:f>Arkusz1!$B$2:$B$7</c:f>
              <c:numCache>
                <c:formatCode>General</c:formatCode>
                <c:ptCount val="6"/>
                <c:pt idx="0">
                  <c:v>41</c:v>
                </c:pt>
                <c:pt idx="1">
                  <c:v>306</c:v>
                </c:pt>
                <c:pt idx="2">
                  <c:v>306</c:v>
                </c:pt>
                <c:pt idx="3">
                  <c:v>958</c:v>
                </c:pt>
                <c:pt idx="4">
                  <c:v>1610</c:v>
                </c:pt>
                <c:pt idx="5">
                  <c:v>2326</c:v>
                </c:pt>
              </c:numCache>
            </c:numRef>
          </c:val>
          <c:extLst>
            <c:ext xmlns:c16="http://schemas.microsoft.com/office/drawing/2014/chart" uri="{C3380CC4-5D6E-409C-BE32-E72D297353CC}">
              <c16:uniqueId val="{00000000-6166-4318-BA05-4145AAAD7F1D}"/>
            </c:ext>
          </c:extLst>
        </c:ser>
        <c:dLbls>
          <c:showLegendKey val="0"/>
          <c:showVal val="0"/>
          <c:showCatName val="0"/>
          <c:showSerName val="0"/>
          <c:showPercent val="0"/>
          <c:showBubbleSize val="0"/>
        </c:dLbls>
        <c:gapWidth val="182"/>
        <c:axId val="799646992"/>
        <c:axId val="991771040"/>
      </c:barChart>
      <c:catAx>
        <c:axId val="799646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91771040"/>
        <c:crosses val="autoZero"/>
        <c:auto val="1"/>
        <c:lblAlgn val="ctr"/>
        <c:lblOffset val="100"/>
        <c:noMultiLvlLbl val="0"/>
      </c:catAx>
      <c:valAx>
        <c:axId val="99177104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99646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689293248487271"/>
          <c:y val="5.8199643493761138E-2"/>
          <c:w val="0.50310706751512735"/>
          <c:h val="0.922192513368984"/>
        </c:manualLayout>
      </c:layout>
      <c:barChart>
        <c:barDir val="bar"/>
        <c:grouping val="clustered"/>
        <c:varyColors val="0"/>
        <c:ser>
          <c:idx val="0"/>
          <c:order val="0"/>
          <c:tx>
            <c:strRef>
              <c:f>Arkusz2!$B$1</c:f>
              <c:strCache>
                <c:ptCount val="1"/>
                <c:pt idx="0">
                  <c:v>Wartość zamówień</c:v>
                </c:pt>
              </c:strCache>
            </c:strRef>
          </c:tx>
          <c:spPr>
            <a:solidFill>
              <a:schemeClr val="accent6">
                <a:lumMod val="20000"/>
                <a:lumOff val="80000"/>
              </a:schemeClr>
            </a:solidFill>
            <a:ln>
              <a:solidFill>
                <a:schemeClr val="accent6">
                  <a:lumMod val="40000"/>
                  <a:lumOff val="60000"/>
                </a:schemeClr>
              </a:solidFill>
            </a:ln>
            <a:effectLst/>
          </c:spPr>
          <c:invertIfNegative val="0"/>
          <c:dLbls>
            <c:dLbl>
              <c:idx val="0"/>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0D02-4C7C-AF79-217171F7CDF6}"/>
                </c:ext>
              </c:extLst>
            </c:dLbl>
            <c:dLbl>
              <c:idx val="1"/>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0D02-4C7C-AF79-217171F7CDF6}"/>
                </c:ext>
              </c:extLst>
            </c:dLbl>
            <c:dLbl>
              <c:idx val="2"/>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0D02-4C7C-AF79-217171F7CDF6}"/>
                </c:ext>
              </c:extLst>
            </c:dLbl>
            <c:dLbl>
              <c:idx val="3"/>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0D02-4C7C-AF79-217171F7CDF6}"/>
                </c:ext>
              </c:extLst>
            </c:dLbl>
            <c:dLbl>
              <c:idx val="4"/>
              <c:layout>
                <c:manualLayout>
                  <c:x val="-1.767676767676777E-2"/>
                  <c:y val="-3.2679361047324044E-17"/>
                </c:manualLayout>
              </c:layout>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0.22868686868686869"/>
                      <c:h val="4.2228163992869876E-2"/>
                    </c:manualLayout>
                  </c15:layout>
                </c:ext>
                <c:ext xmlns:c16="http://schemas.microsoft.com/office/drawing/2014/chart" uri="{C3380CC4-5D6E-409C-BE32-E72D297353CC}">
                  <c16:uniqueId val="{00000000-0D02-4C7C-AF79-217171F7CDF6}"/>
                </c:ext>
              </c:extLst>
            </c:dLbl>
            <c:dLbl>
              <c:idx val="5"/>
              <c:layout>
                <c:manualLayout>
                  <c:x val="-2.9591783981547846E-2"/>
                  <c:y val="1.7825311942959001E-3"/>
                </c:manualLayout>
              </c:layout>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0.23676230812057583"/>
                      <c:h val="4.2228163992869876E-2"/>
                    </c:manualLayout>
                  </c15:layout>
                </c:ext>
                <c:ext xmlns:c16="http://schemas.microsoft.com/office/drawing/2014/chart" uri="{C3380CC4-5D6E-409C-BE32-E72D297353CC}">
                  <c16:uniqueId val="{00000001-0D02-4C7C-AF79-217171F7CDF6}"/>
                </c:ext>
              </c:extLst>
            </c:dLbl>
            <c:numFmt formatCode="#,##0.00"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Arkusz2!$A$2:$A$7</c:f>
              <c:strCache>
                <c:ptCount val="6"/>
                <c:pt idx="0">
                  <c:v> Zastosowanie kryterium kosztu z wykorzystaniem rachunku kosztów cyklu życia, o którym mowa w art. 245 ust. 1 ustawy Pzp </c:v>
                </c:pt>
                <c:pt idx="1">
                  <c:v> Określenie wymogu spełniania wymagań odpowiednich systemów lub norm zarządzania środowiskowego zgodnie z art. 116 ust. 1 ustawy Pzp </c:v>
                </c:pt>
                <c:pt idx="2">
                  <c:v> Określenie etykiety związanej z aspektami środowiskowymi albo innego przedmiotowego środka dowodowego, o których mowa w art. 104 ustawy Pzp </c:v>
                </c:pt>
                <c:pt idx="3">
                  <c:v> Określenie w kryteriach oceny ofert aspektów środowiskowych, w tym efektywności energetycznej przedmiotu zamówienia, o których mowa w art. 242 ust. 2 ustawy Pzp </c:v>
                </c:pt>
                <c:pt idx="4">
                  <c:v> Określenie wymagań zw. z realizacją zamówienia obejmujących aspekty środowiskowe, o których mowaw art. 96 ust. 1 ustawy Pzp </c:v>
                </c:pt>
                <c:pt idx="5">
                  <c:v> Określenie w opisie przedmiotu zamówienia wymagań środowiskowych zgodnie z art. 101 ustawy Pzp </c:v>
                </c:pt>
              </c:strCache>
            </c:strRef>
          </c:cat>
          <c:val>
            <c:numRef>
              <c:f>Arkusz2!$B$2:$B$7</c:f>
              <c:numCache>
                <c:formatCode>_("zł"* #,##0.00_);_("zł"* \(#,##0.00\);_("zł"* "-"??_);_(@_)</c:formatCode>
                <c:ptCount val="6"/>
                <c:pt idx="0">
                  <c:v>303408799.42000002</c:v>
                </c:pt>
                <c:pt idx="1">
                  <c:v>1020358225.48999</c:v>
                </c:pt>
                <c:pt idx="2">
                  <c:v>1063868875.87</c:v>
                </c:pt>
                <c:pt idx="3">
                  <c:v>5690400433.8000002</c:v>
                </c:pt>
                <c:pt idx="4">
                  <c:v>8304732744.76999</c:v>
                </c:pt>
                <c:pt idx="5">
                  <c:v>10680522237.16</c:v>
                </c:pt>
              </c:numCache>
            </c:numRef>
          </c:val>
          <c:extLst>
            <c:ext xmlns:c16="http://schemas.microsoft.com/office/drawing/2014/chart" uri="{C3380CC4-5D6E-409C-BE32-E72D297353CC}">
              <c16:uniqueId val="{00000002-0D02-4C7C-AF79-217171F7CDF6}"/>
            </c:ext>
          </c:extLst>
        </c:ser>
        <c:dLbls>
          <c:showLegendKey val="0"/>
          <c:showVal val="0"/>
          <c:showCatName val="0"/>
          <c:showSerName val="0"/>
          <c:showPercent val="0"/>
          <c:showBubbleSize val="0"/>
        </c:dLbls>
        <c:gapWidth val="182"/>
        <c:axId val="807062864"/>
        <c:axId val="1003413232"/>
      </c:barChart>
      <c:catAx>
        <c:axId val="80706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003413232"/>
        <c:crosses val="autoZero"/>
        <c:auto val="1"/>
        <c:lblAlgn val="ctr"/>
        <c:lblOffset val="100"/>
        <c:noMultiLvlLbl val="0"/>
      </c:catAx>
      <c:valAx>
        <c:axId val="1003413232"/>
        <c:scaling>
          <c:orientation val="minMax"/>
        </c:scaling>
        <c:delete val="1"/>
        <c:axPos val="b"/>
        <c:majorGridlines>
          <c:spPr>
            <a:ln w="9525" cap="flat" cmpd="sng" algn="ctr">
              <a:solidFill>
                <a:schemeClr val="tx1">
                  <a:lumMod val="15000"/>
                  <a:lumOff val="85000"/>
                </a:schemeClr>
              </a:solidFill>
              <a:round/>
            </a:ln>
            <a:effectLst/>
          </c:spPr>
        </c:majorGridlines>
        <c:numFmt formatCode="_(&quot;zł&quot;* #,##0.00_);_(&quot;zł&quot;* \(#,##0.00\);_(&quot;zł&quot;* &quot;-&quot;??_);_(@_)" sourceLinked="1"/>
        <c:majorTickMark val="none"/>
        <c:minorTickMark val="none"/>
        <c:tickLblPos val="nextTo"/>
        <c:crossAx val="8070628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Arkusz3!$B$1</c:f>
              <c:strCache>
                <c:ptCount val="1"/>
                <c:pt idx="0">
                  <c:v>Liczba zamówień</c:v>
                </c:pt>
              </c:strCache>
            </c:strRef>
          </c:tx>
          <c:spPr>
            <a:solidFill>
              <a:schemeClr val="accent4">
                <a:lumMod val="20000"/>
                <a:lumOff val="80000"/>
              </a:schemeClr>
            </a:solidFill>
            <a:ln>
              <a:solidFill>
                <a:schemeClr val="accent4">
                  <a:lumMod val="40000"/>
                  <a:lumOff val="6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Arkusz3!$A$2:$A$3</c:f>
              <c:strCache>
                <c:ptCount val="2"/>
                <c:pt idx="0">
                  <c:v>Określenie wymagań zw. z realizacją zamówienia obejmujących aspekty zw. z innowacyjnością, o których mowa w art. 96 ust. 1 ustawy Pzp</c:v>
                </c:pt>
                <c:pt idx="1">
                  <c:v>Określenie w kryteriach oceny ofert aspektów innowacyjnych, o których mowa w art. 242 ust. 2 ustawy Pzp</c:v>
                </c:pt>
              </c:strCache>
            </c:strRef>
          </c:cat>
          <c:val>
            <c:numRef>
              <c:f>Arkusz3!$B$2:$B$3</c:f>
              <c:numCache>
                <c:formatCode>General</c:formatCode>
                <c:ptCount val="2"/>
                <c:pt idx="0">
                  <c:v>69</c:v>
                </c:pt>
                <c:pt idx="1">
                  <c:v>111</c:v>
                </c:pt>
              </c:numCache>
            </c:numRef>
          </c:val>
          <c:extLst>
            <c:ext xmlns:c16="http://schemas.microsoft.com/office/drawing/2014/chart" uri="{C3380CC4-5D6E-409C-BE32-E72D297353CC}">
              <c16:uniqueId val="{00000000-ECEC-435D-92F0-4B486161B84F}"/>
            </c:ext>
          </c:extLst>
        </c:ser>
        <c:dLbls>
          <c:showLegendKey val="0"/>
          <c:showVal val="0"/>
          <c:showCatName val="0"/>
          <c:showSerName val="0"/>
          <c:showPercent val="0"/>
          <c:showBubbleSize val="0"/>
        </c:dLbls>
        <c:gapWidth val="182"/>
        <c:axId val="693567536"/>
        <c:axId val="1003424144"/>
      </c:barChart>
      <c:catAx>
        <c:axId val="6935675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003424144"/>
        <c:crosses val="autoZero"/>
        <c:auto val="1"/>
        <c:lblAlgn val="ctr"/>
        <c:lblOffset val="100"/>
        <c:noMultiLvlLbl val="0"/>
      </c:catAx>
      <c:valAx>
        <c:axId val="1003424144"/>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693567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Arkusz4!$B$1</c:f>
              <c:strCache>
                <c:ptCount val="1"/>
                <c:pt idx="0">
                  <c:v>Wartość zamówień</c:v>
                </c:pt>
              </c:strCache>
            </c:strRef>
          </c:tx>
          <c:spPr>
            <a:solidFill>
              <a:schemeClr val="accent4">
                <a:lumMod val="20000"/>
                <a:lumOff val="80000"/>
              </a:schemeClr>
            </a:solidFill>
            <a:ln>
              <a:solidFill>
                <a:schemeClr val="accent4">
                  <a:lumMod val="40000"/>
                  <a:lumOff val="60000"/>
                </a:schemeClr>
              </a:solidFill>
            </a:ln>
            <a:effectLst/>
          </c:spPr>
          <c:invertIfNegative val="0"/>
          <c:dLbls>
            <c:dLbl>
              <c:idx val="0"/>
              <c:layout>
                <c:manualLayout>
                  <c:x val="-2.4305555555555546E-2"/>
                  <c:y val="0"/>
                </c:manualLayout>
              </c:layout>
              <c:showLegendKey val="0"/>
              <c:showVal val="1"/>
              <c:showCatName val="0"/>
              <c:showSerName val="0"/>
              <c:showPercent val="0"/>
              <c:showBubbleSize val="0"/>
              <c:extLst>
                <c:ext xmlns:c15="http://schemas.microsoft.com/office/drawing/2012/chart" uri="{CE6537A1-D6FC-4f65-9D91-7224C49458BB}">
                  <c15:layout>
                    <c:manualLayout>
                      <c:w val="0.21657407407407409"/>
                      <c:h val="9.3267716535433073E-2"/>
                    </c:manualLayout>
                  </c15:layout>
                </c:ext>
                <c:ext xmlns:c16="http://schemas.microsoft.com/office/drawing/2014/chart" uri="{C3380CC4-5D6E-409C-BE32-E72D297353CC}">
                  <c16:uniqueId val="{00000000-B741-4062-8927-925613ADF285}"/>
                </c:ext>
              </c:extLst>
            </c:dLbl>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Arkusz4!$A$2:$A$3</c:f>
              <c:strCache>
                <c:ptCount val="2"/>
                <c:pt idx="0">
                  <c:v>Określenie wymagań zw. z realizacją zamówienia obejmujących aspekty zw. z innowacyjnością, o których mowa w art. 96 ust. 1 ustawy Pzp</c:v>
                </c:pt>
                <c:pt idx="1">
                  <c:v>Określenie w kryteriach oceny ofert aspektów innowacyjnych, o których mowa w art. 242 ust. 2 ustawy Pzp</c:v>
                </c:pt>
              </c:strCache>
            </c:strRef>
          </c:cat>
          <c:val>
            <c:numRef>
              <c:f>Arkusz4!$B$2:$B$3</c:f>
              <c:numCache>
                <c:formatCode>_("zł"* #,##0.00_);_("zł"* \(#,##0.00\);_("zł"* "-"??_);_(@_)</c:formatCode>
                <c:ptCount val="2"/>
                <c:pt idx="0">
                  <c:v>1008000087.62</c:v>
                </c:pt>
                <c:pt idx="1">
                  <c:v>1004283880.34999</c:v>
                </c:pt>
              </c:numCache>
            </c:numRef>
          </c:val>
          <c:extLst>
            <c:ext xmlns:c16="http://schemas.microsoft.com/office/drawing/2014/chart" uri="{C3380CC4-5D6E-409C-BE32-E72D297353CC}">
              <c16:uniqueId val="{00000001-B741-4062-8927-925613ADF285}"/>
            </c:ext>
          </c:extLst>
        </c:ser>
        <c:dLbls>
          <c:showLegendKey val="0"/>
          <c:showVal val="0"/>
          <c:showCatName val="0"/>
          <c:showSerName val="0"/>
          <c:showPercent val="0"/>
          <c:showBubbleSize val="0"/>
        </c:dLbls>
        <c:gapWidth val="182"/>
        <c:axId val="1015948816"/>
        <c:axId val="1003421664"/>
      </c:barChart>
      <c:catAx>
        <c:axId val="1015948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003421664"/>
        <c:crosses val="autoZero"/>
        <c:auto val="1"/>
        <c:lblAlgn val="ctr"/>
        <c:lblOffset val="100"/>
        <c:noMultiLvlLbl val="0"/>
      </c:catAx>
      <c:valAx>
        <c:axId val="1003421664"/>
        <c:scaling>
          <c:orientation val="minMax"/>
        </c:scaling>
        <c:delete val="1"/>
        <c:axPos val="b"/>
        <c:majorGridlines>
          <c:spPr>
            <a:ln w="9525" cap="flat" cmpd="sng" algn="ctr">
              <a:solidFill>
                <a:schemeClr val="tx1">
                  <a:lumMod val="15000"/>
                  <a:lumOff val="85000"/>
                </a:schemeClr>
              </a:solidFill>
              <a:round/>
            </a:ln>
            <a:effectLst/>
          </c:spPr>
        </c:majorGridlines>
        <c:numFmt formatCode="_(&quot;zł&quot;* #,##0.00_);_(&quot;zł&quot;* \(#,##0.00\);_(&quot;zł&quot;* &quot;-&quot;??_);_(@_)" sourceLinked="1"/>
        <c:majorTickMark val="none"/>
        <c:minorTickMark val="none"/>
        <c:tickLblPos val="nextTo"/>
        <c:crossAx val="1015948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5"/>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Arkusz1!$A$2:$A$8</c:f>
              <c:strCache>
                <c:ptCount val="7"/>
                <c:pt idx="0">
                  <c:v>Zamówienia zastrzeżone, o których mowa w art. 94</c:v>
                </c:pt>
                <c:pt idx="1">
                  <c:v>Określenie etykiety związanej z aspektami społecznymi na podstawie art. 104</c:v>
                </c:pt>
                <c:pt idx="2">
                  <c:v>Zamówienia zastrzeżone na usługi zdrowotne, społeczne lub kulturalne, o których mowa w art. 361 ust. 1 lub art. 392 ust. 3</c:v>
                </c:pt>
                <c:pt idx="3">
                  <c:v>Określenie wymagań związanych z realizacją zamówienia obejmujących aspekty społeczne związane z zatrudnieniem, o których mowa w art. 96 ust. 1</c:v>
                </c:pt>
                <c:pt idx="4">
                  <c:v>Określenie aspektów społecznych w kryteriach oceny ofert, o których mowa w art. 242 ust. 2</c:v>
                </c:pt>
                <c:pt idx="5">
                  <c:v>Określenie w opisie przedmiotu zamówienia wymagań w zakresie dostępności dla osób niepełnosprawnych lub projektowania z przeznaczeniem dla wszystkich użytkowników, o których mowa w art. 100 ust. 1</c:v>
                </c:pt>
                <c:pt idx="6">
                  <c:v>Określenie wymagań związanych z realizacją zamówienia w zakresie zatrudnienia na podstawie stosunku pracy, o których mowa w art. 95 ust. 1</c:v>
                </c:pt>
              </c:strCache>
            </c:strRef>
          </c:cat>
          <c:val>
            <c:numRef>
              <c:f>Arkusz1!$B$2:$B$8</c:f>
              <c:numCache>
                <c:formatCode>General</c:formatCode>
                <c:ptCount val="7"/>
                <c:pt idx="0">
                  <c:v>26</c:v>
                </c:pt>
                <c:pt idx="1">
                  <c:v>59</c:v>
                </c:pt>
                <c:pt idx="2">
                  <c:v>151</c:v>
                </c:pt>
                <c:pt idx="3">
                  <c:v>198</c:v>
                </c:pt>
                <c:pt idx="4">
                  <c:v>331</c:v>
                </c:pt>
                <c:pt idx="5">
                  <c:v>736</c:v>
                </c:pt>
                <c:pt idx="6">
                  <c:v>6716</c:v>
                </c:pt>
              </c:numCache>
            </c:numRef>
          </c:val>
          <c:extLst>
            <c:ext xmlns:c16="http://schemas.microsoft.com/office/drawing/2014/chart" uri="{C3380CC4-5D6E-409C-BE32-E72D297353CC}">
              <c16:uniqueId val="{00000000-779F-48EA-9540-8E5BF7847837}"/>
            </c:ext>
          </c:extLst>
        </c:ser>
        <c:dLbls>
          <c:showLegendKey val="0"/>
          <c:showVal val="1"/>
          <c:showCatName val="0"/>
          <c:showSerName val="0"/>
          <c:showPercent val="0"/>
          <c:showBubbleSize val="0"/>
        </c:dLbls>
        <c:gapWidth val="182"/>
        <c:axId val="165620896"/>
        <c:axId val="1"/>
      </c:barChart>
      <c:catAx>
        <c:axId val="165620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mn-cs"/>
              </a:defRPr>
            </a:pPr>
            <a:endParaRPr lang="pl-PL"/>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65620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alpha val="99000"/>
        </a:schemeClr>
      </a:solidFill>
      <a:round/>
    </a:ln>
    <a:effectLst/>
  </c:spPr>
  <c:txPr>
    <a:bodyPr/>
    <a:lstStyle/>
    <a:p>
      <a:pPr>
        <a:defRPr>
          <a:solidFill>
            <a:schemeClr val="tx1"/>
          </a:solidFill>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Wartość zamówień</c:v>
                </c:pt>
              </c:strCache>
            </c:strRef>
          </c:tx>
          <c:spPr>
            <a:solidFill>
              <a:srgbClr val="4472C4"/>
            </a:solidFill>
            <a:ln>
              <a:solidFill>
                <a:sysClr val="windowText" lastClr="000000"/>
              </a:solidFill>
            </a:ln>
            <a:effectLst/>
          </c:spPr>
          <c:invertIfNegative val="0"/>
          <c:dLbls>
            <c:dLbl>
              <c:idx val="0"/>
              <c:layout>
                <c:manualLayout>
                  <c:x val="6.8870523415977963E-3"/>
                  <c:y val="1.933488012374181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D72-456A-98E6-23C670DB4E5C}"/>
                </c:ext>
              </c:extLst>
            </c:dLbl>
            <c:dLbl>
              <c:idx val="6"/>
              <c:layout>
                <c:manualLayout>
                  <c:x val="-1.1478420569329829E-2"/>
                  <c:y val="1.9334880123743233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25596877869605145"/>
                      <c:h val="7.2505800464037137E-2"/>
                    </c:manualLayout>
                  </c15:layout>
                </c:ext>
                <c:ext xmlns:c16="http://schemas.microsoft.com/office/drawing/2014/chart" uri="{C3380CC4-5D6E-409C-BE32-E72D297353CC}">
                  <c16:uniqueId val="{00000001-1D72-456A-98E6-23C670DB4E5C}"/>
                </c:ext>
              </c:extLst>
            </c:dLbl>
            <c:numFmt formatCode="#,##0.00\ &quot;zł&quot;" sourceLinked="0"/>
            <c:spPr>
              <a:noFill/>
              <a:ln w="25356">
                <a:noFill/>
              </a:ln>
            </c:spPr>
            <c:txPr>
              <a:bodyPr rot="0" spcFirstLastPara="1" vertOverflow="ellipsis" vert="horz" wrap="non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Arkusz1!$A$2:$A$8</c:f>
              <c:strCache>
                <c:ptCount val="7"/>
                <c:pt idx="0">
                  <c:v>Zamówienie udzielone jako zamówienie zastrzeżone, o którym mowa w art. 94 ust. 1</c:v>
                </c:pt>
                <c:pt idx="1">
                  <c:v>Określenie etykiety związanej z zaspektami społecznymi na podstawie art. 104</c:v>
                </c:pt>
                <c:pt idx="2">
                  <c:v>Zamówienia zastrzeżone na usługi zdrowotne, społeczne lub kulturalne, o których mowa w 361 ust. 1 lub art. 392 ust. 3</c:v>
                </c:pt>
                <c:pt idx="3">
                  <c:v>Określenie aspektów społecznych w kryteriach oceny ofert </c:v>
                </c:pt>
                <c:pt idx="4">
                  <c:v>Określenie wymagań związanych z realizacją zamówienia obejmujących aspekty społeczne związane z zatrudnieniem, o których mowa w art. 96 ust. 1</c:v>
                </c:pt>
                <c:pt idx="5">
                  <c:v>Określenie w opisie przedmiotu zamówienia wymagań w zakresie dostępności dla osób niepełnosprawnych lub projektowania z przeznaczeniem dla wszystkich użytkowników, o których mowa w art. 100 ust. 1</c:v>
                </c:pt>
                <c:pt idx="6">
                  <c:v>Określenie wymagań związanych z realizacją zamówienia w zakresie zatrudnienia na podstawie stosunku pracy, o których mowa w art. 95 ust. 1</c:v>
                </c:pt>
              </c:strCache>
            </c:strRef>
          </c:cat>
          <c:val>
            <c:numRef>
              <c:f>Arkusz1!$B$2:$B$8</c:f>
              <c:numCache>
                <c:formatCode>_("zł"* #,##0.00_);_("zł"* \(#,##0.00\);_("zł"* "-"??_);_(@_)</c:formatCode>
                <c:ptCount val="7"/>
                <c:pt idx="0">
                  <c:v>98226223.329999998</c:v>
                </c:pt>
                <c:pt idx="1">
                  <c:v>160355437.46000001</c:v>
                </c:pt>
                <c:pt idx="2">
                  <c:v>186930163.09999999</c:v>
                </c:pt>
                <c:pt idx="3">
                  <c:v>392464045.38999999</c:v>
                </c:pt>
                <c:pt idx="4">
                  <c:v>2207565643.8299999</c:v>
                </c:pt>
                <c:pt idx="5">
                  <c:v>4194094635.54</c:v>
                </c:pt>
                <c:pt idx="6">
                  <c:v>19659508822.799999</c:v>
                </c:pt>
              </c:numCache>
            </c:numRef>
          </c:val>
          <c:extLst>
            <c:ext xmlns:c16="http://schemas.microsoft.com/office/drawing/2014/chart" uri="{C3380CC4-5D6E-409C-BE32-E72D297353CC}">
              <c16:uniqueId val="{00000002-1D72-456A-98E6-23C670DB4E5C}"/>
            </c:ext>
          </c:extLst>
        </c:ser>
        <c:dLbls>
          <c:showLegendKey val="0"/>
          <c:showVal val="1"/>
          <c:showCatName val="0"/>
          <c:showSerName val="0"/>
          <c:showPercent val="0"/>
          <c:showBubbleSize val="0"/>
        </c:dLbls>
        <c:gapWidth val="182"/>
        <c:axId val="188503872"/>
        <c:axId val="1"/>
      </c:barChart>
      <c:catAx>
        <c:axId val="188503872"/>
        <c:scaling>
          <c:orientation val="minMax"/>
        </c:scaling>
        <c:delete val="0"/>
        <c:axPos val="l"/>
        <c:numFmt formatCode="General" sourceLinked="1"/>
        <c:majorTickMark val="none"/>
        <c:minorTickMark val="none"/>
        <c:tickLblPos val="nextTo"/>
        <c:spPr>
          <a:noFill/>
          <a:ln w="9508" cap="flat" cmpd="sng" algn="ctr">
            <a:solidFill>
              <a:srgbClr val="5B9BD5"/>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
        <c:crosses val="autoZero"/>
        <c:auto val="1"/>
        <c:lblAlgn val="ctr"/>
        <c:lblOffset val="100"/>
        <c:noMultiLvlLbl val="0"/>
      </c:catAx>
      <c:valAx>
        <c:axId val="1"/>
        <c:scaling>
          <c:orientation val="minMax"/>
        </c:scaling>
        <c:delete val="1"/>
        <c:axPos val="b"/>
        <c:majorGridlines>
          <c:spPr>
            <a:ln w="9508" cap="flat" cmpd="sng" algn="ctr">
              <a:solidFill>
                <a:schemeClr val="tx1">
                  <a:lumMod val="15000"/>
                  <a:lumOff val="85000"/>
                </a:schemeClr>
              </a:solidFill>
              <a:round/>
            </a:ln>
            <a:effectLst/>
          </c:spPr>
        </c:majorGridlines>
        <c:numFmt formatCode="_(&quot;zł&quot;* #,##0.00_);_(&quot;zł&quot;* \(#,##0.00\);_(&quot;zł&quot;* &quot;-&quot;??_);_(@_)" sourceLinked="1"/>
        <c:majorTickMark val="out"/>
        <c:minorTickMark val="none"/>
        <c:tickLblPos val="nextTo"/>
        <c:crossAx val="188503872"/>
        <c:crosses val="autoZero"/>
        <c:crossBetween val="between"/>
      </c:valAx>
      <c:spPr>
        <a:noFill/>
        <a:ln w="25356">
          <a:noFill/>
        </a:ln>
      </c:spPr>
    </c:plotArea>
    <c:plotVisOnly val="1"/>
    <c:dispBlanksAs val="gap"/>
    <c:showDLblsOverMax val="0"/>
  </c:chart>
  <c:spPr>
    <a:solidFill>
      <a:schemeClr val="bg1"/>
    </a:solidFill>
    <a:ln w="9508"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6">
                <a:lumMod val="20000"/>
                <a:lumOff val="80000"/>
              </a:schemeClr>
            </a:solidFill>
            <a:ln w="9528">
              <a:solidFill>
                <a:schemeClr val="accent6">
                  <a:lumMod val="40000"/>
                  <a:lumOff val="60000"/>
                </a:schemeClr>
              </a:solidFill>
              <a:prstDash val="solid"/>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1" i="0" u="none" strike="noStrike" kern="1200" baseline="0">
                    <a:solidFill>
                      <a:srgbClr val="404040"/>
                    </a:solidFill>
                    <a:latin typeface="Arial" pitchFamily="34"/>
                    <a:cs typeface="Arial" pitchFamily="34"/>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Arkusz1!$A$2:$A$7</c:f>
              <c:strCache>
                <c:ptCount val="6"/>
                <c:pt idx="0">
                  <c:v>Zastosowanie kryterium kosztu z wykorzystaniem rachunku kosztów cyklu życia, o którym mowa w art. 245 ust. 1 ustawy Pzp</c:v>
                </c:pt>
                <c:pt idx="1">
                  <c:v>Określenie wymogu spełniania wymagań odpowiednich systemów lub norm zarządzania środowiskowego zgodnie z art. 116 ust. 1 ustawy Pzp</c:v>
                </c:pt>
                <c:pt idx="2">
                  <c:v>Określenie etykiety związanej z aspektami środowiskowymi albo innego przedmiotowego środka dowodowego, o których mowa w art. 104 ustawy Pzp</c:v>
                </c:pt>
                <c:pt idx="3">
                  <c:v>Określenie w kryteriach oceny ofert aspektów środowiskowych, w tym efektywności energetycznej przedmiotu zamówienia, o których mowa w art. 242 ust. 2 ustawy Pzp</c:v>
                </c:pt>
                <c:pt idx="4">
                  <c:v>Określenie wymagań zw. z realizacją zamówienia obejmujących aspekty środowiskowe, o których mowa w art. 96 ust. 1 ustawy Pzp</c:v>
                </c:pt>
                <c:pt idx="5">
                  <c:v>Określenie w opisie przedmiotu zamówienia wymagań środowiskowych zgodnie z art. 101 ustawy Pzp</c:v>
                </c:pt>
              </c:strCache>
            </c:strRef>
          </c:cat>
          <c:val>
            <c:numRef>
              <c:f>Arkusz1!$B$2:$B$7</c:f>
              <c:numCache>
                <c:formatCode>General</c:formatCode>
                <c:ptCount val="6"/>
                <c:pt idx="0">
                  <c:v>2</c:v>
                </c:pt>
                <c:pt idx="1">
                  <c:v>34</c:v>
                </c:pt>
                <c:pt idx="2">
                  <c:v>124</c:v>
                </c:pt>
                <c:pt idx="3">
                  <c:v>259</c:v>
                </c:pt>
                <c:pt idx="4">
                  <c:v>323</c:v>
                </c:pt>
                <c:pt idx="5">
                  <c:v>592</c:v>
                </c:pt>
              </c:numCache>
            </c:numRef>
          </c:val>
          <c:extLst>
            <c:ext xmlns:c16="http://schemas.microsoft.com/office/drawing/2014/chart" uri="{C3380CC4-5D6E-409C-BE32-E72D297353CC}">
              <c16:uniqueId val="{00000000-ED33-4BF7-91D7-B6323BC0FBD9}"/>
            </c:ext>
          </c:extLst>
        </c:ser>
        <c:dLbls>
          <c:showLegendKey val="0"/>
          <c:showVal val="0"/>
          <c:showCatName val="0"/>
          <c:showSerName val="0"/>
          <c:showPercent val="0"/>
          <c:showBubbleSize val="0"/>
        </c:dLbls>
        <c:gapWidth val="182"/>
        <c:axId val="776081679"/>
        <c:axId val="776064399"/>
      </c:barChart>
      <c:valAx>
        <c:axId val="776064399"/>
        <c:scaling>
          <c:orientation val="minMax"/>
        </c:scaling>
        <c:delete val="1"/>
        <c:axPos val="b"/>
        <c:majorGridlines>
          <c:spPr>
            <a:ln w="9528" cap="flat">
              <a:solidFill>
                <a:srgbClr val="D9D9D9"/>
              </a:solidFill>
              <a:prstDash val="solid"/>
              <a:round/>
            </a:ln>
          </c:spPr>
        </c:majorGridlines>
        <c:numFmt formatCode="General" sourceLinked="1"/>
        <c:majorTickMark val="none"/>
        <c:minorTickMark val="none"/>
        <c:tickLblPos val="nextTo"/>
        <c:crossAx val="776081679"/>
        <c:crosses val="autoZero"/>
        <c:crossBetween val="between"/>
      </c:valAx>
      <c:catAx>
        <c:axId val="776081679"/>
        <c:scaling>
          <c:orientation val="minMax"/>
        </c:scaling>
        <c:delete val="0"/>
        <c:axPos val="l"/>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Arial" pitchFamily="34"/>
                <a:cs typeface="Arial" pitchFamily="34"/>
              </a:defRPr>
            </a:pPr>
            <a:endParaRPr lang="pl-PL"/>
          </a:p>
        </c:txPr>
        <c:crossAx val="776064399"/>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Arkusz2!$B$1</c:f>
              <c:strCache>
                <c:ptCount val="1"/>
                <c:pt idx="0">
                  <c:v> Wartość zamówień </c:v>
                </c:pt>
              </c:strCache>
            </c:strRef>
          </c:tx>
          <c:spPr>
            <a:solidFill>
              <a:schemeClr val="accent6">
                <a:lumMod val="20000"/>
                <a:lumOff val="80000"/>
              </a:schemeClr>
            </a:solidFill>
            <a:ln w="9528">
              <a:solidFill>
                <a:schemeClr val="accent6">
                  <a:lumMod val="40000"/>
                  <a:lumOff val="60000"/>
                </a:schemeClr>
              </a:solidFill>
              <a:prstDash val="solid"/>
            </a:ln>
          </c:spPr>
          <c:invertIfNegative val="0"/>
          <c:dPt>
            <c:idx val="3"/>
            <c:invertIfNegative val="0"/>
            <c:bubble3D val="0"/>
            <c:extLst>
              <c:ext xmlns:c16="http://schemas.microsoft.com/office/drawing/2014/chart" uri="{C3380CC4-5D6E-409C-BE32-E72D297353CC}">
                <c16:uniqueId val="{00000000-8BAD-4967-A3C2-421106532572}"/>
              </c:ext>
            </c:extLst>
          </c:dPt>
          <c:dPt>
            <c:idx val="4"/>
            <c:invertIfNegative val="0"/>
            <c:bubble3D val="0"/>
            <c:extLst>
              <c:ext xmlns:c16="http://schemas.microsoft.com/office/drawing/2014/chart" uri="{C3380CC4-5D6E-409C-BE32-E72D297353CC}">
                <c16:uniqueId val="{00000001-8BAD-4967-A3C2-421106532572}"/>
              </c:ext>
            </c:extLst>
          </c:dPt>
          <c:dPt>
            <c:idx val="5"/>
            <c:invertIfNegative val="0"/>
            <c:bubble3D val="0"/>
            <c:extLst>
              <c:ext xmlns:c16="http://schemas.microsoft.com/office/drawing/2014/chart" uri="{C3380CC4-5D6E-409C-BE32-E72D297353CC}">
                <c16:uniqueId val="{00000002-8BAD-4967-A3C2-421106532572}"/>
              </c:ext>
            </c:extLst>
          </c:dPt>
          <c:dLbls>
            <c:dLbl>
              <c:idx val="5"/>
              <c:layout>
                <c:manualLayout>
                  <c:x val="-3.5628042677385882E-2"/>
                  <c:y val="2.2575911502426909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25683939272192063"/>
                      <c:h val="6.1880573428152161E-2"/>
                    </c:manualLayout>
                  </c15:layout>
                </c:ext>
                <c:ext xmlns:c16="http://schemas.microsoft.com/office/drawing/2014/chart" uri="{C3380CC4-5D6E-409C-BE32-E72D297353CC}">
                  <c16:uniqueId val="{00000002-8BAD-4967-A3C2-421106532572}"/>
                </c:ext>
              </c:extLst>
            </c:dLbl>
            <c:numFmt formatCode="#,##0.00\ &quot;zł&quot;" sourceLinked="0"/>
            <c:spPr>
              <a:noFill/>
              <a:ln>
                <a:noFill/>
              </a:ln>
              <a:effectLst/>
            </c:spPr>
            <c:txPr>
              <a:bodyPr wrap="none" lIns="38100" tIns="19050" rIns="38100" bIns="19050" anchor="ctr">
                <a:spAutoFit/>
              </a:bodyPr>
              <a:lstStyle/>
              <a:p>
                <a:pPr>
                  <a:defRPr sz="900" b="1">
                    <a:latin typeface="Arial" panose="020B0604020202020204" pitchFamily="34" charset="0"/>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Arkusz2!$A$2:$A$7</c:f>
              <c:strCache>
                <c:ptCount val="6"/>
                <c:pt idx="0">
                  <c:v> Zastosowanie kryterium kosztu z wykorzystaniem rachunku kosztów cyklu życia, o którym mowa w art. 245 ust. 1 ustawy Pzp </c:v>
                </c:pt>
                <c:pt idx="1">
                  <c:v> Określenie wymogu spełniania wymagań odpowiednich systemów lub norm zarządzania środowiskowego zgodnie z art. 116 ust. 1 ustawy Pzp </c:v>
                </c:pt>
                <c:pt idx="2">
                  <c:v> Określenie etykiety związanej z aspektami środowiskowymi albo innego przedmiotowego środka dowodowego, o których mowa w art. 104 ustawy Pzp </c:v>
                </c:pt>
                <c:pt idx="3">
                  <c:v> Określenie wymagań zw. z realizacją zamówienia obejmujących aspekty środowiskowe, o których mowa w art. 96 ust. 1 ustawy Pzp </c:v>
                </c:pt>
                <c:pt idx="4">
                  <c:v> Określenie w kryteriach oceny ofert aspektów środowiskowych, w tym efektywności energetycznej przedmiotu zamówienia, o których mowa w art. 242 ust. 2 ustawy Pzp </c:v>
                </c:pt>
                <c:pt idx="5">
                  <c:v> Określenie w opisie przedmiotu zamówienia wymagań środowiskowych zgodnie z art. 101 ustawy Pzp </c:v>
                </c:pt>
              </c:strCache>
            </c:strRef>
          </c:cat>
          <c:val>
            <c:numRef>
              <c:f>Arkusz2!$B$2:$B$7</c:f>
              <c:numCache>
                <c:formatCode>" "* #\ ##0.00" "[$zł-415]" ";"-"* #\ ##0.00" "[$zł-415]" ";" "* "-"#" "[$zł-415]" ";" "@" "</c:formatCode>
                <c:ptCount val="6"/>
                <c:pt idx="0">
                  <c:v>19942200</c:v>
                </c:pt>
                <c:pt idx="1">
                  <c:v>33024234.260000002</c:v>
                </c:pt>
                <c:pt idx="2">
                  <c:v>565755866.45000005</c:v>
                </c:pt>
                <c:pt idx="3">
                  <c:v>654996533.29999995</c:v>
                </c:pt>
                <c:pt idx="4">
                  <c:v>811924475.00999999</c:v>
                </c:pt>
                <c:pt idx="5">
                  <c:v>1768099654.47999</c:v>
                </c:pt>
              </c:numCache>
            </c:numRef>
          </c:val>
          <c:extLst>
            <c:ext xmlns:c16="http://schemas.microsoft.com/office/drawing/2014/chart" uri="{C3380CC4-5D6E-409C-BE32-E72D297353CC}">
              <c16:uniqueId val="{00000003-8BAD-4967-A3C2-421106532572}"/>
            </c:ext>
          </c:extLst>
        </c:ser>
        <c:dLbls>
          <c:dLblPos val="outEnd"/>
          <c:showLegendKey val="0"/>
          <c:showVal val="1"/>
          <c:showCatName val="0"/>
          <c:showSerName val="0"/>
          <c:showPercent val="0"/>
          <c:showBubbleSize val="0"/>
        </c:dLbls>
        <c:gapWidth val="182"/>
        <c:axId val="776084079"/>
        <c:axId val="776087919"/>
      </c:barChart>
      <c:valAx>
        <c:axId val="776087919"/>
        <c:scaling>
          <c:orientation val="minMax"/>
        </c:scaling>
        <c:delete val="1"/>
        <c:axPos val="b"/>
        <c:majorGridlines>
          <c:spPr>
            <a:ln w="9528" cap="flat">
              <a:solidFill>
                <a:srgbClr val="D9D9D9"/>
              </a:solidFill>
              <a:prstDash val="solid"/>
              <a:round/>
            </a:ln>
          </c:spPr>
        </c:majorGridlines>
        <c:numFmt formatCode="&quot; &quot;* #\ ##0.00&quot; &quot;[$zł-415]&quot; &quot;;&quot;-&quot;* #\ ##0.00&quot; &quot;[$zł-415]&quot; &quot;;&quot; &quot;* &quot;-&quot;#&quot; &quot;[$zł-415]&quot; &quot;;&quot; &quot;@&quot; &quot;" sourceLinked="1"/>
        <c:majorTickMark val="none"/>
        <c:minorTickMark val="none"/>
        <c:tickLblPos val="nextTo"/>
        <c:crossAx val="776084079"/>
        <c:crosses val="autoZero"/>
        <c:crossBetween val="between"/>
      </c:valAx>
      <c:catAx>
        <c:axId val="776084079"/>
        <c:scaling>
          <c:orientation val="minMax"/>
        </c:scaling>
        <c:delete val="0"/>
        <c:axPos val="l"/>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Arial" pitchFamily="34"/>
                <a:cs typeface="Arial" pitchFamily="34"/>
              </a:defRPr>
            </a:pPr>
            <a:endParaRPr lang="pl-PL"/>
          </a:p>
        </c:txPr>
        <c:crossAx val="776087919"/>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Aptos Narrow"/>
        </a:defRPr>
      </a:pPr>
      <a:endParaRPr lang="pl-PL"/>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Arkusz3!$B$1</c:f>
              <c:strCache>
                <c:ptCount val="1"/>
                <c:pt idx="0">
                  <c:v>Liczba zamówień</c:v>
                </c:pt>
              </c:strCache>
            </c:strRef>
          </c:tx>
          <c:spPr>
            <a:solidFill>
              <a:srgbClr val="FFFFCC"/>
            </a:solidFill>
            <a:ln w="9528">
              <a:solidFill>
                <a:srgbClr val="F6C6AD"/>
              </a:solidFill>
              <a:prstDash val="solid"/>
            </a:ln>
          </c:spPr>
          <c:invertIfNegative val="0"/>
          <c:dPt>
            <c:idx val="0"/>
            <c:invertIfNegative val="0"/>
            <c:bubble3D val="0"/>
            <c:spPr>
              <a:solidFill>
                <a:schemeClr val="accent4">
                  <a:lumMod val="20000"/>
                  <a:lumOff val="80000"/>
                </a:schemeClr>
              </a:solidFill>
              <a:ln w="9528">
                <a:solidFill>
                  <a:schemeClr val="accent4">
                    <a:lumMod val="40000"/>
                    <a:lumOff val="60000"/>
                  </a:schemeClr>
                </a:solidFill>
                <a:prstDash val="solid"/>
              </a:ln>
            </c:spPr>
            <c:extLst>
              <c:ext xmlns:c16="http://schemas.microsoft.com/office/drawing/2014/chart" uri="{C3380CC4-5D6E-409C-BE32-E72D297353CC}">
                <c16:uniqueId val="{00000001-CD7A-4D64-8225-12D9B3378DFE}"/>
              </c:ext>
            </c:extLst>
          </c:dPt>
          <c:dPt>
            <c:idx val="1"/>
            <c:invertIfNegative val="0"/>
            <c:bubble3D val="0"/>
            <c:spPr>
              <a:solidFill>
                <a:schemeClr val="accent4">
                  <a:lumMod val="20000"/>
                  <a:lumOff val="80000"/>
                </a:schemeClr>
              </a:solidFill>
              <a:ln w="9528">
                <a:solidFill>
                  <a:schemeClr val="accent4">
                    <a:lumMod val="40000"/>
                    <a:lumOff val="60000"/>
                  </a:schemeClr>
                </a:solidFill>
                <a:prstDash val="solid"/>
              </a:ln>
            </c:spPr>
            <c:extLst>
              <c:ext xmlns:c16="http://schemas.microsoft.com/office/drawing/2014/chart" uri="{C3380CC4-5D6E-409C-BE32-E72D297353CC}">
                <c16:uniqueId val="{00000003-CD7A-4D64-8225-12D9B3378DFE}"/>
              </c:ext>
            </c:extLst>
          </c:dPt>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1" i="0" u="none" strike="noStrike" kern="1200" baseline="0">
                    <a:solidFill>
                      <a:srgbClr val="404040"/>
                    </a:solidFill>
                    <a:latin typeface="Arial" pitchFamily="34"/>
                    <a:cs typeface="Arial" pitchFamily="34"/>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Arkusz3!$A$2:$A$3</c:f>
              <c:strCache>
                <c:ptCount val="2"/>
                <c:pt idx="0">
                  <c:v>Określenie w kryteriach oceny ofert aspektów innowacyjnych, o których mowa w art. 242 ust. 2 ustawy Pzp</c:v>
                </c:pt>
                <c:pt idx="1">
                  <c:v>Określenie wymagań zw. z realizacją zamówienia obejmujących aspekty zw. z innowacyjnością, o których mowa w art. 96 ust. 1 ustawy Pzp</c:v>
                </c:pt>
              </c:strCache>
            </c:strRef>
          </c:cat>
          <c:val>
            <c:numRef>
              <c:f>Arkusz3!$B$2:$B$3</c:f>
              <c:numCache>
                <c:formatCode>General</c:formatCode>
                <c:ptCount val="2"/>
                <c:pt idx="0">
                  <c:v>18</c:v>
                </c:pt>
                <c:pt idx="1">
                  <c:v>24</c:v>
                </c:pt>
              </c:numCache>
            </c:numRef>
          </c:val>
          <c:extLst>
            <c:ext xmlns:c16="http://schemas.microsoft.com/office/drawing/2014/chart" uri="{C3380CC4-5D6E-409C-BE32-E72D297353CC}">
              <c16:uniqueId val="{00000004-CD7A-4D64-8225-12D9B3378DFE}"/>
            </c:ext>
          </c:extLst>
        </c:ser>
        <c:dLbls>
          <c:showLegendKey val="0"/>
          <c:showVal val="0"/>
          <c:showCatName val="0"/>
          <c:showSerName val="0"/>
          <c:showPercent val="0"/>
          <c:showBubbleSize val="0"/>
        </c:dLbls>
        <c:gapWidth val="182"/>
        <c:axId val="776095119"/>
        <c:axId val="776091279"/>
      </c:barChart>
      <c:valAx>
        <c:axId val="776091279"/>
        <c:scaling>
          <c:orientation val="minMax"/>
        </c:scaling>
        <c:delete val="0"/>
        <c:axPos val="b"/>
        <c:majorGridlines>
          <c:spPr>
            <a:ln w="9528" cap="flat">
              <a:solidFill>
                <a:srgbClr val="D9D9D9"/>
              </a:solidFill>
              <a:prstDash val="solid"/>
              <a:round/>
            </a:ln>
          </c:spPr>
        </c:majorGridlines>
        <c:numFmt formatCode="General" sourceLinked="1"/>
        <c:majorTickMark val="out"/>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Aptos Narrow"/>
              </a:defRPr>
            </a:pPr>
            <a:endParaRPr lang="pl-PL"/>
          </a:p>
        </c:txPr>
        <c:crossAx val="776095119"/>
        <c:crosses val="autoZero"/>
        <c:crossBetween val="between"/>
      </c:valAx>
      <c:catAx>
        <c:axId val="776095119"/>
        <c:scaling>
          <c:orientation val="minMax"/>
        </c:scaling>
        <c:delete val="0"/>
        <c:axPos val="l"/>
        <c:numFmt formatCode="General" sourceLinked="1"/>
        <c:majorTickMark val="out"/>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Arial" pitchFamily="34"/>
                <a:cs typeface="Arial" pitchFamily="34"/>
              </a:defRPr>
            </a:pPr>
            <a:endParaRPr lang="pl-PL"/>
          </a:p>
        </c:txPr>
        <c:crossAx val="776091279"/>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Aptos Narrow"/>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1"/>
          <c:order val="1"/>
          <c:tx>
            <c:strRef>
              <c:f>Arkusz1!$C$1</c:f>
              <c:strCache>
                <c:ptCount val="1"/>
                <c:pt idx="0">
                  <c:v>liczba</c:v>
                </c:pt>
              </c:strCache>
            </c:strRef>
          </c:tx>
          <c:spPr>
            <a:solidFill>
              <a:schemeClr val="accent2"/>
            </a:solidFill>
            <a:ln>
              <a:noFill/>
            </a:ln>
            <a:effectLst/>
          </c:spPr>
          <c:invertIfNegative val="0"/>
          <c:dLbls>
            <c:spPr>
              <a:noFill/>
              <a:ln>
                <a:noFill/>
              </a:ln>
              <a:effectLst/>
            </c:spPr>
            <c:txPr>
              <a:bodyPr rot="0" spcFirstLastPara="1" vertOverflow="overflow" horzOverflow="overflow"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2021</c:v>
                </c:pt>
                <c:pt idx="1">
                  <c:v>2022</c:v>
                </c:pt>
                <c:pt idx="2">
                  <c:v>2023</c:v>
                </c:pt>
                <c:pt idx="3">
                  <c:v>2024</c:v>
                </c:pt>
                <c:pt idx="4">
                  <c:v>2025</c:v>
                </c:pt>
              </c:strCache>
            </c:strRef>
          </c:cat>
          <c:val>
            <c:numRef>
              <c:f>Arkusz1!$C$2:$C$6</c:f>
              <c:numCache>
                <c:formatCode>General</c:formatCode>
                <c:ptCount val="5"/>
                <c:pt idx="0">
                  <c:v>3042</c:v>
                </c:pt>
                <c:pt idx="1">
                  <c:v>3239</c:v>
                </c:pt>
                <c:pt idx="2">
                  <c:v>3027</c:v>
                </c:pt>
                <c:pt idx="3">
                  <c:v>3032</c:v>
                </c:pt>
                <c:pt idx="4">
                  <c:v>3247</c:v>
                </c:pt>
              </c:numCache>
            </c:numRef>
          </c:val>
          <c:extLst>
            <c:ext xmlns:c16="http://schemas.microsoft.com/office/drawing/2014/chart" uri="{C3380CC4-5D6E-409C-BE32-E72D297353CC}">
              <c16:uniqueId val="{00000000-1EB8-4297-ACDB-9EA392E1197F}"/>
            </c:ext>
          </c:extLst>
        </c:ser>
        <c:dLbls>
          <c:showLegendKey val="0"/>
          <c:showVal val="0"/>
          <c:showCatName val="0"/>
          <c:showSerName val="0"/>
          <c:showPercent val="0"/>
          <c:showBubbleSize val="0"/>
        </c:dLbls>
        <c:gapWidth val="150"/>
        <c:overlap val="100"/>
        <c:axId val="420944352"/>
        <c:axId val="420950424"/>
      </c:barChart>
      <c:lineChart>
        <c:grouping val="standard"/>
        <c:varyColors val="0"/>
        <c:ser>
          <c:idx val="0"/>
          <c:order val="0"/>
          <c:tx>
            <c:strRef>
              <c:f>Arkusz1!$B$1</c:f>
              <c:strCache>
                <c:ptCount val="1"/>
                <c:pt idx="0">
                  <c:v>wartość (mld zł.)</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2021</c:v>
                </c:pt>
                <c:pt idx="1">
                  <c:v>2022</c:v>
                </c:pt>
                <c:pt idx="2">
                  <c:v>2023</c:v>
                </c:pt>
                <c:pt idx="3">
                  <c:v>2024</c:v>
                </c:pt>
                <c:pt idx="4">
                  <c:v>2025</c:v>
                </c:pt>
              </c:strCache>
            </c:strRef>
          </c:cat>
          <c:val>
            <c:numRef>
              <c:f>Arkusz1!$B$2:$B$6</c:f>
              <c:numCache>
                <c:formatCode>General</c:formatCode>
                <c:ptCount val="5"/>
                <c:pt idx="0">
                  <c:v>32.451000000000001</c:v>
                </c:pt>
                <c:pt idx="1">
                  <c:v>64.186999999999998</c:v>
                </c:pt>
                <c:pt idx="2">
                  <c:v>58.332000000000001</c:v>
                </c:pt>
                <c:pt idx="3">
                  <c:v>85.471000000000004</c:v>
                </c:pt>
                <c:pt idx="4">
                  <c:v>84.3</c:v>
                </c:pt>
              </c:numCache>
            </c:numRef>
          </c:val>
          <c:smooth val="0"/>
          <c:extLst>
            <c:ext xmlns:c16="http://schemas.microsoft.com/office/drawing/2014/chart" uri="{C3380CC4-5D6E-409C-BE32-E72D297353CC}">
              <c16:uniqueId val="{00000001-1EB8-4297-ACDB-9EA392E1197F}"/>
            </c:ext>
          </c:extLst>
        </c:ser>
        <c:dLbls>
          <c:showLegendKey val="0"/>
          <c:showVal val="0"/>
          <c:showCatName val="0"/>
          <c:showSerName val="0"/>
          <c:showPercent val="0"/>
          <c:showBubbleSize val="0"/>
        </c:dLbls>
        <c:marker val="1"/>
        <c:smooth val="0"/>
        <c:axId val="420946976"/>
        <c:axId val="420947304"/>
      </c:lineChart>
      <c:catAx>
        <c:axId val="420946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20947304"/>
        <c:crosses val="autoZero"/>
        <c:auto val="1"/>
        <c:lblAlgn val="ctr"/>
        <c:lblOffset val="100"/>
        <c:noMultiLvlLbl val="0"/>
      </c:catAx>
      <c:valAx>
        <c:axId val="420947304"/>
        <c:scaling>
          <c:orientation val="minMax"/>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0946976"/>
        <c:crosses val="autoZero"/>
        <c:crossBetween val="between"/>
      </c:valAx>
      <c:valAx>
        <c:axId val="420950424"/>
        <c:scaling>
          <c:orientation val="minMax"/>
          <c:min val="2000"/>
        </c:scaling>
        <c:delete val="0"/>
        <c:axPos val="r"/>
        <c:numFmt formatCode="General"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0944352"/>
        <c:crosses val="max"/>
        <c:crossBetween val="between"/>
      </c:valAx>
      <c:catAx>
        <c:axId val="420944352"/>
        <c:scaling>
          <c:orientation val="minMax"/>
        </c:scaling>
        <c:delete val="1"/>
        <c:axPos val="b"/>
        <c:numFmt formatCode="General" sourceLinked="1"/>
        <c:majorTickMark val="out"/>
        <c:minorTickMark val="none"/>
        <c:tickLblPos val="nextTo"/>
        <c:crossAx val="420950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Arkusz4!$B$1</c:f>
              <c:strCache>
                <c:ptCount val="1"/>
                <c:pt idx="0">
                  <c:v> Wartość zamówień </c:v>
                </c:pt>
              </c:strCache>
            </c:strRef>
          </c:tx>
          <c:spPr>
            <a:solidFill>
              <a:schemeClr val="accent4">
                <a:lumMod val="20000"/>
                <a:lumOff val="80000"/>
              </a:schemeClr>
            </a:solidFill>
            <a:ln w="9528">
              <a:solidFill>
                <a:schemeClr val="accent4">
                  <a:lumMod val="40000"/>
                  <a:lumOff val="60000"/>
                </a:schemeClr>
              </a:solidFill>
              <a:prstDash val="solid"/>
            </a:ln>
          </c:spPr>
          <c:invertIfNegative val="0"/>
          <c:dPt>
            <c:idx val="0"/>
            <c:invertIfNegative val="0"/>
            <c:bubble3D val="0"/>
            <c:extLst>
              <c:ext xmlns:c16="http://schemas.microsoft.com/office/drawing/2014/chart" uri="{C3380CC4-5D6E-409C-BE32-E72D297353CC}">
                <c16:uniqueId val="{00000000-1125-496D-BD2F-23FCE08A82E8}"/>
              </c:ext>
            </c:extLst>
          </c:dPt>
          <c:dPt>
            <c:idx val="1"/>
            <c:invertIfNegative val="0"/>
            <c:bubble3D val="0"/>
            <c:extLst>
              <c:ext xmlns:c16="http://schemas.microsoft.com/office/drawing/2014/chart" uri="{C3380CC4-5D6E-409C-BE32-E72D297353CC}">
                <c16:uniqueId val="{00000001-1125-496D-BD2F-23FCE08A82E8}"/>
              </c:ext>
            </c:extLst>
          </c:dPt>
          <c:dLbls>
            <c:dLbl>
              <c:idx val="0"/>
              <c:layout>
                <c:manualLayout>
                  <c:x val="-3.7500000000000103E-2"/>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23829155730533683"/>
                      <c:h val="0.12689814814814815"/>
                    </c:manualLayout>
                  </c15:layout>
                </c:ext>
                <c:ext xmlns:c16="http://schemas.microsoft.com/office/drawing/2014/chart" uri="{C3380CC4-5D6E-409C-BE32-E72D297353CC}">
                  <c16:uniqueId val="{00000000-1125-496D-BD2F-23FCE08A82E8}"/>
                </c:ext>
              </c:extLst>
            </c:dLbl>
            <c:dLbl>
              <c:idx val="1"/>
              <c:layout>
                <c:manualLayout>
                  <c:x val="-3.1944444444444442E-2"/>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22718044619422573"/>
                      <c:h val="0.12689814814814815"/>
                    </c:manualLayout>
                  </c15:layout>
                </c:ext>
                <c:ext xmlns:c16="http://schemas.microsoft.com/office/drawing/2014/chart" uri="{C3380CC4-5D6E-409C-BE32-E72D297353CC}">
                  <c16:uniqueId val="{00000001-1125-496D-BD2F-23FCE08A82E8}"/>
                </c:ext>
              </c:extLst>
            </c:dLbl>
            <c:numFmt formatCode="#,##0.00\ &quot;zł&quot;" sourceLinked="0"/>
            <c:spPr>
              <a:noFill/>
              <a:ln>
                <a:noFill/>
              </a:ln>
              <a:effectLst/>
            </c:spPr>
            <c:txPr>
              <a:bodyPr wrap="none" lIns="38100" tIns="19050" rIns="38100" bIns="19050" anchor="ctr">
                <a:spAutoFit/>
              </a:bodyPr>
              <a:lstStyle/>
              <a:p>
                <a:pPr>
                  <a:defRPr b="1"/>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Arkusz4!$A$2:$A$3</c:f>
              <c:strCache>
                <c:ptCount val="2"/>
                <c:pt idx="0">
                  <c:v>Określenie w kryteriach oceny ofert aspektów innowacyjnych, o których mowa w art. 242 ust. 2 ustawy Pzp</c:v>
                </c:pt>
                <c:pt idx="1">
                  <c:v>Określenie wymagań zw. z realizacją zamówienia obejmujących aspekty zw. z innowacyjnością, o których mowa w art. 96 ust. 1 ustawy Pzp</c:v>
                </c:pt>
              </c:strCache>
            </c:strRef>
          </c:cat>
          <c:val>
            <c:numRef>
              <c:f>Arkusz4!$B$2:$B$3</c:f>
              <c:numCache>
                <c:formatCode>" "* #\ ##0.00" "[$zł-415]" ";"-"* #\ ##0.00" "[$zł-415]" ";" "* "-"#" "[$zł-415]" ";" "@" "</c:formatCode>
                <c:ptCount val="2"/>
                <c:pt idx="0">
                  <c:v>316580573.99000001</c:v>
                </c:pt>
                <c:pt idx="1">
                  <c:v>449235471.29000002</c:v>
                </c:pt>
              </c:numCache>
            </c:numRef>
          </c:val>
          <c:extLst>
            <c:ext xmlns:c16="http://schemas.microsoft.com/office/drawing/2014/chart" uri="{C3380CC4-5D6E-409C-BE32-E72D297353CC}">
              <c16:uniqueId val="{00000002-1125-496D-BD2F-23FCE08A82E8}"/>
            </c:ext>
          </c:extLst>
        </c:ser>
        <c:dLbls>
          <c:dLblPos val="outEnd"/>
          <c:showLegendKey val="0"/>
          <c:showVal val="1"/>
          <c:showCatName val="0"/>
          <c:showSerName val="0"/>
          <c:showPercent val="0"/>
          <c:showBubbleSize val="0"/>
        </c:dLbls>
        <c:gapWidth val="182"/>
        <c:axId val="776102799"/>
        <c:axId val="776095599"/>
      </c:barChart>
      <c:valAx>
        <c:axId val="776095599"/>
        <c:scaling>
          <c:orientation val="minMax"/>
        </c:scaling>
        <c:delete val="1"/>
        <c:axPos val="b"/>
        <c:majorGridlines>
          <c:spPr>
            <a:ln w="9528" cap="flat">
              <a:solidFill>
                <a:srgbClr val="D9D9D9"/>
              </a:solidFill>
              <a:prstDash val="solid"/>
              <a:round/>
            </a:ln>
          </c:spPr>
        </c:majorGridlines>
        <c:numFmt formatCode="&quot; &quot;* #\ ##0.00&quot; &quot;[$zł-415]&quot; &quot;;&quot;-&quot;* #\ ##0.00&quot; &quot;[$zł-415]&quot; &quot;;&quot; &quot;* &quot;-&quot;#&quot; &quot;[$zł-415]&quot; &quot;;&quot; &quot;@&quot; &quot;" sourceLinked="1"/>
        <c:majorTickMark val="none"/>
        <c:minorTickMark val="none"/>
        <c:tickLblPos val="nextTo"/>
        <c:crossAx val="776102799"/>
        <c:crosses val="autoZero"/>
        <c:crossBetween val="between"/>
      </c:valAx>
      <c:catAx>
        <c:axId val="776102799"/>
        <c:scaling>
          <c:orientation val="minMax"/>
        </c:scaling>
        <c:delete val="0"/>
        <c:axPos val="l"/>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Arial" pitchFamily="34"/>
                <a:cs typeface="Arial" pitchFamily="34"/>
              </a:defRPr>
            </a:pPr>
            <a:endParaRPr lang="pl-PL"/>
          </a:p>
        </c:txPr>
        <c:crossAx val="776095599"/>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361111111111112"/>
          <c:y val="3.9351851851851853E-2"/>
          <c:w val="0.55833333333333335"/>
          <c:h val="0.93055555555555558"/>
        </c:manualLayout>
      </c:layout>
      <c:pieChart>
        <c:varyColors val="1"/>
        <c:ser>
          <c:idx val="0"/>
          <c:order val="0"/>
          <c:tx>
            <c:strRef>
              <c:f>Sheet1!$B$1</c:f>
              <c:strCache>
                <c:ptCount val="1"/>
                <c:pt idx="0">
                  <c:v>Series 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AE2-4721-8DAA-B4B31C5998D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AE2-4721-8DAA-B4B31C5998D2}"/>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dk1">
                        <a:lumMod val="65000"/>
                        <a:lumOff val="35000"/>
                      </a:schemeClr>
                    </a:solidFill>
                    <a:latin typeface="+mn-lt"/>
                    <a:ea typeface="+mn-ea"/>
                    <a:cs typeface="+mn-cs"/>
                  </a:defRPr>
                </a:pPr>
                <a:endParaRPr lang="pl-PL"/>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Sheet1!$A$2:$A$3</c:f>
              <c:strCache>
                <c:ptCount val="2"/>
                <c:pt idx="0">
                  <c:v>nieobowiązkowe</c:v>
                </c:pt>
                <c:pt idx="1">
                  <c:v>obowiązkowe</c:v>
                </c:pt>
              </c:strCache>
            </c:strRef>
          </c:cat>
          <c:val>
            <c:numRef>
              <c:f>Sheet1!$B$2:$B$3</c:f>
              <c:numCache>
                <c:formatCode>0%</c:formatCode>
                <c:ptCount val="2"/>
                <c:pt idx="0">
                  <c:v>0.86</c:v>
                </c:pt>
                <c:pt idx="1">
                  <c:v>0.14000000000000001</c:v>
                </c:pt>
              </c:numCache>
            </c:numRef>
          </c:val>
          <c:extLst>
            <c:ext xmlns:c16="http://schemas.microsoft.com/office/drawing/2014/chart" uri="{C3380CC4-5D6E-409C-BE32-E72D297353CC}">
              <c16:uniqueId val="{00000004-AAE2-4721-8DAA-B4B31C5998D2}"/>
            </c:ext>
          </c:extLst>
        </c:ser>
        <c:dLbls>
          <c:showLegendKey val="0"/>
          <c:showVal val="0"/>
          <c:showCatName val="0"/>
          <c:showSerName val="0"/>
          <c:showPercent val="0"/>
          <c:showBubbleSize val="0"/>
          <c:showLeaderLines val="0"/>
        </c:dLbls>
        <c:firstSliceAng val="69"/>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9992666357881736E-2"/>
          <c:y val="5.0925925925925923E-2"/>
          <c:w val="0.91945171375636869"/>
          <c:h val="0.7213735783027122"/>
        </c:manualLayout>
      </c:layout>
      <c:barChart>
        <c:barDir val="col"/>
        <c:grouping val="clustered"/>
        <c:varyColors val="1"/>
        <c:ser>
          <c:idx val="0"/>
          <c:order val="0"/>
          <c:tx>
            <c:strRef>
              <c:f>Sheet1!$B$1</c:f>
              <c:strCache>
                <c:ptCount val="1"/>
                <c:pt idx="0">
                  <c:v>Series 1</c:v>
                </c:pt>
              </c:strCache>
            </c:strRef>
          </c:tx>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EABD-430B-8975-333CC3BDCA33}"/>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EABD-430B-8975-333CC3BDCA33}"/>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EABD-430B-8975-333CC3BDCA33}"/>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EABD-430B-8975-333CC3BDCA33}"/>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EABD-430B-8975-333CC3BDCA33}"/>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B-EABD-430B-8975-333CC3BDCA33}"/>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2024</c:v>
                </c:pt>
                <c:pt idx="1">
                  <c:v>2025</c:v>
                </c:pt>
                <c:pt idx="2">
                  <c:v>roboty budowlane</c:v>
                </c:pt>
                <c:pt idx="3">
                  <c:v>dostawy</c:v>
                </c:pt>
                <c:pt idx="4">
                  <c:v>usługi</c:v>
                </c:pt>
              </c:strCache>
            </c:strRef>
          </c:cat>
          <c:val>
            <c:numRef>
              <c:f>Sheet1!$B$2:$B$6</c:f>
              <c:numCache>
                <c:formatCode>0.00%</c:formatCode>
                <c:ptCount val="5"/>
                <c:pt idx="0">
                  <c:v>5.5999999999999999E-3</c:v>
                </c:pt>
                <c:pt idx="1">
                  <c:v>6.4999999999999997E-3</c:v>
                </c:pt>
                <c:pt idx="2">
                  <c:v>2.8999999999999998E-3</c:v>
                </c:pt>
                <c:pt idx="3">
                  <c:v>1.03E-2</c:v>
                </c:pt>
                <c:pt idx="4">
                  <c:v>5.3E-3</c:v>
                </c:pt>
              </c:numCache>
            </c:numRef>
          </c:val>
          <c:extLst>
            <c:ext xmlns:c16="http://schemas.microsoft.com/office/drawing/2014/chart" uri="{C3380CC4-5D6E-409C-BE32-E72D297353CC}">
              <c16:uniqueId val="{0000000C-EABD-430B-8975-333CC3BDCA33}"/>
            </c:ext>
          </c:extLst>
        </c:ser>
        <c:dLbls>
          <c:showLegendKey val="0"/>
          <c:showVal val="0"/>
          <c:showCatName val="0"/>
          <c:showSerName val="0"/>
          <c:showPercent val="0"/>
          <c:showBubbleSize val="0"/>
        </c:dLbls>
        <c:gapWidth val="90"/>
        <c:overlap val="-27"/>
        <c:axId val="584609160"/>
        <c:axId val="312605544"/>
      </c:barChart>
      <c:catAx>
        <c:axId val="584609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312605544"/>
        <c:crosses val="autoZero"/>
        <c:auto val="1"/>
        <c:lblAlgn val="ctr"/>
        <c:lblOffset val="100"/>
        <c:noMultiLvlLbl val="0"/>
      </c:catAx>
      <c:valAx>
        <c:axId val="312605544"/>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846091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userShapes r:id="rId5"/>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wstępne konsultacje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ogółem</c:v>
                </c:pt>
                <c:pt idx="1">
                  <c:v>roboty budowlane</c:v>
                </c:pt>
                <c:pt idx="2">
                  <c:v>dostawy</c:v>
                </c:pt>
                <c:pt idx="3">
                  <c:v>usługi</c:v>
                </c:pt>
              </c:strCache>
            </c:strRef>
          </c:cat>
          <c:val>
            <c:numRef>
              <c:f>Sheet1!$B$2:$B$5</c:f>
              <c:numCache>
                <c:formatCode>0.00</c:formatCode>
                <c:ptCount val="4"/>
                <c:pt idx="0">
                  <c:v>2.5</c:v>
                </c:pt>
                <c:pt idx="1">
                  <c:v>3.49</c:v>
                </c:pt>
                <c:pt idx="2">
                  <c:v>2.29</c:v>
                </c:pt>
                <c:pt idx="3">
                  <c:v>2.89</c:v>
                </c:pt>
              </c:numCache>
            </c:numRef>
          </c:val>
          <c:extLst>
            <c:ext xmlns:c16="http://schemas.microsoft.com/office/drawing/2014/chart" uri="{C3380CC4-5D6E-409C-BE32-E72D297353CC}">
              <c16:uniqueId val="{00000000-0240-4B6F-BAC7-6A6956454C6E}"/>
            </c:ext>
          </c:extLst>
        </c:ser>
        <c:ser>
          <c:idx val="1"/>
          <c:order val="1"/>
          <c:tx>
            <c:strRef>
              <c:f>Sheet1!$C$1</c:f>
              <c:strCache>
                <c:ptCount val="1"/>
                <c:pt idx="0">
                  <c:v>ogółem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ogółem</c:v>
                </c:pt>
                <c:pt idx="1">
                  <c:v>roboty budowlane</c:v>
                </c:pt>
                <c:pt idx="2">
                  <c:v>dostawy</c:v>
                </c:pt>
                <c:pt idx="3">
                  <c:v>usługi</c:v>
                </c:pt>
              </c:strCache>
            </c:strRef>
          </c:cat>
          <c:val>
            <c:numRef>
              <c:f>Sheet1!$C$2:$C$5</c:f>
              <c:numCache>
                <c:formatCode>0.00</c:formatCode>
                <c:ptCount val="4"/>
                <c:pt idx="0">
                  <c:v>3</c:v>
                </c:pt>
                <c:pt idx="1">
                  <c:v>4.8</c:v>
                </c:pt>
                <c:pt idx="2">
                  <c:v>2.4</c:v>
                </c:pt>
                <c:pt idx="3">
                  <c:v>2.9</c:v>
                </c:pt>
              </c:numCache>
            </c:numRef>
          </c:val>
          <c:extLst>
            <c:ext xmlns:c16="http://schemas.microsoft.com/office/drawing/2014/chart" uri="{C3380CC4-5D6E-409C-BE32-E72D297353CC}">
              <c16:uniqueId val="{00000001-0240-4B6F-BAC7-6A6956454C6E}"/>
            </c:ext>
          </c:extLst>
        </c:ser>
        <c:dLbls>
          <c:showLegendKey val="0"/>
          <c:showVal val="0"/>
          <c:showCatName val="0"/>
          <c:showSerName val="0"/>
          <c:showPercent val="0"/>
          <c:showBubbleSize val="0"/>
        </c:dLbls>
        <c:gapWidth val="219"/>
        <c:overlap val="-27"/>
        <c:axId val="524812048"/>
        <c:axId val="524815328"/>
      </c:barChart>
      <c:catAx>
        <c:axId val="52481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524815328"/>
        <c:crosses val="autoZero"/>
        <c:auto val="1"/>
        <c:lblAlgn val="ctr"/>
        <c:lblOffset val="100"/>
        <c:noMultiLvlLbl val="0"/>
      </c:catAx>
      <c:valAx>
        <c:axId val="524815328"/>
        <c:scaling>
          <c:orientation val="minMax"/>
        </c:scaling>
        <c:delete val="0"/>
        <c:axPos val="l"/>
        <c:majorGridlines>
          <c:spPr>
            <a:ln w="9525" cap="flat" cmpd="sng" algn="ctr">
              <a:no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4812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wstępne konsultacje</c:v>
                </c:pt>
                <c:pt idx="1">
                  <c:v>ogółem</c:v>
                </c:pt>
              </c:strCache>
            </c:strRef>
          </c:cat>
          <c:val>
            <c:numRef>
              <c:f>Sheet1!$B$2:$B$3</c:f>
              <c:numCache>
                <c:formatCode>0.00%</c:formatCode>
                <c:ptCount val="2"/>
                <c:pt idx="0">
                  <c:v>0.74670000000000003</c:v>
                </c:pt>
                <c:pt idx="1">
                  <c:v>0.74950000000000006</c:v>
                </c:pt>
              </c:numCache>
            </c:numRef>
          </c:val>
          <c:extLst>
            <c:ext xmlns:c16="http://schemas.microsoft.com/office/drawing/2014/chart" uri="{C3380CC4-5D6E-409C-BE32-E72D297353CC}">
              <c16:uniqueId val="{00000000-60C6-4B7C-96B1-72CA480C3053}"/>
            </c:ext>
          </c:extLst>
        </c:ser>
        <c:ser>
          <c:idx val="1"/>
          <c:order val="1"/>
          <c:tx>
            <c:strRef>
              <c:f>Sheet1!$C$1</c:f>
              <c:strCache>
                <c:ptCount val="1"/>
                <c:pt idx="0">
                  <c:v>Series 2</c:v>
                </c:pt>
              </c:strCache>
            </c:strRef>
          </c:tx>
          <c:spPr>
            <a:solidFill>
              <a:schemeClr val="accent2"/>
            </a:solidFill>
            <a:ln>
              <a:noFill/>
            </a:ln>
            <a:effectLst/>
          </c:spPr>
          <c:invertIfNegative val="0"/>
          <c:cat>
            <c:strRef>
              <c:f>Sheet1!$A$2:$A$3</c:f>
              <c:strCache>
                <c:ptCount val="2"/>
                <c:pt idx="0">
                  <c:v>wstępne konsultacje</c:v>
                </c:pt>
                <c:pt idx="1">
                  <c:v>ogółem</c:v>
                </c:pt>
              </c:strCache>
            </c:strRef>
          </c:cat>
          <c:val>
            <c:numRef>
              <c:f>Sheet1!$C$2:$C$3</c:f>
              <c:numCache>
                <c:formatCode>0.00%</c:formatCode>
                <c:ptCount val="2"/>
                <c:pt idx="0">
                  <c:v>0.25330000000000003</c:v>
                </c:pt>
                <c:pt idx="1">
                  <c:v>0.2505</c:v>
                </c:pt>
              </c:numCache>
            </c:numRef>
          </c:val>
          <c:extLst>
            <c:ext xmlns:c16="http://schemas.microsoft.com/office/drawing/2014/chart" uri="{C3380CC4-5D6E-409C-BE32-E72D297353CC}">
              <c16:uniqueId val="{00000001-60C6-4B7C-96B1-72CA480C3053}"/>
            </c:ext>
          </c:extLst>
        </c:ser>
        <c:dLbls>
          <c:showLegendKey val="0"/>
          <c:showVal val="0"/>
          <c:showCatName val="0"/>
          <c:showSerName val="0"/>
          <c:showPercent val="0"/>
          <c:showBubbleSize val="0"/>
        </c:dLbls>
        <c:gapWidth val="150"/>
        <c:overlap val="100"/>
        <c:axId val="626374328"/>
        <c:axId val="626367768"/>
      </c:barChart>
      <c:catAx>
        <c:axId val="626374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626367768"/>
        <c:crosses val="autoZero"/>
        <c:auto val="1"/>
        <c:lblAlgn val="ctr"/>
        <c:lblOffset val="100"/>
        <c:noMultiLvlLbl val="0"/>
      </c:catAx>
      <c:valAx>
        <c:axId val="626367768"/>
        <c:scaling>
          <c:orientation val="minMax"/>
          <c:max val="1"/>
        </c:scaling>
        <c:delete val="0"/>
        <c:axPos val="l"/>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63743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'wnioski o kontrolę'!$C$4</c:f>
              <c:strCache>
                <c:ptCount val="1"/>
                <c:pt idx="0">
                  <c:v>liczba wniosków o kontrolę doraźną:</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'wnioski o kontrolę'!$B$5:$B$16</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'wnioski o kontrolę'!$C$5:$C$16</c:f>
              <c:numCache>
                <c:formatCode>General</c:formatCode>
                <c:ptCount val="12"/>
                <c:pt idx="0">
                  <c:v>41</c:v>
                </c:pt>
                <c:pt idx="1">
                  <c:v>37</c:v>
                </c:pt>
                <c:pt idx="2">
                  <c:v>52</c:v>
                </c:pt>
                <c:pt idx="3">
                  <c:v>50</c:v>
                </c:pt>
                <c:pt idx="4">
                  <c:v>55</c:v>
                </c:pt>
                <c:pt idx="5">
                  <c:v>41</c:v>
                </c:pt>
                <c:pt idx="6">
                  <c:v>57</c:v>
                </c:pt>
                <c:pt idx="7">
                  <c:v>69</c:v>
                </c:pt>
                <c:pt idx="8">
                  <c:v>47</c:v>
                </c:pt>
                <c:pt idx="9">
                  <c:v>79</c:v>
                </c:pt>
                <c:pt idx="10">
                  <c:v>55</c:v>
                </c:pt>
                <c:pt idx="11">
                  <c:v>74</c:v>
                </c:pt>
              </c:numCache>
            </c:numRef>
          </c:val>
          <c:smooth val="0"/>
          <c:extLst>
            <c:ext xmlns:c16="http://schemas.microsoft.com/office/drawing/2014/chart" uri="{C3380CC4-5D6E-409C-BE32-E72D297353CC}">
              <c16:uniqueId val="{00000000-29EB-449E-AC0E-E10A92A234F5}"/>
            </c:ext>
          </c:extLst>
        </c:ser>
        <c:dLbls>
          <c:showLegendKey val="0"/>
          <c:showVal val="0"/>
          <c:showCatName val="0"/>
          <c:showSerName val="0"/>
          <c:showPercent val="0"/>
          <c:showBubbleSize val="0"/>
        </c:dLbls>
        <c:smooth val="0"/>
        <c:axId val="433787600"/>
        <c:axId val="433785632"/>
      </c:lineChart>
      <c:catAx>
        <c:axId val="433787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33785632"/>
        <c:crosses val="autoZero"/>
        <c:auto val="1"/>
        <c:lblAlgn val="ctr"/>
        <c:lblOffset val="100"/>
        <c:noMultiLvlLbl val="0"/>
      </c:catAx>
      <c:valAx>
        <c:axId val="43378563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337876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1"/>
          <c:tx>
            <c:strRef>
              <c:f>'KD wartość zamówień'!$D$3</c:f>
              <c:strCache>
                <c:ptCount val="1"/>
                <c:pt idx="0">
                  <c:v>wartość</c:v>
                </c:pt>
              </c:strCache>
            </c:strRef>
          </c:tx>
          <c:spPr>
            <a:solidFill>
              <a:schemeClr val="accent2"/>
            </a:solidFill>
            <a:ln>
              <a:noFill/>
            </a:ln>
            <a:effectLst/>
          </c:spPr>
          <c:invertIfNegative val="0"/>
          <c:dLbls>
            <c:dLbl>
              <c:idx val="0"/>
              <c:numFmt formatCode="#,##0.00\ &quot;zł&quot;" sourceLinked="0"/>
              <c:spPr>
                <a:noFill/>
                <a:ln>
                  <a:noFill/>
                </a:ln>
                <a:effectLst/>
              </c:spPr>
              <c:txPr>
                <a:bodyPr rot="0" spcFirstLastPara="1" vertOverflow="ellipsis" horzOverflow="clip" vert="horz" wrap="none" lIns="38100" tIns="19050" rIns="38100" bIns="19050" anchor="ctr" anchorCtr="1">
                  <a:no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0-4727-4161-A0BF-C2449FE2D17B}"/>
                </c:ext>
              </c:extLst>
            </c:dLbl>
            <c:dLbl>
              <c:idx val="2"/>
              <c:numFmt formatCode="#,##0.00\ &quot;zł&quot;" sourceLinked="0"/>
              <c:spPr>
                <a:noFill/>
                <a:ln>
                  <a:noFill/>
                </a:ln>
                <a:effectLst/>
              </c:spPr>
              <c:txPr>
                <a:bodyPr rot="0" spcFirstLastPara="1" vertOverflow="ellipsis" horzOverflow="clip" vert="horz" wrap="none" lIns="38100" tIns="19050" rIns="38100" bIns="19050" anchor="ctr" anchorCtr="1">
                  <a:no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1-4727-4161-A0BF-C2449FE2D17B}"/>
                </c:ext>
              </c:extLst>
            </c:dLbl>
            <c:numFmt formatCode="#,##0.00\ &quot;zł&quot;" sourceLinked="0"/>
            <c:spPr>
              <a:noFill/>
              <a:ln>
                <a:noFill/>
              </a:ln>
              <a:effectLst/>
            </c:spPr>
            <c:txPr>
              <a:bodyPr rot="0" spcFirstLastPara="1" vertOverflow="ellipsis" horzOverflow="clip" vert="horz" wrap="non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'KD wartość zamówień'!$B$4:$B$6</c:f>
              <c:strCache>
                <c:ptCount val="3"/>
                <c:pt idx="0">
                  <c:v>roboty budowlane </c:v>
                </c:pt>
                <c:pt idx="1">
                  <c:v>dostawy</c:v>
                </c:pt>
                <c:pt idx="2">
                  <c:v>usługi</c:v>
                </c:pt>
              </c:strCache>
            </c:strRef>
          </c:cat>
          <c:val>
            <c:numRef>
              <c:f>'KD wartość zamówień'!$D$4:$D$6</c:f>
              <c:numCache>
                <c:formatCode>#\ ##0.00\ "zł"</c:formatCode>
                <c:ptCount val="3"/>
                <c:pt idx="0">
                  <c:v>344162225.81999999</c:v>
                </c:pt>
                <c:pt idx="1">
                  <c:v>79517147.890000001</c:v>
                </c:pt>
                <c:pt idx="2">
                  <c:v>1531670813.1800001</c:v>
                </c:pt>
              </c:numCache>
            </c:numRef>
          </c:val>
          <c:extLst>
            <c:ext xmlns:c16="http://schemas.microsoft.com/office/drawing/2014/chart" uri="{C3380CC4-5D6E-409C-BE32-E72D297353CC}">
              <c16:uniqueId val="{00000002-4727-4161-A0BF-C2449FE2D17B}"/>
            </c:ext>
          </c:extLst>
        </c:ser>
        <c:dLbls>
          <c:showLegendKey val="0"/>
          <c:showVal val="0"/>
          <c:showCatName val="0"/>
          <c:showSerName val="0"/>
          <c:showPercent val="0"/>
          <c:showBubbleSize val="0"/>
        </c:dLbls>
        <c:gapWidth val="219"/>
        <c:axId val="337693456"/>
        <c:axId val="337693128"/>
      </c:barChart>
      <c:lineChart>
        <c:grouping val="standard"/>
        <c:varyColors val="0"/>
        <c:ser>
          <c:idx val="1"/>
          <c:order val="0"/>
          <c:tx>
            <c:strRef>
              <c:f>'KD wartość zamówień'!$C$3</c:f>
              <c:strCache>
                <c:ptCount val="1"/>
                <c:pt idx="0">
                  <c:v>liczba</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'KD wartość zamówień'!$B$4:$B$6</c:f>
              <c:strCache>
                <c:ptCount val="3"/>
                <c:pt idx="0">
                  <c:v>roboty budowlane </c:v>
                </c:pt>
                <c:pt idx="1">
                  <c:v>dostawy</c:v>
                </c:pt>
                <c:pt idx="2">
                  <c:v>usługi</c:v>
                </c:pt>
              </c:strCache>
            </c:strRef>
          </c:cat>
          <c:val>
            <c:numRef>
              <c:f>'KD wartość zamówień'!$C$4:$C$6</c:f>
              <c:numCache>
                <c:formatCode>General</c:formatCode>
                <c:ptCount val="3"/>
                <c:pt idx="0">
                  <c:v>43</c:v>
                </c:pt>
                <c:pt idx="1">
                  <c:v>34</c:v>
                </c:pt>
                <c:pt idx="2">
                  <c:v>83</c:v>
                </c:pt>
              </c:numCache>
            </c:numRef>
          </c:val>
          <c:smooth val="0"/>
          <c:extLst>
            <c:ext xmlns:c16="http://schemas.microsoft.com/office/drawing/2014/chart" uri="{C3380CC4-5D6E-409C-BE32-E72D297353CC}">
              <c16:uniqueId val="{00000003-4727-4161-A0BF-C2449FE2D17B}"/>
            </c:ext>
          </c:extLst>
        </c:ser>
        <c:dLbls>
          <c:showLegendKey val="0"/>
          <c:showVal val="0"/>
          <c:showCatName val="0"/>
          <c:showSerName val="0"/>
          <c:showPercent val="0"/>
          <c:showBubbleSize val="0"/>
        </c:dLbls>
        <c:marker val="1"/>
        <c:smooth val="0"/>
        <c:axId val="448646664"/>
        <c:axId val="448648960"/>
      </c:lineChart>
      <c:valAx>
        <c:axId val="337693128"/>
        <c:scaling>
          <c:orientation val="minMax"/>
        </c:scaling>
        <c:delete val="0"/>
        <c:axPos val="r"/>
        <c:numFmt formatCode="#\ ##0.00\ &quot;zł&quot;"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7693456"/>
        <c:crosses val="max"/>
        <c:crossBetween val="between"/>
      </c:valAx>
      <c:catAx>
        <c:axId val="3376934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337693128"/>
        <c:crosses val="autoZero"/>
        <c:auto val="1"/>
        <c:lblAlgn val="ctr"/>
        <c:lblOffset val="100"/>
        <c:noMultiLvlLbl val="0"/>
      </c:catAx>
      <c:valAx>
        <c:axId val="448648960"/>
        <c:scaling>
          <c:orientation val="minMax"/>
        </c:scaling>
        <c:delete val="0"/>
        <c:axPos val="l"/>
        <c:numFmt formatCode="General"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48646664"/>
        <c:crosses val="autoZero"/>
        <c:crossBetween val="between"/>
      </c:valAx>
      <c:catAx>
        <c:axId val="448646664"/>
        <c:scaling>
          <c:orientation val="minMax"/>
        </c:scaling>
        <c:delete val="1"/>
        <c:axPos val="b"/>
        <c:numFmt formatCode="General" sourceLinked="1"/>
        <c:majorTickMark val="out"/>
        <c:minorTickMark val="none"/>
        <c:tickLblPos val="nextTo"/>
        <c:crossAx val="4486489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'KD wart stwierdzono naruszenia'!$C$4</c:f>
              <c:strCache>
                <c:ptCount val="1"/>
                <c:pt idx="0">
                  <c:v>wartość</c:v>
                </c:pt>
              </c:strCache>
            </c:strRef>
          </c:tx>
          <c:spPr>
            <a:solidFill>
              <a:schemeClr val="accent1"/>
            </a:solidFill>
            <a:ln>
              <a:noFill/>
            </a:ln>
            <a:effectLst/>
          </c:spPr>
          <c:invertIfNegative val="0"/>
          <c:dLbls>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'KD wart stwierdzono naruszenia'!$B$5:$B$8</c:f>
              <c:strCache>
                <c:ptCount val="4"/>
                <c:pt idx="0">
                  <c:v>podstawowy</c:v>
                </c:pt>
                <c:pt idx="1">
                  <c:v>przetarg nieograniczony</c:v>
                </c:pt>
                <c:pt idx="2">
                  <c:v>zamówienie z wolnej ręki </c:v>
                </c:pt>
                <c:pt idx="3">
                  <c:v>bez stosowania ustawy Pzp</c:v>
                </c:pt>
              </c:strCache>
            </c:strRef>
          </c:cat>
          <c:val>
            <c:numRef>
              <c:f>'KD wart stwierdzono naruszenia'!$C$5:$C$8</c:f>
              <c:numCache>
                <c:formatCode>#\ ##0.00\ "zł"</c:formatCode>
                <c:ptCount val="4"/>
                <c:pt idx="0">
                  <c:v>15617773.039999999</c:v>
                </c:pt>
                <c:pt idx="1">
                  <c:v>925097155.22000003</c:v>
                </c:pt>
                <c:pt idx="2">
                  <c:v>18225075</c:v>
                </c:pt>
                <c:pt idx="3">
                  <c:v>22375909.91</c:v>
                </c:pt>
              </c:numCache>
            </c:numRef>
          </c:val>
          <c:extLst>
            <c:ext xmlns:c16="http://schemas.microsoft.com/office/drawing/2014/chart" uri="{C3380CC4-5D6E-409C-BE32-E72D297353CC}">
              <c16:uniqueId val="{00000000-235F-4DAC-8CEE-E2816CEABF1B}"/>
            </c:ext>
          </c:extLst>
        </c:ser>
        <c:dLbls>
          <c:dLblPos val="ctr"/>
          <c:showLegendKey val="0"/>
          <c:showVal val="1"/>
          <c:showCatName val="0"/>
          <c:showSerName val="0"/>
          <c:showPercent val="0"/>
          <c:showBubbleSize val="0"/>
        </c:dLbls>
        <c:gapWidth val="182"/>
        <c:axId val="520399160"/>
        <c:axId val="520395880"/>
      </c:barChart>
      <c:catAx>
        <c:axId val="520399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520395880"/>
        <c:crosses val="autoZero"/>
        <c:auto val="1"/>
        <c:lblAlgn val="ctr"/>
        <c:lblOffset val="100"/>
        <c:noMultiLvlLbl val="0"/>
      </c:catAx>
      <c:valAx>
        <c:axId val="520395880"/>
        <c:scaling>
          <c:orientation val="minMax"/>
        </c:scaling>
        <c:delete val="0"/>
        <c:axPos val="b"/>
        <c:majorGridlines>
          <c:spPr>
            <a:ln w="9525" cap="flat" cmpd="sng" algn="ctr">
              <a:solidFill>
                <a:schemeClr val="tx1">
                  <a:lumMod val="15000"/>
                  <a:lumOff val="85000"/>
                </a:schemeClr>
              </a:solidFill>
              <a:round/>
            </a:ln>
            <a:effectLst/>
          </c:spPr>
        </c:majorGridlines>
        <c:numFmt formatCode="#\ ##0.00\ &quot;zł&quot;"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03991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'KU wart stwierdzono narusze'!$C$4</c:f>
              <c:strCache>
                <c:ptCount val="1"/>
                <c:pt idx="0">
                  <c:v>wartość</c:v>
                </c:pt>
              </c:strCache>
            </c:strRef>
          </c:tx>
          <c:spPr>
            <a:solidFill>
              <a:schemeClr val="accent1"/>
            </a:solidFill>
            <a:ln>
              <a:noFill/>
            </a:ln>
            <a:effectLst/>
          </c:spPr>
          <c:invertIfNegative val="0"/>
          <c:dLbls>
            <c:numFmt formatCode="#,##0.00\ &quot;zł&quot;" sourceLinked="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'KU wart stwierdzono narusze'!$B$5:$B$7</c:f>
              <c:strCache>
                <c:ptCount val="3"/>
                <c:pt idx="0">
                  <c:v>przetarg nieograniczony</c:v>
                </c:pt>
                <c:pt idx="1">
                  <c:v>zamówienie z wolnej ręki </c:v>
                </c:pt>
                <c:pt idx="2">
                  <c:v>dialog konkurencyjny</c:v>
                </c:pt>
              </c:strCache>
            </c:strRef>
          </c:cat>
          <c:val>
            <c:numRef>
              <c:f>'KU wart stwierdzono narusze'!$C$5:$C$7</c:f>
              <c:numCache>
                <c:formatCode>#\ ##0.00\ "zł"</c:formatCode>
                <c:ptCount val="3"/>
                <c:pt idx="0">
                  <c:v>30687424423.32</c:v>
                </c:pt>
                <c:pt idx="1">
                  <c:v>113585681.03</c:v>
                </c:pt>
                <c:pt idx="2">
                  <c:v>100279654.75</c:v>
                </c:pt>
              </c:numCache>
            </c:numRef>
          </c:val>
          <c:extLst>
            <c:ext xmlns:c16="http://schemas.microsoft.com/office/drawing/2014/chart" uri="{C3380CC4-5D6E-409C-BE32-E72D297353CC}">
              <c16:uniqueId val="{00000000-EBCF-442B-AA4C-8A6CE3B1D022}"/>
            </c:ext>
          </c:extLst>
        </c:ser>
        <c:dLbls>
          <c:dLblPos val="ctr"/>
          <c:showLegendKey val="0"/>
          <c:showVal val="1"/>
          <c:showCatName val="0"/>
          <c:showSerName val="0"/>
          <c:showPercent val="0"/>
          <c:showBubbleSize val="0"/>
        </c:dLbls>
        <c:gapWidth val="182"/>
        <c:axId val="520399160"/>
        <c:axId val="520395880"/>
      </c:barChart>
      <c:catAx>
        <c:axId val="520399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520395880"/>
        <c:crosses val="autoZero"/>
        <c:auto val="1"/>
        <c:lblAlgn val="ctr"/>
        <c:lblOffset val="100"/>
        <c:noMultiLvlLbl val="0"/>
      </c:catAx>
      <c:valAx>
        <c:axId val="520395880"/>
        <c:scaling>
          <c:orientation val="minMax"/>
          <c:max val="30700000000"/>
          <c:min val="0"/>
        </c:scaling>
        <c:delete val="0"/>
        <c:axPos val="b"/>
        <c:majorGridlines>
          <c:spPr>
            <a:ln w="9525" cap="flat" cmpd="sng" algn="ctr">
              <a:solidFill>
                <a:schemeClr val="tx1">
                  <a:lumMod val="15000"/>
                  <a:lumOff val="85000"/>
                </a:schemeClr>
              </a:solidFill>
              <a:round/>
            </a:ln>
            <a:effectLst/>
          </c:spPr>
        </c:majorGridlines>
        <c:numFmt formatCode="#\ ##0.00\ &quot;zł&quot;"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03991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1"/>
          <c:tx>
            <c:strRef>
              <c:f>'KU wartość zamówień'!$D$3</c:f>
              <c:strCache>
                <c:ptCount val="1"/>
                <c:pt idx="0">
                  <c:v>wartość</c:v>
                </c:pt>
              </c:strCache>
            </c:strRef>
          </c:tx>
          <c:spPr>
            <a:solidFill>
              <a:schemeClr val="accent2"/>
            </a:solidFill>
            <a:ln>
              <a:noFill/>
            </a:ln>
            <a:effectLst/>
          </c:spPr>
          <c:invertIfNegative val="0"/>
          <c:dLbls>
            <c:numFmt formatCode="#,##0.00\ &quot;zł&quot;" sourceLinked="0"/>
            <c:spPr>
              <a:noFill/>
              <a:ln>
                <a:noFill/>
              </a:ln>
              <a:effectLst/>
            </c:spPr>
            <c:txPr>
              <a:bodyPr rot="0" spcFirstLastPara="1" vertOverflow="ellipsis" horzOverflow="clip" vert="horz" wrap="non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'KU wartość zamówień'!$B$4:$B$6</c:f>
              <c:strCache>
                <c:ptCount val="3"/>
                <c:pt idx="0">
                  <c:v>roboty budowlane </c:v>
                </c:pt>
                <c:pt idx="1">
                  <c:v>dostawy</c:v>
                </c:pt>
                <c:pt idx="2">
                  <c:v>usługi</c:v>
                </c:pt>
              </c:strCache>
            </c:strRef>
          </c:cat>
          <c:val>
            <c:numRef>
              <c:f>'KU wartość zamówień'!$D$4:$D$6</c:f>
              <c:numCache>
                <c:formatCode>#\ ##0.00\ "zł"</c:formatCode>
                <c:ptCount val="3"/>
                <c:pt idx="0">
                  <c:v>23021368365.549999</c:v>
                </c:pt>
                <c:pt idx="1">
                  <c:v>6674375877.0500002</c:v>
                </c:pt>
                <c:pt idx="2">
                  <c:v>1205545516.5</c:v>
                </c:pt>
              </c:numCache>
            </c:numRef>
          </c:val>
          <c:extLst>
            <c:ext xmlns:c16="http://schemas.microsoft.com/office/drawing/2014/chart" uri="{C3380CC4-5D6E-409C-BE32-E72D297353CC}">
              <c16:uniqueId val="{00000000-1290-4881-9857-D98FF518994A}"/>
            </c:ext>
          </c:extLst>
        </c:ser>
        <c:dLbls>
          <c:showLegendKey val="0"/>
          <c:showVal val="0"/>
          <c:showCatName val="0"/>
          <c:showSerName val="0"/>
          <c:showPercent val="0"/>
          <c:showBubbleSize val="0"/>
        </c:dLbls>
        <c:gapWidth val="219"/>
        <c:axId val="337693456"/>
        <c:axId val="337693128"/>
      </c:barChart>
      <c:lineChart>
        <c:grouping val="standard"/>
        <c:varyColors val="0"/>
        <c:ser>
          <c:idx val="1"/>
          <c:order val="0"/>
          <c:tx>
            <c:strRef>
              <c:f>'KU wartość zamówień'!$C$3</c:f>
              <c:strCache>
                <c:ptCount val="1"/>
                <c:pt idx="0">
                  <c:v>liczba</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'KU wartość zamówień'!$B$4:$B$6</c:f>
              <c:strCache>
                <c:ptCount val="3"/>
                <c:pt idx="0">
                  <c:v>roboty budowlane </c:v>
                </c:pt>
                <c:pt idx="1">
                  <c:v>dostawy</c:v>
                </c:pt>
                <c:pt idx="2">
                  <c:v>usługi</c:v>
                </c:pt>
              </c:strCache>
            </c:strRef>
          </c:cat>
          <c:val>
            <c:numRef>
              <c:f>'KU wartość zamówień'!$C$4:$C$6</c:f>
              <c:numCache>
                <c:formatCode>General</c:formatCode>
                <c:ptCount val="3"/>
                <c:pt idx="0">
                  <c:v>57</c:v>
                </c:pt>
                <c:pt idx="1">
                  <c:v>58</c:v>
                </c:pt>
                <c:pt idx="2">
                  <c:v>17</c:v>
                </c:pt>
              </c:numCache>
            </c:numRef>
          </c:val>
          <c:smooth val="0"/>
          <c:extLst>
            <c:ext xmlns:c16="http://schemas.microsoft.com/office/drawing/2014/chart" uri="{C3380CC4-5D6E-409C-BE32-E72D297353CC}">
              <c16:uniqueId val="{00000001-1290-4881-9857-D98FF518994A}"/>
            </c:ext>
          </c:extLst>
        </c:ser>
        <c:dLbls>
          <c:showLegendKey val="0"/>
          <c:showVal val="0"/>
          <c:showCatName val="0"/>
          <c:showSerName val="0"/>
          <c:showPercent val="0"/>
          <c:showBubbleSize val="0"/>
        </c:dLbls>
        <c:marker val="1"/>
        <c:smooth val="0"/>
        <c:axId val="448646664"/>
        <c:axId val="448648960"/>
      </c:lineChart>
      <c:valAx>
        <c:axId val="337693128"/>
        <c:scaling>
          <c:orientation val="minMax"/>
        </c:scaling>
        <c:delete val="0"/>
        <c:axPos val="r"/>
        <c:numFmt formatCode="#\ ##0.00\ &quot;zł&quot;"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7693456"/>
        <c:crosses val="max"/>
        <c:crossBetween val="between"/>
      </c:valAx>
      <c:catAx>
        <c:axId val="3376934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337693128"/>
        <c:crosses val="autoZero"/>
        <c:auto val="1"/>
        <c:lblAlgn val="ctr"/>
        <c:lblOffset val="100"/>
        <c:noMultiLvlLbl val="0"/>
      </c:catAx>
      <c:valAx>
        <c:axId val="448648960"/>
        <c:scaling>
          <c:orientation val="minMax"/>
        </c:scaling>
        <c:delete val="0"/>
        <c:axPos val="l"/>
        <c:numFmt formatCode="General"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48646664"/>
        <c:crosses val="autoZero"/>
        <c:crossBetween val="between"/>
      </c:valAx>
      <c:catAx>
        <c:axId val="448646664"/>
        <c:scaling>
          <c:orientation val="minMax"/>
        </c:scaling>
        <c:delete val="1"/>
        <c:axPos val="b"/>
        <c:numFmt formatCode="General" sourceLinked="1"/>
        <c:majorTickMark val="out"/>
        <c:minorTickMark val="none"/>
        <c:tickLblPos val="nextTo"/>
        <c:crossAx val="4486489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Series 1</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2BA-4DCC-93E3-73D1122C84E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2BA-4DCC-93E3-73D1122C84E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2BA-4DCC-93E3-73D1122C84E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2BA-4DCC-93E3-73D1122C84EC}"/>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roboty budowlane</c:v>
                </c:pt>
                <c:pt idx="1">
                  <c:v>dostawy</c:v>
                </c:pt>
                <c:pt idx="2">
                  <c:v>usługi</c:v>
                </c:pt>
                <c:pt idx="3">
                  <c:v>brak danych</c:v>
                </c:pt>
              </c:strCache>
            </c:strRef>
          </c:cat>
          <c:val>
            <c:numRef>
              <c:f>Sheet1!$B$2:$B$5</c:f>
              <c:numCache>
                <c:formatCode>0%</c:formatCode>
                <c:ptCount val="4"/>
                <c:pt idx="0">
                  <c:v>0.02</c:v>
                </c:pt>
                <c:pt idx="1">
                  <c:v>0.06</c:v>
                </c:pt>
                <c:pt idx="2">
                  <c:v>0.26</c:v>
                </c:pt>
                <c:pt idx="3">
                  <c:v>0.66</c:v>
                </c:pt>
              </c:numCache>
            </c:numRef>
          </c:val>
          <c:extLst>
            <c:ext xmlns:c16="http://schemas.microsoft.com/office/drawing/2014/chart" uri="{C3380CC4-5D6E-409C-BE32-E72D297353CC}">
              <c16:uniqueId val="{00000008-32BA-4DCC-93E3-73D1122C84EC}"/>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8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Series 1</c:v>
                </c:pt>
              </c:strCache>
            </c:strRef>
          </c:tx>
          <c:dPt>
            <c:idx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EA33-4BC9-90F9-AAEA8326BD5F}"/>
              </c:ext>
            </c:extLst>
          </c:dPt>
          <c:dPt>
            <c:idx val="1"/>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3-EA33-4BC9-90F9-AAEA8326BD5F}"/>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Dostawy</c:v>
                </c:pt>
                <c:pt idx="1">
                  <c:v>Brak danych</c:v>
                </c:pt>
              </c:strCache>
            </c:strRef>
          </c:cat>
          <c:val>
            <c:numRef>
              <c:f>Sheet1!$B$2:$B$3</c:f>
              <c:numCache>
                <c:formatCode>0%</c:formatCode>
                <c:ptCount val="2"/>
                <c:pt idx="0">
                  <c:v>0.98</c:v>
                </c:pt>
                <c:pt idx="1">
                  <c:v>0.02</c:v>
                </c:pt>
              </c:numCache>
            </c:numRef>
          </c:val>
          <c:extLst>
            <c:ext xmlns:c16="http://schemas.microsoft.com/office/drawing/2014/chart" uri="{C3380CC4-5D6E-409C-BE32-E72D297353CC}">
              <c16:uniqueId val="{00000004-EA33-4BC9-90F9-AAEA8326BD5F}"/>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2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055555555555558E-2"/>
          <c:y val="5.3240740740740741E-2"/>
          <c:w val="0.875"/>
          <c:h val="0.83333333333333337"/>
        </c:manualLayout>
      </c:layout>
      <c:pie3DChart>
        <c:varyColors val="1"/>
        <c:ser>
          <c:idx val="0"/>
          <c:order val="0"/>
          <c:tx>
            <c:strRef>
              <c:f>Sheet1!$B$1</c:f>
              <c:strCache>
                <c:ptCount val="1"/>
                <c:pt idx="0">
                  <c:v>Series 1</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3CA-4F5F-87DC-37A41C3D03E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3CA-4F5F-87DC-37A41C3D03E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3CA-4F5F-87DC-37A41C3D03E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3CA-4F5F-87DC-37A41C3D03EC}"/>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usługi</c:v>
                </c:pt>
                <c:pt idx="1">
                  <c:v>dostawy</c:v>
                </c:pt>
                <c:pt idx="2">
                  <c:v>brak danych</c:v>
                </c:pt>
              </c:strCache>
            </c:strRef>
          </c:cat>
          <c:val>
            <c:numRef>
              <c:f>Sheet1!$B$2:$B$4</c:f>
              <c:numCache>
                <c:formatCode>0%</c:formatCode>
                <c:ptCount val="3"/>
                <c:pt idx="0">
                  <c:v>0.09</c:v>
                </c:pt>
                <c:pt idx="1">
                  <c:v>0.88</c:v>
                </c:pt>
                <c:pt idx="2">
                  <c:v>0.03</c:v>
                </c:pt>
              </c:numCache>
            </c:numRef>
          </c:val>
          <c:extLst>
            <c:ext xmlns:c16="http://schemas.microsoft.com/office/drawing/2014/chart" uri="{C3380CC4-5D6E-409C-BE32-E72D297353CC}">
              <c16:uniqueId val="{00000008-23CA-4F5F-87DC-37A41C3D03EC}"/>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603104219481091"/>
          <c:y val="5.6793359545653122E-2"/>
          <c:w val="0.70396895780518898"/>
          <c:h val="0.89822774446772136"/>
        </c:manualLayout>
      </c:layout>
      <c:barChart>
        <c:barDir val="bar"/>
        <c:grouping val="clustered"/>
        <c:varyColors val="0"/>
        <c:ser>
          <c:idx val="0"/>
          <c:order val="0"/>
          <c:tx>
            <c:strRef>
              <c:f>Sheet1!$B$1</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Tryb podstawowy, o którym mowa w art. 275 pkt 1 ustawy Pzp</c:v>
                </c:pt>
                <c:pt idx="1">
                  <c:v>Tryb podstawowy, o którym mowa w art. 275 pkt 2 ustawy Pzp</c:v>
                </c:pt>
                <c:pt idx="2">
                  <c:v>Tryb podstawowy, o którym mowa w art. 275 pkt 3 ustawy Pzp</c:v>
                </c:pt>
                <c:pt idx="3">
                  <c:v>Zamówienie z wolnej ręki</c:v>
                </c:pt>
                <c:pt idx="4">
                  <c:v>Negocjacje bez ogłoszenia</c:v>
                </c:pt>
                <c:pt idx="5">
                  <c:v>Partnerstwo innowacyjne</c:v>
                </c:pt>
              </c:strCache>
            </c:strRef>
          </c:cat>
          <c:val>
            <c:numRef>
              <c:f>Sheet1!$B$2:$B$7</c:f>
              <c:numCache>
                <c:formatCode>0.00%;\-0.00%;0.00%</c:formatCode>
                <c:ptCount val="6"/>
                <c:pt idx="0">
                  <c:v>0.7903</c:v>
                </c:pt>
                <c:pt idx="1">
                  <c:v>0.1125</c:v>
                </c:pt>
                <c:pt idx="2">
                  <c:v>5.9999999999999995E-4</c:v>
                </c:pt>
                <c:pt idx="3">
                  <c:v>9.5899999999999999E-2</c:v>
                </c:pt>
                <c:pt idx="4">
                  <c:v>6.9999999999999999E-4</c:v>
                </c:pt>
                <c:pt idx="5">
                  <c:v>0</c:v>
                </c:pt>
              </c:numCache>
            </c:numRef>
          </c:val>
          <c:extLst>
            <c:ext xmlns:c16="http://schemas.microsoft.com/office/drawing/2014/chart" uri="{C3380CC4-5D6E-409C-BE32-E72D297353CC}">
              <c16:uniqueId val="{00000000-B74A-4F5C-A513-CF5949A17AF5}"/>
            </c:ext>
          </c:extLst>
        </c:ser>
        <c:ser>
          <c:idx val="1"/>
          <c:order val="1"/>
          <c:tx>
            <c:strRef>
              <c:f>Sheet1!$C$1</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Tryb podstawowy, o którym mowa w art. 275 pkt 1 ustawy Pzp</c:v>
                </c:pt>
                <c:pt idx="1">
                  <c:v>Tryb podstawowy, o którym mowa w art. 275 pkt 2 ustawy Pzp</c:v>
                </c:pt>
                <c:pt idx="2">
                  <c:v>Tryb podstawowy, o którym mowa w art. 275 pkt 3 ustawy Pzp</c:v>
                </c:pt>
                <c:pt idx="3">
                  <c:v>Zamówienie z wolnej ręki</c:v>
                </c:pt>
                <c:pt idx="4">
                  <c:v>Negocjacje bez ogłoszenia</c:v>
                </c:pt>
                <c:pt idx="5">
                  <c:v>Partnerstwo innowacyjne</c:v>
                </c:pt>
              </c:strCache>
            </c:strRef>
          </c:cat>
          <c:val>
            <c:numRef>
              <c:f>Sheet1!$C$2:$C$7</c:f>
              <c:numCache>
                <c:formatCode>0.00%;\-0.00%;0.00%</c:formatCode>
                <c:ptCount val="6"/>
                <c:pt idx="0">
                  <c:v>0.78090000000000004</c:v>
                </c:pt>
                <c:pt idx="1">
                  <c:v>0.12740000000000001</c:v>
                </c:pt>
                <c:pt idx="2">
                  <c:v>2.9999999999999997E-4</c:v>
                </c:pt>
                <c:pt idx="3">
                  <c:v>9.06E-2</c:v>
                </c:pt>
                <c:pt idx="4">
                  <c:v>8.0000000000000004E-4</c:v>
                </c:pt>
                <c:pt idx="5">
                  <c:v>0</c:v>
                </c:pt>
              </c:numCache>
            </c:numRef>
          </c:val>
          <c:extLst>
            <c:ext xmlns:c16="http://schemas.microsoft.com/office/drawing/2014/chart" uri="{C3380CC4-5D6E-409C-BE32-E72D297353CC}">
              <c16:uniqueId val="{00000001-B74A-4F5C-A513-CF5949A17AF5}"/>
            </c:ext>
          </c:extLst>
        </c:ser>
        <c:ser>
          <c:idx val="2"/>
          <c:order val="2"/>
          <c:tx>
            <c:strRef>
              <c:f>Sheet1!$D$1</c:f>
              <c:strCache>
                <c:ptCount val="1"/>
                <c:pt idx="0">
                  <c:v>2024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Tryb podstawowy, o którym mowa w art. 275 pkt 1 ustawy Pzp</c:v>
                </c:pt>
                <c:pt idx="1">
                  <c:v>Tryb podstawowy, o którym mowa w art. 275 pkt 2 ustawy Pzp</c:v>
                </c:pt>
                <c:pt idx="2">
                  <c:v>Tryb podstawowy, o którym mowa w art. 275 pkt 3 ustawy Pzp</c:v>
                </c:pt>
                <c:pt idx="3">
                  <c:v>Zamówienie z wolnej ręki</c:v>
                </c:pt>
                <c:pt idx="4">
                  <c:v>Negocjacje bez ogłoszenia</c:v>
                </c:pt>
                <c:pt idx="5">
                  <c:v>Partnerstwo innowacyjne</c:v>
                </c:pt>
              </c:strCache>
            </c:strRef>
          </c:cat>
          <c:val>
            <c:numRef>
              <c:f>Sheet1!$D$2:$D$7</c:f>
              <c:numCache>
                <c:formatCode>0.00%;\-0.00%;0.00%</c:formatCode>
                <c:ptCount val="6"/>
                <c:pt idx="0">
                  <c:v>0.77600000000000002</c:v>
                </c:pt>
                <c:pt idx="1">
                  <c:v>0.1411</c:v>
                </c:pt>
                <c:pt idx="2">
                  <c:v>2.0000000000000001E-4</c:v>
                </c:pt>
                <c:pt idx="3">
                  <c:v>8.1500000000000003E-2</c:v>
                </c:pt>
                <c:pt idx="4">
                  <c:v>1.1999999999999999E-3</c:v>
                </c:pt>
                <c:pt idx="5">
                  <c:v>0</c:v>
                </c:pt>
              </c:numCache>
            </c:numRef>
          </c:val>
          <c:extLst>
            <c:ext xmlns:c16="http://schemas.microsoft.com/office/drawing/2014/chart" uri="{C3380CC4-5D6E-409C-BE32-E72D297353CC}">
              <c16:uniqueId val="{00000002-B74A-4F5C-A513-CF5949A17AF5}"/>
            </c:ext>
          </c:extLst>
        </c:ser>
        <c:ser>
          <c:idx val="3"/>
          <c:order val="3"/>
          <c:tx>
            <c:strRef>
              <c:f>Sheet1!$E$1</c:f>
              <c:strCache>
                <c:ptCount val="1"/>
                <c:pt idx="0">
                  <c:v>2025</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Tryb podstawowy, o którym mowa w art. 275 pkt 1 ustawy Pzp</c:v>
                </c:pt>
                <c:pt idx="1">
                  <c:v>Tryb podstawowy, o którym mowa w art. 275 pkt 2 ustawy Pzp</c:v>
                </c:pt>
                <c:pt idx="2">
                  <c:v>Tryb podstawowy, o którym mowa w art. 275 pkt 3 ustawy Pzp</c:v>
                </c:pt>
                <c:pt idx="3">
                  <c:v>Zamówienie z wolnej ręki</c:v>
                </c:pt>
                <c:pt idx="4">
                  <c:v>Negocjacje bez ogłoszenia</c:v>
                </c:pt>
                <c:pt idx="5">
                  <c:v>Partnerstwo innowacyjne</c:v>
                </c:pt>
              </c:strCache>
            </c:strRef>
          </c:cat>
          <c:val>
            <c:numRef>
              <c:f>Sheet1!$E$2:$E$7</c:f>
              <c:numCache>
                <c:formatCode>0.00%;\-0.00%;0.00%</c:formatCode>
                <c:ptCount val="6"/>
                <c:pt idx="0">
                  <c:v>0.68585412788387101</c:v>
                </c:pt>
                <c:pt idx="1">
                  <c:v>0.12798845405676801</c:v>
                </c:pt>
                <c:pt idx="2">
                  <c:v>5.7869159921074796E-4</c:v>
                </c:pt>
                <c:pt idx="3">
                  <c:v>0.174221032302147</c:v>
                </c:pt>
                <c:pt idx="4">
                  <c:v>5.4452787829348702E-3</c:v>
                </c:pt>
                <c:pt idx="5">
                  <c:v>9.7610631192174396E-5</c:v>
                </c:pt>
              </c:numCache>
            </c:numRef>
          </c:val>
          <c:extLst>
            <c:ext xmlns:c16="http://schemas.microsoft.com/office/drawing/2014/chart" uri="{C3380CC4-5D6E-409C-BE32-E72D297353CC}">
              <c16:uniqueId val="{00000003-B74A-4F5C-A513-CF5949A17AF5}"/>
            </c:ext>
          </c:extLst>
        </c:ser>
        <c:dLbls>
          <c:dLblPos val="outEnd"/>
          <c:showLegendKey val="0"/>
          <c:showVal val="1"/>
          <c:showCatName val="0"/>
          <c:showSerName val="0"/>
          <c:showPercent val="0"/>
          <c:showBubbleSize val="0"/>
        </c:dLbls>
        <c:gapWidth val="50"/>
        <c:overlap val="-10"/>
        <c:axId val="424551144"/>
        <c:axId val="424549176"/>
      </c:barChart>
      <c:catAx>
        <c:axId val="424551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24549176"/>
        <c:crosses val="autoZero"/>
        <c:auto val="0"/>
        <c:lblAlgn val="ctr"/>
        <c:lblOffset val="100"/>
        <c:noMultiLvlLbl val="0"/>
      </c:catAx>
      <c:valAx>
        <c:axId val="424549176"/>
        <c:scaling>
          <c:orientation val="minMax"/>
          <c:max val="0.9"/>
          <c:min val="0"/>
        </c:scaling>
        <c:delete val="0"/>
        <c:axPos val="t"/>
        <c:majorGridlines>
          <c:spPr>
            <a:ln w="9525" cap="flat" cmpd="sng" algn="ctr">
              <a:solidFill>
                <a:schemeClr val="tx1">
                  <a:lumMod val="15000"/>
                  <a:lumOff val="85000"/>
                </a:schemeClr>
              </a:solidFill>
              <a:round/>
            </a:ln>
            <a:effectLst/>
          </c:spPr>
        </c:majorGridlines>
        <c:numFmt formatCode="0.00%;\-0.00%;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4551144"/>
        <c:crosses val="autoZero"/>
        <c:crossBetween val="between"/>
        <c:majorUnit val="0.2"/>
      </c:valAx>
      <c:spPr>
        <a:noFill/>
        <a:ln>
          <a:noFill/>
        </a:ln>
        <a:effectLst/>
      </c:spPr>
    </c:plotArea>
    <c:legend>
      <c:legendPos val="r"/>
      <c:layout>
        <c:manualLayout>
          <c:xMode val="edge"/>
          <c:yMode val="edge"/>
          <c:x val="0.82317785797608634"/>
          <c:y val="0.64447881514810645"/>
          <c:w val="8.9253404097968433E-2"/>
          <c:h val="0.35552171363194984"/>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603104219481091"/>
          <c:y val="5.6793359545653122E-2"/>
          <c:w val="0.70396895780518898"/>
          <c:h val="0.89822774446772136"/>
        </c:manualLayout>
      </c:layout>
      <c:barChart>
        <c:barDir val="bar"/>
        <c:grouping val="clustered"/>
        <c:varyColors val="0"/>
        <c:ser>
          <c:idx val="0"/>
          <c:order val="0"/>
          <c:tx>
            <c:strRef>
              <c:f>Sheet1!$B$1</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Tryb podstawowy, art. 275 pkt 1</c:v>
                </c:pt>
                <c:pt idx="1">
                  <c:v>Tryb podstawowy, art. 275 pkt 2</c:v>
                </c:pt>
                <c:pt idx="2">
                  <c:v>Zamówienie z wolnej ręki</c:v>
                </c:pt>
                <c:pt idx="3">
                  <c:v>Negocjacje bez ogłoszenia</c:v>
                </c:pt>
                <c:pt idx="4">
                  <c:v>Tryb podstawowy, art. 275 pkt 3</c:v>
                </c:pt>
                <c:pt idx="5">
                  <c:v>Partnerstwo innowacyjne</c:v>
                </c:pt>
              </c:strCache>
            </c:strRef>
          </c:cat>
          <c:val>
            <c:numRef>
              <c:f>Sheet1!$B$2:$B$7</c:f>
              <c:numCache>
                <c:formatCode>0.00%</c:formatCode>
                <c:ptCount val="6"/>
                <c:pt idx="0">
                  <c:v>0.80400000000000005</c:v>
                </c:pt>
                <c:pt idx="1">
                  <c:v>0.15129999999999999</c:v>
                </c:pt>
                <c:pt idx="2">
                  <c:v>4.3299999999999998E-2</c:v>
                </c:pt>
                <c:pt idx="3">
                  <c:v>8.9999999999999998E-4</c:v>
                </c:pt>
                <c:pt idx="4">
                  <c:v>5.0000000000000001E-4</c:v>
                </c:pt>
                <c:pt idx="5">
                  <c:v>0</c:v>
                </c:pt>
              </c:numCache>
            </c:numRef>
          </c:val>
          <c:extLst>
            <c:ext xmlns:c16="http://schemas.microsoft.com/office/drawing/2014/chart" uri="{C3380CC4-5D6E-409C-BE32-E72D297353CC}">
              <c16:uniqueId val="{00000000-B984-4139-A6EC-41FA0157016F}"/>
            </c:ext>
          </c:extLst>
        </c:ser>
        <c:ser>
          <c:idx val="1"/>
          <c:order val="1"/>
          <c:tx>
            <c:strRef>
              <c:f>Sheet1!$C$1</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Tryb podstawowy, art. 275 pkt 1</c:v>
                </c:pt>
                <c:pt idx="1">
                  <c:v>Tryb podstawowy, art. 275 pkt 2</c:v>
                </c:pt>
                <c:pt idx="2">
                  <c:v>Zamówienie z wolnej ręki</c:v>
                </c:pt>
                <c:pt idx="3">
                  <c:v>Negocjacje bez ogłoszenia</c:v>
                </c:pt>
                <c:pt idx="4">
                  <c:v>Tryb podstawowy, art. 275 pkt 3</c:v>
                </c:pt>
                <c:pt idx="5">
                  <c:v>Partnerstwo innowacyjne</c:v>
                </c:pt>
              </c:strCache>
            </c:strRef>
          </c:cat>
          <c:val>
            <c:numRef>
              <c:f>Sheet1!$C$2:$C$7</c:f>
              <c:numCache>
                <c:formatCode>0.00%</c:formatCode>
                <c:ptCount val="6"/>
                <c:pt idx="0">
                  <c:v>0.76419999999999999</c:v>
                </c:pt>
                <c:pt idx="1">
                  <c:v>0.17230000000000001</c:v>
                </c:pt>
                <c:pt idx="2">
                  <c:v>6.2600000000000003E-2</c:v>
                </c:pt>
                <c:pt idx="3">
                  <c:v>5.0000000000000001E-4</c:v>
                </c:pt>
                <c:pt idx="4">
                  <c:v>4.0000000000000002E-4</c:v>
                </c:pt>
                <c:pt idx="5">
                  <c:v>0</c:v>
                </c:pt>
              </c:numCache>
            </c:numRef>
          </c:val>
          <c:extLst>
            <c:ext xmlns:c16="http://schemas.microsoft.com/office/drawing/2014/chart" uri="{C3380CC4-5D6E-409C-BE32-E72D297353CC}">
              <c16:uniqueId val="{00000001-B984-4139-A6EC-41FA0157016F}"/>
            </c:ext>
          </c:extLst>
        </c:ser>
        <c:ser>
          <c:idx val="2"/>
          <c:order val="2"/>
          <c:tx>
            <c:strRef>
              <c:f>Sheet1!$D$1</c:f>
              <c:strCache>
                <c:ptCount val="1"/>
                <c:pt idx="0">
                  <c:v>2024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Tryb podstawowy, art. 275 pkt 1</c:v>
                </c:pt>
                <c:pt idx="1">
                  <c:v>Tryb podstawowy, art. 275 pkt 2</c:v>
                </c:pt>
                <c:pt idx="2">
                  <c:v>Zamówienie z wolnej ręki</c:v>
                </c:pt>
                <c:pt idx="3">
                  <c:v>Negocjacje bez ogłoszenia</c:v>
                </c:pt>
                <c:pt idx="4">
                  <c:v>Tryb podstawowy, art. 275 pkt 3</c:v>
                </c:pt>
                <c:pt idx="5">
                  <c:v>Partnerstwo innowacyjne</c:v>
                </c:pt>
              </c:strCache>
            </c:strRef>
          </c:cat>
          <c:val>
            <c:numRef>
              <c:f>Sheet1!$D$2:$D$7</c:f>
              <c:numCache>
                <c:formatCode>0.00%</c:formatCode>
                <c:ptCount val="6"/>
                <c:pt idx="0">
                  <c:v>0.76339999999999997</c:v>
                </c:pt>
                <c:pt idx="1">
                  <c:v>0.18859999999999999</c:v>
                </c:pt>
                <c:pt idx="2">
                  <c:v>4.6300000000000001E-2</c:v>
                </c:pt>
                <c:pt idx="3">
                  <c:v>1.5E-3</c:v>
                </c:pt>
                <c:pt idx="4">
                  <c:v>2.0000000000000001E-4</c:v>
                </c:pt>
                <c:pt idx="5">
                  <c:v>0</c:v>
                </c:pt>
              </c:numCache>
            </c:numRef>
          </c:val>
          <c:extLst>
            <c:ext xmlns:c16="http://schemas.microsoft.com/office/drawing/2014/chart" uri="{C3380CC4-5D6E-409C-BE32-E72D297353CC}">
              <c16:uniqueId val="{00000002-B984-4139-A6EC-41FA0157016F}"/>
            </c:ext>
          </c:extLst>
        </c:ser>
        <c:ser>
          <c:idx val="3"/>
          <c:order val="3"/>
          <c:tx>
            <c:strRef>
              <c:f>Sheet1!$E$1</c:f>
              <c:strCache>
                <c:ptCount val="1"/>
                <c:pt idx="0">
                  <c:v>2025</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Tryb podstawowy, art. 275 pkt 1</c:v>
                </c:pt>
                <c:pt idx="1">
                  <c:v>Tryb podstawowy, art. 275 pkt 2</c:v>
                </c:pt>
                <c:pt idx="2">
                  <c:v>Zamówienie z wolnej ręki</c:v>
                </c:pt>
                <c:pt idx="3">
                  <c:v>Negocjacje bez ogłoszenia</c:v>
                </c:pt>
                <c:pt idx="4">
                  <c:v>Tryb podstawowy, art. 275 pkt 3</c:v>
                </c:pt>
                <c:pt idx="5">
                  <c:v>Partnerstwo innowacyjne</c:v>
                </c:pt>
              </c:strCache>
            </c:strRef>
          </c:cat>
          <c:val>
            <c:numRef>
              <c:f>Sheet1!$E$2:$E$7</c:f>
              <c:numCache>
                <c:formatCode>0.00%</c:formatCode>
                <c:ptCount val="6"/>
                <c:pt idx="0">
                  <c:v>0.76691714937130495</c:v>
                </c:pt>
                <c:pt idx="1">
                  <c:v>0.164181023630037</c:v>
                </c:pt>
                <c:pt idx="2">
                  <c:v>6.4072578962045199E-2</c:v>
                </c:pt>
                <c:pt idx="3">
                  <c:v>7.1419892814037801E-4</c:v>
                </c:pt>
                <c:pt idx="4">
                  <c:v>1.2552057248038201E-4</c:v>
                </c:pt>
                <c:pt idx="5">
                  <c:v>6.3410753864461596E-5</c:v>
                </c:pt>
              </c:numCache>
            </c:numRef>
          </c:val>
          <c:extLst>
            <c:ext xmlns:c16="http://schemas.microsoft.com/office/drawing/2014/chart" uri="{C3380CC4-5D6E-409C-BE32-E72D297353CC}">
              <c16:uniqueId val="{00000003-B984-4139-A6EC-41FA0157016F}"/>
            </c:ext>
          </c:extLst>
        </c:ser>
        <c:dLbls>
          <c:dLblPos val="outEnd"/>
          <c:showLegendKey val="0"/>
          <c:showVal val="1"/>
          <c:showCatName val="0"/>
          <c:showSerName val="0"/>
          <c:showPercent val="0"/>
          <c:showBubbleSize val="0"/>
        </c:dLbls>
        <c:gapWidth val="50"/>
        <c:overlap val="-10"/>
        <c:axId val="424551144"/>
        <c:axId val="424549176"/>
      </c:barChart>
      <c:catAx>
        <c:axId val="424551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24549176"/>
        <c:crosses val="autoZero"/>
        <c:auto val="0"/>
        <c:lblAlgn val="ctr"/>
        <c:lblOffset val="100"/>
        <c:noMultiLvlLbl val="0"/>
      </c:catAx>
      <c:valAx>
        <c:axId val="424549176"/>
        <c:scaling>
          <c:orientation val="minMax"/>
          <c:max val="0.9"/>
          <c:min val="0"/>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4551144"/>
        <c:crosses val="autoZero"/>
        <c:crossBetween val="between"/>
        <c:majorUnit val="0.2"/>
      </c:valAx>
      <c:spPr>
        <a:noFill/>
        <a:ln>
          <a:noFill/>
        </a:ln>
        <a:effectLst/>
      </c:spPr>
    </c:plotArea>
    <c:legend>
      <c:legendPos val="r"/>
      <c:layout>
        <c:manualLayout>
          <c:xMode val="edge"/>
          <c:yMode val="edge"/>
          <c:x val="0.81623341353164192"/>
          <c:y val="0.63654230721159855"/>
          <c:w val="9.3488808690580349E-2"/>
          <c:h val="0.30628046494188221"/>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77">
  <cs:axisTitle>
    <cs:lnRef idx="0"/>
    <cs:fillRef idx="0"/>
    <cs:effectRef idx="0"/>
    <cs:fontRef idx="minor">
      <a:schemeClr val="lt1">
        <a:lumMod val="85000"/>
      </a:schemeClr>
    </cs:fontRef>
    <cs:defRPr sz="900" kern="1200"/>
  </cs:axisTitle>
  <cs:categoryAxis>
    <cs:lnRef idx="0"/>
    <cs:fillRef idx="0"/>
    <cs:effectRef idx="0"/>
    <cs:fontRef idx="minor">
      <a:schemeClr val="lt1">
        <a:lumMod val="85000"/>
      </a:schemeClr>
    </cs:fontRef>
    <cs:spPr>
      <a:ln w="9575" cap="flat" cmpd="sng" algn="ctr">
        <a:solidFill>
          <a:schemeClr val="lt1">
            <a:lumMod val="75000"/>
          </a:schemeClr>
        </a:solidFill>
        <a:round/>
        <a:headEnd type="none" w="sm" len="sm"/>
        <a:tailEnd type="none" w="sm" len="sm"/>
      </a:ln>
    </cs:spPr>
    <cs:defRPr sz="900" b="1" kern="1200" cap="all" baseline="0"/>
  </cs:categoryAxis>
  <cs:chartArea>
    <cs:lnRef idx="0"/>
    <cs:fillRef idx="0"/>
    <cs:effectRef idx="0"/>
    <cs:fontRef idx="minor">
      <a:schemeClr val="dk1"/>
    </cs:fontRef>
    <cs:spPr>
      <a:solidFill>
        <a:schemeClr val="dk1">
          <a:lumMod val="75000"/>
          <a:lumOff val="25000"/>
        </a:schemeClr>
      </a:solidFill>
      <a:ln w="9525" cap="flat" cmpd="sng" algn="ctr">
        <a:solidFill>
          <a:schemeClr val="lt1">
            <a:lumMod val="75000"/>
          </a:schemeClr>
        </a:solidFill>
        <a:round/>
      </a:ln>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lt1">
        <a:lumMod val="85000"/>
      </a:schemeClr>
    </cs:fontRef>
    <cs:spPr>
      <a:solidFill>
        <a:schemeClr val="dk1">
          <a:lumMod val="65000"/>
          <a:lumOff val="35000"/>
        </a:schemeClr>
      </a:solidFill>
      <a:ln>
        <a:solidFill>
          <a:schemeClr val="lt1">
            <a:lumMod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
  <cs:dataPoint3D>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3D>
  <cs:dataPointLine>
    <cs:lnRef idx="0">
      <cs:styleClr val="auto"/>
    </cs:lnRef>
    <cs:fillRef idx="0"/>
    <cs:effectRef idx="0"/>
    <cs:fontRef idx="minor">
      <a:schemeClr val="dk1"/>
    </cs:fontRef>
    <cs:spPr>
      <a:ln w="25400"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50000"/>
      </a:schemeClr>
    </cs:fontRef>
    <cs:spPr>
      <a:ln w="9525">
        <a:solidFill>
          <a:schemeClr val="lt1">
            <a:lumMod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cap="flat" cmpd="sng" algn="ctr">
        <a:solidFill>
          <a:schemeClr val="lt1">
            <a:alpha val="40000"/>
          </a:schemeClr>
        </a:solidFill>
        <a:round/>
      </a:ln>
    </cs:spPr>
  </cs:dropLine>
  <cs:errorBar>
    <cs:lnRef idx="0"/>
    <cs:fillRef idx="0"/>
    <cs:effectRef idx="0"/>
    <cs:fontRef idx="minor">
      <a:schemeClr val="dk1"/>
    </cs:fontRef>
    <cs:spPr>
      <a:ln w="9525" cap="flat" cmpd="sng" algn="ctr">
        <a:solidFill>
          <a:schemeClr val="lt1">
            <a:alpha val="4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65000"/>
                <a:alpha val="36000"/>
              </a:schemeClr>
            </a:gs>
          </a:gsLst>
          <a:lin ang="5400000" scaled="0"/>
        </a:gra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8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bg1">
        <a:lumMod val="85000"/>
      </a:schemeClr>
    </cs:fontRef>
    <cs:spPr>
      <a:ln w="19050" cap="flat" cmpd="sng" algn="ctr">
        <a:solidFill>
          <a:schemeClr val="bg1">
            <a:lumMod val="85000"/>
          </a:schemeClr>
        </a:solidFill>
        <a:round/>
        <a:headEnd type="none" w="sm" len="sm"/>
        <a:tailEnd type="none" w="sm" len="sm"/>
      </a:ln>
    </cs:spPr>
    <cs:defRPr sz="900" b="1"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ajor">
      <a:schemeClr val="lt1">
        <a:lumMod val="85000"/>
      </a:schemeClr>
    </cs:fontRef>
    <cs:defRPr sz="1800" b="1" kern="1200"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77">
  <cs:axisTitle>
    <cs:lnRef idx="0"/>
    <cs:fillRef idx="0"/>
    <cs:effectRef idx="0"/>
    <cs:fontRef idx="minor">
      <a:schemeClr val="lt1">
        <a:lumMod val="85000"/>
      </a:schemeClr>
    </cs:fontRef>
    <cs:defRPr sz="900" kern="1200"/>
  </cs:axisTitle>
  <cs:categoryAxis>
    <cs:lnRef idx="0"/>
    <cs:fillRef idx="0"/>
    <cs:effectRef idx="0"/>
    <cs:fontRef idx="minor">
      <a:schemeClr val="lt1">
        <a:lumMod val="85000"/>
      </a:schemeClr>
    </cs:fontRef>
    <cs:spPr>
      <a:ln w="9575" cap="flat" cmpd="sng" algn="ctr">
        <a:solidFill>
          <a:schemeClr val="lt1">
            <a:lumMod val="75000"/>
          </a:schemeClr>
        </a:solidFill>
        <a:round/>
        <a:headEnd type="none" w="sm" len="sm"/>
        <a:tailEnd type="none" w="sm" len="sm"/>
      </a:ln>
    </cs:spPr>
    <cs:defRPr sz="900" b="1" kern="1200" cap="all" baseline="0"/>
  </cs:categoryAxis>
  <cs:chartArea>
    <cs:lnRef idx="0"/>
    <cs:fillRef idx="0"/>
    <cs:effectRef idx="0"/>
    <cs:fontRef idx="minor">
      <a:schemeClr val="dk1"/>
    </cs:fontRef>
    <cs:spPr>
      <a:solidFill>
        <a:schemeClr val="dk1">
          <a:lumMod val="75000"/>
          <a:lumOff val="25000"/>
        </a:schemeClr>
      </a:solidFill>
      <a:ln w="9525" cap="flat" cmpd="sng" algn="ctr">
        <a:solidFill>
          <a:schemeClr val="lt1">
            <a:lumMod val="75000"/>
          </a:schemeClr>
        </a:solidFill>
        <a:round/>
      </a:ln>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lt1">
        <a:lumMod val="85000"/>
      </a:schemeClr>
    </cs:fontRef>
    <cs:spPr>
      <a:solidFill>
        <a:schemeClr val="dk1">
          <a:lumMod val="65000"/>
          <a:lumOff val="35000"/>
        </a:schemeClr>
      </a:solidFill>
      <a:ln>
        <a:solidFill>
          <a:schemeClr val="lt1">
            <a:lumMod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
  <cs:dataPoint3D>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3D>
  <cs:dataPointLine>
    <cs:lnRef idx="0">
      <cs:styleClr val="auto"/>
    </cs:lnRef>
    <cs:fillRef idx="0"/>
    <cs:effectRef idx="0"/>
    <cs:fontRef idx="minor">
      <a:schemeClr val="dk1"/>
    </cs:fontRef>
    <cs:spPr>
      <a:ln w="25400"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50000"/>
      </a:schemeClr>
    </cs:fontRef>
    <cs:spPr>
      <a:ln w="9525">
        <a:solidFill>
          <a:schemeClr val="lt1">
            <a:lumMod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cap="flat" cmpd="sng" algn="ctr">
        <a:solidFill>
          <a:schemeClr val="lt1">
            <a:alpha val="40000"/>
          </a:schemeClr>
        </a:solidFill>
        <a:round/>
      </a:ln>
    </cs:spPr>
  </cs:dropLine>
  <cs:errorBar>
    <cs:lnRef idx="0"/>
    <cs:fillRef idx="0"/>
    <cs:effectRef idx="0"/>
    <cs:fontRef idx="minor">
      <a:schemeClr val="dk1"/>
    </cs:fontRef>
    <cs:spPr>
      <a:ln w="9525" cap="flat" cmpd="sng" algn="ctr">
        <a:solidFill>
          <a:schemeClr val="lt1">
            <a:alpha val="4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65000"/>
                <a:alpha val="36000"/>
              </a:schemeClr>
            </a:gs>
          </a:gsLst>
          <a:lin ang="5400000" scaled="0"/>
        </a:gra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8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bg1">
        <a:lumMod val="85000"/>
      </a:schemeClr>
    </cs:fontRef>
    <cs:spPr>
      <a:ln w="19050" cap="flat" cmpd="sng" algn="ctr">
        <a:solidFill>
          <a:schemeClr val="bg1">
            <a:lumMod val="85000"/>
          </a:schemeClr>
        </a:solidFill>
        <a:round/>
        <a:headEnd type="none" w="sm" len="sm"/>
        <a:tailEnd type="none" w="sm" len="sm"/>
      </a:ln>
    </cs:spPr>
    <cs:defRPr sz="900" b="1"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ajor">
      <a:schemeClr val="lt1">
        <a:lumMod val="85000"/>
      </a:schemeClr>
    </cs:fontRef>
    <cs:defRPr sz="1800" b="1" kern="1200"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77">
  <cs:axisTitle>
    <cs:lnRef idx="0"/>
    <cs:fillRef idx="0"/>
    <cs:effectRef idx="0"/>
    <cs:fontRef idx="minor">
      <a:schemeClr val="lt1">
        <a:lumMod val="85000"/>
      </a:schemeClr>
    </cs:fontRef>
    <cs:defRPr sz="900" kern="1200"/>
  </cs:axisTitle>
  <cs:categoryAxis>
    <cs:lnRef idx="0"/>
    <cs:fillRef idx="0"/>
    <cs:effectRef idx="0"/>
    <cs:fontRef idx="minor">
      <a:schemeClr val="lt1">
        <a:lumMod val="85000"/>
      </a:schemeClr>
    </cs:fontRef>
    <cs:spPr>
      <a:ln w="9575" cap="flat" cmpd="sng" algn="ctr">
        <a:solidFill>
          <a:schemeClr val="lt1">
            <a:lumMod val="75000"/>
          </a:schemeClr>
        </a:solidFill>
        <a:round/>
        <a:headEnd type="none" w="sm" len="sm"/>
        <a:tailEnd type="none" w="sm" len="sm"/>
      </a:ln>
    </cs:spPr>
    <cs:defRPr sz="900" b="1" kern="1200" cap="all" baseline="0"/>
  </cs:categoryAxis>
  <cs:chartArea>
    <cs:lnRef idx="0"/>
    <cs:fillRef idx="0"/>
    <cs:effectRef idx="0"/>
    <cs:fontRef idx="minor">
      <a:schemeClr val="dk1"/>
    </cs:fontRef>
    <cs:spPr>
      <a:solidFill>
        <a:schemeClr val="dk1">
          <a:lumMod val="75000"/>
          <a:lumOff val="25000"/>
        </a:schemeClr>
      </a:solidFill>
      <a:ln w="9525" cap="flat" cmpd="sng" algn="ctr">
        <a:solidFill>
          <a:schemeClr val="lt1">
            <a:lumMod val="75000"/>
          </a:schemeClr>
        </a:solidFill>
        <a:round/>
      </a:ln>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lt1">
        <a:lumMod val="85000"/>
      </a:schemeClr>
    </cs:fontRef>
    <cs:spPr>
      <a:solidFill>
        <a:schemeClr val="dk1">
          <a:lumMod val="65000"/>
          <a:lumOff val="35000"/>
        </a:schemeClr>
      </a:solidFill>
      <a:ln>
        <a:solidFill>
          <a:schemeClr val="lt1">
            <a:lumMod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
  <cs:dataPoint3D>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3D>
  <cs:dataPointLine>
    <cs:lnRef idx="0">
      <cs:styleClr val="auto"/>
    </cs:lnRef>
    <cs:fillRef idx="0"/>
    <cs:effectRef idx="0"/>
    <cs:fontRef idx="minor">
      <a:schemeClr val="dk1"/>
    </cs:fontRef>
    <cs:spPr>
      <a:ln w="25400"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50000"/>
      </a:schemeClr>
    </cs:fontRef>
    <cs:spPr>
      <a:ln w="9525">
        <a:solidFill>
          <a:schemeClr val="lt1">
            <a:lumMod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cap="flat" cmpd="sng" algn="ctr">
        <a:solidFill>
          <a:schemeClr val="lt1">
            <a:alpha val="40000"/>
          </a:schemeClr>
        </a:solidFill>
        <a:round/>
      </a:ln>
    </cs:spPr>
  </cs:dropLine>
  <cs:errorBar>
    <cs:lnRef idx="0"/>
    <cs:fillRef idx="0"/>
    <cs:effectRef idx="0"/>
    <cs:fontRef idx="minor">
      <a:schemeClr val="dk1"/>
    </cs:fontRef>
    <cs:spPr>
      <a:ln w="9525" cap="flat" cmpd="sng" algn="ctr">
        <a:solidFill>
          <a:schemeClr val="lt1">
            <a:alpha val="4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65000"/>
                <a:alpha val="36000"/>
              </a:schemeClr>
            </a:gs>
          </a:gsLst>
          <a:lin ang="5400000" scaled="0"/>
        </a:gra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8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bg1">
        <a:lumMod val="85000"/>
      </a:schemeClr>
    </cs:fontRef>
    <cs:spPr>
      <a:ln w="19050" cap="flat" cmpd="sng" algn="ctr">
        <a:solidFill>
          <a:schemeClr val="bg1">
            <a:lumMod val="85000"/>
          </a:schemeClr>
        </a:solidFill>
        <a:round/>
        <a:headEnd type="none" w="sm" len="sm"/>
        <a:tailEnd type="none" w="sm" len="sm"/>
      </a:ln>
    </cs:spPr>
    <cs:defRPr sz="900" b="1"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ajor">
      <a:schemeClr val="lt1">
        <a:lumMod val="85000"/>
      </a:schemeClr>
    </cs:fontRef>
    <cs:defRPr sz="1800" b="1" kern="1200"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cdr:x>
      <cdr:y>0.90416</cdr:y>
    </cdr:from>
    <cdr:to>
      <cdr:x>0.45735</cdr:x>
      <cdr:y>0.97916</cdr:y>
    </cdr:to>
    <cdr:sp macro="" textlink="">
      <cdr:nvSpPr>
        <cdr:cNvPr id="2" name="pole tekstowe 1"/>
        <cdr:cNvSpPr txBox="1"/>
      </cdr:nvSpPr>
      <cdr:spPr>
        <a:xfrm xmlns:a="http://schemas.openxmlformats.org/drawingml/2006/main">
          <a:off x="518181" y="2480298"/>
          <a:ext cx="1851645" cy="205740"/>
        </a:xfrm>
        <a:prstGeom xmlns:a="http://schemas.openxmlformats.org/drawingml/2006/main" prst="rect">
          <a:avLst/>
        </a:prstGeom>
      </cdr:spPr>
      <cdr:txBody>
        <a:bodyPr xmlns:a="http://schemas.openxmlformats.org/drawingml/2006/main" vertOverflow="clip" wrap="square" rtlCol="0" anchor="t"/>
        <a:lstStyle xmlns:a="http://schemas.openxmlformats.org/drawingml/2006/main"/>
        <a:p xmlns:a="http://schemas.openxmlformats.org/drawingml/2006/main">
          <a:pPr algn="ctr"/>
          <a:r>
            <a:rPr lang="pl-PL" sz="1100" b="1"/>
            <a:t>ogółem</a:t>
          </a:r>
        </a:p>
      </cdr:txBody>
    </cdr:sp>
  </cdr:relSizeAnchor>
  <cdr:relSizeAnchor xmlns:cdr="http://schemas.openxmlformats.org/drawingml/2006/chartDrawing">
    <cdr:from>
      <cdr:x>0.51324</cdr:x>
      <cdr:y>0.90695</cdr:y>
    </cdr:from>
    <cdr:to>
      <cdr:x>0.87059</cdr:x>
      <cdr:y>0.99028</cdr:y>
    </cdr:to>
    <cdr:sp macro="" textlink="">
      <cdr:nvSpPr>
        <cdr:cNvPr id="3" name="pole tekstowe 1"/>
        <cdr:cNvSpPr txBox="1"/>
      </cdr:nvSpPr>
      <cdr:spPr>
        <a:xfrm xmlns:a="http://schemas.openxmlformats.org/drawingml/2006/main">
          <a:off x="2659407" y="2487939"/>
          <a:ext cx="1851645" cy="228591"/>
        </a:xfrm>
        <a:prstGeom xmlns:a="http://schemas.openxmlformats.org/drawingml/2006/main" prst="rect">
          <a:avLst/>
        </a:prstGeom>
      </cdr:spPr>
      <cdr:txBody>
        <a:bodyPr xmlns:a="http://schemas.openxmlformats.org/drawingml/2006/main" wrap="square" rtlCol="0" anchor="t"/>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1100" b="1"/>
            <a:t>202</a:t>
          </a:r>
          <a:r>
            <a:rPr lang="en-US" sz="1100" b="1"/>
            <a:t>5</a:t>
          </a:r>
          <a:r>
            <a:rPr lang="pl-PL" sz="1100" b="1"/>
            <a:t>,</a:t>
          </a:r>
          <a:r>
            <a:rPr lang="pl-PL" sz="1100" b="1" baseline="0"/>
            <a:t> rodzaj zamówienia</a:t>
          </a:r>
          <a:endParaRPr lang="pl-PL" sz="1100" b="1"/>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Pakiet Office 2013–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2013–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2013–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Pakiet Office 2013–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2013–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2013–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6B7BBE7-1186-4845-B387-E6118839F1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117</Pages>
  <Words>62811</Words>
  <Characters>376866</Characters>
  <Application>Microsoft Office Word</Application>
  <DocSecurity>0</DocSecurity>
  <Lines>3140</Lines>
  <Paragraphs>877</Paragraphs>
  <ScaleCrop>false</ScaleCrop>
  <HeadingPairs>
    <vt:vector size="2" baseType="variant">
      <vt:variant>
        <vt:lpstr>Tytuł</vt:lpstr>
      </vt:variant>
      <vt:variant>
        <vt:i4>1</vt:i4>
      </vt:variant>
    </vt:vector>
  </HeadingPairs>
  <TitlesOfParts>
    <vt:vector size="1" baseType="lpstr">
      <vt:lpstr/>
    </vt:vector>
  </TitlesOfParts>
  <Company>Microsof</Company>
  <LinksUpToDate>false</LinksUpToDate>
  <CharactersWithSpaces>438800</CharactersWithSpaces>
  <SharedDoc>false</SharedDoc>
  <HLinks>
    <vt:vector size="456" baseType="variant">
      <vt:variant>
        <vt:i4>6357041</vt:i4>
      </vt:variant>
      <vt:variant>
        <vt:i4>417</vt:i4>
      </vt:variant>
      <vt:variant>
        <vt:i4>0</vt:i4>
      </vt:variant>
      <vt:variant>
        <vt:i4>5</vt:i4>
      </vt:variant>
      <vt:variant>
        <vt:lpwstr>http://www.szkoleniazmowy.uokik.gov.pl/</vt:lpwstr>
      </vt:variant>
      <vt:variant>
        <vt:lpwstr/>
      </vt:variant>
      <vt:variant>
        <vt:i4>6291497</vt:i4>
      </vt:variant>
      <vt:variant>
        <vt:i4>414</vt:i4>
      </vt:variant>
      <vt:variant>
        <vt:i4>0</vt:i4>
      </vt:variant>
      <vt:variant>
        <vt:i4>5</vt:i4>
      </vt:variant>
      <vt:variant>
        <vt:lpwstr>http://www.uzp.gov.pl/</vt:lpwstr>
      </vt:variant>
      <vt:variant>
        <vt:lpwstr/>
      </vt:variant>
      <vt:variant>
        <vt:i4>6160389</vt:i4>
      </vt:variant>
      <vt:variant>
        <vt:i4>411</vt:i4>
      </vt:variant>
      <vt:variant>
        <vt:i4>0</vt:i4>
      </vt:variant>
      <vt:variant>
        <vt:i4>5</vt:i4>
      </vt:variant>
      <vt:variant>
        <vt:lpwstr>https://bpp.worldbank.org/en/reports</vt:lpwstr>
      </vt:variant>
      <vt:variant>
        <vt:lpwstr/>
      </vt:variant>
      <vt:variant>
        <vt:i4>6815785</vt:i4>
      </vt:variant>
      <vt:variant>
        <vt:i4>408</vt:i4>
      </vt:variant>
      <vt:variant>
        <vt:i4>0</vt:i4>
      </vt:variant>
      <vt:variant>
        <vt:i4>5</vt:i4>
      </vt:variant>
      <vt:variant>
        <vt:lpwstr>https://www.doingbusiness.org/en/reports/global-reports/doing-business-2020</vt:lpwstr>
      </vt:variant>
      <vt:variant>
        <vt:lpwstr/>
      </vt:variant>
      <vt:variant>
        <vt:i4>983116</vt:i4>
      </vt:variant>
      <vt:variant>
        <vt:i4>405</vt:i4>
      </vt:variant>
      <vt:variant>
        <vt:i4>0</vt:i4>
      </vt:variant>
      <vt:variant>
        <vt:i4>5</vt:i4>
      </vt:variant>
      <vt:variant>
        <vt:lpwstr>https://www.uzp.gov.pl/baza-wiedzy/zrownowazone-zamowienia-publiczne/zielone-zamowienia/przydatne-informacje/rachunek-kosztow-cyklu-zycia</vt:lpwstr>
      </vt:variant>
      <vt:variant>
        <vt:lpwstr/>
      </vt:variant>
      <vt:variant>
        <vt:i4>983116</vt:i4>
      </vt:variant>
      <vt:variant>
        <vt:i4>402</vt:i4>
      </vt:variant>
      <vt:variant>
        <vt:i4>0</vt:i4>
      </vt:variant>
      <vt:variant>
        <vt:i4>5</vt:i4>
      </vt:variant>
      <vt:variant>
        <vt:lpwstr>https://www.uzp.gov.pl/baza-wiedzy/zrownowazone-zamowienia-publiczne/zielone-zamowienia/przydatne-informacje/rachunek-kosztow-cyklu-zycia</vt:lpwstr>
      </vt:variant>
      <vt:variant>
        <vt:lpwstr/>
      </vt:variant>
      <vt:variant>
        <vt:i4>196627</vt:i4>
      </vt:variant>
      <vt:variant>
        <vt:i4>399</vt:i4>
      </vt:variant>
      <vt:variant>
        <vt:i4>0</vt:i4>
      </vt:variant>
      <vt:variant>
        <vt:i4>5</vt:i4>
      </vt:variant>
      <vt:variant>
        <vt:lpwstr>http://www.ekatalogi.uzp.gov.pl/</vt:lpwstr>
      </vt:variant>
      <vt:variant>
        <vt:lpwstr/>
      </vt:variant>
      <vt:variant>
        <vt:i4>2687095</vt:i4>
      </vt:variant>
      <vt:variant>
        <vt:i4>396</vt:i4>
      </vt:variant>
      <vt:variant>
        <vt:i4>0</vt:i4>
      </vt:variant>
      <vt:variant>
        <vt:i4>5</vt:i4>
      </vt:variant>
      <vt:variant>
        <vt:lpwstr>https://aukcje.uzp.gov.pl/</vt:lpwstr>
      </vt:variant>
      <vt:variant>
        <vt:lpwstr/>
      </vt:variant>
      <vt:variant>
        <vt:i4>6094937</vt:i4>
      </vt:variant>
      <vt:variant>
        <vt:i4>393</vt:i4>
      </vt:variant>
      <vt:variant>
        <vt:i4>0</vt:i4>
      </vt:variant>
      <vt:variant>
        <vt:i4>5</vt:i4>
      </vt:variant>
      <vt:variant>
        <vt:lpwstr>https://licytacje.uzp.gov.pl/</vt:lpwstr>
      </vt:variant>
      <vt:variant>
        <vt:lpwstr/>
      </vt:variant>
      <vt:variant>
        <vt:i4>6684683</vt:i4>
      </vt:variant>
      <vt:variant>
        <vt:i4>390</vt:i4>
      </vt:variant>
      <vt:variant>
        <vt:i4>0</vt:i4>
      </vt:variant>
      <vt:variant>
        <vt:i4>5</vt:i4>
      </vt:variant>
      <vt:variant>
        <vt:lpwstr>http://websrv.bzp.uzp.gov.pl/BZP_PublicWebService.asmx</vt:lpwstr>
      </vt:variant>
      <vt:variant>
        <vt:lpwstr/>
      </vt:variant>
      <vt:variant>
        <vt:i4>262165</vt:i4>
      </vt:variant>
      <vt:variant>
        <vt:i4>387</vt:i4>
      </vt:variant>
      <vt:variant>
        <vt:i4>0</vt:i4>
      </vt:variant>
      <vt:variant>
        <vt:i4>5</vt:i4>
      </vt:variant>
      <vt:variant>
        <vt:lpwstr>https://www.uzp.gov.pl/baza-wiedzy/dobre-praktyki/forum-dobrych-praktyk2</vt:lpwstr>
      </vt:variant>
      <vt:variant>
        <vt:lpwstr/>
      </vt:variant>
      <vt:variant>
        <vt:i4>2752623</vt:i4>
      </vt:variant>
      <vt:variant>
        <vt:i4>384</vt:i4>
      </vt:variant>
      <vt:variant>
        <vt:i4>0</vt:i4>
      </vt:variant>
      <vt:variant>
        <vt:i4>5</vt:i4>
      </vt:variant>
      <vt:variant>
        <vt:lpwstr>https://www.uzp.gov.pl/baza-wiedzy/dobre-praktyki/forum-praktyk-branzowych</vt:lpwstr>
      </vt:variant>
      <vt:variant>
        <vt:lpwstr/>
      </vt:variant>
      <vt:variant>
        <vt:i4>6619187</vt:i4>
      </vt:variant>
      <vt:variant>
        <vt:i4>381</vt:i4>
      </vt:variant>
      <vt:variant>
        <vt:i4>0</vt:i4>
      </vt:variant>
      <vt:variant>
        <vt:i4>5</vt:i4>
      </vt:variant>
      <vt:variant>
        <vt:lpwstr>https://e-gpa.wto.org/</vt:lpwstr>
      </vt:variant>
      <vt:variant>
        <vt:lpwstr/>
      </vt:variant>
      <vt:variant>
        <vt:i4>4587585</vt:i4>
      </vt:variant>
      <vt:variant>
        <vt:i4>369</vt:i4>
      </vt:variant>
      <vt:variant>
        <vt:i4>0</vt:i4>
      </vt:variant>
      <vt:variant>
        <vt:i4>5</vt:i4>
      </vt:variant>
      <vt:variant>
        <vt:lpwstr>https://efaktura.gov.pl/</vt:lpwstr>
      </vt:variant>
      <vt:variant>
        <vt:lpwstr/>
      </vt:variant>
      <vt:variant>
        <vt:i4>4587585</vt:i4>
      </vt:variant>
      <vt:variant>
        <vt:i4>366</vt:i4>
      </vt:variant>
      <vt:variant>
        <vt:i4>0</vt:i4>
      </vt:variant>
      <vt:variant>
        <vt:i4>5</vt:i4>
      </vt:variant>
      <vt:variant>
        <vt:lpwstr>https://efaktura.gov.pl/</vt:lpwstr>
      </vt:variant>
      <vt:variant>
        <vt:lpwstr/>
      </vt:variant>
      <vt:variant>
        <vt:i4>7012411</vt:i4>
      </vt:variant>
      <vt:variant>
        <vt:i4>363</vt:i4>
      </vt:variant>
      <vt:variant>
        <vt:i4>0</vt:i4>
      </vt:variant>
      <vt:variant>
        <vt:i4>5</vt:i4>
      </vt:variant>
      <vt:variant>
        <vt:lpwstr>https://sip.legalis.pl/document-view.seam?documentId=mfrxilrtg4yteobqgqztg</vt:lpwstr>
      </vt:variant>
      <vt:variant>
        <vt:lpwstr/>
      </vt:variant>
      <vt:variant>
        <vt:i4>1376309</vt:i4>
      </vt:variant>
      <vt:variant>
        <vt:i4>356</vt:i4>
      </vt:variant>
      <vt:variant>
        <vt:i4>0</vt:i4>
      </vt:variant>
      <vt:variant>
        <vt:i4>5</vt:i4>
      </vt:variant>
      <vt:variant>
        <vt:lpwstr/>
      </vt:variant>
      <vt:variant>
        <vt:lpwstr>_Toc42446034</vt:lpwstr>
      </vt:variant>
      <vt:variant>
        <vt:i4>1179701</vt:i4>
      </vt:variant>
      <vt:variant>
        <vt:i4>350</vt:i4>
      </vt:variant>
      <vt:variant>
        <vt:i4>0</vt:i4>
      </vt:variant>
      <vt:variant>
        <vt:i4>5</vt:i4>
      </vt:variant>
      <vt:variant>
        <vt:lpwstr/>
      </vt:variant>
      <vt:variant>
        <vt:lpwstr>_Toc42446033</vt:lpwstr>
      </vt:variant>
      <vt:variant>
        <vt:i4>1245237</vt:i4>
      </vt:variant>
      <vt:variant>
        <vt:i4>344</vt:i4>
      </vt:variant>
      <vt:variant>
        <vt:i4>0</vt:i4>
      </vt:variant>
      <vt:variant>
        <vt:i4>5</vt:i4>
      </vt:variant>
      <vt:variant>
        <vt:lpwstr/>
      </vt:variant>
      <vt:variant>
        <vt:lpwstr>_Toc42446032</vt:lpwstr>
      </vt:variant>
      <vt:variant>
        <vt:i4>1048629</vt:i4>
      </vt:variant>
      <vt:variant>
        <vt:i4>338</vt:i4>
      </vt:variant>
      <vt:variant>
        <vt:i4>0</vt:i4>
      </vt:variant>
      <vt:variant>
        <vt:i4>5</vt:i4>
      </vt:variant>
      <vt:variant>
        <vt:lpwstr/>
      </vt:variant>
      <vt:variant>
        <vt:lpwstr>_Toc42446031</vt:lpwstr>
      </vt:variant>
      <vt:variant>
        <vt:i4>1114165</vt:i4>
      </vt:variant>
      <vt:variant>
        <vt:i4>332</vt:i4>
      </vt:variant>
      <vt:variant>
        <vt:i4>0</vt:i4>
      </vt:variant>
      <vt:variant>
        <vt:i4>5</vt:i4>
      </vt:variant>
      <vt:variant>
        <vt:lpwstr/>
      </vt:variant>
      <vt:variant>
        <vt:lpwstr>_Toc42446030</vt:lpwstr>
      </vt:variant>
      <vt:variant>
        <vt:i4>1572916</vt:i4>
      </vt:variant>
      <vt:variant>
        <vt:i4>326</vt:i4>
      </vt:variant>
      <vt:variant>
        <vt:i4>0</vt:i4>
      </vt:variant>
      <vt:variant>
        <vt:i4>5</vt:i4>
      </vt:variant>
      <vt:variant>
        <vt:lpwstr/>
      </vt:variant>
      <vt:variant>
        <vt:lpwstr>_Toc42446029</vt:lpwstr>
      </vt:variant>
      <vt:variant>
        <vt:i4>1638452</vt:i4>
      </vt:variant>
      <vt:variant>
        <vt:i4>320</vt:i4>
      </vt:variant>
      <vt:variant>
        <vt:i4>0</vt:i4>
      </vt:variant>
      <vt:variant>
        <vt:i4>5</vt:i4>
      </vt:variant>
      <vt:variant>
        <vt:lpwstr/>
      </vt:variant>
      <vt:variant>
        <vt:lpwstr>_Toc42446028</vt:lpwstr>
      </vt:variant>
      <vt:variant>
        <vt:i4>1441844</vt:i4>
      </vt:variant>
      <vt:variant>
        <vt:i4>314</vt:i4>
      </vt:variant>
      <vt:variant>
        <vt:i4>0</vt:i4>
      </vt:variant>
      <vt:variant>
        <vt:i4>5</vt:i4>
      </vt:variant>
      <vt:variant>
        <vt:lpwstr/>
      </vt:variant>
      <vt:variant>
        <vt:lpwstr>_Toc42446027</vt:lpwstr>
      </vt:variant>
      <vt:variant>
        <vt:i4>1507380</vt:i4>
      </vt:variant>
      <vt:variant>
        <vt:i4>308</vt:i4>
      </vt:variant>
      <vt:variant>
        <vt:i4>0</vt:i4>
      </vt:variant>
      <vt:variant>
        <vt:i4>5</vt:i4>
      </vt:variant>
      <vt:variant>
        <vt:lpwstr/>
      </vt:variant>
      <vt:variant>
        <vt:lpwstr>_Toc42446026</vt:lpwstr>
      </vt:variant>
      <vt:variant>
        <vt:i4>1310772</vt:i4>
      </vt:variant>
      <vt:variant>
        <vt:i4>302</vt:i4>
      </vt:variant>
      <vt:variant>
        <vt:i4>0</vt:i4>
      </vt:variant>
      <vt:variant>
        <vt:i4>5</vt:i4>
      </vt:variant>
      <vt:variant>
        <vt:lpwstr/>
      </vt:variant>
      <vt:variant>
        <vt:lpwstr>_Toc42446025</vt:lpwstr>
      </vt:variant>
      <vt:variant>
        <vt:i4>1376308</vt:i4>
      </vt:variant>
      <vt:variant>
        <vt:i4>296</vt:i4>
      </vt:variant>
      <vt:variant>
        <vt:i4>0</vt:i4>
      </vt:variant>
      <vt:variant>
        <vt:i4>5</vt:i4>
      </vt:variant>
      <vt:variant>
        <vt:lpwstr/>
      </vt:variant>
      <vt:variant>
        <vt:lpwstr>_Toc42446024</vt:lpwstr>
      </vt:variant>
      <vt:variant>
        <vt:i4>1179700</vt:i4>
      </vt:variant>
      <vt:variant>
        <vt:i4>290</vt:i4>
      </vt:variant>
      <vt:variant>
        <vt:i4>0</vt:i4>
      </vt:variant>
      <vt:variant>
        <vt:i4>5</vt:i4>
      </vt:variant>
      <vt:variant>
        <vt:lpwstr/>
      </vt:variant>
      <vt:variant>
        <vt:lpwstr>_Toc42446023</vt:lpwstr>
      </vt:variant>
      <vt:variant>
        <vt:i4>1245236</vt:i4>
      </vt:variant>
      <vt:variant>
        <vt:i4>284</vt:i4>
      </vt:variant>
      <vt:variant>
        <vt:i4>0</vt:i4>
      </vt:variant>
      <vt:variant>
        <vt:i4>5</vt:i4>
      </vt:variant>
      <vt:variant>
        <vt:lpwstr/>
      </vt:variant>
      <vt:variant>
        <vt:lpwstr>_Toc42446022</vt:lpwstr>
      </vt:variant>
      <vt:variant>
        <vt:i4>1048628</vt:i4>
      </vt:variant>
      <vt:variant>
        <vt:i4>278</vt:i4>
      </vt:variant>
      <vt:variant>
        <vt:i4>0</vt:i4>
      </vt:variant>
      <vt:variant>
        <vt:i4>5</vt:i4>
      </vt:variant>
      <vt:variant>
        <vt:lpwstr/>
      </vt:variant>
      <vt:variant>
        <vt:lpwstr>_Toc42446021</vt:lpwstr>
      </vt:variant>
      <vt:variant>
        <vt:i4>1114164</vt:i4>
      </vt:variant>
      <vt:variant>
        <vt:i4>272</vt:i4>
      </vt:variant>
      <vt:variant>
        <vt:i4>0</vt:i4>
      </vt:variant>
      <vt:variant>
        <vt:i4>5</vt:i4>
      </vt:variant>
      <vt:variant>
        <vt:lpwstr/>
      </vt:variant>
      <vt:variant>
        <vt:lpwstr>_Toc42446020</vt:lpwstr>
      </vt:variant>
      <vt:variant>
        <vt:i4>1572919</vt:i4>
      </vt:variant>
      <vt:variant>
        <vt:i4>266</vt:i4>
      </vt:variant>
      <vt:variant>
        <vt:i4>0</vt:i4>
      </vt:variant>
      <vt:variant>
        <vt:i4>5</vt:i4>
      </vt:variant>
      <vt:variant>
        <vt:lpwstr/>
      </vt:variant>
      <vt:variant>
        <vt:lpwstr>_Toc42446019</vt:lpwstr>
      </vt:variant>
      <vt:variant>
        <vt:i4>1638455</vt:i4>
      </vt:variant>
      <vt:variant>
        <vt:i4>260</vt:i4>
      </vt:variant>
      <vt:variant>
        <vt:i4>0</vt:i4>
      </vt:variant>
      <vt:variant>
        <vt:i4>5</vt:i4>
      </vt:variant>
      <vt:variant>
        <vt:lpwstr/>
      </vt:variant>
      <vt:variant>
        <vt:lpwstr>_Toc42446018</vt:lpwstr>
      </vt:variant>
      <vt:variant>
        <vt:i4>1441847</vt:i4>
      </vt:variant>
      <vt:variant>
        <vt:i4>254</vt:i4>
      </vt:variant>
      <vt:variant>
        <vt:i4>0</vt:i4>
      </vt:variant>
      <vt:variant>
        <vt:i4>5</vt:i4>
      </vt:variant>
      <vt:variant>
        <vt:lpwstr/>
      </vt:variant>
      <vt:variant>
        <vt:lpwstr>_Toc42446017</vt:lpwstr>
      </vt:variant>
      <vt:variant>
        <vt:i4>1507383</vt:i4>
      </vt:variant>
      <vt:variant>
        <vt:i4>248</vt:i4>
      </vt:variant>
      <vt:variant>
        <vt:i4>0</vt:i4>
      </vt:variant>
      <vt:variant>
        <vt:i4>5</vt:i4>
      </vt:variant>
      <vt:variant>
        <vt:lpwstr/>
      </vt:variant>
      <vt:variant>
        <vt:lpwstr>_Toc42446016</vt:lpwstr>
      </vt:variant>
      <vt:variant>
        <vt:i4>1310775</vt:i4>
      </vt:variant>
      <vt:variant>
        <vt:i4>242</vt:i4>
      </vt:variant>
      <vt:variant>
        <vt:i4>0</vt:i4>
      </vt:variant>
      <vt:variant>
        <vt:i4>5</vt:i4>
      </vt:variant>
      <vt:variant>
        <vt:lpwstr/>
      </vt:variant>
      <vt:variant>
        <vt:lpwstr>_Toc42446015</vt:lpwstr>
      </vt:variant>
      <vt:variant>
        <vt:i4>1376311</vt:i4>
      </vt:variant>
      <vt:variant>
        <vt:i4>236</vt:i4>
      </vt:variant>
      <vt:variant>
        <vt:i4>0</vt:i4>
      </vt:variant>
      <vt:variant>
        <vt:i4>5</vt:i4>
      </vt:variant>
      <vt:variant>
        <vt:lpwstr/>
      </vt:variant>
      <vt:variant>
        <vt:lpwstr>_Toc42446014</vt:lpwstr>
      </vt:variant>
      <vt:variant>
        <vt:i4>1179703</vt:i4>
      </vt:variant>
      <vt:variant>
        <vt:i4>230</vt:i4>
      </vt:variant>
      <vt:variant>
        <vt:i4>0</vt:i4>
      </vt:variant>
      <vt:variant>
        <vt:i4>5</vt:i4>
      </vt:variant>
      <vt:variant>
        <vt:lpwstr/>
      </vt:variant>
      <vt:variant>
        <vt:lpwstr>_Toc42446013</vt:lpwstr>
      </vt:variant>
      <vt:variant>
        <vt:i4>1245239</vt:i4>
      </vt:variant>
      <vt:variant>
        <vt:i4>224</vt:i4>
      </vt:variant>
      <vt:variant>
        <vt:i4>0</vt:i4>
      </vt:variant>
      <vt:variant>
        <vt:i4>5</vt:i4>
      </vt:variant>
      <vt:variant>
        <vt:lpwstr/>
      </vt:variant>
      <vt:variant>
        <vt:lpwstr>_Toc42446012</vt:lpwstr>
      </vt:variant>
      <vt:variant>
        <vt:i4>1048631</vt:i4>
      </vt:variant>
      <vt:variant>
        <vt:i4>218</vt:i4>
      </vt:variant>
      <vt:variant>
        <vt:i4>0</vt:i4>
      </vt:variant>
      <vt:variant>
        <vt:i4>5</vt:i4>
      </vt:variant>
      <vt:variant>
        <vt:lpwstr/>
      </vt:variant>
      <vt:variant>
        <vt:lpwstr>_Toc42446011</vt:lpwstr>
      </vt:variant>
      <vt:variant>
        <vt:i4>1114167</vt:i4>
      </vt:variant>
      <vt:variant>
        <vt:i4>212</vt:i4>
      </vt:variant>
      <vt:variant>
        <vt:i4>0</vt:i4>
      </vt:variant>
      <vt:variant>
        <vt:i4>5</vt:i4>
      </vt:variant>
      <vt:variant>
        <vt:lpwstr/>
      </vt:variant>
      <vt:variant>
        <vt:lpwstr>_Toc42446010</vt:lpwstr>
      </vt:variant>
      <vt:variant>
        <vt:i4>1572918</vt:i4>
      </vt:variant>
      <vt:variant>
        <vt:i4>206</vt:i4>
      </vt:variant>
      <vt:variant>
        <vt:i4>0</vt:i4>
      </vt:variant>
      <vt:variant>
        <vt:i4>5</vt:i4>
      </vt:variant>
      <vt:variant>
        <vt:lpwstr/>
      </vt:variant>
      <vt:variant>
        <vt:lpwstr>_Toc42446009</vt:lpwstr>
      </vt:variant>
      <vt:variant>
        <vt:i4>1638454</vt:i4>
      </vt:variant>
      <vt:variant>
        <vt:i4>200</vt:i4>
      </vt:variant>
      <vt:variant>
        <vt:i4>0</vt:i4>
      </vt:variant>
      <vt:variant>
        <vt:i4>5</vt:i4>
      </vt:variant>
      <vt:variant>
        <vt:lpwstr/>
      </vt:variant>
      <vt:variant>
        <vt:lpwstr>_Toc42446008</vt:lpwstr>
      </vt:variant>
      <vt:variant>
        <vt:i4>1441846</vt:i4>
      </vt:variant>
      <vt:variant>
        <vt:i4>194</vt:i4>
      </vt:variant>
      <vt:variant>
        <vt:i4>0</vt:i4>
      </vt:variant>
      <vt:variant>
        <vt:i4>5</vt:i4>
      </vt:variant>
      <vt:variant>
        <vt:lpwstr/>
      </vt:variant>
      <vt:variant>
        <vt:lpwstr>_Toc42446007</vt:lpwstr>
      </vt:variant>
      <vt:variant>
        <vt:i4>1507382</vt:i4>
      </vt:variant>
      <vt:variant>
        <vt:i4>188</vt:i4>
      </vt:variant>
      <vt:variant>
        <vt:i4>0</vt:i4>
      </vt:variant>
      <vt:variant>
        <vt:i4>5</vt:i4>
      </vt:variant>
      <vt:variant>
        <vt:lpwstr/>
      </vt:variant>
      <vt:variant>
        <vt:lpwstr>_Toc42446006</vt:lpwstr>
      </vt:variant>
      <vt:variant>
        <vt:i4>1310774</vt:i4>
      </vt:variant>
      <vt:variant>
        <vt:i4>182</vt:i4>
      </vt:variant>
      <vt:variant>
        <vt:i4>0</vt:i4>
      </vt:variant>
      <vt:variant>
        <vt:i4>5</vt:i4>
      </vt:variant>
      <vt:variant>
        <vt:lpwstr/>
      </vt:variant>
      <vt:variant>
        <vt:lpwstr>_Toc42446005</vt:lpwstr>
      </vt:variant>
      <vt:variant>
        <vt:i4>1376310</vt:i4>
      </vt:variant>
      <vt:variant>
        <vt:i4>176</vt:i4>
      </vt:variant>
      <vt:variant>
        <vt:i4>0</vt:i4>
      </vt:variant>
      <vt:variant>
        <vt:i4>5</vt:i4>
      </vt:variant>
      <vt:variant>
        <vt:lpwstr/>
      </vt:variant>
      <vt:variant>
        <vt:lpwstr>_Toc42446004</vt:lpwstr>
      </vt:variant>
      <vt:variant>
        <vt:i4>1179702</vt:i4>
      </vt:variant>
      <vt:variant>
        <vt:i4>170</vt:i4>
      </vt:variant>
      <vt:variant>
        <vt:i4>0</vt:i4>
      </vt:variant>
      <vt:variant>
        <vt:i4>5</vt:i4>
      </vt:variant>
      <vt:variant>
        <vt:lpwstr/>
      </vt:variant>
      <vt:variant>
        <vt:lpwstr>_Toc42446003</vt:lpwstr>
      </vt:variant>
      <vt:variant>
        <vt:i4>1245238</vt:i4>
      </vt:variant>
      <vt:variant>
        <vt:i4>164</vt:i4>
      </vt:variant>
      <vt:variant>
        <vt:i4>0</vt:i4>
      </vt:variant>
      <vt:variant>
        <vt:i4>5</vt:i4>
      </vt:variant>
      <vt:variant>
        <vt:lpwstr/>
      </vt:variant>
      <vt:variant>
        <vt:lpwstr>_Toc42446002</vt:lpwstr>
      </vt:variant>
      <vt:variant>
        <vt:i4>1048630</vt:i4>
      </vt:variant>
      <vt:variant>
        <vt:i4>158</vt:i4>
      </vt:variant>
      <vt:variant>
        <vt:i4>0</vt:i4>
      </vt:variant>
      <vt:variant>
        <vt:i4>5</vt:i4>
      </vt:variant>
      <vt:variant>
        <vt:lpwstr/>
      </vt:variant>
      <vt:variant>
        <vt:lpwstr>_Toc42446001</vt:lpwstr>
      </vt:variant>
      <vt:variant>
        <vt:i4>1114166</vt:i4>
      </vt:variant>
      <vt:variant>
        <vt:i4>152</vt:i4>
      </vt:variant>
      <vt:variant>
        <vt:i4>0</vt:i4>
      </vt:variant>
      <vt:variant>
        <vt:i4>5</vt:i4>
      </vt:variant>
      <vt:variant>
        <vt:lpwstr/>
      </vt:variant>
      <vt:variant>
        <vt:lpwstr>_Toc42446000</vt:lpwstr>
      </vt:variant>
      <vt:variant>
        <vt:i4>1114172</vt:i4>
      </vt:variant>
      <vt:variant>
        <vt:i4>146</vt:i4>
      </vt:variant>
      <vt:variant>
        <vt:i4>0</vt:i4>
      </vt:variant>
      <vt:variant>
        <vt:i4>5</vt:i4>
      </vt:variant>
      <vt:variant>
        <vt:lpwstr/>
      </vt:variant>
      <vt:variant>
        <vt:lpwstr>_Toc42445999</vt:lpwstr>
      </vt:variant>
      <vt:variant>
        <vt:i4>1048636</vt:i4>
      </vt:variant>
      <vt:variant>
        <vt:i4>140</vt:i4>
      </vt:variant>
      <vt:variant>
        <vt:i4>0</vt:i4>
      </vt:variant>
      <vt:variant>
        <vt:i4>5</vt:i4>
      </vt:variant>
      <vt:variant>
        <vt:lpwstr/>
      </vt:variant>
      <vt:variant>
        <vt:lpwstr>_Toc42445998</vt:lpwstr>
      </vt:variant>
      <vt:variant>
        <vt:i4>2031676</vt:i4>
      </vt:variant>
      <vt:variant>
        <vt:i4>134</vt:i4>
      </vt:variant>
      <vt:variant>
        <vt:i4>0</vt:i4>
      </vt:variant>
      <vt:variant>
        <vt:i4>5</vt:i4>
      </vt:variant>
      <vt:variant>
        <vt:lpwstr/>
      </vt:variant>
      <vt:variant>
        <vt:lpwstr>_Toc42445997</vt:lpwstr>
      </vt:variant>
      <vt:variant>
        <vt:i4>1966140</vt:i4>
      </vt:variant>
      <vt:variant>
        <vt:i4>128</vt:i4>
      </vt:variant>
      <vt:variant>
        <vt:i4>0</vt:i4>
      </vt:variant>
      <vt:variant>
        <vt:i4>5</vt:i4>
      </vt:variant>
      <vt:variant>
        <vt:lpwstr/>
      </vt:variant>
      <vt:variant>
        <vt:lpwstr>_Toc42445996</vt:lpwstr>
      </vt:variant>
      <vt:variant>
        <vt:i4>1900604</vt:i4>
      </vt:variant>
      <vt:variant>
        <vt:i4>122</vt:i4>
      </vt:variant>
      <vt:variant>
        <vt:i4>0</vt:i4>
      </vt:variant>
      <vt:variant>
        <vt:i4>5</vt:i4>
      </vt:variant>
      <vt:variant>
        <vt:lpwstr/>
      </vt:variant>
      <vt:variant>
        <vt:lpwstr>_Toc42445995</vt:lpwstr>
      </vt:variant>
      <vt:variant>
        <vt:i4>1835068</vt:i4>
      </vt:variant>
      <vt:variant>
        <vt:i4>116</vt:i4>
      </vt:variant>
      <vt:variant>
        <vt:i4>0</vt:i4>
      </vt:variant>
      <vt:variant>
        <vt:i4>5</vt:i4>
      </vt:variant>
      <vt:variant>
        <vt:lpwstr/>
      </vt:variant>
      <vt:variant>
        <vt:lpwstr>_Toc42445994</vt:lpwstr>
      </vt:variant>
      <vt:variant>
        <vt:i4>1769532</vt:i4>
      </vt:variant>
      <vt:variant>
        <vt:i4>110</vt:i4>
      </vt:variant>
      <vt:variant>
        <vt:i4>0</vt:i4>
      </vt:variant>
      <vt:variant>
        <vt:i4>5</vt:i4>
      </vt:variant>
      <vt:variant>
        <vt:lpwstr/>
      </vt:variant>
      <vt:variant>
        <vt:lpwstr>_Toc42445993</vt:lpwstr>
      </vt:variant>
      <vt:variant>
        <vt:i4>1703996</vt:i4>
      </vt:variant>
      <vt:variant>
        <vt:i4>104</vt:i4>
      </vt:variant>
      <vt:variant>
        <vt:i4>0</vt:i4>
      </vt:variant>
      <vt:variant>
        <vt:i4>5</vt:i4>
      </vt:variant>
      <vt:variant>
        <vt:lpwstr/>
      </vt:variant>
      <vt:variant>
        <vt:lpwstr>_Toc42445992</vt:lpwstr>
      </vt:variant>
      <vt:variant>
        <vt:i4>1638460</vt:i4>
      </vt:variant>
      <vt:variant>
        <vt:i4>98</vt:i4>
      </vt:variant>
      <vt:variant>
        <vt:i4>0</vt:i4>
      </vt:variant>
      <vt:variant>
        <vt:i4>5</vt:i4>
      </vt:variant>
      <vt:variant>
        <vt:lpwstr/>
      </vt:variant>
      <vt:variant>
        <vt:lpwstr>_Toc42445991</vt:lpwstr>
      </vt:variant>
      <vt:variant>
        <vt:i4>1572924</vt:i4>
      </vt:variant>
      <vt:variant>
        <vt:i4>92</vt:i4>
      </vt:variant>
      <vt:variant>
        <vt:i4>0</vt:i4>
      </vt:variant>
      <vt:variant>
        <vt:i4>5</vt:i4>
      </vt:variant>
      <vt:variant>
        <vt:lpwstr/>
      </vt:variant>
      <vt:variant>
        <vt:lpwstr>_Toc42445990</vt:lpwstr>
      </vt:variant>
      <vt:variant>
        <vt:i4>1114173</vt:i4>
      </vt:variant>
      <vt:variant>
        <vt:i4>86</vt:i4>
      </vt:variant>
      <vt:variant>
        <vt:i4>0</vt:i4>
      </vt:variant>
      <vt:variant>
        <vt:i4>5</vt:i4>
      </vt:variant>
      <vt:variant>
        <vt:lpwstr/>
      </vt:variant>
      <vt:variant>
        <vt:lpwstr>_Toc42445989</vt:lpwstr>
      </vt:variant>
      <vt:variant>
        <vt:i4>1048637</vt:i4>
      </vt:variant>
      <vt:variant>
        <vt:i4>80</vt:i4>
      </vt:variant>
      <vt:variant>
        <vt:i4>0</vt:i4>
      </vt:variant>
      <vt:variant>
        <vt:i4>5</vt:i4>
      </vt:variant>
      <vt:variant>
        <vt:lpwstr/>
      </vt:variant>
      <vt:variant>
        <vt:lpwstr>_Toc42445988</vt:lpwstr>
      </vt:variant>
      <vt:variant>
        <vt:i4>2031677</vt:i4>
      </vt:variant>
      <vt:variant>
        <vt:i4>74</vt:i4>
      </vt:variant>
      <vt:variant>
        <vt:i4>0</vt:i4>
      </vt:variant>
      <vt:variant>
        <vt:i4>5</vt:i4>
      </vt:variant>
      <vt:variant>
        <vt:lpwstr/>
      </vt:variant>
      <vt:variant>
        <vt:lpwstr>_Toc42445987</vt:lpwstr>
      </vt:variant>
      <vt:variant>
        <vt:i4>1966141</vt:i4>
      </vt:variant>
      <vt:variant>
        <vt:i4>68</vt:i4>
      </vt:variant>
      <vt:variant>
        <vt:i4>0</vt:i4>
      </vt:variant>
      <vt:variant>
        <vt:i4>5</vt:i4>
      </vt:variant>
      <vt:variant>
        <vt:lpwstr/>
      </vt:variant>
      <vt:variant>
        <vt:lpwstr>_Toc42445986</vt:lpwstr>
      </vt:variant>
      <vt:variant>
        <vt:i4>1900605</vt:i4>
      </vt:variant>
      <vt:variant>
        <vt:i4>62</vt:i4>
      </vt:variant>
      <vt:variant>
        <vt:i4>0</vt:i4>
      </vt:variant>
      <vt:variant>
        <vt:i4>5</vt:i4>
      </vt:variant>
      <vt:variant>
        <vt:lpwstr/>
      </vt:variant>
      <vt:variant>
        <vt:lpwstr>_Toc42445985</vt:lpwstr>
      </vt:variant>
      <vt:variant>
        <vt:i4>1835069</vt:i4>
      </vt:variant>
      <vt:variant>
        <vt:i4>56</vt:i4>
      </vt:variant>
      <vt:variant>
        <vt:i4>0</vt:i4>
      </vt:variant>
      <vt:variant>
        <vt:i4>5</vt:i4>
      </vt:variant>
      <vt:variant>
        <vt:lpwstr/>
      </vt:variant>
      <vt:variant>
        <vt:lpwstr>_Toc42445984</vt:lpwstr>
      </vt:variant>
      <vt:variant>
        <vt:i4>1769533</vt:i4>
      </vt:variant>
      <vt:variant>
        <vt:i4>50</vt:i4>
      </vt:variant>
      <vt:variant>
        <vt:i4>0</vt:i4>
      </vt:variant>
      <vt:variant>
        <vt:i4>5</vt:i4>
      </vt:variant>
      <vt:variant>
        <vt:lpwstr/>
      </vt:variant>
      <vt:variant>
        <vt:lpwstr>_Toc42445983</vt:lpwstr>
      </vt:variant>
      <vt:variant>
        <vt:i4>1703997</vt:i4>
      </vt:variant>
      <vt:variant>
        <vt:i4>44</vt:i4>
      </vt:variant>
      <vt:variant>
        <vt:i4>0</vt:i4>
      </vt:variant>
      <vt:variant>
        <vt:i4>5</vt:i4>
      </vt:variant>
      <vt:variant>
        <vt:lpwstr/>
      </vt:variant>
      <vt:variant>
        <vt:lpwstr>_Toc42445982</vt:lpwstr>
      </vt:variant>
      <vt:variant>
        <vt:i4>1638461</vt:i4>
      </vt:variant>
      <vt:variant>
        <vt:i4>38</vt:i4>
      </vt:variant>
      <vt:variant>
        <vt:i4>0</vt:i4>
      </vt:variant>
      <vt:variant>
        <vt:i4>5</vt:i4>
      </vt:variant>
      <vt:variant>
        <vt:lpwstr/>
      </vt:variant>
      <vt:variant>
        <vt:lpwstr>_Toc42445981</vt:lpwstr>
      </vt:variant>
      <vt:variant>
        <vt:i4>1572925</vt:i4>
      </vt:variant>
      <vt:variant>
        <vt:i4>32</vt:i4>
      </vt:variant>
      <vt:variant>
        <vt:i4>0</vt:i4>
      </vt:variant>
      <vt:variant>
        <vt:i4>5</vt:i4>
      </vt:variant>
      <vt:variant>
        <vt:lpwstr/>
      </vt:variant>
      <vt:variant>
        <vt:lpwstr>_Toc42445980</vt:lpwstr>
      </vt:variant>
      <vt:variant>
        <vt:i4>1114162</vt:i4>
      </vt:variant>
      <vt:variant>
        <vt:i4>26</vt:i4>
      </vt:variant>
      <vt:variant>
        <vt:i4>0</vt:i4>
      </vt:variant>
      <vt:variant>
        <vt:i4>5</vt:i4>
      </vt:variant>
      <vt:variant>
        <vt:lpwstr/>
      </vt:variant>
      <vt:variant>
        <vt:lpwstr>_Toc42445979</vt:lpwstr>
      </vt:variant>
      <vt:variant>
        <vt:i4>1048626</vt:i4>
      </vt:variant>
      <vt:variant>
        <vt:i4>20</vt:i4>
      </vt:variant>
      <vt:variant>
        <vt:i4>0</vt:i4>
      </vt:variant>
      <vt:variant>
        <vt:i4>5</vt:i4>
      </vt:variant>
      <vt:variant>
        <vt:lpwstr/>
      </vt:variant>
      <vt:variant>
        <vt:lpwstr>_Toc42445978</vt:lpwstr>
      </vt:variant>
      <vt:variant>
        <vt:i4>2031666</vt:i4>
      </vt:variant>
      <vt:variant>
        <vt:i4>14</vt:i4>
      </vt:variant>
      <vt:variant>
        <vt:i4>0</vt:i4>
      </vt:variant>
      <vt:variant>
        <vt:i4>5</vt:i4>
      </vt:variant>
      <vt:variant>
        <vt:lpwstr/>
      </vt:variant>
      <vt:variant>
        <vt:lpwstr>_Toc42445977</vt:lpwstr>
      </vt:variant>
      <vt:variant>
        <vt:i4>1966130</vt:i4>
      </vt:variant>
      <vt:variant>
        <vt:i4>8</vt:i4>
      </vt:variant>
      <vt:variant>
        <vt:i4>0</vt:i4>
      </vt:variant>
      <vt:variant>
        <vt:i4>5</vt:i4>
      </vt:variant>
      <vt:variant>
        <vt:lpwstr/>
      </vt:variant>
      <vt:variant>
        <vt:lpwstr>_Toc42445976</vt:lpwstr>
      </vt:variant>
      <vt:variant>
        <vt:i4>1900594</vt:i4>
      </vt:variant>
      <vt:variant>
        <vt:i4>2</vt:i4>
      </vt:variant>
      <vt:variant>
        <vt:i4>0</vt:i4>
      </vt:variant>
      <vt:variant>
        <vt:i4>5</vt:i4>
      </vt:variant>
      <vt:variant>
        <vt:lpwstr/>
      </vt:variant>
      <vt:variant>
        <vt:lpwstr>_Toc42445975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Michalski Wojciech</dc:creator>
  <cp:keywords/>
  <cp:lastModifiedBy>Trybusz Michał</cp:lastModifiedBy>
  <cp:revision>3</cp:revision>
  <cp:lastPrinted>2025-07-29T12:04:00Z</cp:lastPrinted>
  <dcterms:created xsi:type="dcterms:W3CDTF">2026-06-24T12:43:00Z</dcterms:created>
  <dcterms:modified xsi:type="dcterms:W3CDTF">2026-06-25T20:32:00Z</dcterms:modified>
</cp:coreProperties>
</file>