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38BE71EC" w:rsidR="00FE3430" w:rsidRPr="009E4A82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="009E4A8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9E4A82" w:rsidRPr="009E4A82">
        <w:rPr>
          <w:rFonts w:ascii="Times New Roman" w:hAnsi="Times New Roman" w:cs="Times New Roman"/>
          <w:b/>
          <w:bCs/>
          <w:spacing w:val="-2"/>
          <w:sz w:val="24"/>
          <w:szCs w:val="24"/>
        </w:rPr>
        <w:t>Powiatowa Stacja Sanitarno-Epidemiologiczna w Poznaniu ul. Gronowa 22, 61</w:t>
      </w:r>
      <w:r w:rsidR="009E4A82">
        <w:rPr>
          <w:rFonts w:ascii="Times New Roman" w:hAnsi="Times New Roman" w:cs="Times New Roman"/>
          <w:b/>
          <w:bCs/>
          <w:spacing w:val="-2"/>
          <w:sz w:val="24"/>
          <w:szCs w:val="24"/>
        </w:rPr>
        <w:t>- </w:t>
      </w:r>
      <w:r w:rsidR="009E4A82" w:rsidRPr="009E4A8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655 Poznań </w:t>
      </w:r>
      <w:r w:rsidR="00616C14" w:rsidRPr="009E4A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najpóźniej do </w:t>
      </w:r>
      <w:r w:rsidR="00D846EA" w:rsidRPr="009E4A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eastAsia="ar-SA"/>
        </w:rPr>
        <w:t>22</w:t>
      </w:r>
      <w:r w:rsidR="00616C14" w:rsidRPr="009E4A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eastAsia="ar-SA"/>
        </w:rPr>
        <w:t>.1</w:t>
      </w:r>
      <w:r w:rsidR="00D846EA" w:rsidRPr="009E4A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eastAsia="ar-SA"/>
        </w:rPr>
        <w:t>0</w:t>
      </w:r>
      <w:r w:rsidR="00616C14" w:rsidRPr="009E4A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eastAsia="ar-SA"/>
        </w:rPr>
        <w:t>.202</w:t>
      </w:r>
      <w:r w:rsidR="00D846EA" w:rsidRPr="009E4A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eastAsia="ar-SA"/>
        </w:rPr>
        <w:t>5</w:t>
      </w:r>
      <w:r w:rsidR="00616C14" w:rsidRPr="009E4A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eastAsia="ar-SA"/>
        </w:rPr>
        <w:t xml:space="preserve"> r</w:t>
      </w:r>
      <w:r w:rsidR="00616C14" w:rsidRPr="009E4A8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5536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3569587B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E084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35AEDDBA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37371"/>
    <w:rsid w:val="00250B07"/>
    <w:rsid w:val="00263763"/>
    <w:rsid w:val="00266A9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0B0B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E4A82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C1C4E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Poznań - Beata Rutkowska</cp:lastModifiedBy>
  <cp:revision>2</cp:revision>
  <cp:lastPrinted>2025-08-07T07:41:00Z</cp:lastPrinted>
  <dcterms:created xsi:type="dcterms:W3CDTF">2025-10-02T09:23:00Z</dcterms:created>
  <dcterms:modified xsi:type="dcterms:W3CDTF">2025-10-02T09:23:00Z</dcterms:modified>
</cp:coreProperties>
</file>