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A0" w:firstRow="1" w:lastRow="0" w:firstColumn="1" w:lastColumn="0" w:noHBand="0" w:noVBand="0"/>
      </w:tblPr>
      <w:tblGrid>
        <w:gridCol w:w="2668"/>
        <w:gridCol w:w="2292"/>
        <w:gridCol w:w="1671"/>
        <w:gridCol w:w="1325"/>
        <w:gridCol w:w="2676"/>
      </w:tblGrid>
      <w:tr w:rsidR="006A701A" w:rsidRPr="008B4FE6" w:rsidTr="00DA7A68">
        <w:trPr>
          <w:trHeight w:val="1611"/>
        </w:trPr>
        <w:tc>
          <w:tcPr>
            <w:tcW w:w="6631" w:type="dxa"/>
            <w:gridSpan w:val="3"/>
          </w:tcPr>
          <w:p w:rsidR="0005132E" w:rsidRDefault="006A701A" w:rsidP="009027F8">
            <w:pPr>
              <w:rPr>
                <w:rFonts w:ascii="Times New Roman" w:hAnsi="Times New Roman"/>
                <w:b/>
                <w:color w:val="000000"/>
              </w:rPr>
            </w:pPr>
            <w:bookmarkStart w:id="0" w:name="t1"/>
            <w:r w:rsidRPr="008B4FE6">
              <w:rPr>
                <w:rFonts w:ascii="Times New Roman" w:hAnsi="Times New Roman"/>
                <w:b/>
                <w:color w:val="000000"/>
              </w:rPr>
              <w:t xml:space="preserve">Nazwa </w:t>
            </w:r>
            <w:r w:rsidR="001B75D8">
              <w:rPr>
                <w:rFonts w:ascii="Times New Roman" w:hAnsi="Times New Roman"/>
                <w:b/>
                <w:color w:val="000000"/>
              </w:rPr>
              <w:t>projektu</w:t>
            </w:r>
          </w:p>
          <w:p w:rsidR="00205FC4" w:rsidRDefault="005160E3" w:rsidP="009027F8">
            <w:pPr>
              <w:rPr>
                <w:rFonts w:ascii="Times New Roman" w:hAnsi="Times New Roman"/>
                <w:b/>
                <w:color w:val="000000"/>
              </w:rPr>
            </w:pPr>
            <w:r w:rsidRPr="005160E3">
              <w:rPr>
                <w:rFonts w:ascii="Times New Roman" w:hAnsi="Times New Roman"/>
                <w:color w:val="000000"/>
              </w:rPr>
              <w:t xml:space="preserve">Projekt uchwały Rady Ministrów w sprawie przyjęcia programu wspierania rozwoju społeczeństwa obywatelskiego pod nazwą „Program Wspierania Rozwoju Międzynarodowych Domów Spotkań na lata 2020-2030” </w:t>
            </w:r>
          </w:p>
          <w:p w:rsidR="006A701A" w:rsidRPr="008B4FE6" w:rsidRDefault="006A701A" w:rsidP="009027F8">
            <w:pPr>
              <w:rPr>
                <w:rFonts w:ascii="Times New Roman" w:hAnsi="Times New Roman"/>
                <w:b/>
                <w:color w:val="000000"/>
              </w:rPr>
            </w:pPr>
            <w:r w:rsidRPr="008B4FE6">
              <w:rPr>
                <w:rFonts w:ascii="Times New Roman" w:hAnsi="Times New Roman"/>
                <w:b/>
                <w:color w:val="000000"/>
              </w:rPr>
              <w:t>Ministerstwo wiodące i ministerstwa współpracujące</w:t>
            </w:r>
          </w:p>
          <w:bookmarkEnd w:id="0"/>
          <w:p w:rsidR="006A701A" w:rsidRDefault="00205FC4" w:rsidP="009027F8">
            <w:pPr>
              <w:rPr>
                <w:rFonts w:ascii="Times New Roman" w:hAnsi="Times New Roman"/>
                <w:color w:val="000000"/>
              </w:rPr>
            </w:pPr>
            <w:r>
              <w:rPr>
                <w:rFonts w:ascii="Times New Roman" w:hAnsi="Times New Roman"/>
                <w:color w:val="000000"/>
              </w:rPr>
              <w:t>Kancelaria Prezesa Rady Ministrów</w:t>
            </w:r>
          </w:p>
          <w:p w:rsidR="00205FC4" w:rsidRDefault="00205FC4" w:rsidP="009027F8">
            <w:pPr>
              <w:rPr>
                <w:rFonts w:ascii="Times New Roman" w:hAnsi="Times New Roman"/>
                <w:color w:val="000000"/>
              </w:rPr>
            </w:pPr>
          </w:p>
          <w:p w:rsidR="001B3460" w:rsidRDefault="001B3460" w:rsidP="009027F8">
            <w:pPr>
              <w:rPr>
                <w:rFonts w:ascii="Times New Roman" w:hAnsi="Times New Roman"/>
                <w:b/>
                <w:sz w:val="21"/>
                <w:szCs w:val="24"/>
              </w:rPr>
            </w:pPr>
            <w:r w:rsidRPr="00642825">
              <w:rPr>
                <w:rFonts w:ascii="Times New Roman" w:hAnsi="Times New Roman"/>
                <w:b/>
                <w:sz w:val="21"/>
                <w:szCs w:val="24"/>
              </w:rPr>
              <w:t>Osoba odpowiedzialna za projekt w randze Ministra, Sekretarza Stanu lub Podsekretarza Stanu</w:t>
            </w:r>
          </w:p>
          <w:p w:rsidR="00F06C7D" w:rsidRDefault="00F06C7D" w:rsidP="00F06C7D">
            <w:pPr>
              <w:spacing w:line="240" w:lineRule="auto"/>
              <w:rPr>
                <w:rFonts w:ascii="Times New Roman" w:hAnsi="Times New Roman"/>
              </w:rPr>
            </w:pPr>
            <w:r>
              <w:rPr>
                <w:rFonts w:ascii="Times New Roman" w:hAnsi="Times New Roman"/>
              </w:rPr>
              <w:t xml:space="preserve">Pan Prof. Piotr Gliński, Wiceprezes Rady Ministrów, Przewodniczący Komitetu do spraw Pożytku Publicznego </w:t>
            </w:r>
          </w:p>
          <w:p w:rsidR="00205FC4" w:rsidRPr="00642825" w:rsidRDefault="00205FC4" w:rsidP="009027F8">
            <w:pPr>
              <w:rPr>
                <w:rFonts w:ascii="Times New Roman" w:hAnsi="Times New Roman"/>
                <w:b/>
                <w:sz w:val="21"/>
                <w:szCs w:val="21"/>
              </w:rPr>
            </w:pPr>
          </w:p>
          <w:p w:rsidR="006A701A" w:rsidRPr="008B4FE6" w:rsidRDefault="006A701A" w:rsidP="009027F8">
            <w:pPr>
              <w:rPr>
                <w:rFonts w:ascii="Times New Roman" w:hAnsi="Times New Roman"/>
                <w:b/>
                <w:color w:val="000000"/>
              </w:rPr>
            </w:pPr>
            <w:r w:rsidRPr="008B4FE6">
              <w:rPr>
                <w:rFonts w:ascii="Times New Roman" w:hAnsi="Times New Roman"/>
                <w:b/>
                <w:color w:val="000000"/>
              </w:rPr>
              <w:t>Kontakt do opiekuna merytorycznego projektu</w:t>
            </w:r>
          </w:p>
          <w:p w:rsidR="00F06C7D" w:rsidRPr="00173705" w:rsidRDefault="00F06C7D" w:rsidP="00F06C7D">
            <w:pPr>
              <w:rPr>
                <w:rFonts w:ascii="Times New Roman" w:hAnsi="Times New Roman"/>
                <w:color w:val="000000"/>
              </w:rPr>
            </w:pPr>
            <w:r>
              <w:rPr>
                <w:rFonts w:ascii="Times New Roman" w:hAnsi="Times New Roman"/>
                <w:color w:val="000000"/>
              </w:rPr>
              <w:t xml:space="preserve">Pan Wojciech Kaczmarczyk, </w:t>
            </w:r>
            <w:r w:rsidRPr="00205FC4">
              <w:rPr>
                <w:rFonts w:ascii="Times New Roman" w:hAnsi="Times New Roman"/>
                <w:sz w:val="21"/>
                <w:szCs w:val="21"/>
              </w:rPr>
              <w:t>Sekretarz Komitet</w:t>
            </w:r>
            <w:r>
              <w:rPr>
                <w:rFonts w:ascii="Times New Roman" w:hAnsi="Times New Roman"/>
                <w:sz w:val="21"/>
                <w:szCs w:val="21"/>
              </w:rPr>
              <w:t>u</w:t>
            </w:r>
            <w:r w:rsidRPr="00205FC4">
              <w:rPr>
                <w:rFonts w:ascii="Times New Roman" w:hAnsi="Times New Roman"/>
                <w:sz w:val="21"/>
                <w:szCs w:val="21"/>
              </w:rPr>
              <w:t xml:space="preserve"> do spraw Pożytku Publicznego</w:t>
            </w:r>
            <w:r w:rsidRPr="00173705">
              <w:rPr>
                <w:rFonts w:ascii="Times New Roman" w:hAnsi="Times New Roman"/>
                <w:color w:val="000000"/>
              </w:rPr>
              <w:t xml:space="preserve"> </w:t>
            </w:r>
          </w:p>
          <w:p w:rsidR="00F06C7D" w:rsidRPr="007649E6" w:rsidRDefault="00F06C7D" w:rsidP="00F06C7D">
            <w:pPr>
              <w:rPr>
                <w:rFonts w:ascii="Times New Roman" w:hAnsi="Times New Roman"/>
                <w:color w:val="000000"/>
                <w:lang w:val="en-US"/>
              </w:rPr>
            </w:pPr>
            <w:r w:rsidRPr="007649E6">
              <w:rPr>
                <w:rFonts w:ascii="Times New Roman" w:hAnsi="Times New Roman"/>
                <w:color w:val="000000"/>
                <w:lang w:val="en-US"/>
              </w:rPr>
              <w:t xml:space="preserve">email: </w:t>
            </w:r>
            <w:hyperlink r:id="rId8" w:history="1">
              <w:r w:rsidRPr="007649E6">
                <w:rPr>
                  <w:rStyle w:val="Hipercze"/>
                  <w:rFonts w:ascii="Times New Roman" w:hAnsi="Times New Roman"/>
                  <w:lang w:val="en-US"/>
                </w:rPr>
                <w:t>Wojciech.Kaczmarczyk@kprm.gov.pl</w:t>
              </w:r>
            </w:hyperlink>
            <w:r w:rsidRPr="007649E6">
              <w:rPr>
                <w:rFonts w:ascii="Times New Roman" w:hAnsi="Times New Roman"/>
                <w:color w:val="000000"/>
                <w:lang w:val="en-US"/>
              </w:rPr>
              <w:t>,</w:t>
            </w:r>
          </w:p>
          <w:p w:rsidR="006A701A" w:rsidRPr="00205FC4" w:rsidRDefault="00F06C7D" w:rsidP="00F06C7D">
            <w:pPr>
              <w:rPr>
                <w:rFonts w:ascii="Times New Roman" w:hAnsi="Times New Roman"/>
                <w:sz w:val="21"/>
                <w:szCs w:val="21"/>
              </w:rPr>
            </w:pPr>
            <w:r w:rsidRPr="007649E6">
              <w:rPr>
                <w:rFonts w:ascii="Times New Roman" w:hAnsi="Times New Roman"/>
                <w:color w:val="000000"/>
              </w:rPr>
              <w:t xml:space="preserve">tel. </w:t>
            </w:r>
            <w:r w:rsidR="00B97D76">
              <w:rPr>
                <w:rFonts w:ascii="Times New Roman" w:hAnsi="Times New Roman"/>
                <w:color w:val="000000"/>
              </w:rPr>
              <w:t xml:space="preserve">22 </w:t>
            </w:r>
            <w:r>
              <w:rPr>
                <w:rFonts w:ascii="Times New Roman" w:hAnsi="Times New Roman"/>
                <w:color w:val="000000"/>
              </w:rPr>
              <w:t>694 75 29</w:t>
            </w:r>
          </w:p>
        </w:tc>
        <w:tc>
          <w:tcPr>
            <w:tcW w:w="4001" w:type="dxa"/>
            <w:gridSpan w:val="2"/>
            <w:shd w:val="clear" w:color="auto" w:fill="FFFFFF"/>
          </w:tcPr>
          <w:p w:rsidR="001B3460" w:rsidRPr="00642825" w:rsidRDefault="001B3460" w:rsidP="009027F8">
            <w:pPr>
              <w:rPr>
                <w:rFonts w:ascii="Times New Roman" w:hAnsi="Times New Roman"/>
                <w:b/>
                <w:sz w:val="21"/>
                <w:szCs w:val="21"/>
              </w:rPr>
            </w:pPr>
            <w:r w:rsidRPr="00642825">
              <w:rPr>
                <w:rFonts w:ascii="Times New Roman" w:hAnsi="Times New Roman"/>
                <w:b/>
                <w:sz w:val="21"/>
                <w:szCs w:val="21"/>
              </w:rPr>
              <w:t>Data sporządzenia</w:t>
            </w:r>
            <w:r w:rsidR="00701B33">
              <w:rPr>
                <w:rFonts w:ascii="Times New Roman" w:hAnsi="Times New Roman"/>
                <w:b/>
                <w:sz w:val="21"/>
                <w:szCs w:val="21"/>
              </w:rPr>
              <w:t xml:space="preserve">: </w:t>
            </w:r>
            <w:r w:rsidR="00F623D3">
              <w:rPr>
                <w:rFonts w:ascii="Times New Roman" w:hAnsi="Times New Roman"/>
                <w:sz w:val="21"/>
                <w:szCs w:val="21"/>
              </w:rPr>
              <w:t>30</w:t>
            </w:r>
            <w:r w:rsidR="00701B33" w:rsidRPr="00701B33">
              <w:rPr>
                <w:rFonts w:ascii="Times New Roman" w:hAnsi="Times New Roman"/>
                <w:sz w:val="21"/>
                <w:szCs w:val="21"/>
              </w:rPr>
              <w:t>.</w:t>
            </w:r>
            <w:r w:rsidR="00F623D3">
              <w:rPr>
                <w:rFonts w:ascii="Times New Roman" w:hAnsi="Times New Roman"/>
                <w:sz w:val="21"/>
                <w:szCs w:val="21"/>
              </w:rPr>
              <w:t>07</w:t>
            </w:r>
            <w:r w:rsidR="00D96D03">
              <w:rPr>
                <w:rFonts w:ascii="Times New Roman" w:hAnsi="Times New Roman"/>
                <w:sz w:val="21"/>
                <w:szCs w:val="21"/>
              </w:rPr>
              <w:t>.2020</w:t>
            </w:r>
            <w:r w:rsidR="00F06C7D" w:rsidRPr="00F06C7D">
              <w:rPr>
                <w:rFonts w:ascii="Times New Roman" w:hAnsi="Times New Roman"/>
                <w:sz w:val="21"/>
                <w:szCs w:val="21"/>
              </w:rPr>
              <w:t xml:space="preserve"> r.</w:t>
            </w:r>
            <w:r w:rsidR="00F06C7D">
              <w:rPr>
                <w:rFonts w:ascii="Times New Roman" w:hAnsi="Times New Roman"/>
                <w:b/>
                <w:sz w:val="21"/>
                <w:szCs w:val="21"/>
              </w:rPr>
              <w:t xml:space="preserve"> </w:t>
            </w:r>
            <w:r w:rsidRPr="00642825">
              <w:rPr>
                <w:rFonts w:ascii="Times New Roman" w:hAnsi="Times New Roman"/>
                <w:b/>
                <w:sz w:val="21"/>
                <w:szCs w:val="21"/>
              </w:rPr>
              <w:br/>
            </w:r>
          </w:p>
          <w:p w:rsidR="00F76884" w:rsidRDefault="00F76884" w:rsidP="009027F8">
            <w:pPr>
              <w:rPr>
                <w:rFonts w:ascii="Times New Roman" w:hAnsi="Times New Roman"/>
                <w:b/>
              </w:rPr>
            </w:pPr>
          </w:p>
          <w:p w:rsidR="00F06C7D" w:rsidRPr="0065019F" w:rsidRDefault="00F76884" w:rsidP="00F06C7D">
            <w:pPr>
              <w:spacing w:line="240" w:lineRule="auto"/>
              <w:rPr>
                <w:rFonts w:ascii="Times New Roman" w:hAnsi="Times New Roman"/>
              </w:rPr>
            </w:pPr>
            <w:r w:rsidRPr="0065019F">
              <w:rPr>
                <w:rFonts w:ascii="Times New Roman" w:hAnsi="Times New Roman"/>
                <w:b/>
              </w:rPr>
              <w:t xml:space="preserve">Źródło: </w:t>
            </w:r>
            <w:bookmarkStart w:id="1" w:name="Lista1"/>
            <w:r w:rsidR="00F06C7D">
              <w:rPr>
                <w:rFonts w:ascii="Times New Roman" w:hAnsi="Times New Roman"/>
              </w:rPr>
              <w:t xml:space="preserve">Art. 23 ust. 2 ustawy z dnia </w:t>
            </w:r>
            <w:r w:rsidR="00F06C7D" w:rsidRPr="0030503F">
              <w:rPr>
                <w:rFonts w:ascii="Times New Roman" w:hAnsi="Times New Roman"/>
              </w:rPr>
              <w:t>15 września 2017 r</w:t>
            </w:r>
            <w:r w:rsidR="00F06C7D">
              <w:rPr>
                <w:rFonts w:ascii="Times New Roman" w:hAnsi="Times New Roman"/>
              </w:rPr>
              <w:t xml:space="preserve"> o Narodowym Instytucie Wolności – Centrum Rozwoju Społeczeństwa Obywatelskiego (Dz. U. z 2017 r. poz. 1909 i 2371</w:t>
            </w:r>
          </w:p>
          <w:p w:rsidR="00F76884" w:rsidRPr="0065019F" w:rsidRDefault="00F76884" w:rsidP="009027F8">
            <w:pPr>
              <w:rPr>
                <w:rFonts w:ascii="Times New Roman" w:hAnsi="Times New Roman"/>
                <w:b/>
              </w:rPr>
            </w:pPr>
          </w:p>
          <w:bookmarkEnd w:id="1"/>
          <w:p w:rsidR="00205FC4" w:rsidRPr="0065019F" w:rsidRDefault="00205FC4" w:rsidP="009027F8">
            <w:pPr>
              <w:rPr>
                <w:rFonts w:ascii="Times New Roman" w:hAnsi="Times New Roman"/>
              </w:rPr>
            </w:pPr>
          </w:p>
          <w:p w:rsidR="006A701A" w:rsidRPr="008B4FE6" w:rsidRDefault="006A701A" w:rsidP="00871E08">
            <w:pPr>
              <w:rPr>
                <w:rFonts w:ascii="Times New Roman" w:hAnsi="Times New Roman"/>
                <w:color w:val="000000"/>
                <w:sz w:val="28"/>
                <w:szCs w:val="28"/>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w:t>
            </w:r>
            <w:bookmarkStart w:id="2" w:name="_GoBack"/>
            <w:bookmarkEnd w:id="2"/>
            <w:r w:rsidRPr="008B4FE6">
              <w:rPr>
                <w:rFonts w:ascii="Times New Roman" w:hAnsi="Times New Roman"/>
                <w:b/>
                <w:color w:val="000000"/>
              </w:rPr>
              <w:t>rac</w:t>
            </w:r>
            <w:r w:rsidR="00871E08">
              <w:rPr>
                <w:rFonts w:ascii="Times New Roman" w:hAnsi="Times New Roman"/>
                <w:b/>
                <w:color w:val="000000"/>
              </w:rPr>
              <w:t>:</w:t>
            </w:r>
            <w:r w:rsidR="006D5327">
              <w:rPr>
                <w:rFonts w:ascii="Times New Roman" w:hAnsi="Times New Roman"/>
                <w:b/>
                <w:color w:val="000000"/>
              </w:rPr>
              <w:t xml:space="preserve"> ID76</w:t>
            </w:r>
            <w:r w:rsidR="00871E08">
              <w:rPr>
                <w:rFonts w:ascii="Times New Roman" w:hAnsi="Times New Roman"/>
                <w:b/>
                <w:color w:val="000000"/>
              </w:rPr>
              <w:t xml:space="preserve"> </w:t>
            </w:r>
          </w:p>
        </w:tc>
      </w:tr>
      <w:tr w:rsidR="006A701A" w:rsidRPr="0022687A" w:rsidTr="00DA7A68">
        <w:trPr>
          <w:trHeight w:val="142"/>
        </w:trPr>
        <w:tc>
          <w:tcPr>
            <w:tcW w:w="10632" w:type="dxa"/>
            <w:gridSpan w:val="5"/>
            <w:shd w:val="clear" w:color="auto" w:fill="99CCFF"/>
          </w:tcPr>
          <w:p w:rsidR="006A701A" w:rsidRPr="00627221" w:rsidRDefault="006A701A" w:rsidP="009027F8">
            <w:pPr>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rsidTr="00DA7A68">
        <w:trPr>
          <w:trHeight w:val="333"/>
        </w:trPr>
        <w:tc>
          <w:tcPr>
            <w:tcW w:w="10632" w:type="dxa"/>
            <w:gridSpan w:val="5"/>
            <w:shd w:val="clear" w:color="auto" w:fill="99CCFF"/>
            <w:vAlign w:val="center"/>
          </w:tcPr>
          <w:p w:rsidR="006A701A" w:rsidRPr="008B4FE6" w:rsidRDefault="003D12F6" w:rsidP="009027F8">
            <w:pPr>
              <w:numPr>
                <w:ilvl w:val="0"/>
                <w:numId w:val="3"/>
              </w:numPr>
              <w:spacing w:before="60" w:after="60"/>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3" w:name="Wybór1"/>
            <w:bookmarkEnd w:id="3"/>
          </w:p>
        </w:tc>
      </w:tr>
      <w:tr w:rsidR="006A701A" w:rsidRPr="008B4FE6" w:rsidTr="00DA7A68">
        <w:trPr>
          <w:trHeight w:val="142"/>
        </w:trPr>
        <w:tc>
          <w:tcPr>
            <w:tcW w:w="10632" w:type="dxa"/>
            <w:gridSpan w:val="5"/>
            <w:shd w:val="clear" w:color="auto" w:fill="FFFFFF"/>
          </w:tcPr>
          <w:p w:rsidR="00777172" w:rsidRDefault="00D96D03" w:rsidP="004C2053">
            <w:pPr>
              <w:pStyle w:val="Akapitzlist"/>
              <w:spacing w:before="120" w:after="120"/>
              <w:ind w:left="0"/>
              <w:contextualSpacing w:val="0"/>
              <w:jc w:val="both"/>
              <w:rPr>
                <w:rFonts w:ascii="Times New Roman" w:hAnsi="Times New Roman"/>
              </w:rPr>
            </w:pPr>
            <w:r>
              <w:rPr>
                <w:rFonts w:ascii="Times New Roman" w:hAnsi="Times New Roman"/>
              </w:rPr>
              <w:t xml:space="preserve">Celem </w:t>
            </w:r>
            <w:r w:rsidR="001F4E2A" w:rsidRPr="00F06C7D">
              <w:rPr>
                <w:rFonts w:ascii="Times New Roman" w:hAnsi="Times New Roman"/>
              </w:rPr>
              <w:t>„</w:t>
            </w:r>
            <w:r w:rsidR="00101B62">
              <w:rPr>
                <w:rFonts w:ascii="Times New Roman" w:hAnsi="Times New Roman"/>
              </w:rPr>
              <w:t>P</w:t>
            </w:r>
            <w:r w:rsidR="00DE4833">
              <w:rPr>
                <w:rFonts w:ascii="Times New Roman" w:hAnsi="Times New Roman"/>
              </w:rPr>
              <w:t>rogramu W</w:t>
            </w:r>
            <w:r>
              <w:rPr>
                <w:rFonts w:ascii="Times New Roman" w:hAnsi="Times New Roman"/>
              </w:rPr>
              <w:t>sp</w:t>
            </w:r>
            <w:r w:rsidR="00DE4833">
              <w:rPr>
                <w:rFonts w:ascii="Times New Roman" w:hAnsi="Times New Roman"/>
              </w:rPr>
              <w:t xml:space="preserve">ierania Rozwoju Międzynarodowych Domów Spotkań </w:t>
            </w:r>
            <w:r w:rsidR="00765405">
              <w:rPr>
                <w:rFonts w:ascii="Times New Roman" w:hAnsi="Times New Roman"/>
              </w:rPr>
              <w:t xml:space="preserve">na lata </w:t>
            </w:r>
            <w:r w:rsidR="001F4E2A" w:rsidRPr="00F06C7D">
              <w:rPr>
                <w:rFonts w:ascii="Times New Roman" w:hAnsi="Times New Roman"/>
              </w:rPr>
              <w:t>2018-2030” jest wsparcie przez państwo</w:t>
            </w:r>
            <w:r>
              <w:rPr>
                <w:rFonts w:ascii="Times New Roman" w:hAnsi="Times New Roman"/>
              </w:rPr>
              <w:t xml:space="preserve"> rozwoju międzynarodowych domów spotkań młodzieży jako instytucji</w:t>
            </w:r>
            <w:r w:rsidR="00182087">
              <w:rPr>
                <w:rFonts w:ascii="Times New Roman" w:hAnsi="Times New Roman"/>
              </w:rPr>
              <w:t xml:space="preserve"> istotnych w procesie</w:t>
            </w:r>
            <w:r>
              <w:rPr>
                <w:rFonts w:ascii="Times New Roman" w:hAnsi="Times New Roman"/>
              </w:rPr>
              <w:t xml:space="preserve"> </w:t>
            </w:r>
            <w:r w:rsidR="001F4E2A" w:rsidRPr="00F06C7D">
              <w:rPr>
                <w:rFonts w:ascii="Times New Roman" w:hAnsi="Times New Roman"/>
              </w:rPr>
              <w:t xml:space="preserve">rozwoju i wychowywaniu </w:t>
            </w:r>
            <w:r w:rsidR="00646234">
              <w:rPr>
                <w:rFonts w:ascii="Times New Roman" w:hAnsi="Times New Roman"/>
              </w:rPr>
              <w:t>młodzieży i osób dorosłych</w:t>
            </w:r>
            <w:r w:rsidR="00182087">
              <w:rPr>
                <w:rFonts w:ascii="Times New Roman" w:hAnsi="Times New Roman"/>
              </w:rPr>
              <w:t>, a w szczególności</w:t>
            </w:r>
            <w:r w:rsidR="00182087">
              <w:t xml:space="preserve"> </w:t>
            </w:r>
            <w:r w:rsidR="00182087">
              <w:rPr>
                <w:rFonts w:ascii="Times New Roman" w:hAnsi="Times New Roman"/>
              </w:rPr>
              <w:t>nawiązywaniu</w:t>
            </w:r>
            <w:r w:rsidR="00182087" w:rsidRPr="00182087">
              <w:rPr>
                <w:rFonts w:ascii="Times New Roman" w:hAnsi="Times New Roman"/>
              </w:rPr>
              <w:t xml:space="preserve"> kontaktó</w:t>
            </w:r>
            <w:r w:rsidR="00182087">
              <w:rPr>
                <w:rFonts w:ascii="Times New Roman" w:hAnsi="Times New Roman"/>
              </w:rPr>
              <w:t xml:space="preserve">w między ludźmi w </w:t>
            </w:r>
            <w:r w:rsidR="00182087" w:rsidRPr="00182087">
              <w:rPr>
                <w:rFonts w:ascii="Times New Roman" w:hAnsi="Times New Roman"/>
              </w:rPr>
              <w:t xml:space="preserve">Unii </w:t>
            </w:r>
            <w:r w:rsidR="00182087">
              <w:rPr>
                <w:rFonts w:ascii="Times New Roman" w:hAnsi="Times New Roman"/>
              </w:rPr>
              <w:t>Europejskiej i poza nią, wspieraniu</w:t>
            </w:r>
            <w:r w:rsidR="00182087" w:rsidRPr="00182087">
              <w:rPr>
                <w:rFonts w:ascii="Times New Roman" w:hAnsi="Times New Roman"/>
              </w:rPr>
              <w:t xml:space="preserve"> dobrowolne</w:t>
            </w:r>
            <w:r w:rsidR="00182087">
              <w:rPr>
                <w:rFonts w:ascii="Times New Roman" w:hAnsi="Times New Roman"/>
              </w:rPr>
              <w:t>go zaangażowania, mobilności edukacyjnej, solidarności i zrozumienia międzykulturowego</w:t>
            </w:r>
            <w:r w:rsidR="001F4E2A" w:rsidRPr="00F06C7D">
              <w:rPr>
                <w:rFonts w:ascii="Times New Roman" w:hAnsi="Times New Roman"/>
              </w:rPr>
              <w:t>.</w:t>
            </w:r>
          </w:p>
          <w:p w:rsidR="00B56668" w:rsidRPr="006D5327" w:rsidRDefault="00B56668" w:rsidP="00B56668">
            <w:pPr>
              <w:pStyle w:val="Akapitzlist"/>
              <w:spacing w:before="120" w:after="120"/>
              <w:ind w:left="0"/>
              <w:contextualSpacing w:val="0"/>
              <w:jc w:val="both"/>
              <w:rPr>
                <w:rFonts w:ascii="Times New Roman" w:hAnsi="Times New Roman"/>
              </w:rPr>
            </w:pPr>
            <w:r w:rsidRPr="006D5327">
              <w:rPr>
                <w:rFonts w:ascii="Times New Roman" w:hAnsi="Times New Roman"/>
              </w:rPr>
              <w:t>Międzynarodowe domy spotkań powstawały i rozwijały się dynamicznie w drugiej połowie lat 90-tych ub. wieku. Istotną rolę w powstaniu większości z kilkunastu placówek, a szczególnie w zapewnieniu niezbędnej dla działań infrastruktury odegrały fundusze pochodzące od partnerów z Niemiec. Upływ czasu sprawił, że infrastruktura domów spotkań i ich wyposażenie wymaga nowych nakładów. Istotny jest także charakterystyczny dla funkcjonowania większości organizacji pozarządowych w Polsce fakt braku stabilności zatrudnienia na skutek powiązania go, tak jak całego systemu wynagrodzeń pracowników, z uzyskaniem grantu. Te elementy przyczyniły się do systematycznego pogarszania się sytuacji międzynarodowych domów spotkań  i znaczącego ograniczenia ich działalności. Spośród formalnie istniejących obecnie 10 domów spotkań tylko kilka zachowało oryginalny profil działalności. Oferta programowa domów wykraczająca swoim charakterem poza powszechnie obecnie dostępne możliwości wymiany międzynarodowej nie znajduje właściwego zrozumienia i wsparcia lokalnych władz.</w:t>
            </w:r>
          </w:p>
          <w:p w:rsidR="00B56668" w:rsidRDefault="00B56668" w:rsidP="001F4E2A">
            <w:pPr>
              <w:jc w:val="both"/>
              <w:rPr>
                <w:rFonts w:ascii="Times New Roman" w:hAnsi="Times New Roman"/>
              </w:rPr>
            </w:pPr>
          </w:p>
          <w:p w:rsidR="001F4E2A" w:rsidRDefault="001F4E2A" w:rsidP="001F4E2A">
            <w:pPr>
              <w:jc w:val="both"/>
              <w:rPr>
                <w:rFonts w:ascii="Times New Roman" w:hAnsi="Times New Roman"/>
              </w:rPr>
            </w:pPr>
            <w:r w:rsidRPr="00F06C7D">
              <w:rPr>
                <w:rFonts w:ascii="Times New Roman" w:hAnsi="Times New Roman"/>
              </w:rPr>
              <w:t>W świetle wstępnej analizy najważniejsze problemy i bariery dla</w:t>
            </w:r>
            <w:r w:rsidR="00D96D03">
              <w:rPr>
                <w:rFonts w:ascii="Times New Roman" w:hAnsi="Times New Roman"/>
              </w:rPr>
              <w:t xml:space="preserve"> rozwoju międzynarodowych domów spotkań</w:t>
            </w:r>
            <w:r w:rsidR="00182087">
              <w:rPr>
                <w:rFonts w:ascii="Times New Roman" w:hAnsi="Times New Roman"/>
              </w:rPr>
              <w:t>, na które odpowiada P</w:t>
            </w:r>
            <w:r w:rsidRPr="00F06C7D">
              <w:rPr>
                <w:rFonts w:ascii="Times New Roman" w:hAnsi="Times New Roman"/>
              </w:rPr>
              <w:t>rogram, to:</w:t>
            </w:r>
          </w:p>
          <w:p w:rsidR="00182087" w:rsidRPr="00182087" w:rsidRDefault="00182087" w:rsidP="00182087">
            <w:pPr>
              <w:numPr>
                <w:ilvl w:val="0"/>
                <w:numId w:val="44"/>
              </w:numPr>
              <w:jc w:val="both"/>
              <w:rPr>
                <w:rFonts w:ascii="Times New Roman" w:hAnsi="Times New Roman"/>
              </w:rPr>
            </w:pPr>
            <w:r>
              <w:rPr>
                <w:rFonts w:ascii="Times New Roman" w:hAnsi="Times New Roman"/>
              </w:rPr>
              <w:t xml:space="preserve">brak </w:t>
            </w:r>
            <w:r w:rsidR="00F068BC" w:rsidRPr="006D5327">
              <w:rPr>
                <w:rFonts w:ascii="Times New Roman" w:hAnsi="Times New Roman"/>
              </w:rPr>
              <w:t xml:space="preserve">wystarczających </w:t>
            </w:r>
            <w:r w:rsidR="005F545A" w:rsidRPr="006D5327">
              <w:rPr>
                <w:rFonts w:ascii="Times New Roman" w:hAnsi="Times New Roman"/>
              </w:rPr>
              <w:t>zasobów</w:t>
            </w:r>
            <w:r w:rsidRPr="006D5327">
              <w:rPr>
                <w:rFonts w:ascii="Times New Roman" w:hAnsi="Times New Roman"/>
              </w:rPr>
              <w:t xml:space="preserve"> </w:t>
            </w:r>
            <w:r>
              <w:rPr>
                <w:rFonts w:ascii="Times New Roman" w:hAnsi="Times New Roman"/>
              </w:rPr>
              <w:t xml:space="preserve">finansowych </w:t>
            </w:r>
            <w:r w:rsidR="00F068BC">
              <w:rPr>
                <w:rFonts w:ascii="Times New Roman" w:hAnsi="Times New Roman"/>
              </w:rPr>
              <w:t>dla uzyskania możliwości</w:t>
            </w:r>
            <w:r w:rsidR="00094FE9">
              <w:rPr>
                <w:rFonts w:ascii="Times New Roman" w:hAnsi="Times New Roman"/>
              </w:rPr>
              <w:t xml:space="preserve"> perspektywicznego planowania pracy pedagogicznej</w:t>
            </w:r>
            <w:r w:rsidRPr="00182087">
              <w:rPr>
                <w:rFonts w:ascii="Times New Roman" w:hAnsi="Times New Roman"/>
              </w:rPr>
              <w:t>;</w:t>
            </w:r>
          </w:p>
          <w:p w:rsidR="00182087" w:rsidRPr="00182087" w:rsidRDefault="00094FE9" w:rsidP="00182087">
            <w:pPr>
              <w:numPr>
                <w:ilvl w:val="0"/>
                <w:numId w:val="44"/>
              </w:numPr>
              <w:jc w:val="both"/>
              <w:rPr>
                <w:rFonts w:ascii="Times New Roman" w:hAnsi="Times New Roman"/>
              </w:rPr>
            </w:pPr>
            <w:r>
              <w:rPr>
                <w:rFonts w:ascii="Times New Roman" w:hAnsi="Times New Roman"/>
              </w:rPr>
              <w:t>niemożność utrzymania stałej, wykwalifikowanej kadry pedagogicznej wynikająca z braku stabilności finansowej</w:t>
            </w:r>
            <w:r w:rsidR="00182087" w:rsidRPr="00182087">
              <w:rPr>
                <w:rFonts w:ascii="Times New Roman" w:hAnsi="Times New Roman"/>
              </w:rPr>
              <w:t>;</w:t>
            </w:r>
          </w:p>
          <w:p w:rsidR="00182087" w:rsidRPr="00182087" w:rsidRDefault="00094FE9" w:rsidP="00182087">
            <w:pPr>
              <w:numPr>
                <w:ilvl w:val="0"/>
                <w:numId w:val="44"/>
              </w:numPr>
              <w:jc w:val="both"/>
              <w:rPr>
                <w:rFonts w:ascii="Times New Roman" w:hAnsi="Times New Roman"/>
              </w:rPr>
            </w:pPr>
            <w:r>
              <w:rPr>
                <w:rFonts w:ascii="Times New Roman" w:hAnsi="Times New Roman"/>
              </w:rPr>
              <w:t>wysokie koszty</w:t>
            </w:r>
            <w:r w:rsidR="00182087" w:rsidRPr="00182087">
              <w:rPr>
                <w:rFonts w:ascii="Times New Roman" w:hAnsi="Times New Roman"/>
              </w:rPr>
              <w:t xml:space="preserve"> utrzymania substancji budowlanej, </w:t>
            </w:r>
            <w:r>
              <w:rPr>
                <w:rFonts w:ascii="Times New Roman" w:hAnsi="Times New Roman"/>
              </w:rPr>
              <w:t>przekraczające możliwości podmiotów prowadzących domy spotkań, dla których głównym źródłem środków finansowych są dotacje</w:t>
            </w:r>
            <w:r w:rsidR="00507FD8">
              <w:rPr>
                <w:rFonts w:ascii="Times New Roman" w:hAnsi="Times New Roman"/>
              </w:rPr>
              <w:t xml:space="preserve"> projekto</w:t>
            </w:r>
            <w:r w:rsidR="00182087" w:rsidRPr="00182087">
              <w:rPr>
                <w:rFonts w:ascii="Times New Roman" w:hAnsi="Times New Roman"/>
              </w:rPr>
              <w:t>w</w:t>
            </w:r>
            <w:r w:rsidR="00507FD8">
              <w:rPr>
                <w:rFonts w:ascii="Times New Roman" w:hAnsi="Times New Roman"/>
              </w:rPr>
              <w:t>e nie</w:t>
            </w:r>
            <w:r w:rsidR="003163EA">
              <w:rPr>
                <w:rFonts w:ascii="Times New Roman" w:hAnsi="Times New Roman"/>
              </w:rPr>
              <w:t>obejmują</w:t>
            </w:r>
            <w:r w:rsidR="00507FD8">
              <w:rPr>
                <w:rFonts w:ascii="Times New Roman" w:hAnsi="Times New Roman"/>
              </w:rPr>
              <w:t>ce</w:t>
            </w:r>
            <w:r w:rsidR="00182087" w:rsidRPr="00182087">
              <w:rPr>
                <w:rFonts w:ascii="Times New Roman" w:hAnsi="Times New Roman"/>
              </w:rPr>
              <w:t xml:space="preserve"> kosztów całorocznego utrzymania i prowadzenia domu; </w:t>
            </w:r>
          </w:p>
          <w:p w:rsidR="00182087" w:rsidRPr="003163EA" w:rsidRDefault="00182087" w:rsidP="003163EA">
            <w:pPr>
              <w:numPr>
                <w:ilvl w:val="0"/>
                <w:numId w:val="44"/>
              </w:numPr>
              <w:jc w:val="both"/>
              <w:rPr>
                <w:rFonts w:ascii="Times New Roman" w:hAnsi="Times New Roman"/>
              </w:rPr>
            </w:pPr>
            <w:r w:rsidRPr="00182087">
              <w:rPr>
                <w:rFonts w:ascii="Times New Roman" w:hAnsi="Times New Roman"/>
              </w:rPr>
              <w:t>przestarzałe wyposażenie zaplecza dydaktycznego (brak nowoczesnych technologii</w:t>
            </w:r>
            <w:r w:rsidR="003163EA">
              <w:rPr>
                <w:rFonts w:ascii="Times New Roman" w:hAnsi="Times New Roman"/>
              </w:rPr>
              <w:t xml:space="preserve"> informacyjno-komunikacyjnych) i</w:t>
            </w:r>
            <w:r w:rsidRPr="003163EA">
              <w:rPr>
                <w:rFonts w:ascii="Times New Roman" w:hAnsi="Times New Roman"/>
              </w:rPr>
              <w:t xml:space="preserve"> zaplecza technicznego, potrzebnego do realizacji działań statutowych (baza hotelowa, gastronomi</w:t>
            </w:r>
            <w:r w:rsidR="00FC1A02">
              <w:rPr>
                <w:rFonts w:ascii="Times New Roman" w:hAnsi="Times New Roman"/>
              </w:rPr>
              <w:t>czna</w:t>
            </w:r>
            <w:r w:rsidR="00507FD8">
              <w:rPr>
                <w:rFonts w:ascii="Times New Roman" w:hAnsi="Times New Roman"/>
              </w:rPr>
              <w:t>).</w:t>
            </w:r>
            <w:r w:rsidRPr="003163EA">
              <w:rPr>
                <w:rFonts w:ascii="Times New Roman" w:hAnsi="Times New Roman"/>
              </w:rPr>
              <w:t xml:space="preserve"> </w:t>
            </w:r>
          </w:p>
          <w:p w:rsidR="00182087" w:rsidRPr="00F06C7D" w:rsidRDefault="00182087" w:rsidP="001F4E2A">
            <w:pPr>
              <w:jc w:val="both"/>
              <w:rPr>
                <w:rFonts w:ascii="Times New Roman" w:hAnsi="Times New Roman"/>
              </w:rPr>
            </w:pPr>
          </w:p>
          <w:p w:rsidR="00CA6E3F" w:rsidRDefault="00E66F76" w:rsidP="00B248BF">
            <w:pPr>
              <w:spacing w:after="120"/>
              <w:jc w:val="both"/>
              <w:rPr>
                <w:rFonts w:ascii="Times New Roman" w:hAnsi="Times New Roman"/>
              </w:rPr>
            </w:pPr>
            <w:r>
              <w:rPr>
                <w:rFonts w:ascii="Times New Roman" w:hAnsi="Times New Roman"/>
              </w:rPr>
              <w:t>Program</w:t>
            </w:r>
            <w:r w:rsidR="00CA6E3F" w:rsidRPr="00CA6E3F">
              <w:rPr>
                <w:rFonts w:ascii="Times New Roman" w:hAnsi="Times New Roman"/>
              </w:rPr>
              <w:t xml:space="preserve"> Wspierania Rozwoju Międzynarodowych Domów Spotkań na lata 20</w:t>
            </w:r>
            <w:r w:rsidR="00652A0E">
              <w:rPr>
                <w:rFonts w:ascii="Times New Roman" w:hAnsi="Times New Roman"/>
              </w:rPr>
              <w:t>20</w:t>
            </w:r>
            <w:r w:rsidR="00CA6E3F" w:rsidRPr="00CA6E3F">
              <w:rPr>
                <w:rFonts w:ascii="Times New Roman" w:hAnsi="Times New Roman"/>
              </w:rPr>
              <w:t xml:space="preserve">-2030 </w:t>
            </w:r>
            <w:r>
              <w:rPr>
                <w:rFonts w:ascii="Times New Roman" w:hAnsi="Times New Roman"/>
              </w:rPr>
              <w:t>ma</w:t>
            </w:r>
            <w:r w:rsidR="00CA6E3F" w:rsidRPr="00CA6E3F">
              <w:rPr>
                <w:rFonts w:ascii="Times New Roman" w:hAnsi="Times New Roman"/>
              </w:rPr>
              <w:t xml:space="preserve"> wzmocni</w:t>
            </w:r>
            <w:r>
              <w:rPr>
                <w:rFonts w:ascii="Times New Roman" w:hAnsi="Times New Roman"/>
              </w:rPr>
              <w:t>ć potencjał</w:t>
            </w:r>
            <w:r w:rsidR="00CA6E3F" w:rsidRPr="00CA6E3F">
              <w:rPr>
                <w:rFonts w:ascii="Times New Roman" w:hAnsi="Times New Roman"/>
              </w:rPr>
              <w:t xml:space="preserve"> instytucjonaln</w:t>
            </w:r>
            <w:r>
              <w:rPr>
                <w:rFonts w:ascii="Times New Roman" w:hAnsi="Times New Roman"/>
              </w:rPr>
              <w:t>y</w:t>
            </w:r>
            <w:r w:rsidR="00CA6E3F" w:rsidRPr="00CA6E3F">
              <w:rPr>
                <w:rFonts w:ascii="Times New Roman" w:hAnsi="Times New Roman"/>
              </w:rPr>
              <w:t xml:space="preserve"> domów spotkań poprzez tworzenie warunków do ich stabilizacji infrastrukturalnej oraz kadrowej</w:t>
            </w:r>
            <w:r>
              <w:rPr>
                <w:rFonts w:ascii="Times New Roman" w:hAnsi="Times New Roman"/>
              </w:rPr>
              <w:t>,</w:t>
            </w:r>
            <w:r w:rsidR="00CA6E3F" w:rsidRPr="00CA6E3F">
              <w:rPr>
                <w:rFonts w:ascii="Times New Roman" w:hAnsi="Times New Roman"/>
              </w:rPr>
              <w:t xml:space="preserve"> przy jednoczesnym podniesieniu jakości oraz zwiększeniu zasięgu i efektywności ich działalności programowej.</w:t>
            </w:r>
          </w:p>
          <w:p w:rsidR="00B248BF" w:rsidRDefault="00B248BF" w:rsidP="00B248BF">
            <w:pPr>
              <w:spacing w:after="120"/>
              <w:jc w:val="both"/>
              <w:rPr>
                <w:rFonts w:ascii="Times New Roman" w:hAnsi="Times New Roman"/>
              </w:rPr>
            </w:pPr>
            <w:r w:rsidRPr="00F06C7D">
              <w:rPr>
                <w:rFonts w:ascii="Times New Roman" w:hAnsi="Times New Roman"/>
              </w:rPr>
              <w:t>Cele szczegółowe Programu zdefiniowano jako:</w:t>
            </w:r>
          </w:p>
          <w:p w:rsidR="00507FD8" w:rsidRPr="00507FD8" w:rsidRDefault="00507FD8" w:rsidP="00507FD8">
            <w:pPr>
              <w:pStyle w:val="Akapitzlist"/>
              <w:numPr>
                <w:ilvl w:val="0"/>
                <w:numId w:val="38"/>
              </w:numPr>
              <w:spacing w:after="120"/>
              <w:jc w:val="both"/>
              <w:rPr>
                <w:rFonts w:ascii="Times New Roman" w:hAnsi="Times New Roman"/>
              </w:rPr>
            </w:pPr>
            <w:r w:rsidRPr="00507FD8">
              <w:rPr>
                <w:rFonts w:ascii="Times New Roman" w:hAnsi="Times New Roman"/>
              </w:rPr>
              <w:t>Rozwój instytucjonalny domów spotkań i zwiększenie liczby placówek;</w:t>
            </w:r>
          </w:p>
          <w:p w:rsidR="00507FD8" w:rsidRPr="00507FD8" w:rsidRDefault="00507FD8" w:rsidP="00507FD8">
            <w:pPr>
              <w:pStyle w:val="Akapitzlist"/>
              <w:numPr>
                <w:ilvl w:val="0"/>
                <w:numId w:val="38"/>
              </w:numPr>
              <w:spacing w:after="120"/>
              <w:jc w:val="both"/>
              <w:rPr>
                <w:rFonts w:ascii="Times New Roman" w:hAnsi="Times New Roman"/>
              </w:rPr>
            </w:pPr>
            <w:r w:rsidRPr="00507FD8">
              <w:rPr>
                <w:rFonts w:ascii="Times New Roman" w:hAnsi="Times New Roman"/>
              </w:rPr>
              <w:t>Podnoszenie jakości oferty edukacyjnej i skuteczności kształcenia oraz wychowania.</w:t>
            </w:r>
          </w:p>
          <w:p w:rsidR="00507FD8" w:rsidRPr="00F06C7D" w:rsidRDefault="00507FD8" w:rsidP="00507FD8">
            <w:pPr>
              <w:pStyle w:val="Akapitzlist"/>
              <w:numPr>
                <w:ilvl w:val="0"/>
                <w:numId w:val="38"/>
              </w:numPr>
              <w:spacing w:after="120"/>
              <w:jc w:val="both"/>
              <w:rPr>
                <w:rFonts w:ascii="Times New Roman" w:hAnsi="Times New Roman"/>
              </w:rPr>
            </w:pPr>
            <w:r w:rsidRPr="00507FD8">
              <w:rPr>
                <w:rFonts w:ascii="Times New Roman" w:hAnsi="Times New Roman"/>
              </w:rPr>
              <w:t xml:space="preserve">Wzmocnienie oddziaływania społecznego </w:t>
            </w:r>
            <w:r>
              <w:rPr>
                <w:rFonts w:ascii="Times New Roman" w:hAnsi="Times New Roman"/>
              </w:rPr>
              <w:t xml:space="preserve">międzynarodowych </w:t>
            </w:r>
            <w:r w:rsidRPr="00507FD8">
              <w:rPr>
                <w:rFonts w:ascii="Times New Roman" w:hAnsi="Times New Roman"/>
              </w:rPr>
              <w:t>domów spotkań</w:t>
            </w:r>
            <w:r>
              <w:rPr>
                <w:rFonts w:ascii="Times New Roman" w:hAnsi="Times New Roman"/>
              </w:rPr>
              <w:t>.</w:t>
            </w:r>
          </w:p>
          <w:p w:rsidR="00B248BF" w:rsidRPr="00F06C7D" w:rsidRDefault="00B248BF" w:rsidP="00507FD8">
            <w:pPr>
              <w:pStyle w:val="Akapitzlist"/>
              <w:spacing w:after="120"/>
              <w:jc w:val="both"/>
              <w:rPr>
                <w:rFonts w:ascii="Times New Roman" w:hAnsi="Times New Roman"/>
              </w:rPr>
            </w:pPr>
          </w:p>
          <w:p w:rsidR="001F4E2A" w:rsidRPr="00777172" w:rsidRDefault="001F4E2A" w:rsidP="004C2053">
            <w:pPr>
              <w:pStyle w:val="Akapitzlist"/>
              <w:spacing w:before="120" w:after="120"/>
              <w:ind w:left="0"/>
              <w:contextualSpacing w:val="0"/>
              <w:jc w:val="both"/>
              <w:rPr>
                <w:rFonts w:ascii="Times New Roman" w:hAnsi="Times New Roman"/>
                <w:color w:val="000000"/>
                <w:spacing w:val="-2"/>
              </w:rPr>
            </w:pPr>
          </w:p>
        </w:tc>
      </w:tr>
      <w:tr w:rsidR="006A701A" w:rsidRPr="008B4FE6" w:rsidTr="00DA7A68">
        <w:trPr>
          <w:trHeight w:val="142"/>
        </w:trPr>
        <w:tc>
          <w:tcPr>
            <w:tcW w:w="10632" w:type="dxa"/>
            <w:gridSpan w:val="5"/>
            <w:shd w:val="clear" w:color="auto" w:fill="99CCFF"/>
            <w:vAlign w:val="center"/>
          </w:tcPr>
          <w:p w:rsidR="006A701A" w:rsidRPr="008B4FE6" w:rsidRDefault="0013216E" w:rsidP="009027F8">
            <w:pPr>
              <w:numPr>
                <w:ilvl w:val="0"/>
                <w:numId w:val="3"/>
              </w:numPr>
              <w:spacing w:before="60" w:after="60"/>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rsidTr="00DA7A68">
        <w:trPr>
          <w:trHeight w:val="142"/>
        </w:trPr>
        <w:tc>
          <w:tcPr>
            <w:tcW w:w="10632" w:type="dxa"/>
            <w:gridSpan w:val="5"/>
            <w:shd w:val="clear" w:color="auto" w:fill="auto"/>
          </w:tcPr>
          <w:p w:rsidR="00B56668" w:rsidRPr="006D5327" w:rsidRDefault="00B56668" w:rsidP="00B56668">
            <w:pPr>
              <w:jc w:val="both"/>
              <w:rPr>
                <w:rFonts w:ascii="Times New Roman" w:hAnsi="Times New Roman"/>
                <w:sz w:val="24"/>
                <w:szCs w:val="24"/>
              </w:rPr>
            </w:pPr>
            <w:r w:rsidRPr="006D5327">
              <w:rPr>
                <w:rFonts w:ascii="Times New Roman" w:hAnsi="Times New Roman"/>
                <w:sz w:val="24"/>
                <w:szCs w:val="24"/>
              </w:rPr>
              <w:t>Głównym celem Programu Wspierania Rozwoju Międzynarodowych Domów Spotkań na lata 2020-2030 jest wzmocnienie potencjału instytucjonalnego domów spotkań poprzez tworzenie warunków do ich stabilizacji infrastrukturalnej oraz kadrowej przy jednoczesnym podniesieniu jakości oraz zwiększeniu zasięgu i efektywności ich działalności programowej.</w:t>
            </w:r>
          </w:p>
          <w:p w:rsidR="00B56668" w:rsidRPr="006D5327" w:rsidRDefault="00B56668" w:rsidP="00B56668">
            <w:pPr>
              <w:jc w:val="both"/>
              <w:rPr>
                <w:rFonts w:ascii="Times New Roman" w:hAnsi="Times New Roman"/>
                <w:sz w:val="24"/>
                <w:szCs w:val="24"/>
              </w:rPr>
            </w:pPr>
            <w:r w:rsidRPr="006D5327">
              <w:rPr>
                <w:rFonts w:ascii="Times New Roman" w:hAnsi="Times New Roman"/>
                <w:sz w:val="24"/>
                <w:szCs w:val="24"/>
              </w:rPr>
              <w:t>Cele szczegółowe Programu zdefiniowano jako:</w:t>
            </w:r>
          </w:p>
          <w:p w:rsidR="00B56668" w:rsidRPr="006D5327" w:rsidRDefault="00B56668" w:rsidP="00B56668">
            <w:pPr>
              <w:jc w:val="both"/>
              <w:rPr>
                <w:rFonts w:ascii="Times New Roman" w:hAnsi="Times New Roman"/>
                <w:sz w:val="24"/>
                <w:szCs w:val="24"/>
              </w:rPr>
            </w:pPr>
            <w:r w:rsidRPr="006D5327">
              <w:rPr>
                <w:rFonts w:ascii="Times New Roman" w:hAnsi="Times New Roman"/>
                <w:sz w:val="24"/>
                <w:szCs w:val="24"/>
              </w:rPr>
              <w:t>1.</w:t>
            </w:r>
            <w:r w:rsidRPr="006D5327">
              <w:rPr>
                <w:rFonts w:ascii="Times New Roman" w:hAnsi="Times New Roman"/>
                <w:sz w:val="24"/>
                <w:szCs w:val="24"/>
              </w:rPr>
              <w:tab/>
              <w:t>Rozwój instytucjonalny domów spotkań i zwiększenie liczby placówek;</w:t>
            </w:r>
          </w:p>
          <w:p w:rsidR="00B56668" w:rsidRPr="006D5327" w:rsidRDefault="00B56668" w:rsidP="00B56668">
            <w:pPr>
              <w:jc w:val="both"/>
              <w:rPr>
                <w:rFonts w:ascii="Times New Roman" w:hAnsi="Times New Roman"/>
                <w:sz w:val="24"/>
                <w:szCs w:val="24"/>
              </w:rPr>
            </w:pPr>
            <w:r w:rsidRPr="006D5327">
              <w:rPr>
                <w:rFonts w:ascii="Times New Roman" w:hAnsi="Times New Roman"/>
                <w:sz w:val="24"/>
                <w:szCs w:val="24"/>
              </w:rPr>
              <w:t>2.</w:t>
            </w:r>
            <w:r w:rsidRPr="006D5327">
              <w:rPr>
                <w:rFonts w:ascii="Times New Roman" w:hAnsi="Times New Roman"/>
                <w:sz w:val="24"/>
                <w:szCs w:val="24"/>
              </w:rPr>
              <w:tab/>
              <w:t>Podnoszenie jakości oferty edukacyjnej i skuteczności kształcenia oraz wychowania.</w:t>
            </w:r>
          </w:p>
          <w:p w:rsidR="00B56668" w:rsidRPr="006D5327" w:rsidRDefault="00B56668" w:rsidP="00B56668">
            <w:pPr>
              <w:jc w:val="both"/>
              <w:rPr>
                <w:rFonts w:ascii="Times New Roman" w:hAnsi="Times New Roman"/>
                <w:sz w:val="24"/>
                <w:szCs w:val="24"/>
              </w:rPr>
            </w:pPr>
            <w:r w:rsidRPr="006D5327">
              <w:rPr>
                <w:rFonts w:ascii="Times New Roman" w:hAnsi="Times New Roman"/>
                <w:sz w:val="24"/>
                <w:szCs w:val="24"/>
              </w:rPr>
              <w:t>3.</w:t>
            </w:r>
            <w:r w:rsidRPr="006D5327">
              <w:rPr>
                <w:rFonts w:ascii="Times New Roman" w:hAnsi="Times New Roman"/>
                <w:sz w:val="24"/>
                <w:szCs w:val="24"/>
              </w:rPr>
              <w:tab/>
              <w:t>Wzmocnienie oddziaływania społecznego międzynarodowych domów spotkań.</w:t>
            </w:r>
          </w:p>
          <w:p w:rsidR="00B56668" w:rsidRDefault="00B56668" w:rsidP="0005132E">
            <w:pPr>
              <w:jc w:val="both"/>
              <w:rPr>
                <w:rFonts w:ascii="Times New Roman" w:hAnsi="Times New Roman"/>
                <w:sz w:val="24"/>
                <w:szCs w:val="24"/>
              </w:rPr>
            </w:pPr>
          </w:p>
          <w:p w:rsidR="0005132E" w:rsidRPr="00F06C7D" w:rsidRDefault="00507FD8" w:rsidP="0005132E">
            <w:pPr>
              <w:jc w:val="both"/>
              <w:rPr>
                <w:rFonts w:ascii="Times New Roman" w:hAnsi="Times New Roman"/>
                <w:sz w:val="24"/>
                <w:szCs w:val="24"/>
              </w:rPr>
            </w:pPr>
            <w:r>
              <w:rPr>
                <w:rFonts w:ascii="Times New Roman" w:hAnsi="Times New Roman"/>
                <w:sz w:val="24"/>
                <w:szCs w:val="24"/>
              </w:rPr>
              <w:t xml:space="preserve">Na program składają się trzy priorytety </w:t>
            </w:r>
            <w:r w:rsidR="0005132E" w:rsidRPr="00F06C7D">
              <w:rPr>
                <w:rFonts w:ascii="Times New Roman" w:hAnsi="Times New Roman"/>
                <w:sz w:val="24"/>
                <w:szCs w:val="24"/>
              </w:rPr>
              <w:t>operacyjn</w:t>
            </w:r>
            <w:r>
              <w:rPr>
                <w:rFonts w:ascii="Times New Roman" w:hAnsi="Times New Roman"/>
                <w:sz w:val="24"/>
                <w:szCs w:val="24"/>
              </w:rPr>
              <w:t>e, które porządkują planowane działania</w:t>
            </w:r>
            <w:r w:rsidR="0005132E" w:rsidRPr="00F06C7D">
              <w:rPr>
                <w:rFonts w:ascii="Times New Roman" w:hAnsi="Times New Roman"/>
                <w:sz w:val="24"/>
                <w:szCs w:val="24"/>
              </w:rPr>
              <w:t>.</w:t>
            </w:r>
          </w:p>
          <w:p w:rsidR="0005132E" w:rsidRDefault="00507FD8" w:rsidP="00291F71">
            <w:pPr>
              <w:spacing w:before="240"/>
              <w:jc w:val="both"/>
              <w:outlineLvl w:val="2"/>
              <w:rPr>
                <w:rFonts w:ascii="Times New Roman" w:hAnsi="Times New Roman"/>
                <w:b/>
                <w:sz w:val="24"/>
                <w:szCs w:val="24"/>
              </w:rPr>
            </w:pPr>
            <w:r w:rsidRPr="00507FD8">
              <w:rPr>
                <w:rFonts w:ascii="Times New Roman" w:hAnsi="Times New Roman"/>
                <w:b/>
                <w:sz w:val="24"/>
                <w:szCs w:val="24"/>
              </w:rPr>
              <w:t xml:space="preserve">Priorytet 1. Wsparcie istniejących </w:t>
            </w:r>
            <w:r w:rsidR="001A7357">
              <w:rPr>
                <w:rFonts w:ascii="Times New Roman" w:hAnsi="Times New Roman"/>
                <w:b/>
                <w:sz w:val="24"/>
                <w:szCs w:val="24"/>
              </w:rPr>
              <w:t xml:space="preserve">międzynarodowych </w:t>
            </w:r>
            <w:r w:rsidRPr="00507FD8">
              <w:rPr>
                <w:rFonts w:ascii="Times New Roman" w:hAnsi="Times New Roman"/>
                <w:b/>
                <w:sz w:val="24"/>
                <w:szCs w:val="24"/>
              </w:rPr>
              <w:t>domów spotkań</w:t>
            </w:r>
            <w:r w:rsidR="001A7357">
              <w:rPr>
                <w:rFonts w:ascii="Times New Roman" w:hAnsi="Times New Roman"/>
                <w:b/>
                <w:sz w:val="24"/>
                <w:szCs w:val="24"/>
              </w:rPr>
              <w:t xml:space="preserve"> </w:t>
            </w:r>
          </w:p>
          <w:p w:rsidR="00291F71" w:rsidRDefault="00291F71" w:rsidP="0005132E">
            <w:pPr>
              <w:jc w:val="both"/>
              <w:outlineLvl w:val="2"/>
              <w:rPr>
                <w:rFonts w:ascii="Times New Roman" w:hAnsi="Times New Roman"/>
                <w:sz w:val="24"/>
                <w:szCs w:val="24"/>
              </w:rPr>
            </w:pPr>
            <w:r w:rsidRPr="00291F71">
              <w:rPr>
                <w:rFonts w:ascii="Times New Roman" w:hAnsi="Times New Roman"/>
                <w:sz w:val="24"/>
                <w:szCs w:val="24"/>
              </w:rPr>
              <w:t>Ścieżka 1a. Wsparcie działalności programowej istniejących domów spotkań</w:t>
            </w:r>
          </w:p>
          <w:p w:rsidR="00291F71" w:rsidRDefault="00291F71" w:rsidP="00291F71">
            <w:pPr>
              <w:pStyle w:val="Nagwek3"/>
              <w:spacing w:before="0"/>
              <w:rPr>
                <w:rFonts w:ascii="Times New Roman" w:eastAsia="Calibri" w:hAnsi="Times New Roman" w:cs="Times New Roman"/>
                <w:b w:val="0"/>
                <w:bCs w:val="0"/>
                <w:sz w:val="24"/>
                <w:szCs w:val="24"/>
                <w:lang w:eastAsia="en-US"/>
              </w:rPr>
            </w:pPr>
            <w:r w:rsidRPr="00291F71">
              <w:rPr>
                <w:rFonts w:ascii="Times New Roman" w:eastAsia="Calibri" w:hAnsi="Times New Roman" w:cs="Times New Roman"/>
                <w:b w:val="0"/>
                <w:bCs w:val="0"/>
                <w:sz w:val="24"/>
                <w:szCs w:val="24"/>
                <w:lang w:eastAsia="en-US"/>
              </w:rPr>
              <w:t>Ścieżka 1b. Wsparcie rozwoju instytucjonalnego istniejących domów spotkań</w:t>
            </w:r>
          </w:p>
          <w:p w:rsidR="00291F71" w:rsidRDefault="00291F71" w:rsidP="00291F71">
            <w:pPr>
              <w:spacing w:before="240"/>
              <w:rPr>
                <w:rFonts w:ascii="Times New Roman" w:eastAsia="Times New Roman" w:hAnsi="Times New Roman"/>
                <w:b/>
                <w:bCs/>
                <w:sz w:val="24"/>
                <w:szCs w:val="24"/>
                <w:lang w:eastAsia="pl-PL"/>
              </w:rPr>
            </w:pPr>
            <w:r w:rsidRPr="00291F71">
              <w:rPr>
                <w:rFonts w:ascii="Times New Roman" w:eastAsia="Times New Roman" w:hAnsi="Times New Roman"/>
                <w:b/>
                <w:bCs/>
                <w:sz w:val="24"/>
                <w:szCs w:val="24"/>
                <w:lang w:eastAsia="pl-PL"/>
              </w:rPr>
              <w:t xml:space="preserve">Priorytet 2. Wsparcie nowych międzynarodowych domów spotkań </w:t>
            </w:r>
          </w:p>
          <w:p w:rsidR="00291F71" w:rsidRDefault="00291F71" w:rsidP="002C62DA">
            <w:pPr>
              <w:rPr>
                <w:rFonts w:ascii="Times New Roman" w:hAnsi="Times New Roman"/>
                <w:sz w:val="24"/>
                <w:szCs w:val="24"/>
              </w:rPr>
            </w:pPr>
            <w:r w:rsidRPr="00291F71">
              <w:rPr>
                <w:rFonts w:ascii="Times New Roman" w:hAnsi="Times New Roman"/>
                <w:sz w:val="24"/>
                <w:szCs w:val="24"/>
              </w:rPr>
              <w:t>Ścieżka 2a. Wsparcie działalności programowej nowopowstających domów spotkań</w:t>
            </w:r>
          </w:p>
          <w:p w:rsidR="00291F71" w:rsidRDefault="00291F71" w:rsidP="00291F71">
            <w:pPr>
              <w:pStyle w:val="Nagwek3"/>
              <w:spacing w:before="0"/>
              <w:rPr>
                <w:rFonts w:ascii="Times New Roman" w:eastAsia="Calibri" w:hAnsi="Times New Roman" w:cs="Times New Roman"/>
                <w:b w:val="0"/>
                <w:bCs w:val="0"/>
                <w:sz w:val="24"/>
                <w:szCs w:val="24"/>
                <w:lang w:eastAsia="en-US"/>
              </w:rPr>
            </w:pPr>
            <w:r w:rsidRPr="00291F71">
              <w:rPr>
                <w:rFonts w:ascii="Times New Roman" w:eastAsia="Calibri" w:hAnsi="Times New Roman" w:cs="Times New Roman"/>
                <w:b w:val="0"/>
                <w:bCs w:val="0"/>
                <w:sz w:val="24"/>
                <w:szCs w:val="24"/>
                <w:lang w:eastAsia="en-US"/>
              </w:rPr>
              <w:t>Ścieżka 2b. Wsparcie rozwoju instytucjonalnego nowopowstających domów spotkań</w:t>
            </w:r>
          </w:p>
          <w:p w:rsidR="0005132E" w:rsidRPr="00F06C7D" w:rsidRDefault="00014905" w:rsidP="00291F71">
            <w:pPr>
              <w:pStyle w:val="Nagwek3"/>
              <w:rPr>
                <w:rFonts w:ascii="Times New Roman" w:hAnsi="Times New Roman" w:cs="Times New Roman"/>
                <w:sz w:val="24"/>
                <w:szCs w:val="24"/>
              </w:rPr>
            </w:pPr>
            <w:r>
              <w:rPr>
                <w:rFonts w:ascii="Times New Roman" w:hAnsi="Times New Roman" w:cs="Times New Roman"/>
                <w:sz w:val="24"/>
                <w:szCs w:val="24"/>
              </w:rPr>
              <w:t>Priorytet</w:t>
            </w:r>
            <w:r w:rsidR="0005132E" w:rsidRPr="00F06C7D">
              <w:rPr>
                <w:rFonts w:ascii="Times New Roman" w:hAnsi="Times New Roman" w:cs="Times New Roman"/>
                <w:sz w:val="24"/>
                <w:szCs w:val="24"/>
              </w:rPr>
              <w:t xml:space="preserve"> 3. Pomoc techniczna</w:t>
            </w:r>
          </w:p>
          <w:p w:rsidR="006A701A" w:rsidRDefault="0005132E" w:rsidP="00291F71">
            <w:pPr>
              <w:spacing w:after="120"/>
              <w:jc w:val="both"/>
              <w:rPr>
                <w:rFonts w:ascii="Times New Roman" w:hAnsi="Times New Roman"/>
                <w:sz w:val="24"/>
                <w:szCs w:val="24"/>
              </w:rPr>
            </w:pPr>
            <w:r w:rsidRPr="00F06C7D">
              <w:rPr>
                <w:rFonts w:ascii="Times New Roman" w:hAnsi="Times New Roman"/>
                <w:sz w:val="24"/>
                <w:szCs w:val="24"/>
              </w:rPr>
              <w:t>Priorytet gwarantuje środki finansowe na obsługę realizacji Programu i obejmuje swoim zakresem wsparcie wszystkich horyzontalnych działań i procesów z zakresu przygotowania, zarządzania, wdrażania, koordynacji, monitorowania, ewaluacji, informacji i komunikacji, rozpatrywania skarg oraz kontroli i audytu.</w:t>
            </w:r>
          </w:p>
          <w:p w:rsidR="00F06C7D" w:rsidRPr="009B020D" w:rsidRDefault="00F06C7D" w:rsidP="004C2053">
            <w:pPr>
              <w:spacing w:before="120" w:after="120"/>
              <w:jc w:val="both"/>
              <w:rPr>
                <w:rFonts w:ascii="Times New Roman" w:hAnsi="Times New Roman"/>
                <w:sz w:val="24"/>
                <w:szCs w:val="24"/>
              </w:rPr>
            </w:pPr>
            <w:r>
              <w:rPr>
                <w:rFonts w:ascii="Times New Roman" w:hAnsi="Times New Roman"/>
                <w:sz w:val="24"/>
                <w:szCs w:val="24"/>
              </w:rPr>
              <w:t xml:space="preserve">W </w:t>
            </w:r>
            <w:r w:rsidRPr="009B020D">
              <w:rPr>
                <w:rFonts w:ascii="Times New Roman" w:hAnsi="Times New Roman"/>
                <w:sz w:val="24"/>
                <w:szCs w:val="24"/>
              </w:rPr>
              <w:t>wyniku podjętej interwencji</w:t>
            </w:r>
            <w:r w:rsidR="009B020D" w:rsidRPr="009B020D">
              <w:rPr>
                <w:rFonts w:ascii="Times New Roman" w:hAnsi="Times New Roman"/>
                <w:sz w:val="24"/>
                <w:szCs w:val="24"/>
              </w:rPr>
              <w:t>:</w:t>
            </w:r>
          </w:p>
          <w:p w:rsidR="00B00F55" w:rsidRPr="006D5327" w:rsidRDefault="006E6346" w:rsidP="00B00F55">
            <w:pPr>
              <w:pStyle w:val="Akapitzlist"/>
              <w:numPr>
                <w:ilvl w:val="0"/>
                <w:numId w:val="39"/>
              </w:numPr>
              <w:spacing w:after="120" w:line="240" w:lineRule="auto"/>
              <w:rPr>
                <w:rFonts w:ascii="Times New Roman" w:hAnsi="Times New Roman"/>
                <w:spacing w:val="-2"/>
                <w:sz w:val="24"/>
                <w:szCs w:val="24"/>
              </w:rPr>
            </w:pPr>
            <w:r w:rsidRPr="006D5327">
              <w:rPr>
                <w:rFonts w:ascii="Times New Roman" w:hAnsi="Times New Roman"/>
                <w:sz w:val="24"/>
                <w:szCs w:val="24"/>
              </w:rPr>
              <w:t xml:space="preserve">Wsparta </w:t>
            </w:r>
            <w:r w:rsidR="00B00F55" w:rsidRPr="006D5327">
              <w:rPr>
                <w:rFonts w:ascii="Times New Roman" w:hAnsi="Times New Roman"/>
                <w:sz w:val="24"/>
                <w:szCs w:val="24"/>
              </w:rPr>
              <w:t xml:space="preserve">zostanie działalność placówek prowadzących międzynarodowe domy spotkań </w:t>
            </w:r>
            <w:r w:rsidR="00A039DF" w:rsidRPr="006D5327">
              <w:rPr>
                <w:rFonts w:ascii="Times New Roman" w:hAnsi="Times New Roman"/>
                <w:sz w:val="24"/>
                <w:szCs w:val="24"/>
              </w:rPr>
              <w:t xml:space="preserve">– </w:t>
            </w:r>
            <w:r w:rsidR="00F068BC" w:rsidRPr="006D5327">
              <w:rPr>
                <w:rFonts w:ascii="Times New Roman" w:hAnsi="Times New Roman"/>
                <w:sz w:val="24"/>
                <w:szCs w:val="24"/>
              </w:rPr>
              <w:t>uzyskane wsparcie wpłynie na poprawę równowagi finansowej</w:t>
            </w:r>
            <w:r w:rsidR="00A039DF" w:rsidRPr="006D5327">
              <w:rPr>
                <w:rFonts w:ascii="Times New Roman" w:hAnsi="Times New Roman"/>
                <w:sz w:val="24"/>
                <w:szCs w:val="24"/>
              </w:rPr>
              <w:t>. S</w:t>
            </w:r>
            <w:r w:rsidRPr="006D5327">
              <w:rPr>
                <w:rFonts w:ascii="Times New Roman" w:hAnsi="Times New Roman"/>
                <w:sz w:val="24"/>
                <w:szCs w:val="24"/>
              </w:rPr>
              <w:t xml:space="preserve">tworzona </w:t>
            </w:r>
            <w:r w:rsidR="00A039DF" w:rsidRPr="006D5327">
              <w:rPr>
                <w:rFonts w:ascii="Times New Roman" w:hAnsi="Times New Roman"/>
                <w:sz w:val="24"/>
                <w:szCs w:val="24"/>
              </w:rPr>
              <w:t xml:space="preserve">zostanie </w:t>
            </w:r>
            <w:r w:rsidR="00D56462" w:rsidRPr="006D5327">
              <w:rPr>
                <w:rFonts w:ascii="Times New Roman" w:hAnsi="Times New Roman"/>
                <w:sz w:val="24"/>
                <w:szCs w:val="24"/>
              </w:rPr>
              <w:t xml:space="preserve">również </w:t>
            </w:r>
            <w:r w:rsidRPr="006D5327">
              <w:rPr>
                <w:rFonts w:ascii="Times New Roman" w:hAnsi="Times New Roman"/>
                <w:sz w:val="24"/>
                <w:szCs w:val="24"/>
              </w:rPr>
              <w:t>szansa powrotu</w:t>
            </w:r>
            <w:r w:rsidR="00B00F55" w:rsidRPr="006D5327">
              <w:rPr>
                <w:rFonts w:ascii="Times New Roman" w:hAnsi="Times New Roman"/>
                <w:sz w:val="24"/>
                <w:szCs w:val="24"/>
              </w:rPr>
              <w:t xml:space="preserve"> do działalności placów</w:t>
            </w:r>
            <w:r w:rsidRPr="006D5327">
              <w:rPr>
                <w:rFonts w:ascii="Times New Roman" w:hAnsi="Times New Roman"/>
                <w:sz w:val="24"/>
                <w:szCs w:val="24"/>
              </w:rPr>
              <w:t>e</w:t>
            </w:r>
            <w:r w:rsidR="00B00F55" w:rsidRPr="006D5327">
              <w:rPr>
                <w:rFonts w:ascii="Times New Roman" w:hAnsi="Times New Roman"/>
                <w:sz w:val="24"/>
                <w:szCs w:val="24"/>
              </w:rPr>
              <w:t xml:space="preserve">k, które zaniechały jej z powodów ekonomicznych. </w:t>
            </w:r>
          </w:p>
          <w:p w:rsidR="00F06C7D" w:rsidRPr="009B020D" w:rsidRDefault="002C62DA" w:rsidP="00B00F55">
            <w:pPr>
              <w:pStyle w:val="Akapitzlist"/>
              <w:numPr>
                <w:ilvl w:val="0"/>
                <w:numId w:val="39"/>
              </w:numPr>
              <w:spacing w:after="120" w:line="240" w:lineRule="auto"/>
              <w:rPr>
                <w:rFonts w:ascii="Times New Roman" w:hAnsi="Times New Roman"/>
                <w:color w:val="000000"/>
                <w:spacing w:val="-2"/>
                <w:sz w:val="24"/>
                <w:szCs w:val="24"/>
              </w:rPr>
            </w:pPr>
            <w:r>
              <w:rPr>
                <w:rFonts w:ascii="Times New Roman" w:hAnsi="Times New Roman"/>
                <w:sz w:val="24"/>
                <w:szCs w:val="24"/>
              </w:rPr>
              <w:t xml:space="preserve">Obniżony zostanie, ponoszony przez uczestników, koszt udziału w spotkaniach organizowanych przez międzynarodowe domy spotkań. </w:t>
            </w:r>
            <w:r w:rsidR="00F06C7D" w:rsidRPr="009B020D">
              <w:rPr>
                <w:rFonts w:ascii="Times New Roman" w:hAnsi="Times New Roman"/>
                <w:sz w:val="24"/>
                <w:szCs w:val="24"/>
              </w:rPr>
              <w:t xml:space="preserve">Wzrośnie </w:t>
            </w:r>
            <w:r>
              <w:rPr>
                <w:rFonts w:ascii="Times New Roman" w:hAnsi="Times New Roman"/>
                <w:sz w:val="24"/>
                <w:szCs w:val="24"/>
              </w:rPr>
              <w:t>dostępność oferty domów dla młodzieży z rodzin o niższych dochodach</w:t>
            </w:r>
            <w:r w:rsidR="00F06C7D" w:rsidRPr="009B020D">
              <w:rPr>
                <w:rFonts w:ascii="Times New Roman" w:hAnsi="Times New Roman"/>
                <w:sz w:val="24"/>
                <w:szCs w:val="24"/>
              </w:rPr>
              <w:t>.</w:t>
            </w:r>
          </w:p>
          <w:p w:rsidR="00F06C7D" w:rsidRPr="009B020D" w:rsidRDefault="00F06C7D" w:rsidP="00F06C7D">
            <w:pPr>
              <w:pStyle w:val="Akapitzlist"/>
              <w:numPr>
                <w:ilvl w:val="0"/>
                <w:numId w:val="39"/>
              </w:numPr>
              <w:spacing w:after="120" w:line="240" w:lineRule="auto"/>
              <w:rPr>
                <w:rFonts w:ascii="Times New Roman" w:hAnsi="Times New Roman"/>
                <w:color w:val="000000"/>
                <w:spacing w:val="-2"/>
                <w:sz w:val="24"/>
                <w:szCs w:val="24"/>
              </w:rPr>
            </w:pPr>
            <w:r w:rsidRPr="009B020D">
              <w:rPr>
                <w:rFonts w:ascii="Times New Roman" w:hAnsi="Times New Roman"/>
                <w:sz w:val="24"/>
                <w:szCs w:val="24"/>
              </w:rPr>
              <w:t xml:space="preserve">Nastąpi </w:t>
            </w:r>
            <w:r w:rsidR="009B020D" w:rsidRPr="009B020D">
              <w:rPr>
                <w:rFonts w:ascii="Times New Roman" w:hAnsi="Times New Roman"/>
                <w:sz w:val="24"/>
                <w:szCs w:val="24"/>
              </w:rPr>
              <w:t>wzrost poziomu</w:t>
            </w:r>
            <w:r w:rsidRPr="009B020D">
              <w:rPr>
                <w:rFonts w:ascii="Times New Roman" w:hAnsi="Times New Roman"/>
                <w:sz w:val="24"/>
                <w:szCs w:val="24"/>
              </w:rPr>
              <w:t xml:space="preserve"> umiejętności, kompetencji i kwalifikacji </w:t>
            </w:r>
            <w:r w:rsidR="00646234">
              <w:rPr>
                <w:rFonts w:ascii="Times New Roman" w:hAnsi="Times New Roman"/>
                <w:sz w:val="24"/>
                <w:szCs w:val="24"/>
              </w:rPr>
              <w:t xml:space="preserve">animatorów i </w:t>
            </w:r>
            <w:r w:rsidRPr="009B020D">
              <w:rPr>
                <w:rFonts w:ascii="Times New Roman" w:hAnsi="Times New Roman"/>
                <w:sz w:val="24"/>
                <w:szCs w:val="24"/>
              </w:rPr>
              <w:t>wychowawc</w:t>
            </w:r>
            <w:r w:rsidR="002C62DA">
              <w:rPr>
                <w:rFonts w:ascii="Times New Roman" w:hAnsi="Times New Roman"/>
                <w:sz w:val="24"/>
                <w:szCs w:val="24"/>
              </w:rPr>
              <w:t>ów oraz wzrośnie stabilność zatrudnienia kadry pedagogicznej.</w:t>
            </w:r>
            <w:r w:rsidRPr="009B020D">
              <w:rPr>
                <w:rFonts w:ascii="Times New Roman" w:hAnsi="Times New Roman"/>
                <w:sz w:val="24"/>
                <w:szCs w:val="24"/>
              </w:rPr>
              <w:t xml:space="preserve"> </w:t>
            </w:r>
          </w:p>
          <w:p w:rsidR="009B7B34" w:rsidRPr="009B7B34" w:rsidRDefault="00F06C7D" w:rsidP="009B7B34">
            <w:pPr>
              <w:pStyle w:val="Akapitzlist"/>
              <w:numPr>
                <w:ilvl w:val="0"/>
                <w:numId w:val="39"/>
              </w:numPr>
              <w:spacing w:after="120" w:line="240" w:lineRule="auto"/>
              <w:rPr>
                <w:rFonts w:ascii="Times New Roman" w:hAnsi="Times New Roman"/>
                <w:color w:val="000000"/>
                <w:spacing w:val="-2"/>
              </w:rPr>
            </w:pPr>
            <w:r w:rsidRPr="009B020D">
              <w:rPr>
                <w:rFonts w:ascii="Times New Roman" w:hAnsi="Times New Roman"/>
                <w:sz w:val="24"/>
                <w:szCs w:val="24"/>
              </w:rPr>
              <w:t>Wzrośnie</w:t>
            </w:r>
            <w:r w:rsidR="009B020D" w:rsidRPr="000B74A0">
              <w:rPr>
                <w:rFonts w:cstheme="minorHAnsi"/>
                <w:sz w:val="20"/>
              </w:rPr>
              <w:t xml:space="preserve"> </w:t>
            </w:r>
            <w:r w:rsidRPr="009B020D">
              <w:rPr>
                <w:rFonts w:ascii="Times New Roman" w:hAnsi="Times New Roman"/>
                <w:sz w:val="24"/>
                <w:szCs w:val="24"/>
              </w:rPr>
              <w:t xml:space="preserve">skuteczność </w:t>
            </w:r>
            <w:r w:rsidR="009B020D">
              <w:rPr>
                <w:rFonts w:ascii="Times New Roman" w:hAnsi="Times New Roman"/>
                <w:sz w:val="24"/>
                <w:szCs w:val="24"/>
              </w:rPr>
              <w:t xml:space="preserve">i jakość </w:t>
            </w:r>
            <w:r w:rsidRPr="009B020D">
              <w:rPr>
                <w:rFonts w:ascii="Times New Roman" w:hAnsi="Times New Roman"/>
                <w:sz w:val="24"/>
                <w:szCs w:val="24"/>
              </w:rPr>
              <w:t>działa</w:t>
            </w:r>
            <w:r w:rsidR="00B00F55">
              <w:rPr>
                <w:rFonts w:ascii="Times New Roman" w:hAnsi="Times New Roman"/>
                <w:sz w:val="24"/>
                <w:szCs w:val="24"/>
              </w:rPr>
              <w:t>lności programowej</w:t>
            </w:r>
            <w:r w:rsidR="009B020D">
              <w:rPr>
                <w:rFonts w:ascii="Times New Roman" w:hAnsi="Times New Roman"/>
                <w:sz w:val="24"/>
                <w:szCs w:val="24"/>
              </w:rPr>
              <w:t xml:space="preserve"> oraz </w:t>
            </w:r>
            <w:r w:rsidR="00B00F55">
              <w:rPr>
                <w:rFonts w:ascii="Times New Roman" w:hAnsi="Times New Roman"/>
                <w:sz w:val="24"/>
                <w:szCs w:val="24"/>
              </w:rPr>
              <w:t xml:space="preserve">spopularyzowana zostanie koncepcja </w:t>
            </w:r>
            <w:r w:rsidR="002C62DA">
              <w:rPr>
                <w:rFonts w:ascii="Times New Roman" w:hAnsi="Times New Roman"/>
                <w:sz w:val="24"/>
                <w:szCs w:val="24"/>
              </w:rPr>
              <w:t>międzynarodowych domów spotkań.</w:t>
            </w:r>
            <w:r w:rsidR="009B020D">
              <w:rPr>
                <w:rFonts w:ascii="Times New Roman" w:hAnsi="Times New Roman"/>
                <w:sz w:val="24"/>
                <w:szCs w:val="24"/>
              </w:rPr>
              <w:t xml:space="preserve"> </w:t>
            </w:r>
          </w:p>
          <w:p w:rsidR="009B7B34" w:rsidRPr="006D5327" w:rsidRDefault="00BC6A1A" w:rsidP="00F068BC">
            <w:pPr>
              <w:spacing w:after="120" w:line="240" w:lineRule="auto"/>
              <w:rPr>
                <w:rFonts w:ascii="Times New Roman" w:hAnsi="Times New Roman"/>
                <w:spacing w:val="-2"/>
              </w:rPr>
            </w:pPr>
            <w:r w:rsidRPr="006D5327">
              <w:rPr>
                <w:rFonts w:ascii="Times New Roman" w:hAnsi="Times New Roman"/>
                <w:sz w:val="24"/>
                <w:szCs w:val="24"/>
              </w:rPr>
              <w:t>A</w:t>
            </w:r>
            <w:r w:rsidR="00CB3A6B" w:rsidRPr="006D5327">
              <w:rPr>
                <w:rFonts w:ascii="Times New Roman" w:hAnsi="Times New Roman"/>
                <w:sz w:val="24"/>
                <w:szCs w:val="24"/>
              </w:rPr>
              <w:t>naliza aktualnej sytuacji działających domów spotkań wskazuje, że pozys</w:t>
            </w:r>
            <w:r w:rsidRPr="006D5327">
              <w:rPr>
                <w:rFonts w:ascii="Times New Roman" w:hAnsi="Times New Roman"/>
                <w:sz w:val="24"/>
                <w:szCs w:val="24"/>
              </w:rPr>
              <w:t>kane z Programu środki ,</w:t>
            </w:r>
            <w:r w:rsidR="00CB3A6B" w:rsidRPr="006D5327">
              <w:rPr>
                <w:rFonts w:ascii="Times New Roman" w:hAnsi="Times New Roman"/>
                <w:sz w:val="24"/>
                <w:szCs w:val="24"/>
              </w:rPr>
              <w:t xml:space="preserve"> </w:t>
            </w:r>
            <w:r w:rsidRPr="006D5327">
              <w:rPr>
                <w:rFonts w:ascii="Times New Roman" w:hAnsi="Times New Roman"/>
                <w:sz w:val="24"/>
                <w:szCs w:val="24"/>
              </w:rPr>
              <w:t xml:space="preserve">mimo ich ograniczonego wolumenu, </w:t>
            </w:r>
            <w:r w:rsidR="00CB3A6B" w:rsidRPr="006D5327">
              <w:rPr>
                <w:rFonts w:ascii="Times New Roman" w:hAnsi="Times New Roman"/>
                <w:sz w:val="24"/>
                <w:szCs w:val="24"/>
              </w:rPr>
              <w:t xml:space="preserve">pozwolą </w:t>
            </w:r>
            <w:r w:rsidR="00F068BC" w:rsidRPr="006D5327">
              <w:rPr>
                <w:rFonts w:ascii="Times New Roman" w:hAnsi="Times New Roman"/>
                <w:sz w:val="24"/>
                <w:szCs w:val="24"/>
              </w:rPr>
              <w:t xml:space="preserve">również </w:t>
            </w:r>
            <w:r w:rsidR="00CB3A6B" w:rsidRPr="006D5327">
              <w:rPr>
                <w:rFonts w:ascii="Times New Roman" w:hAnsi="Times New Roman"/>
                <w:sz w:val="24"/>
                <w:szCs w:val="24"/>
              </w:rPr>
              <w:t xml:space="preserve">na znaczące uatrakcyjnienie oferty </w:t>
            </w:r>
            <w:r w:rsidRPr="006D5327">
              <w:rPr>
                <w:rFonts w:ascii="Times New Roman" w:hAnsi="Times New Roman"/>
                <w:sz w:val="24"/>
                <w:szCs w:val="24"/>
              </w:rPr>
              <w:t>domów</w:t>
            </w:r>
            <w:r w:rsidR="00F068BC" w:rsidRPr="006D5327">
              <w:rPr>
                <w:rFonts w:ascii="Times New Roman" w:hAnsi="Times New Roman"/>
                <w:sz w:val="24"/>
                <w:szCs w:val="24"/>
              </w:rPr>
              <w:t>,</w:t>
            </w:r>
            <w:r w:rsidRPr="006D5327">
              <w:rPr>
                <w:rFonts w:ascii="Times New Roman" w:hAnsi="Times New Roman"/>
                <w:sz w:val="24"/>
                <w:szCs w:val="24"/>
              </w:rPr>
              <w:t xml:space="preserve"> </w:t>
            </w:r>
            <w:r w:rsidR="00CB3A6B" w:rsidRPr="006D5327">
              <w:rPr>
                <w:rFonts w:ascii="Times New Roman" w:hAnsi="Times New Roman"/>
                <w:sz w:val="24"/>
                <w:szCs w:val="24"/>
              </w:rPr>
              <w:t xml:space="preserve">co było dotąd </w:t>
            </w:r>
            <w:r w:rsidR="00CB3A6B" w:rsidRPr="006D5327">
              <w:rPr>
                <w:rFonts w:ascii="Times New Roman" w:hAnsi="Times New Roman"/>
                <w:sz w:val="24"/>
                <w:szCs w:val="24"/>
              </w:rPr>
              <w:lastRenderedPageBreak/>
              <w:t xml:space="preserve">niemożliwe ze względu </w:t>
            </w:r>
            <w:r w:rsidRPr="006D5327">
              <w:rPr>
                <w:rFonts w:ascii="Times New Roman" w:hAnsi="Times New Roman"/>
                <w:sz w:val="24"/>
                <w:szCs w:val="24"/>
              </w:rPr>
              <w:t xml:space="preserve">na długotrwałe trudności finansowe. </w:t>
            </w:r>
            <w:r w:rsidR="00F068BC" w:rsidRPr="006D5327">
              <w:rPr>
                <w:rFonts w:ascii="Times New Roman" w:hAnsi="Times New Roman"/>
                <w:sz w:val="24"/>
                <w:szCs w:val="24"/>
              </w:rPr>
              <w:t>W trakcie prac nad Programem zidentyfikowano 10 domów spotkań realizujących swoja misję w bardzo zróżnicowanym stopniu.</w:t>
            </w:r>
            <w:r w:rsidR="00381EEC" w:rsidRPr="006D5327">
              <w:rPr>
                <w:rFonts w:ascii="Times New Roman" w:hAnsi="Times New Roman"/>
                <w:sz w:val="24"/>
                <w:szCs w:val="24"/>
              </w:rPr>
              <w:t xml:space="preserve"> Zakładając uzyskanie wsparcia na poziomie 200 -300 tysięcy złotych w skali roku można spodziewać się, że nawet dla organizacji o wielomilionowym budżecie będzie ta kwota istotna dla poprawy stabilności finansowej i ubogacenia oferty</w:t>
            </w:r>
            <w:r w:rsidR="00524B6B" w:rsidRPr="006D5327">
              <w:rPr>
                <w:rFonts w:ascii="Times New Roman" w:hAnsi="Times New Roman"/>
                <w:sz w:val="24"/>
                <w:szCs w:val="24"/>
              </w:rPr>
              <w:t>.</w:t>
            </w:r>
            <w:r w:rsidRPr="006D5327">
              <w:rPr>
                <w:rFonts w:ascii="Times New Roman" w:hAnsi="Times New Roman"/>
                <w:sz w:val="24"/>
                <w:szCs w:val="24"/>
              </w:rPr>
              <w:t xml:space="preserve"> </w:t>
            </w:r>
          </w:p>
          <w:p w:rsidR="00F06C7D" w:rsidRPr="00B00F55" w:rsidRDefault="00F06C7D" w:rsidP="00B00F55">
            <w:pPr>
              <w:spacing w:after="120" w:line="240" w:lineRule="auto"/>
              <w:ind w:left="360"/>
              <w:rPr>
                <w:rFonts w:ascii="Times New Roman" w:hAnsi="Times New Roman"/>
                <w:color w:val="000000"/>
                <w:spacing w:val="-2"/>
              </w:rPr>
            </w:pPr>
          </w:p>
        </w:tc>
      </w:tr>
      <w:tr w:rsidR="006A701A" w:rsidRPr="008B4FE6" w:rsidTr="00DA7A68">
        <w:trPr>
          <w:trHeight w:val="307"/>
        </w:trPr>
        <w:tc>
          <w:tcPr>
            <w:tcW w:w="10632" w:type="dxa"/>
            <w:gridSpan w:val="5"/>
            <w:shd w:val="clear" w:color="auto" w:fill="99CCFF"/>
            <w:vAlign w:val="center"/>
          </w:tcPr>
          <w:p w:rsidR="006A701A" w:rsidRPr="008B4FE6" w:rsidRDefault="009E3C4B" w:rsidP="004C2053">
            <w:pPr>
              <w:numPr>
                <w:ilvl w:val="0"/>
                <w:numId w:val="3"/>
              </w:numPr>
              <w:spacing w:before="120" w:after="120"/>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rsidTr="00DA7A68">
        <w:trPr>
          <w:trHeight w:val="142"/>
        </w:trPr>
        <w:tc>
          <w:tcPr>
            <w:tcW w:w="10632" w:type="dxa"/>
            <w:gridSpan w:val="5"/>
            <w:shd w:val="clear" w:color="auto" w:fill="auto"/>
          </w:tcPr>
          <w:p w:rsidR="00AC6D8A" w:rsidRDefault="001A7357" w:rsidP="00154CA4">
            <w:pPr>
              <w:spacing w:before="120" w:after="120"/>
              <w:jc w:val="both"/>
              <w:rPr>
                <w:rFonts w:ascii="Times New Roman" w:hAnsi="Times New Roman"/>
                <w:sz w:val="24"/>
                <w:szCs w:val="24"/>
              </w:rPr>
            </w:pPr>
            <w:r>
              <w:rPr>
                <w:rFonts w:ascii="Times New Roman" w:hAnsi="Times New Roman"/>
                <w:sz w:val="24"/>
                <w:szCs w:val="24"/>
              </w:rPr>
              <w:t>Międzynarodowe d</w:t>
            </w:r>
            <w:r w:rsidR="00AC6D8A">
              <w:rPr>
                <w:rFonts w:ascii="Times New Roman" w:hAnsi="Times New Roman"/>
                <w:sz w:val="24"/>
                <w:szCs w:val="24"/>
              </w:rPr>
              <w:t>omy spotkań są specyficzną formułą międzynarodowej wymiany</w:t>
            </w:r>
            <w:r w:rsidR="00646234">
              <w:rPr>
                <w:rFonts w:ascii="Times New Roman" w:hAnsi="Times New Roman"/>
                <w:sz w:val="24"/>
                <w:szCs w:val="24"/>
              </w:rPr>
              <w:t xml:space="preserve"> oświatowej i ku</w:t>
            </w:r>
            <w:r w:rsidR="00652A0E">
              <w:rPr>
                <w:rFonts w:ascii="Times New Roman" w:hAnsi="Times New Roman"/>
                <w:sz w:val="24"/>
                <w:szCs w:val="24"/>
              </w:rPr>
              <w:t>l</w:t>
            </w:r>
            <w:r w:rsidR="00646234">
              <w:rPr>
                <w:rFonts w:ascii="Times New Roman" w:hAnsi="Times New Roman"/>
                <w:sz w:val="24"/>
                <w:szCs w:val="24"/>
              </w:rPr>
              <w:t>turalnej</w:t>
            </w:r>
            <w:r>
              <w:rPr>
                <w:rFonts w:ascii="Times New Roman" w:hAnsi="Times New Roman"/>
                <w:sz w:val="24"/>
                <w:szCs w:val="24"/>
              </w:rPr>
              <w:t>.</w:t>
            </w:r>
            <w:r w:rsidR="00AC6D8A">
              <w:rPr>
                <w:rFonts w:ascii="Times New Roman" w:hAnsi="Times New Roman"/>
                <w:sz w:val="24"/>
                <w:szCs w:val="24"/>
              </w:rPr>
              <w:t xml:space="preserve"> </w:t>
            </w:r>
            <w:r w:rsidR="007604DF">
              <w:rPr>
                <w:rFonts w:ascii="Times New Roman" w:hAnsi="Times New Roman"/>
                <w:sz w:val="24"/>
                <w:szCs w:val="24"/>
              </w:rPr>
              <w:t>Formuła ta została rozwinięta w Niemczech</w:t>
            </w:r>
            <w:r w:rsidR="00AC6D8A">
              <w:rPr>
                <w:rFonts w:ascii="Times New Roman" w:hAnsi="Times New Roman"/>
                <w:sz w:val="24"/>
                <w:szCs w:val="24"/>
              </w:rPr>
              <w:t xml:space="preserve"> w powiązaniu z koncepcją edukacji obywatelskiej i niemiecką polityką historyczną zmierzającą do popularyzacji wizerunku Niemiec jako kraju demokratycznego</w:t>
            </w:r>
            <w:r w:rsidR="007A3DB2">
              <w:rPr>
                <w:rFonts w:ascii="Times New Roman" w:hAnsi="Times New Roman"/>
                <w:sz w:val="24"/>
                <w:szCs w:val="24"/>
              </w:rPr>
              <w:t>,</w:t>
            </w:r>
            <w:r w:rsidR="00AC6D8A">
              <w:rPr>
                <w:rFonts w:ascii="Times New Roman" w:hAnsi="Times New Roman"/>
                <w:sz w:val="24"/>
                <w:szCs w:val="24"/>
              </w:rPr>
              <w:t xml:space="preserve"> wolnego od rasizmu i ksenofobii</w:t>
            </w:r>
            <w:r w:rsidR="007A3DB2">
              <w:rPr>
                <w:rFonts w:ascii="Times New Roman" w:hAnsi="Times New Roman"/>
                <w:sz w:val="24"/>
                <w:szCs w:val="24"/>
              </w:rPr>
              <w:t>, który uporał się ze spuścizną II wojny światowej</w:t>
            </w:r>
            <w:r w:rsidR="00AC6D8A">
              <w:rPr>
                <w:rFonts w:ascii="Times New Roman" w:hAnsi="Times New Roman"/>
                <w:sz w:val="24"/>
                <w:szCs w:val="24"/>
              </w:rPr>
              <w:t xml:space="preserve">. </w:t>
            </w:r>
          </w:p>
          <w:p w:rsidR="00B97D76" w:rsidRDefault="007604DF" w:rsidP="00154CA4">
            <w:pPr>
              <w:spacing w:before="120" w:after="120"/>
              <w:jc w:val="both"/>
              <w:rPr>
                <w:rFonts w:ascii="Times New Roman" w:hAnsi="Times New Roman"/>
                <w:sz w:val="24"/>
                <w:szCs w:val="24"/>
              </w:rPr>
            </w:pPr>
            <w:r>
              <w:rPr>
                <w:rFonts w:ascii="Times New Roman" w:hAnsi="Times New Roman"/>
                <w:sz w:val="24"/>
                <w:szCs w:val="24"/>
              </w:rPr>
              <w:t>Istnieje duże</w:t>
            </w:r>
            <w:r w:rsidR="00AC6D8A" w:rsidRPr="00154CA4">
              <w:rPr>
                <w:rFonts w:ascii="Times New Roman" w:hAnsi="Times New Roman"/>
                <w:sz w:val="24"/>
                <w:szCs w:val="24"/>
              </w:rPr>
              <w:t xml:space="preserve"> zróżnicowanie jeśli chodzi o organ prowadzący</w:t>
            </w:r>
            <w:r w:rsidR="00AC6D8A">
              <w:rPr>
                <w:rFonts w:ascii="Times New Roman" w:hAnsi="Times New Roman"/>
                <w:sz w:val="24"/>
                <w:szCs w:val="24"/>
              </w:rPr>
              <w:t xml:space="preserve"> </w:t>
            </w:r>
            <w:r>
              <w:rPr>
                <w:rFonts w:ascii="Times New Roman" w:hAnsi="Times New Roman"/>
                <w:sz w:val="24"/>
                <w:szCs w:val="24"/>
              </w:rPr>
              <w:t xml:space="preserve">międzynarodowe </w:t>
            </w:r>
            <w:r w:rsidR="00AC6D8A">
              <w:rPr>
                <w:rFonts w:ascii="Times New Roman" w:hAnsi="Times New Roman"/>
                <w:sz w:val="24"/>
                <w:szCs w:val="24"/>
              </w:rPr>
              <w:t>domy spotkań oraz spełniane przez nie funkcje wykraczające poza problematykę wymiany. Podmioty prowadzące domy spotkań to głównie:</w:t>
            </w:r>
            <w:r w:rsidR="00AC6D8A" w:rsidRPr="00154CA4">
              <w:rPr>
                <w:rFonts w:ascii="Times New Roman" w:hAnsi="Times New Roman"/>
                <w:sz w:val="24"/>
                <w:szCs w:val="24"/>
              </w:rPr>
              <w:t xml:space="preserve"> władze samorządowe (kraj związkowy, miasta, gminy, powiaty), związki wyznaniowe (diec</w:t>
            </w:r>
            <w:r w:rsidR="00AC6D8A">
              <w:rPr>
                <w:rFonts w:ascii="Times New Roman" w:hAnsi="Times New Roman"/>
                <w:sz w:val="24"/>
                <w:szCs w:val="24"/>
              </w:rPr>
              <w:t>ezje katolickie i ewangelickie) oraz</w:t>
            </w:r>
            <w:r w:rsidR="00AC6D8A" w:rsidRPr="00154CA4">
              <w:rPr>
                <w:rFonts w:ascii="Times New Roman" w:hAnsi="Times New Roman"/>
                <w:sz w:val="24"/>
                <w:szCs w:val="24"/>
              </w:rPr>
              <w:t xml:space="preserve"> fundacje prowadzone przez różne środowiska (</w:t>
            </w:r>
            <w:r>
              <w:rPr>
                <w:rFonts w:ascii="Times New Roman" w:hAnsi="Times New Roman"/>
                <w:sz w:val="24"/>
                <w:szCs w:val="24"/>
              </w:rPr>
              <w:t>partie polityczne, biznes</w:t>
            </w:r>
            <w:r w:rsidR="00AC6D8A" w:rsidRPr="00154CA4">
              <w:rPr>
                <w:rFonts w:ascii="Times New Roman" w:hAnsi="Times New Roman"/>
                <w:sz w:val="24"/>
                <w:szCs w:val="24"/>
              </w:rPr>
              <w:t xml:space="preserve">, instytucje ze sfery edukacji, kultury itp.). </w:t>
            </w:r>
            <w:r w:rsidR="00AC6D8A">
              <w:rPr>
                <w:rFonts w:ascii="Times New Roman" w:hAnsi="Times New Roman"/>
                <w:sz w:val="24"/>
                <w:szCs w:val="24"/>
              </w:rPr>
              <w:t xml:space="preserve"> W</w:t>
            </w:r>
            <w:r w:rsidR="00154CA4" w:rsidRPr="00154CA4">
              <w:rPr>
                <w:rFonts w:ascii="Times New Roman" w:hAnsi="Times New Roman"/>
                <w:sz w:val="24"/>
                <w:szCs w:val="24"/>
              </w:rPr>
              <w:t xml:space="preserve"> zdecydowanej większości to organ prowadzący</w:t>
            </w:r>
            <w:r w:rsidR="00AC6D8A">
              <w:rPr>
                <w:rFonts w:ascii="Times New Roman" w:hAnsi="Times New Roman"/>
                <w:sz w:val="24"/>
                <w:szCs w:val="24"/>
              </w:rPr>
              <w:t xml:space="preserve">, w oparciu o własne środki, </w:t>
            </w:r>
            <w:r w:rsidR="00B97D76">
              <w:rPr>
                <w:rFonts w:ascii="Times New Roman" w:hAnsi="Times New Roman"/>
                <w:sz w:val="24"/>
                <w:szCs w:val="24"/>
              </w:rPr>
              <w:t xml:space="preserve"> zapewnia finansowanie </w:t>
            </w:r>
            <w:r w:rsidR="00154CA4" w:rsidRPr="00154CA4">
              <w:rPr>
                <w:rFonts w:ascii="Times New Roman" w:hAnsi="Times New Roman"/>
                <w:sz w:val="24"/>
                <w:szCs w:val="24"/>
              </w:rPr>
              <w:t>bieżącej</w:t>
            </w:r>
            <w:r w:rsidR="00B97D76">
              <w:rPr>
                <w:rFonts w:ascii="Times New Roman" w:hAnsi="Times New Roman"/>
                <w:sz w:val="24"/>
                <w:szCs w:val="24"/>
              </w:rPr>
              <w:t xml:space="preserve"> działalności domów spotkań tj.: </w:t>
            </w:r>
            <w:r w:rsidR="00154CA4" w:rsidRPr="00154CA4">
              <w:rPr>
                <w:rFonts w:ascii="Times New Roman" w:hAnsi="Times New Roman"/>
                <w:sz w:val="24"/>
                <w:szCs w:val="24"/>
              </w:rPr>
              <w:t>utrzymanie budynku wraz z jego eksploatacją (czynsz, opłaty, media, rachunki, remonty) oraz utrzymanie terenu; zatrudnienie personelu peda</w:t>
            </w:r>
            <w:r>
              <w:rPr>
                <w:rFonts w:ascii="Times New Roman" w:hAnsi="Times New Roman"/>
                <w:sz w:val="24"/>
                <w:szCs w:val="24"/>
              </w:rPr>
              <w:t>gogicznego, jak i obsługi</w:t>
            </w:r>
            <w:r w:rsidR="00154CA4" w:rsidRPr="00154CA4">
              <w:rPr>
                <w:rFonts w:ascii="Times New Roman" w:hAnsi="Times New Roman"/>
                <w:sz w:val="24"/>
                <w:szCs w:val="24"/>
              </w:rPr>
              <w:t>; wyposażenie budynku wraz z pomieszczeniami biurowymi, salami edukacyjnymi; utrzymanie ba</w:t>
            </w:r>
            <w:r w:rsidR="00AC6D8A">
              <w:rPr>
                <w:rFonts w:ascii="Times New Roman" w:hAnsi="Times New Roman"/>
                <w:sz w:val="24"/>
                <w:szCs w:val="24"/>
              </w:rPr>
              <w:t>zy noclegowej i gastronomicznej. Co</w:t>
            </w:r>
            <w:r w:rsidR="00154CA4" w:rsidRPr="00154CA4">
              <w:rPr>
                <w:rFonts w:ascii="Times New Roman" w:hAnsi="Times New Roman"/>
                <w:sz w:val="24"/>
                <w:szCs w:val="24"/>
              </w:rPr>
              <w:t xml:space="preserve"> </w:t>
            </w:r>
            <w:r w:rsidR="00AC6D8A">
              <w:rPr>
                <w:rFonts w:ascii="Times New Roman" w:hAnsi="Times New Roman"/>
                <w:sz w:val="24"/>
                <w:szCs w:val="24"/>
              </w:rPr>
              <w:t>do bieżącej działalności programowej domów spotkań to może być ona finansowana przez</w:t>
            </w:r>
            <w:r w:rsidR="00154CA4" w:rsidRPr="00154CA4">
              <w:rPr>
                <w:rFonts w:ascii="Times New Roman" w:hAnsi="Times New Roman"/>
                <w:sz w:val="24"/>
                <w:szCs w:val="24"/>
              </w:rPr>
              <w:t xml:space="preserve"> podmiot prowadzący</w:t>
            </w:r>
            <w:r w:rsidR="00AC6D8A">
              <w:rPr>
                <w:rFonts w:ascii="Times New Roman" w:hAnsi="Times New Roman"/>
                <w:sz w:val="24"/>
                <w:szCs w:val="24"/>
              </w:rPr>
              <w:t xml:space="preserve"> lub ze środków zewnętrznych jak np. Polsko-Niemiecka Współpraca Młodzieży, </w:t>
            </w:r>
            <w:r w:rsidR="007A3DB2">
              <w:rPr>
                <w:rFonts w:ascii="Times New Roman" w:hAnsi="Times New Roman"/>
                <w:sz w:val="24"/>
                <w:szCs w:val="24"/>
              </w:rPr>
              <w:t>Francusko-Niemieckie Biuro ds. Młodzieży (l’Office Franco-Allemand pour la Jeunesse), Erasmus +</w:t>
            </w:r>
            <w:r w:rsidR="00154CA4" w:rsidRPr="00154CA4">
              <w:rPr>
                <w:rFonts w:ascii="Times New Roman" w:hAnsi="Times New Roman"/>
                <w:sz w:val="24"/>
                <w:szCs w:val="24"/>
              </w:rPr>
              <w:t>.</w:t>
            </w:r>
            <w:r w:rsidR="00B97D76">
              <w:rPr>
                <w:rFonts w:ascii="Times New Roman" w:hAnsi="Times New Roman"/>
                <w:sz w:val="24"/>
                <w:szCs w:val="24"/>
              </w:rPr>
              <w:t xml:space="preserve"> </w:t>
            </w:r>
          </w:p>
          <w:p w:rsidR="00154CA4" w:rsidRPr="00154CA4" w:rsidRDefault="007604DF" w:rsidP="00154CA4">
            <w:pPr>
              <w:spacing w:before="120" w:after="120"/>
              <w:jc w:val="both"/>
              <w:rPr>
                <w:rFonts w:ascii="Times New Roman" w:hAnsi="Times New Roman"/>
                <w:sz w:val="24"/>
                <w:szCs w:val="24"/>
              </w:rPr>
            </w:pPr>
            <w:r>
              <w:rPr>
                <w:rFonts w:ascii="Times New Roman" w:hAnsi="Times New Roman"/>
                <w:sz w:val="24"/>
                <w:szCs w:val="24"/>
              </w:rPr>
              <w:t>We Francji międzynarodowa wymiana młodzieży</w:t>
            </w:r>
            <w:r w:rsidR="004C1B01">
              <w:rPr>
                <w:rFonts w:ascii="Times New Roman" w:hAnsi="Times New Roman"/>
                <w:sz w:val="24"/>
                <w:szCs w:val="24"/>
              </w:rPr>
              <w:t>, także ta</w:t>
            </w:r>
            <w:r>
              <w:rPr>
                <w:rFonts w:ascii="Times New Roman" w:hAnsi="Times New Roman"/>
                <w:sz w:val="24"/>
                <w:szCs w:val="24"/>
              </w:rPr>
              <w:t xml:space="preserve"> która związana jest z działalnością Francusko-Niemieckie</w:t>
            </w:r>
            <w:r w:rsidR="004C1B01">
              <w:rPr>
                <w:rFonts w:ascii="Times New Roman" w:hAnsi="Times New Roman"/>
                <w:sz w:val="24"/>
                <w:szCs w:val="24"/>
              </w:rPr>
              <w:t>go</w:t>
            </w:r>
            <w:r>
              <w:rPr>
                <w:rFonts w:ascii="Times New Roman" w:hAnsi="Times New Roman"/>
                <w:sz w:val="24"/>
                <w:szCs w:val="24"/>
              </w:rPr>
              <w:t xml:space="preserve"> Biura ds. Młodzieży</w:t>
            </w:r>
            <w:r w:rsidR="004C1B01">
              <w:rPr>
                <w:rFonts w:ascii="Times New Roman" w:hAnsi="Times New Roman"/>
                <w:sz w:val="24"/>
                <w:szCs w:val="24"/>
              </w:rPr>
              <w:t xml:space="preserve"> odbywa się w oparciu o bazę lokalową Federacji Auberge de la Jeunesse.</w:t>
            </w:r>
          </w:p>
          <w:p w:rsidR="006A701A" w:rsidRPr="000B2E41" w:rsidRDefault="006A701A" w:rsidP="007A3DB2">
            <w:pPr>
              <w:spacing w:before="120" w:after="120"/>
              <w:jc w:val="both"/>
              <w:rPr>
                <w:rFonts w:ascii="Times New Roman" w:hAnsi="Times New Roman"/>
                <w:color w:val="000000"/>
                <w:spacing w:val="-2"/>
              </w:rPr>
            </w:pPr>
          </w:p>
        </w:tc>
      </w:tr>
      <w:tr w:rsidR="006A701A" w:rsidRPr="008B4FE6" w:rsidTr="00DA7A68">
        <w:trPr>
          <w:trHeight w:val="359"/>
        </w:trPr>
        <w:tc>
          <w:tcPr>
            <w:tcW w:w="10632" w:type="dxa"/>
            <w:gridSpan w:val="5"/>
            <w:shd w:val="clear" w:color="auto" w:fill="99CCFF"/>
            <w:vAlign w:val="center"/>
          </w:tcPr>
          <w:p w:rsidR="006A701A" w:rsidRPr="008B4FE6" w:rsidRDefault="006A701A" w:rsidP="009027F8">
            <w:pPr>
              <w:numPr>
                <w:ilvl w:val="0"/>
                <w:numId w:val="3"/>
              </w:numPr>
              <w:spacing w:before="60" w:after="60"/>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260F33" w:rsidRPr="008B4FE6" w:rsidTr="00AB78A7">
        <w:trPr>
          <w:trHeight w:val="436"/>
        </w:trPr>
        <w:tc>
          <w:tcPr>
            <w:tcW w:w="2668" w:type="dxa"/>
            <w:shd w:val="clear" w:color="auto" w:fill="auto"/>
          </w:tcPr>
          <w:p w:rsidR="00260F33" w:rsidRPr="008B4FE6" w:rsidRDefault="00260F33" w:rsidP="009027F8">
            <w:pPr>
              <w:spacing w:before="40"/>
              <w:jc w:val="center"/>
              <w:rPr>
                <w:rFonts w:ascii="Times New Roman" w:hAnsi="Times New Roman"/>
                <w:color w:val="000000"/>
                <w:spacing w:val="-2"/>
              </w:rPr>
            </w:pPr>
            <w:r w:rsidRPr="008B4FE6">
              <w:rPr>
                <w:rFonts w:ascii="Times New Roman" w:hAnsi="Times New Roman"/>
                <w:color w:val="000000"/>
                <w:spacing w:val="-2"/>
              </w:rPr>
              <w:t>Grupa</w:t>
            </w:r>
          </w:p>
        </w:tc>
        <w:tc>
          <w:tcPr>
            <w:tcW w:w="2292" w:type="dxa"/>
            <w:shd w:val="clear" w:color="auto" w:fill="auto"/>
          </w:tcPr>
          <w:p w:rsidR="00260F33" w:rsidRPr="008B4FE6" w:rsidRDefault="00563199" w:rsidP="009027F8">
            <w:pPr>
              <w:spacing w:before="40"/>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2"/>
            <w:shd w:val="clear" w:color="auto" w:fill="auto"/>
          </w:tcPr>
          <w:p w:rsidR="00260F33" w:rsidRPr="008B4FE6" w:rsidRDefault="00260F33" w:rsidP="009027F8">
            <w:pPr>
              <w:spacing w:before="40"/>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676" w:type="dxa"/>
            <w:shd w:val="clear" w:color="auto" w:fill="auto"/>
          </w:tcPr>
          <w:p w:rsidR="00260F33" w:rsidRPr="008B4FE6" w:rsidRDefault="00260F33" w:rsidP="009027F8">
            <w:pPr>
              <w:spacing w:before="40"/>
              <w:jc w:val="center"/>
              <w:rPr>
                <w:rFonts w:ascii="Times New Roman" w:hAnsi="Times New Roman"/>
                <w:color w:val="000000"/>
                <w:spacing w:val="-2"/>
              </w:rPr>
            </w:pPr>
            <w:r w:rsidRPr="008B4FE6">
              <w:rPr>
                <w:rFonts w:ascii="Times New Roman" w:hAnsi="Times New Roman"/>
                <w:color w:val="000000"/>
                <w:spacing w:val="-2"/>
              </w:rPr>
              <w:t>Oddziaływanie</w:t>
            </w:r>
          </w:p>
        </w:tc>
      </w:tr>
      <w:tr w:rsidR="00260F33" w:rsidRPr="008B4FE6" w:rsidTr="00DA7A68">
        <w:trPr>
          <w:trHeight w:val="142"/>
        </w:trPr>
        <w:tc>
          <w:tcPr>
            <w:tcW w:w="2668" w:type="dxa"/>
            <w:shd w:val="clear" w:color="auto" w:fill="auto"/>
            <w:vAlign w:val="center"/>
          </w:tcPr>
          <w:p w:rsidR="00260F33" w:rsidRPr="008B4FE6" w:rsidRDefault="00230DA7" w:rsidP="009027F8">
            <w:pPr>
              <w:jc w:val="center"/>
              <w:rPr>
                <w:rFonts w:ascii="Times New Roman" w:hAnsi="Times New Roman"/>
                <w:color w:val="000000"/>
                <w:spacing w:val="-2"/>
              </w:rPr>
            </w:pPr>
            <w:r>
              <w:rPr>
                <w:rFonts w:ascii="Times New Roman" w:hAnsi="Times New Roman"/>
                <w:color w:val="000000"/>
              </w:rPr>
              <w:t>Narodowy Instytut Wolności – Centrum Rozwoju Społeczeństwa Obywatelskiego</w:t>
            </w:r>
          </w:p>
        </w:tc>
        <w:tc>
          <w:tcPr>
            <w:tcW w:w="2292" w:type="dxa"/>
            <w:shd w:val="clear" w:color="auto" w:fill="auto"/>
            <w:vAlign w:val="center"/>
          </w:tcPr>
          <w:p w:rsidR="00260F33" w:rsidRPr="00B37C80" w:rsidRDefault="00230DA7" w:rsidP="009027F8">
            <w:pPr>
              <w:jc w:val="center"/>
              <w:rPr>
                <w:rFonts w:ascii="Times New Roman" w:hAnsi="Times New Roman"/>
                <w:color w:val="000000"/>
                <w:spacing w:val="-2"/>
              </w:rPr>
            </w:pPr>
            <w:r>
              <w:rPr>
                <w:rFonts w:ascii="Times New Roman" w:hAnsi="Times New Roman"/>
                <w:color w:val="000000"/>
                <w:spacing w:val="-2"/>
              </w:rPr>
              <w:t>1</w:t>
            </w:r>
          </w:p>
        </w:tc>
        <w:tc>
          <w:tcPr>
            <w:tcW w:w="2996" w:type="dxa"/>
            <w:gridSpan w:val="2"/>
            <w:shd w:val="clear" w:color="auto" w:fill="auto"/>
            <w:vAlign w:val="center"/>
          </w:tcPr>
          <w:p w:rsidR="00260F33" w:rsidRPr="00B37C80" w:rsidRDefault="00230DA7" w:rsidP="009027F8">
            <w:pPr>
              <w:jc w:val="center"/>
              <w:rPr>
                <w:rFonts w:ascii="Times New Roman" w:hAnsi="Times New Roman"/>
                <w:color w:val="000000"/>
                <w:spacing w:val="-2"/>
              </w:rPr>
            </w:pPr>
            <w:r>
              <w:rPr>
                <w:rFonts w:ascii="Times New Roman" w:hAnsi="Times New Roman"/>
                <w:color w:val="000000"/>
                <w:spacing w:val="-2"/>
              </w:rPr>
              <w:t>-</w:t>
            </w:r>
          </w:p>
        </w:tc>
        <w:tc>
          <w:tcPr>
            <w:tcW w:w="2676" w:type="dxa"/>
            <w:shd w:val="clear" w:color="auto" w:fill="auto"/>
            <w:vAlign w:val="center"/>
          </w:tcPr>
          <w:p w:rsidR="00260F33" w:rsidRPr="00B37C80" w:rsidRDefault="00230DA7" w:rsidP="009027F8">
            <w:pPr>
              <w:jc w:val="center"/>
              <w:rPr>
                <w:rFonts w:ascii="Times New Roman" w:hAnsi="Times New Roman"/>
                <w:color w:val="000000"/>
                <w:spacing w:val="-2"/>
              </w:rPr>
            </w:pPr>
            <w:r>
              <w:rPr>
                <w:rFonts w:ascii="Times New Roman" w:hAnsi="Times New Roman"/>
                <w:color w:val="000000"/>
                <w:spacing w:val="-2"/>
              </w:rPr>
              <w:t xml:space="preserve">NIW-CRSO będzie </w:t>
            </w:r>
            <w:r w:rsidR="00101B62">
              <w:rPr>
                <w:rFonts w:ascii="Times New Roman" w:hAnsi="Times New Roman"/>
                <w:color w:val="000000"/>
                <w:spacing w:val="-2"/>
              </w:rPr>
              <w:t>i</w:t>
            </w:r>
            <w:r>
              <w:rPr>
                <w:rFonts w:ascii="Times New Roman" w:hAnsi="Times New Roman"/>
                <w:color w:val="000000"/>
                <w:spacing w:val="-2"/>
              </w:rPr>
              <w:t xml:space="preserve">nstytucją </w:t>
            </w:r>
            <w:r w:rsidR="00101B62">
              <w:rPr>
                <w:rFonts w:ascii="Times New Roman" w:hAnsi="Times New Roman"/>
                <w:color w:val="000000"/>
                <w:spacing w:val="-2"/>
              </w:rPr>
              <w:t>z</w:t>
            </w:r>
            <w:r>
              <w:rPr>
                <w:rFonts w:ascii="Times New Roman" w:hAnsi="Times New Roman"/>
                <w:color w:val="000000"/>
                <w:spacing w:val="-2"/>
              </w:rPr>
              <w:t xml:space="preserve">arządzającą programem </w:t>
            </w:r>
          </w:p>
        </w:tc>
      </w:tr>
      <w:tr w:rsidR="009027F8" w:rsidRPr="008B4FE6" w:rsidTr="00DA7A68">
        <w:trPr>
          <w:trHeight w:val="142"/>
        </w:trPr>
        <w:tc>
          <w:tcPr>
            <w:tcW w:w="2668" w:type="dxa"/>
            <w:shd w:val="clear" w:color="auto" w:fill="auto"/>
            <w:vAlign w:val="center"/>
          </w:tcPr>
          <w:p w:rsidR="009027F8" w:rsidRPr="009027F8" w:rsidRDefault="007A3DB2" w:rsidP="003A1C4F">
            <w:pPr>
              <w:spacing w:line="240" w:lineRule="auto"/>
              <w:jc w:val="center"/>
              <w:rPr>
                <w:rFonts w:ascii="Times New Roman" w:hAnsi="Times New Roman"/>
                <w:spacing w:val="-2"/>
              </w:rPr>
            </w:pPr>
            <w:r>
              <w:rPr>
                <w:rFonts w:ascii="Times New Roman" w:hAnsi="Times New Roman"/>
                <w:spacing w:val="-2"/>
              </w:rPr>
              <w:t>Międzynarodowe domy spotkań młodzieży</w:t>
            </w:r>
          </w:p>
        </w:tc>
        <w:tc>
          <w:tcPr>
            <w:tcW w:w="2292" w:type="dxa"/>
            <w:shd w:val="clear" w:color="auto" w:fill="auto"/>
            <w:vAlign w:val="center"/>
          </w:tcPr>
          <w:p w:rsidR="009027F8" w:rsidRPr="009027F8" w:rsidRDefault="008B71B5" w:rsidP="004E34A8">
            <w:pPr>
              <w:spacing w:line="240" w:lineRule="auto"/>
              <w:jc w:val="center"/>
              <w:rPr>
                <w:rFonts w:ascii="Times New Roman" w:hAnsi="Times New Roman"/>
                <w:spacing w:val="-2"/>
              </w:rPr>
            </w:pPr>
            <w:r>
              <w:rPr>
                <w:rFonts w:ascii="Times New Roman" w:hAnsi="Times New Roman"/>
                <w:spacing w:val="-2"/>
              </w:rPr>
              <w:t>15</w:t>
            </w:r>
          </w:p>
        </w:tc>
        <w:tc>
          <w:tcPr>
            <w:tcW w:w="2996" w:type="dxa"/>
            <w:gridSpan w:val="2"/>
            <w:shd w:val="clear" w:color="auto" w:fill="auto"/>
            <w:vAlign w:val="center"/>
          </w:tcPr>
          <w:p w:rsidR="008B71B5" w:rsidRDefault="008B71B5" w:rsidP="00AE5E26">
            <w:pPr>
              <w:spacing w:line="240" w:lineRule="auto"/>
              <w:jc w:val="center"/>
              <w:rPr>
                <w:rFonts w:ascii="Times New Roman" w:hAnsi="Times New Roman"/>
                <w:color w:val="000000"/>
                <w:spacing w:val="-2"/>
              </w:rPr>
            </w:pPr>
            <w:r>
              <w:rPr>
                <w:rFonts w:ascii="Times New Roman" w:hAnsi="Times New Roman"/>
                <w:color w:val="000000"/>
                <w:spacing w:val="-2"/>
              </w:rPr>
              <w:t>Dane szacunkowe</w:t>
            </w:r>
          </w:p>
          <w:p w:rsidR="009027F8" w:rsidRPr="009027F8" w:rsidRDefault="008B71B5" w:rsidP="00AE5E26">
            <w:pPr>
              <w:spacing w:line="240" w:lineRule="auto"/>
              <w:jc w:val="center"/>
              <w:rPr>
                <w:rFonts w:ascii="Times New Roman" w:hAnsi="Times New Roman"/>
                <w:spacing w:val="-2"/>
              </w:rPr>
            </w:pPr>
            <w:r>
              <w:rPr>
                <w:rFonts w:ascii="Times New Roman" w:hAnsi="Times New Roman"/>
                <w:color w:val="000000"/>
                <w:spacing w:val="-2"/>
              </w:rPr>
              <w:t xml:space="preserve"> (Założenia projektu)</w:t>
            </w:r>
          </w:p>
        </w:tc>
        <w:tc>
          <w:tcPr>
            <w:tcW w:w="2676" w:type="dxa"/>
            <w:shd w:val="clear" w:color="auto" w:fill="auto"/>
            <w:vAlign w:val="center"/>
          </w:tcPr>
          <w:p w:rsidR="009027F8" w:rsidRPr="007A3DB2" w:rsidRDefault="00246AA5" w:rsidP="004E34A8">
            <w:pPr>
              <w:spacing w:line="240" w:lineRule="auto"/>
              <w:rPr>
                <w:rFonts w:ascii="Times New Roman" w:hAnsi="Times New Roman"/>
                <w:b/>
                <w:spacing w:val="-2"/>
              </w:rPr>
            </w:pPr>
            <w:r w:rsidRPr="003664B6">
              <w:rPr>
                <w:rFonts w:ascii="Times New Roman" w:hAnsi="Times New Roman"/>
              </w:rPr>
              <w:t xml:space="preserve">Organizacje </w:t>
            </w:r>
            <w:r>
              <w:rPr>
                <w:rFonts w:ascii="Times New Roman" w:hAnsi="Times New Roman"/>
              </w:rPr>
              <w:t xml:space="preserve">uzyskają wsparcie ze środków Funduszu Wspierania Rozwoju Społeczeństwa Obywatelskiego na rozwój </w:t>
            </w:r>
            <w:r w:rsidRPr="003664B6">
              <w:rPr>
                <w:rFonts w:ascii="Times New Roman" w:hAnsi="Times New Roman"/>
              </w:rPr>
              <w:t>ist</w:t>
            </w:r>
            <w:r>
              <w:rPr>
                <w:rFonts w:ascii="Times New Roman" w:hAnsi="Times New Roman"/>
              </w:rPr>
              <w:t>niejących domów spotkań</w:t>
            </w:r>
            <w:r w:rsidRPr="003664B6">
              <w:rPr>
                <w:rFonts w:ascii="Times New Roman" w:hAnsi="Times New Roman"/>
              </w:rPr>
              <w:t>, reaktywację placówek, które z różnych przyczyn zaprzestały czynnej działalności edukacyjnej</w:t>
            </w:r>
            <w:r w:rsidR="004E34A8">
              <w:rPr>
                <w:rFonts w:ascii="Times New Roman" w:hAnsi="Times New Roman"/>
              </w:rPr>
              <w:t xml:space="preserve"> lub tworzenie nowych</w:t>
            </w:r>
          </w:p>
        </w:tc>
      </w:tr>
      <w:tr w:rsidR="009027F8" w:rsidRPr="008B4FE6" w:rsidTr="00DA7A68">
        <w:trPr>
          <w:trHeight w:val="302"/>
        </w:trPr>
        <w:tc>
          <w:tcPr>
            <w:tcW w:w="10632" w:type="dxa"/>
            <w:gridSpan w:val="5"/>
            <w:shd w:val="clear" w:color="auto" w:fill="99CCFF"/>
            <w:vAlign w:val="center"/>
          </w:tcPr>
          <w:p w:rsidR="009027F8" w:rsidRPr="008B4FE6" w:rsidRDefault="009027F8" w:rsidP="009027F8">
            <w:pPr>
              <w:numPr>
                <w:ilvl w:val="0"/>
                <w:numId w:val="3"/>
              </w:numPr>
              <w:spacing w:before="60" w:after="60"/>
              <w:ind w:left="318" w:hanging="284"/>
              <w:jc w:val="both"/>
              <w:rPr>
                <w:rFonts w:ascii="Times New Roman" w:hAnsi="Times New Roman"/>
                <w:b/>
                <w:color w:val="000000"/>
              </w:rPr>
            </w:pPr>
            <w:r w:rsidRPr="008B4FE6">
              <w:rPr>
                <w:rFonts w:ascii="Times New Roman" w:hAnsi="Times New Roman"/>
                <w:b/>
                <w:color w:val="000000"/>
              </w:rPr>
              <w:lastRenderedPageBreak/>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9027F8" w:rsidRPr="008B4FE6" w:rsidTr="00DA7A68">
        <w:trPr>
          <w:trHeight w:val="342"/>
        </w:trPr>
        <w:tc>
          <w:tcPr>
            <w:tcW w:w="10632" w:type="dxa"/>
            <w:gridSpan w:val="5"/>
            <w:shd w:val="clear" w:color="auto" w:fill="FFFFFF"/>
          </w:tcPr>
          <w:p w:rsidR="0054072E" w:rsidRPr="000E1819" w:rsidRDefault="0054072E" w:rsidP="0054072E">
            <w:pPr>
              <w:spacing w:before="120" w:after="120" w:line="240" w:lineRule="auto"/>
              <w:jc w:val="both"/>
              <w:rPr>
                <w:rFonts w:ascii="Times New Roman" w:hAnsi="Times New Roman"/>
              </w:rPr>
            </w:pPr>
            <w:r>
              <w:rPr>
                <w:rFonts w:ascii="Times New Roman" w:hAnsi="Times New Roman"/>
              </w:rPr>
              <w:t>Projekt p</w:t>
            </w:r>
            <w:r w:rsidRPr="005D3D6D">
              <w:rPr>
                <w:rFonts w:ascii="Times New Roman" w:hAnsi="Times New Roman"/>
              </w:rPr>
              <w:t>rogram</w:t>
            </w:r>
            <w:r>
              <w:rPr>
                <w:rFonts w:ascii="Times New Roman" w:hAnsi="Times New Roman"/>
              </w:rPr>
              <w:t>u</w:t>
            </w:r>
            <w:r w:rsidRPr="005D3D6D">
              <w:rPr>
                <w:rFonts w:ascii="Times New Roman" w:hAnsi="Times New Roman"/>
              </w:rPr>
              <w:t xml:space="preserve"> został opracowany prz</w:t>
            </w:r>
            <w:r>
              <w:rPr>
                <w:rFonts w:ascii="Times New Roman" w:hAnsi="Times New Roman"/>
              </w:rPr>
              <w:t>y</w:t>
            </w:r>
            <w:r w:rsidRPr="005D3D6D">
              <w:rPr>
                <w:rFonts w:ascii="Times New Roman" w:hAnsi="Times New Roman"/>
              </w:rPr>
              <w:t xml:space="preserve"> </w:t>
            </w:r>
            <w:r>
              <w:rPr>
                <w:rFonts w:ascii="Times New Roman" w:hAnsi="Times New Roman"/>
              </w:rPr>
              <w:t xml:space="preserve">współpracy z </w:t>
            </w:r>
            <w:r w:rsidRPr="005D3D6D">
              <w:rPr>
                <w:rFonts w:ascii="Times New Roman" w:hAnsi="Times New Roman"/>
              </w:rPr>
              <w:t>grup</w:t>
            </w:r>
            <w:r>
              <w:rPr>
                <w:rFonts w:ascii="Times New Roman" w:hAnsi="Times New Roman"/>
              </w:rPr>
              <w:t>ą</w:t>
            </w:r>
            <w:r w:rsidRPr="005D3D6D">
              <w:rPr>
                <w:rFonts w:ascii="Times New Roman" w:hAnsi="Times New Roman"/>
              </w:rPr>
              <w:t xml:space="preserve"> ekspertów </w:t>
            </w:r>
            <w:r w:rsidR="004E34A8">
              <w:rPr>
                <w:rFonts w:ascii="Times New Roman" w:hAnsi="Times New Roman"/>
              </w:rPr>
              <w:t>reprezentujących funkcjonujące międzyn</w:t>
            </w:r>
            <w:r w:rsidR="000E1819">
              <w:rPr>
                <w:rFonts w:ascii="Times New Roman" w:hAnsi="Times New Roman"/>
              </w:rPr>
              <w:t>arodowe domy spotkań powołanych przez</w:t>
            </w:r>
            <w:r w:rsidR="000E1819" w:rsidRPr="000E1819">
              <w:rPr>
                <w:rFonts w:ascii="Times New Roman" w:hAnsi="Times New Roman"/>
              </w:rPr>
              <w:t xml:space="preserve"> Przewodniczącego Komitetu</w:t>
            </w:r>
            <w:r w:rsidR="000E1819">
              <w:rPr>
                <w:rFonts w:ascii="Times New Roman" w:hAnsi="Times New Roman"/>
              </w:rPr>
              <w:t xml:space="preserve"> do Spraw Pożytku Publicznego. Prace zespołu odbywały się</w:t>
            </w:r>
            <w:r w:rsidR="004E34A8">
              <w:rPr>
                <w:rFonts w:ascii="Times New Roman" w:hAnsi="Times New Roman"/>
              </w:rPr>
              <w:t xml:space="preserve"> w okresie luty - marzec 2020.</w:t>
            </w:r>
            <w:r w:rsidRPr="005D3D6D">
              <w:rPr>
                <w:rFonts w:ascii="Times New Roman" w:hAnsi="Times New Roman"/>
                <w:color w:val="000000"/>
                <w:spacing w:val="-2"/>
              </w:rPr>
              <w:t xml:space="preserve"> </w:t>
            </w:r>
          </w:p>
          <w:p w:rsidR="009027F8" w:rsidRPr="00B37C80" w:rsidRDefault="004E34A8" w:rsidP="008A1479">
            <w:pPr>
              <w:spacing w:line="240" w:lineRule="auto"/>
              <w:jc w:val="both"/>
              <w:rPr>
                <w:rFonts w:ascii="Times New Roman" w:hAnsi="Times New Roman"/>
                <w:color w:val="000000"/>
                <w:spacing w:val="-2"/>
              </w:rPr>
            </w:pPr>
            <w:r w:rsidRPr="004E34A8">
              <w:rPr>
                <w:rFonts w:ascii="Times New Roman" w:hAnsi="Times New Roman"/>
                <w:color w:val="000000"/>
                <w:spacing w:val="-2"/>
              </w:rPr>
              <w:t>Zaplanowano przeprowadzenie konsultacji publicznych równolegle z procesem opiniowania i uzgodnień. Projekt Programu został opublikowany w Biuletynie Informacji Publicznej Kancelarii Prezesa Rady Ministrów. Projekt Programu został skierowany do Rady D</w:t>
            </w:r>
            <w:r>
              <w:rPr>
                <w:rFonts w:ascii="Times New Roman" w:hAnsi="Times New Roman"/>
                <w:color w:val="000000"/>
                <w:spacing w:val="-2"/>
              </w:rPr>
              <w:t>ziałalności Pożytku Publicznego</w:t>
            </w:r>
            <w:r w:rsidRPr="004E34A8">
              <w:rPr>
                <w:rFonts w:ascii="Times New Roman" w:hAnsi="Times New Roman"/>
                <w:color w:val="000000"/>
                <w:spacing w:val="-2"/>
              </w:rPr>
              <w:t xml:space="preserve"> </w:t>
            </w:r>
            <w:r w:rsidR="00B4546E">
              <w:rPr>
                <w:rFonts w:ascii="Times New Roman" w:hAnsi="Times New Roman"/>
                <w:color w:val="000000"/>
                <w:spacing w:val="-2"/>
              </w:rPr>
              <w:t xml:space="preserve">oraz Rady Dialogu z Młodym Pokoleniem </w:t>
            </w:r>
            <w:r w:rsidRPr="004E34A8">
              <w:rPr>
                <w:rFonts w:ascii="Times New Roman" w:hAnsi="Times New Roman"/>
                <w:color w:val="000000"/>
                <w:spacing w:val="-2"/>
              </w:rPr>
              <w:t xml:space="preserve">w celu jego opiniowania. Wyniki konsultacji zostaną omówione w raporcie z konsultacji </w:t>
            </w:r>
            <w:r w:rsidR="00662BA1">
              <w:rPr>
                <w:rFonts w:ascii="Times New Roman" w:hAnsi="Times New Roman"/>
                <w:color w:val="000000"/>
                <w:spacing w:val="-2"/>
              </w:rPr>
              <w:t xml:space="preserve">i </w:t>
            </w:r>
            <w:r w:rsidRPr="004E34A8">
              <w:rPr>
                <w:rFonts w:ascii="Times New Roman" w:hAnsi="Times New Roman"/>
                <w:color w:val="000000"/>
                <w:spacing w:val="-2"/>
              </w:rPr>
              <w:t>dołączone do niniejszej Oceny Skutków Regulacji po ich zakończeniu.</w:t>
            </w:r>
          </w:p>
        </w:tc>
      </w:tr>
    </w:tbl>
    <w:p w:rsidR="008A1479" w:rsidRDefault="008A1479"/>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418"/>
        <w:gridCol w:w="229"/>
        <w:gridCol w:w="480"/>
        <w:gridCol w:w="709"/>
        <w:gridCol w:w="708"/>
        <w:gridCol w:w="709"/>
        <w:gridCol w:w="425"/>
        <w:gridCol w:w="284"/>
        <w:gridCol w:w="709"/>
        <w:gridCol w:w="708"/>
        <w:gridCol w:w="284"/>
        <w:gridCol w:w="425"/>
        <w:gridCol w:w="709"/>
        <w:gridCol w:w="709"/>
        <w:gridCol w:w="413"/>
        <w:gridCol w:w="295"/>
        <w:gridCol w:w="1127"/>
        <w:gridCol w:w="10"/>
      </w:tblGrid>
      <w:tr w:rsidR="008A1479" w:rsidRPr="008A1479" w:rsidTr="008A1479">
        <w:trPr>
          <w:gridAfter w:val="1"/>
          <w:wAfter w:w="10" w:type="dxa"/>
          <w:trHeight w:val="363"/>
        </w:trPr>
        <w:tc>
          <w:tcPr>
            <w:tcW w:w="10937" w:type="dxa"/>
            <w:gridSpan w:val="18"/>
            <w:shd w:val="clear" w:color="auto" w:fill="99CCFF"/>
            <w:vAlign w:val="center"/>
          </w:tcPr>
          <w:p w:rsidR="008A1479" w:rsidRPr="008A1479" w:rsidRDefault="008A1479" w:rsidP="008A1479">
            <w:pPr>
              <w:numPr>
                <w:ilvl w:val="0"/>
                <w:numId w:val="3"/>
              </w:numPr>
              <w:spacing w:before="60" w:after="60" w:line="240" w:lineRule="auto"/>
              <w:ind w:left="318" w:hanging="284"/>
              <w:jc w:val="both"/>
              <w:rPr>
                <w:rFonts w:ascii="Times New Roman" w:hAnsi="Times New Roman"/>
                <w:b/>
                <w:color w:val="000000"/>
              </w:rPr>
            </w:pPr>
            <w:r w:rsidRPr="008A1479">
              <w:rPr>
                <w:rFonts w:ascii="Times New Roman" w:hAnsi="Times New Roman"/>
                <w:b/>
                <w:color w:val="000000"/>
              </w:rPr>
              <w:t>Wpływ na sektor finansów publicznych</w:t>
            </w:r>
          </w:p>
        </w:tc>
      </w:tr>
      <w:tr w:rsidR="008A1479" w:rsidRPr="008A1479" w:rsidTr="00E04C86">
        <w:trPr>
          <w:gridAfter w:val="1"/>
          <w:wAfter w:w="10" w:type="dxa"/>
          <w:trHeight w:val="142"/>
        </w:trPr>
        <w:tc>
          <w:tcPr>
            <w:tcW w:w="2014" w:type="dxa"/>
            <w:gridSpan w:val="2"/>
            <w:vMerge w:val="restart"/>
            <w:shd w:val="clear" w:color="auto" w:fill="FFFFFF"/>
          </w:tcPr>
          <w:p w:rsidR="008A1479" w:rsidRPr="008A1479" w:rsidRDefault="008A1479" w:rsidP="008A1479">
            <w:pPr>
              <w:spacing w:before="40" w:after="40"/>
              <w:rPr>
                <w:rFonts w:ascii="Times New Roman" w:hAnsi="Times New Roman"/>
                <w:i/>
                <w:color w:val="000000"/>
                <w:sz w:val="21"/>
                <w:szCs w:val="21"/>
              </w:rPr>
            </w:pPr>
            <w:r w:rsidRPr="008A1479">
              <w:rPr>
                <w:rFonts w:ascii="Times New Roman" w:hAnsi="Times New Roman"/>
                <w:color w:val="000000"/>
                <w:sz w:val="21"/>
                <w:szCs w:val="21"/>
              </w:rPr>
              <w:t>(ceny stałe z …… r.)</w:t>
            </w:r>
          </w:p>
        </w:tc>
        <w:tc>
          <w:tcPr>
            <w:tcW w:w="8923" w:type="dxa"/>
            <w:gridSpan w:val="16"/>
            <w:shd w:val="clear" w:color="auto" w:fill="FFFFFF"/>
          </w:tcPr>
          <w:p w:rsidR="008A1479" w:rsidRPr="008A1479" w:rsidRDefault="008A1479" w:rsidP="008A1479">
            <w:pPr>
              <w:spacing w:before="40" w:after="40" w:line="240" w:lineRule="auto"/>
              <w:jc w:val="center"/>
              <w:rPr>
                <w:rFonts w:ascii="Times New Roman" w:hAnsi="Times New Roman"/>
                <w:i/>
                <w:color w:val="000000"/>
                <w:spacing w:val="-2"/>
                <w:sz w:val="21"/>
                <w:szCs w:val="21"/>
              </w:rPr>
            </w:pPr>
            <w:r w:rsidRPr="008A1479">
              <w:rPr>
                <w:rFonts w:ascii="Times New Roman" w:hAnsi="Times New Roman"/>
                <w:color w:val="000000"/>
                <w:sz w:val="21"/>
                <w:szCs w:val="21"/>
              </w:rPr>
              <w:t>Skutki w okresie 10 lat od wejścia w życie zmian [mln zł]</w:t>
            </w:r>
          </w:p>
        </w:tc>
      </w:tr>
      <w:tr w:rsidR="00E04C86" w:rsidRPr="008A1479" w:rsidTr="00E04C86">
        <w:trPr>
          <w:gridAfter w:val="1"/>
          <w:wAfter w:w="10" w:type="dxa"/>
          <w:trHeight w:val="142"/>
        </w:trPr>
        <w:tc>
          <w:tcPr>
            <w:tcW w:w="2014" w:type="dxa"/>
            <w:gridSpan w:val="2"/>
            <w:vMerge/>
            <w:shd w:val="clear" w:color="auto" w:fill="FFFFFF"/>
          </w:tcPr>
          <w:p w:rsidR="008A1479" w:rsidRPr="008A1479" w:rsidRDefault="008A1479" w:rsidP="008A1479">
            <w:pPr>
              <w:spacing w:before="40" w:after="40" w:line="240" w:lineRule="auto"/>
              <w:rPr>
                <w:rFonts w:ascii="Times New Roman" w:hAnsi="Times New Roman"/>
                <w:i/>
                <w:color w:val="000000"/>
                <w:sz w:val="21"/>
                <w:szCs w:val="21"/>
              </w:rPr>
            </w:pP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1</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2</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3</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4</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5</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6</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7</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8</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9</w:t>
            </w:r>
          </w:p>
        </w:tc>
        <w:tc>
          <w:tcPr>
            <w:tcW w:w="708"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10</w:t>
            </w:r>
          </w:p>
        </w:tc>
        <w:tc>
          <w:tcPr>
            <w:tcW w:w="1127" w:type="dxa"/>
            <w:shd w:val="clear" w:color="auto" w:fill="FFFFFF"/>
          </w:tcPr>
          <w:p w:rsidR="008A1479" w:rsidRPr="008A1479" w:rsidRDefault="008A1479" w:rsidP="008A1479">
            <w:pPr>
              <w:spacing w:before="40" w:after="40" w:line="240" w:lineRule="auto"/>
              <w:jc w:val="center"/>
              <w:rPr>
                <w:rFonts w:ascii="Times New Roman" w:hAnsi="Times New Roman"/>
                <w:i/>
                <w:color w:val="000000"/>
                <w:spacing w:val="-2"/>
                <w:sz w:val="21"/>
                <w:szCs w:val="21"/>
              </w:rPr>
            </w:pPr>
            <w:r w:rsidRPr="008A1479">
              <w:rPr>
                <w:rFonts w:ascii="Times New Roman" w:hAnsi="Times New Roman"/>
                <w:i/>
                <w:color w:val="000000"/>
                <w:spacing w:val="-2"/>
                <w:sz w:val="21"/>
                <w:szCs w:val="21"/>
              </w:rPr>
              <w:t>Łącznie (0-10)</w:t>
            </w:r>
          </w:p>
        </w:tc>
      </w:tr>
      <w:tr w:rsidR="00E04C86" w:rsidRPr="008A1479" w:rsidTr="00E04C86">
        <w:trPr>
          <w:trHeight w:val="321"/>
        </w:trPr>
        <w:tc>
          <w:tcPr>
            <w:tcW w:w="2014" w:type="dxa"/>
            <w:gridSpan w:val="2"/>
            <w:shd w:val="clear" w:color="auto" w:fill="FFFFFF"/>
            <w:vAlign w:val="center"/>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b/>
                <w:color w:val="000000"/>
                <w:sz w:val="21"/>
                <w:szCs w:val="21"/>
              </w:rPr>
              <w:t>Dochody ogółem</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1137" w:type="dxa"/>
            <w:gridSpan w:val="2"/>
            <w:shd w:val="clear" w:color="auto" w:fill="FFFFFF"/>
          </w:tcPr>
          <w:p w:rsidR="008A1479" w:rsidRPr="008A1479" w:rsidRDefault="008A1479" w:rsidP="008A1479">
            <w:pPr>
              <w:spacing w:line="240" w:lineRule="auto"/>
              <w:jc w:val="center"/>
              <w:rPr>
                <w:rFonts w:ascii="Times New Roman" w:hAnsi="Times New Roman"/>
                <w:color w:val="000000"/>
                <w:spacing w:val="-2"/>
                <w:sz w:val="21"/>
                <w:szCs w:val="21"/>
              </w:rPr>
            </w:pPr>
            <w:r w:rsidRPr="008A1479">
              <w:rPr>
                <w:rFonts w:ascii="Times New Roman" w:hAnsi="Times New Roman"/>
                <w:color w:val="000000"/>
                <w:spacing w:val="-2"/>
                <w:sz w:val="21"/>
                <w:szCs w:val="21"/>
              </w:rPr>
              <w:t>0</w:t>
            </w:r>
          </w:p>
        </w:tc>
      </w:tr>
      <w:tr w:rsidR="00E04C86" w:rsidRPr="008A1479" w:rsidTr="00E04C86">
        <w:trPr>
          <w:trHeight w:val="321"/>
        </w:trPr>
        <w:tc>
          <w:tcPr>
            <w:tcW w:w="2014" w:type="dxa"/>
            <w:gridSpan w:val="2"/>
            <w:shd w:val="clear" w:color="auto" w:fill="FFFFFF"/>
            <w:vAlign w:val="center"/>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budżet państwa</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1137" w:type="dxa"/>
            <w:gridSpan w:val="2"/>
            <w:shd w:val="clear" w:color="auto" w:fill="FFFFFF"/>
          </w:tcPr>
          <w:p w:rsidR="008A1479" w:rsidRPr="008A1479" w:rsidRDefault="008A1479" w:rsidP="008A1479">
            <w:pPr>
              <w:spacing w:line="240" w:lineRule="auto"/>
              <w:jc w:val="center"/>
              <w:rPr>
                <w:rFonts w:ascii="Times New Roman" w:hAnsi="Times New Roman"/>
                <w:color w:val="000000"/>
                <w:spacing w:val="-2"/>
                <w:sz w:val="21"/>
                <w:szCs w:val="21"/>
              </w:rPr>
            </w:pPr>
            <w:r w:rsidRPr="008A1479">
              <w:rPr>
                <w:rFonts w:ascii="Times New Roman" w:hAnsi="Times New Roman"/>
                <w:color w:val="000000"/>
                <w:spacing w:val="-2"/>
                <w:sz w:val="21"/>
                <w:szCs w:val="21"/>
              </w:rPr>
              <w:t>0</w:t>
            </w:r>
          </w:p>
        </w:tc>
      </w:tr>
      <w:tr w:rsidR="00E04C86" w:rsidRPr="008A1479" w:rsidTr="00E04C86">
        <w:trPr>
          <w:trHeight w:val="344"/>
        </w:trPr>
        <w:tc>
          <w:tcPr>
            <w:tcW w:w="2014" w:type="dxa"/>
            <w:gridSpan w:val="2"/>
            <w:shd w:val="clear" w:color="auto" w:fill="FFFFFF"/>
            <w:vAlign w:val="center"/>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JST</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1137"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r>
      <w:tr w:rsidR="00E04C86" w:rsidRPr="008A1479" w:rsidTr="00E04C86">
        <w:trPr>
          <w:trHeight w:val="344"/>
        </w:trPr>
        <w:tc>
          <w:tcPr>
            <w:tcW w:w="2014" w:type="dxa"/>
            <w:gridSpan w:val="2"/>
            <w:shd w:val="clear" w:color="auto" w:fill="FFFFFF"/>
            <w:vAlign w:val="center"/>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pozostałe jednostki (oddzielnie)</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1137"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r>
      <w:tr w:rsidR="00E04C86" w:rsidRPr="008A1479" w:rsidTr="00E04C86">
        <w:trPr>
          <w:trHeight w:val="330"/>
        </w:trPr>
        <w:tc>
          <w:tcPr>
            <w:tcW w:w="2014" w:type="dxa"/>
            <w:gridSpan w:val="2"/>
            <w:shd w:val="clear" w:color="auto" w:fill="FFFFFF"/>
            <w:vAlign w:val="center"/>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b/>
                <w:color w:val="000000"/>
                <w:sz w:val="21"/>
                <w:szCs w:val="21"/>
              </w:rPr>
              <w:t>Wydatki ogółem</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2,</w:t>
            </w:r>
            <w:r w:rsidR="00E04C86">
              <w:rPr>
                <w:rFonts w:ascii="Times New Roman" w:hAnsi="Times New Roman"/>
                <w:color w:val="000000"/>
                <w:sz w:val="21"/>
                <w:szCs w:val="21"/>
              </w:rPr>
              <w:t>5</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8"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8"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8"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1137"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32,5</w:t>
            </w:r>
          </w:p>
        </w:tc>
      </w:tr>
      <w:tr w:rsidR="00E04C86" w:rsidRPr="008A1479" w:rsidTr="00E04C86">
        <w:trPr>
          <w:trHeight w:val="330"/>
        </w:trPr>
        <w:tc>
          <w:tcPr>
            <w:tcW w:w="2014" w:type="dxa"/>
            <w:gridSpan w:val="2"/>
            <w:shd w:val="clear" w:color="auto" w:fill="FFFFFF"/>
            <w:vAlign w:val="center"/>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budżet państwa</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2,5</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8"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8"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708"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3,0</w:t>
            </w:r>
          </w:p>
        </w:tc>
        <w:tc>
          <w:tcPr>
            <w:tcW w:w="1137" w:type="dxa"/>
            <w:gridSpan w:val="2"/>
            <w:shd w:val="clear" w:color="auto" w:fill="FFFFFF"/>
          </w:tcPr>
          <w:p w:rsidR="008A1479" w:rsidRPr="008A1479" w:rsidRDefault="00D6022C" w:rsidP="008A1479">
            <w:pPr>
              <w:spacing w:line="240" w:lineRule="auto"/>
              <w:jc w:val="center"/>
              <w:rPr>
                <w:rFonts w:ascii="Times New Roman" w:hAnsi="Times New Roman"/>
                <w:color w:val="000000"/>
                <w:sz w:val="21"/>
                <w:szCs w:val="21"/>
              </w:rPr>
            </w:pPr>
            <w:r w:rsidRPr="006D5327">
              <w:rPr>
                <w:rFonts w:ascii="Times New Roman" w:hAnsi="Times New Roman"/>
                <w:sz w:val="21"/>
                <w:szCs w:val="21"/>
              </w:rPr>
              <w:t>32,5</w:t>
            </w:r>
          </w:p>
        </w:tc>
      </w:tr>
      <w:tr w:rsidR="00E04C86" w:rsidRPr="008A1479" w:rsidTr="00E04C86">
        <w:trPr>
          <w:trHeight w:val="351"/>
        </w:trPr>
        <w:tc>
          <w:tcPr>
            <w:tcW w:w="2014" w:type="dxa"/>
            <w:gridSpan w:val="2"/>
            <w:shd w:val="clear" w:color="auto" w:fill="FFFFFF"/>
            <w:vAlign w:val="center"/>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JST</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1137"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r>
      <w:tr w:rsidR="00E04C86" w:rsidRPr="008A1479" w:rsidTr="00E04C86">
        <w:trPr>
          <w:trHeight w:val="351"/>
        </w:trPr>
        <w:tc>
          <w:tcPr>
            <w:tcW w:w="2014" w:type="dxa"/>
            <w:gridSpan w:val="2"/>
            <w:shd w:val="clear" w:color="auto" w:fill="FFFFFF"/>
            <w:vAlign w:val="center"/>
          </w:tcPr>
          <w:p w:rsidR="008A1479" w:rsidRPr="008A1479" w:rsidRDefault="008A1479" w:rsidP="00FC410A">
            <w:pPr>
              <w:spacing w:line="240" w:lineRule="auto"/>
              <w:rPr>
                <w:rFonts w:ascii="Times New Roman" w:hAnsi="Times New Roman"/>
                <w:color w:val="000000"/>
                <w:sz w:val="21"/>
                <w:szCs w:val="21"/>
              </w:rPr>
            </w:pPr>
            <w:r w:rsidRPr="008A1479">
              <w:rPr>
                <w:rFonts w:ascii="Times New Roman" w:hAnsi="Times New Roman"/>
                <w:color w:val="000000"/>
                <w:sz w:val="21"/>
                <w:szCs w:val="21"/>
              </w:rPr>
              <w:t xml:space="preserve">pozostałe jednostki </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8"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8"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8" w:type="dxa"/>
            <w:gridSpan w:val="2"/>
            <w:shd w:val="clear" w:color="auto" w:fill="FFFFFF"/>
          </w:tcPr>
          <w:p w:rsidR="008A1479" w:rsidRPr="008A1479" w:rsidRDefault="00FC410A" w:rsidP="00E04C86">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137"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E04C86" w:rsidRPr="008A1479" w:rsidTr="00E04C86">
        <w:trPr>
          <w:trHeight w:val="360"/>
        </w:trPr>
        <w:tc>
          <w:tcPr>
            <w:tcW w:w="2014" w:type="dxa"/>
            <w:gridSpan w:val="2"/>
            <w:shd w:val="clear" w:color="auto" w:fill="FFFFFF"/>
            <w:vAlign w:val="center"/>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b/>
                <w:color w:val="000000"/>
                <w:sz w:val="21"/>
                <w:szCs w:val="21"/>
              </w:rPr>
              <w:t>Saldo ogółem</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sidR="00FC410A">
              <w:rPr>
                <w:rFonts w:ascii="Times New Roman" w:hAnsi="Times New Roman"/>
                <w:color w:val="000000"/>
                <w:sz w:val="21"/>
                <w:szCs w:val="21"/>
              </w:rPr>
              <w:t>2,</w:t>
            </w:r>
            <w:r w:rsidR="00E04C86">
              <w:rPr>
                <w:rFonts w:ascii="Times New Roman" w:hAnsi="Times New Roman"/>
                <w:color w:val="000000"/>
                <w:sz w:val="21"/>
                <w:szCs w:val="21"/>
              </w:rPr>
              <w:t>5</w:t>
            </w:r>
          </w:p>
        </w:tc>
        <w:tc>
          <w:tcPr>
            <w:tcW w:w="709" w:type="dxa"/>
            <w:shd w:val="clear" w:color="auto" w:fill="FFFFFF"/>
          </w:tcPr>
          <w:p w:rsidR="008A1479" w:rsidRPr="008A1479" w:rsidRDefault="008A1479" w:rsidP="00FC410A">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sidR="00FC410A">
              <w:rPr>
                <w:rFonts w:ascii="Times New Roman" w:hAnsi="Times New Roman"/>
                <w:color w:val="000000"/>
                <w:sz w:val="21"/>
                <w:szCs w:val="21"/>
              </w:rPr>
              <w:t>3,0</w:t>
            </w:r>
          </w:p>
        </w:tc>
        <w:tc>
          <w:tcPr>
            <w:tcW w:w="708"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sidR="00FC410A">
              <w:rPr>
                <w:rFonts w:ascii="Times New Roman" w:hAnsi="Times New Roman"/>
                <w:color w:val="000000"/>
                <w:sz w:val="21"/>
                <w:szCs w:val="21"/>
              </w:rPr>
              <w:t>3,0</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8"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1137"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32,5</w:t>
            </w:r>
          </w:p>
        </w:tc>
      </w:tr>
      <w:tr w:rsidR="00E04C86" w:rsidRPr="008A1479" w:rsidTr="00E04C86">
        <w:trPr>
          <w:trHeight w:val="360"/>
        </w:trPr>
        <w:tc>
          <w:tcPr>
            <w:tcW w:w="2014" w:type="dxa"/>
            <w:gridSpan w:val="2"/>
            <w:shd w:val="clear" w:color="auto" w:fill="FFFFFF"/>
            <w:vAlign w:val="center"/>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budżet państwa</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2,5</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8"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8"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708"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3,0</w:t>
            </w:r>
          </w:p>
        </w:tc>
        <w:tc>
          <w:tcPr>
            <w:tcW w:w="1137"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w:t>
            </w:r>
            <w:r>
              <w:rPr>
                <w:rFonts w:ascii="Times New Roman" w:hAnsi="Times New Roman"/>
                <w:color w:val="000000"/>
                <w:sz w:val="21"/>
                <w:szCs w:val="21"/>
              </w:rPr>
              <w:t>32,5</w:t>
            </w:r>
          </w:p>
        </w:tc>
      </w:tr>
      <w:tr w:rsidR="00E04C86" w:rsidRPr="008A1479" w:rsidTr="00E04C86">
        <w:trPr>
          <w:trHeight w:val="357"/>
        </w:trPr>
        <w:tc>
          <w:tcPr>
            <w:tcW w:w="2014" w:type="dxa"/>
            <w:gridSpan w:val="2"/>
            <w:shd w:val="clear" w:color="auto" w:fill="FFFFFF"/>
            <w:vAlign w:val="center"/>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JST</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1137"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r>
      <w:tr w:rsidR="00E04C86" w:rsidRPr="008A1479" w:rsidTr="00E04C86">
        <w:trPr>
          <w:trHeight w:val="357"/>
        </w:trPr>
        <w:tc>
          <w:tcPr>
            <w:tcW w:w="2014" w:type="dxa"/>
            <w:gridSpan w:val="2"/>
            <w:shd w:val="clear" w:color="auto" w:fill="FFFFFF"/>
            <w:vAlign w:val="center"/>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pozostałe jednostki (oddzielnie)</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FC410A">
              <w:rPr>
                <w:rFonts w:ascii="Times New Roman" w:hAnsi="Times New Roman"/>
                <w:color w:val="000000"/>
                <w:sz w:val="21"/>
                <w:szCs w:val="21"/>
              </w:rPr>
              <w:t>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708"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9" w:type="dxa"/>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8"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137" w:type="dxa"/>
            <w:gridSpan w:val="2"/>
            <w:shd w:val="clear" w:color="auto" w:fill="FFFFFF"/>
          </w:tcPr>
          <w:p w:rsidR="008A1479" w:rsidRPr="008A1479" w:rsidRDefault="00FC410A" w:rsidP="008A147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8A1479" w:rsidRPr="008A1479" w:rsidTr="008A1479">
        <w:trPr>
          <w:gridAfter w:val="1"/>
          <w:wAfter w:w="10" w:type="dxa"/>
          <w:trHeight w:val="348"/>
        </w:trPr>
        <w:tc>
          <w:tcPr>
            <w:tcW w:w="2243" w:type="dxa"/>
            <w:gridSpan w:val="3"/>
            <w:shd w:val="clear" w:color="auto" w:fill="FFFFFF"/>
            <w:vAlign w:val="center"/>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 xml:space="preserve">Źródła finansowania </w:t>
            </w:r>
          </w:p>
        </w:tc>
        <w:tc>
          <w:tcPr>
            <w:tcW w:w="8694" w:type="dxa"/>
            <w:gridSpan w:val="15"/>
            <w:shd w:val="clear" w:color="auto" w:fill="FFFFFF"/>
            <w:vAlign w:val="center"/>
          </w:tcPr>
          <w:p w:rsidR="008A1479" w:rsidRPr="008A1479" w:rsidRDefault="008A1479" w:rsidP="008A1479">
            <w:pPr>
              <w:spacing w:line="240" w:lineRule="auto"/>
              <w:jc w:val="both"/>
              <w:rPr>
                <w:rFonts w:ascii="Times New Roman" w:hAnsi="Times New Roman"/>
                <w:color w:val="000000"/>
                <w:sz w:val="21"/>
                <w:szCs w:val="21"/>
              </w:rPr>
            </w:pPr>
          </w:p>
          <w:p w:rsidR="003F4EE5" w:rsidRPr="003F4EE5" w:rsidRDefault="003F4EE5" w:rsidP="003F4EE5">
            <w:pPr>
              <w:spacing w:line="240" w:lineRule="auto"/>
              <w:jc w:val="both"/>
              <w:rPr>
                <w:rFonts w:ascii="Times New Roman" w:hAnsi="Times New Roman"/>
                <w:color w:val="000000"/>
                <w:sz w:val="21"/>
                <w:szCs w:val="21"/>
              </w:rPr>
            </w:pPr>
            <w:r w:rsidRPr="003F4EE5">
              <w:rPr>
                <w:rFonts w:ascii="Times New Roman" w:hAnsi="Times New Roman"/>
                <w:color w:val="000000"/>
                <w:sz w:val="21"/>
                <w:szCs w:val="21"/>
              </w:rPr>
              <w:t xml:space="preserve">Realizacja Programu będzie finansowana z krajowych środków publicznych w ramach dotacji celowej z budżetu państwa. </w:t>
            </w:r>
          </w:p>
          <w:p w:rsidR="003F4EE5" w:rsidRPr="003F4EE5" w:rsidRDefault="003F4EE5" w:rsidP="003F4EE5">
            <w:pPr>
              <w:spacing w:line="240" w:lineRule="auto"/>
              <w:jc w:val="both"/>
              <w:rPr>
                <w:rFonts w:ascii="Times New Roman" w:hAnsi="Times New Roman"/>
                <w:color w:val="000000"/>
                <w:sz w:val="21"/>
                <w:szCs w:val="21"/>
              </w:rPr>
            </w:pPr>
            <w:r w:rsidRPr="003F4EE5">
              <w:rPr>
                <w:rFonts w:ascii="Times New Roman" w:hAnsi="Times New Roman"/>
                <w:color w:val="000000"/>
                <w:sz w:val="21"/>
                <w:szCs w:val="21"/>
              </w:rPr>
              <w:t xml:space="preserve">W 2020 r. na realizację Programu zostanie przeznaczonych 2,5 mln zł. ze środków z rezerwy ogólnej budżetu państwa. Od 2021 r. na realizację Programu rocznie zostanie przeznaczonych 3,0 mln zł., w tym 2,85 mln zł. na dofinansowanie beneficjentów w ramach priorytetów Programu i 0,15 mln zł. na zwiększenie dotacji podmiotowej NIW-CRSO w związku ze zwiększeniem wydatków organizacyjnych, w tym zwiększenie limitu etatów (1 etat) do obsługi Programu.  </w:t>
            </w:r>
          </w:p>
          <w:p w:rsidR="003F4EE5" w:rsidRDefault="003F4EE5" w:rsidP="003F4EE5">
            <w:pPr>
              <w:spacing w:line="240" w:lineRule="auto"/>
              <w:jc w:val="both"/>
              <w:rPr>
                <w:rFonts w:ascii="Times New Roman" w:hAnsi="Times New Roman"/>
                <w:color w:val="000000"/>
                <w:sz w:val="21"/>
                <w:szCs w:val="21"/>
              </w:rPr>
            </w:pPr>
            <w:r w:rsidRPr="003F4EE5">
              <w:rPr>
                <w:rFonts w:ascii="Times New Roman" w:hAnsi="Times New Roman"/>
                <w:color w:val="000000"/>
                <w:sz w:val="21"/>
                <w:szCs w:val="21"/>
              </w:rPr>
              <w:t>Wejście w życie Programu nie spowoduje dodatkowych kosztów dla sektora finansów publicznych i nie będzie podstawą do ubiegania się o dodatkowe środki na ten cel.</w:t>
            </w:r>
          </w:p>
          <w:p w:rsidR="008A1479" w:rsidRPr="008A1479" w:rsidRDefault="008A1479" w:rsidP="003F4EE5">
            <w:pPr>
              <w:spacing w:line="240" w:lineRule="auto"/>
              <w:jc w:val="both"/>
              <w:rPr>
                <w:rFonts w:ascii="Times New Roman" w:hAnsi="Times New Roman"/>
                <w:color w:val="000000"/>
                <w:sz w:val="21"/>
                <w:szCs w:val="21"/>
              </w:rPr>
            </w:pPr>
          </w:p>
        </w:tc>
      </w:tr>
      <w:tr w:rsidR="008A1479" w:rsidRPr="008A1479" w:rsidTr="008A1479">
        <w:trPr>
          <w:gridAfter w:val="1"/>
          <w:wAfter w:w="10" w:type="dxa"/>
          <w:trHeight w:val="1926"/>
        </w:trPr>
        <w:tc>
          <w:tcPr>
            <w:tcW w:w="2243" w:type="dxa"/>
            <w:gridSpan w:val="3"/>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Dodatkowe informacje, w tym wskazanie źródeł danych i przyjętych do obliczeń założeń</w:t>
            </w:r>
          </w:p>
        </w:tc>
        <w:tc>
          <w:tcPr>
            <w:tcW w:w="8694" w:type="dxa"/>
            <w:gridSpan w:val="15"/>
            <w:shd w:val="clear" w:color="auto" w:fill="FFFFFF"/>
          </w:tcPr>
          <w:p w:rsidR="008A1479" w:rsidRPr="008A1479" w:rsidRDefault="00E511D6" w:rsidP="008A1479">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Oszacowanie kosztów realizacji programu </w:t>
            </w:r>
            <w:r w:rsidR="008A1479" w:rsidRPr="008A1479">
              <w:rPr>
                <w:rFonts w:ascii="Times New Roman" w:hAnsi="Times New Roman"/>
                <w:color w:val="000000"/>
                <w:sz w:val="21"/>
                <w:szCs w:val="21"/>
              </w:rPr>
              <w:t>zostało oparte o analizę obecnego stanu funkc</w:t>
            </w:r>
            <w:r w:rsidR="008A1479">
              <w:rPr>
                <w:rFonts w:ascii="Times New Roman" w:hAnsi="Times New Roman"/>
                <w:color w:val="000000"/>
                <w:sz w:val="21"/>
                <w:szCs w:val="21"/>
              </w:rPr>
              <w:t>jonowania międzynarodowych domów spotkań młodzieży</w:t>
            </w:r>
            <w:r w:rsidR="008A1479" w:rsidRPr="008A1479">
              <w:rPr>
                <w:rFonts w:ascii="Times New Roman" w:hAnsi="Times New Roman"/>
                <w:color w:val="000000"/>
                <w:sz w:val="21"/>
                <w:szCs w:val="21"/>
              </w:rPr>
              <w:t xml:space="preserve"> w </w:t>
            </w:r>
            <w:r>
              <w:rPr>
                <w:rFonts w:ascii="Times New Roman" w:hAnsi="Times New Roman"/>
                <w:color w:val="000000"/>
                <w:sz w:val="21"/>
                <w:szCs w:val="21"/>
              </w:rPr>
              <w:t>Polsce oraz wiedzę ekspercką ─</w:t>
            </w:r>
            <w:r w:rsidR="008A1479" w:rsidRPr="008A1479">
              <w:rPr>
                <w:rFonts w:ascii="Times New Roman" w:hAnsi="Times New Roman"/>
                <w:color w:val="000000"/>
                <w:sz w:val="21"/>
                <w:szCs w:val="21"/>
              </w:rPr>
              <w:t xml:space="preserve"> poszczególne typy działań zostały zaplanowane dla zakładanej w perspektywie docelowej liczby </w:t>
            </w:r>
            <w:r w:rsidR="008B71B5" w:rsidRPr="008B71B5">
              <w:rPr>
                <w:rFonts w:ascii="Times New Roman" w:hAnsi="Times New Roman"/>
                <w:sz w:val="21"/>
                <w:szCs w:val="21"/>
              </w:rPr>
              <w:t>15</w:t>
            </w:r>
            <w:r w:rsidR="008A1479" w:rsidRPr="008A1479">
              <w:rPr>
                <w:rFonts w:ascii="Times New Roman" w:hAnsi="Times New Roman"/>
                <w:color w:val="000000"/>
                <w:sz w:val="21"/>
                <w:szCs w:val="21"/>
              </w:rPr>
              <w:t xml:space="preserve"> placówek oraz maksymalnej liczby uczestników w danym roku wdrażania Programu. Na tej podstawie zostały ustalone wartości wskaźników dla poszczególnych rezultatów.     </w:t>
            </w:r>
          </w:p>
          <w:p w:rsidR="008A1479" w:rsidRPr="008A1479" w:rsidRDefault="008A1479" w:rsidP="008A1479">
            <w:pPr>
              <w:spacing w:line="240" w:lineRule="auto"/>
              <w:jc w:val="both"/>
              <w:rPr>
                <w:rFonts w:ascii="Times New Roman" w:hAnsi="Times New Roman"/>
                <w:color w:val="000000"/>
                <w:sz w:val="21"/>
                <w:szCs w:val="21"/>
              </w:rPr>
            </w:pPr>
            <w:r w:rsidRPr="008A1479">
              <w:rPr>
                <w:rFonts w:ascii="Times New Roman" w:hAnsi="Times New Roman"/>
                <w:color w:val="000000"/>
                <w:sz w:val="21"/>
                <w:szCs w:val="21"/>
              </w:rPr>
              <w:t xml:space="preserve">Środki na realizację celów Programu w poszczególnych latach wdrażania Programu zaplanowane zostały w wysokości ogółem </w:t>
            </w:r>
            <w:r w:rsidR="003F4EE5">
              <w:rPr>
                <w:rFonts w:ascii="Times New Roman" w:hAnsi="Times New Roman"/>
                <w:color w:val="000000"/>
                <w:sz w:val="21"/>
                <w:szCs w:val="21"/>
              </w:rPr>
              <w:t>w pierwszym roku 2,</w:t>
            </w:r>
            <w:r w:rsidR="008B71B5">
              <w:rPr>
                <w:rFonts w:ascii="Times New Roman" w:hAnsi="Times New Roman"/>
                <w:color w:val="000000"/>
                <w:sz w:val="21"/>
                <w:szCs w:val="21"/>
              </w:rPr>
              <w:t>5</w:t>
            </w:r>
            <w:r w:rsidRPr="008A1479">
              <w:rPr>
                <w:rFonts w:ascii="Times New Roman" w:hAnsi="Times New Roman"/>
                <w:color w:val="000000"/>
                <w:sz w:val="21"/>
                <w:szCs w:val="21"/>
              </w:rPr>
              <w:t xml:space="preserve"> mln zł ro</w:t>
            </w:r>
            <w:r>
              <w:rPr>
                <w:rFonts w:ascii="Times New Roman" w:hAnsi="Times New Roman"/>
                <w:color w:val="000000"/>
                <w:sz w:val="21"/>
                <w:szCs w:val="21"/>
              </w:rPr>
              <w:t xml:space="preserve">cznie, </w:t>
            </w:r>
            <w:r w:rsidR="008B71B5">
              <w:rPr>
                <w:rFonts w:ascii="Times New Roman" w:hAnsi="Times New Roman"/>
                <w:color w:val="000000"/>
                <w:sz w:val="21"/>
                <w:szCs w:val="21"/>
              </w:rPr>
              <w:t>a w</w:t>
            </w:r>
            <w:r w:rsidR="00BE0C80">
              <w:rPr>
                <w:rFonts w:ascii="Times New Roman" w:hAnsi="Times New Roman"/>
                <w:color w:val="000000"/>
                <w:sz w:val="21"/>
                <w:szCs w:val="21"/>
              </w:rPr>
              <w:t xml:space="preserve"> </w:t>
            </w:r>
            <w:r w:rsidR="008B71B5">
              <w:rPr>
                <w:rFonts w:ascii="Times New Roman" w:hAnsi="Times New Roman"/>
                <w:color w:val="000000"/>
                <w:sz w:val="21"/>
                <w:szCs w:val="21"/>
              </w:rPr>
              <w:t xml:space="preserve">latach następnych </w:t>
            </w:r>
            <w:r w:rsidR="003F4EE5">
              <w:rPr>
                <w:rFonts w:ascii="Times New Roman" w:hAnsi="Times New Roman"/>
                <w:color w:val="000000"/>
                <w:sz w:val="21"/>
                <w:szCs w:val="21"/>
              </w:rPr>
              <w:t>3</w:t>
            </w:r>
            <w:r w:rsidR="00BE0C80">
              <w:rPr>
                <w:rFonts w:ascii="Times New Roman" w:hAnsi="Times New Roman"/>
                <w:color w:val="000000"/>
                <w:sz w:val="21"/>
                <w:szCs w:val="21"/>
              </w:rPr>
              <w:t xml:space="preserve"> mln zł rocznie, </w:t>
            </w:r>
            <w:r>
              <w:rPr>
                <w:rFonts w:ascii="Times New Roman" w:hAnsi="Times New Roman"/>
                <w:color w:val="000000"/>
                <w:sz w:val="21"/>
                <w:szCs w:val="21"/>
              </w:rPr>
              <w:t xml:space="preserve">co daje łączną sumę </w:t>
            </w:r>
            <w:r w:rsidR="003F4EE5">
              <w:rPr>
                <w:rFonts w:ascii="Times New Roman" w:hAnsi="Times New Roman"/>
                <w:color w:val="000000"/>
                <w:sz w:val="21"/>
                <w:szCs w:val="21"/>
              </w:rPr>
              <w:t>32,5</w:t>
            </w:r>
            <w:r w:rsidRPr="008A1479">
              <w:rPr>
                <w:rFonts w:ascii="Times New Roman" w:hAnsi="Times New Roman"/>
                <w:color w:val="000000"/>
                <w:sz w:val="21"/>
                <w:szCs w:val="21"/>
              </w:rPr>
              <w:t xml:space="preserve"> mln zł w całej per</w:t>
            </w:r>
            <w:r w:rsidR="003F4EE5">
              <w:rPr>
                <w:rFonts w:ascii="Times New Roman" w:hAnsi="Times New Roman"/>
                <w:color w:val="000000"/>
                <w:sz w:val="21"/>
                <w:szCs w:val="21"/>
              </w:rPr>
              <w:t xml:space="preserve">spektywie programowej 2020-2030 (finansowane z budżetu państwa), </w:t>
            </w:r>
            <w:r w:rsidRPr="008A1479">
              <w:rPr>
                <w:rFonts w:ascii="Times New Roman" w:hAnsi="Times New Roman"/>
                <w:color w:val="000000"/>
                <w:sz w:val="21"/>
                <w:szCs w:val="21"/>
              </w:rPr>
              <w:t>w tym:</w:t>
            </w:r>
          </w:p>
          <w:p w:rsidR="00BE0C80" w:rsidRPr="008B2F28" w:rsidRDefault="008B2F28" w:rsidP="008B2F28">
            <w:pPr>
              <w:pStyle w:val="Akapitzlist"/>
              <w:numPr>
                <w:ilvl w:val="0"/>
                <w:numId w:val="47"/>
              </w:numPr>
              <w:spacing w:line="240" w:lineRule="auto"/>
              <w:jc w:val="both"/>
              <w:rPr>
                <w:rFonts w:ascii="Times New Roman" w:hAnsi="Times New Roman"/>
                <w:color w:val="000000"/>
                <w:sz w:val="21"/>
                <w:szCs w:val="21"/>
              </w:rPr>
            </w:pPr>
            <w:r w:rsidRPr="008B2F28">
              <w:rPr>
                <w:rFonts w:ascii="Times New Roman" w:hAnsi="Times New Roman"/>
                <w:color w:val="000000"/>
                <w:sz w:val="21"/>
                <w:szCs w:val="21"/>
              </w:rPr>
              <w:t xml:space="preserve">Wsparcie istniejących domów spotkań </w:t>
            </w:r>
            <w:r w:rsidR="008A1479" w:rsidRPr="008B2F28">
              <w:rPr>
                <w:rFonts w:ascii="Times New Roman" w:hAnsi="Times New Roman"/>
                <w:color w:val="000000"/>
                <w:sz w:val="21"/>
                <w:szCs w:val="21"/>
              </w:rPr>
              <w:t xml:space="preserve">– </w:t>
            </w:r>
            <w:r>
              <w:rPr>
                <w:rFonts w:ascii="Times New Roman" w:hAnsi="Times New Roman"/>
                <w:sz w:val="21"/>
                <w:szCs w:val="21"/>
              </w:rPr>
              <w:t>20,8</w:t>
            </w:r>
            <w:r w:rsidR="00BE0C80" w:rsidRPr="008B2F28">
              <w:rPr>
                <w:rFonts w:ascii="Times New Roman" w:hAnsi="Times New Roman"/>
                <w:sz w:val="21"/>
                <w:szCs w:val="21"/>
              </w:rPr>
              <w:t xml:space="preserve"> </w:t>
            </w:r>
            <w:r w:rsidR="008A1479" w:rsidRPr="008B2F28">
              <w:rPr>
                <w:rFonts w:ascii="Times New Roman" w:hAnsi="Times New Roman"/>
                <w:color w:val="000000"/>
                <w:sz w:val="21"/>
                <w:szCs w:val="21"/>
              </w:rPr>
              <w:t>mln zł,</w:t>
            </w:r>
          </w:p>
          <w:p w:rsidR="008A1479" w:rsidRPr="00BE0C80" w:rsidRDefault="008A1479" w:rsidP="00BE0C80">
            <w:pPr>
              <w:numPr>
                <w:ilvl w:val="0"/>
                <w:numId w:val="45"/>
              </w:numPr>
              <w:spacing w:line="240" w:lineRule="auto"/>
              <w:ind w:left="768" w:hanging="408"/>
              <w:jc w:val="both"/>
              <w:rPr>
                <w:rFonts w:ascii="Times New Roman" w:hAnsi="Times New Roman"/>
                <w:color w:val="000000"/>
                <w:sz w:val="21"/>
                <w:szCs w:val="21"/>
              </w:rPr>
            </w:pPr>
            <w:r w:rsidRPr="00BE0C80">
              <w:rPr>
                <w:rFonts w:ascii="Times New Roman" w:hAnsi="Times New Roman"/>
                <w:color w:val="000000"/>
                <w:sz w:val="21"/>
                <w:szCs w:val="21"/>
              </w:rPr>
              <w:t xml:space="preserve">Wsparcie </w:t>
            </w:r>
            <w:r w:rsidR="00BE0C80" w:rsidRPr="00BE0C80">
              <w:rPr>
                <w:rFonts w:ascii="Times New Roman" w:hAnsi="Times New Roman"/>
                <w:color w:val="000000"/>
                <w:sz w:val="21"/>
                <w:szCs w:val="21"/>
              </w:rPr>
              <w:t xml:space="preserve">nowopowstających domów spotkań </w:t>
            </w:r>
            <w:r w:rsidRPr="00BE0C80">
              <w:rPr>
                <w:rFonts w:ascii="Times New Roman" w:hAnsi="Times New Roman"/>
                <w:color w:val="000000"/>
                <w:sz w:val="21"/>
                <w:szCs w:val="21"/>
              </w:rPr>
              <w:t xml:space="preserve">domów spotkań młodzieży – </w:t>
            </w:r>
            <w:r w:rsidR="00BE0C80" w:rsidRPr="00BE0C80">
              <w:rPr>
                <w:rFonts w:ascii="Times New Roman" w:hAnsi="Times New Roman"/>
                <w:sz w:val="21"/>
                <w:szCs w:val="21"/>
              </w:rPr>
              <w:t>9,1</w:t>
            </w:r>
            <w:r w:rsidRPr="00BE0C80">
              <w:rPr>
                <w:rFonts w:ascii="Times New Roman" w:hAnsi="Times New Roman"/>
                <w:sz w:val="21"/>
                <w:szCs w:val="21"/>
              </w:rPr>
              <w:t xml:space="preserve"> </w:t>
            </w:r>
            <w:r w:rsidRPr="00BE0C80">
              <w:rPr>
                <w:rFonts w:ascii="Times New Roman" w:hAnsi="Times New Roman"/>
                <w:color w:val="000000"/>
                <w:sz w:val="21"/>
                <w:szCs w:val="21"/>
              </w:rPr>
              <w:t>mln zł</w:t>
            </w:r>
            <w:r w:rsidR="00A039DF">
              <w:rPr>
                <w:rFonts w:ascii="Times New Roman" w:hAnsi="Times New Roman"/>
                <w:color w:val="000000"/>
                <w:sz w:val="21"/>
                <w:szCs w:val="21"/>
              </w:rPr>
              <w:t xml:space="preserve"> </w:t>
            </w:r>
          </w:p>
          <w:p w:rsidR="008A1479" w:rsidRPr="008A1479" w:rsidRDefault="00BE0C80" w:rsidP="008A1479">
            <w:pPr>
              <w:numPr>
                <w:ilvl w:val="0"/>
                <w:numId w:val="45"/>
              </w:numPr>
              <w:spacing w:line="240" w:lineRule="auto"/>
              <w:ind w:left="768" w:hanging="408"/>
              <w:jc w:val="both"/>
              <w:rPr>
                <w:rFonts w:ascii="Times New Roman" w:hAnsi="Times New Roman"/>
                <w:color w:val="000000"/>
                <w:sz w:val="21"/>
                <w:szCs w:val="21"/>
              </w:rPr>
            </w:pPr>
            <w:r>
              <w:rPr>
                <w:rFonts w:ascii="Times New Roman" w:hAnsi="Times New Roman"/>
                <w:color w:val="000000"/>
                <w:sz w:val="21"/>
                <w:szCs w:val="21"/>
              </w:rPr>
              <w:t xml:space="preserve">Obsługa </w:t>
            </w:r>
            <w:r w:rsidR="008A1479" w:rsidRPr="008A1479">
              <w:rPr>
                <w:rFonts w:ascii="Times New Roman" w:hAnsi="Times New Roman"/>
                <w:color w:val="000000"/>
                <w:sz w:val="21"/>
                <w:szCs w:val="21"/>
              </w:rPr>
              <w:t xml:space="preserve">techniczna Programu (oprócz wynagrodzeń pracowników biura) – </w:t>
            </w:r>
            <w:r w:rsidR="008B2F28">
              <w:rPr>
                <w:rFonts w:ascii="Times New Roman" w:hAnsi="Times New Roman"/>
                <w:sz w:val="21"/>
                <w:szCs w:val="21"/>
              </w:rPr>
              <w:t>2,6</w:t>
            </w:r>
            <w:r w:rsidR="008A1479" w:rsidRPr="00BE0C80">
              <w:rPr>
                <w:rFonts w:ascii="Times New Roman" w:hAnsi="Times New Roman"/>
                <w:sz w:val="21"/>
                <w:szCs w:val="21"/>
              </w:rPr>
              <w:t xml:space="preserve"> </w:t>
            </w:r>
            <w:r w:rsidR="008A1479" w:rsidRPr="008A1479">
              <w:rPr>
                <w:rFonts w:ascii="Times New Roman" w:hAnsi="Times New Roman"/>
                <w:color w:val="000000"/>
                <w:sz w:val="21"/>
                <w:szCs w:val="21"/>
              </w:rPr>
              <w:t>mln zł.</w:t>
            </w:r>
          </w:p>
          <w:p w:rsidR="008A1479" w:rsidRPr="006D5327" w:rsidRDefault="00D56462" w:rsidP="008A1479">
            <w:pPr>
              <w:spacing w:line="240" w:lineRule="auto"/>
              <w:jc w:val="both"/>
              <w:rPr>
                <w:rFonts w:ascii="Times New Roman" w:hAnsi="Times New Roman"/>
                <w:sz w:val="21"/>
                <w:szCs w:val="21"/>
              </w:rPr>
            </w:pPr>
            <w:r w:rsidRPr="006D5327">
              <w:rPr>
                <w:rFonts w:ascii="Times New Roman" w:hAnsi="Times New Roman"/>
                <w:sz w:val="21"/>
                <w:szCs w:val="21"/>
              </w:rPr>
              <w:lastRenderedPageBreak/>
              <w:t>N</w:t>
            </w:r>
            <w:r w:rsidR="00381EEC" w:rsidRPr="006D5327">
              <w:rPr>
                <w:rFonts w:ascii="Times New Roman" w:hAnsi="Times New Roman"/>
                <w:sz w:val="21"/>
                <w:szCs w:val="21"/>
              </w:rPr>
              <w:t>ierównomierne rozłożenie środków na poszczególne priorytety wynika z faktu, że organizacje ubiegające się w pierwszym roku przystąpienia do Programu w Priorytecie 2 po uruchomieniu działalności będą mogły w latach następnych ubiegać się jedynie o d</w:t>
            </w:r>
            <w:r w:rsidRPr="006D5327">
              <w:rPr>
                <w:rFonts w:ascii="Times New Roman" w:hAnsi="Times New Roman"/>
                <w:sz w:val="21"/>
                <w:szCs w:val="21"/>
              </w:rPr>
              <w:t>otacje ze środków Priorytetu 1.</w:t>
            </w:r>
          </w:p>
          <w:p w:rsidR="00D56462" w:rsidRPr="008A1479" w:rsidRDefault="00D56462" w:rsidP="008A1479">
            <w:pPr>
              <w:spacing w:line="240" w:lineRule="auto"/>
              <w:jc w:val="both"/>
              <w:rPr>
                <w:rFonts w:ascii="Times New Roman" w:hAnsi="Times New Roman"/>
                <w:color w:val="000000"/>
                <w:sz w:val="21"/>
                <w:szCs w:val="21"/>
              </w:rPr>
            </w:pPr>
            <w:r w:rsidRPr="006D5327">
              <w:rPr>
                <w:rFonts w:ascii="Times New Roman" w:hAnsi="Times New Roman"/>
                <w:sz w:val="21"/>
                <w:szCs w:val="21"/>
              </w:rPr>
              <w:t>Tym samym liczba beneficjentów Priorytetu 1 będzie zawsze przewyższać liczbę beneficjentów Priorytetu 2.</w:t>
            </w:r>
          </w:p>
        </w:tc>
      </w:tr>
      <w:tr w:rsidR="008A1479" w:rsidRPr="008A1479" w:rsidTr="008A1479">
        <w:trPr>
          <w:gridAfter w:val="1"/>
          <w:wAfter w:w="10" w:type="dxa"/>
          <w:trHeight w:val="345"/>
        </w:trPr>
        <w:tc>
          <w:tcPr>
            <w:tcW w:w="10937" w:type="dxa"/>
            <w:gridSpan w:val="18"/>
            <w:shd w:val="clear" w:color="auto" w:fill="99CCFF"/>
          </w:tcPr>
          <w:p w:rsidR="008A1479" w:rsidRPr="008A1479" w:rsidRDefault="008A1479" w:rsidP="008A1479">
            <w:pPr>
              <w:numPr>
                <w:ilvl w:val="0"/>
                <w:numId w:val="3"/>
              </w:numPr>
              <w:spacing w:before="120" w:after="120" w:line="240" w:lineRule="auto"/>
              <w:jc w:val="both"/>
              <w:rPr>
                <w:rFonts w:ascii="Times New Roman" w:hAnsi="Times New Roman"/>
                <w:b/>
                <w:color w:val="000000"/>
                <w:spacing w:val="-2"/>
              </w:rPr>
            </w:pPr>
            <w:r w:rsidRPr="008A1479">
              <w:rPr>
                <w:rFonts w:ascii="Times New Roman" w:hAnsi="Times New Roman"/>
                <w:b/>
                <w:color w:val="000000"/>
                <w:spacing w:val="-2"/>
              </w:rPr>
              <w:lastRenderedPageBreak/>
              <w:t xml:space="preserve">Wpływ na </w:t>
            </w:r>
            <w:r w:rsidRPr="008A1479">
              <w:rPr>
                <w:rFonts w:ascii="Times New Roman" w:hAnsi="Times New Roman"/>
                <w:b/>
                <w:color w:val="000000"/>
              </w:rPr>
              <w:t xml:space="preserve">konkurencyjność gospodarki i przedsiębiorczość, w tym funkcjonowanie przedsiębiorców oraz na rodzinę, obywateli i gospodarstwa domowe </w:t>
            </w:r>
          </w:p>
        </w:tc>
      </w:tr>
      <w:tr w:rsidR="008A1479" w:rsidRPr="008A1479" w:rsidTr="008A1479">
        <w:trPr>
          <w:gridAfter w:val="1"/>
          <w:wAfter w:w="10" w:type="dxa"/>
          <w:trHeight w:val="142"/>
        </w:trPr>
        <w:tc>
          <w:tcPr>
            <w:tcW w:w="10937" w:type="dxa"/>
            <w:gridSpan w:val="18"/>
            <w:shd w:val="clear" w:color="auto" w:fill="FFFFFF"/>
          </w:tcPr>
          <w:p w:rsidR="008A1479" w:rsidRPr="008A1479" w:rsidRDefault="008A1479" w:rsidP="008A1479">
            <w:pPr>
              <w:spacing w:line="240" w:lineRule="auto"/>
              <w:jc w:val="center"/>
              <w:rPr>
                <w:rFonts w:ascii="Times New Roman" w:hAnsi="Times New Roman"/>
                <w:color w:val="000000"/>
                <w:spacing w:val="-2"/>
                <w:sz w:val="21"/>
                <w:szCs w:val="21"/>
              </w:rPr>
            </w:pPr>
            <w:r w:rsidRPr="008A1479">
              <w:rPr>
                <w:rFonts w:ascii="Times New Roman" w:hAnsi="Times New Roman"/>
                <w:color w:val="000000"/>
                <w:spacing w:val="-2"/>
                <w:sz w:val="21"/>
                <w:szCs w:val="21"/>
              </w:rPr>
              <w:t>Skutki</w:t>
            </w:r>
          </w:p>
        </w:tc>
      </w:tr>
      <w:tr w:rsidR="008A1479" w:rsidRPr="008A1479" w:rsidTr="00BE0C80">
        <w:trPr>
          <w:gridAfter w:val="1"/>
          <w:wAfter w:w="10" w:type="dxa"/>
          <w:trHeight w:val="142"/>
        </w:trPr>
        <w:tc>
          <w:tcPr>
            <w:tcW w:w="3432" w:type="dxa"/>
            <w:gridSpan w:val="5"/>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Czas w latach od wejścia w życie zmian</w:t>
            </w:r>
          </w:p>
        </w:tc>
        <w:tc>
          <w:tcPr>
            <w:tcW w:w="708" w:type="dxa"/>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0</w:t>
            </w:r>
          </w:p>
        </w:tc>
        <w:tc>
          <w:tcPr>
            <w:tcW w:w="1134"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1</w:t>
            </w:r>
          </w:p>
        </w:tc>
        <w:tc>
          <w:tcPr>
            <w:tcW w:w="993"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2</w:t>
            </w:r>
          </w:p>
        </w:tc>
        <w:tc>
          <w:tcPr>
            <w:tcW w:w="992"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3</w:t>
            </w:r>
          </w:p>
        </w:tc>
        <w:tc>
          <w:tcPr>
            <w:tcW w:w="1134"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4-5</w:t>
            </w:r>
          </w:p>
        </w:tc>
        <w:tc>
          <w:tcPr>
            <w:tcW w:w="1122" w:type="dxa"/>
            <w:gridSpan w:val="2"/>
            <w:shd w:val="clear" w:color="auto" w:fill="FFFFFF"/>
          </w:tcPr>
          <w:p w:rsidR="008A1479" w:rsidRPr="008A1479" w:rsidRDefault="008A1479" w:rsidP="008A1479">
            <w:pPr>
              <w:spacing w:line="240" w:lineRule="auto"/>
              <w:jc w:val="center"/>
              <w:rPr>
                <w:rFonts w:ascii="Times New Roman" w:hAnsi="Times New Roman"/>
                <w:color w:val="000000"/>
                <w:sz w:val="21"/>
                <w:szCs w:val="21"/>
              </w:rPr>
            </w:pPr>
            <w:r w:rsidRPr="008A1479">
              <w:rPr>
                <w:rFonts w:ascii="Times New Roman" w:hAnsi="Times New Roman"/>
                <w:color w:val="000000"/>
                <w:sz w:val="21"/>
                <w:szCs w:val="21"/>
              </w:rPr>
              <w:t>6-10</w:t>
            </w:r>
          </w:p>
        </w:tc>
        <w:tc>
          <w:tcPr>
            <w:tcW w:w="1422" w:type="dxa"/>
            <w:gridSpan w:val="2"/>
            <w:shd w:val="clear" w:color="auto" w:fill="FFFFFF"/>
          </w:tcPr>
          <w:p w:rsidR="008A1479" w:rsidRPr="008A1479" w:rsidRDefault="008A1479" w:rsidP="008A1479">
            <w:pPr>
              <w:spacing w:line="240" w:lineRule="auto"/>
              <w:jc w:val="center"/>
              <w:rPr>
                <w:rFonts w:ascii="Times New Roman" w:hAnsi="Times New Roman"/>
                <w:i/>
                <w:color w:val="000000"/>
                <w:spacing w:val="-2"/>
                <w:sz w:val="21"/>
                <w:szCs w:val="21"/>
              </w:rPr>
            </w:pPr>
            <w:r w:rsidRPr="008A1479">
              <w:rPr>
                <w:rFonts w:ascii="Times New Roman" w:hAnsi="Times New Roman"/>
                <w:i/>
                <w:color w:val="000000"/>
                <w:spacing w:val="-2"/>
                <w:sz w:val="21"/>
                <w:szCs w:val="21"/>
              </w:rPr>
              <w:t>Łącznie</w:t>
            </w:r>
            <w:r w:rsidRPr="008A1479" w:rsidDel="0073273A">
              <w:rPr>
                <w:rFonts w:ascii="Times New Roman" w:hAnsi="Times New Roman"/>
                <w:i/>
                <w:color w:val="000000"/>
                <w:spacing w:val="-2"/>
                <w:sz w:val="21"/>
                <w:szCs w:val="21"/>
              </w:rPr>
              <w:t xml:space="preserve"> </w:t>
            </w:r>
            <w:r w:rsidRPr="008A1479">
              <w:rPr>
                <w:rFonts w:ascii="Times New Roman" w:hAnsi="Times New Roman"/>
                <w:i/>
                <w:color w:val="000000"/>
                <w:spacing w:val="-2"/>
                <w:sz w:val="21"/>
                <w:szCs w:val="21"/>
              </w:rPr>
              <w:t>(0-10)</w:t>
            </w:r>
          </w:p>
        </w:tc>
      </w:tr>
      <w:tr w:rsidR="008A1479" w:rsidRPr="008A1479" w:rsidTr="00BE0C80">
        <w:trPr>
          <w:gridAfter w:val="1"/>
          <w:wAfter w:w="10" w:type="dxa"/>
          <w:trHeight w:val="142"/>
        </w:trPr>
        <w:tc>
          <w:tcPr>
            <w:tcW w:w="1596" w:type="dxa"/>
            <w:vMerge w:val="restart"/>
            <w:shd w:val="clear" w:color="auto" w:fill="FFFFFF"/>
          </w:tcPr>
          <w:p w:rsidR="008A1479" w:rsidRPr="008A1479" w:rsidRDefault="008A1479" w:rsidP="008A1479">
            <w:pPr>
              <w:rPr>
                <w:rFonts w:ascii="Times New Roman" w:hAnsi="Times New Roman"/>
                <w:color w:val="000000"/>
                <w:sz w:val="21"/>
                <w:szCs w:val="21"/>
              </w:rPr>
            </w:pPr>
            <w:r w:rsidRPr="008A1479">
              <w:rPr>
                <w:rFonts w:ascii="Times New Roman" w:hAnsi="Times New Roman"/>
                <w:color w:val="000000"/>
                <w:sz w:val="21"/>
                <w:szCs w:val="21"/>
              </w:rPr>
              <w:t>W ujęciu pieniężnym</w:t>
            </w:r>
          </w:p>
          <w:p w:rsidR="008A1479" w:rsidRPr="008A1479" w:rsidRDefault="008A1479" w:rsidP="008A1479">
            <w:pPr>
              <w:rPr>
                <w:rFonts w:ascii="Times New Roman" w:hAnsi="Times New Roman"/>
                <w:spacing w:val="-2"/>
                <w:sz w:val="21"/>
                <w:szCs w:val="21"/>
              </w:rPr>
            </w:pPr>
            <w:r w:rsidRPr="008A1479">
              <w:rPr>
                <w:rFonts w:ascii="Times New Roman" w:hAnsi="Times New Roman"/>
                <w:spacing w:val="-2"/>
                <w:sz w:val="21"/>
                <w:szCs w:val="21"/>
              </w:rPr>
              <w:t xml:space="preserve">(w mln zł, </w:t>
            </w:r>
          </w:p>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spacing w:val="-2"/>
                <w:sz w:val="21"/>
                <w:szCs w:val="21"/>
              </w:rPr>
              <w:t>ceny stałe z …… r.)</w:t>
            </w:r>
          </w:p>
        </w:tc>
        <w:tc>
          <w:tcPr>
            <w:tcW w:w="1836" w:type="dxa"/>
            <w:gridSpan w:val="4"/>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duże przedsiębiorstwa</w:t>
            </w:r>
          </w:p>
        </w:tc>
        <w:tc>
          <w:tcPr>
            <w:tcW w:w="708" w:type="dxa"/>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0</w:t>
            </w:r>
          </w:p>
        </w:tc>
        <w:tc>
          <w:tcPr>
            <w:tcW w:w="1134" w:type="dxa"/>
            <w:gridSpan w:val="2"/>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0</w:t>
            </w:r>
          </w:p>
        </w:tc>
        <w:tc>
          <w:tcPr>
            <w:tcW w:w="993" w:type="dxa"/>
            <w:gridSpan w:val="2"/>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0</w:t>
            </w:r>
          </w:p>
        </w:tc>
        <w:tc>
          <w:tcPr>
            <w:tcW w:w="992" w:type="dxa"/>
            <w:gridSpan w:val="2"/>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0</w:t>
            </w:r>
          </w:p>
        </w:tc>
        <w:tc>
          <w:tcPr>
            <w:tcW w:w="1134" w:type="dxa"/>
            <w:gridSpan w:val="2"/>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0</w:t>
            </w:r>
          </w:p>
        </w:tc>
        <w:tc>
          <w:tcPr>
            <w:tcW w:w="1122" w:type="dxa"/>
            <w:gridSpan w:val="2"/>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0</w:t>
            </w:r>
          </w:p>
        </w:tc>
        <w:tc>
          <w:tcPr>
            <w:tcW w:w="1422" w:type="dxa"/>
            <w:gridSpan w:val="2"/>
            <w:shd w:val="clear" w:color="auto" w:fill="FFFFFF"/>
          </w:tcPr>
          <w:p w:rsidR="008A1479" w:rsidRPr="008A1479" w:rsidRDefault="008A1479" w:rsidP="008A1479">
            <w:pPr>
              <w:spacing w:line="240" w:lineRule="auto"/>
              <w:rPr>
                <w:rFonts w:ascii="Times New Roman" w:hAnsi="Times New Roman"/>
                <w:color w:val="000000"/>
                <w:spacing w:val="-2"/>
                <w:sz w:val="21"/>
                <w:szCs w:val="21"/>
              </w:rPr>
            </w:pPr>
            <w:r w:rsidRPr="008A1479">
              <w:rPr>
                <w:rFonts w:ascii="Times New Roman" w:hAnsi="Times New Roman"/>
                <w:color w:val="000000"/>
                <w:spacing w:val="-2"/>
                <w:sz w:val="21"/>
                <w:szCs w:val="21"/>
              </w:rPr>
              <w:t>0</w:t>
            </w:r>
          </w:p>
        </w:tc>
      </w:tr>
      <w:tr w:rsidR="008A1479" w:rsidRPr="008A1479" w:rsidTr="00BE0C80">
        <w:trPr>
          <w:gridAfter w:val="1"/>
          <w:wAfter w:w="10" w:type="dxa"/>
          <w:trHeight w:val="142"/>
        </w:trPr>
        <w:tc>
          <w:tcPr>
            <w:tcW w:w="1596" w:type="dxa"/>
            <w:vMerge/>
            <w:shd w:val="clear" w:color="auto" w:fill="FFFFFF"/>
          </w:tcPr>
          <w:p w:rsidR="008A1479" w:rsidRPr="008A1479" w:rsidRDefault="008A1479" w:rsidP="008A1479">
            <w:pPr>
              <w:spacing w:line="240" w:lineRule="auto"/>
              <w:rPr>
                <w:rFonts w:ascii="Times New Roman" w:hAnsi="Times New Roman"/>
                <w:color w:val="000000"/>
                <w:sz w:val="21"/>
                <w:szCs w:val="21"/>
              </w:rPr>
            </w:pPr>
          </w:p>
        </w:tc>
        <w:tc>
          <w:tcPr>
            <w:tcW w:w="1836" w:type="dxa"/>
            <w:gridSpan w:val="4"/>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sektor mikro-, małych i średnich przedsiębiorstw</w:t>
            </w:r>
          </w:p>
        </w:tc>
        <w:tc>
          <w:tcPr>
            <w:tcW w:w="708" w:type="dxa"/>
            <w:shd w:val="clear" w:color="auto" w:fill="FFFFFF"/>
          </w:tcPr>
          <w:p w:rsidR="008A1479" w:rsidRPr="008A1479" w:rsidRDefault="00BE0C80" w:rsidP="008B2F28">
            <w:pPr>
              <w:spacing w:line="240" w:lineRule="auto"/>
              <w:rPr>
                <w:rFonts w:ascii="Times New Roman" w:hAnsi="Times New Roman"/>
                <w:color w:val="000000"/>
                <w:sz w:val="21"/>
                <w:szCs w:val="21"/>
              </w:rPr>
            </w:pPr>
            <w:r>
              <w:rPr>
                <w:rFonts w:ascii="Times New Roman" w:hAnsi="Times New Roman"/>
                <w:color w:val="000000"/>
                <w:sz w:val="21"/>
                <w:szCs w:val="21"/>
              </w:rPr>
              <w:t>2,</w:t>
            </w:r>
            <w:r w:rsidR="008B2F28">
              <w:rPr>
                <w:rFonts w:ascii="Times New Roman" w:hAnsi="Times New Roman"/>
                <w:color w:val="000000"/>
                <w:sz w:val="21"/>
                <w:szCs w:val="21"/>
              </w:rPr>
              <w:t>5</w:t>
            </w:r>
          </w:p>
        </w:tc>
        <w:tc>
          <w:tcPr>
            <w:tcW w:w="1134" w:type="dxa"/>
            <w:gridSpan w:val="2"/>
            <w:shd w:val="clear" w:color="auto" w:fill="FFFFFF"/>
          </w:tcPr>
          <w:p w:rsidR="008A1479" w:rsidRPr="008A1479" w:rsidRDefault="008B2F28" w:rsidP="008A1479">
            <w:pPr>
              <w:spacing w:line="240" w:lineRule="auto"/>
              <w:rPr>
                <w:rFonts w:ascii="Times New Roman" w:hAnsi="Times New Roman"/>
                <w:color w:val="000000"/>
                <w:sz w:val="21"/>
                <w:szCs w:val="21"/>
              </w:rPr>
            </w:pPr>
            <w:r>
              <w:rPr>
                <w:rFonts w:ascii="Times New Roman" w:hAnsi="Times New Roman"/>
                <w:color w:val="000000"/>
                <w:sz w:val="21"/>
                <w:szCs w:val="21"/>
              </w:rPr>
              <w:t>3,0</w:t>
            </w:r>
          </w:p>
        </w:tc>
        <w:tc>
          <w:tcPr>
            <w:tcW w:w="993" w:type="dxa"/>
            <w:gridSpan w:val="2"/>
            <w:shd w:val="clear" w:color="auto" w:fill="FFFFFF"/>
          </w:tcPr>
          <w:p w:rsidR="008A1479" w:rsidRPr="008A1479" w:rsidRDefault="008B2F28" w:rsidP="008A1479">
            <w:pPr>
              <w:spacing w:line="240" w:lineRule="auto"/>
              <w:rPr>
                <w:rFonts w:ascii="Times New Roman" w:hAnsi="Times New Roman"/>
                <w:color w:val="000000"/>
                <w:sz w:val="21"/>
                <w:szCs w:val="21"/>
              </w:rPr>
            </w:pPr>
            <w:r>
              <w:rPr>
                <w:rFonts w:ascii="Times New Roman" w:hAnsi="Times New Roman"/>
                <w:color w:val="000000"/>
                <w:sz w:val="21"/>
                <w:szCs w:val="21"/>
              </w:rPr>
              <w:t>3,0</w:t>
            </w:r>
          </w:p>
        </w:tc>
        <w:tc>
          <w:tcPr>
            <w:tcW w:w="992" w:type="dxa"/>
            <w:gridSpan w:val="2"/>
            <w:shd w:val="clear" w:color="auto" w:fill="FFFFFF"/>
          </w:tcPr>
          <w:p w:rsidR="008A1479" w:rsidRPr="008A1479" w:rsidRDefault="008B2F28" w:rsidP="008A1479">
            <w:pPr>
              <w:spacing w:line="240" w:lineRule="auto"/>
              <w:rPr>
                <w:rFonts w:ascii="Times New Roman" w:hAnsi="Times New Roman"/>
                <w:color w:val="000000"/>
                <w:sz w:val="21"/>
                <w:szCs w:val="21"/>
              </w:rPr>
            </w:pPr>
            <w:r>
              <w:rPr>
                <w:rFonts w:ascii="Times New Roman" w:hAnsi="Times New Roman"/>
                <w:color w:val="000000"/>
                <w:sz w:val="21"/>
                <w:szCs w:val="21"/>
              </w:rPr>
              <w:t>3,0</w:t>
            </w:r>
          </w:p>
        </w:tc>
        <w:tc>
          <w:tcPr>
            <w:tcW w:w="1134" w:type="dxa"/>
            <w:gridSpan w:val="2"/>
            <w:shd w:val="clear" w:color="auto" w:fill="FFFFFF"/>
          </w:tcPr>
          <w:p w:rsidR="008A1479" w:rsidRPr="008A1479" w:rsidRDefault="008B2F28" w:rsidP="008A1479">
            <w:pPr>
              <w:spacing w:line="240" w:lineRule="auto"/>
              <w:rPr>
                <w:rFonts w:ascii="Times New Roman" w:hAnsi="Times New Roman"/>
                <w:color w:val="000000"/>
                <w:sz w:val="21"/>
                <w:szCs w:val="21"/>
              </w:rPr>
            </w:pPr>
            <w:r>
              <w:rPr>
                <w:rFonts w:ascii="Times New Roman" w:hAnsi="Times New Roman"/>
                <w:color w:val="000000"/>
                <w:sz w:val="21"/>
                <w:szCs w:val="21"/>
              </w:rPr>
              <w:t>6,0</w:t>
            </w:r>
          </w:p>
        </w:tc>
        <w:tc>
          <w:tcPr>
            <w:tcW w:w="1122" w:type="dxa"/>
            <w:gridSpan w:val="2"/>
            <w:shd w:val="clear" w:color="auto" w:fill="FFFFFF"/>
          </w:tcPr>
          <w:p w:rsidR="008A1479" w:rsidRPr="008A1479" w:rsidRDefault="008B2F28" w:rsidP="008A1479">
            <w:pPr>
              <w:spacing w:line="240" w:lineRule="auto"/>
              <w:rPr>
                <w:rFonts w:ascii="Times New Roman" w:hAnsi="Times New Roman"/>
                <w:color w:val="000000"/>
                <w:sz w:val="21"/>
                <w:szCs w:val="21"/>
              </w:rPr>
            </w:pPr>
            <w:r>
              <w:rPr>
                <w:rFonts w:ascii="Times New Roman" w:hAnsi="Times New Roman"/>
                <w:color w:val="000000"/>
                <w:sz w:val="21"/>
                <w:szCs w:val="21"/>
              </w:rPr>
              <w:t>15,0</w:t>
            </w:r>
          </w:p>
        </w:tc>
        <w:tc>
          <w:tcPr>
            <w:tcW w:w="1422" w:type="dxa"/>
            <w:gridSpan w:val="2"/>
            <w:shd w:val="clear" w:color="auto" w:fill="FFFFFF"/>
          </w:tcPr>
          <w:p w:rsidR="008A1479" w:rsidRPr="008A1479" w:rsidRDefault="008B2F28" w:rsidP="008A1479">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32,5</w:t>
            </w:r>
          </w:p>
        </w:tc>
      </w:tr>
      <w:tr w:rsidR="008A1479" w:rsidRPr="008A1479" w:rsidTr="00BE0C80">
        <w:trPr>
          <w:gridAfter w:val="1"/>
          <w:wAfter w:w="10" w:type="dxa"/>
          <w:trHeight w:val="142"/>
        </w:trPr>
        <w:tc>
          <w:tcPr>
            <w:tcW w:w="1596" w:type="dxa"/>
            <w:vMerge/>
            <w:shd w:val="clear" w:color="auto" w:fill="FFFFFF"/>
          </w:tcPr>
          <w:p w:rsidR="008A1479" w:rsidRPr="008A1479" w:rsidRDefault="008A1479" w:rsidP="008A1479">
            <w:pPr>
              <w:spacing w:line="240" w:lineRule="auto"/>
              <w:rPr>
                <w:rFonts w:ascii="Times New Roman" w:hAnsi="Times New Roman"/>
                <w:color w:val="000000"/>
                <w:sz w:val="21"/>
                <w:szCs w:val="21"/>
              </w:rPr>
            </w:pPr>
          </w:p>
        </w:tc>
        <w:tc>
          <w:tcPr>
            <w:tcW w:w="1836" w:type="dxa"/>
            <w:gridSpan w:val="4"/>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sz w:val="21"/>
                <w:szCs w:val="21"/>
              </w:rPr>
              <w:t>rodzina, obywatele oraz gospodarstwa domowe</w:t>
            </w:r>
          </w:p>
        </w:tc>
        <w:tc>
          <w:tcPr>
            <w:tcW w:w="708" w:type="dxa"/>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0</w:t>
            </w:r>
          </w:p>
        </w:tc>
        <w:tc>
          <w:tcPr>
            <w:tcW w:w="1134" w:type="dxa"/>
            <w:gridSpan w:val="2"/>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0</w:t>
            </w:r>
          </w:p>
        </w:tc>
        <w:tc>
          <w:tcPr>
            <w:tcW w:w="993" w:type="dxa"/>
            <w:gridSpan w:val="2"/>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0</w:t>
            </w:r>
          </w:p>
        </w:tc>
        <w:tc>
          <w:tcPr>
            <w:tcW w:w="992" w:type="dxa"/>
            <w:gridSpan w:val="2"/>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0</w:t>
            </w:r>
          </w:p>
        </w:tc>
        <w:tc>
          <w:tcPr>
            <w:tcW w:w="1134" w:type="dxa"/>
            <w:gridSpan w:val="2"/>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0</w:t>
            </w:r>
          </w:p>
        </w:tc>
        <w:tc>
          <w:tcPr>
            <w:tcW w:w="1122" w:type="dxa"/>
            <w:gridSpan w:val="2"/>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0</w:t>
            </w:r>
          </w:p>
        </w:tc>
        <w:tc>
          <w:tcPr>
            <w:tcW w:w="1422" w:type="dxa"/>
            <w:gridSpan w:val="2"/>
            <w:shd w:val="clear" w:color="auto" w:fill="FFFFFF"/>
          </w:tcPr>
          <w:p w:rsidR="008A1479" w:rsidRPr="008A1479" w:rsidRDefault="008A1479" w:rsidP="008A1479">
            <w:pPr>
              <w:spacing w:line="240" w:lineRule="auto"/>
              <w:rPr>
                <w:rFonts w:ascii="Times New Roman" w:hAnsi="Times New Roman"/>
                <w:color w:val="000000"/>
                <w:spacing w:val="-2"/>
                <w:sz w:val="21"/>
                <w:szCs w:val="21"/>
              </w:rPr>
            </w:pPr>
            <w:r w:rsidRPr="008A1479">
              <w:rPr>
                <w:rFonts w:ascii="Times New Roman" w:hAnsi="Times New Roman"/>
                <w:color w:val="000000"/>
                <w:spacing w:val="-2"/>
                <w:sz w:val="21"/>
                <w:szCs w:val="21"/>
              </w:rPr>
              <w:t>0</w:t>
            </w:r>
          </w:p>
        </w:tc>
      </w:tr>
      <w:tr w:rsidR="008A1479" w:rsidRPr="008A1479" w:rsidTr="00E04C86">
        <w:trPr>
          <w:gridAfter w:val="1"/>
          <w:wAfter w:w="10" w:type="dxa"/>
          <w:trHeight w:val="142"/>
        </w:trPr>
        <w:tc>
          <w:tcPr>
            <w:tcW w:w="1596" w:type="dxa"/>
            <w:vMerge w:val="restart"/>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W ujęciu niepieniężnym</w:t>
            </w:r>
          </w:p>
        </w:tc>
        <w:tc>
          <w:tcPr>
            <w:tcW w:w="1836" w:type="dxa"/>
            <w:gridSpan w:val="4"/>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duże przedsiębiorstwa</w:t>
            </w:r>
          </w:p>
        </w:tc>
        <w:tc>
          <w:tcPr>
            <w:tcW w:w="7505" w:type="dxa"/>
            <w:gridSpan w:val="13"/>
            <w:shd w:val="clear" w:color="auto" w:fill="FFFFFF"/>
          </w:tcPr>
          <w:p w:rsidR="008A1479" w:rsidRPr="008A1479" w:rsidRDefault="008A1479" w:rsidP="008A1479">
            <w:pPr>
              <w:spacing w:line="240" w:lineRule="auto"/>
              <w:rPr>
                <w:rFonts w:ascii="Times New Roman" w:hAnsi="Times New Roman"/>
                <w:color w:val="000000"/>
                <w:spacing w:val="-2"/>
                <w:sz w:val="21"/>
                <w:szCs w:val="21"/>
              </w:rPr>
            </w:pPr>
            <w:r w:rsidRPr="008A1479">
              <w:rPr>
                <w:rFonts w:ascii="Times New Roman" w:hAnsi="Times New Roman"/>
                <w:color w:val="000000"/>
                <w:spacing w:val="-2"/>
                <w:sz w:val="21"/>
                <w:szCs w:val="21"/>
              </w:rPr>
              <w:t>Nie dotyczy</w:t>
            </w:r>
          </w:p>
        </w:tc>
      </w:tr>
      <w:tr w:rsidR="008A1479" w:rsidRPr="008A1479" w:rsidTr="00E04C86">
        <w:trPr>
          <w:gridAfter w:val="1"/>
          <w:wAfter w:w="10" w:type="dxa"/>
          <w:trHeight w:val="142"/>
        </w:trPr>
        <w:tc>
          <w:tcPr>
            <w:tcW w:w="1596" w:type="dxa"/>
            <w:vMerge/>
            <w:shd w:val="clear" w:color="auto" w:fill="FFFFFF"/>
          </w:tcPr>
          <w:p w:rsidR="008A1479" w:rsidRPr="008A1479" w:rsidRDefault="008A1479" w:rsidP="008A1479">
            <w:pPr>
              <w:spacing w:line="240" w:lineRule="auto"/>
              <w:rPr>
                <w:rFonts w:ascii="Times New Roman" w:hAnsi="Times New Roman"/>
                <w:color w:val="000000"/>
                <w:sz w:val="21"/>
                <w:szCs w:val="21"/>
              </w:rPr>
            </w:pPr>
          </w:p>
        </w:tc>
        <w:tc>
          <w:tcPr>
            <w:tcW w:w="1836" w:type="dxa"/>
            <w:gridSpan w:val="4"/>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sektor mikro-, małych i średnich przedsiębiorstw</w:t>
            </w:r>
          </w:p>
        </w:tc>
        <w:tc>
          <w:tcPr>
            <w:tcW w:w="7505" w:type="dxa"/>
            <w:gridSpan w:val="13"/>
            <w:shd w:val="clear" w:color="auto" w:fill="FFFFFF"/>
          </w:tcPr>
          <w:p w:rsidR="008A1479" w:rsidRPr="008A1479" w:rsidRDefault="008A1479" w:rsidP="008A1479">
            <w:pPr>
              <w:spacing w:line="240" w:lineRule="auto"/>
              <w:rPr>
                <w:rFonts w:ascii="Times New Roman" w:hAnsi="Times New Roman"/>
                <w:color w:val="000000"/>
                <w:spacing w:val="-2"/>
                <w:sz w:val="21"/>
                <w:szCs w:val="21"/>
              </w:rPr>
            </w:pPr>
            <w:r w:rsidRPr="008A1479">
              <w:rPr>
                <w:rFonts w:ascii="Times New Roman" w:hAnsi="Times New Roman"/>
                <w:color w:val="000000"/>
                <w:spacing w:val="-2"/>
                <w:sz w:val="21"/>
                <w:szCs w:val="21"/>
              </w:rPr>
              <w:t>Nie dotyczy</w:t>
            </w:r>
          </w:p>
        </w:tc>
      </w:tr>
      <w:tr w:rsidR="008A1479" w:rsidRPr="008A1479" w:rsidTr="00E04C86">
        <w:trPr>
          <w:gridAfter w:val="1"/>
          <w:wAfter w:w="10" w:type="dxa"/>
          <w:trHeight w:val="596"/>
        </w:trPr>
        <w:tc>
          <w:tcPr>
            <w:tcW w:w="1596" w:type="dxa"/>
            <w:vMerge/>
            <w:shd w:val="clear" w:color="auto" w:fill="FFFFFF"/>
          </w:tcPr>
          <w:p w:rsidR="008A1479" w:rsidRPr="008A1479" w:rsidRDefault="008A1479" w:rsidP="008A1479">
            <w:pPr>
              <w:spacing w:line="240" w:lineRule="auto"/>
              <w:rPr>
                <w:rFonts w:ascii="Times New Roman" w:hAnsi="Times New Roman"/>
                <w:color w:val="000000"/>
                <w:sz w:val="21"/>
                <w:szCs w:val="21"/>
              </w:rPr>
            </w:pPr>
          </w:p>
        </w:tc>
        <w:tc>
          <w:tcPr>
            <w:tcW w:w="1836" w:type="dxa"/>
            <w:gridSpan w:val="4"/>
            <w:shd w:val="clear" w:color="auto" w:fill="FFFFFF"/>
          </w:tcPr>
          <w:p w:rsidR="008A1479" w:rsidRPr="008A1479" w:rsidRDefault="008A1479" w:rsidP="008A1479">
            <w:pPr>
              <w:tabs>
                <w:tab w:val="right" w:pos="1936"/>
              </w:tabs>
              <w:spacing w:line="240" w:lineRule="auto"/>
              <w:rPr>
                <w:rFonts w:ascii="Times New Roman" w:hAnsi="Times New Roman"/>
                <w:color w:val="000000"/>
                <w:sz w:val="21"/>
                <w:szCs w:val="21"/>
              </w:rPr>
            </w:pPr>
            <w:r w:rsidRPr="008A1479">
              <w:rPr>
                <w:rFonts w:ascii="Times New Roman" w:hAnsi="Times New Roman"/>
                <w:sz w:val="21"/>
                <w:szCs w:val="21"/>
              </w:rPr>
              <w:t>rodzina, obywatele oraz gospodarstwa domowe</w:t>
            </w:r>
            <w:r w:rsidRPr="008A1479">
              <w:rPr>
                <w:rFonts w:ascii="Times New Roman" w:hAnsi="Times New Roman"/>
                <w:color w:val="000000"/>
                <w:sz w:val="21"/>
                <w:szCs w:val="21"/>
              </w:rPr>
              <w:t xml:space="preserve"> </w:t>
            </w:r>
          </w:p>
        </w:tc>
        <w:tc>
          <w:tcPr>
            <w:tcW w:w="7505" w:type="dxa"/>
            <w:gridSpan w:val="13"/>
            <w:shd w:val="clear" w:color="auto" w:fill="FFFFFF"/>
          </w:tcPr>
          <w:p w:rsidR="008A1479" w:rsidRPr="008A1479" w:rsidRDefault="008A1479" w:rsidP="008A1479">
            <w:pPr>
              <w:spacing w:line="240" w:lineRule="auto"/>
              <w:rPr>
                <w:rFonts w:ascii="Times New Roman" w:hAnsi="Times New Roman"/>
                <w:color w:val="000000"/>
                <w:spacing w:val="-2"/>
                <w:sz w:val="21"/>
                <w:szCs w:val="21"/>
              </w:rPr>
            </w:pPr>
            <w:r w:rsidRPr="008A1479">
              <w:rPr>
                <w:rFonts w:ascii="Times New Roman" w:hAnsi="Times New Roman"/>
                <w:color w:val="000000"/>
                <w:spacing w:val="-2"/>
                <w:sz w:val="21"/>
                <w:szCs w:val="21"/>
              </w:rPr>
              <w:t>Nie dotyczy</w:t>
            </w:r>
          </w:p>
        </w:tc>
      </w:tr>
      <w:tr w:rsidR="008A1479" w:rsidRPr="008A1479" w:rsidTr="00E04C86">
        <w:trPr>
          <w:gridAfter w:val="1"/>
          <w:wAfter w:w="10" w:type="dxa"/>
          <w:trHeight w:val="142"/>
        </w:trPr>
        <w:tc>
          <w:tcPr>
            <w:tcW w:w="1596" w:type="dxa"/>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Niemierzalne</w:t>
            </w:r>
          </w:p>
        </w:tc>
        <w:tc>
          <w:tcPr>
            <w:tcW w:w="1836" w:type="dxa"/>
            <w:gridSpan w:val="4"/>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8A1479">
              <w:rPr>
                <w:rFonts w:ascii="Times New Roman" w:hAnsi="Times New Roman"/>
                <w:color w:val="000000"/>
                <w:sz w:val="21"/>
                <w:szCs w:val="21"/>
              </w:rPr>
              <w:instrText xml:space="preserve"> FORMTEXT </w:instrText>
            </w:r>
            <w:r w:rsidRPr="008A1479">
              <w:rPr>
                <w:rFonts w:ascii="Times New Roman" w:hAnsi="Times New Roman"/>
                <w:color w:val="000000"/>
                <w:sz w:val="21"/>
                <w:szCs w:val="21"/>
              </w:rPr>
            </w:r>
            <w:r w:rsidRPr="008A1479">
              <w:rPr>
                <w:rFonts w:ascii="Times New Roman" w:hAnsi="Times New Roman"/>
                <w:color w:val="000000"/>
                <w:sz w:val="21"/>
                <w:szCs w:val="21"/>
              </w:rPr>
              <w:fldChar w:fldCharType="separate"/>
            </w:r>
            <w:r w:rsidRPr="008A1479">
              <w:rPr>
                <w:rFonts w:ascii="Times New Roman" w:hAnsi="Times New Roman"/>
                <w:noProof/>
                <w:color w:val="000000"/>
                <w:sz w:val="21"/>
                <w:szCs w:val="21"/>
              </w:rPr>
              <w:t>(dodaj/usuń)</w:t>
            </w:r>
            <w:r w:rsidRPr="008A1479">
              <w:rPr>
                <w:rFonts w:ascii="Times New Roman" w:hAnsi="Times New Roman"/>
                <w:color w:val="000000"/>
                <w:sz w:val="21"/>
                <w:szCs w:val="21"/>
              </w:rPr>
              <w:fldChar w:fldCharType="end"/>
            </w:r>
          </w:p>
        </w:tc>
        <w:tc>
          <w:tcPr>
            <w:tcW w:w="7505" w:type="dxa"/>
            <w:gridSpan w:val="13"/>
            <w:shd w:val="clear" w:color="auto" w:fill="FFFFFF"/>
          </w:tcPr>
          <w:p w:rsidR="008A1479" w:rsidRPr="008A1479" w:rsidRDefault="008A1479" w:rsidP="008A1479">
            <w:pPr>
              <w:spacing w:line="240" w:lineRule="auto"/>
              <w:rPr>
                <w:rFonts w:ascii="Times New Roman" w:hAnsi="Times New Roman"/>
                <w:color w:val="000000"/>
                <w:spacing w:val="-2"/>
                <w:sz w:val="21"/>
                <w:szCs w:val="21"/>
              </w:rPr>
            </w:pPr>
            <w:r w:rsidRPr="008A1479">
              <w:rPr>
                <w:rFonts w:ascii="Times New Roman" w:hAnsi="Times New Roman"/>
                <w:color w:val="000000"/>
                <w:spacing w:val="-2"/>
                <w:sz w:val="21"/>
                <w:szCs w:val="21"/>
              </w:rPr>
              <w:t>Nie dotyczy</w:t>
            </w:r>
          </w:p>
        </w:tc>
      </w:tr>
      <w:tr w:rsidR="008A1479" w:rsidRPr="008A1479" w:rsidTr="008A1479">
        <w:trPr>
          <w:gridAfter w:val="1"/>
          <w:wAfter w:w="10" w:type="dxa"/>
          <w:trHeight w:val="1643"/>
        </w:trPr>
        <w:tc>
          <w:tcPr>
            <w:tcW w:w="2243" w:type="dxa"/>
            <w:gridSpan w:val="3"/>
            <w:shd w:val="clear" w:color="auto" w:fill="FFFFFF"/>
          </w:tcPr>
          <w:p w:rsidR="008A1479" w:rsidRPr="008A1479" w:rsidRDefault="008A1479" w:rsidP="008A1479">
            <w:pPr>
              <w:spacing w:line="240" w:lineRule="auto"/>
              <w:rPr>
                <w:rFonts w:ascii="Times New Roman" w:hAnsi="Times New Roman"/>
                <w:color w:val="000000"/>
                <w:sz w:val="21"/>
                <w:szCs w:val="21"/>
              </w:rPr>
            </w:pPr>
            <w:r w:rsidRPr="008A1479">
              <w:rPr>
                <w:rFonts w:ascii="Times New Roman" w:hAnsi="Times New Roman"/>
                <w:color w:val="000000"/>
                <w:sz w:val="21"/>
                <w:szCs w:val="21"/>
              </w:rPr>
              <w:t xml:space="preserve">Dodatkowe informacje, w tym wskazanie źródeł danych i przyjętych do obliczeń założeń </w:t>
            </w:r>
          </w:p>
        </w:tc>
        <w:tc>
          <w:tcPr>
            <w:tcW w:w="8694" w:type="dxa"/>
            <w:gridSpan w:val="15"/>
            <w:shd w:val="clear" w:color="auto" w:fill="FFFFFF"/>
            <w:vAlign w:val="center"/>
          </w:tcPr>
          <w:p w:rsidR="008A1479" w:rsidRPr="008A1479" w:rsidRDefault="008A1479" w:rsidP="008A1479">
            <w:pPr>
              <w:spacing w:line="240" w:lineRule="auto"/>
              <w:jc w:val="both"/>
              <w:rPr>
                <w:rFonts w:ascii="Times New Roman" w:hAnsi="Times New Roman"/>
                <w:color w:val="000000"/>
                <w:sz w:val="21"/>
                <w:szCs w:val="21"/>
              </w:rPr>
            </w:pPr>
          </w:p>
          <w:p w:rsidR="008A1479" w:rsidRPr="008A1479" w:rsidRDefault="008A1479" w:rsidP="008A1479">
            <w:pPr>
              <w:spacing w:line="240" w:lineRule="auto"/>
              <w:jc w:val="both"/>
              <w:rPr>
                <w:rFonts w:ascii="Times New Roman" w:hAnsi="Times New Roman"/>
                <w:color w:val="000000"/>
                <w:sz w:val="21"/>
                <w:szCs w:val="21"/>
              </w:rPr>
            </w:pPr>
            <w:r w:rsidRPr="008A1479">
              <w:rPr>
                <w:rFonts w:ascii="Times New Roman" w:hAnsi="Times New Roman"/>
                <w:color w:val="000000"/>
                <w:sz w:val="21"/>
                <w:szCs w:val="21"/>
              </w:rPr>
              <w:t>Wejście w życie projektu uchwały Rady Ministrów może mieć wpływ na MŚP i sektor dużych przedsiębiorstw, w postaci ewentualnego zakupu usług przez NIW- CRSO na wsparcie wykonania działań zaplanowanych w programie lub realizacji projektów inwestycyjnych obejmujących rozwój infrastruktury placówek (remonty, rozbudowy, zakup wyposażenia).</w:t>
            </w:r>
          </w:p>
          <w:p w:rsidR="008A1479" w:rsidRPr="008A1479" w:rsidRDefault="008A1479" w:rsidP="008A1479">
            <w:pPr>
              <w:spacing w:line="240" w:lineRule="auto"/>
              <w:jc w:val="both"/>
              <w:rPr>
                <w:rFonts w:ascii="Times New Roman" w:hAnsi="Times New Roman"/>
                <w:color w:val="000000"/>
                <w:sz w:val="21"/>
                <w:szCs w:val="21"/>
              </w:rPr>
            </w:pPr>
            <w:r w:rsidRPr="008A1479">
              <w:rPr>
                <w:rFonts w:ascii="Times New Roman" w:hAnsi="Times New Roman"/>
                <w:color w:val="000000"/>
                <w:sz w:val="21"/>
                <w:szCs w:val="21"/>
              </w:rPr>
              <w:t xml:space="preserve"> W związku z tym, że realizacja Programu finansowana będzie z krajowych środków publicznych w ramach dotacji celowej z budżetu państwa, a koszty obsługi Programu ze środków publicznych w ramach dotacji podmiotowej z budżetu państwa, wpływ </w:t>
            </w:r>
            <w:r w:rsidR="00E511D6">
              <w:rPr>
                <w:rFonts w:ascii="Times New Roman" w:hAnsi="Times New Roman"/>
                <w:color w:val="000000"/>
                <w:sz w:val="21"/>
                <w:szCs w:val="21"/>
              </w:rPr>
              <w:t>na konkurencyjność gospodarki i </w:t>
            </w:r>
            <w:r w:rsidRPr="008A1479">
              <w:rPr>
                <w:rFonts w:ascii="Times New Roman" w:hAnsi="Times New Roman"/>
                <w:color w:val="000000"/>
                <w:sz w:val="21"/>
                <w:szCs w:val="21"/>
              </w:rPr>
              <w:t>przedsiębiorczość, w tym funkcjonowanie przedsiębiorców oraz na rodzinę, obywateli i gospodarstwa domowe został wykazany w formularzu OSR do Projektu ustawy o zmianie ustawy o Narodowym Instytucie Wolności – Centrum Rozwoju Społeczeństwa Obywatelskiego.</w:t>
            </w:r>
          </w:p>
          <w:p w:rsidR="008A1479" w:rsidRPr="008A1479" w:rsidRDefault="008A1479" w:rsidP="008A1479">
            <w:pPr>
              <w:spacing w:line="240" w:lineRule="auto"/>
              <w:jc w:val="both"/>
              <w:rPr>
                <w:rFonts w:ascii="Times New Roman" w:hAnsi="Times New Roman"/>
                <w:color w:val="000000"/>
                <w:sz w:val="21"/>
                <w:szCs w:val="21"/>
              </w:rPr>
            </w:pPr>
          </w:p>
        </w:tc>
      </w:tr>
    </w:tbl>
    <w:p w:rsidR="008A1479" w:rsidRPr="008A1479" w:rsidRDefault="008A1479" w:rsidP="008A1479">
      <w:pPr>
        <w:keepNext/>
        <w:spacing w:before="240" w:after="60" w:line="240" w:lineRule="auto"/>
        <w:outlineLvl w:val="0"/>
        <w:rPr>
          <w:rFonts w:ascii="Times New Roman" w:eastAsia="Times New Roman" w:hAnsi="Times New Roman"/>
          <w:b/>
          <w:bCs/>
          <w:kern w:val="32"/>
          <w:sz w:val="20"/>
          <w:szCs w:val="20"/>
          <w:lang w:eastAsia="pl-PL"/>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1303"/>
        <w:gridCol w:w="1564"/>
        <w:gridCol w:w="2126"/>
        <w:gridCol w:w="2994"/>
      </w:tblGrid>
      <w:tr w:rsidR="008A1479" w:rsidRPr="008A1479" w:rsidTr="008A1479">
        <w:trPr>
          <w:trHeight w:val="342"/>
        </w:trPr>
        <w:tc>
          <w:tcPr>
            <w:tcW w:w="10774" w:type="dxa"/>
            <w:gridSpan w:val="5"/>
            <w:shd w:val="clear" w:color="auto" w:fill="99CCFF"/>
          </w:tcPr>
          <w:p w:rsidR="008A1479" w:rsidRPr="008A1479" w:rsidRDefault="008A1479" w:rsidP="008A1479">
            <w:pPr>
              <w:numPr>
                <w:ilvl w:val="0"/>
                <w:numId w:val="3"/>
              </w:numPr>
              <w:spacing w:before="120" w:after="120" w:line="240" w:lineRule="auto"/>
              <w:jc w:val="both"/>
              <w:rPr>
                <w:rFonts w:ascii="Times New Roman" w:hAnsi="Times New Roman"/>
                <w:b/>
                <w:color w:val="000000"/>
              </w:rPr>
            </w:pPr>
            <w:r w:rsidRPr="008A1479">
              <w:rPr>
                <w:rFonts w:ascii="Times New Roman" w:hAnsi="Times New Roman"/>
                <w:b/>
                <w:color w:val="000000"/>
              </w:rPr>
              <w:t>Zmiana obciążeń regulacyjnych (w tym obowiązków informacyjnych) wynikających z projektu</w:t>
            </w:r>
          </w:p>
        </w:tc>
      </w:tr>
      <w:tr w:rsidR="008A1479" w:rsidRPr="008A1479" w:rsidTr="008A1479">
        <w:trPr>
          <w:trHeight w:val="151"/>
        </w:trPr>
        <w:tc>
          <w:tcPr>
            <w:tcW w:w="10774" w:type="dxa"/>
            <w:gridSpan w:val="5"/>
            <w:shd w:val="clear" w:color="auto" w:fill="FFFFFF"/>
          </w:tcPr>
          <w:p w:rsidR="008A1479" w:rsidRPr="008A1479" w:rsidRDefault="008A1479" w:rsidP="008A1479">
            <w:pPr>
              <w:spacing w:before="120" w:after="120" w:line="240" w:lineRule="auto"/>
              <w:rPr>
                <w:rFonts w:ascii="Times New Roman" w:hAnsi="Times New Roman"/>
                <w:color w:val="000000"/>
              </w:rPr>
            </w:pPr>
            <w:r w:rsidRPr="008A1479">
              <w:rPr>
                <w:rFonts w:ascii="Times New Roman" w:hAnsi="Times New Roman"/>
                <w:color w:val="000000"/>
              </w:rPr>
              <w:fldChar w:fldCharType="begin">
                <w:ffData>
                  <w:name w:val=""/>
                  <w:enabled/>
                  <w:calcOnExit w:val="0"/>
                  <w:checkBox>
                    <w:sizeAuto/>
                    <w:default w:val="1"/>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rPr>
              <w:t xml:space="preserve"> </w:t>
            </w:r>
            <w:r w:rsidRPr="008A1479">
              <w:rPr>
                <w:rFonts w:ascii="Times New Roman" w:hAnsi="Times New Roman"/>
                <w:color w:val="000000"/>
                <w:spacing w:val="-2"/>
              </w:rPr>
              <w:t>nie dotyczy</w:t>
            </w:r>
          </w:p>
        </w:tc>
      </w:tr>
      <w:tr w:rsidR="008A1479" w:rsidRPr="008A1479" w:rsidTr="008A1479">
        <w:trPr>
          <w:trHeight w:val="946"/>
        </w:trPr>
        <w:tc>
          <w:tcPr>
            <w:tcW w:w="5654" w:type="dxa"/>
            <w:gridSpan w:val="3"/>
            <w:shd w:val="clear" w:color="auto" w:fill="FFFFFF"/>
          </w:tcPr>
          <w:p w:rsidR="008A1479" w:rsidRPr="008A1479" w:rsidRDefault="008A1479" w:rsidP="008A1479">
            <w:pPr>
              <w:spacing w:before="120" w:after="120"/>
              <w:rPr>
                <w:rFonts w:ascii="Times New Roman" w:hAnsi="Times New Roman"/>
                <w:color w:val="000000"/>
                <w:spacing w:val="-2"/>
              </w:rPr>
            </w:pPr>
            <w:r w:rsidRPr="008A1479">
              <w:rPr>
                <w:rFonts w:ascii="Times New Roman" w:hAnsi="Times New Roman"/>
                <w:color w:val="000000"/>
                <w:spacing w:val="-2"/>
              </w:rPr>
              <w:t xml:space="preserve">Wprowadzane są obciążenia poza bezwzględnie wymaganymi przez UE </w:t>
            </w:r>
            <w:r w:rsidRPr="008A1479">
              <w:rPr>
                <w:rFonts w:ascii="Times New Roman" w:hAnsi="Times New Roman"/>
                <w:color w:val="000000"/>
              </w:rPr>
              <w:t>(szczegóły w odwróconej tabeli zgodności).</w:t>
            </w:r>
          </w:p>
        </w:tc>
        <w:tc>
          <w:tcPr>
            <w:tcW w:w="5120" w:type="dxa"/>
            <w:gridSpan w:val="2"/>
            <w:shd w:val="clear" w:color="auto" w:fill="FFFFFF"/>
          </w:tcPr>
          <w:p w:rsidR="008A1479" w:rsidRPr="008A1479" w:rsidRDefault="008A1479" w:rsidP="008A1479">
            <w:pPr>
              <w:spacing w:before="120" w:after="120" w:line="240" w:lineRule="auto"/>
              <w:rPr>
                <w:rFonts w:ascii="Times New Roman" w:hAnsi="Times New Roman"/>
                <w:color w:val="000000"/>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rPr>
              <w:t xml:space="preserve"> tak</w:t>
            </w:r>
          </w:p>
          <w:p w:rsidR="008A1479" w:rsidRPr="008A1479" w:rsidRDefault="008A1479" w:rsidP="008A1479">
            <w:pPr>
              <w:spacing w:before="120" w:after="120" w:line="240" w:lineRule="auto"/>
              <w:rPr>
                <w:rFonts w:ascii="Times New Roman" w:hAnsi="Times New Roman"/>
                <w:color w:val="000000"/>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rPr>
              <w:t xml:space="preserve"> nie</w:t>
            </w:r>
          </w:p>
          <w:p w:rsidR="008A1479" w:rsidRPr="008A1479" w:rsidRDefault="008A1479" w:rsidP="008A1479">
            <w:pPr>
              <w:spacing w:before="120" w:after="120"/>
              <w:rPr>
                <w:rFonts w:ascii="Times New Roman" w:hAnsi="Times New Roman"/>
                <w:color w:val="000000"/>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rPr>
              <w:t xml:space="preserve"> nie dotyczy</w:t>
            </w:r>
          </w:p>
        </w:tc>
      </w:tr>
      <w:tr w:rsidR="008A1479" w:rsidRPr="008A1479" w:rsidTr="008A1479">
        <w:trPr>
          <w:trHeight w:val="1245"/>
        </w:trPr>
        <w:tc>
          <w:tcPr>
            <w:tcW w:w="5654" w:type="dxa"/>
            <w:gridSpan w:val="3"/>
            <w:shd w:val="clear" w:color="auto" w:fill="FFFFFF"/>
          </w:tcPr>
          <w:p w:rsidR="008A1479" w:rsidRPr="008A1479" w:rsidRDefault="008A1479" w:rsidP="008A1479">
            <w:pPr>
              <w:spacing w:before="120" w:after="120" w:line="240" w:lineRule="auto"/>
              <w:rPr>
                <w:rFonts w:ascii="Times New Roman" w:hAnsi="Times New Roman"/>
                <w:color w:val="000000"/>
                <w:spacing w:val="-2"/>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spacing w:val="-2"/>
              </w:rPr>
              <w:t xml:space="preserve">zmniejszenie liczby dokumentów </w:t>
            </w:r>
          </w:p>
          <w:p w:rsidR="008A1479" w:rsidRPr="008A1479" w:rsidRDefault="008A1479" w:rsidP="008A1479">
            <w:pPr>
              <w:spacing w:before="120" w:after="120" w:line="240" w:lineRule="auto"/>
              <w:rPr>
                <w:rFonts w:ascii="Times New Roman" w:hAnsi="Times New Roman"/>
                <w:color w:val="000000"/>
                <w:spacing w:val="-2"/>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spacing w:val="-2"/>
              </w:rPr>
              <w:t>zmniejszenie liczby procedur</w:t>
            </w:r>
          </w:p>
          <w:p w:rsidR="008A1479" w:rsidRPr="008A1479" w:rsidRDefault="008A1479" w:rsidP="008A1479">
            <w:pPr>
              <w:spacing w:before="120" w:after="120" w:line="240" w:lineRule="auto"/>
              <w:rPr>
                <w:rFonts w:ascii="Times New Roman" w:hAnsi="Times New Roman"/>
                <w:color w:val="000000"/>
                <w:spacing w:val="-2"/>
              </w:rPr>
            </w:pPr>
            <w:r w:rsidRPr="008A1479">
              <w:rPr>
                <w:rFonts w:ascii="Times New Roman" w:hAnsi="Times New Roman"/>
                <w:color w:val="000000"/>
              </w:rPr>
              <w:fldChar w:fldCharType="begin">
                <w:ffData>
                  <w:name w:val=""/>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spacing w:val="-2"/>
              </w:rPr>
              <w:t>skrócenie czasu na załatwienie sprawy</w:t>
            </w:r>
          </w:p>
          <w:p w:rsidR="008A1479" w:rsidRPr="008A1479" w:rsidRDefault="008A1479" w:rsidP="008A1479">
            <w:pPr>
              <w:spacing w:before="120" w:after="120"/>
              <w:rPr>
                <w:rFonts w:ascii="Times New Roman" w:hAnsi="Times New Roman"/>
                <w:b/>
                <w:color w:val="000000"/>
                <w:spacing w:val="-2"/>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spacing w:val="-2"/>
              </w:rPr>
              <w:t>inne:</w:t>
            </w:r>
            <w:r w:rsidRPr="008A1479">
              <w:rPr>
                <w:rFonts w:ascii="Times New Roman" w:hAnsi="Times New Roman"/>
                <w:color w:val="000000"/>
              </w:rPr>
              <w:t xml:space="preserve"> </w:t>
            </w:r>
            <w:r w:rsidRPr="008A1479">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A1479">
              <w:rPr>
                <w:rFonts w:ascii="Times New Roman" w:hAnsi="Times New Roman"/>
                <w:color w:val="000000"/>
              </w:rPr>
              <w:instrText xml:space="preserve"> FORMTEXT </w:instrText>
            </w:r>
            <w:r w:rsidRPr="008A1479">
              <w:rPr>
                <w:rFonts w:ascii="Times New Roman" w:hAnsi="Times New Roman"/>
                <w:color w:val="000000"/>
              </w:rPr>
            </w:r>
            <w:r w:rsidRPr="008A1479">
              <w:rPr>
                <w:rFonts w:ascii="Times New Roman" w:hAnsi="Times New Roman"/>
                <w:color w:val="000000"/>
              </w:rPr>
              <w:fldChar w:fldCharType="separate"/>
            </w:r>
            <w:r w:rsidRPr="008A1479">
              <w:rPr>
                <w:rFonts w:ascii="Times New Roman"/>
                <w:noProof/>
                <w:color w:val="000000"/>
              </w:rPr>
              <w:t> </w:t>
            </w:r>
            <w:r w:rsidRPr="008A1479">
              <w:rPr>
                <w:rFonts w:ascii="Times New Roman"/>
                <w:noProof/>
                <w:color w:val="000000"/>
              </w:rPr>
              <w:t> </w:t>
            </w:r>
            <w:r w:rsidRPr="008A1479">
              <w:rPr>
                <w:rFonts w:ascii="Times New Roman"/>
                <w:noProof/>
                <w:color w:val="000000"/>
              </w:rPr>
              <w:t> </w:t>
            </w:r>
            <w:r w:rsidRPr="008A1479">
              <w:rPr>
                <w:rFonts w:ascii="Times New Roman"/>
                <w:noProof/>
                <w:color w:val="000000"/>
              </w:rPr>
              <w:t> </w:t>
            </w:r>
            <w:r w:rsidRPr="008A1479">
              <w:rPr>
                <w:rFonts w:ascii="Times New Roman"/>
                <w:noProof/>
                <w:color w:val="000000"/>
              </w:rPr>
              <w:t> </w:t>
            </w:r>
            <w:r w:rsidRPr="008A1479">
              <w:rPr>
                <w:rFonts w:ascii="Times New Roman" w:hAnsi="Times New Roman"/>
                <w:color w:val="000000"/>
              </w:rPr>
              <w:fldChar w:fldCharType="end"/>
            </w:r>
          </w:p>
        </w:tc>
        <w:tc>
          <w:tcPr>
            <w:tcW w:w="5120" w:type="dxa"/>
            <w:gridSpan w:val="2"/>
            <w:shd w:val="clear" w:color="auto" w:fill="FFFFFF"/>
          </w:tcPr>
          <w:p w:rsidR="008A1479" w:rsidRPr="008A1479" w:rsidRDefault="008A1479" w:rsidP="008A1479">
            <w:pPr>
              <w:spacing w:before="120" w:after="120" w:line="240" w:lineRule="auto"/>
              <w:rPr>
                <w:rFonts w:ascii="Times New Roman" w:hAnsi="Times New Roman"/>
                <w:color w:val="000000"/>
                <w:spacing w:val="-2"/>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spacing w:val="-2"/>
              </w:rPr>
              <w:t>zwiększenie liczby dokumentów</w:t>
            </w:r>
          </w:p>
          <w:p w:rsidR="008A1479" w:rsidRPr="008A1479" w:rsidRDefault="008A1479" w:rsidP="008A1479">
            <w:pPr>
              <w:spacing w:before="120" w:after="120" w:line="240" w:lineRule="auto"/>
              <w:rPr>
                <w:rFonts w:ascii="Times New Roman" w:hAnsi="Times New Roman"/>
                <w:color w:val="000000"/>
                <w:spacing w:val="-2"/>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spacing w:val="-2"/>
              </w:rPr>
              <w:t>zwiększenie liczby procedur</w:t>
            </w:r>
          </w:p>
          <w:p w:rsidR="008A1479" w:rsidRPr="008A1479" w:rsidRDefault="008A1479" w:rsidP="008A1479">
            <w:pPr>
              <w:spacing w:before="120" w:after="120" w:line="240" w:lineRule="auto"/>
              <w:rPr>
                <w:rFonts w:ascii="Times New Roman" w:hAnsi="Times New Roman"/>
                <w:color w:val="000000"/>
                <w:spacing w:val="-2"/>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spacing w:val="-2"/>
              </w:rPr>
              <w:t>wydłużenie czasu na załatwienie sprawy</w:t>
            </w:r>
          </w:p>
          <w:p w:rsidR="008A1479" w:rsidRPr="008A1479" w:rsidRDefault="008A1479" w:rsidP="008A1479">
            <w:pPr>
              <w:spacing w:before="120" w:after="120" w:line="240" w:lineRule="auto"/>
              <w:rPr>
                <w:rFonts w:ascii="Times New Roman" w:hAnsi="Times New Roman"/>
                <w:color w:val="000000"/>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spacing w:val="-2"/>
              </w:rPr>
              <w:t>inne:</w:t>
            </w:r>
            <w:r w:rsidRPr="008A1479">
              <w:rPr>
                <w:rFonts w:ascii="Times New Roman" w:hAnsi="Times New Roman"/>
                <w:color w:val="000000"/>
              </w:rPr>
              <w:t xml:space="preserve"> </w:t>
            </w:r>
            <w:r w:rsidRPr="008A1479">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A1479">
              <w:rPr>
                <w:rFonts w:ascii="Times New Roman" w:hAnsi="Times New Roman"/>
                <w:color w:val="000000"/>
              </w:rPr>
              <w:instrText xml:space="preserve"> FORMTEXT </w:instrText>
            </w:r>
            <w:r w:rsidRPr="008A1479">
              <w:rPr>
                <w:rFonts w:ascii="Times New Roman" w:hAnsi="Times New Roman"/>
                <w:color w:val="000000"/>
              </w:rPr>
            </w:r>
            <w:r w:rsidRPr="008A1479">
              <w:rPr>
                <w:rFonts w:ascii="Times New Roman" w:hAnsi="Times New Roman"/>
                <w:color w:val="000000"/>
              </w:rPr>
              <w:fldChar w:fldCharType="separate"/>
            </w:r>
            <w:r w:rsidRPr="008A1479">
              <w:rPr>
                <w:rFonts w:ascii="Times New Roman"/>
                <w:noProof/>
                <w:color w:val="000000"/>
              </w:rPr>
              <w:t> </w:t>
            </w:r>
            <w:r w:rsidRPr="008A1479">
              <w:rPr>
                <w:rFonts w:ascii="Times New Roman"/>
                <w:noProof/>
                <w:color w:val="000000"/>
              </w:rPr>
              <w:t> </w:t>
            </w:r>
            <w:r w:rsidRPr="008A1479">
              <w:rPr>
                <w:rFonts w:ascii="Times New Roman"/>
                <w:noProof/>
                <w:color w:val="000000"/>
              </w:rPr>
              <w:t> </w:t>
            </w:r>
            <w:r w:rsidRPr="008A1479">
              <w:rPr>
                <w:rFonts w:ascii="Times New Roman"/>
                <w:noProof/>
                <w:color w:val="000000"/>
              </w:rPr>
              <w:t> </w:t>
            </w:r>
            <w:r w:rsidRPr="008A1479">
              <w:rPr>
                <w:rFonts w:ascii="Times New Roman"/>
                <w:noProof/>
                <w:color w:val="000000"/>
              </w:rPr>
              <w:t> </w:t>
            </w:r>
            <w:r w:rsidRPr="008A1479">
              <w:rPr>
                <w:rFonts w:ascii="Times New Roman" w:hAnsi="Times New Roman"/>
                <w:color w:val="000000"/>
              </w:rPr>
              <w:fldChar w:fldCharType="end"/>
            </w:r>
          </w:p>
          <w:p w:rsidR="008A1479" w:rsidRPr="008A1479" w:rsidRDefault="008A1479" w:rsidP="008A1479">
            <w:pPr>
              <w:spacing w:before="120" w:after="120" w:line="240" w:lineRule="auto"/>
              <w:rPr>
                <w:rFonts w:ascii="Times New Roman" w:hAnsi="Times New Roman"/>
                <w:color w:val="000000"/>
              </w:rPr>
            </w:pPr>
          </w:p>
        </w:tc>
      </w:tr>
      <w:tr w:rsidR="008A1479" w:rsidRPr="008A1479" w:rsidTr="008A1479">
        <w:trPr>
          <w:trHeight w:val="870"/>
        </w:trPr>
        <w:tc>
          <w:tcPr>
            <w:tcW w:w="5654" w:type="dxa"/>
            <w:gridSpan w:val="3"/>
            <w:shd w:val="clear" w:color="auto" w:fill="FFFFFF"/>
          </w:tcPr>
          <w:p w:rsidR="008A1479" w:rsidRPr="008A1479" w:rsidRDefault="008A1479" w:rsidP="008A1479">
            <w:pPr>
              <w:spacing w:line="240" w:lineRule="auto"/>
              <w:rPr>
                <w:rFonts w:ascii="Times New Roman" w:hAnsi="Times New Roman"/>
                <w:color w:val="000000"/>
              </w:rPr>
            </w:pPr>
            <w:r w:rsidRPr="008A1479">
              <w:rPr>
                <w:rFonts w:ascii="Times New Roman" w:hAnsi="Times New Roman"/>
                <w:color w:val="000000"/>
                <w:spacing w:val="-2"/>
              </w:rPr>
              <w:lastRenderedPageBreak/>
              <w:t xml:space="preserve">Wprowadzane obciążenia są przystosowane do ich elektronizacji. </w:t>
            </w:r>
          </w:p>
        </w:tc>
        <w:tc>
          <w:tcPr>
            <w:tcW w:w="5120" w:type="dxa"/>
            <w:gridSpan w:val="2"/>
            <w:shd w:val="clear" w:color="auto" w:fill="FFFFFF"/>
          </w:tcPr>
          <w:p w:rsidR="008A1479" w:rsidRPr="008A1479" w:rsidRDefault="008A1479" w:rsidP="008A1479">
            <w:pPr>
              <w:spacing w:line="240" w:lineRule="auto"/>
              <w:rPr>
                <w:rFonts w:ascii="Times New Roman" w:hAnsi="Times New Roman"/>
                <w:color w:val="000000"/>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rPr>
              <w:t xml:space="preserve"> tak</w:t>
            </w:r>
          </w:p>
          <w:p w:rsidR="008A1479" w:rsidRPr="008A1479" w:rsidRDefault="008A1479" w:rsidP="008A1479">
            <w:pPr>
              <w:spacing w:line="240" w:lineRule="auto"/>
              <w:rPr>
                <w:rFonts w:ascii="Times New Roman" w:hAnsi="Times New Roman"/>
                <w:color w:val="000000"/>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rPr>
              <w:t xml:space="preserve"> nie</w:t>
            </w:r>
          </w:p>
          <w:p w:rsidR="008A1479" w:rsidRPr="008A1479" w:rsidRDefault="008A1479" w:rsidP="008A1479">
            <w:pPr>
              <w:spacing w:line="240" w:lineRule="auto"/>
              <w:rPr>
                <w:rFonts w:ascii="Times New Roman" w:hAnsi="Times New Roman"/>
                <w:color w:val="000000"/>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rPr>
              <w:t xml:space="preserve"> nie dotyczy</w:t>
            </w:r>
          </w:p>
          <w:p w:rsidR="008A1479" w:rsidRPr="008A1479" w:rsidRDefault="008A1479" w:rsidP="008A1479">
            <w:pPr>
              <w:spacing w:line="240" w:lineRule="auto"/>
              <w:rPr>
                <w:rFonts w:ascii="Times New Roman" w:hAnsi="Times New Roman"/>
                <w:color w:val="000000"/>
              </w:rPr>
            </w:pPr>
          </w:p>
        </w:tc>
      </w:tr>
      <w:tr w:rsidR="008A1479" w:rsidRPr="008A1479" w:rsidTr="008A1479">
        <w:trPr>
          <w:trHeight w:val="630"/>
        </w:trPr>
        <w:tc>
          <w:tcPr>
            <w:tcW w:w="10774" w:type="dxa"/>
            <w:gridSpan w:val="5"/>
            <w:shd w:val="clear" w:color="auto" w:fill="FFFFFF"/>
          </w:tcPr>
          <w:p w:rsidR="008A1479" w:rsidRPr="008A1479" w:rsidRDefault="008A1479" w:rsidP="008A1479">
            <w:pPr>
              <w:spacing w:line="240" w:lineRule="auto"/>
              <w:jc w:val="both"/>
              <w:rPr>
                <w:rFonts w:ascii="Times New Roman" w:hAnsi="Times New Roman"/>
                <w:color w:val="000000"/>
              </w:rPr>
            </w:pPr>
            <w:r w:rsidRPr="008A1479">
              <w:rPr>
                <w:rFonts w:ascii="Times New Roman" w:hAnsi="Times New Roman"/>
                <w:color w:val="000000"/>
              </w:rPr>
              <w:t>Komentarz:</w:t>
            </w:r>
          </w:p>
          <w:p w:rsidR="008A1479" w:rsidRPr="008A1479" w:rsidRDefault="008A1479" w:rsidP="008A1479">
            <w:pPr>
              <w:spacing w:line="240" w:lineRule="auto"/>
              <w:jc w:val="both"/>
              <w:rPr>
                <w:rFonts w:ascii="Times New Roman" w:hAnsi="Times New Roman"/>
                <w:color w:val="000000"/>
              </w:rPr>
            </w:pPr>
          </w:p>
          <w:p w:rsidR="008A1479" w:rsidRPr="008A1479" w:rsidRDefault="008A1479" w:rsidP="008A1479">
            <w:pPr>
              <w:jc w:val="both"/>
              <w:rPr>
                <w:rFonts w:ascii="Times New Roman" w:hAnsi="Times New Roman"/>
                <w:color w:val="000000"/>
              </w:rPr>
            </w:pPr>
          </w:p>
        </w:tc>
      </w:tr>
      <w:tr w:rsidR="008A1479" w:rsidRPr="008A1479" w:rsidTr="008A1479">
        <w:trPr>
          <w:trHeight w:val="142"/>
        </w:trPr>
        <w:tc>
          <w:tcPr>
            <w:tcW w:w="10774" w:type="dxa"/>
            <w:gridSpan w:val="5"/>
            <w:shd w:val="clear" w:color="auto" w:fill="99CCFF"/>
          </w:tcPr>
          <w:p w:rsidR="008A1479" w:rsidRPr="008A1479" w:rsidRDefault="008A1479" w:rsidP="008A1479">
            <w:pPr>
              <w:numPr>
                <w:ilvl w:val="0"/>
                <w:numId w:val="3"/>
              </w:numPr>
              <w:spacing w:before="60" w:after="60" w:line="240" w:lineRule="auto"/>
              <w:jc w:val="both"/>
              <w:rPr>
                <w:rFonts w:ascii="Times New Roman" w:hAnsi="Times New Roman"/>
                <w:b/>
                <w:color w:val="000000"/>
              </w:rPr>
            </w:pPr>
            <w:r w:rsidRPr="008A1479">
              <w:rPr>
                <w:rFonts w:ascii="Times New Roman" w:hAnsi="Times New Roman"/>
                <w:b/>
                <w:color w:val="000000"/>
              </w:rPr>
              <w:t xml:space="preserve">Wpływ na rynek pracy </w:t>
            </w:r>
          </w:p>
        </w:tc>
      </w:tr>
      <w:tr w:rsidR="008A1479" w:rsidRPr="008A1479" w:rsidTr="008A1479">
        <w:trPr>
          <w:trHeight w:val="142"/>
        </w:trPr>
        <w:tc>
          <w:tcPr>
            <w:tcW w:w="10774" w:type="dxa"/>
            <w:gridSpan w:val="5"/>
          </w:tcPr>
          <w:p w:rsidR="008A1479" w:rsidRPr="008A1479" w:rsidRDefault="008A1479" w:rsidP="008A1479">
            <w:pPr>
              <w:spacing w:before="120" w:after="120" w:line="240" w:lineRule="auto"/>
              <w:jc w:val="both"/>
              <w:rPr>
                <w:rFonts w:ascii="Times New Roman" w:hAnsi="Times New Roman"/>
                <w:color w:val="000000"/>
              </w:rPr>
            </w:pPr>
            <w:r w:rsidRPr="008A1479">
              <w:rPr>
                <w:rFonts w:ascii="Times New Roman" w:hAnsi="Times New Roman"/>
                <w:color w:val="000000"/>
              </w:rPr>
              <w:t xml:space="preserve">Wdrożenie Programu może pozytywnie oddziaływać na rynek pracy. Uczestnictwo w Programie może mieć pozytywny wpływ na  wiedzę i umiejętności </w:t>
            </w:r>
            <w:r w:rsidR="00652A0E">
              <w:rPr>
                <w:rFonts w:ascii="Times New Roman" w:hAnsi="Times New Roman"/>
                <w:color w:val="000000"/>
              </w:rPr>
              <w:t xml:space="preserve">uczestników spotkań </w:t>
            </w:r>
            <w:r w:rsidRPr="008A1479">
              <w:rPr>
                <w:rFonts w:ascii="Times New Roman" w:hAnsi="Times New Roman"/>
                <w:color w:val="000000"/>
              </w:rPr>
              <w:t xml:space="preserve">przydatne w procesie poszukiwania miejsca pracy oraz może przyczynić się do </w:t>
            </w:r>
            <w:r w:rsidR="00652A0E">
              <w:rPr>
                <w:rFonts w:ascii="Times New Roman" w:hAnsi="Times New Roman"/>
                <w:color w:val="000000"/>
              </w:rPr>
              <w:t xml:space="preserve">ich </w:t>
            </w:r>
            <w:r w:rsidRPr="008A1479">
              <w:rPr>
                <w:rFonts w:ascii="Times New Roman" w:hAnsi="Times New Roman"/>
                <w:color w:val="000000"/>
              </w:rPr>
              <w:t>rozwoju zawodowego a w wymiarze krajowym pozytywn</w:t>
            </w:r>
            <w:r w:rsidR="002E34CB">
              <w:rPr>
                <w:rFonts w:ascii="Times New Roman" w:hAnsi="Times New Roman"/>
                <w:color w:val="000000"/>
              </w:rPr>
              <w:t>ie</w:t>
            </w:r>
            <w:r w:rsidRPr="008A1479">
              <w:rPr>
                <w:rFonts w:ascii="Times New Roman" w:hAnsi="Times New Roman"/>
                <w:color w:val="000000"/>
              </w:rPr>
              <w:t xml:space="preserve"> wpły</w:t>
            </w:r>
            <w:r w:rsidR="002E34CB">
              <w:rPr>
                <w:rFonts w:ascii="Times New Roman" w:hAnsi="Times New Roman"/>
                <w:color w:val="000000"/>
              </w:rPr>
              <w:t>nie</w:t>
            </w:r>
            <w:r w:rsidRPr="008A1479">
              <w:rPr>
                <w:rFonts w:ascii="Times New Roman" w:hAnsi="Times New Roman"/>
                <w:color w:val="000000"/>
              </w:rPr>
              <w:t xml:space="preserve"> na wzmocnienie kapitału ludzkiego.</w:t>
            </w:r>
          </w:p>
        </w:tc>
      </w:tr>
      <w:tr w:rsidR="008A1479" w:rsidRPr="008A1479" w:rsidTr="008A1479">
        <w:trPr>
          <w:trHeight w:val="142"/>
        </w:trPr>
        <w:tc>
          <w:tcPr>
            <w:tcW w:w="10774" w:type="dxa"/>
            <w:gridSpan w:val="5"/>
            <w:shd w:val="clear" w:color="auto" w:fill="99CCFF"/>
          </w:tcPr>
          <w:p w:rsidR="008A1479" w:rsidRPr="008A1479" w:rsidRDefault="008A1479" w:rsidP="008A1479">
            <w:pPr>
              <w:numPr>
                <w:ilvl w:val="0"/>
                <w:numId w:val="3"/>
              </w:numPr>
              <w:spacing w:before="60" w:after="60" w:line="240" w:lineRule="auto"/>
              <w:jc w:val="both"/>
              <w:rPr>
                <w:rFonts w:ascii="Times New Roman" w:hAnsi="Times New Roman"/>
                <w:b/>
                <w:color w:val="000000"/>
              </w:rPr>
            </w:pPr>
            <w:r w:rsidRPr="008A1479">
              <w:rPr>
                <w:rFonts w:ascii="Times New Roman" w:hAnsi="Times New Roman"/>
                <w:b/>
                <w:color w:val="000000"/>
              </w:rPr>
              <w:t>Wpływ na pozostałe obszary</w:t>
            </w:r>
          </w:p>
        </w:tc>
      </w:tr>
      <w:tr w:rsidR="008A1479" w:rsidRPr="008A1479" w:rsidTr="008A1479">
        <w:trPr>
          <w:trHeight w:val="1031"/>
        </w:trPr>
        <w:tc>
          <w:tcPr>
            <w:tcW w:w="4090" w:type="dxa"/>
            <w:gridSpan w:val="2"/>
            <w:shd w:val="clear" w:color="auto" w:fill="FFFFFF"/>
          </w:tcPr>
          <w:p w:rsidR="008A1479" w:rsidRPr="008A1479" w:rsidRDefault="008A1479" w:rsidP="008A1479">
            <w:pPr>
              <w:spacing w:line="240" w:lineRule="auto"/>
              <w:rPr>
                <w:rFonts w:ascii="Times New Roman" w:hAnsi="Times New Roman"/>
                <w:color w:val="000000"/>
              </w:rPr>
            </w:pPr>
          </w:p>
          <w:p w:rsidR="008A1479" w:rsidRPr="008A1479" w:rsidRDefault="008A1479" w:rsidP="008A1479">
            <w:pPr>
              <w:spacing w:line="240" w:lineRule="auto"/>
              <w:rPr>
                <w:rFonts w:ascii="Times New Roman" w:hAnsi="Times New Roman"/>
                <w:color w:val="000000"/>
                <w:spacing w:val="-2"/>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spacing w:val="-2"/>
              </w:rPr>
              <w:t>środowisko naturalne</w:t>
            </w:r>
          </w:p>
          <w:p w:rsidR="008A1479" w:rsidRPr="008A1479" w:rsidRDefault="008A1479" w:rsidP="008A1479">
            <w:pPr>
              <w:spacing w:line="240" w:lineRule="auto"/>
              <w:rPr>
                <w:rFonts w:ascii="Times New Roman" w:hAnsi="Times New Roman"/>
                <w:color w:val="000000"/>
              </w:rPr>
            </w:pPr>
            <w:r w:rsidRPr="008A1479">
              <w:rPr>
                <w:rFonts w:ascii="Times New Roman" w:hAnsi="Times New Roman"/>
                <w:color w:val="000000"/>
              </w:rPr>
              <w:fldChar w:fldCharType="begin">
                <w:ffData>
                  <w:name w:val=""/>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rPr>
              <w:t>sytuacja i rozwój regionalny</w:t>
            </w:r>
          </w:p>
          <w:p w:rsidR="008A1479" w:rsidRPr="008A1479" w:rsidRDefault="008A1479" w:rsidP="008A1479">
            <w:pPr>
              <w:spacing w:line="240" w:lineRule="auto"/>
              <w:rPr>
                <w:rFonts w:ascii="Times New Roman" w:hAnsi="Times New Roman"/>
                <w:color w:val="000000"/>
                <w:spacing w:val="-2"/>
              </w:rPr>
            </w:pPr>
            <w:r w:rsidRPr="008A1479">
              <w:rPr>
                <w:rFonts w:ascii="Times New Roman" w:hAnsi="Times New Roman"/>
                <w:color w:val="000000"/>
              </w:rPr>
              <w:fldChar w:fldCharType="begin">
                <w:ffData>
                  <w:name w:val=""/>
                  <w:enabled/>
                  <w:calcOnExit w:val="0"/>
                  <w:checkBox>
                    <w:sizeAuto/>
                    <w:default w:val="1"/>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rPr>
              <w:t xml:space="preserve"> </w:t>
            </w:r>
            <w:r w:rsidRPr="008A1479">
              <w:rPr>
                <w:rFonts w:ascii="Times New Roman" w:hAnsi="Times New Roman"/>
                <w:color w:val="000000"/>
                <w:spacing w:val="-2"/>
              </w:rPr>
              <w:t xml:space="preserve">inne: </w:t>
            </w:r>
          </w:p>
          <w:p w:rsidR="008A1479" w:rsidRPr="008A1479" w:rsidRDefault="008A1479" w:rsidP="008A1479">
            <w:pPr>
              <w:contextualSpacing/>
              <w:rPr>
                <w:rFonts w:ascii="Times New Roman" w:hAnsi="Times New Roman"/>
                <w:color w:val="000000"/>
              </w:rPr>
            </w:pPr>
            <w:r w:rsidRPr="008A1479">
              <w:rPr>
                <w:rFonts w:ascii="Times New Roman" w:hAnsi="Times New Roman"/>
                <w:color w:val="000000"/>
              </w:rPr>
              <w:t>- społeczeństwo obywatelskie,</w:t>
            </w:r>
          </w:p>
          <w:p w:rsidR="008A1479" w:rsidRPr="008A1479" w:rsidRDefault="008A1479" w:rsidP="008A1479">
            <w:pPr>
              <w:contextualSpacing/>
              <w:rPr>
                <w:rFonts w:ascii="Times New Roman" w:hAnsi="Times New Roman"/>
                <w:color w:val="000000"/>
              </w:rPr>
            </w:pPr>
            <w:r w:rsidRPr="008A1479">
              <w:rPr>
                <w:rFonts w:ascii="Times New Roman" w:hAnsi="Times New Roman"/>
                <w:color w:val="000000"/>
              </w:rPr>
              <w:t>- system edukacji</w:t>
            </w:r>
          </w:p>
          <w:p w:rsidR="008A1479" w:rsidRPr="00314B34" w:rsidRDefault="008A1479" w:rsidP="008A1479">
            <w:pPr>
              <w:spacing w:line="240" w:lineRule="auto"/>
              <w:rPr>
                <w:rFonts w:ascii="Times New Roman" w:hAnsi="Times New Roman"/>
                <w:color w:val="000000"/>
              </w:rPr>
            </w:pPr>
          </w:p>
        </w:tc>
        <w:tc>
          <w:tcPr>
            <w:tcW w:w="3690" w:type="dxa"/>
            <w:gridSpan w:val="2"/>
            <w:shd w:val="clear" w:color="auto" w:fill="FFFFFF"/>
          </w:tcPr>
          <w:p w:rsidR="008A1479" w:rsidRPr="008A1479" w:rsidRDefault="008A1479" w:rsidP="008A1479">
            <w:pPr>
              <w:spacing w:line="240" w:lineRule="auto"/>
              <w:rPr>
                <w:rFonts w:ascii="Times New Roman" w:hAnsi="Times New Roman"/>
                <w:color w:val="000000"/>
              </w:rPr>
            </w:pPr>
          </w:p>
          <w:p w:rsidR="008A1479" w:rsidRPr="008A1479" w:rsidRDefault="008A1479" w:rsidP="008A1479">
            <w:pPr>
              <w:spacing w:line="240" w:lineRule="auto"/>
              <w:rPr>
                <w:rFonts w:ascii="Times New Roman" w:hAnsi="Times New Roman"/>
                <w:color w:val="000000"/>
                <w:spacing w:val="-2"/>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spacing w:val="-2"/>
              </w:rPr>
              <w:t>demografia</w:t>
            </w:r>
          </w:p>
          <w:p w:rsidR="008A1479" w:rsidRPr="008A1479" w:rsidRDefault="008A1479" w:rsidP="008A1479">
            <w:pPr>
              <w:spacing w:line="240" w:lineRule="auto"/>
              <w:rPr>
                <w:rFonts w:ascii="Times New Roman" w:hAnsi="Times New Roman"/>
                <w:color w:val="000000"/>
              </w:rPr>
            </w:pPr>
            <w:r w:rsidRPr="008A1479">
              <w:rPr>
                <w:rFonts w:ascii="Times New Roman" w:hAnsi="Times New Roman"/>
                <w:color w:val="000000"/>
              </w:rPr>
              <w:fldChar w:fldCharType="begin">
                <w:ffData>
                  <w:name w:val=""/>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rPr>
              <w:t>mienie państwowe</w:t>
            </w:r>
          </w:p>
        </w:tc>
        <w:tc>
          <w:tcPr>
            <w:tcW w:w="2994" w:type="dxa"/>
            <w:shd w:val="clear" w:color="auto" w:fill="FFFFFF"/>
          </w:tcPr>
          <w:p w:rsidR="008A1479" w:rsidRPr="008A1479" w:rsidRDefault="008A1479" w:rsidP="008A1479">
            <w:pPr>
              <w:spacing w:line="240" w:lineRule="auto"/>
              <w:rPr>
                <w:rFonts w:ascii="Times New Roman" w:hAnsi="Times New Roman"/>
                <w:color w:val="000000"/>
              </w:rPr>
            </w:pPr>
          </w:p>
          <w:p w:rsidR="008A1479" w:rsidRPr="008A1479" w:rsidRDefault="008A1479" w:rsidP="008A1479">
            <w:pPr>
              <w:spacing w:line="240" w:lineRule="auto"/>
              <w:rPr>
                <w:rFonts w:ascii="Times New Roman" w:hAnsi="Times New Roman"/>
                <w:color w:val="000000"/>
                <w:spacing w:val="-2"/>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spacing w:val="-2"/>
              </w:rPr>
              <w:t>informatyzacja</w:t>
            </w:r>
          </w:p>
          <w:p w:rsidR="008A1479" w:rsidRPr="008A1479" w:rsidRDefault="008A1479" w:rsidP="008A1479">
            <w:pPr>
              <w:spacing w:line="240" w:lineRule="auto"/>
              <w:rPr>
                <w:rFonts w:ascii="Times New Roman" w:hAnsi="Times New Roman"/>
                <w:color w:val="000000"/>
              </w:rPr>
            </w:pPr>
            <w:r w:rsidRPr="008A1479">
              <w:rPr>
                <w:rFonts w:ascii="Times New Roman" w:hAnsi="Times New Roman"/>
                <w:color w:val="000000"/>
              </w:rPr>
              <w:fldChar w:fldCharType="begin">
                <w:ffData>
                  <w:name w:val="Wybór1"/>
                  <w:enabled/>
                  <w:calcOnExit w:val="0"/>
                  <w:checkBox>
                    <w:sizeAuto/>
                    <w:default w:val="0"/>
                  </w:checkBox>
                </w:ffData>
              </w:fldChar>
            </w:r>
            <w:r w:rsidRPr="008A1479">
              <w:rPr>
                <w:rFonts w:ascii="Times New Roman" w:hAnsi="Times New Roman"/>
                <w:color w:val="000000"/>
              </w:rPr>
              <w:instrText xml:space="preserve"> FORMCHECKBOX </w:instrText>
            </w:r>
            <w:r w:rsidR="005160E3">
              <w:rPr>
                <w:rFonts w:ascii="Times New Roman" w:hAnsi="Times New Roman"/>
                <w:color w:val="000000"/>
              </w:rPr>
            </w:r>
            <w:r w:rsidR="005160E3">
              <w:rPr>
                <w:rFonts w:ascii="Times New Roman" w:hAnsi="Times New Roman"/>
                <w:color w:val="000000"/>
              </w:rPr>
              <w:fldChar w:fldCharType="separate"/>
            </w:r>
            <w:r w:rsidRPr="008A1479">
              <w:rPr>
                <w:rFonts w:ascii="Times New Roman" w:hAnsi="Times New Roman"/>
                <w:color w:val="000000"/>
              </w:rPr>
              <w:fldChar w:fldCharType="end"/>
            </w:r>
            <w:r w:rsidRPr="008A1479">
              <w:rPr>
                <w:rFonts w:ascii="Times New Roman" w:hAnsi="Times New Roman"/>
                <w:color w:val="000000"/>
                <w:sz w:val="20"/>
                <w:szCs w:val="20"/>
              </w:rPr>
              <w:t xml:space="preserve"> </w:t>
            </w:r>
            <w:r w:rsidRPr="008A1479">
              <w:rPr>
                <w:rFonts w:ascii="Times New Roman" w:hAnsi="Times New Roman"/>
                <w:color w:val="000000"/>
                <w:spacing w:val="-2"/>
              </w:rPr>
              <w:t>zdrowie</w:t>
            </w:r>
          </w:p>
        </w:tc>
      </w:tr>
      <w:tr w:rsidR="008A1479" w:rsidRPr="008A1479" w:rsidTr="008A1479">
        <w:trPr>
          <w:trHeight w:val="712"/>
        </w:trPr>
        <w:tc>
          <w:tcPr>
            <w:tcW w:w="2787" w:type="dxa"/>
            <w:shd w:val="clear" w:color="auto" w:fill="FFFFFF"/>
            <w:vAlign w:val="center"/>
          </w:tcPr>
          <w:p w:rsidR="008A1479" w:rsidRPr="008A1479" w:rsidRDefault="008A1479" w:rsidP="008A1479">
            <w:pPr>
              <w:spacing w:line="240" w:lineRule="auto"/>
              <w:rPr>
                <w:rFonts w:ascii="Times New Roman" w:hAnsi="Times New Roman"/>
                <w:color w:val="000000"/>
              </w:rPr>
            </w:pPr>
            <w:r w:rsidRPr="008A1479">
              <w:rPr>
                <w:rFonts w:ascii="Times New Roman" w:hAnsi="Times New Roman"/>
                <w:color w:val="000000"/>
              </w:rPr>
              <w:t>Omówienie wpływu</w:t>
            </w:r>
          </w:p>
        </w:tc>
        <w:tc>
          <w:tcPr>
            <w:tcW w:w="7987" w:type="dxa"/>
            <w:gridSpan w:val="4"/>
            <w:shd w:val="clear" w:color="auto" w:fill="FFFFFF"/>
          </w:tcPr>
          <w:p w:rsidR="008A1479" w:rsidRPr="008A1479" w:rsidRDefault="008A1479" w:rsidP="008A1479">
            <w:pPr>
              <w:autoSpaceDE w:val="0"/>
              <w:autoSpaceDN w:val="0"/>
              <w:adjustRightInd w:val="0"/>
              <w:spacing w:before="120" w:after="120"/>
              <w:jc w:val="both"/>
              <w:rPr>
                <w:rFonts w:ascii="Times New Roman" w:hAnsi="Times New Roman"/>
              </w:rPr>
            </w:pPr>
            <w:r w:rsidRPr="008A1479">
              <w:rPr>
                <w:rFonts w:ascii="Times New Roman" w:hAnsi="Times New Roman"/>
              </w:rPr>
              <w:t>Program zakłada w</w:t>
            </w:r>
            <w:r w:rsidR="00314B34">
              <w:rPr>
                <w:rFonts w:ascii="Times New Roman" w:hAnsi="Times New Roman"/>
              </w:rPr>
              <w:t>sparcie już istniejących międzynarodowych domów spotkań</w:t>
            </w:r>
            <w:r w:rsidRPr="008A1479">
              <w:rPr>
                <w:rFonts w:ascii="Times New Roman" w:hAnsi="Times New Roman"/>
              </w:rPr>
              <w:t>, reaktywację placówek, które z różnych przyczyn zaprzestały czynnej działalności edukacyjnej, tworzen</w:t>
            </w:r>
            <w:r w:rsidR="00314B34">
              <w:rPr>
                <w:rFonts w:ascii="Times New Roman" w:hAnsi="Times New Roman"/>
              </w:rPr>
              <w:t>ie nowych domów spotkań</w:t>
            </w:r>
            <w:r w:rsidRPr="008A1479">
              <w:rPr>
                <w:rFonts w:ascii="Times New Roman" w:hAnsi="Times New Roman"/>
              </w:rPr>
              <w:t xml:space="preserve"> i wspieranie ich rozwoju, odziaływanie na społeczności lokalne ze szczegó</w:t>
            </w:r>
            <w:r w:rsidR="00E511D6">
              <w:rPr>
                <w:rFonts w:ascii="Times New Roman" w:hAnsi="Times New Roman"/>
              </w:rPr>
              <w:t>lnym uwzględnieniem podmiotów o </w:t>
            </w:r>
            <w:r w:rsidRPr="008A1479">
              <w:rPr>
                <w:rFonts w:ascii="Times New Roman" w:hAnsi="Times New Roman"/>
              </w:rPr>
              <w:t>podobnej misji, celach i zadaniach, a także budowanie sieci i partnerstw oraz popularyzację m</w:t>
            </w:r>
            <w:r w:rsidR="00314B34">
              <w:rPr>
                <w:rFonts w:ascii="Times New Roman" w:hAnsi="Times New Roman"/>
              </w:rPr>
              <w:t>odelu międzynarodowych domów spotkań</w:t>
            </w:r>
            <w:r w:rsidRPr="008A1479">
              <w:rPr>
                <w:rFonts w:ascii="Times New Roman" w:hAnsi="Times New Roman"/>
              </w:rPr>
              <w:t>.</w:t>
            </w:r>
          </w:p>
          <w:p w:rsidR="008A1479" w:rsidRPr="008A1479" w:rsidRDefault="008A1479" w:rsidP="008A1479">
            <w:pPr>
              <w:autoSpaceDE w:val="0"/>
              <w:autoSpaceDN w:val="0"/>
              <w:adjustRightInd w:val="0"/>
              <w:jc w:val="both"/>
              <w:rPr>
                <w:rFonts w:ascii="Times New Roman" w:hAnsi="Times New Roman"/>
              </w:rPr>
            </w:pPr>
            <w:r w:rsidRPr="008A1479">
              <w:rPr>
                <w:rFonts w:ascii="Times New Roman" w:hAnsi="Times New Roman"/>
              </w:rPr>
              <w:t>Realizacja celów szczegółowych Programu umożliwi osiągnięcie takich efektów, jak:</w:t>
            </w:r>
          </w:p>
          <w:p w:rsidR="008A1479" w:rsidRPr="008A1479" w:rsidRDefault="008A1479" w:rsidP="008A1479">
            <w:pPr>
              <w:numPr>
                <w:ilvl w:val="0"/>
                <w:numId w:val="46"/>
              </w:numPr>
              <w:autoSpaceDE w:val="0"/>
              <w:autoSpaceDN w:val="0"/>
              <w:adjustRightInd w:val="0"/>
              <w:ind w:left="649" w:hanging="283"/>
              <w:jc w:val="both"/>
              <w:rPr>
                <w:rFonts w:ascii="Times New Roman" w:hAnsi="Times New Roman"/>
              </w:rPr>
            </w:pPr>
            <w:r w:rsidRPr="008A1479">
              <w:rPr>
                <w:rFonts w:ascii="Times New Roman" w:hAnsi="Times New Roman"/>
              </w:rPr>
              <w:t>uzyskanie zrozum</w:t>
            </w:r>
            <w:r w:rsidR="00314B34">
              <w:rPr>
                <w:rFonts w:ascii="Times New Roman" w:hAnsi="Times New Roman"/>
              </w:rPr>
              <w:t>ienia i uznania wartości koncepcji międzynarodowych domów spotkań</w:t>
            </w:r>
            <w:r w:rsidRPr="008A1479">
              <w:rPr>
                <w:rFonts w:ascii="Times New Roman" w:hAnsi="Times New Roman"/>
              </w:rPr>
              <w:t xml:space="preserve"> przez społeczeństwo oraz organy rządowe i samorządowe odpowiedzialne za system oświaty,</w:t>
            </w:r>
          </w:p>
          <w:p w:rsidR="008A1479" w:rsidRPr="008A1479" w:rsidRDefault="008A1479" w:rsidP="008A1479">
            <w:pPr>
              <w:numPr>
                <w:ilvl w:val="0"/>
                <w:numId w:val="46"/>
              </w:numPr>
              <w:autoSpaceDE w:val="0"/>
              <w:autoSpaceDN w:val="0"/>
              <w:adjustRightInd w:val="0"/>
              <w:ind w:left="649" w:hanging="283"/>
              <w:jc w:val="both"/>
              <w:rPr>
                <w:rFonts w:ascii="Times New Roman" w:hAnsi="Times New Roman"/>
              </w:rPr>
            </w:pPr>
            <w:r w:rsidRPr="008A1479">
              <w:rPr>
                <w:rFonts w:ascii="Times New Roman" w:hAnsi="Times New Roman"/>
              </w:rPr>
              <w:t>wzrost zainteresowania proponowaną ofertą edukacyjn</w:t>
            </w:r>
            <w:r w:rsidR="00314B34">
              <w:rPr>
                <w:rFonts w:ascii="Times New Roman" w:hAnsi="Times New Roman"/>
              </w:rPr>
              <w:t>ą wśród potencjalnych odbiorców</w:t>
            </w:r>
            <w:r w:rsidRPr="008A1479">
              <w:rPr>
                <w:rFonts w:ascii="Times New Roman" w:hAnsi="Times New Roman"/>
              </w:rPr>
              <w:t>,</w:t>
            </w:r>
          </w:p>
          <w:p w:rsidR="008A1479" w:rsidRPr="008A1479" w:rsidRDefault="008A1479" w:rsidP="008A1479">
            <w:pPr>
              <w:numPr>
                <w:ilvl w:val="0"/>
                <w:numId w:val="46"/>
              </w:numPr>
              <w:autoSpaceDE w:val="0"/>
              <w:autoSpaceDN w:val="0"/>
              <w:adjustRightInd w:val="0"/>
              <w:ind w:left="649" w:hanging="283"/>
              <w:jc w:val="both"/>
              <w:rPr>
                <w:rFonts w:ascii="Times New Roman" w:hAnsi="Times New Roman"/>
              </w:rPr>
            </w:pPr>
            <w:r w:rsidRPr="008A1479">
              <w:rPr>
                <w:rFonts w:ascii="Times New Roman" w:hAnsi="Times New Roman"/>
              </w:rPr>
              <w:t xml:space="preserve">rozwiązanie problemów z </w:t>
            </w:r>
            <w:r w:rsidR="00314B34">
              <w:rPr>
                <w:rFonts w:ascii="Times New Roman" w:hAnsi="Times New Roman"/>
              </w:rPr>
              <w:t>utrzymaniem</w:t>
            </w:r>
            <w:r w:rsidR="00E511D6">
              <w:rPr>
                <w:rFonts w:ascii="Times New Roman" w:hAnsi="Times New Roman"/>
              </w:rPr>
              <w:t xml:space="preserve"> infrastruktury domów spotkań i </w:t>
            </w:r>
            <w:r w:rsidRPr="008A1479">
              <w:rPr>
                <w:rFonts w:ascii="Times New Roman" w:hAnsi="Times New Roman"/>
              </w:rPr>
              <w:t xml:space="preserve">finansowaniem </w:t>
            </w:r>
            <w:r w:rsidR="00314B34">
              <w:rPr>
                <w:rFonts w:ascii="Times New Roman" w:hAnsi="Times New Roman"/>
              </w:rPr>
              <w:t xml:space="preserve">ich </w:t>
            </w:r>
            <w:r w:rsidRPr="008A1479">
              <w:rPr>
                <w:rFonts w:ascii="Times New Roman" w:hAnsi="Times New Roman"/>
              </w:rPr>
              <w:t>działalności pr</w:t>
            </w:r>
            <w:r w:rsidR="00314B34">
              <w:rPr>
                <w:rFonts w:ascii="Times New Roman" w:hAnsi="Times New Roman"/>
              </w:rPr>
              <w:t>ogramowej</w:t>
            </w:r>
            <w:r w:rsidRPr="008A1479">
              <w:rPr>
                <w:rFonts w:ascii="Times New Roman" w:hAnsi="Times New Roman"/>
              </w:rPr>
              <w:t xml:space="preserve">, </w:t>
            </w:r>
          </w:p>
          <w:p w:rsidR="008A1479" w:rsidRPr="008A1479" w:rsidRDefault="008A1479" w:rsidP="008A1479">
            <w:pPr>
              <w:numPr>
                <w:ilvl w:val="0"/>
                <w:numId w:val="46"/>
              </w:numPr>
              <w:autoSpaceDE w:val="0"/>
              <w:autoSpaceDN w:val="0"/>
              <w:adjustRightInd w:val="0"/>
              <w:ind w:left="649" w:hanging="283"/>
              <w:jc w:val="both"/>
              <w:rPr>
                <w:rFonts w:ascii="Times New Roman" w:hAnsi="Times New Roman"/>
              </w:rPr>
            </w:pPr>
            <w:r w:rsidRPr="008A1479">
              <w:rPr>
                <w:rFonts w:ascii="Times New Roman" w:hAnsi="Times New Roman"/>
              </w:rPr>
              <w:t>włącz</w:t>
            </w:r>
            <w:r w:rsidR="00314B34">
              <w:rPr>
                <w:rFonts w:ascii="Times New Roman" w:hAnsi="Times New Roman"/>
              </w:rPr>
              <w:t>enie i wykorzystanie w budowanie</w:t>
            </w:r>
            <w:r w:rsidRPr="008A1479">
              <w:rPr>
                <w:rFonts w:ascii="Times New Roman" w:hAnsi="Times New Roman"/>
              </w:rPr>
              <w:t xml:space="preserve"> społeczeństwa obywatelskiego </w:t>
            </w:r>
            <w:r w:rsidR="00314B34">
              <w:rPr>
                <w:rFonts w:ascii="Times New Roman" w:hAnsi="Times New Roman"/>
              </w:rPr>
              <w:t xml:space="preserve">oraz politykę historyczną Polski </w:t>
            </w:r>
            <w:r w:rsidRPr="008A1479">
              <w:rPr>
                <w:rFonts w:ascii="Times New Roman" w:hAnsi="Times New Roman"/>
              </w:rPr>
              <w:t>potencjału i możliwości, jakie stwarza sp</w:t>
            </w:r>
            <w:r w:rsidR="00314B34">
              <w:rPr>
                <w:rFonts w:ascii="Times New Roman" w:hAnsi="Times New Roman"/>
              </w:rPr>
              <w:t>rawdzona koncepcja międzynarodowych domów spotkań</w:t>
            </w:r>
            <w:r w:rsidR="002E34CB">
              <w:rPr>
                <w:rFonts w:ascii="Times New Roman" w:hAnsi="Times New Roman"/>
              </w:rPr>
              <w:t>,</w:t>
            </w:r>
            <w:r w:rsidR="00314B34">
              <w:rPr>
                <w:rFonts w:ascii="Times New Roman" w:hAnsi="Times New Roman"/>
              </w:rPr>
              <w:t xml:space="preserve"> </w:t>
            </w:r>
          </w:p>
          <w:p w:rsidR="008A1479" w:rsidRPr="008A1479" w:rsidRDefault="008A1479" w:rsidP="00646234">
            <w:pPr>
              <w:numPr>
                <w:ilvl w:val="0"/>
                <w:numId w:val="46"/>
              </w:numPr>
              <w:ind w:left="649" w:hanging="283"/>
              <w:jc w:val="both"/>
              <w:rPr>
                <w:rFonts w:ascii="Times New Roman" w:hAnsi="Times New Roman"/>
                <w:sz w:val="24"/>
                <w:szCs w:val="24"/>
              </w:rPr>
            </w:pPr>
            <w:r w:rsidRPr="008A1479">
              <w:rPr>
                <w:rFonts w:ascii="Times New Roman" w:hAnsi="Times New Roman"/>
              </w:rPr>
              <w:t>zapewnienie środków na rozwój instytucjonalny dzi</w:t>
            </w:r>
            <w:r w:rsidR="00314B34">
              <w:rPr>
                <w:rFonts w:ascii="Times New Roman" w:hAnsi="Times New Roman"/>
              </w:rPr>
              <w:t xml:space="preserve">ałających domów spotkań </w:t>
            </w:r>
            <w:r w:rsidRPr="008A1479">
              <w:rPr>
                <w:rFonts w:ascii="Times New Roman" w:hAnsi="Times New Roman"/>
              </w:rPr>
              <w:t>oraz na zwiększenie liczby placówek przez reaktywację wcześniej istniejących i tworzenie nowych placówek.</w:t>
            </w:r>
          </w:p>
        </w:tc>
      </w:tr>
      <w:tr w:rsidR="008A1479" w:rsidRPr="008A1479" w:rsidTr="008A1479">
        <w:trPr>
          <w:trHeight w:val="142"/>
        </w:trPr>
        <w:tc>
          <w:tcPr>
            <w:tcW w:w="10774" w:type="dxa"/>
            <w:gridSpan w:val="5"/>
            <w:shd w:val="clear" w:color="auto" w:fill="99CCFF"/>
          </w:tcPr>
          <w:p w:rsidR="008A1479" w:rsidRPr="008A1479" w:rsidRDefault="008A1479" w:rsidP="008A1479">
            <w:pPr>
              <w:numPr>
                <w:ilvl w:val="0"/>
                <w:numId w:val="3"/>
              </w:numPr>
              <w:spacing w:before="60" w:after="60" w:line="240" w:lineRule="auto"/>
              <w:jc w:val="both"/>
              <w:rPr>
                <w:rFonts w:ascii="Times New Roman" w:hAnsi="Times New Roman"/>
                <w:b/>
              </w:rPr>
            </w:pPr>
            <w:r w:rsidRPr="008A1479">
              <w:rPr>
                <w:rFonts w:ascii="Times New Roman" w:hAnsi="Times New Roman"/>
                <w:b/>
                <w:spacing w:val="-2"/>
                <w:sz w:val="21"/>
                <w:szCs w:val="21"/>
              </w:rPr>
              <w:t>Planowane wykonanie przepisów aktu prawnego</w:t>
            </w:r>
          </w:p>
        </w:tc>
      </w:tr>
      <w:tr w:rsidR="008A1479" w:rsidRPr="008A1479" w:rsidTr="008A1479">
        <w:trPr>
          <w:trHeight w:val="142"/>
        </w:trPr>
        <w:tc>
          <w:tcPr>
            <w:tcW w:w="10774" w:type="dxa"/>
            <w:gridSpan w:val="5"/>
            <w:shd w:val="clear" w:color="auto" w:fill="FFFFFF"/>
          </w:tcPr>
          <w:p w:rsidR="008A1479" w:rsidRPr="008A1479" w:rsidRDefault="008A1479" w:rsidP="00646234">
            <w:pPr>
              <w:spacing w:before="120" w:after="120" w:line="240" w:lineRule="auto"/>
              <w:jc w:val="both"/>
              <w:rPr>
                <w:rFonts w:ascii="Times New Roman" w:hAnsi="Times New Roman"/>
                <w:spacing w:val="-2"/>
              </w:rPr>
            </w:pPr>
            <w:r w:rsidRPr="008A1479">
              <w:rPr>
                <w:rFonts w:ascii="Times New Roman" w:hAnsi="Times New Roman"/>
              </w:rPr>
              <w:t>Przewiduje się, że uchwała Rady Ministrów w sprawie ustanowienia Programu Wspierani</w:t>
            </w:r>
            <w:r w:rsidR="00314B34">
              <w:rPr>
                <w:rFonts w:ascii="Times New Roman" w:hAnsi="Times New Roman"/>
              </w:rPr>
              <w:t xml:space="preserve">a Rozwoju Międzynarodowych Domów Spotkań </w:t>
            </w:r>
            <w:r w:rsidRPr="008A1479">
              <w:rPr>
                <w:rFonts w:ascii="Times New Roman" w:hAnsi="Times New Roman"/>
              </w:rPr>
              <w:t>na lata 2020-2030 zostanie wykonana w planowanej pespektywie. Instytucja Zarządzająca we współpracy z Komitetem Sterują</w:t>
            </w:r>
            <w:r w:rsidR="002E34CB">
              <w:rPr>
                <w:rFonts w:ascii="Times New Roman" w:hAnsi="Times New Roman"/>
              </w:rPr>
              <w:t>co - Monitorujący</w:t>
            </w:r>
            <w:r w:rsidRPr="008A1479">
              <w:rPr>
                <w:rFonts w:ascii="Times New Roman" w:hAnsi="Times New Roman"/>
              </w:rPr>
              <w:t xml:space="preserve"> wdroży Program przep</w:t>
            </w:r>
            <w:r w:rsidR="00E511D6">
              <w:rPr>
                <w:rFonts w:ascii="Times New Roman" w:hAnsi="Times New Roman"/>
              </w:rPr>
              <w:t>rowadzając konkursy dotacyjne i </w:t>
            </w:r>
            <w:r w:rsidRPr="008A1479">
              <w:rPr>
                <w:rFonts w:ascii="Times New Roman" w:hAnsi="Times New Roman"/>
              </w:rPr>
              <w:t>monitorując osiąganie rezultatów na przewidzianym poziomie wskaźników.</w:t>
            </w:r>
          </w:p>
        </w:tc>
      </w:tr>
      <w:tr w:rsidR="008A1479" w:rsidRPr="008A1479" w:rsidTr="008A1479">
        <w:trPr>
          <w:trHeight w:val="142"/>
        </w:trPr>
        <w:tc>
          <w:tcPr>
            <w:tcW w:w="10774" w:type="dxa"/>
            <w:gridSpan w:val="5"/>
            <w:shd w:val="clear" w:color="auto" w:fill="99CCFF"/>
          </w:tcPr>
          <w:p w:rsidR="008A1479" w:rsidRPr="008A1479" w:rsidRDefault="008A1479" w:rsidP="008A1479">
            <w:pPr>
              <w:numPr>
                <w:ilvl w:val="0"/>
                <w:numId w:val="3"/>
              </w:numPr>
              <w:spacing w:before="120" w:after="120" w:line="240" w:lineRule="auto"/>
              <w:jc w:val="both"/>
              <w:rPr>
                <w:rFonts w:ascii="Times New Roman" w:hAnsi="Times New Roman"/>
                <w:b/>
                <w:color w:val="000000"/>
              </w:rPr>
            </w:pPr>
            <w:r w:rsidRPr="008A1479">
              <w:rPr>
                <w:rFonts w:ascii="Times New Roman" w:hAnsi="Times New Roman"/>
                <w:b/>
                <w:color w:val="000000"/>
              </w:rPr>
              <w:t xml:space="preserve"> </w:t>
            </w:r>
            <w:r w:rsidRPr="008A1479">
              <w:rPr>
                <w:rFonts w:ascii="Times New Roman" w:hAnsi="Times New Roman"/>
                <w:b/>
                <w:spacing w:val="-2"/>
                <w:sz w:val="21"/>
                <w:szCs w:val="21"/>
              </w:rPr>
              <w:t>W jaki sposób i kiedy nastąpi ewaluacja efektów projektu oraz jakie mierniki zostaną zastosowane?</w:t>
            </w:r>
          </w:p>
        </w:tc>
      </w:tr>
      <w:tr w:rsidR="008A1479" w:rsidRPr="008A1479" w:rsidTr="008A1479">
        <w:trPr>
          <w:trHeight w:val="142"/>
        </w:trPr>
        <w:tc>
          <w:tcPr>
            <w:tcW w:w="10774" w:type="dxa"/>
            <w:gridSpan w:val="5"/>
            <w:shd w:val="clear" w:color="auto" w:fill="FFFFFF"/>
          </w:tcPr>
          <w:p w:rsidR="008A1479" w:rsidRPr="008A1479" w:rsidRDefault="008A1479" w:rsidP="008A1479">
            <w:pPr>
              <w:spacing w:before="120" w:after="120"/>
              <w:jc w:val="both"/>
              <w:rPr>
                <w:rFonts w:ascii="Times New Roman" w:hAnsi="Times New Roman"/>
              </w:rPr>
            </w:pPr>
            <w:r w:rsidRPr="008A1479">
              <w:rPr>
                <w:rFonts w:ascii="Times New Roman" w:hAnsi="Times New Roman"/>
              </w:rPr>
              <w:t>Program będzie podlegał systematycznemu monitoringowi oraz okresowej ewaluacji.</w:t>
            </w:r>
            <w:r w:rsidR="00E511D6">
              <w:rPr>
                <w:rFonts w:ascii="Times New Roman" w:hAnsi="Times New Roman"/>
              </w:rPr>
              <w:t xml:space="preserve"> Monitoring będzie prowadzony z </w:t>
            </w:r>
            <w:r w:rsidRPr="008A1479">
              <w:rPr>
                <w:rFonts w:ascii="Times New Roman" w:hAnsi="Times New Roman"/>
              </w:rPr>
              <w:t xml:space="preserve">myślą o ocenie procesu wdrażania Programu. W trakcie prowadzonych działań będą się odbywać między innymi spotkania, seminaria i szkolenia, podczas których uczestnicy będą mogli się wypowiedzieć na temat realizacji Programu, zaobserwowanych zmian, będą mogli zgłaszać postulaty i uwagi. </w:t>
            </w:r>
          </w:p>
          <w:p w:rsidR="008A1479" w:rsidRPr="008A1479" w:rsidRDefault="008A1479" w:rsidP="008A1479">
            <w:pPr>
              <w:autoSpaceDE w:val="0"/>
              <w:autoSpaceDN w:val="0"/>
              <w:adjustRightInd w:val="0"/>
              <w:spacing w:before="120" w:after="120"/>
              <w:jc w:val="both"/>
              <w:rPr>
                <w:rFonts w:ascii="Times New Roman" w:hAnsi="Times New Roman"/>
              </w:rPr>
            </w:pPr>
            <w:r w:rsidRPr="008A1479">
              <w:rPr>
                <w:rFonts w:ascii="Times New Roman" w:hAnsi="Times New Roman"/>
              </w:rPr>
              <w:lastRenderedPageBreak/>
              <w:t xml:space="preserve">Ocena Programu obejmie głównie: opracowanie planu ewaluacji obejmującego różne fazy realizacji Programu, przeprowadzenie ocen związanych z monitorowaniem realizacji Programu, w szczególności, w przypadku gdy monitorowanie wykazuje znaczące odstępstwa od początkowo określonych celów lub gdy zgłoszone są propozycje zmian w Programie, przeprowadzenie ewaluacji w połowie realizacji okresu Programu oraz na zakończenie Programu. </w:t>
            </w:r>
          </w:p>
        </w:tc>
      </w:tr>
      <w:tr w:rsidR="008A1479" w:rsidRPr="008A1479" w:rsidTr="008A1479">
        <w:trPr>
          <w:trHeight w:val="142"/>
        </w:trPr>
        <w:tc>
          <w:tcPr>
            <w:tcW w:w="10774" w:type="dxa"/>
            <w:gridSpan w:val="5"/>
            <w:shd w:val="clear" w:color="auto" w:fill="99CCFF"/>
          </w:tcPr>
          <w:p w:rsidR="008A1479" w:rsidRPr="008A1479" w:rsidRDefault="008A1479" w:rsidP="008A1479">
            <w:pPr>
              <w:numPr>
                <w:ilvl w:val="0"/>
                <w:numId w:val="3"/>
              </w:numPr>
              <w:spacing w:before="60" w:after="60" w:line="240" w:lineRule="auto"/>
              <w:jc w:val="both"/>
              <w:rPr>
                <w:rFonts w:ascii="Times New Roman" w:hAnsi="Times New Roman"/>
                <w:b/>
                <w:color w:val="000000"/>
                <w:spacing w:val="-2"/>
              </w:rPr>
            </w:pPr>
            <w:r w:rsidRPr="008A1479">
              <w:rPr>
                <w:rFonts w:ascii="Times New Roman" w:hAnsi="Times New Roman"/>
                <w:b/>
                <w:color w:val="000000"/>
                <w:spacing w:val="-2"/>
              </w:rPr>
              <w:lastRenderedPageBreak/>
              <w:t xml:space="preserve">Załączniki </w:t>
            </w:r>
            <w:r w:rsidRPr="008A1479">
              <w:rPr>
                <w:rFonts w:ascii="Times New Roman" w:hAnsi="Times New Roman"/>
                <w:b/>
                <w:spacing w:val="-2"/>
                <w:sz w:val="21"/>
                <w:szCs w:val="21"/>
              </w:rPr>
              <w:t>(istotne dokumenty źródłowe, badania, analizy itp.</w:t>
            </w:r>
            <w:r w:rsidRPr="008A1479">
              <w:rPr>
                <w:rFonts w:ascii="Times New Roman" w:hAnsi="Times New Roman"/>
                <w:b/>
                <w:color w:val="000000"/>
                <w:spacing w:val="-2"/>
              </w:rPr>
              <w:t xml:space="preserve">) </w:t>
            </w:r>
          </w:p>
        </w:tc>
      </w:tr>
      <w:tr w:rsidR="008A1479" w:rsidRPr="008A1479" w:rsidTr="008A1479">
        <w:trPr>
          <w:trHeight w:val="142"/>
        </w:trPr>
        <w:tc>
          <w:tcPr>
            <w:tcW w:w="10774" w:type="dxa"/>
            <w:gridSpan w:val="5"/>
            <w:shd w:val="clear" w:color="auto" w:fill="FFFFFF"/>
          </w:tcPr>
          <w:p w:rsidR="008A1479" w:rsidRPr="008A1479" w:rsidRDefault="008A1479" w:rsidP="008A1479">
            <w:pPr>
              <w:spacing w:before="120" w:after="120" w:line="240" w:lineRule="auto"/>
              <w:jc w:val="both"/>
              <w:rPr>
                <w:rFonts w:ascii="Times New Roman" w:hAnsi="Times New Roman"/>
                <w:color w:val="000000"/>
                <w:spacing w:val="-2"/>
              </w:rPr>
            </w:pPr>
            <w:r w:rsidRPr="008A1479">
              <w:rPr>
                <w:rFonts w:ascii="Times New Roman" w:hAnsi="Times New Roman"/>
                <w:color w:val="000000"/>
                <w:spacing w:val="-2"/>
              </w:rPr>
              <w:t>Nie dotyczy</w:t>
            </w:r>
          </w:p>
        </w:tc>
      </w:tr>
    </w:tbl>
    <w:p w:rsidR="008A1479" w:rsidRPr="008A1479" w:rsidRDefault="008A1479" w:rsidP="008A1479">
      <w:pPr>
        <w:keepNext/>
        <w:spacing w:before="240" w:after="60" w:line="240" w:lineRule="auto"/>
        <w:outlineLvl w:val="0"/>
        <w:rPr>
          <w:rFonts w:ascii="Times New Roman" w:eastAsia="Times New Roman" w:hAnsi="Times New Roman"/>
          <w:b/>
          <w:bCs/>
          <w:kern w:val="32"/>
          <w:sz w:val="20"/>
          <w:szCs w:val="20"/>
          <w:lang w:eastAsia="pl-PL"/>
        </w:rPr>
      </w:pPr>
    </w:p>
    <w:p w:rsidR="008A1479" w:rsidRPr="008A1479" w:rsidRDefault="008A1479" w:rsidP="008A1479">
      <w:pPr>
        <w:spacing w:after="120"/>
        <w:ind w:left="360"/>
        <w:jc w:val="both"/>
        <w:rPr>
          <w:rFonts w:ascii="Times New Roman" w:hAnsi="Times New Roman"/>
          <w:sz w:val="20"/>
          <w:szCs w:val="20"/>
        </w:rPr>
      </w:pPr>
      <w:r w:rsidRPr="008A1479">
        <w:rPr>
          <w:rFonts w:ascii="Times New Roman" w:hAnsi="Times New Roman"/>
          <w:sz w:val="20"/>
          <w:szCs w:val="20"/>
        </w:rPr>
        <w:t xml:space="preserve"> </w:t>
      </w:r>
    </w:p>
    <w:p w:rsidR="00772ED0" w:rsidRDefault="00772ED0"/>
    <w:sectPr w:rsidR="00772ED0" w:rsidSect="005F6441">
      <w:pgSz w:w="11906" w:h="16838"/>
      <w:pgMar w:top="851"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9DF" w:rsidRDefault="00A039DF" w:rsidP="00044739">
      <w:pPr>
        <w:spacing w:line="240" w:lineRule="auto"/>
      </w:pPr>
      <w:r>
        <w:separator/>
      </w:r>
    </w:p>
  </w:endnote>
  <w:endnote w:type="continuationSeparator" w:id="0">
    <w:p w:rsidR="00A039DF" w:rsidRDefault="00A039DF"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9DF" w:rsidRDefault="00A039DF" w:rsidP="00044739">
      <w:pPr>
        <w:spacing w:line="240" w:lineRule="auto"/>
      </w:pPr>
      <w:r>
        <w:separator/>
      </w:r>
    </w:p>
  </w:footnote>
  <w:footnote w:type="continuationSeparator" w:id="0">
    <w:p w:rsidR="00A039DF" w:rsidRDefault="00A039DF"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72D8D"/>
    <w:multiLevelType w:val="hybridMultilevel"/>
    <w:tmpl w:val="5D90F164"/>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354AB5"/>
    <w:multiLevelType w:val="hybridMultilevel"/>
    <w:tmpl w:val="80D26B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EFC0B7F"/>
    <w:multiLevelType w:val="hybridMultilevel"/>
    <w:tmpl w:val="912836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7" w15:restartNumberingAfterBreak="0">
    <w:nsid w:val="1B041FE0"/>
    <w:multiLevelType w:val="hybridMultilevel"/>
    <w:tmpl w:val="09F8F10E"/>
    <w:lvl w:ilvl="0" w:tplc="72104388">
      <w:start w:val="1"/>
      <w:numFmt w:val="bullet"/>
      <w:lvlText w:val="–"/>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E393459"/>
    <w:multiLevelType w:val="hybridMultilevel"/>
    <w:tmpl w:val="044E62D8"/>
    <w:lvl w:ilvl="0" w:tplc="926485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1E5198B"/>
    <w:multiLevelType w:val="hybridMultilevel"/>
    <w:tmpl w:val="97A4033E"/>
    <w:lvl w:ilvl="0" w:tplc="2CF04A98">
      <w:numFmt w:val="bullet"/>
      <w:lvlText w:val="•"/>
      <w:lvlJc w:val="left"/>
      <w:pPr>
        <w:ind w:left="1065" w:hanging="705"/>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EC01C3"/>
    <w:multiLevelType w:val="hybridMultilevel"/>
    <w:tmpl w:val="DF4048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5" w15:restartNumberingAfterBreak="0">
    <w:nsid w:val="25CA763B"/>
    <w:multiLevelType w:val="hybridMultilevel"/>
    <w:tmpl w:val="0100B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1C6FD5"/>
    <w:multiLevelType w:val="hybridMultilevel"/>
    <w:tmpl w:val="1D7A35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25055C3"/>
    <w:multiLevelType w:val="hybridMultilevel"/>
    <w:tmpl w:val="CD8CFF44"/>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4A059A"/>
    <w:multiLevelType w:val="hybridMultilevel"/>
    <w:tmpl w:val="3A1818EA"/>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22" w15:restartNumberingAfterBreak="0">
    <w:nsid w:val="3B2364EF"/>
    <w:multiLevelType w:val="hybridMultilevel"/>
    <w:tmpl w:val="3912C4CC"/>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420442AE"/>
    <w:multiLevelType w:val="hybridMultilevel"/>
    <w:tmpl w:val="F55EBAB8"/>
    <w:lvl w:ilvl="0" w:tplc="48E6340A">
      <w:numFmt w:val="bullet"/>
      <w:lvlText w:val=""/>
      <w:lvlJc w:val="left"/>
      <w:pPr>
        <w:ind w:left="1065" w:hanging="705"/>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CF3EDB"/>
    <w:multiLevelType w:val="hybridMultilevel"/>
    <w:tmpl w:val="24727322"/>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7693A0D"/>
    <w:multiLevelType w:val="hybridMultilevel"/>
    <w:tmpl w:val="F3906F80"/>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9"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518C3277"/>
    <w:multiLevelType w:val="hybridMultilevel"/>
    <w:tmpl w:val="BC1AA3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CB6EB2"/>
    <w:multiLevelType w:val="hybridMultilevel"/>
    <w:tmpl w:val="D4461534"/>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090EB1"/>
    <w:multiLevelType w:val="hybridMultilevel"/>
    <w:tmpl w:val="B3929D2A"/>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88B1B09"/>
    <w:multiLevelType w:val="hybridMultilevel"/>
    <w:tmpl w:val="ACA4955C"/>
    <w:lvl w:ilvl="0" w:tplc="2CF04A98">
      <w:numFmt w:val="bullet"/>
      <w:lvlText w:val="•"/>
      <w:lvlJc w:val="left"/>
      <w:pPr>
        <w:ind w:left="1425" w:hanging="705"/>
      </w:pPr>
      <w:rPr>
        <w:rFonts w:ascii="Times New Roman" w:eastAsia="Calibr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B546561"/>
    <w:multiLevelType w:val="hybridMultilevel"/>
    <w:tmpl w:val="0E427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40"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0D26C23"/>
    <w:multiLevelType w:val="hybridMultilevel"/>
    <w:tmpl w:val="57A6E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B3B5D0A"/>
    <w:multiLevelType w:val="hybridMultilevel"/>
    <w:tmpl w:val="328C723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7C772F3F"/>
    <w:multiLevelType w:val="hybridMultilevel"/>
    <w:tmpl w:val="8626E2EE"/>
    <w:lvl w:ilvl="0" w:tplc="2CF04A9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D9E7C15"/>
    <w:multiLevelType w:val="hybridMultilevel"/>
    <w:tmpl w:val="06485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1C1962"/>
    <w:multiLevelType w:val="hybridMultilevel"/>
    <w:tmpl w:val="02C8FE6E"/>
    <w:lvl w:ilvl="0" w:tplc="19CE5A56">
      <w:start w:val="1"/>
      <w:numFmt w:val="bullet"/>
      <w:lvlText w:val=""/>
      <w:lvlJc w:val="left"/>
      <w:pPr>
        <w:ind w:left="1065" w:hanging="705"/>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B16B0F"/>
    <w:multiLevelType w:val="hybridMultilevel"/>
    <w:tmpl w:val="F6B887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20"/>
  </w:num>
  <w:num w:numId="4">
    <w:abstractNumId w:val="38"/>
  </w:num>
  <w:num w:numId="5">
    <w:abstractNumId w:val="3"/>
  </w:num>
  <w:num w:numId="6">
    <w:abstractNumId w:val="16"/>
  </w:num>
  <w:num w:numId="7">
    <w:abstractNumId w:val="26"/>
  </w:num>
  <w:num w:numId="8">
    <w:abstractNumId w:val="10"/>
  </w:num>
  <w:num w:numId="9">
    <w:abstractNumId w:val="29"/>
  </w:num>
  <w:num w:numId="10">
    <w:abstractNumId w:val="23"/>
  </w:num>
  <w:num w:numId="11">
    <w:abstractNumId w:val="28"/>
  </w:num>
  <w:num w:numId="12">
    <w:abstractNumId w:val="6"/>
  </w:num>
  <w:num w:numId="13">
    <w:abstractNumId w:val="21"/>
  </w:num>
  <w:num w:numId="14">
    <w:abstractNumId w:val="39"/>
  </w:num>
  <w:num w:numId="15">
    <w:abstractNumId w:val="34"/>
  </w:num>
  <w:num w:numId="16">
    <w:abstractNumId w:val="37"/>
  </w:num>
  <w:num w:numId="17">
    <w:abstractNumId w:val="11"/>
  </w:num>
  <w:num w:numId="18">
    <w:abstractNumId w:val="40"/>
  </w:num>
  <w:num w:numId="19">
    <w:abstractNumId w:val="42"/>
  </w:num>
  <w:num w:numId="20">
    <w:abstractNumId w:val="36"/>
  </w:num>
  <w:num w:numId="21">
    <w:abstractNumId w:val="14"/>
  </w:num>
  <w:num w:numId="22">
    <w:abstractNumId w:val="27"/>
  </w:num>
  <w:num w:numId="23">
    <w:abstractNumId w:val="32"/>
  </w:num>
  <w:num w:numId="24">
    <w:abstractNumId w:val="31"/>
  </w:num>
  <w:num w:numId="25">
    <w:abstractNumId w:val="15"/>
  </w:num>
  <w:num w:numId="26">
    <w:abstractNumId w:val="19"/>
  </w:num>
  <w:num w:numId="27">
    <w:abstractNumId w:val="22"/>
  </w:num>
  <w:num w:numId="28">
    <w:abstractNumId w:val="25"/>
  </w:num>
  <w:num w:numId="29">
    <w:abstractNumId w:val="24"/>
  </w:num>
  <w:num w:numId="30">
    <w:abstractNumId w:val="46"/>
  </w:num>
  <w:num w:numId="31">
    <w:abstractNumId w:val="30"/>
  </w:num>
  <w:num w:numId="32">
    <w:abstractNumId w:val="13"/>
  </w:num>
  <w:num w:numId="33">
    <w:abstractNumId w:val="47"/>
  </w:num>
  <w:num w:numId="34">
    <w:abstractNumId w:val="4"/>
  </w:num>
  <w:num w:numId="35">
    <w:abstractNumId w:val="17"/>
  </w:num>
  <w:num w:numId="36">
    <w:abstractNumId w:val="5"/>
  </w:num>
  <w:num w:numId="37">
    <w:abstractNumId w:val="7"/>
  </w:num>
  <w:num w:numId="38">
    <w:abstractNumId w:val="35"/>
  </w:num>
  <w:num w:numId="39">
    <w:abstractNumId w:val="45"/>
  </w:num>
  <w:num w:numId="40">
    <w:abstractNumId w:val="18"/>
  </w:num>
  <w:num w:numId="41">
    <w:abstractNumId w:val="8"/>
  </w:num>
  <w:num w:numId="42">
    <w:abstractNumId w:val="43"/>
  </w:num>
  <w:num w:numId="43">
    <w:abstractNumId w:val="2"/>
  </w:num>
  <w:num w:numId="44">
    <w:abstractNumId w:val="41"/>
  </w:num>
  <w:num w:numId="45">
    <w:abstractNumId w:val="12"/>
  </w:num>
  <w:num w:numId="46">
    <w:abstractNumId w:val="3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formatting="1" w:enforcement="0"/>
  <w:defaultTabStop w:val="708"/>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CB"/>
    <w:rsid w:val="000008E5"/>
    <w:rsid w:val="000015EE"/>
    <w:rsid w:val="000022D5"/>
    <w:rsid w:val="00004C6A"/>
    <w:rsid w:val="00012D11"/>
    <w:rsid w:val="00013EB5"/>
    <w:rsid w:val="00014905"/>
    <w:rsid w:val="00016B83"/>
    <w:rsid w:val="00023836"/>
    <w:rsid w:val="000356A9"/>
    <w:rsid w:val="00044138"/>
    <w:rsid w:val="00044739"/>
    <w:rsid w:val="000449B2"/>
    <w:rsid w:val="0005132E"/>
    <w:rsid w:val="00051637"/>
    <w:rsid w:val="00056681"/>
    <w:rsid w:val="000648A7"/>
    <w:rsid w:val="0006618B"/>
    <w:rsid w:val="000670C0"/>
    <w:rsid w:val="00071B99"/>
    <w:rsid w:val="000756E5"/>
    <w:rsid w:val="0007704E"/>
    <w:rsid w:val="00080EC8"/>
    <w:rsid w:val="000944AC"/>
    <w:rsid w:val="00094CB9"/>
    <w:rsid w:val="00094FE9"/>
    <w:rsid w:val="000956B2"/>
    <w:rsid w:val="000969E7"/>
    <w:rsid w:val="000A23DE"/>
    <w:rsid w:val="000A4020"/>
    <w:rsid w:val="000B2E41"/>
    <w:rsid w:val="000B54FB"/>
    <w:rsid w:val="000C29B0"/>
    <w:rsid w:val="000C76FC"/>
    <w:rsid w:val="000D38FC"/>
    <w:rsid w:val="000D4D90"/>
    <w:rsid w:val="000E06AD"/>
    <w:rsid w:val="000E1819"/>
    <w:rsid w:val="000E2D10"/>
    <w:rsid w:val="000E33D3"/>
    <w:rsid w:val="000F3204"/>
    <w:rsid w:val="00101B62"/>
    <w:rsid w:val="0010548B"/>
    <w:rsid w:val="001072D1"/>
    <w:rsid w:val="00117017"/>
    <w:rsid w:val="00125781"/>
    <w:rsid w:val="00130E8E"/>
    <w:rsid w:val="0013216E"/>
    <w:rsid w:val="001401B5"/>
    <w:rsid w:val="001422B9"/>
    <w:rsid w:val="0014665F"/>
    <w:rsid w:val="00153464"/>
    <w:rsid w:val="001541B3"/>
    <w:rsid w:val="00154CA4"/>
    <w:rsid w:val="00155B15"/>
    <w:rsid w:val="001625BE"/>
    <w:rsid w:val="0016365F"/>
    <w:rsid w:val="001643A4"/>
    <w:rsid w:val="001727BB"/>
    <w:rsid w:val="00180D25"/>
    <w:rsid w:val="00182087"/>
    <w:rsid w:val="0018318D"/>
    <w:rsid w:val="0018572C"/>
    <w:rsid w:val="00187E79"/>
    <w:rsid w:val="00187F0D"/>
    <w:rsid w:val="00192CC5"/>
    <w:rsid w:val="001956A7"/>
    <w:rsid w:val="001A118A"/>
    <w:rsid w:val="001A27F4"/>
    <w:rsid w:val="001A2D95"/>
    <w:rsid w:val="001A4626"/>
    <w:rsid w:val="001A7357"/>
    <w:rsid w:val="001B09D8"/>
    <w:rsid w:val="001B2316"/>
    <w:rsid w:val="001B3460"/>
    <w:rsid w:val="001B43E1"/>
    <w:rsid w:val="001B4CA1"/>
    <w:rsid w:val="001B75D8"/>
    <w:rsid w:val="001B7688"/>
    <w:rsid w:val="001C1060"/>
    <w:rsid w:val="001C3C63"/>
    <w:rsid w:val="001D38AB"/>
    <w:rsid w:val="001D4732"/>
    <w:rsid w:val="001D6A3C"/>
    <w:rsid w:val="001D6D51"/>
    <w:rsid w:val="001F11B2"/>
    <w:rsid w:val="001F4E2A"/>
    <w:rsid w:val="001F653A"/>
    <w:rsid w:val="001F6979"/>
    <w:rsid w:val="00202BC6"/>
    <w:rsid w:val="00205141"/>
    <w:rsid w:val="0020516B"/>
    <w:rsid w:val="00205FC4"/>
    <w:rsid w:val="00212F77"/>
    <w:rsid w:val="00213559"/>
    <w:rsid w:val="00213EFD"/>
    <w:rsid w:val="002172F1"/>
    <w:rsid w:val="00223C7B"/>
    <w:rsid w:val="00224AB1"/>
    <w:rsid w:val="0022687A"/>
    <w:rsid w:val="00230728"/>
    <w:rsid w:val="00230DA7"/>
    <w:rsid w:val="00234040"/>
    <w:rsid w:val="00235CD2"/>
    <w:rsid w:val="002378D6"/>
    <w:rsid w:val="00246AA5"/>
    <w:rsid w:val="00254DED"/>
    <w:rsid w:val="00255619"/>
    <w:rsid w:val="00255DAD"/>
    <w:rsid w:val="00256108"/>
    <w:rsid w:val="00260F33"/>
    <w:rsid w:val="002613BD"/>
    <w:rsid w:val="002624F1"/>
    <w:rsid w:val="00267C31"/>
    <w:rsid w:val="00270C81"/>
    <w:rsid w:val="00271558"/>
    <w:rsid w:val="00274862"/>
    <w:rsid w:val="0027742C"/>
    <w:rsid w:val="00282D72"/>
    <w:rsid w:val="00283402"/>
    <w:rsid w:val="00290ACF"/>
    <w:rsid w:val="00290FD6"/>
    <w:rsid w:val="00291F71"/>
    <w:rsid w:val="00294259"/>
    <w:rsid w:val="002A2C81"/>
    <w:rsid w:val="002B3D1A"/>
    <w:rsid w:val="002C27D0"/>
    <w:rsid w:val="002C2C9B"/>
    <w:rsid w:val="002C62DA"/>
    <w:rsid w:val="002D17D6"/>
    <w:rsid w:val="002D18D7"/>
    <w:rsid w:val="002D21CE"/>
    <w:rsid w:val="002E34CB"/>
    <w:rsid w:val="002E3DA3"/>
    <w:rsid w:val="002E411F"/>
    <w:rsid w:val="002E450F"/>
    <w:rsid w:val="002E6B38"/>
    <w:rsid w:val="002E6D63"/>
    <w:rsid w:val="002E6E2B"/>
    <w:rsid w:val="002E74A3"/>
    <w:rsid w:val="002F498A"/>
    <w:rsid w:val="002F500B"/>
    <w:rsid w:val="00300991"/>
    <w:rsid w:val="00301959"/>
    <w:rsid w:val="00305B8A"/>
    <w:rsid w:val="00314B34"/>
    <w:rsid w:val="003163EA"/>
    <w:rsid w:val="00325E86"/>
    <w:rsid w:val="00331BF9"/>
    <w:rsid w:val="0033495E"/>
    <w:rsid w:val="00334A79"/>
    <w:rsid w:val="00334D8D"/>
    <w:rsid w:val="00337345"/>
    <w:rsid w:val="00337DD2"/>
    <w:rsid w:val="003404D1"/>
    <w:rsid w:val="003443FF"/>
    <w:rsid w:val="00355808"/>
    <w:rsid w:val="00362C7E"/>
    <w:rsid w:val="00363309"/>
    <w:rsid w:val="00363601"/>
    <w:rsid w:val="0037285E"/>
    <w:rsid w:val="00376AC9"/>
    <w:rsid w:val="00381EEC"/>
    <w:rsid w:val="00384EE7"/>
    <w:rsid w:val="00393032"/>
    <w:rsid w:val="00394B69"/>
    <w:rsid w:val="00397078"/>
    <w:rsid w:val="003A14A4"/>
    <w:rsid w:val="003A1C4F"/>
    <w:rsid w:val="003A6953"/>
    <w:rsid w:val="003B2450"/>
    <w:rsid w:val="003B6083"/>
    <w:rsid w:val="003C3838"/>
    <w:rsid w:val="003C5847"/>
    <w:rsid w:val="003D0681"/>
    <w:rsid w:val="003D12F6"/>
    <w:rsid w:val="003D1426"/>
    <w:rsid w:val="003E2F4E"/>
    <w:rsid w:val="003E720A"/>
    <w:rsid w:val="003F4EE5"/>
    <w:rsid w:val="003F7C4A"/>
    <w:rsid w:val="00403E6E"/>
    <w:rsid w:val="004129B4"/>
    <w:rsid w:val="00417EF0"/>
    <w:rsid w:val="00422181"/>
    <w:rsid w:val="004244A8"/>
    <w:rsid w:val="00425F72"/>
    <w:rsid w:val="00427736"/>
    <w:rsid w:val="00441787"/>
    <w:rsid w:val="00444F2D"/>
    <w:rsid w:val="00447A44"/>
    <w:rsid w:val="00452034"/>
    <w:rsid w:val="00455FA6"/>
    <w:rsid w:val="00466C70"/>
    <w:rsid w:val="004702C9"/>
    <w:rsid w:val="00472E45"/>
    <w:rsid w:val="00473FEA"/>
    <w:rsid w:val="0047579D"/>
    <w:rsid w:val="00483262"/>
    <w:rsid w:val="00484107"/>
    <w:rsid w:val="00485CC5"/>
    <w:rsid w:val="0049343F"/>
    <w:rsid w:val="004964FC"/>
    <w:rsid w:val="004A145E"/>
    <w:rsid w:val="004A1F15"/>
    <w:rsid w:val="004A2A81"/>
    <w:rsid w:val="004A7BD7"/>
    <w:rsid w:val="004C15C2"/>
    <w:rsid w:val="004C1B01"/>
    <w:rsid w:val="004C2053"/>
    <w:rsid w:val="004C36D8"/>
    <w:rsid w:val="004C6A0C"/>
    <w:rsid w:val="004D1248"/>
    <w:rsid w:val="004D1E3C"/>
    <w:rsid w:val="004D4169"/>
    <w:rsid w:val="004D6E14"/>
    <w:rsid w:val="004E34A8"/>
    <w:rsid w:val="004E5977"/>
    <w:rsid w:val="004F3F0D"/>
    <w:rsid w:val="004F4E17"/>
    <w:rsid w:val="0050082F"/>
    <w:rsid w:val="00500C56"/>
    <w:rsid w:val="005016B8"/>
    <w:rsid w:val="00501713"/>
    <w:rsid w:val="00506568"/>
    <w:rsid w:val="00507FD8"/>
    <w:rsid w:val="0051551B"/>
    <w:rsid w:val="005160E3"/>
    <w:rsid w:val="00520C57"/>
    <w:rsid w:val="00522D94"/>
    <w:rsid w:val="00524B6B"/>
    <w:rsid w:val="0053129F"/>
    <w:rsid w:val="00533D89"/>
    <w:rsid w:val="00536564"/>
    <w:rsid w:val="0054072E"/>
    <w:rsid w:val="00544597"/>
    <w:rsid w:val="00544FFE"/>
    <w:rsid w:val="005473F5"/>
    <w:rsid w:val="005477E7"/>
    <w:rsid w:val="005519C5"/>
    <w:rsid w:val="00552794"/>
    <w:rsid w:val="00563199"/>
    <w:rsid w:val="00564874"/>
    <w:rsid w:val="00567846"/>
    <w:rsid w:val="00567963"/>
    <w:rsid w:val="0057009A"/>
    <w:rsid w:val="00571260"/>
    <w:rsid w:val="0057189C"/>
    <w:rsid w:val="00573FC1"/>
    <w:rsid w:val="005741EE"/>
    <w:rsid w:val="0057668E"/>
    <w:rsid w:val="0057675A"/>
    <w:rsid w:val="00595E83"/>
    <w:rsid w:val="00596530"/>
    <w:rsid w:val="005967F3"/>
    <w:rsid w:val="005A06DF"/>
    <w:rsid w:val="005A5527"/>
    <w:rsid w:val="005A5AE6"/>
    <w:rsid w:val="005B1206"/>
    <w:rsid w:val="005B37E8"/>
    <w:rsid w:val="005C0056"/>
    <w:rsid w:val="005D61D6"/>
    <w:rsid w:val="005E0D13"/>
    <w:rsid w:val="005E5047"/>
    <w:rsid w:val="005E7205"/>
    <w:rsid w:val="005E7371"/>
    <w:rsid w:val="005F116C"/>
    <w:rsid w:val="005F2131"/>
    <w:rsid w:val="005F545A"/>
    <w:rsid w:val="005F6441"/>
    <w:rsid w:val="00600606"/>
    <w:rsid w:val="00605EF6"/>
    <w:rsid w:val="00606455"/>
    <w:rsid w:val="0060660E"/>
    <w:rsid w:val="00614929"/>
    <w:rsid w:val="00616511"/>
    <w:rsid w:val="006176ED"/>
    <w:rsid w:val="006202F3"/>
    <w:rsid w:val="0062097A"/>
    <w:rsid w:val="00621DA6"/>
    <w:rsid w:val="00623CFE"/>
    <w:rsid w:val="00627221"/>
    <w:rsid w:val="00627EE8"/>
    <w:rsid w:val="006316FA"/>
    <w:rsid w:val="006370D2"/>
    <w:rsid w:val="0064074F"/>
    <w:rsid w:val="00641F55"/>
    <w:rsid w:val="00645E4A"/>
    <w:rsid w:val="00646234"/>
    <w:rsid w:val="00652A0E"/>
    <w:rsid w:val="00653688"/>
    <w:rsid w:val="0066091B"/>
    <w:rsid w:val="006622FE"/>
    <w:rsid w:val="00662BA1"/>
    <w:rsid w:val="00663F78"/>
    <w:rsid w:val="006660E9"/>
    <w:rsid w:val="00667249"/>
    <w:rsid w:val="00667558"/>
    <w:rsid w:val="00671523"/>
    <w:rsid w:val="006754EF"/>
    <w:rsid w:val="00676C8D"/>
    <w:rsid w:val="00676F1F"/>
    <w:rsid w:val="00677381"/>
    <w:rsid w:val="00677414"/>
    <w:rsid w:val="006807DA"/>
    <w:rsid w:val="006832CF"/>
    <w:rsid w:val="0068601E"/>
    <w:rsid w:val="0069486B"/>
    <w:rsid w:val="006A4904"/>
    <w:rsid w:val="006A548F"/>
    <w:rsid w:val="006A701A"/>
    <w:rsid w:val="006B64DC"/>
    <w:rsid w:val="006B7A91"/>
    <w:rsid w:val="006D4704"/>
    <w:rsid w:val="006D5327"/>
    <w:rsid w:val="006D6A2D"/>
    <w:rsid w:val="006E1E18"/>
    <w:rsid w:val="006E31CE"/>
    <w:rsid w:val="006E34D3"/>
    <w:rsid w:val="006E6346"/>
    <w:rsid w:val="006F1435"/>
    <w:rsid w:val="006F78C4"/>
    <w:rsid w:val="00701B33"/>
    <w:rsid w:val="007024B3"/>
    <w:rsid w:val="007031A0"/>
    <w:rsid w:val="00705A29"/>
    <w:rsid w:val="00707498"/>
    <w:rsid w:val="00711A65"/>
    <w:rsid w:val="00714133"/>
    <w:rsid w:val="00714DA4"/>
    <w:rsid w:val="007158B2"/>
    <w:rsid w:val="00716081"/>
    <w:rsid w:val="00722B48"/>
    <w:rsid w:val="00724164"/>
    <w:rsid w:val="00725DE7"/>
    <w:rsid w:val="0072636A"/>
    <w:rsid w:val="007267D3"/>
    <w:rsid w:val="00726B44"/>
    <w:rsid w:val="007318DD"/>
    <w:rsid w:val="00733167"/>
    <w:rsid w:val="00734131"/>
    <w:rsid w:val="00740D2C"/>
    <w:rsid w:val="00744BF9"/>
    <w:rsid w:val="00752623"/>
    <w:rsid w:val="00755E0D"/>
    <w:rsid w:val="007604DF"/>
    <w:rsid w:val="00760F1F"/>
    <w:rsid w:val="00761492"/>
    <w:rsid w:val="0076423E"/>
    <w:rsid w:val="007646CB"/>
    <w:rsid w:val="007652B7"/>
    <w:rsid w:val="00765405"/>
    <w:rsid w:val="0076658F"/>
    <w:rsid w:val="0077040A"/>
    <w:rsid w:val="0077288F"/>
    <w:rsid w:val="00772D64"/>
    <w:rsid w:val="00772ED0"/>
    <w:rsid w:val="00773FA1"/>
    <w:rsid w:val="00777172"/>
    <w:rsid w:val="007923B7"/>
    <w:rsid w:val="00792609"/>
    <w:rsid w:val="00792887"/>
    <w:rsid w:val="007943E2"/>
    <w:rsid w:val="00794F2C"/>
    <w:rsid w:val="007A3BC7"/>
    <w:rsid w:val="007A3DB2"/>
    <w:rsid w:val="007A5AC4"/>
    <w:rsid w:val="007B0FDD"/>
    <w:rsid w:val="007B4802"/>
    <w:rsid w:val="007B6668"/>
    <w:rsid w:val="007B6B33"/>
    <w:rsid w:val="007C2701"/>
    <w:rsid w:val="007D2192"/>
    <w:rsid w:val="007F0021"/>
    <w:rsid w:val="007F2F52"/>
    <w:rsid w:val="00801F71"/>
    <w:rsid w:val="00805F28"/>
    <w:rsid w:val="0080749F"/>
    <w:rsid w:val="00811D46"/>
    <w:rsid w:val="008125B0"/>
    <w:rsid w:val="008144CB"/>
    <w:rsid w:val="008214E6"/>
    <w:rsid w:val="00821717"/>
    <w:rsid w:val="00824210"/>
    <w:rsid w:val="008263C0"/>
    <w:rsid w:val="00841422"/>
    <w:rsid w:val="00841D3B"/>
    <w:rsid w:val="0084314C"/>
    <w:rsid w:val="00843171"/>
    <w:rsid w:val="00845B23"/>
    <w:rsid w:val="008575C3"/>
    <w:rsid w:val="00863D28"/>
    <w:rsid w:val="008648C3"/>
    <w:rsid w:val="00871E08"/>
    <w:rsid w:val="00880F26"/>
    <w:rsid w:val="00887076"/>
    <w:rsid w:val="008934DC"/>
    <w:rsid w:val="00896C2E"/>
    <w:rsid w:val="008A1479"/>
    <w:rsid w:val="008A5095"/>
    <w:rsid w:val="008A608F"/>
    <w:rsid w:val="008A60D8"/>
    <w:rsid w:val="008B1A9A"/>
    <w:rsid w:val="008B2F28"/>
    <w:rsid w:val="008B4FE6"/>
    <w:rsid w:val="008B6C37"/>
    <w:rsid w:val="008B71B5"/>
    <w:rsid w:val="008E18F7"/>
    <w:rsid w:val="008E1E10"/>
    <w:rsid w:val="008E291B"/>
    <w:rsid w:val="008E390A"/>
    <w:rsid w:val="008E4F2F"/>
    <w:rsid w:val="008E74B0"/>
    <w:rsid w:val="008F37B3"/>
    <w:rsid w:val="009008A8"/>
    <w:rsid w:val="009027F8"/>
    <w:rsid w:val="009063B0"/>
    <w:rsid w:val="00907106"/>
    <w:rsid w:val="009107FD"/>
    <w:rsid w:val="0091137C"/>
    <w:rsid w:val="00911567"/>
    <w:rsid w:val="00917AAE"/>
    <w:rsid w:val="00924508"/>
    <w:rsid w:val="009251A9"/>
    <w:rsid w:val="00930699"/>
    <w:rsid w:val="00930EA3"/>
    <w:rsid w:val="00931F69"/>
    <w:rsid w:val="00934123"/>
    <w:rsid w:val="00955774"/>
    <w:rsid w:val="009560B5"/>
    <w:rsid w:val="009703D6"/>
    <w:rsid w:val="0097181B"/>
    <w:rsid w:val="00976DC5"/>
    <w:rsid w:val="009818C7"/>
    <w:rsid w:val="00982DD4"/>
    <w:rsid w:val="009841E5"/>
    <w:rsid w:val="0098479F"/>
    <w:rsid w:val="00984A8A"/>
    <w:rsid w:val="009857B6"/>
    <w:rsid w:val="00985A8D"/>
    <w:rsid w:val="00986610"/>
    <w:rsid w:val="009877DC"/>
    <w:rsid w:val="00991217"/>
    <w:rsid w:val="00991F96"/>
    <w:rsid w:val="00996F0A"/>
    <w:rsid w:val="009A1B6D"/>
    <w:rsid w:val="009A1D86"/>
    <w:rsid w:val="009B020D"/>
    <w:rsid w:val="009B049C"/>
    <w:rsid w:val="009B11C8"/>
    <w:rsid w:val="009B2BCF"/>
    <w:rsid w:val="009B2FF8"/>
    <w:rsid w:val="009B5BA3"/>
    <w:rsid w:val="009B7B34"/>
    <w:rsid w:val="009C3051"/>
    <w:rsid w:val="009D0027"/>
    <w:rsid w:val="009D0655"/>
    <w:rsid w:val="009D2C19"/>
    <w:rsid w:val="009E1E98"/>
    <w:rsid w:val="009E3ABE"/>
    <w:rsid w:val="009E3C4B"/>
    <w:rsid w:val="009F0637"/>
    <w:rsid w:val="009F48D9"/>
    <w:rsid w:val="009F62A6"/>
    <w:rsid w:val="009F674F"/>
    <w:rsid w:val="009F799E"/>
    <w:rsid w:val="00A02020"/>
    <w:rsid w:val="00A039DF"/>
    <w:rsid w:val="00A056CB"/>
    <w:rsid w:val="00A07A29"/>
    <w:rsid w:val="00A10FF1"/>
    <w:rsid w:val="00A1506B"/>
    <w:rsid w:val="00A17CB2"/>
    <w:rsid w:val="00A23191"/>
    <w:rsid w:val="00A24A95"/>
    <w:rsid w:val="00A3099A"/>
    <w:rsid w:val="00A319C0"/>
    <w:rsid w:val="00A33560"/>
    <w:rsid w:val="00A364E4"/>
    <w:rsid w:val="00A371A5"/>
    <w:rsid w:val="00A37FBC"/>
    <w:rsid w:val="00A47BDF"/>
    <w:rsid w:val="00A51CD7"/>
    <w:rsid w:val="00A52ADB"/>
    <w:rsid w:val="00A533E8"/>
    <w:rsid w:val="00A542D9"/>
    <w:rsid w:val="00A5629F"/>
    <w:rsid w:val="00A56E64"/>
    <w:rsid w:val="00A624C3"/>
    <w:rsid w:val="00A6641C"/>
    <w:rsid w:val="00A72EB2"/>
    <w:rsid w:val="00A767D2"/>
    <w:rsid w:val="00A77616"/>
    <w:rsid w:val="00A805DA"/>
    <w:rsid w:val="00A811B4"/>
    <w:rsid w:val="00A87CDE"/>
    <w:rsid w:val="00A92BAF"/>
    <w:rsid w:val="00A94737"/>
    <w:rsid w:val="00A94BA3"/>
    <w:rsid w:val="00A96CBA"/>
    <w:rsid w:val="00AA6B28"/>
    <w:rsid w:val="00AB1ACD"/>
    <w:rsid w:val="00AB277F"/>
    <w:rsid w:val="00AB4099"/>
    <w:rsid w:val="00AB449A"/>
    <w:rsid w:val="00AB78A7"/>
    <w:rsid w:val="00AC6D8A"/>
    <w:rsid w:val="00AD14F9"/>
    <w:rsid w:val="00AD35D6"/>
    <w:rsid w:val="00AD49E9"/>
    <w:rsid w:val="00AD58C5"/>
    <w:rsid w:val="00AE36C4"/>
    <w:rsid w:val="00AE472C"/>
    <w:rsid w:val="00AE5375"/>
    <w:rsid w:val="00AE5E26"/>
    <w:rsid w:val="00AE6CF8"/>
    <w:rsid w:val="00AF4CAC"/>
    <w:rsid w:val="00B008C6"/>
    <w:rsid w:val="00B00F55"/>
    <w:rsid w:val="00B03E0D"/>
    <w:rsid w:val="00B054F8"/>
    <w:rsid w:val="00B22195"/>
    <w:rsid w:val="00B2219A"/>
    <w:rsid w:val="00B248BF"/>
    <w:rsid w:val="00B3581B"/>
    <w:rsid w:val="00B36B81"/>
    <w:rsid w:val="00B36FEE"/>
    <w:rsid w:val="00B37234"/>
    <w:rsid w:val="00B37C80"/>
    <w:rsid w:val="00B4546E"/>
    <w:rsid w:val="00B47B25"/>
    <w:rsid w:val="00B5092B"/>
    <w:rsid w:val="00B5194E"/>
    <w:rsid w:val="00B51AF5"/>
    <w:rsid w:val="00B531FC"/>
    <w:rsid w:val="00B55347"/>
    <w:rsid w:val="00B56668"/>
    <w:rsid w:val="00B57E5E"/>
    <w:rsid w:val="00B61F37"/>
    <w:rsid w:val="00B7770F"/>
    <w:rsid w:val="00B77A89"/>
    <w:rsid w:val="00B77B27"/>
    <w:rsid w:val="00B8134E"/>
    <w:rsid w:val="00B819DD"/>
    <w:rsid w:val="00B81B55"/>
    <w:rsid w:val="00B84613"/>
    <w:rsid w:val="00B87AF0"/>
    <w:rsid w:val="00B9037B"/>
    <w:rsid w:val="00B910BD"/>
    <w:rsid w:val="00B92A85"/>
    <w:rsid w:val="00B93834"/>
    <w:rsid w:val="00B96469"/>
    <w:rsid w:val="00B97D76"/>
    <w:rsid w:val="00BA0DA2"/>
    <w:rsid w:val="00BA2981"/>
    <w:rsid w:val="00BA42EE"/>
    <w:rsid w:val="00BA48F9"/>
    <w:rsid w:val="00BB0DCA"/>
    <w:rsid w:val="00BB2666"/>
    <w:rsid w:val="00BB6B80"/>
    <w:rsid w:val="00BC3773"/>
    <w:rsid w:val="00BC381A"/>
    <w:rsid w:val="00BC6A1A"/>
    <w:rsid w:val="00BD0962"/>
    <w:rsid w:val="00BD1EED"/>
    <w:rsid w:val="00BE0C80"/>
    <w:rsid w:val="00BE524A"/>
    <w:rsid w:val="00BF0DA2"/>
    <w:rsid w:val="00BF109C"/>
    <w:rsid w:val="00BF34FA"/>
    <w:rsid w:val="00BF719F"/>
    <w:rsid w:val="00C004B6"/>
    <w:rsid w:val="00C0261E"/>
    <w:rsid w:val="00C047A7"/>
    <w:rsid w:val="00C05DE5"/>
    <w:rsid w:val="00C33027"/>
    <w:rsid w:val="00C37667"/>
    <w:rsid w:val="00C435DB"/>
    <w:rsid w:val="00C44D73"/>
    <w:rsid w:val="00C50B42"/>
    <w:rsid w:val="00C516FF"/>
    <w:rsid w:val="00C52BFA"/>
    <w:rsid w:val="00C53D1D"/>
    <w:rsid w:val="00C53F26"/>
    <w:rsid w:val="00C540BC"/>
    <w:rsid w:val="00C62492"/>
    <w:rsid w:val="00C64F7D"/>
    <w:rsid w:val="00C67309"/>
    <w:rsid w:val="00C734BB"/>
    <w:rsid w:val="00C7614E"/>
    <w:rsid w:val="00C77BF1"/>
    <w:rsid w:val="00C80D60"/>
    <w:rsid w:val="00C82FBD"/>
    <w:rsid w:val="00C85267"/>
    <w:rsid w:val="00C867E1"/>
    <w:rsid w:val="00C8721B"/>
    <w:rsid w:val="00C9372C"/>
    <w:rsid w:val="00C9470E"/>
    <w:rsid w:val="00C95CEB"/>
    <w:rsid w:val="00CA1054"/>
    <w:rsid w:val="00CA158C"/>
    <w:rsid w:val="00CA50A7"/>
    <w:rsid w:val="00CA63EB"/>
    <w:rsid w:val="00CA69F1"/>
    <w:rsid w:val="00CA6E3F"/>
    <w:rsid w:val="00CB3A6B"/>
    <w:rsid w:val="00CB3C33"/>
    <w:rsid w:val="00CB6991"/>
    <w:rsid w:val="00CC0C60"/>
    <w:rsid w:val="00CC33A3"/>
    <w:rsid w:val="00CC6194"/>
    <w:rsid w:val="00CC6305"/>
    <w:rsid w:val="00CC78A5"/>
    <w:rsid w:val="00CD0516"/>
    <w:rsid w:val="00CD45D5"/>
    <w:rsid w:val="00CD756B"/>
    <w:rsid w:val="00CE734F"/>
    <w:rsid w:val="00CF112E"/>
    <w:rsid w:val="00CF5F4F"/>
    <w:rsid w:val="00D06532"/>
    <w:rsid w:val="00D218DC"/>
    <w:rsid w:val="00D24E56"/>
    <w:rsid w:val="00D31643"/>
    <w:rsid w:val="00D31AEB"/>
    <w:rsid w:val="00D32ECD"/>
    <w:rsid w:val="00D361E4"/>
    <w:rsid w:val="00D41D7A"/>
    <w:rsid w:val="00D429D5"/>
    <w:rsid w:val="00D42A8F"/>
    <w:rsid w:val="00D439F6"/>
    <w:rsid w:val="00D459C6"/>
    <w:rsid w:val="00D50729"/>
    <w:rsid w:val="00D50C19"/>
    <w:rsid w:val="00D5379E"/>
    <w:rsid w:val="00D56462"/>
    <w:rsid w:val="00D6022C"/>
    <w:rsid w:val="00D62643"/>
    <w:rsid w:val="00D64C0F"/>
    <w:rsid w:val="00D72EFE"/>
    <w:rsid w:val="00D76227"/>
    <w:rsid w:val="00D767D1"/>
    <w:rsid w:val="00D77DF1"/>
    <w:rsid w:val="00D86AFF"/>
    <w:rsid w:val="00D8701A"/>
    <w:rsid w:val="00D95A44"/>
    <w:rsid w:val="00D95D16"/>
    <w:rsid w:val="00D96D03"/>
    <w:rsid w:val="00D97C76"/>
    <w:rsid w:val="00DA198E"/>
    <w:rsid w:val="00DA7A68"/>
    <w:rsid w:val="00DB02B4"/>
    <w:rsid w:val="00DB538D"/>
    <w:rsid w:val="00DC275C"/>
    <w:rsid w:val="00DC4B0D"/>
    <w:rsid w:val="00DC7FE1"/>
    <w:rsid w:val="00DD3F3F"/>
    <w:rsid w:val="00DD5572"/>
    <w:rsid w:val="00DE3AB9"/>
    <w:rsid w:val="00DE4833"/>
    <w:rsid w:val="00DE5D80"/>
    <w:rsid w:val="00DF58CD"/>
    <w:rsid w:val="00DF65DE"/>
    <w:rsid w:val="00E019A5"/>
    <w:rsid w:val="00E02EC8"/>
    <w:rsid w:val="00E037F5"/>
    <w:rsid w:val="00E04C86"/>
    <w:rsid w:val="00E04ECB"/>
    <w:rsid w:val="00E05A09"/>
    <w:rsid w:val="00E06CA1"/>
    <w:rsid w:val="00E172B8"/>
    <w:rsid w:val="00E17FB4"/>
    <w:rsid w:val="00E20B75"/>
    <w:rsid w:val="00E214F2"/>
    <w:rsid w:val="00E2371E"/>
    <w:rsid w:val="00E24BD7"/>
    <w:rsid w:val="00E26523"/>
    <w:rsid w:val="00E26809"/>
    <w:rsid w:val="00E306F7"/>
    <w:rsid w:val="00E3412D"/>
    <w:rsid w:val="00E511D6"/>
    <w:rsid w:val="00E57322"/>
    <w:rsid w:val="00E628CB"/>
    <w:rsid w:val="00E62AD9"/>
    <w:rsid w:val="00E638C8"/>
    <w:rsid w:val="00E66F76"/>
    <w:rsid w:val="00E70A5B"/>
    <w:rsid w:val="00E7509B"/>
    <w:rsid w:val="00E86590"/>
    <w:rsid w:val="00E907FF"/>
    <w:rsid w:val="00E9660F"/>
    <w:rsid w:val="00EA2399"/>
    <w:rsid w:val="00EA42D1"/>
    <w:rsid w:val="00EA42EF"/>
    <w:rsid w:val="00EB13A3"/>
    <w:rsid w:val="00EB2DD1"/>
    <w:rsid w:val="00EB6B37"/>
    <w:rsid w:val="00EC19C2"/>
    <w:rsid w:val="00EC29FE"/>
    <w:rsid w:val="00EC3C70"/>
    <w:rsid w:val="00ED3A3D"/>
    <w:rsid w:val="00ED538A"/>
    <w:rsid w:val="00ED6FBC"/>
    <w:rsid w:val="00EE2F16"/>
    <w:rsid w:val="00EE3861"/>
    <w:rsid w:val="00EE7BF2"/>
    <w:rsid w:val="00EF2E73"/>
    <w:rsid w:val="00EF7683"/>
    <w:rsid w:val="00EF7A2D"/>
    <w:rsid w:val="00F04F8D"/>
    <w:rsid w:val="00F068BC"/>
    <w:rsid w:val="00F06C7D"/>
    <w:rsid w:val="00F10AD0"/>
    <w:rsid w:val="00F116CC"/>
    <w:rsid w:val="00F11925"/>
    <w:rsid w:val="00F12BD1"/>
    <w:rsid w:val="00F15327"/>
    <w:rsid w:val="00F168CF"/>
    <w:rsid w:val="00F2555C"/>
    <w:rsid w:val="00F31DF3"/>
    <w:rsid w:val="00F33937"/>
    <w:rsid w:val="00F33AE5"/>
    <w:rsid w:val="00F3597D"/>
    <w:rsid w:val="00F4376D"/>
    <w:rsid w:val="00F45399"/>
    <w:rsid w:val="00F465EA"/>
    <w:rsid w:val="00F54E7B"/>
    <w:rsid w:val="00F55A88"/>
    <w:rsid w:val="00F623D3"/>
    <w:rsid w:val="00F71F89"/>
    <w:rsid w:val="00F74005"/>
    <w:rsid w:val="00F76884"/>
    <w:rsid w:val="00F83D24"/>
    <w:rsid w:val="00F83DD9"/>
    <w:rsid w:val="00F83F40"/>
    <w:rsid w:val="00F94CA5"/>
    <w:rsid w:val="00FA117A"/>
    <w:rsid w:val="00FB0D03"/>
    <w:rsid w:val="00FB386A"/>
    <w:rsid w:val="00FC0786"/>
    <w:rsid w:val="00FC1A02"/>
    <w:rsid w:val="00FC410A"/>
    <w:rsid w:val="00FC49EF"/>
    <w:rsid w:val="00FC4AD4"/>
    <w:rsid w:val="00FC6D1D"/>
    <w:rsid w:val="00FD3C87"/>
    <w:rsid w:val="00FD709D"/>
    <w:rsid w:val="00FE36E2"/>
    <w:rsid w:val="00FF11AD"/>
    <w:rsid w:val="00FF2971"/>
    <w:rsid w:val="00FF3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E2F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customStyle="1" w:styleId="Default">
    <w:name w:val="Default"/>
    <w:rsid w:val="00C734BB"/>
    <w:pPr>
      <w:autoSpaceDE w:val="0"/>
      <w:autoSpaceDN w:val="0"/>
      <w:adjustRightInd w:val="0"/>
    </w:pPr>
    <w:rPr>
      <w:rFonts w:ascii="Times New Roman" w:hAnsi="Times New Roman"/>
      <w:color w:val="000000"/>
      <w:sz w:val="24"/>
      <w:szCs w:val="24"/>
    </w:rPr>
  </w:style>
  <w:style w:type="paragraph" w:customStyle="1" w:styleId="Standard">
    <w:name w:val="Standard"/>
    <w:rsid w:val="00325E86"/>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166211934">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2224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ojciech.Kaczmarczyk@kprm.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87BB-E6E4-4710-85EC-584F0898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2425</Words>
  <Characters>16497</Characters>
  <Application>Microsoft Office Word</Application>
  <DocSecurity>0</DocSecurity>
  <Lines>137</Lines>
  <Paragraphs>37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2020-05-04T13:33:00Z</dcterms:created>
  <dcterms:modified xsi:type="dcterms:W3CDTF">2020-07-30T12:05:00Z</dcterms:modified>
</cp:coreProperties>
</file>