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6BDBD" w14:textId="301087CF" w:rsidR="00832B12" w:rsidRDefault="00832B12" w:rsidP="00832B12">
      <w:pPr>
        <w:jc w:val="center"/>
        <w:rPr>
          <w:rFonts w:asciiTheme="minorHAnsi" w:eastAsia="Aptos" w:hAnsiTheme="minorHAnsi" w:cstheme="minorHAnsi"/>
          <w14:ligatures w14:val="standardContextual"/>
        </w:rPr>
      </w:pPr>
      <w:r w:rsidRPr="000010A0">
        <w:rPr>
          <w:b/>
          <w:bCs/>
        </w:rPr>
        <w:t>Stanowisko CPPC w sprawie kwartalnych wyczernień</w:t>
      </w:r>
    </w:p>
    <w:p w14:paraId="14963794" w14:textId="02AAD695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  <w:r w:rsidRPr="00832B12">
        <w:rPr>
          <w:rFonts w:asciiTheme="minorHAnsi" w:eastAsia="Aptos" w:hAnsiTheme="minorHAnsi" w:cstheme="minorHAnsi"/>
          <w14:ligatures w14:val="standardContextual"/>
        </w:rPr>
        <w:t>Szanowni Państwo,</w:t>
      </w:r>
    </w:p>
    <w:p w14:paraId="61DEF484" w14:textId="77777777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</w:p>
    <w:p w14:paraId="41575E4B" w14:textId="77777777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  <w:r w:rsidRPr="00832B12">
        <w:rPr>
          <w:rFonts w:asciiTheme="minorHAnsi" w:eastAsia="Aptos" w:hAnsiTheme="minorHAnsi" w:cstheme="minorHAnsi"/>
          <w14:ligatures w14:val="standardContextual"/>
        </w:rPr>
        <w:t>w nawiązaniu do korespondencji z marca oraz sierpnia bieżącego roku dotyczącej kwartalnych wyczernień oraz w nawiązaniu do warsztatów, które odbyły się 18.10.2024 r. przedstawiamy Państwu podsumowanie najważniejszych informacji w tym zakresie, wraz ze wskazaniem sposobu postępowania:</w:t>
      </w:r>
    </w:p>
    <w:p w14:paraId="4FC94421" w14:textId="77777777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</w:p>
    <w:p w14:paraId="77477A81" w14:textId="77777777" w:rsidR="00832B12" w:rsidRPr="00832B12" w:rsidRDefault="00832B12" w:rsidP="00832B12">
      <w:pPr>
        <w:numPr>
          <w:ilvl w:val="0"/>
          <w:numId w:val="22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Raz na kwartał informujemy Państwa o wyczernionych punktach adresowych niespełniających definicji białej plamy określonych w Rozporządzeniach Ministra Cyfryzacji. Informacja o wyczernionych punktach adresowych zostanie przekazana bezpośrednio w SIMBA poprzez nałożenie bariery inwestycyjnej na PA o statusie „Wyczernienie na podstawie wykazu UKE – tura ”. Wyczernienia kwartalne nie będą obejmować:</w:t>
      </w:r>
    </w:p>
    <w:p w14:paraId="0C33A2E0" w14:textId="77777777" w:rsidR="00832B12" w:rsidRPr="00832B12" w:rsidRDefault="00832B12" w:rsidP="00832B12">
      <w:pPr>
        <w:numPr>
          <w:ilvl w:val="2"/>
          <w:numId w:val="23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punktów adresowych oznaczonych na dzień uzupełnienia baz jako wykonane;</w:t>
      </w:r>
    </w:p>
    <w:p w14:paraId="33FC102A" w14:textId="77777777" w:rsidR="00832B12" w:rsidRPr="00832B12" w:rsidRDefault="00832B12" w:rsidP="00832B12">
      <w:pPr>
        <w:numPr>
          <w:ilvl w:val="2"/>
          <w:numId w:val="23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 xml:space="preserve">punktów adresowych, dla których sprawozdano w systemie SIDUSIS zasięg teoretyczny. </w:t>
      </w:r>
    </w:p>
    <w:p w14:paraId="6804FC37" w14:textId="77777777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</w:p>
    <w:p w14:paraId="224CA578" w14:textId="77777777" w:rsidR="00832B12" w:rsidRPr="00832B12" w:rsidRDefault="00832B12" w:rsidP="00832B12">
      <w:pPr>
        <w:numPr>
          <w:ilvl w:val="0"/>
          <w:numId w:val="22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 xml:space="preserve">Przywrócenie punktów do realizacji odbywa się poprzez </w:t>
      </w:r>
      <w:r w:rsidRPr="00832B12">
        <w:rPr>
          <w:rFonts w:asciiTheme="minorHAnsi" w:hAnsiTheme="minorHAnsi" w:cstheme="minorHAnsi"/>
          <w:b/>
          <w:bCs/>
          <w14:ligatures w14:val="standardContextual"/>
        </w:rPr>
        <w:t xml:space="preserve">wskazanie w systemie </w:t>
      </w:r>
      <w:proofErr w:type="spellStart"/>
      <w:r w:rsidRPr="00832B12">
        <w:rPr>
          <w:rFonts w:asciiTheme="minorHAnsi" w:hAnsiTheme="minorHAnsi" w:cstheme="minorHAnsi"/>
          <w:b/>
          <w:bCs/>
          <w14:ligatures w14:val="standardContextual"/>
        </w:rPr>
        <w:t>miniSimba</w:t>
      </w:r>
      <w:proofErr w:type="spellEnd"/>
      <w:r w:rsidRPr="00832B12">
        <w:rPr>
          <w:rFonts w:asciiTheme="minorHAnsi" w:hAnsiTheme="minorHAnsi" w:cstheme="minorHAnsi"/>
          <w:b/>
          <w:bCs/>
          <w14:ligatures w14:val="standardContextual"/>
        </w:rPr>
        <w:t xml:space="preserve"> podstawy do przywrócenia</w:t>
      </w:r>
      <w:r w:rsidRPr="00832B12">
        <w:rPr>
          <w:rFonts w:asciiTheme="minorHAnsi" w:hAnsiTheme="minorHAnsi" w:cstheme="minorHAnsi"/>
          <w14:ligatures w14:val="standardContextual"/>
        </w:rPr>
        <w:t xml:space="preserve"> punktu adresowego, a następnie złożenie raportu do SIMBA. Na przeprowadzenie analizy mają Państwo </w:t>
      </w:r>
      <w:r w:rsidRPr="00832B12">
        <w:rPr>
          <w:rFonts w:asciiTheme="minorHAnsi" w:hAnsiTheme="minorHAnsi" w:cstheme="minorHAnsi"/>
          <w:b/>
          <w:bCs/>
          <w14:ligatures w14:val="standardContextual"/>
        </w:rPr>
        <w:t>30 dni od daty</w:t>
      </w:r>
      <w:r w:rsidRPr="00832B12">
        <w:rPr>
          <w:rFonts w:asciiTheme="minorHAnsi" w:hAnsiTheme="minorHAnsi" w:cstheme="minorHAnsi"/>
          <w14:ligatures w14:val="standardContextual"/>
        </w:rPr>
        <w:t xml:space="preserve"> oznaczenia punktów wyczernionych w SIMBA przez CPPC*. Przywrócenie wyczernionych punktów do projektu jest równoznaczne ze złożeniem przez OOW/Beneficjentów </w:t>
      </w:r>
      <w:r w:rsidRPr="00832B12">
        <w:rPr>
          <w:rFonts w:asciiTheme="minorHAnsi" w:hAnsiTheme="minorHAnsi" w:cstheme="minorHAnsi"/>
          <w:b/>
          <w:bCs/>
          <w14:ligatures w14:val="standardContextual"/>
        </w:rPr>
        <w:t>oświadczenia o posiadaniu dokumentacji</w:t>
      </w:r>
      <w:r w:rsidRPr="00832B12">
        <w:rPr>
          <w:rFonts w:asciiTheme="minorHAnsi" w:hAnsiTheme="minorHAnsi" w:cstheme="minorHAnsi"/>
          <w14:ligatures w14:val="standardContextual"/>
        </w:rPr>
        <w:t xml:space="preserve"> uzasadniającej zdjęcie bariery. Dokumentacja musi potwierdzać, że przed uzyskaniem informacji o wyczernieniu zaistniały przesłanki uzasadniające pozostawienie punktów w realizacji.</w:t>
      </w:r>
    </w:p>
    <w:p w14:paraId="7174BE1D" w14:textId="77777777" w:rsidR="00832B12" w:rsidRPr="00832B12" w:rsidRDefault="00832B12" w:rsidP="00832B12">
      <w:pPr>
        <w:spacing w:before="0" w:after="0" w:line="240" w:lineRule="auto"/>
        <w:ind w:left="720"/>
        <w:rPr>
          <w:rFonts w:asciiTheme="minorHAnsi" w:eastAsia="Aptos" w:hAnsiTheme="minorHAnsi" w:cstheme="minorHAnsi"/>
          <w14:ligatures w14:val="standardContextual"/>
        </w:rPr>
      </w:pPr>
    </w:p>
    <w:p w14:paraId="26AE505A" w14:textId="77777777" w:rsidR="00832B12" w:rsidRPr="00832B12" w:rsidRDefault="00832B12" w:rsidP="00832B12">
      <w:pPr>
        <w:spacing w:before="0" w:after="0" w:line="240" w:lineRule="auto"/>
        <w:ind w:left="720"/>
        <w:rPr>
          <w:rFonts w:asciiTheme="minorHAnsi" w:eastAsia="Aptos" w:hAnsiTheme="minorHAnsi" w:cstheme="minorHAnsi"/>
          <w14:ligatures w14:val="standardContextual"/>
        </w:rPr>
      </w:pPr>
      <w:r w:rsidRPr="00832B12">
        <w:rPr>
          <w:rFonts w:asciiTheme="minorHAnsi" w:eastAsia="Aptos" w:hAnsiTheme="minorHAnsi" w:cstheme="minorHAnsi"/>
          <w:b/>
          <w:bCs/>
          <w14:ligatures w14:val="standardContextual"/>
        </w:rPr>
        <w:t>* Uwaga!:</w:t>
      </w:r>
      <w:r w:rsidRPr="00832B12">
        <w:rPr>
          <w:rFonts w:asciiTheme="minorHAnsi" w:eastAsia="Aptos" w:hAnsiTheme="minorHAnsi" w:cstheme="minorHAnsi"/>
          <w14:ligatures w14:val="standardContextual"/>
        </w:rPr>
        <w:t xml:space="preserve"> W przypadku I tury wyczernień, przeprowadzonych ze stanem na dzień 30.06.2024 r., prosimy o zaimportowanie do SIMBA przywróconych punktów adresowych do dnia </w:t>
      </w:r>
      <w:r w:rsidRPr="00832B12">
        <w:rPr>
          <w:rFonts w:asciiTheme="minorHAnsi" w:eastAsia="Aptos" w:hAnsiTheme="minorHAnsi" w:cstheme="minorHAnsi"/>
          <w:b/>
          <w:bCs/>
          <w14:ligatures w14:val="standardContextual"/>
        </w:rPr>
        <w:t>10.11.2024 r.</w:t>
      </w:r>
      <w:r w:rsidRPr="00832B12">
        <w:rPr>
          <w:rFonts w:asciiTheme="minorHAnsi" w:eastAsia="Aptos" w:hAnsiTheme="minorHAnsi" w:cstheme="minorHAnsi"/>
          <w14:ligatures w14:val="standardContextual"/>
        </w:rPr>
        <w:t xml:space="preserve"> </w:t>
      </w:r>
    </w:p>
    <w:p w14:paraId="084D633E" w14:textId="77777777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</w:p>
    <w:p w14:paraId="1BE4ED22" w14:textId="77777777" w:rsidR="00832B12" w:rsidRPr="00832B12" w:rsidRDefault="00832B12" w:rsidP="00832B12">
      <w:pPr>
        <w:numPr>
          <w:ilvl w:val="0"/>
          <w:numId w:val="22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 xml:space="preserve">W związku z opisanym powyżej procesem przygotowaliśmy </w:t>
      </w:r>
      <w:r w:rsidRPr="00832B12">
        <w:rPr>
          <w:rFonts w:asciiTheme="minorHAnsi" w:hAnsiTheme="minorHAnsi" w:cstheme="minorHAnsi"/>
          <w:b/>
          <w:bCs/>
          <w14:ligatures w14:val="standardContextual"/>
        </w:rPr>
        <w:t xml:space="preserve">aktualizację aplikacji </w:t>
      </w:r>
      <w:proofErr w:type="spellStart"/>
      <w:r w:rsidRPr="00832B12">
        <w:rPr>
          <w:rFonts w:asciiTheme="minorHAnsi" w:hAnsiTheme="minorHAnsi" w:cstheme="minorHAnsi"/>
          <w:b/>
          <w:bCs/>
          <w14:ligatures w14:val="standardContextual"/>
        </w:rPr>
        <w:t>miniSIMBA</w:t>
      </w:r>
      <w:proofErr w:type="spellEnd"/>
      <w:r w:rsidRPr="00832B12">
        <w:rPr>
          <w:rFonts w:asciiTheme="minorHAnsi" w:hAnsiTheme="minorHAnsi" w:cstheme="minorHAnsi"/>
          <w14:ligatures w14:val="standardContextual"/>
        </w:rPr>
        <w:t>, którą udostępnimy Państwu</w:t>
      </w:r>
      <w:r w:rsidRPr="00832B12">
        <w:rPr>
          <w:rFonts w:asciiTheme="minorHAnsi" w:hAnsiTheme="minorHAnsi" w:cstheme="minorHAnsi"/>
          <w:b/>
          <w:bCs/>
          <w14:ligatures w14:val="standardContextual"/>
        </w:rPr>
        <w:t xml:space="preserve"> 23.10.2024 r. </w:t>
      </w:r>
      <w:r w:rsidRPr="00832B12">
        <w:rPr>
          <w:rFonts w:asciiTheme="minorHAnsi" w:hAnsiTheme="minorHAnsi" w:cstheme="minorHAnsi"/>
          <w14:ligatures w14:val="standardContextual"/>
        </w:rPr>
        <w:t>W aplikacji zostanie dodana dedykowana barierom zakładka, w której będą Państwo oznaczać przesłanki uzasadniające pozostawanie punktów adresowych w projekcie, tj.:</w:t>
      </w:r>
    </w:p>
    <w:p w14:paraId="386A0040" w14:textId="77777777" w:rsidR="00832B12" w:rsidRPr="00832B12" w:rsidRDefault="00832B12" w:rsidP="00832B12">
      <w:pPr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podpisana umowa z GW na realizację wszystkich PA z obszaru,</w:t>
      </w:r>
      <w:r w:rsidRPr="00832B12">
        <w:rPr>
          <w:rFonts w:asciiTheme="minorHAnsi" w:hAnsiTheme="minorHAnsi" w:cstheme="minorHAnsi"/>
          <w:lang w:val="en-US"/>
          <w14:ligatures w14:val="standardContextual"/>
        </w:rPr>
        <w:t>​</w:t>
      </w:r>
    </w:p>
    <w:p w14:paraId="55987B5A" w14:textId="77777777" w:rsidR="00832B12" w:rsidRPr="00832B12" w:rsidRDefault="00832B12" w:rsidP="00832B12">
      <w:pPr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rozpoczęte projektowanie przebiegu sieci,</w:t>
      </w:r>
      <w:r w:rsidRPr="00832B12">
        <w:rPr>
          <w:rFonts w:asciiTheme="minorHAnsi" w:hAnsiTheme="minorHAnsi" w:cstheme="minorHAnsi"/>
          <w:lang w:val="en-US"/>
          <w14:ligatures w14:val="standardContextual"/>
        </w:rPr>
        <w:t>​</w:t>
      </w:r>
    </w:p>
    <w:p w14:paraId="55C11F4F" w14:textId="77777777" w:rsidR="00832B12" w:rsidRPr="00832B12" w:rsidRDefault="00832B12" w:rsidP="00832B12">
      <w:pPr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dokonano zakupu materiałów i urządzeń niezbędnych do realizacji PA,​</w:t>
      </w:r>
    </w:p>
    <w:p w14:paraId="6CDAFDF3" w14:textId="77777777" w:rsidR="00832B12" w:rsidRPr="00832B12" w:rsidRDefault="00832B12" w:rsidP="00832B12">
      <w:pPr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rozpoczęta budowa,</w:t>
      </w:r>
      <w:r w:rsidRPr="00832B12">
        <w:rPr>
          <w:rFonts w:asciiTheme="minorHAnsi" w:hAnsiTheme="minorHAnsi" w:cstheme="minorHAnsi"/>
          <w:lang w:val="en-US"/>
          <w14:ligatures w14:val="standardContextual"/>
        </w:rPr>
        <w:t>​</w:t>
      </w:r>
    </w:p>
    <w:p w14:paraId="284D54D5" w14:textId="77777777" w:rsidR="00832B12" w:rsidRPr="00832B12" w:rsidRDefault="00832B12" w:rsidP="00832B12">
      <w:pPr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budowa ukończona, dokonano odbiorów technicznych lub proces odbioru w toku,</w:t>
      </w:r>
      <w:r w:rsidRPr="00832B12">
        <w:rPr>
          <w:rFonts w:asciiTheme="minorHAnsi" w:hAnsiTheme="minorHAnsi" w:cstheme="minorHAnsi"/>
          <w:lang w:val="en-US"/>
          <w14:ligatures w14:val="standardContextual"/>
        </w:rPr>
        <w:t>​</w:t>
      </w:r>
    </w:p>
    <w:p w14:paraId="39BC251A" w14:textId="77777777" w:rsidR="00832B12" w:rsidRPr="00832B12" w:rsidRDefault="00832B12" w:rsidP="00832B12">
      <w:pPr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t>koncepcja techniczna objęcia zasięgiem (PA znajduje się na trasie budowanej sieci do pozostałych PA, opłacalność budowy).</w:t>
      </w:r>
    </w:p>
    <w:p w14:paraId="01E8395B" w14:textId="77777777" w:rsidR="00832B12" w:rsidRPr="00832B12" w:rsidRDefault="00832B12" w:rsidP="00832B12">
      <w:pPr>
        <w:spacing w:before="0" w:after="0" w:line="240" w:lineRule="auto"/>
        <w:ind w:left="1440"/>
        <w:rPr>
          <w:rFonts w:asciiTheme="minorHAnsi" w:eastAsia="Aptos" w:hAnsiTheme="minorHAnsi" w:cstheme="minorHAnsi"/>
          <w14:ligatures w14:val="standardContextual"/>
        </w:rPr>
      </w:pPr>
    </w:p>
    <w:p w14:paraId="44ED028B" w14:textId="77777777" w:rsidR="00832B12" w:rsidRPr="00832B12" w:rsidRDefault="00832B12" w:rsidP="00832B12">
      <w:pPr>
        <w:numPr>
          <w:ilvl w:val="0"/>
          <w:numId w:val="22"/>
        </w:numPr>
        <w:spacing w:before="0" w:after="0" w:line="240" w:lineRule="auto"/>
        <w:rPr>
          <w:rFonts w:asciiTheme="minorHAnsi" w:hAnsiTheme="minorHAnsi" w:cstheme="minorHAnsi"/>
          <w14:ligatures w14:val="standardContextual"/>
        </w:rPr>
      </w:pPr>
      <w:r w:rsidRPr="00832B12">
        <w:rPr>
          <w:rFonts w:asciiTheme="minorHAnsi" w:hAnsiTheme="minorHAnsi" w:cstheme="minorHAnsi"/>
          <w14:ligatures w14:val="standardContextual"/>
        </w:rPr>
        <w:lastRenderedPageBreak/>
        <w:t>Po złożeniu oświadczeń i raportu do SIMBA, punkty zostaną automatycznie przywrócone do realizacji. Weryfikacja złożonych oświadczeń będzie odbywała się na etapie oceny wniosku o płatność.</w:t>
      </w:r>
    </w:p>
    <w:p w14:paraId="538767F6" w14:textId="77777777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</w:p>
    <w:p w14:paraId="0CAC3491" w14:textId="77777777" w:rsidR="00832B12" w:rsidRPr="00832B12" w:rsidRDefault="00832B12" w:rsidP="00832B12">
      <w:pPr>
        <w:spacing w:before="0" w:after="0" w:line="240" w:lineRule="auto"/>
        <w:rPr>
          <w:rFonts w:asciiTheme="minorHAnsi" w:eastAsia="Aptos" w:hAnsiTheme="minorHAnsi" w:cstheme="minorHAnsi"/>
          <w14:ligatures w14:val="standardContextual"/>
        </w:rPr>
      </w:pPr>
      <w:r w:rsidRPr="00832B12">
        <w:rPr>
          <w:rFonts w:asciiTheme="minorHAnsi" w:eastAsia="Aptos" w:hAnsiTheme="minorHAnsi" w:cstheme="minorHAnsi"/>
          <w14:ligatures w14:val="standardContextual"/>
        </w:rPr>
        <w:t>Informujemy, że na naszej stronie, w Bazie wiedzy, została udostępniona prezentacja z warsztatów przeprowadzonych 18.10.2024 r. poświęconych tematowi barier inwestycyjnych oraz kwartalnych wyczernień.</w:t>
      </w:r>
    </w:p>
    <w:sectPr w:rsidR="00832B12" w:rsidRPr="00832B12" w:rsidSect="007C3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32" w:right="1134" w:bottom="1446" w:left="1134" w:header="283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5A364" w14:textId="77777777" w:rsidR="0009746A" w:rsidRDefault="0009746A">
      <w:r>
        <w:separator/>
      </w:r>
    </w:p>
  </w:endnote>
  <w:endnote w:type="continuationSeparator" w:id="0">
    <w:p w14:paraId="473BA343" w14:textId="77777777" w:rsidR="0009746A" w:rsidRDefault="0009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A6C9A" w14:textId="1CDBD725" w:rsidR="00545A4B" w:rsidRPr="00545A4B" w:rsidRDefault="00000000" w:rsidP="00545A4B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7490C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62.45pt;margin-top:500.3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9A22AC">
      <w:rPr>
        <w:noProof/>
      </w:rPr>
      <w:drawing>
        <wp:anchor distT="0" distB="0" distL="114300" distR="114300" simplePos="0" relativeHeight="251656704" behindDoc="1" locked="0" layoutInCell="1" allowOverlap="1" wp14:anchorId="221E4F8E" wp14:editId="0757AAAC">
          <wp:simplePos x="0" y="0"/>
          <wp:positionH relativeFrom="column">
            <wp:posOffset>3093085</wp:posOffset>
          </wp:positionH>
          <wp:positionV relativeFrom="paragraph">
            <wp:posOffset>-182880</wp:posOffset>
          </wp:positionV>
          <wp:extent cx="3366770" cy="478790"/>
          <wp:effectExtent l="0" t="0" r="5080" b="0"/>
          <wp:wrapTight wrapText="bothSides">
            <wp:wrapPolygon edited="0">
              <wp:start x="244" y="0"/>
              <wp:lineTo x="0" y="859"/>
              <wp:lineTo x="0" y="12891"/>
              <wp:lineTo x="2322" y="14610"/>
              <wp:lineTo x="2322" y="19767"/>
              <wp:lineTo x="6600" y="20626"/>
              <wp:lineTo x="13077" y="20626"/>
              <wp:lineTo x="18699" y="19767"/>
              <wp:lineTo x="18577" y="14610"/>
              <wp:lineTo x="10755" y="13751"/>
              <wp:lineTo x="21510" y="10313"/>
              <wp:lineTo x="21510" y="859"/>
              <wp:lineTo x="978" y="0"/>
              <wp:lineTo x="244" y="0"/>
            </wp:wrapPolygon>
          </wp:wrapTight>
          <wp:docPr id="94554529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54529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677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4B" w:rsidRPr="00E33827">
      <w:rPr>
        <w:rFonts w:cs="Arial"/>
        <w:sz w:val="10"/>
        <w:szCs w:val="10"/>
      </w:rPr>
      <w:t>CENTRUM PROJEKTÓW POLSKA CYFROWA</w:t>
    </w:r>
    <w:r w:rsidR="00545A4B" w:rsidRPr="00E33827">
      <w:rPr>
        <w:rFonts w:cs="Arial"/>
        <w:sz w:val="10"/>
        <w:szCs w:val="10"/>
      </w:rPr>
      <w:br/>
      <w:t xml:space="preserve">ul. Spokojna 13A, 01-044 Warszawa |infolinia: +48 223152340 |e-mail: cppc@cppc.gov.pl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69026" w14:textId="77777777" w:rsidR="009A22AC" w:rsidRDefault="009A22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F2443" w14:textId="77777777" w:rsidR="0009746A" w:rsidRDefault="0009746A">
      <w:r>
        <w:separator/>
      </w:r>
    </w:p>
  </w:footnote>
  <w:footnote w:type="continuationSeparator" w:id="0">
    <w:p w14:paraId="7888BAB9" w14:textId="77777777" w:rsidR="0009746A" w:rsidRDefault="0009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124A" w14:textId="77777777" w:rsidR="009A22AC" w:rsidRDefault="009A22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370C4613" w:rsidR="00AF3CB9" w:rsidRDefault="00545A4B" w:rsidP="00545A4B">
        <w:pPr>
          <w:pStyle w:val="Nagwek"/>
          <w:jc w:val="center"/>
        </w:pPr>
        <w:r>
          <w:rPr>
            <w:noProof/>
            <w:color w:val="646464"/>
            <w:lang w:eastAsia="pl-PL"/>
          </w:rPr>
          <w:drawing>
            <wp:anchor distT="0" distB="0" distL="114300" distR="114300" simplePos="0" relativeHeight="251657728" behindDoc="0" locked="0" layoutInCell="1" allowOverlap="1" wp14:anchorId="6CE921F0" wp14:editId="67942344">
              <wp:simplePos x="0" y="0"/>
              <wp:positionH relativeFrom="margin">
                <wp:align>left</wp:align>
              </wp:positionH>
              <wp:positionV relativeFrom="paragraph">
                <wp:posOffset>153670</wp:posOffset>
              </wp:positionV>
              <wp:extent cx="1447800" cy="580390"/>
              <wp:effectExtent l="0" t="0" r="0" b="0"/>
              <wp:wrapSquare wrapText="bothSides"/>
              <wp:docPr id="1520430063" name="Picture 17" descr="Logo Centrum Projektów Polska Cyfrow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7" descr="Logo Centrum Projektów Polska Cyfrow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58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08"/>
    <w:multiLevelType w:val="hybridMultilevel"/>
    <w:tmpl w:val="45BE0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A009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E90D30"/>
    <w:multiLevelType w:val="hybridMultilevel"/>
    <w:tmpl w:val="F18C2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91ED5"/>
    <w:multiLevelType w:val="hybridMultilevel"/>
    <w:tmpl w:val="1926210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EE0"/>
    <w:multiLevelType w:val="hybridMultilevel"/>
    <w:tmpl w:val="459ABB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260C"/>
    <w:multiLevelType w:val="hybridMultilevel"/>
    <w:tmpl w:val="EFD2F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F090D"/>
    <w:multiLevelType w:val="hybridMultilevel"/>
    <w:tmpl w:val="D83C23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875CD"/>
    <w:multiLevelType w:val="hybridMultilevel"/>
    <w:tmpl w:val="3A4A9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2"/>
  </w:num>
  <w:num w:numId="4" w16cid:durableId="907615826">
    <w:abstractNumId w:val="8"/>
  </w:num>
  <w:num w:numId="5" w16cid:durableId="397635744">
    <w:abstractNumId w:val="21"/>
  </w:num>
  <w:num w:numId="6" w16cid:durableId="1648318210">
    <w:abstractNumId w:val="17"/>
  </w:num>
  <w:num w:numId="7" w16cid:durableId="331833269">
    <w:abstractNumId w:val="19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6"/>
  </w:num>
  <w:num w:numId="11" w16cid:durableId="7873616">
    <w:abstractNumId w:val="11"/>
  </w:num>
  <w:num w:numId="12" w16cid:durableId="1726102718">
    <w:abstractNumId w:val="22"/>
  </w:num>
  <w:num w:numId="13" w16cid:durableId="333580693">
    <w:abstractNumId w:val="15"/>
  </w:num>
  <w:num w:numId="14" w16cid:durableId="1335911795">
    <w:abstractNumId w:val="9"/>
  </w:num>
  <w:num w:numId="15" w16cid:durableId="736320308">
    <w:abstractNumId w:val="7"/>
  </w:num>
  <w:num w:numId="16" w16cid:durableId="1160580737">
    <w:abstractNumId w:val="6"/>
  </w:num>
  <w:num w:numId="17" w16cid:durableId="1300263558">
    <w:abstractNumId w:val="13"/>
  </w:num>
  <w:num w:numId="18" w16cid:durableId="643851417">
    <w:abstractNumId w:val="23"/>
  </w:num>
  <w:num w:numId="19" w16cid:durableId="532110275">
    <w:abstractNumId w:val="2"/>
  </w:num>
  <w:num w:numId="20" w16cid:durableId="915163470">
    <w:abstractNumId w:val="20"/>
  </w:num>
  <w:num w:numId="21" w16cid:durableId="1222907030">
    <w:abstractNumId w:val="4"/>
  </w:num>
  <w:num w:numId="22" w16cid:durableId="2004893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177458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1904675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75C1"/>
    <w:rsid w:val="00010FC6"/>
    <w:rsid w:val="00014D76"/>
    <w:rsid w:val="000210D6"/>
    <w:rsid w:val="00041992"/>
    <w:rsid w:val="0004603C"/>
    <w:rsid w:val="00064270"/>
    <w:rsid w:val="00065C40"/>
    <w:rsid w:val="00066F9A"/>
    <w:rsid w:val="00077F83"/>
    <w:rsid w:val="00094EF6"/>
    <w:rsid w:val="0009746A"/>
    <w:rsid w:val="000C4B30"/>
    <w:rsid w:val="000C58C0"/>
    <w:rsid w:val="000D1D93"/>
    <w:rsid w:val="000E21EF"/>
    <w:rsid w:val="000F6208"/>
    <w:rsid w:val="001056B9"/>
    <w:rsid w:val="00111628"/>
    <w:rsid w:val="0014611B"/>
    <w:rsid w:val="001561C5"/>
    <w:rsid w:val="00156AEF"/>
    <w:rsid w:val="00183645"/>
    <w:rsid w:val="00190C42"/>
    <w:rsid w:val="001A17E1"/>
    <w:rsid w:val="001B1F22"/>
    <w:rsid w:val="00214307"/>
    <w:rsid w:val="00227F3C"/>
    <w:rsid w:val="002571F6"/>
    <w:rsid w:val="002B08FC"/>
    <w:rsid w:val="002C765A"/>
    <w:rsid w:val="002D66BB"/>
    <w:rsid w:val="002D7B4A"/>
    <w:rsid w:val="002E6BDD"/>
    <w:rsid w:val="002F60F5"/>
    <w:rsid w:val="002F66E8"/>
    <w:rsid w:val="00310274"/>
    <w:rsid w:val="003134FE"/>
    <w:rsid w:val="003435B3"/>
    <w:rsid w:val="0036068A"/>
    <w:rsid w:val="003635D9"/>
    <w:rsid w:val="003816DA"/>
    <w:rsid w:val="00384BFF"/>
    <w:rsid w:val="003B008D"/>
    <w:rsid w:val="003E154A"/>
    <w:rsid w:val="003E587C"/>
    <w:rsid w:val="003F03C6"/>
    <w:rsid w:val="004021BA"/>
    <w:rsid w:val="00412555"/>
    <w:rsid w:val="004400B1"/>
    <w:rsid w:val="00464A5E"/>
    <w:rsid w:val="004739C7"/>
    <w:rsid w:val="00480B9E"/>
    <w:rsid w:val="00482EA3"/>
    <w:rsid w:val="004844AD"/>
    <w:rsid w:val="00491FBF"/>
    <w:rsid w:val="004B30FA"/>
    <w:rsid w:val="005115C2"/>
    <w:rsid w:val="005324D9"/>
    <w:rsid w:val="00532E1B"/>
    <w:rsid w:val="00545A4B"/>
    <w:rsid w:val="0056039B"/>
    <w:rsid w:val="00575096"/>
    <w:rsid w:val="00594378"/>
    <w:rsid w:val="005A056A"/>
    <w:rsid w:val="005B7917"/>
    <w:rsid w:val="005E22E2"/>
    <w:rsid w:val="006402CF"/>
    <w:rsid w:val="006760F1"/>
    <w:rsid w:val="006B1518"/>
    <w:rsid w:val="006D19B4"/>
    <w:rsid w:val="006E040C"/>
    <w:rsid w:val="007021C9"/>
    <w:rsid w:val="007077F2"/>
    <w:rsid w:val="0071317A"/>
    <w:rsid w:val="00717518"/>
    <w:rsid w:val="00746D07"/>
    <w:rsid w:val="00760990"/>
    <w:rsid w:val="00761B48"/>
    <w:rsid w:val="00780D75"/>
    <w:rsid w:val="007B2A9C"/>
    <w:rsid w:val="007C335B"/>
    <w:rsid w:val="007F0BA2"/>
    <w:rsid w:val="00810FE0"/>
    <w:rsid w:val="00832B12"/>
    <w:rsid w:val="00835554"/>
    <w:rsid w:val="00847ED5"/>
    <w:rsid w:val="00863D3F"/>
    <w:rsid w:val="008642C9"/>
    <w:rsid w:val="0088784C"/>
    <w:rsid w:val="008934FA"/>
    <w:rsid w:val="008B6A14"/>
    <w:rsid w:val="008C4DE6"/>
    <w:rsid w:val="009133E1"/>
    <w:rsid w:val="009768EC"/>
    <w:rsid w:val="009A22AC"/>
    <w:rsid w:val="009A5797"/>
    <w:rsid w:val="009B3B28"/>
    <w:rsid w:val="009B7B29"/>
    <w:rsid w:val="009D2D35"/>
    <w:rsid w:val="00A022D5"/>
    <w:rsid w:val="00A02C55"/>
    <w:rsid w:val="00A15351"/>
    <w:rsid w:val="00A326D2"/>
    <w:rsid w:val="00A42564"/>
    <w:rsid w:val="00A7183E"/>
    <w:rsid w:val="00A8394D"/>
    <w:rsid w:val="00A873F4"/>
    <w:rsid w:val="00A97B93"/>
    <w:rsid w:val="00AD274B"/>
    <w:rsid w:val="00AD28C6"/>
    <w:rsid w:val="00AF3CB9"/>
    <w:rsid w:val="00AF4EB4"/>
    <w:rsid w:val="00B13CA4"/>
    <w:rsid w:val="00B371AE"/>
    <w:rsid w:val="00B546E9"/>
    <w:rsid w:val="00B619ED"/>
    <w:rsid w:val="00B82EF6"/>
    <w:rsid w:val="00BC79CC"/>
    <w:rsid w:val="00BE0311"/>
    <w:rsid w:val="00BE20D4"/>
    <w:rsid w:val="00BF50F0"/>
    <w:rsid w:val="00C06AC7"/>
    <w:rsid w:val="00C0733F"/>
    <w:rsid w:val="00C14A13"/>
    <w:rsid w:val="00C3461A"/>
    <w:rsid w:val="00C66389"/>
    <w:rsid w:val="00C707D3"/>
    <w:rsid w:val="00C965EE"/>
    <w:rsid w:val="00CA4211"/>
    <w:rsid w:val="00CB53C1"/>
    <w:rsid w:val="00CC431D"/>
    <w:rsid w:val="00CD1B6C"/>
    <w:rsid w:val="00CF1AB9"/>
    <w:rsid w:val="00CF6976"/>
    <w:rsid w:val="00D00974"/>
    <w:rsid w:val="00D6366A"/>
    <w:rsid w:val="00D96C0A"/>
    <w:rsid w:val="00DA7861"/>
    <w:rsid w:val="00DB02A4"/>
    <w:rsid w:val="00DC0C56"/>
    <w:rsid w:val="00DC1540"/>
    <w:rsid w:val="00DE6769"/>
    <w:rsid w:val="00DF763A"/>
    <w:rsid w:val="00E1663C"/>
    <w:rsid w:val="00E27F2C"/>
    <w:rsid w:val="00E33827"/>
    <w:rsid w:val="00E74F15"/>
    <w:rsid w:val="00EB7791"/>
    <w:rsid w:val="00ED40E8"/>
    <w:rsid w:val="00EE312E"/>
    <w:rsid w:val="00EF6416"/>
    <w:rsid w:val="00F6134F"/>
    <w:rsid w:val="00F62F77"/>
    <w:rsid w:val="00F671D0"/>
    <w:rsid w:val="00F74489"/>
    <w:rsid w:val="00F753C2"/>
    <w:rsid w:val="00F8620F"/>
    <w:rsid w:val="00F877CA"/>
    <w:rsid w:val="00FE3AD8"/>
    <w:rsid w:val="00FE780F"/>
    <w:rsid w:val="28F1233D"/>
    <w:rsid w:val="47E3829C"/>
    <w:rsid w:val="4CACF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064270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427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64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Oszacowania wpływu powodzi na przedsięwzięcia/projekty szerokopasmowe</vt:lpstr>
    </vt:vector>
  </TitlesOfParts>
  <Company>MRR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 w sprawie kwartalnych wyczernień</dc:title>
  <dc:creator>Soon</dc:creator>
  <cp:lastModifiedBy>Iwona Wilary</cp:lastModifiedBy>
  <cp:revision>2</cp:revision>
  <cp:lastPrinted>2018-03-26T09:55:00Z</cp:lastPrinted>
  <dcterms:created xsi:type="dcterms:W3CDTF">2024-10-21T12:31:00Z</dcterms:created>
  <dcterms:modified xsi:type="dcterms:W3CDTF">2024-10-21T12:31:00Z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