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DACE" w14:textId="11187747" w:rsidR="007E1B54" w:rsidRPr="004B6646" w:rsidRDefault="007E1B54" w:rsidP="004B6646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3C4FDD">
        <w:rPr>
          <w:rFonts w:ascii="Lato" w:hAnsi="Lato"/>
          <w:b/>
          <w:bCs/>
          <w:color w:val="00B0F0"/>
          <w:sz w:val="36"/>
          <w:szCs w:val="36"/>
          <w:u w:val="single"/>
        </w:rPr>
        <w:t>OBWIESZCZENIE REFUNDACYJNE NR 72 (1 LISTOPADA 2023 r.)</w:t>
      </w:r>
      <w:bookmarkStart w:id="0" w:name="_Hlk90283803"/>
    </w:p>
    <w:bookmarkEnd w:id="0"/>
    <w:p w14:paraId="106AC5E5" w14:textId="77777777" w:rsidR="004B6646" w:rsidRDefault="004B6646" w:rsidP="004B6646">
      <w:pPr>
        <w:spacing w:after="120" w:line="276" w:lineRule="auto"/>
        <w:jc w:val="both"/>
        <w:rPr>
          <w:rFonts w:ascii="Lato" w:hAnsi="Lato"/>
        </w:rPr>
      </w:pPr>
    </w:p>
    <w:p w14:paraId="5A335CE3" w14:textId="094D15BC" w:rsidR="004B6646" w:rsidRPr="004B6646" w:rsidRDefault="004B6646" w:rsidP="004B6646">
      <w:pPr>
        <w:spacing w:after="120" w:line="276" w:lineRule="auto"/>
        <w:jc w:val="both"/>
        <w:rPr>
          <w:rFonts w:ascii="Lato" w:hAnsi="Lato"/>
        </w:rPr>
      </w:pPr>
      <w:r w:rsidRPr="004B6646">
        <w:rPr>
          <w:rFonts w:ascii="Lato" w:hAnsi="Lato"/>
        </w:rPr>
        <w:t xml:space="preserve">Od początku roku 2023, finansowaniem ze środków publicznych zostanie objętych </w:t>
      </w:r>
      <w:r w:rsidRPr="004B6646">
        <w:rPr>
          <w:rFonts w:ascii="Lato" w:hAnsi="Lato"/>
          <w:b/>
          <w:bCs/>
        </w:rPr>
        <w:t>14</w:t>
      </w:r>
      <w:r w:rsidR="00363649">
        <w:rPr>
          <w:rFonts w:ascii="Lato" w:hAnsi="Lato"/>
          <w:b/>
          <w:bCs/>
        </w:rPr>
        <w:t>5</w:t>
      </w:r>
      <w:r w:rsidRPr="004B6646">
        <w:rPr>
          <w:rFonts w:ascii="Lato" w:hAnsi="Lato"/>
          <w:b/>
          <w:bCs/>
        </w:rPr>
        <w:t xml:space="preserve"> nowych </w:t>
      </w:r>
      <w:r>
        <w:rPr>
          <w:rFonts w:ascii="Lato" w:hAnsi="Lato"/>
          <w:b/>
          <w:bCs/>
        </w:rPr>
        <w:t xml:space="preserve"> </w:t>
      </w:r>
      <w:r w:rsidRPr="004B6646">
        <w:rPr>
          <w:rFonts w:ascii="Lato" w:hAnsi="Lato"/>
          <w:b/>
          <w:bCs/>
        </w:rPr>
        <w:t>cząsteczko – wskazań</w:t>
      </w:r>
      <w:r w:rsidRPr="004B6646">
        <w:rPr>
          <w:rFonts w:ascii="Lato" w:hAnsi="Lato"/>
        </w:rPr>
        <w:t>, w tym:</w:t>
      </w:r>
    </w:p>
    <w:p w14:paraId="7F7F5FCE" w14:textId="6B8B78F2" w:rsidR="004B6646" w:rsidRPr="004B6646" w:rsidRDefault="004B6646" w:rsidP="004B6646">
      <w:pPr>
        <w:pStyle w:val="Akapitzlist"/>
        <w:numPr>
          <w:ilvl w:val="0"/>
          <w:numId w:val="41"/>
        </w:numPr>
        <w:spacing w:after="120" w:line="276" w:lineRule="auto"/>
        <w:jc w:val="both"/>
        <w:textAlignment w:val="auto"/>
        <w:rPr>
          <w:rFonts w:ascii="Lato" w:hAnsi="Lato"/>
        </w:rPr>
      </w:pPr>
      <w:r w:rsidRPr="004B6646">
        <w:rPr>
          <w:rFonts w:ascii="Lato" w:hAnsi="Lato"/>
        </w:rPr>
        <w:t>7</w:t>
      </w:r>
      <w:r w:rsidR="00363649">
        <w:rPr>
          <w:rFonts w:ascii="Lato" w:hAnsi="Lato"/>
        </w:rPr>
        <w:t>5</w:t>
      </w:r>
      <w:r w:rsidRPr="004B6646">
        <w:rPr>
          <w:rFonts w:ascii="Lato" w:hAnsi="Lato"/>
        </w:rPr>
        <w:t xml:space="preserve"> cząsteczko – wskazań onkologicznych,</w:t>
      </w:r>
    </w:p>
    <w:p w14:paraId="548B5EE4" w14:textId="77777777" w:rsidR="004B6646" w:rsidRPr="004B6646" w:rsidRDefault="004B6646" w:rsidP="004B6646">
      <w:pPr>
        <w:pStyle w:val="Akapitzlist"/>
        <w:numPr>
          <w:ilvl w:val="0"/>
          <w:numId w:val="41"/>
        </w:numPr>
        <w:spacing w:after="120" w:line="276" w:lineRule="auto"/>
        <w:jc w:val="both"/>
        <w:textAlignment w:val="auto"/>
        <w:rPr>
          <w:rFonts w:ascii="Lato" w:hAnsi="Lato"/>
        </w:rPr>
      </w:pPr>
      <w:r w:rsidRPr="004B6646">
        <w:rPr>
          <w:rFonts w:ascii="Lato" w:hAnsi="Lato"/>
        </w:rPr>
        <w:t>70 cząsteczko - wskazania nieonkologiczne,</w:t>
      </w:r>
    </w:p>
    <w:p w14:paraId="25697828" w14:textId="47787BF6" w:rsidR="004B6646" w:rsidRPr="004B6646" w:rsidRDefault="004B6646" w:rsidP="004B6646">
      <w:pPr>
        <w:pStyle w:val="Akapitzlist"/>
        <w:numPr>
          <w:ilvl w:val="0"/>
          <w:numId w:val="41"/>
        </w:numPr>
        <w:spacing w:after="120" w:line="276" w:lineRule="auto"/>
        <w:jc w:val="both"/>
        <w:textAlignment w:val="auto"/>
        <w:rPr>
          <w:rFonts w:ascii="Lato" w:hAnsi="Lato"/>
        </w:rPr>
      </w:pPr>
      <w:r w:rsidRPr="004B6646">
        <w:rPr>
          <w:rFonts w:ascii="Lato" w:hAnsi="Lato"/>
        </w:rPr>
        <w:t>43 cząsteczko - wskazania dedykowane chorobom rzadkim.</w:t>
      </w:r>
    </w:p>
    <w:p w14:paraId="5CF8D2EC" w14:textId="09C35390" w:rsidR="007E1B54" w:rsidRPr="004B6646" w:rsidRDefault="007E1B54" w:rsidP="004B6646">
      <w:pPr>
        <w:spacing w:line="276" w:lineRule="auto"/>
        <w:jc w:val="both"/>
        <w:rPr>
          <w:rFonts w:ascii="Lato" w:hAnsi="Lato"/>
          <w:color w:val="000000" w:themeColor="text1"/>
        </w:rPr>
      </w:pPr>
      <w:r w:rsidRPr="004B6646">
        <w:rPr>
          <w:rFonts w:ascii="Lato" w:hAnsi="Lato"/>
          <w:color w:val="000000" w:themeColor="text1"/>
        </w:rPr>
        <w:t xml:space="preserve">Obwieszczenie refundacyjne obowiązujące od 1 listopada 2023 r. (nr 72) </w:t>
      </w:r>
      <w:r w:rsidR="00E60266" w:rsidRPr="004B6646">
        <w:rPr>
          <w:rFonts w:ascii="Lato" w:hAnsi="Lato"/>
        </w:rPr>
        <w:t>zostało przygotowane zgodnie z obowiązującymi od 1 listopada nowymi przepisami dotyczącymi wyznaczania podstaw limitów oraz naliczania marż hurtowych i detalicznych. W</w:t>
      </w:r>
      <w:r w:rsidRPr="004B6646">
        <w:rPr>
          <w:rFonts w:ascii="Lato" w:hAnsi="Lato"/>
          <w:color w:val="000000" w:themeColor="text1"/>
        </w:rPr>
        <w:t xml:space="preserve"> porównaniu do obwieszczenia 71 zawiera następujące zmiany:</w:t>
      </w:r>
    </w:p>
    <w:p w14:paraId="50C08984" w14:textId="5AAF3FB3" w:rsidR="007E1B54" w:rsidRPr="004B6646" w:rsidRDefault="007E1B54" w:rsidP="004B6646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4B6646">
        <w:rPr>
          <w:rFonts w:ascii="Lato" w:hAnsi="Lato"/>
        </w:rPr>
        <w:t>W związku z wydaniem pozytywnych decyzji o objęciu refundacją ogółem do wykazu został</w:t>
      </w:r>
      <w:r w:rsidR="00E60266" w:rsidRPr="004B6646">
        <w:rPr>
          <w:rFonts w:ascii="Lato" w:hAnsi="Lato"/>
        </w:rPr>
        <w:t>o</w:t>
      </w:r>
      <w:r w:rsidRPr="004B6646">
        <w:rPr>
          <w:rFonts w:ascii="Lato" w:hAnsi="Lato"/>
        </w:rPr>
        <w:t xml:space="preserve"> dodan</w:t>
      </w:r>
      <w:r w:rsidR="00E60266" w:rsidRPr="004B6646">
        <w:rPr>
          <w:rFonts w:ascii="Lato" w:hAnsi="Lato"/>
        </w:rPr>
        <w:t>ych</w:t>
      </w:r>
      <w:r w:rsidRPr="004B6646">
        <w:rPr>
          <w:rFonts w:ascii="Lato" w:hAnsi="Lato"/>
        </w:rPr>
        <w:t xml:space="preserve"> </w:t>
      </w:r>
      <w:r w:rsidR="00E60266" w:rsidRPr="004B6646">
        <w:rPr>
          <w:rFonts w:ascii="Lato" w:hAnsi="Lato"/>
        </w:rPr>
        <w:t>78</w:t>
      </w:r>
      <w:r w:rsidRPr="004B6646">
        <w:rPr>
          <w:rFonts w:ascii="Lato" w:hAnsi="Lato"/>
        </w:rPr>
        <w:t xml:space="preserve"> produkt</w:t>
      </w:r>
      <w:r w:rsidR="00E60266" w:rsidRPr="004B6646">
        <w:rPr>
          <w:rFonts w:ascii="Lato" w:hAnsi="Lato"/>
        </w:rPr>
        <w:t>ów</w:t>
      </w:r>
      <w:r w:rsidRPr="004B6646">
        <w:rPr>
          <w:rFonts w:ascii="Lato" w:hAnsi="Lato"/>
        </w:rPr>
        <w:t xml:space="preserve"> bądź now</w:t>
      </w:r>
      <w:r w:rsidR="00E60266" w:rsidRPr="004B6646">
        <w:rPr>
          <w:rFonts w:ascii="Lato" w:hAnsi="Lato"/>
        </w:rPr>
        <w:t xml:space="preserve">ych </w:t>
      </w:r>
      <w:r w:rsidRPr="004B6646">
        <w:rPr>
          <w:rFonts w:ascii="Lato" w:hAnsi="Lato"/>
        </w:rPr>
        <w:t>wskaza</w:t>
      </w:r>
      <w:r w:rsidR="00E60266" w:rsidRPr="004B6646">
        <w:rPr>
          <w:rFonts w:ascii="Lato" w:hAnsi="Lato"/>
        </w:rPr>
        <w:t>ń</w:t>
      </w:r>
      <w:r w:rsidRPr="004B6646">
        <w:rPr>
          <w:rFonts w:ascii="Lato" w:hAnsi="Lato"/>
        </w:rPr>
        <w:t>.</w:t>
      </w:r>
    </w:p>
    <w:p w14:paraId="0568685F" w14:textId="508A04A4" w:rsidR="007E1B54" w:rsidRPr="004B6646" w:rsidRDefault="007E1B54" w:rsidP="004B6646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4B6646">
        <w:rPr>
          <w:rFonts w:ascii="Lato" w:hAnsi="Lato"/>
        </w:rPr>
        <w:t xml:space="preserve">Dla </w:t>
      </w:r>
      <w:r w:rsidR="00E60266" w:rsidRPr="004B6646">
        <w:rPr>
          <w:rFonts w:ascii="Lato" w:hAnsi="Lato"/>
        </w:rPr>
        <w:t>65</w:t>
      </w:r>
      <w:r w:rsidRPr="004B6646">
        <w:rPr>
          <w:rFonts w:ascii="Lato" w:hAnsi="Lato"/>
        </w:rPr>
        <w:t xml:space="preserve"> produktów wprowadzono obniżki urzędowych cen zbytu (od </w:t>
      </w:r>
      <w:r w:rsidR="00E60266" w:rsidRPr="004B6646">
        <w:rPr>
          <w:rFonts w:ascii="Lato" w:hAnsi="Lato"/>
        </w:rPr>
        <w:t>0,01</w:t>
      </w:r>
      <w:r w:rsidRPr="004B6646">
        <w:rPr>
          <w:rFonts w:ascii="Lato" w:hAnsi="Lato"/>
        </w:rPr>
        <w:t xml:space="preserve"> zł do </w:t>
      </w:r>
      <w:r w:rsidR="00E60266" w:rsidRPr="004B6646">
        <w:rPr>
          <w:rFonts w:ascii="Lato" w:hAnsi="Lato"/>
        </w:rPr>
        <w:t xml:space="preserve">4 590,27 </w:t>
      </w:r>
      <w:r w:rsidRPr="004B6646">
        <w:rPr>
          <w:rFonts w:ascii="Lato" w:hAnsi="Lato"/>
        </w:rPr>
        <w:t>zł).</w:t>
      </w:r>
    </w:p>
    <w:p w14:paraId="1178A8B5" w14:textId="657E22C8" w:rsidR="007E1B54" w:rsidRPr="004B6646" w:rsidRDefault="007E1B54" w:rsidP="004B6646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4B6646">
        <w:rPr>
          <w:rFonts w:ascii="Lato" w:hAnsi="Lato"/>
        </w:rPr>
        <w:t xml:space="preserve">Dla </w:t>
      </w:r>
      <w:r w:rsidR="00E60266" w:rsidRPr="004B6646">
        <w:rPr>
          <w:rFonts w:ascii="Lato" w:hAnsi="Lato"/>
        </w:rPr>
        <w:t>69</w:t>
      </w:r>
      <w:r w:rsidRPr="004B6646">
        <w:rPr>
          <w:rFonts w:ascii="Lato" w:hAnsi="Lato"/>
        </w:rPr>
        <w:t xml:space="preserve"> produktów podwyższono urzędowe ceny zbytu (od </w:t>
      </w:r>
      <w:r w:rsidR="00E60266" w:rsidRPr="004B6646">
        <w:rPr>
          <w:rFonts w:ascii="Lato" w:hAnsi="Lato"/>
        </w:rPr>
        <w:t>0,51</w:t>
      </w:r>
      <w:r w:rsidRPr="004B6646">
        <w:rPr>
          <w:rFonts w:ascii="Lato" w:hAnsi="Lato"/>
        </w:rPr>
        <w:t xml:space="preserve"> zł do </w:t>
      </w:r>
      <w:r w:rsidR="00E60266" w:rsidRPr="004B6646">
        <w:rPr>
          <w:rFonts w:ascii="Lato" w:hAnsi="Lato"/>
        </w:rPr>
        <w:t xml:space="preserve">2 430,00 </w:t>
      </w:r>
      <w:r w:rsidRPr="004B6646">
        <w:rPr>
          <w:rFonts w:ascii="Lato" w:hAnsi="Lato"/>
        </w:rPr>
        <w:t>zł).</w:t>
      </w:r>
    </w:p>
    <w:p w14:paraId="5CECD0F7" w14:textId="22BDEE70" w:rsidR="007E1B54" w:rsidRPr="004B6646" w:rsidRDefault="007E1B54" w:rsidP="004B6646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4B6646">
        <w:rPr>
          <w:rFonts w:ascii="Lato" w:hAnsi="Lato"/>
        </w:rPr>
        <w:t xml:space="preserve">Dla </w:t>
      </w:r>
      <w:r w:rsidR="009E20C4" w:rsidRPr="004B6646">
        <w:rPr>
          <w:rFonts w:ascii="Lato" w:hAnsi="Lato"/>
        </w:rPr>
        <w:t>994</w:t>
      </w:r>
      <w:r w:rsidRPr="004B6646">
        <w:rPr>
          <w:rFonts w:ascii="Lato" w:hAnsi="Lato"/>
        </w:rPr>
        <w:t xml:space="preserve"> pozycji w obwieszczeniu spadnie dopłata pacjenta (od </w:t>
      </w:r>
      <w:r w:rsidR="009E20C4" w:rsidRPr="004B6646">
        <w:rPr>
          <w:rFonts w:ascii="Lato" w:hAnsi="Lato"/>
        </w:rPr>
        <w:t>0,01</w:t>
      </w:r>
      <w:r w:rsidRPr="004B6646">
        <w:rPr>
          <w:rFonts w:ascii="Lato" w:hAnsi="Lato"/>
        </w:rPr>
        <w:t xml:space="preserve"> zł do </w:t>
      </w:r>
      <w:r w:rsidR="009E20C4" w:rsidRPr="004B6646">
        <w:rPr>
          <w:rFonts w:ascii="Lato" w:hAnsi="Lato"/>
        </w:rPr>
        <w:t>452,70</w:t>
      </w:r>
      <w:r w:rsidRPr="004B6646">
        <w:rPr>
          <w:rFonts w:ascii="Lato" w:hAnsi="Lato"/>
        </w:rPr>
        <w:t xml:space="preserve"> zł).</w:t>
      </w:r>
    </w:p>
    <w:p w14:paraId="041969D4" w14:textId="77F80A94" w:rsidR="007E1B54" w:rsidRPr="004B6646" w:rsidRDefault="007E1B54" w:rsidP="004B6646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4B6646">
        <w:rPr>
          <w:rFonts w:ascii="Lato" w:hAnsi="Lato"/>
        </w:rPr>
        <w:t xml:space="preserve">Dla </w:t>
      </w:r>
      <w:r w:rsidR="009E20C4" w:rsidRPr="004B6646">
        <w:rPr>
          <w:rFonts w:ascii="Lato" w:hAnsi="Lato"/>
        </w:rPr>
        <w:t>2886</w:t>
      </w:r>
      <w:r w:rsidRPr="004B6646">
        <w:rPr>
          <w:rFonts w:ascii="Lato" w:hAnsi="Lato"/>
        </w:rPr>
        <w:t xml:space="preserve"> pozycji w obwieszczeniu wzrośnie dopłata pacjenta (od </w:t>
      </w:r>
      <w:r w:rsidR="009E20C4" w:rsidRPr="004B6646">
        <w:rPr>
          <w:rFonts w:ascii="Lato" w:hAnsi="Lato"/>
        </w:rPr>
        <w:t>0,01</w:t>
      </w:r>
      <w:r w:rsidRPr="004B6646">
        <w:rPr>
          <w:rFonts w:ascii="Lato" w:hAnsi="Lato"/>
        </w:rPr>
        <w:t xml:space="preserve"> zł do </w:t>
      </w:r>
      <w:r w:rsidR="009E20C4" w:rsidRPr="004B6646">
        <w:rPr>
          <w:rFonts w:ascii="Lato" w:hAnsi="Lato"/>
        </w:rPr>
        <w:t xml:space="preserve">157,41 </w:t>
      </w:r>
      <w:r w:rsidRPr="004B6646">
        <w:rPr>
          <w:rFonts w:ascii="Lato" w:hAnsi="Lato"/>
        </w:rPr>
        <w:t>zł).</w:t>
      </w:r>
    </w:p>
    <w:p w14:paraId="5DFD922D" w14:textId="2EB9FF79" w:rsidR="007E1B54" w:rsidRPr="004B6646" w:rsidRDefault="007E1B54" w:rsidP="004B6646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4B6646">
        <w:rPr>
          <w:rFonts w:ascii="Lato" w:hAnsi="Lato"/>
        </w:rPr>
        <w:t xml:space="preserve">Dla </w:t>
      </w:r>
      <w:r w:rsidR="009E20C4" w:rsidRPr="004B6646">
        <w:rPr>
          <w:rFonts w:ascii="Lato" w:hAnsi="Lato"/>
        </w:rPr>
        <w:t>70</w:t>
      </w:r>
      <w:r w:rsidRPr="004B6646">
        <w:rPr>
          <w:rFonts w:ascii="Lato" w:hAnsi="Lato"/>
        </w:rPr>
        <w:t xml:space="preserve"> produktów ulegną obniżeniu ceny detaliczne brutto (od </w:t>
      </w:r>
      <w:r w:rsidR="009E20C4" w:rsidRPr="004B6646">
        <w:rPr>
          <w:rFonts w:ascii="Lato" w:hAnsi="Lato"/>
        </w:rPr>
        <w:t>0,04</w:t>
      </w:r>
      <w:r w:rsidRPr="004B6646">
        <w:rPr>
          <w:rFonts w:ascii="Lato" w:hAnsi="Lato"/>
        </w:rPr>
        <w:t xml:space="preserve"> zł do </w:t>
      </w:r>
      <w:r w:rsidR="009E20C4" w:rsidRPr="004B6646">
        <w:rPr>
          <w:rFonts w:ascii="Lato" w:hAnsi="Lato"/>
        </w:rPr>
        <w:t>197,18</w:t>
      </w:r>
      <w:r w:rsidRPr="004B6646">
        <w:rPr>
          <w:rFonts w:ascii="Lato" w:hAnsi="Lato"/>
        </w:rPr>
        <w:t xml:space="preserve"> zł).</w:t>
      </w:r>
    </w:p>
    <w:p w14:paraId="63DDAFF9" w14:textId="60636603" w:rsidR="007E1B54" w:rsidRPr="004B6646" w:rsidRDefault="007E1B54" w:rsidP="004B6646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4B6646">
        <w:rPr>
          <w:rFonts w:ascii="Lato" w:hAnsi="Lato"/>
        </w:rPr>
        <w:t xml:space="preserve">Dla </w:t>
      </w:r>
      <w:r w:rsidR="009E20C4" w:rsidRPr="004B6646">
        <w:rPr>
          <w:rFonts w:ascii="Lato" w:hAnsi="Lato"/>
        </w:rPr>
        <w:t>4215</w:t>
      </w:r>
      <w:r w:rsidRPr="004B6646">
        <w:rPr>
          <w:rFonts w:ascii="Lato" w:hAnsi="Lato"/>
        </w:rPr>
        <w:t xml:space="preserve"> produktów wzrosną ceny detaliczne brutto (od </w:t>
      </w:r>
      <w:r w:rsidR="009E20C4" w:rsidRPr="004B6646">
        <w:rPr>
          <w:rFonts w:ascii="Lato" w:hAnsi="Lato"/>
        </w:rPr>
        <w:t>0,05</w:t>
      </w:r>
      <w:r w:rsidRPr="004B6646">
        <w:rPr>
          <w:rFonts w:ascii="Lato" w:hAnsi="Lato"/>
        </w:rPr>
        <w:t xml:space="preserve"> zł do </w:t>
      </w:r>
      <w:r w:rsidR="009E20C4" w:rsidRPr="004B6646">
        <w:rPr>
          <w:rFonts w:ascii="Lato" w:hAnsi="Lato"/>
        </w:rPr>
        <w:t>91,92</w:t>
      </w:r>
      <w:r w:rsidRPr="004B6646">
        <w:rPr>
          <w:rFonts w:ascii="Lato" w:hAnsi="Lato"/>
        </w:rPr>
        <w:t xml:space="preserve"> zł).</w:t>
      </w:r>
    </w:p>
    <w:p w14:paraId="2045C6D9" w14:textId="69315727" w:rsidR="00E60266" w:rsidRPr="004B6646" w:rsidRDefault="007E1B54" w:rsidP="004B6646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4B6646">
        <w:rPr>
          <w:rFonts w:ascii="Lato" w:hAnsi="Lato"/>
        </w:rPr>
        <w:t xml:space="preserve">W związku z wpłynięciem wniosków o skrócenie terminu obowiązywania decyzji refundacyjnych lub upłynięciem terminu obowiązywania decyzji refundacyjnych lub odmową refundacji na kolejny okres w obwieszczeniu nie znajdzie się </w:t>
      </w:r>
      <w:r w:rsidR="002907C2" w:rsidRPr="004B6646">
        <w:rPr>
          <w:rFonts w:ascii="Lato" w:hAnsi="Lato"/>
        </w:rPr>
        <w:t>49</w:t>
      </w:r>
      <w:r w:rsidRPr="004B6646">
        <w:rPr>
          <w:rFonts w:ascii="Lato" w:hAnsi="Lato"/>
        </w:rPr>
        <w:t xml:space="preserve"> produktów bądź wskazań figurujących w poprzednim obwieszczeniu.</w:t>
      </w:r>
    </w:p>
    <w:p w14:paraId="02EE373E" w14:textId="165043CD" w:rsidR="002241C0" w:rsidRDefault="002241C0" w:rsidP="000B65F8">
      <w:pPr>
        <w:suppressAutoHyphens w:val="0"/>
        <w:autoSpaceDE w:val="0"/>
        <w:spacing w:after="0" w:line="360" w:lineRule="auto"/>
        <w:rPr>
          <w:rFonts w:ascii="Lato" w:hAnsi="Lato"/>
          <w:sz w:val="24"/>
          <w:szCs w:val="24"/>
        </w:rPr>
      </w:pPr>
      <w:r w:rsidRPr="00E60266">
        <w:rPr>
          <w:rFonts w:ascii="Lato" w:hAnsi="Lato"/>
          <w:sz w:val="24"/>
          <w:szCs w:val="24"/>
        </w:rPr>
        <w:br w:type="page"/>
      </w:r>
      <w:r w:rsidR="00D96647">
        <w:rPr>
          <w:noProof/>
        </w:rPr>
        <w:lastRenderedPageBreak/>
        <w:drawing>
          <wp:inline distT="0" distB="0" distL="0" distR="0" wp14:anchorId="711E91E7" wp14:editId="44E2B299">
            <wp:extent cx="4410000" cy="2808000"/>
            <wp:effectExtent l="0" t="0" r="10160" b="11430"/>
            <wp:docPr id="133835316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7889C1A-5DD9-4C41-9C0E-2CE1FB7DE1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0B65F8">
        <w:rPr>
          <w:rFonts w:ascii="Lato" w:hAnsi="Lato"/>
          <w:sz w:val="24"/>
          <w:szCs w:val="24"/>
        </w:rPr>
        <w:t xml:space="preserve"> </w:t>
      </w:r>
      <w:r w:rsidR="00D96647">
        <w:rPr>
          <w:noProof/>
        </w:rPr>
        <w:drawing>
          <wp:inline distT="0" distB="0" distL="0" distR="0" wp14:anchorId="68509A75" wp14:editId="5E6CB8D4">
            <wp:extent cx="4410000" cy="2808000"/>
            <wp:effectExtent l="0" t="0" r="10160" b="11430"/>
            <wp:docPr id="141857098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52EC9A3-CF0F-4F00-8042-9072D1CE40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C758C3" w14:textId="259498DD" w:rsidR="002241C0" w:rsidRDefault="00D96647">
      <w:pPr>
        <w:suppressAutoHyphens w:val="0"/>
        <w:rPr>
          <w:rFonts w:ascii="Lato" w:hAnsi="Lato"/>
          <w:b/>
          <w:bCs/>
          <w:color w:val="00B0F0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75DDD88A" wp14:editId="44FA66A1">
            <wp:extent cx="4410000" cy="2808000"/>
            <wp:effectExtent l="0" t="0" r="10160" b="11430"/>
            <wp:docPr id="156348563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D137F96-D8BB-4669-93B7-D9F98C8847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0B65F8">
        <w:rPr>
          <w:noProof/>
        </w:rPr>
        <w:t xml:space="preserve"> </w:t>
      </w:r>
      <w:r w:rsidR="000B65F8">
        <w:rPr>
          <w:noProof/>
        </w:rPr>
        <w:drawing>
          <wp:inline distT="0" distB="0" distL="0" distR="0" wp14:anchorId="33073C45" wp14:editId="0BFB853F">
            <wp:extent cx="4410000" cy="2808000"/>
            <wp:effectExtent l="0" t="0" r="10160" b="11430"/>
            <wp:docPr id="75635621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DB26032-FA93-4448-8FF7-12D47490A6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2241C0">
        <w:rPr>
          <w:rFonts w:ascii="Lato" w:hAnsi="Lato"/>
          <w:sz w:val="24"/>
          <w:szCs w:val="24"/>
        </w:rPr>
        <w:t xml:space="preserve"> </w:t>
      </w:r>
      <w:r w:rsidR="002241C0">
        <w:rPr>
          <w:rFonts w:ascii="Lato" w:hAnsi="Lato"/>
          <w:b/>
          <w:bCs/>
          <w:color w:val="00B0F0"/>
          <w:sz w:val="36"/>
          <w:szCs w:val="36"/>
          <w:u w:val="single"/>
        </w:rPr>
        <w:br w:type="page"/>
      </w:r>
    </w:p>
    <w:p w14:paraId="6C2BC407" w14:textId="77777777" w:rsidR="002F43BB" w:rsidRDefault="002F43BB" w:rsidP="008C0E92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</w:p>
    <w:p w14:paraId="6B466A0C" w14:textId="6A2ABAF6" w:rsidR="004D093B" w:rsidRPr="003C4FDD" w:rsidRDefault="004D093B">
      <w:pPr>
        <w:suppressAutoHyphens w:val="0"/>
        <w:rPr>
          <w:rFonts w:ascii="Lato" w:hAnsi="Lato"/>
          <w:sz w:val="24"/>
          <w:szCs w:val="24"/>
        </w:rPr>
      </w:pPr>
    </w:p>
    <w:p w14:paraId="06A06678" w14:textId="7D136BFD" w:rsidR="00AD08C5" w:rsidRPr="003C4FDD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3C4FDD">
        <w:rPr>
          <w:rFonts w:ascii="Lato" w:hAnsi="Lato"/>
          <w:b/>
          <w:bCs/>
          <w:color w:val="00B0F0"/>
          <w:sz w:val="28"/>
          <w:szCs w:val="28"/>
        </w:rPr>
        <w:t>NOWE WSKAZANIA ORAZ ZMIANY W PROGRA</w:t>
      </w:r>
      <w:bookmarkStart w:id="1" w:name="_Hlk95686308"/>
      <w:r w:rsidRPr="003C4FDD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1"/>
      <w:r w:rsidRPr="003C4FDD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3C4FDD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502"/>
        <w:gridCol w:w="2255"/>
        <w:gridCol w:w="1867"/>
        <w:gridCol w:w="2730"/>
        <w:gridCol w:w="4924"/>
      </w:tblGrid>
      <w:tr w:rsidR="005058F2" w:rsidRPr="003C4FDD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3C4FDD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3C4FDD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3C4FDD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3C4FDD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3C4FDD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3C4FDD" w14:paraId="60CDF2D4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3C4FDD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3C4FDD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3C4FDD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3C4FDD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3C4FDD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3C4FDD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284294" w:rsidRPr="003C4FDD" w14:paraId="78AD09CB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B0B8" w14:textId="4E9AF342" w:rsidR="00284294" w:rsidRPr="003C4FDD" w:rsidRDefault="00372855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3CFC" w14:textId="5525DAD3" w:rsidR="00284294" w:rsidRPr="003C4FDD" w:rsidRDefault="0092099E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sz w:val="18"/>
                <w:szCs w:val="18"/>
              </w:rPr>
              <w:t>Enhertu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8DF4" w14:textId="5F2785D6" w:rsidR="00284294" w:rsidRPr="003C4FDD" w:rsidRDefault="0092099E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i/>
                <w:iCs/>
                <w:sz w:val="18"/>
                <w:szCs w:val="18"/>
              </w:rPr>
              <w:t>trastuzumab derukstekan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8D9A" w14:textId="559C562C" w:rsidR="00284294" w:rsidRPr="003C4FDD" w:rsidRDefault="0092099E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B.9.FM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1D1F" w14:textId="5636E09E" w:rsidR="00284294" w:rsidRPr="003C4FDD" w:rsidRDefault="0092099E" w:rsidP="0092099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5EF5F" w14:textId="3E1CE7B1" w:rsidR="00284294" w:rsidRPr="003C4FDD" w:rsidRDefault="0092099E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II lub III lub IV linii chorych z powodu nieoperacyjnego lub zaawansowanego HER2-dodatniego raka piersi  po zastosowaniu co najmniej jednej linii terapii anty-HER2.</w:t>
            </w:r>
          </w:p>
        </w:tc>
      </w:tr>
      <w:tr w:rsidR="00D25F43" w:rsidRPr="003C4FDD" w14:paraId="71CF2711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7ACB" w14:textId="3A986E1A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7CD4E" w14:textId="67BF4095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Lynparza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2A70" w14:textId="269DE641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</w:t>
            </w:r>
            <w:r w:rsidR="00D25F43"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laparyb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4E354" w14:textId="42888632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B.9.FM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1E2C8" w14:textId="0A910EA0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079E" w14:textId="204EEBB9" w:rsidR="00D25F43" w:rsidRPr="003C4FDD" w:rsidRDefault="002F43BB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uzupełniające 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z germinalnymi mutacjami BRCA1/2, u których występuje </w:t>
            </w:r>
            <w:r w:rsidR="00D25FC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hormonozależny 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HER2-ujemny </w:t>
            </w:r>
            <w:r w:rsidR="00D25FC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lub potrójnie ujemny 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wczesny rak piersi wysokiego ryzyka, leczony wcześniej chemioterapią neoadjuwantową lub adjuwantową.</w:t>
            </w:r>
          </w:p>
        </w:tc>
      </w:tr>
      <w:tr w:rsidR="00D25F43" w:rsidRPr="003C4FDD" w14:paraId="531B9990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6B3F" w14:textId="07941868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3.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36D7" w14:textId="2F71238C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Lynparza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9FC2" w14:textId="43768AA5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olaparyb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C486" w14:textId="01A54E2D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B.9.FM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037F" w14:textId="3DB4C02E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70F87" w14:textId="6FEBCC95" w:rsidR="00D25F43" w:rsidRPr="003C4FDD" w:rsidRDefault="00084DF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II lub I</w:t>
            </w:r>
            <w:r w:rsidR="002F43BB"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 linii </w:t>
            </w:r>
            <w:r w:rsidR="007E1B54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przerzutowego lub miejscowo zaawansowanego </w:t>
            </w:r>
            <w:r w:rsidR="007E1B54">
              <w:rPr>
                <w:rFonts w:ascii="Lato" w:hAnsi="Lato" w:cstheme="majorHAnsi"/>
                <w:color w:val="000000"/>
                <w:sz w:val="18"/>
                <w:szCs w:val="18"/>
              </w:rPr>
              <w:t>hormonozależnego HER2-ujemnego raka piersi z obecnością mutacji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germinalnych w genach BRCA1/2, po uprzednim zastosowaniu hormonoterapii z lub bez inhibitorów CDK4/6 w leczeniu paliatywnym (dopuszczalne jest wcześniejsze stosowanie 1-2 linii chemioterapii paliatywnej lub chemioterapii okołooperacyjnej z udziałem antracykliny i taksoidu i 1 linii chemioterapii paliatywnej).</w:t>
            </w:r>
          </w:p>
        </w:tc>
      </w:tr>
      <w:tr w:rsidR="00D25F43" w:rsidRPr="003C4FDD" w14:paraId="71DF152B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7C66" w14:textId="55ED6CC5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4C57" w14:textId="6B62BB92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Lynparza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8609" w14:textId="7CFF322E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olaparyb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FEB4" w14:textId="44BF2DE9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B.9.FM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2DE8" w14:textId="7551238D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1A6A" w14:textId="10B97666" w:rsidR="00D25F43" w:rsidRPr="003C4FDD" w:rsidRDefault="00CB2BB1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lub II lub III linii przerzutowego lub miejscowo zaawansowanego potrójnie ujemnego raka piersi z obecnością mutacji germinalnych w genach BRCA 1/2, gdy leczenie miejscowe jest nieskuteczne lub niemożliwe do zastosowania pacjenci musieli otrzymać wcześniej chemioterapię zawierającą taksoid lub antracyklinę w leczeniu okołooperacyjnym lub paliatywnym (dopuszczalne jest wcześniejsze stosowanie nie więcej niż 2 linii chemioterapii paliatywnej lub chemioterapii okołooperacyjnej i 1 linii chemioterapii paliatywnej).</w:t>
            </w:r>
          </w:p>
        </w:tc>
      </w:tr>
      <w:tr w:rsidR="00D25F43" w:rsidRPr="003C4FDD" w14:paraId="2F304C7B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3179CC02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2650F989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Scemblix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E7F" w14:textId="0B81C348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asciminib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0C2D51B7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B.14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41A48191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SZPIKOWĄ (ICD-10: C92.1)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7855" w14:textId="75F15939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asciminibem dorosłych chorych na przewlekłą białaczkę szpikową od III linii leczenia, po uprzednim leczeniu przynajmniej dwoma inhibitorami kinazy tyrozynowej, po których wystąpiła nietolerancja lub niepowodzenie leczenia.</w:t>
            </w:r>
          </w:p>
          <w:p w14:paraId="7B0CA559" w14:textId="56143ADB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D25F43" w:rsidRPr="003C4FDD" w14:paraId="41B567AC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22D9C9DF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6.</w:t>
            </w:r>
            <w:r w:rsidR="00D25F43" w:rsidRPr="003C4FDD">
              <w:rPr>
                <w:rFonts w:ascii="Lato" w:hAnsi="Lato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7D7B3125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Jakavi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7A195E8F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ruksolitynib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3A4D998C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B.81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4E08649A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NOWOTWORY MIELOPROLIFERACYJNE 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Ph (-) (ICD-10: D45, D47.1)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527F" w14:textId="46F8DD70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ruksolitynibem dorosłych chorych na czerwienicę prawdziwą z grupy wysokiego ryzyka, z opornością lub nietolerancją na leczenie hydroksymocznikiem.</w:t>
            </w:r>
          </w:p>
          <w:p w14:paraId="7E05DB27" w14:textId="615190DA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D25F43" w:rsidRPr="003C4FDD" w14:paraId="4193F70D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740B1DCC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1769C596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4FCDCF60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25998572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B.141.FM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0DA12BA7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UROTELIALNYM (ICD-10: C61, C65, C66, C67, C68)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15DD95AC" w:rsidR="00D25F43" w:rsidRPr="003C4FDD" w:rsidRDefault="00973F6D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uzupełniające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raka urotelialnego naciekającego błonę mięśniową u dorosłych z ekspresją PD-L1 na komórkach guza ≥ 1% i z wysokim ryzykiem nawrotu po radykalnej cystekomii z cechą R0.</w:t>
            </w:r>
          </w:p>
        </w:tc>
      </w:tr>
      <w:tr w:rsidR="00D25F43" w:rsidRPr="003C4FDD" w14:paraId="34137848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66D55122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2082050E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Padcev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3708B384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enfortumab wedotyny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63DBA917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B.141.FM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7CF2C4E6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UROTELIALNYM (ICD-10: C61, C65, C66, C67, C68)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27C2" w14:textId="352CF109" w:rsidR="00D25F43" w:rsidRPr="003C4FDD" w:rsidRDefault="00CB2BB1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 </w:t>
            </w:r>
            <w:r w:rsidR="00973F6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lub III 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linii raka urotelialnego miejscowo zaawansowanego lub z przerzutami u dorosłych chorych, którzy otrzymali wcześniej chemioterapię opartą na pochodnych platyny i inhibitor receptora programowanej śmierci komórki 1 (PD-1) lub inhibitor ligandu programowanej śmierci komórki 1 (PD-L1) (nawrót choroby w okresie nie wcześniej niż 6 miesięcy od zakończenia leczenia I linii).</w:t>
            </w:r>
          </w:p>
          <w:p w14:paraId="75074C9F" w14:textId="4FDADB3D" w:rsidR="001275D1" w:rsidRPr="003C4FDD" w:rsidRDefault="001275D1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</w:t>
            </w:r>
            <w:r w:rsidR="00157EB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73F6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- Technologia </w:t>
            </w:r>
            <w:r w:rsidR="00533C1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</w:t>
            </w:r>
            <w:r w:rsidR="00973F6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ekowa o </w:t>
            </w:r>
            <w:r w:rsidR="00533C1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w</w:t>
            </w:r>
            <w:r w:rsidR="00973F6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ysokim </w:t>
            </w:r>
            <w:r w:rsidR="00533C1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</w:t>
            </w:r>
            <w:r w:rsidR="00973F6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topniu </w:t>
            </w:r>
            <w:r w:rsidR="00533C1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</w:t>
            </w:r>
            <w:r w:rsidR="00973F6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nnowacyjności</w:t>
            </w: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25F43" w:rsidRPr="003C4FDD" w14:paraId="79F6918C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478061ED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lastRenderedPageBreak/>
              <w:t>9.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7E1685B4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Rozlytrek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4114511D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entrectinib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43788FCA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B.144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03311273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GUZAMI LITYMI Z FUZJĄ GENU RECEPTOROWEJ KINAZY TYROZYNOWEJ DLA NEUROTROFIN (NTRK)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609A" w14:textId="77777777" w:rsidR="00CB2BB1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Dodanie drugiego, obok larotrektynibu, leku z grupy inhibitorów kinaz tyrozynowych receptora tropomiozynowego do leczenia guzów litych z fuzją genu NTRK w programie.</w:t>
            </w:r>
          </w:p>
          <w:p w14:paraId="5F6D2A24" w14:textId="019664F3" w:rsidR="00D25F43" w:rsidRPr="003C4FDD" w:rsidRDefault="00CB2BB1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  <w:r w:rsidR="00D25F4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25F43" w:rsidRPr="003C4FDD" w14:paraId="59AF2A0C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B34E" w14:textId="56B9851A" w:rsidR="00D25F43" w:rsidRPr="003C4FDD" w:rsidRDefault="00372855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AD20" w14:textId="6EE88DBF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83C8" w14:textId="6A92C136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i/>
                <w:iCs/>
                <w:sz w:val="18"/>
                <w:szCs w:val="18"/>
              </w:rPr>
              <w:t>trastuzumab i.v.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83B9" w14:textId="1B0B12F4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C.86.c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118B" w14:textId="12E2E86B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TRASTUZUMAB I.V.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192E" w14:textId="039A9F71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trastuzumabem w skojarzeniu z paklitakselem i karboplatyną chorych z zaawansowanym lub nawrotowym surowiczym rakiem endometrium z nadekspresją białka HER2.</w:t>
            </w:r>
          </w:p>
          <w:p w14:paraId="2749EA53" w14:textId="2D01B80E" w:rsidR="00D25F43" w:rsidRPr="003C4FDD" w:rsidRDefault="00D25F43" w:rsidP="00D25F4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</w:tc>
      </w:tr>
      <w:tr w:rsidR="00CB2BB1" w:rsidRPr="003C4FDD" w14:paraId="2A9DE719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F405E" w14:textId="115909A7" w:rsidR="00CB2BB1" w:rsidRPr="003C4FDD" w:rsidRDefault="00CB2BB1" w:rsidP="00CB2BB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11.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1B62" w14:textId="1FD411A7" w:rsidR="00CB2BB1" w:rsidRPr="003C4FDD" w:rsidRDefault="00CB2BB1" w:rsidP="00CB2BB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E269FF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5225" w14:textId="5DA13761" w:rsidR="00CB2BB1" w:rsidRPr="003C4FDD" w:rsidRDefault="00CB2BB1" w:rsidP="00CB2BB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E269FF">
              <w:rPr>
                <w:rFonts w:ascii="Lato" w:hAnsi="Lato" w:cstheme="majorHAnsi"/>
                <w:i/>
                <w:iCs/>
                <w:sz w:val="18"/>
                <w:szCs w:val="18"/>
              </w:rPr>
              <w:t>bew</w:t>
            </w:r>
            <w:r w:rsidR="007E1B54">
              <w:rPr>
                <w:rFonts w:ascii="Lato" w:hAnsi="Lato" w:cstheme="majorHAnsi"/>
                <w:i/>
                <w:iCs/>
                <w:sz w:val="18"/>
                <w:szCs w:val="18"/>
              </w:rPr>
              <w:t>a</w:t>
            </w:r>
            <w:r w:rsidRPr="00E269FF">
              <w:rPr>
                <w:rFonts w:ascii="Lato" w:hAnsi="Lato" w:cstheme="majorHAnsi"/>
                <w:i/>
                <w:iCs/>
                <w:sz w:val="18"/>
                <w:szCs w:val="18"/>
              </w:rPr>
              <w:t>cyzumab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5A97" w14:textId="52315CEB" w:rsidR="00CB2BB1" w:rsidRPr="003C4FDD" w:rsidRDefault="00CB2BB1" w:rsidP="00CB2BB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269FF">
              <w:rPr>
                <w:rFonts w:ascii="Lato" w:hAnsi="Lato" w:cstheme="majorHAnsi"/>
                <w:sz w:val="18"/>
                <w:szCs w:val="18"/>
              </w:rPr>
              <w:t>C.82.a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2428" w14:textId="4AC68168" w:rsidR="00CB2BB1" w:rsidRPr="003C4FDD" w:rsidRDefault="00CB2BB1" w:rsidP="00CB2BB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269FF">
              <w:rPr>
                <w:rFonts w:ascii="Lato" w:hAnsi="Lato" w:cstheme="majorHAnsi"/>
                <w:sz w:val="18"/>
                <w:szCs w:val="18"/>
              </w:rPr>
              <w:t>BEVACIZUMAB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BC914" w14:textId="3C5F4B0C" w:rsidR="00CB2BB1" w:rsidRPr="003C4FDD" w:rsidRDefault="00CB2BB1" w:rsidP="00CB2BB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269FF">
              <w:rPr>
                <w:rFonts w:ascii="Lato" w:hAnsi="Lato" w:cstheme="majorHAnsi"/>
                <w:color w:val="000000"/>
                <w:sz w:val="18"/>
                <w:szCs w:val="18"/>
              </w:rPr>
              <w:t>Leczenie bewcyzumabem w skojarzeniu z karboplatyną i gemcytabiną lub w skojarzeniu z karboplatyną i paklitakselem pacjentek z pierwszym nawrotem wrażliwego na związki platyny raka jajnika, jajowodu lub pierwotnego raka otrzewnej.</w:t>
            </w:r>
          </w:p>
        </w:tc>
      </w:tr>
      <w:tr w:rsidR="0004482C" w:rsidRPr="003C4FDD" w14:paraId="31DC218D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A3A3" w14:textId="7D38CE45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12.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7A63" w14:textId="074E1FC9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A06B9A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D718" w14:textId="0CD67010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A06B9A">
              <w:rPr>
                <w:rFonts w:ascii="Lato" w:hAnsi="Lato" w:cstheme="majorHAnsi"/>
                <w:i/>
                <w:iCs/>
                <w:sz w:val="18"/>
                <w:szCs w:val="18"/>
              </w:rPr>
              <w:t>bew</w:t>
            </w:r>
            <w:r w:rsidR="007E1B54">
              <w:rPr>
                <w:rFonts w:ascii="Lato" w:hAnsi="Lato" w:cstheme="majorHAnsi"/>
                <w:i/>
                <w:iCs/>
                <w:sz w:val="18"/>
                <w:szCs w:val="18"/>
              </w:rPr>
              <w:t>a</w:t>
            </w:r>
            <w:r w:rsidRPr="00A06B9A">
              <w:rPr>
                <w:rFonts w:ascii="Lato" w:hAnsi="Lato" w:cstheme="majorHAnsi"/>
                <w:i/>
                <w:iCs/>
                <w:sz w:val="18"/>
                <w:szCs w:val="18"/>
              </w:rPr>
              <w:t>cyzumab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9739" w14:textId="5F9D7499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06B9A">
              <w:rPr>
                <w:rFonts w:ascii="Lato" w:hAnsi="Lato" w:cstheme="majorHAnsi"/>
                <w:sz w:val="18"/>
                <w:szCs w:val="18"/>
              </w:rPr>
              <w:t>C.82.a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47F1" w14:textId="368F0B57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06B9A">
              <w:rPr>
                <w:rFonts w:ascii="Lato" w:hAnsi="Lato" w:cstheme="majorHAnsi"/>
                <w:sz w:val="18"/>
                <w:szCs w:val="18"/>
              </w:rPr>
              <w:t>BEVACIZUMAB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A10D" w14:textId="28B2E8D1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06B9A">
              <w:rPr>
                <w:rFonts w:ascii="Lato" w:hAnsi="Lato" w:cstheme="majorHAnsi"/>
                <w:color w:val="000000"/>
                <w:sz w:val="18"/>
                <w:szCs w:val="18"/>
              </w:rPr>
              <w:t>Leczenie bewcyzumabem w skojarzeniu z paklitakselem, topotekanem inj. lub pegylowaną liposomalną doksorubicyną pacjentek z nawrotem opornego na związki platyny raka jajnika, jajowodu lub pierwotnego raka otrzewnej.</w:t>
            </w:r>
          </w:p>
        </w:tc>
      </w:tr>
      <w:tr w:rsidR="0004482C" w:rsidRPr="003C4FDD" w14:paraId="2EAEEA58" w14:textId="77777777" w:rsidTr="00912B91">
        <w:trPr>
          <w:cantSplit/>
          <w:trHeight w:val="20"/>
        </w:trPr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7D756D42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13.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5B37377A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E24950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359CF3EF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gemcytabina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61EC23A2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06B9A">
              <w:rPr>
                <w:rFonts w:ascii="Lato" w:hAnsi="Lato" w:cstheme="majorHAnsi"/>
                <w:sz w:val="18"/>
                <w:szCs w:val="18"/>
              </w:rPr>
              <w:t>C.28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02CE63CE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/>
                <w:bCs/>
                <w:sz w:val="18"/>
                <w:szCs w:val="18"/>
              </w:rPr>
              <w:t>GEMCITABINE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F2A7" w14:textId="77777777" w:rsidR="0004482C" w:rsidRPr="003C4FDD" w:rsidRDefault="0004482C" w:rsidP="0004482C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Rozszerzenie</w:t>
            </w:r>
            <w:r w:rsidRPr="003C4FDD">
              <w:rPr>
                <w:rFonts w:ascii="Lato" w:hAnsi="Lato" w:cstheme="majorHAnsi"/>
                <w:sz w:val="18"/>
                <w:szCs w:val="18"/>
              </w:rPr>
              <w:t xml:space="preserve"> załącznika C.28 o wskazania pozarejestracyjne:</w:t>
            </w:r>
          </w:p>
          <w:p w14:paraId="72457C16" w14:textId="77777777" w:rsidR="0004482C" w:rsidRDefault="0004482C" w:rsidP="0004482C">
            <w:pPr>
              <w:pStyle w:val="Akapitzlist"/>
              <w:numPr>
                <w:ilvl w:val="0"/>
                <w:numId w:val="25"/>
              </w:num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C.66 Nowotwór złośliwy moczowodu,</w:t>
            </w:r>
          </w:p>
          <w:p w14:paraId="7CDFBEFD" w14:textId="294E3ADF" w:rsidR="0004482C" w:rsidRPr="0004482C" w:rsidRDefault="0004482C" w:rsidP="00912B91">
            <w:pPr>
              <w:pStyle w:val="Akapitzlist"/>
              <w:numPr>
                <w:ilvl w:val="0"/>
                <w:numId w:val="25"/>
              </w:num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912B91">
              <w:rPr>
                <w:rFonts w:ascii="Lato" w:hAnsi="Lato" w:cstheme="majorHAnsi"/>
                <w:sz w:val="18"/>
                <w:szCs w:val="18"/>
              </w:rPr>
              <w:t>C.68 Nowotwór złośliwy innych i nieokreślonych narządów moczowych.</w:t>
            </w:r>
          </w:p>
        </w:tc>
      </w:tr>
    </w:tbl>
    <w:p w14:paraId="7F9CCF36" w14:textId="51B74B46" w:rsidR="004D093B" w:rsidRPr="003C4FDD" w:rsidRDefault="004D093B">
      <w:pPr>
        <w:rPr>
          <w:rFonts w:ascii="Lato" w:hAnsi="Lato"/>
        </w:rPr>
      </w:pPr>
    </w:p>
    <w:p w14:paraId="7FCF9A29" w14:textId="77777777" w:rsidR="004D093B" w:rsidRPr="003C4FDD" w:rsidRDefault="004D093B">
      <w:pPr>
        <w:suppressAutoHyphens w:val="0"/>
        <w:rPr>
          <w:rFonts w:ascii="Lato" w:hAnsi="Lato"/>
        </w:rPr>
      </w:pPr>
      <w:r w:rsidRPr="003C4FDD"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2D6ED9" w:rsidRPr="003C4FDD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3C4FDD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3C4FDD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3C4FDD" w14:paraId="1394CD71" w14:textId="77777777" w:rsidTr="004D093B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3C4FDD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3C4FDD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3C4FDD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3C4FDD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3C4FDD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3C4FDD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BD1D9A" w:rsidRPr="003C4FDD" w14:paraId="221C45C7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9CB5B" w14:textId="54B4CF55" w:rsidR="00BD1D9A" w:rsidRPr="003C4FDD" w:rsidRDefault="00BD1D9A" w:rsidP="00BD1D9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B2E6A" w14:textId="29FE4CC2" w:rsidR="00BD1D9A" w:rsidRPr="003C4FDD" w:rsidRDefault="00BD1D9A" w:rsidP="00BD1D9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Dysport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4F82" w14:textId="1BD36DF2" w:rsidR="00BD1D9A" w:rsidRPr="003C4FDD" w:rsidRDefault="00BD1D9A" w:rsidP="00BD1D9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toksyna botulinowa typu 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EE25" w14:textId="192D8A9F" w:rsidR="00BD1D9A" w:rsidRPr="003C4FDD" w:rsidRDefault="00BD1D9A" w:rsidP="00BD1D9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AB298" w14:textId="032BC7F6" w:rsidR="00BD1D9A" w:rsidRPr="003C4FDD" w:rsidRDefault="00BD1D9A" w:rsidP="00BD1D9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82315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ZE SPASTYCZNOŚCIĄ KOŃCZYN Z UŻYCIEM TOKSYNY BOTULINOWEJ TYPU A (ICD–10: I61, I63, I69, G35, G80, G82, G83, T90, T91)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2E5CF" w14:textId="5863F1C7" w:rsidR="00BD1D9A" w:rsidRPr="00182315" w:rsidRDefault="00F0779F" w:rsidP="00BD1D9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stosowania toksyny botulinową o leczenie pacjentów</w:t>
            </w:r>
            <w:r w:rsidR="00BD1D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ze spastycznością  o etiologii innej niż udarowa, tj.:</w:t>
            </w:r>
          </w:p>
          <w:p w14:paraId="21570DF2" w14:textId="1EEFB1EF" w:rsidR="00BD1D9A" w:rsidRPr="00292414" w:rsidRDefault="00BD1D9A" w:rsidP="00BD1D9A">
            <w:pPr>
              <w:pStyle w:val="Akapitzlist"/>
              <w:numPr>
                <w:ilvl w:val="0"/>
                <w:numId w:val="39"/>
              </w:numPr>
              <w:spacing w:before="60" w:after="60" w:line="240" w:lineRule="auto"/>
              <w:ind w:left="310" w:hanging="283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92414">
              <w:rPr>
                <w:rFonts w:ascii="Lato" w:hAnsi="Lato" w:cstheme="majorHAnsi"/>
                <w:color w:val="000000"/>
                <w:sz w:val="18"/>
                <w:szCs w:val="18"/>
              </w:rPr>
              <w:t>po przebytym urazie OUN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</w:p>
          <w:p w14:paraId="23BEBBEE" w14:textId="6A815D0F" w:rsidR="00BD1D9A" w:rsidRPr="00292414" w:rsidRDefault="00BD1D9A" w:rsidP="00BD1D9A">
            <w:pPr>
              <w:pStyle w:val="Akapitzlist"/>
              <w:numPr>
                <w:ilvl w:val="0"/>
                <w:numId w:val="39"/>
              </w:numPr>
              <w:spacing w:before="60" w:after="60" w:line="240" w:lineRule="auto"/>
              <w:ind w:left="310" w:hanging="283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92414">
              <w:rPr>
                <w:rFonts w:ascii="Lato" w:hAnsi="Lato" w:cstheme="majorHAnsi"/>
                <w:color w:val="000000"/>
                <w:sz w:val="18"/>
                <w:szCs w:val="18"/>
              </w:rPr>
              <w:t>z rozpoznaniem stwardnienia rozsianego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</w:p>
          <w:p w14:paraId="66055FE8" w14:textId="77777777" w:rsidR="00BD1D9A" w:rsidRDefault="00BD1D9A" w:rsidP="00BD1D9A">
            <w:pPr>
              <w:pStyle w:val="Akapitzlist"/>
              <w:numPr>
                <w:ilvl w:val="0"/>
                <w:numId w:val="39"/>
              </w:numPr>
              <w:spacing w:before="60" w:after="60" w:line="240" w:lineRule="auto"/>
              <w:ind w:left="310" w:hanging="283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92414">
              <w:rPr>
                <w:rFonts w:ascii="Lato" w:hAnsi="Lato" w:cstheme="majorHAnsi"/>
                <w:color w:val="000000"/>
                <w:sz w:val="18"/>
                <w:szCs w:val="18"/>
              </w:rPr>
              <w:t>z rozpoznaniem mózgowego porażenia dziecięcego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</w:p>
          <w:p w14:paraId="23F2510E" w14:textId="056A9C93" w:rsidR="00BD1D9A" w:rsidRPr="00BD1D9A" w:rsidRDefault="00BD1D9A" w:rsidP="00BD1D9A">
            <w:pPr>
              <w:pStyle w:val="Akapitzlist"/>
              <w:numPr>
                <w:ilvl w:val="0"/>
                <w:numId w:val="39"/>
              </w:numPr>
              <w:spacing w:before="60" w:after="60" w:line="240" w:lineRule="auto"/>
              <w:ind w:left="310" w:hanging="283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D1D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rozpoznaniem paraplegii spastycznej. </w:t>
            </w:r>
          </w:p>
        </w:tc>
      </w:tr>
      <w:tr w:rsidR="00694E14" w:rsidRPr="003C4FDD" w14:paraId="7522F87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3782DBC7" w:rsidR="00694E14" w:rsidRPr="00694E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694E14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0304E9EC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Adtralza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6E8EAA85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FF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tralokinumab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72309B77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FF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B.124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4DC90B68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FF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ATOPOWYM ZAPALENIEM SKÓRY (ICD-10: L20)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7344" w14:textId="77777777" w:rsidR="00694E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w wieku 12 lat i powyżej z ciężką postacią atopowego zapalenia skóry.</w:t>
            </w:r>
          </w:p>
          <w:p w14:paraId="5797C9BB" w14:textId="629DD36A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FF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Kolejna opcja terapeutyczna stanowiąca przeciwciało monoklonalne obok obecnego już w programie lekowym dupilumabu. </w:t>
            </w:r>
          </w:p>
        </w:tc>
      </w:tr>
      <w:tr w:rsidR="00694E14" w:rsidRPr="003C4FDD" w14:paraId="5ED86F3E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32362A59" w:rsidR="00694E14" w:rsidRPr="00694E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694E14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5BC46FEF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sz w:val="18"/>
                <w:szCs w:val="18"/>
              </w:rPr>
              <w:t>Cibinqo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1A070948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FF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i/>
                <w:iCs/>
                <w:sz w:val="18"/>
                <w:szCs w:val="18"/>
              </w:rPr>
              <w:t>abrocytynib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1AFBC063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FF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B.124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47105667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FF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ATOPOWYM ZAPALENIEM SKÓRY (ICD-10: L20)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8F59" w14:textId="77777777" w:rsidR="00694E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w wieku 18 lat i powyżej z ciężką postacią atopowego zapalenia skóry.</w:t>
            </w:r>
          </w:p>
          <w:p w14:paraId="790C1040" w14:textId="2DBB32AF" w:rsidR="00694E14" w:rsidRPr="00533C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FF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Kolejna opcja terapeutyczna z grupy leków należących do inhibitorów JAK obok obecnych w programie lekowym barycytynibu oraz upadacytynibu.</w:t>
            </w:r>
          </w:p>
        </w:tc>
      </w:tr>
      <w:tr w:rsidR="00694E14" w:rsidRPr="003C4FDD" w14:paraId="5CE97390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630375FE" w:rsidR="00694E14" w:rsidRPr="00694E14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694E14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019425E4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Crysvita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2B7E45CA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burosumab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2648256F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B.151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38D0EA81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HIPOFOSFATEMIĘ SPRZĘŻONĄ Z CHROMOSOMEM X (XLH) (ICD-10 E.83.3)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2A85" w14:textId="77777777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w wieku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od 1 roku do 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17 lat, z rozpoznaną hipofosfatemią sprzężoną z chromosomem X (XLH), potwierdzoną obecnością mutacji w genie PHEX u chorego lub bezpośrednio spokrewnionego członka rodziny (z którym związane jest dziedziczenie sprzężone z chromosomem X) oraz radiologicznie potwierdzoną chorobą kości (RSS ≥2).</w:t>
            </w:r>
          </w:p>
          <w:p w14:paraId="0AFE6806" w14:textId="2A8915C5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169C5300" w14:textId="64238082" w:rsidR="004D093B" w:rsidRDefault="004D093B">
      <w:pPr>
        <w:suppressAutoHyphens w:val="0"/>
        <w:rPr>
          <w:rFonts w:ascii="Lato" w:hAnsi="Lato"/>
        </w:rPr>
      </w:pPr>
    </w:p>
    <w:p w14:paraId="10214C14" w14:textId="77777777" w:rsidR="00694E14" w:rsidRDefault="00694E14">
      <w:pPr>
        <w:suppressAutoHyphens w:val="0"/>
        <w:rPr>
          <w:rFonts w:ascii="Lato" w:hAnsi="Lato"/>
        </w:rPr>
      </w:pPr>
    </w:p>
    <w:p w14:paraId="363C2FB3" w14:textId="77777777" w:rsidR="00694E14" w:rsidRPr="003C4FDD" w:rsidRDefault="00694E14">
      <w:pPr>
        <w:suppressAutoHyphens w:val="0"/>
        <w:rPr>
          <w:rFonts w:ascii="Lato" w:hAnsi="Lato"/>
        </w:rPr>
      </w:pPr>
    </w:p>
    <w:tbl>
      <w:tblPr>
        <w:tblW w:w="6304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1644"/>
        <w:gridCol w:w="2504"/>
        <w:gridCol w:w="9202"/>
        <w:gridCol w:w="3647"/>
      </w:tblGrid>
      <w:tr w:rsidR="00A434EB" w:rsidRPr="003C4FDD" w14:paraId="0B833808" w14:textId="77777777" w:rsidTr="009104F7">
        <w:trPr>
          <w:gridAfter w:val="1"/>
          <w:wAfter w:w="1034" w:type="pct"/>
          <w:cantSplit/>
          <w:trHeight w:val="20"/>
        </w:trPr>
        <w:tc>
          <w:tcPr>
            <w:tcW w:w="39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3C4FDD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3C4FDD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3C4FDD" w14:paraId="2BCC5E80" w14:textId="77777777" w:rsidTr="009104F7">
        <w:trPr>
          <w:gridAfter w:val="1"/>
          <w:wAfter w:w="1034" w:type="pct"/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3C4FDD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3C4FDD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3C4FDD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3C4FDD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611BBA" w:rsidRPr="003C4FDD" w14:paraId="47C906BC" w14:textId="77777777" w:rsidTr="009104F7">
        <w:trPr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3BC5" w14:textId="532BF157" w:rsidR="00611BBA" w:rsidRPr="003C4FDD" w:rsidRDefault="00611BBA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C543" w14:textId="19F0F146" w:rsidR="00611BBA" w:rsidRPr="003C4FDD" w:rsidRDefault="00611BBA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B.4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8D3C" w14:textId="2C4FD8FE" w:rsidR="00611BBA" w:rsidRPr="003C4FDD" w:rsidRDefault="00611BBA" w:rsidP="00611BBA">
            <w:pPr>
              <w:spacing w:before="60" w:after="6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3C4FDD">
              <w:rPr>
                <w:rFonts w:ascii="Lato" w:hAnsi="Lato"/>
                <w:bCs/>
                <w:sz w:val="18"/>
                <w:szCs w:val="18"/>
              </w:rPr>
              <w:t>LECZENIE CHORYCH NA RAKA JELITA GRUBEGO (ICD-10: C18 – C20)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532A" w14:textId="77777777" w:rsidR="00611BBA" w:rsidRPr="003C4FDD" w:rsidRDefault="00611BBA" w:rsidP="00F0779F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Kompleksowa zmiana programu lekowego wpływająca na paradygmat leczenia raka jelita grubego.</w:t>
            </w:r>
          </w:p>
          <w:p w14:paraId="791848BC" w14:textId="0E417A68" w:rsidR="00611BBA" w:rsidRPr="003C4FDD" w:rsidRDefault="00611BBA" w:rsidP="00F0779F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Zastosowano techniczny podział na leczenie systemowe oraz chemioterapię. Główną zmianą jest umożliwienie stosowania terapii finansowanych w ramach pierwszej lub kolejnych liniach chemioterapii po uprzednim leczeniu immunoterapią. Ponadto, w stosunku do części terapii finansowanych w programie zniesiono lub zmieniono zdefiniowaną dotychczas linię leczenia</w:t>
            </w:r>
            <w:r w:rsidR="00685293" w:rsidRPr="003C4FDD">
              <w:rPr>
                <w:rFonts w:ascii="Lato" w:hAnsi="Lato" w:cstheme="majorHAnsi"/>
                <w:sz w:val="18"/>
                <w:szCs w:val="18"/>
              </w:rPr>
              <w:t xml:space="preserve"> zgodnie z aktualną praktyką kliniczną</w:t>
            </w:r>
            <w:r w:rsidRPr="003C4FDD">
              <w:rPr>
                <w:rFonts w:ascii="Lato" w:hAnsi="Lato" w:cstheme="majorHAnsi"/>
                <w:sz w:val="18"/>
                <w:szCs w:val="18"/>
              </w:rPr>
              <w:t>,</w:t>
            </w:r>
            <w:r w:rsidR="00685293" w:rsidRPr="003C4FDD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Pr="003C4FDD">
              <w:rPr>
                <w:rFonts w:ascii="Lato" w:hAnsi="Lato" w:cstheme="majorHAnsi"/>
                <w:sz w:val="18"/>
                <w:szCs w:val="18"/>
              </w:rPr>
              <w:t>eliminując</w:t>
            </w:r>
            <w:r w:rsidR="00685293" w:rsidRPr="003C4FDD">
              <w:rPr>
                <w:rFonts w:ascii="Lato" w:hAnsi="Lato" w:cstheme="majorHAnsi"/>
                <w:sz w:val="18"/>
                <w:szCs w:val="18"/>
              </w:rPr>
              <w:t xml:space="preserve"> przy tym</w:t>
            </w:r>
            <w:r w:rsidRPr="003C4FDD">
              <w:rPr>
                <w:rFonts w:ascii="Lato" w:hAnsi="Lato" w:cstheme="majorHAnsi"/>
                <w:sz w:val="18"/>
                <w:szCs w:val="18"/>
              </w:rPr>
              <w:t xml:space="preserve"> możliwe konflikty terapeutyczne.</w:t>
            </w:r>
          </w:p>
          <w:p w14:paraId="29C20422" w14:textId="77777777" w:rsidR="00F0779F" w:rsidRDefault="00611BBA" w:rsidP="00F0779F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Co więcej, poza istotnymi zmianami</w:t>
            </w:r>
            <w:r w:rsidR="00685293" w:rsidRPr="003C4FDD">
              <w:rPr>
                <w:rFonts w:ascii="Lato" w:hAnsi="Lato" w:cstheme="majorHAnsi"/>
                <w:sz w:val="18"/>
                <w:szCs w:val="18"/>
              </w:rPr>
              <w:t xml:space="preserve"> pod względem klinicznym</w:t>
            </w:r>
            <w:r w:rsidRPr="003C4FDD">
              <w:rPr>
                <w:rFonts w:ascii="Lato" w:hAnsi="Lato" w:cstheme="majorHAnsi"/>
                <w:sz w:val="18"/>
                <w:szCs w:val="18"/>
              </w:rPr>
              <w:t>, zapisy programu zostały maksymalnie ujednolicone, na skutek odejścia od opisów każdej terapii z osobna. Usystematyzowaniem objęto wszystkie zapisy programu obejmujące: kryteria kwalifikacji, kryteria wyłączenia, dawkowanie, badania diagnostyczne i monitorujące.</w:t>
            </w:r>
            <w:r w:rsidR="008D3759" w:rsidRPr="003C4FDD">
              <w:rPr>
                <w:rFonts w:ascii="Lato" w:hAnsi="Lato" w:cstheme="majorHAnsi"/>
                <w:sz w:val="18"/>
                <w:szCs w:val="18"/>
              </w:rPr>
              <w:t xml:space="preserve"> </w:t>
            </w:r>
          </w:p>
          <w:p w14:paraId="7091EDDE" w14:textId="242E92CA" w:rsidR="00611BBA" w:rsidRPr="003C4FDD" w:rsidRDefault="008D3759" w:rsidP="00F0779F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Wprowadzono również zapisy dotyczące monitorowania skuteczności terapii.</w:t>
            </w:r>
          </w:p>
        </w:tc>
        <w:tc>
          <w:tcPr>
            <w:tcW w:w="1034" w:type="pct"/>
            <w:vAlign w:val="center"/>
          </w:tcPr>
          <w:p w14:paraId="295F4AE5" w14:textId="77777777" w:rsidR="00611BBA" w:rsidRPr="003C4FDD" w:rsidRDefault="00611BBA" w:rsidP="009104F7">
            <w:pPr>
              <w:suppressAutoHyphens w:val="0"/>
              <w:rPr>
                <w:rFonts w:ascii="Lato" w:hAnsi="Lato"/>
              </w:rPr>
            </w:pPr>
          </w:p>
        </w:tc>
      </w:tr>
      <w:tr w:rsidR="00685293" w:rsidRPr="003C4FDD" w14:paraId="23600480" w14:textId="77777777" w:rsidTr="009104F7">
        <w:trPr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E143D" w14:textId="514476D4" w:rsidR="00685293" w:rsidRPr="003C4FDD" w:rsidRDefault="008D3759" w:rsidP="0068529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5FF9" w14:textId="41D396A2" w:rsidR="00685293" w:rsidRPr="003C4FDD" w:rsidRDefault="00685293" w:rsidP="0068529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B.14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9805" w14:textId="6D468E94" w:rsidR="00685293" w:rsidRPr="003C4FDD" w:rsidRDefault="00685293" w:rsidP="00685293">
            <w:pPr>
              <w:spacing w:before="60" w:after="6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SZPIKOWĄ (ICD-10: C92.1)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8B9C7" w14:textId="77777777" w:rsidR="00685293" w:rsidRPr="003C4FDD" w:rsidRDefault="00685293" w:rsidP="00F0779F">
            <w:p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Wprowadzenie kompleksowych zmian w zapisach programu lekowego, w tym zmian porządkujących i dostosowujących zapisy programu lekowego do aktualnych wytycznych klinicznych, m.in.:</w:t>
            </w:r>
          </w:p>
          <w:p w14:paraId="035BE46F" w14:textId="77777777" w:rsidR="00685293" w:rsidRPr="003C4FDD" w:rsidRDefault="00685293" w:rsidP="00F0779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ujednolicenie kryteriów wyłączenia dla wszystkich terapii dostępnych w ramach programu,</w:t>
            </w:r>
          </w:p>
          <w:p w14:paraId="77572154" w14:textId="77777777" w:rsidR="00685293" w:rsidRPr="003C4FDD" w:rsidRDefault="00685293" w:rsidP="00F0779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uogólnienie zapisów dotyczących stosowania inhibitorów kinazy tyrozynowej w przypadku oporności lub nietolerancji,</w:t>
            </w:r>
          </w:p>
          <w:p w14:paraId="64A69DC2" w14:textId="77777777" w:rsidR="00685293" w:rsidRPr="003C4FDD" w:rsidRDefault="00685293" w:rsidP="00F0779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dodanie zapisów i wskaźników dotyczących oceny skuteczności terapii,</w:t>
            </w:r>
          </w:p>
          <w:p w14:paraId="089DB303" w14:textId="66FEFA42" w:rsidR="00685293" w:rsidRPr="003C4FDD" w:rsidRDefault="00685293" w:rsidP="00F0779F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z jednoczesnym udostępnieniem w ramach programu terapii asciminibem oraz przeniesieniem dazatynibu do katalogu chemioterapii.</w:t>
            </w:r>
          </w:p>
        </w:tc>
        <w:tc>
          <w:tcPr>
            <w:tcW w:w="1034" w:type="pct"/>
            <w:vAlign w:val="center"/>
          </w:tcPr>
          <w:p w14:paraId="24E94099" w14:textId="77777777" w:rsidR="00685293" w:rsidRPr="003C4FDD" w:rsidRDefault="00685293" w:rsidP="00685293">
            <w:pPr>
              <w:suppressAutoHyphens w:val="0"/>
              <w:rPr>
                <w:rFonts w:ascii="Lato" w:hAnsi="Lato"/>
              </w:rPr>
            </w:pPr>
          </w:p>
        </w:tc>
      </w:tr>
      <w:tr w:rsidR="00685293" w:rsidRPr="003C4FDD" w14:paraId="6F732F68" w14:textId="77777777" w:rsidTr="009104F7">
        <w:trPr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7D5E" w14:textId="7C991C08" w:rsidR="00685293" w:rsidRPr="003C4FDD" w:rsidRDefault="008D3759" w:rsidP="0068529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lastRenderedPageBreak/>
              <w:t>3.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74A3" w14:textId="4D20D172" w:rsidR="00685293" w:rsidRPr="003C4FDD" w:rsidRDefault="00685293" w:rsidP="0068529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B.65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63DC" w14:textId="7F0FD116" w:rsidR="00685293" w:rsidRPr="003C4FDD" w:rsidRDefault="00685293" w:rsidP="00685293">
            <w:pPr>
              <w:spacing w:before="60" w:after="6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LECZENIE CHORYCH NA OSTRĄ BIAŁACZKĘ LIMFOBLASTYCZNĄ (ICD-10: C91.0)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2E8F" w14:textId="77777777" w:rsidR="00685293" w:rsidRPr="003C4FDD" w:rsidRDefault="00685293" w:rsidP="00F0779F">
            <w:p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Wprowadzenie kompleksowych zmian w zapisach programu lekowego, m.in.:</w:t>
            </w:r>
          </w:p>
          <w:p w14:paraId="3967D747" w14:textId="77777777" w:rsidR="00685293" w:rsidRPr="003C4FDD" w:rsidRDefault="00685293" w:rsidP="00F0779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zmian porządkujących i dostosowujących zapisy programu lekowego do aktualnych wytycznych klinicznych,</w:t>
            </w:r>
          </w:p>
          <w:p w14:paraId="5FBA8287" w14:textId="04911F68" w:rsidR="00685293" w:rsidRPr="003C4FDD" w:rsidRDefault="00685293" w:rsidP="00F0779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umożliwienie leczenia domowego blinatumomabem u dzieci</w:t>
            </w:r>
            <w:r w:rsidR="00395A36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</w:p>
          <w:p w14:paraId="112E56AD" w14:textId="77777777" w:rsidR="00685293" w:rsidRPr="003C4FDD" w:rsidRDefault="00685293" w:rsidP="00F0779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umożliwienie zastosowania blinatumomabu u dzieci i dorosłych ze wznową, i u których nie jest planowane wykonanie przeszczepienia allogenicznych krwiotwórczych komórek macierzystych (alloHSCT),</w:t>
            </w:r>
          </w:p>
          <w:p w14:paraId="39BFF853" w14:textId="77777777" w:rsidR="00685293" w:rsidRPr="003C4FDD" w:rsidRDefault="00685293" w:rsidP="00F0779F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 w:line="276" w:lineRule="auto"/>
              <w:contextualSpacing w:val="0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do leczenia tisagenlecleucelem (terapia CAR-T) także nawrotu pozaszpikowego ostrej białaczki limfoblastycznej,</w:t>
            </w:r>
          </w:p>
          <w:p w14:paraId="14A65AF3" w14:textId="00AEA12C" w:rsidR="00685293" w:rsidRPr="003C4FDD" w:rsidRDefault="00685293" w:rsidP="00F0779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adjustRightInd w:val="0"/>
              <w:spacing w:before="120" w:after="12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dodanie zapisów i wskaźników dotyczących oceny skuteczności terapii</w:t>
            </w:r>
            <w:r w:rsidR="00395A36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1090D62D" w14:textId="7A9CA142" w:rsidR="00685293" w:rsidRPr="003C4FDD" w:rsidRDefault="00395A36" w:rsidP="00F0779F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Jednocześnie wprowadzono modyfikacje związane z</w:t>
            </w:r>
            <w:r w:rsidR="00685293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przeniesieniem dazatynibu do katalogu chemioterapii.</w:t>
            </w:r>
          </w:p>
        </w:tc>
        <w:tc>
          <w:tcPr>
            <w:tcW w:w="1034" w:type="pct"/>
            <w:vAlign w:val="center"/>
          </w:tcPr>
          <w:p w14:paraId="1F753B5D" w14:textId="77777777" w:rsidR="00685293" w:rsidRPr="003C4FDD" w:rsidRDefault="00685293" w:rsidP="00685293">
            <w:pPr>
              <w:suppressAutoHyphens w:val="0"/>
              <w:rPr>
                <w:rFonts w:ascii="Lato" w:hAnsi="Lato"/>
              </w:rPr>
            </w:pPr>
          </w:p>
        </w:tc>
      </w:tr>
      <w:tr w:rsidR="00694E14" w:rsidRPr="003C4FDD" w14:paraId="50DA02B0" w14:textId="1E94F3DA" w:rsidTr="009104F7">
        <w:trPr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4A83BFF4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49BFD97E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B.81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60078C6A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NOWOTWORY MIELOPROLIFERACYJNE 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Ph (-) (ICD-10: D45, D47.1)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AFF4" w14:textId="77777777" w:rsidR="00694E14" w:rsidRPr="003C4FDD" w:rsidRDefault="00694E14" w:rsidP="00694E14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Zmiana nazwy programu lekowego z dotychczasowej LECZENIE MIELOFIBROZY PIERWOTNEJ ORAZ MIELOFIBROZY WTÓRNEJ W PRZEBIEGU CZERWIENICY PRAWDZIWEJ I NADPŁYTKOWOŚCI SAMOISTNEJ (ICD-10: D47.1) w związku z udostępnieniem w ramach programu terapii ruksolitynibem w leczeniu chorych na czerwienicę prawdziwą.</w:t>
            </w:r>
          </w:p>
          <w:p w14:paraId="2844D745" w14:textId="77777777" w:rsidR="00694E14" w:rsidRPr="003C4FDD" w:rsidRDefault="00694E14" w:rsidP="00694E14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Wprowadzenie zmian porządkujących oraz dostosowujących zapisy programu lekowego do aktualnych wytycznych klinicznych, m.in.:</w:t>
            </w:r>
          </w:p>
          <w:p w14:paraId="74032B4F" w14:textId="77777777" w:rsidR="00694E14" w:rsidRPr="003C4FDD" w:rsidRDefault="00694E14" w:rsidP="00694E14">
            <w:pPr>
              <w:pStyle w:val="Akapitzlist"/>
              <w:numPr>
                <w:ilvl w:val="0"/>
                <w:numId w:val="31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zmiany w kryteriach kwalifikacji do leczenia chorych na pierwotną mielofibrozę (PMF) lub mielofibrozę w przebiegu czerwienicy prawdziwej (Post-PV MF) lub mielofibrozę w przebiegu nadpłytkowości samoistnej (Post-ET MF):</w:t>
            </w:r>
          </w:p>
          <w:p w14:paraId="38A16D36" w14:textId="77777777" w:rsidR="00694E14" w:rsidRPr="003C4FDD" w:rsidRDefault="00694E14" w:rsidP="00694E14">
            <w:pPr>
              <w:pStyle w:val="Akapitzlist"/>
              <w:numPr>
                <w:ilvl w:val="0"/>
                <w:numId w:val="3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usunięcie warunku wcześniejszej splenektomii,</w:t>
            </w:r>
          </w:p>
          <w:p w14:paraId="23E77FAB" w14:textId="77777777" w:rsidR="00694E14" w:rsidRPr="003C4FDD" w:rsidRDefault="00694E14" w:rsidP="00694E14">
            <w:pPr>
              <w:pStyle w:val="Akapitzlist"/>
              <w:numPr>
                <w:ilvl w:val="0"/>
                <w:numId w:val="3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uogólnienie zapisu dla kryterium dotyczącego powiększenia śledziony,</w:t>
            </w:r>
          </w:p>
          <w:p w14:paraId="03198ECD" w14:textId="77777777" w:rsidR="00694E14" w:rsidRDefault="00694E14" w:rsidP="00694E14">
            <w:pPr>
              <w:pStyle w:val="Akapitzlist"/>
              <w:numPr>
                <w:ilvl w:val="0"/>
                <w:numId w:val="35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obligatoryjne spełnienie przynajmniej jednego z dwóch poniższych kryteriów: kryterium powiększenia śledziony oraz kryterium w zakresie identyfikacji objawów ocenianych w skali MPN-SAF TSS (dotychczas obligatoryjne było spełnienie obu tych kryteriów),</w:t>
            </w:r>
          </w:p>
          <w:p w14:paraId="4BC7F39F" w14:textId="0688137C" w:rsidR="00694E14" w:rsidRPr="003C4FDD" w:rsidRDefault="00694E14" w:rsidP="00694E14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874D78">
              <w:rPr>
                <w:rFonts w:ascii="Lato" w:hAnsi="Lato" w:cstheme="majorHAnsi"/>
                <w:color w:val="000000"/>
                <w:sz w:val="18"/>
                <w:szCs w:val="18"/>
              </w:rPr>
              <w:t>dodanie zapisów i wskaźników dotyczących oceny skuteczności terapii.</w:t>
            </w:r>
          </w:p>
        </w:tc>
        <w:tc>
          <w:tcPr>
            <w:tcW w:w="1034" w:type="pct"/>
            <w:vAlign w:val="center"/>
          </w:tcPr>
          <w:p w14:paraId="535BA898" w14:textId="0EA0BB64" w:rsidR="00694E14" w:rsidRPr="003C4FDD" w:rsidRDefault="00694E14" w:rsidP="00694E14">
            <w:pPr>
              <w:suppressAutoHyphens w:val="0"/>
              <w:rPr>
                <w:rFonts w:ascii="Lato" w:hAnsi="Lato"/>
              </w:rPr>
            </w:pPr>
          </w:p>
        </w:tc>
      </w:tr>
      <w:tr w:rsidR="00694E14" w:rsidRPr="003C4FDD" w14:paraId="571B0832" w14:textId="77777777" w:rsidTr="009104F7">
        <w:trPr>
          <w:gridAfter w:val="1"/>
          <w:wAfter w:w="1034" w:type="pct"/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58A17ABF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2D603AB1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/>
                <w:b/>
                <w:bCs/>
                <w:sz w:val="18"/>
                <w:szCs w:val="18"/>
              </w:rPr>
              <w:t>B.125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5FB85D13" w:rsidR="00694E14" w:rsidRPr="003C4FDD" w:rsidRDefault="00694E14" w:rsidP="00694E1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Cs/>
                <w:sz w:val="18"/>
                <w:szCs w:val="18"/>
                <w:lang w:eastAsia="en-US"/>
              </w:rPr>
            </w:pPr>
            <w:r w:rsidRPr="003C4FDD">
              <w:rPr>
                <w:rFonts w:ascii="Lato" w:eastAsia="Calibri" w:hAnsi="Lato" w:cstheme="majorHAnsi"/>
                <w:bCs/>
                <w:color w:val="000000"/>
                <w:sz w:val="18"/>
                <w:szCs w:val="18"/>
                <w:lang w:eastAsia="en-US"/>
              </w:rPr>
              <w:t>LECZENIE CHORYCH NA KOLCZYSTOKOMÓRKOWEGO RAKA SKÓRY (ICD-10: C44.12, C44.22, C44.32, C44.42, C44.52, C44.62, C44.72, C44.82, C44.92)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891E" w14:textId="77777777" w:rsidR="00694E14" w:rsidRPr="003C4FDD" w:rsidRDefault="00694E14" w:rsidP="00694E14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Zmiany w programie lekowym o charakterze porządkującym.</w:t>
            </w:r>
          </w:p>
          <w:p w14:paraId="4C89A20F" w14:textId="6DB41292" w:rsidR="00694E14" w:rsidRPr="00874D78" w:rsidRDefault="00694E14" w:rsidP="00694E14">
            <w:pPr>
              <w:pStyle w:val="Akapitzlist"/>
              <w:numPr>
                <w:ilvl w:val="0"/>
                <w:numId w:val="31"/>
              </w:num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Między innymi: w kryteriach kwalifikacji dodano zapis o stopniu sprawności i uproszczono punkt dotyczący wydolności narządowej, do kryteriów wyłączenia z programu dodano udokumentowaną progresję choroby oraz doprecyzowano punkt odnośnie braku współpracy pacjenta z lekarzem, do badań przy kwalifikacji dodano testy na HCV i HBV.</w:t>
            </w:r>
          </w:p>
        </w:tc>
      </w:tr>
      <w:tr w:rsidR="00694E14" w:rsidRPr="003C4FDD" w14:paraId="67293BB2" w14:textId="77777777" w:rsidTr="009104F7">
        <w:trPr>
          <w:gridAfter w:val="1"/>
          <w:wAfter w:w="1034" w:type="pct"/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75A3B9FB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3039609A" w:rsidR="00694E14" w:rsidRPr="003C4FDD" w:rsidRDefault="00694E14" w:rsidP="00694E1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3C4FDD">
              <w:rPr>
                <w:rFonts w:ascii="Lato" w:hAnsi="Lato"/>
                <w:b/>
                <w:bCs/>
                <w:sz w:val="18"/>
                <w:szCs w:val="18"/>
              </w:rPr>
              <w:t>B.148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243BCDA3" w:rsidR="00694E14" w:rsidRPr="003C4FDD" w:rsidRDefault="00694E14" w:rsidP="00694E1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3C4FDD">
              <w:rPr>
                <w:rFonts w:ascii="Lato" w:hAnsi="Lato"/>
                <w:sz w:val="18"/>
                <w:szCs w:val="18"/>
              </w:rPr>
              <w:t>LECZENIE CHORYCH NA RAKA ENDOMETRIUM (ICD10: C54)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84DF" w14:textId="254CA9F4" w:rsidR="00694E14" w:rsidRPr="003C4FDD" w:rsidRDefault="00694E14" w:rsidP="00694E14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Zmiana zapisu w pkt. 3 kryteriów kwalifikacji dot. zidentyfikowania obecności upośledzenia naprawy nieprawidłowo sparowanych nukleotydów (ang. mismatch repair deficient, dMMR) lub wysokiej niestabilności mikrosatelitarnej (ang. microsatellite instabilityhigh, MSIH) potwierdzonej tylko z wykorzystaniem zwalidowanego testu.</w:t>
            </w:r>
          </w:p>
        </w:tc>
      </w:tr>
      <w:tr w:rsidR="00694E14" w:rsidRPr="003C4FDD" w14:paraId="66D571B6" w14:textId="77777777" w:rsidTr="008D3759">
        <w:trPr>
          <w:gridAfter w:val="1"/>
          <w:wAfter w:w="1034" w:type="pct"/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414D4FF9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0920B0EA" w:rsidR="00694E14" w:rsidRPr="003C4FDD" w:rsidRDefault="00694E14" w:rsidP="00694E1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3C4FDD">
              <w:rPr>
                <w:rFonts w:ascii="Lato" w:hAnsi="Lato"/>
                <w:b/>
                <w:bCs/>
                <w:sz w:val="18"/>
                <w:szCs w:val="18"/>
              </w:rPr>
              <w:t>C.82.c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462FA81F" w:rsidR="00694E14" w:rsidRPr="003C4FDD" w:rsidRDefault="00694E14" w:rsidP="00694E1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BEVACIZUMAB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800F" w14:textId="77777777" w:rsidR="00694E14" w:rsidRPr="003C4FDD" w:rsidRDefault="00694E14" w:rsidP="00694E14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Zniesi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enie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dotychczasow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ych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zapisów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ograniczając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ych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stosowanie bewacyzumabu wyłącznie w dwóch liniach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leczenia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, w skojarzeniu z konkretnymi dubletami chemioterapii.</w:t>
            </w:r>
          </w:p>
          <w:p w14:paraId="4C9AB9C4" w14:textId="2AAA8E47" w:rsidR="00694E14" w:rsidRPr="003C4FDD" w:rsidRDefault="00694E14" w:rsidP="00694E14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Nowe zapisy załącznika C.82.c wskazują na konieczność skojarzenia bewacyzumabu z chemioterapią zawierającą fluoropirymidynę. Ponadto, bewacyzumab może być zastosowany u danego pacjenta tylko w jednej, wybranej linii leczenia.</w:t>
            </w:r>
          </w:p>
        </w:tc>
      </w:tr>
      <w:tr w:rsidR="00694E14" w:rsidRPr="003C4FDD" w14:paraId="39427419" w14:textId="77777777" w:rsidTr="008D3759">
        <w:trPr>
          <w:gridAfter w:val="1"/>
          <w:wAfter w:w="1034" w:type="pct"/>
          <w:cantSplit/>
          <w:trHeight w:val="20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31031" w14:textId="44C420EB" w:rsidR="00694E14" w:rsidRPr="003C4FDD" w:rsidRDefault="00694E14" w:rsidP="00694E14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</w:t>
            </w:r>
            <w:r w:rsidRPr="003C4FDD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0F090" w14:textId="77777777" w:rsidR="00694E14" w:rsidRPr="0004482C" w:rsidRDefault="00694E14" w:rsidP="00694E1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482C">
              <w:rPr>
                <w:rFonts w:ascii="Lato" w:hAnsi="Lato"/>
                <w:b/>
                <w:bCs/>
                <w:sz w:val="18"/>
                <w:szCs w:val="18"/>
              </w:rPr>
              <w:t>C.92.a</w:t>
            </w:r>
          </w:p>
          <w:p w14:paraId="64511F4F" w14:textId="46B9BC0C" w:rsidR="00694E14" w:rsidRPr="003C4FDD" w:rsidRDefault="00694E14" w:rsidP="00694E1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04482C">
              <w:rPr>
                <w:rFonts w:ascii="Lato" w:hAnsi="Lato"/>
                <w:b/>
                <w:bCs/>
                <w:sz w:val="18"/>
                <w:szCs w:val="18"/>
              </w:rPr>
              <w:t>C.92.b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B0F0A" w14:textId="5E6FFC63" w:rsidR="00694E14" w:rsidRPr="003C4FDD" w:rsidRDefault="00694E14" w:rsidP="00694E1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sz w:val="18"/>
                <w:szCs w:val="18"/>
              </w:rPr>
              <w:t>DASATINIB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4E9D" w14:textId="77777777" w:rsidR="00694E14" w:rsidRPr="003C4FDD" w:rsidRDefault="00694E14" w:rsidP="00694E14">
            <w:pPr>
              <w:suppressAutoHyphens w:val="0"/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Zmiana kategorii dostępności refundacyjnej dla dazatynibu:</w:t>
            </w:r>
          </w:p>
          <w:p w14:paraId="15E1F01F" w14:textId="77777777" w:rsidR="00694E14" w:rsidRDefault="00694E14" w:rsidP="00694E14">
            <w:pPr>
              <w:pStyle w:val="Akapitzlist"/>
              <w:numPr>
                <w:ilvl w:val="0"/>
                <w:numId w:val="21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z programu lekowego B.14 – LECZENIE CHORYCH NA PRZEWLEKŁĄ BIAŁACZKĘ SZPIKOWĄ (ICD-10: C92.1) do katalogu chemioterapii C.92.a,</w:t>
            </w:r>
          </w:p>
          <w:p w14:paraId="69ECB757" w14:textId="5AC01491" w:rsidR="00694E14" w:rsidRPr="00694E14" w:rsidRDefault="00694E14" w:rsidP="00694E14">
            <w:pPr>
              <w:pStyle w:val="Akapitzlist"/>
              <w:numPr>
                <w:ilvl w:val="0"/>
                <w:numId w:val="21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94E14">
              <w:rPr>
                <w:rFonts w:ascii="Lato" w:hAnsi="Lato" w:cstheme="majorHAnsi"/>
                <w:color w:val="000000"/>
                <w:sz w:val="18"/>
                <w:szCs w:val="18"/>
              </w:rPr>
              <w:t>z programu lekowego B.65 - LECZENIE CHORYCH NA OSTRĄ BIAŁACZKĘ LIMFOBLASTYCZNĄ (ICD-10: C91.0) do katalogu chemioterapii C.92.b.</w:t>
            </w:r>
          </w:p>
        </w:tc>
      </w:tr>
    </w:tbl>
    <w:p w14:paraId="08AE375A" w14:textId="43C53898" w:rsidR="0056748F" w:rsidRPr="003C4FDD" w:rsidRDefault="0056748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13C8E853" w14:textId="77777777" w:rsidR="0009112E" w:rsidRPr="003C4FDD" w:rsidRDefault="0009112E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bookmarkStart w:id="2" w:name="_Hlk90283710"/>
    </w:p>
    <w:p w14:paraId="242DFDC3" w14:textId="77777777" w:rsidR="0009112E" w:rsidRPr="003C4FDD" w:rsidRDefault="0009112E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p w14:paraId="052EAE3A" w14:textId="77777777" w:rsidR="004D093B" w:rsidRPr="003C4FDD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 w:rsidRPr="003C4FDD"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3C4FDD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3C4FDD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1837"/>
        <w:gridCol w:w="1446"/>
        <w:gridCol w:w="4862"/>
        <w:gridCol w:w="5383"/>
      </w:tblGrid>
      <w:tr w:rsidR="00AD08C5" w:rsidRPr="003C4FDD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05E7E891" w14:textId="77777777" w:rsidR="00AD08C5" w:rsidRPr="003C4FDD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3C4FDD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3C4FDD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3C4FDD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3C4FDD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3C4FDD" w14:paraId="7D53B9E1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3C4FDD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3C4FDD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3C4FDD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3C4FDD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3C4FDD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3C4FDD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9104F7" w:rsidRPr="003C4FDD" w14:paraId="0C276518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63575624" w:rsidR="009104F7" w:rsidRPr="003C4FDD" w:rsidRDefault="008B5033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24A9" w14:textId="426ADFC7" w:rsidR="009104F7" w:rsidRPr="003C4FDD" w:rsidRDefault="009104F7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Glypvilo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1917BD12" w:rsidR="009104F7" w:rsidRPr="003C4FDD" w:rsidRDefault="009104F7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wildagliptyna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3BB93314" w:rsidR="009104F7" w:rsidRPr="003C4FDD" w:rsidRDefault="009104F7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183B" w14:textId="6ECE57E9" w:rsidR="009104F7" w:rsidRPr="003C4FDD" w:rsidRDefault="00793222" w:rsidP="009104F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</w:t>
            </w:r>
            <w:r w:rsidR="009104F7"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zupełnienie diety i ćwiczeń fizycznych w celu poprawy kontroli glikemii u osób dorosłych z cukrzycą typu 2:</w:t>
            </w:r>
          </w:p>
          <w:p w14:paraId="2AEE7CFB" w14:textId="20646C38" w:rsidR="009104F7" w:rsidRPr="003C4FDD" w:rsidRDefault="009104F7" w:rsidP="003C4FDD">
            <w:pPr>
              <w:spacing w:before="60" w:after="60" w:line="240" w:lineRule="auto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- w monoterapii u pacjentów, u których metformina jest nieodpowiednia z powodu występowania przeciwwskazań lub nietolerancji,</w:t>
            </w:r>
          </w:p>
          <w:p w14:paraId="41D464AF" w14:textId="500133F6" w:rsidR="009104F7" w:rsidRPr="003C4FDD" w:rsidRDefault="009104F7" w:rsidP="003C4FDD">
            <w:pPr>
              <w:spacing w:before="60" w:after="60" w:line="240" w:lineRule="auto"/>
              <w:jc w:val="both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- w skojarzeniu z innymi produktami leczniczymi stosowanymi w leczeniu cukrzycy, w tym z insuliną, gdy produkty te nie zapewniają wystarczającej kontroli glikemii.</w:t>
            </w:r>
          </w:p>
        </w:tc>
      </w:tr>
      <w:tr w:rsidR="00E55290" w:rsidRPr="003C4FDD" w14:paraId="46BBA744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45F2C" w14:textId="25963FD2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40861" w14:textId="4D3A0DD5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Maysiglu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5292" w14:textId="47318ABB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sitagliptyna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8302" w14:textId="52A411E2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DECB" w14:textId="77777777" w:rsidR="00E55290" w:rsidRPr="003C4FDD" w:rsidRDefault="00E55290" w:rsidP="00E55290">
            <w:pPr>
              <w:tabs>
                <w:tab w:val="left" w:pos="4021"/>
              </w:tabs>
              <w:spacing w:after="120" w:line="240" w:lineRule="auto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 dorosłych z cukrzycą typu 2 w celu poprawy kontroli glikemii: </w:t>
            </w:r>
          </w:p>
          <w:p w14:paraId="1BC60DD4" w14:textId="77777777" w:rsidR="00E55290" w:rsidRPr="003C4FDD" w:rsidRDefault="00E55290" w:rsidP="00E55290">
            <w:pPr>
              <w:pStyle w:val="Akapitzlist"/>
              <w:numPr>
                <w:ilvl w:val="0"/>
                <w:numId w:val="26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 monoterapii (u pacjentów nieodpowiednio kontrolowanych wyłącznie dietą i ćwiczeniami fizycznymi, u których stosowanie metforminy jest niewłaściwe z powodu przeciwwskazań lub nietolerancji);</w:t>
            </w:r>
          </w:p>
          <w:p w14:paraId="180D5011" w14:textId="77777777" w:rsidR="00E55290" w:rsidRPr="003C4FDD" w:rsidRDefault="00E55290" w:rsidP="00E55290">
            <w:pPr>
              <w:pStyle w:val="Akapitzlist"/>
              <w:numPr>
                <w:ilvl w:val="0"/>
                <w:numId w:val="26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 dwuskładnikowej terapii doustnej w skojarzeniu z:</w:t>
            </w:r>
          </w:p>
          <w:p w14:paraId="51C54BAE" w14:textId="77777777" w:rsidR="00E55290" w:rsidRPr="003C4FDD" w:rsidRDefault="00E55290" w:rsidP="00E55290">
            <w:pPr>
              <w:pStyle w:val="Akapitzlist"/>
              <w:numPr>
                <w:ilvl w:val="0"/>
                <w:numId w:val="27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metforminą w przypadku, gdy dieta i ćwiczenia fizyczne oraz stosowanie jedynie metforminy nie wystarczają do odpowiedniej kontroli glikemii; </w:t>
            </w:r>
          </w:p>
          <w:p w14:paraId="18F53232" w14:textId="77777777" w:rsidR="00E55290" w:rsidRPr="003C4FDD" w:rsidRDefault="00E55290" w:rsidP="00E55290">
            <w:pPr>
              <w:pStyle w:val="Akapitzlist"/>
              <w:numPr>
                <w:ilvl w:val="0"/>
                <w:numId w:val="27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pochodną sulfonylomocznika w przypadku, gdy dieta i ćwiczenia fizyczne oraz stosowanie jedynie maksymalnej tolerowanej dawki pochodnej sulfonylomocznika nie wystarczają do odpowiedniej kontroli glikemii oraz w przypadku, gdy stosowanie metforminy jest niewłaściwe z powodu przeciwwskazań lub nietolerancji; </w:t>
            </w:r>
          </w:p>
          <w:p w14:paraId="119375CB" w14:textId="77777777" w:rsidR="00E55290" w:rsidRPr="003C4FDD" w:rsidRDefault="00E55290" w:rsidP="00E55290">
            <w:pPr>
              <w:pStyle w:val="Akapitzlist"/>
              <w:numPr>
                <w:ilvl w:val="0"/>
                <w:numId w:val="27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agonistą receptora aktywowanego przez proliferatory peroksysomów typu gamma (PPAR) (tj. tiazolidynedionem), jeśli zastosowanie agonisty receptora PPAR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 jest wskazane i kiedy stosowanie diety i ćwiczeń fizycznych w połączeniu z agonistą receptora PPAR</w:t>
            </w:r>
            <w:r w:rsidRPr="003C4FDD">
              <w:rPr>
                <w:rFonts w:cs="Calibri"/>
                <w:color w:val="000000"/>
                <w:sz w:val="18"/>
                <w:szCs w:val="18"/>
              </w:rPr>
              <w:t>γ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monoterapii nie zapewnia odpowiedniej kontroli glikemii;</w:t>
            </w:r>
          </w:p>
          <w:p w14:paraId="611AA71D" w14:textId="77777777" w:rsidR="00E55290" w:rsidRPr="003C4FDD" w:rsidRDefault="00E55290" w:rsidP="00E55290">
            <w:pPr>
              <w:pStyle w:val="Akapitzlist"/>
              <w:numPr>
                <w:ilvl w:val="0"/>
                <w:numId w:val="26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 trójskładnikowej terapii doustnej w skojarzeniu z:</w:t>
            </w:r>
          </w:p>
          <w:p w14:paraId="5689F07B" w14:textId="77777777" w:rsidR="00E55290" w:rsidRPr="003C4FDD" w:rsidRDefault="00E55290" w:rsidP="00E55290">
            <w:pPr>
              <w:pStyle w:val="Akapitzlist"/>
              <w:numPr>
                <w:ilvl w:val="0"/>
                <w:numId w:val="28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pochodną sulfonylomocznika i metforminą w przypadku, gdy dieta i ćwiczenia fizyczne oraz stosowanie tych produktów leczniczych nie wystarczają do odpowiedniej kontroli glikemii; </w:t>
            </w:r>
          </w:p>
          <w:p w14:paraId="04DB7C93" w14:textId="77777777" w:rsidR="00E55290" w:rsidRPr="003C4FDD" w:rsidRDefault="00E55290" w:rsidP="00E55290">
            <w:pPr>
              <w:pStyle w:val="Akapitzlist"/>
              <w:numPr>
                <w:ilvl w:val="0"/>
                <w:numId w:val="28"/>
              </w:numPr>
              <w:tabs>
                <w:tab w:val="left" w:pos="4021"/>
              </w:tabs>
              <w:suppressAutoHyphens w:val="0"/>
              <w:autoSpaceDN/>
              <w:spacing w:after="120" w:line="240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agonistą receptora PPAR</w:t>
            </w:r>
            <w:r w:rsidRPr="003C4FDD">
              <w:rPr>
                <w:rFonts w:cs="Calibri"/>
                <w:color w:val="000000"/>
                <w:sz w:val="18"/>
                <w:szCs w:val="18"/>
              </w:rPr>
              <w:t>γ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metforminą, kiedy zastosowanie agonisty receptora PPAR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 jest wskazane i kiedy stosowanie diety i ćwiczeń fizycznych w połączeniu z tymi produktami leczniczymi nie wystarczają do odpowiedniej kontroli glikemii. </w:t>
            </w:r>
          </w:p>
          <w:p w14:paraId="704CA0A4" w14:textId="7346B75D" w:rsidR="00E55290" w:rsidRPr="003C4FDD" w:rsidRDefault="00E55290" w:rsidP="00E55290">
            <w:pPr>
              <w:tabs>
                <w:tab w:val="left" w:pos="4021"/>
              </w:tabs>
              <w:spacing w:after="12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Produkt leczniczy Maysiglu jest także wskazany do stosowania jako lek uzupełniający w stosunku do insuliny (z metforminą lub bez), kiedy dieta i ćwiczenia fizyczne w połączeniu ze stałą dawką insuliny nie zapewniają odpowiedniej kontroli glikemii.</w:t>
            </w:r>
          </w:p>
        </w:tc>
      </w:tr>
      <w:tr w:rsidR="00E55290" w:rsidRPr="003C4FDD" w14:paraId="3A9F8BCC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8B75" w14:textId="101B15BD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E7EF" w14:textId="0195692D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Maymetsi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B342" w14:textId="5BF09207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sitagliptyna + metforminy chlorowodorek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D97F" w14:textId="371EF69A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5201" w14:textId="77777777" w:rsidR="00E55290" w:rsidRPr="003C4FDD" w:rsidRDefault="00E55290" w:rsidP="00E55290">
            <w:pPr>
              <w:shd w:val="clear" w:color="auto" w:fill="FFFFFF"/>
              <w:spacing w:after="120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U dorosłych pacjentów z cukrzycą typu 2:</w:t>
            </w:r>
          </w:p>
          <w:p w14:paraId="7A41C4F4" w14:textId="77777777" w:rsidR="00E55290" w:rsidRDefault="00E55290" w:rsidP="00E55290">
            <w:pPr>
              <w:shd w:val="clear" w:color="auto" w:fill="FFFFFF"/>
              <w:spacing w:after="120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- do stosowania, oprócz diety i ćwiczeń fizycznych, w celu poprawy kontroli glikemii u pacjentów z glikemią niedostatecznie wyrównaną podczas stosowania maksymalnej tolerowanej dawki metforminy w monoterapii lub u pacjentów już leczonych sitagliptyną w skojarzeniu z metforminą,</w:t>
            </w:r>
          </w:p>
          <w:p w14:paraId="482DC79D" w14:textId="77777777" w:rsidR="00E55290" w:rsidRPr="003C4FDD" w:rsidRDefault="00E55290" w:rsidP="00E55290">
            <w:pPr>
              <w:shd w:val="clear" w:color="auto" w:fill="FFFFFF"/>
              <w:spacing w:after="120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- do stosowania w skojarzeniu z pochodną sulfonylomocznika (tj. w leczeniu potrójnie skojarzonym), oprócz diety i ćwiczeń fizycznych, u pacjentów z glikemią niedostatecznie wyrównaną podczas stosowania maksymalnej tolerowanej dawki metforminy i pochodnej sulfonylomocznika,</w:t>
            </w:r>
          </w:p>
          <w:p w14:paraId="1F4FBF5C" w14:textId="77777777" w:rsidR="00E55290" w:rsidRPr="003C4FDD" w:rsidRDefault="00E55290" w:rsidP="00E55290">
            <w:pPr>
              <w:shd w:val="clear" w:color="auto" w:fill="FFFFFF"/>
              <w:spacing w:after="120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- w leczeniu potrójnie skojarzonym z agonistą receptora aktywowanego przez proliferatory peroksysomów typu gamma (PPAR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sym w:font="Symbol" w:char="F067"/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) (np. tiazolidynedionem), oprócz diety i ćwiczeń fizycznych, u pacjentów z glikemią niedostatecznie wyrównaną podczas stosowania maksymalnej tolerowanej dawki metforminy i agonisty receptora PPAR</w:t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sym w:font="Symbol" w:char="F067"/>
            </w: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.,</w:t>
            </w:r>
          </w:p>
          <w:p w14:paraId="7341B3E7" w14:textId="516CE06C" w:rsidR="00E55290" w:rsidRPr="003C4FDD" w:rsidRDefault="00E55290" w:rsidP="00E55290">
            <w:pPr>
              <w:tabs>
                <w:tab w:val="left" w:pos="4021"/>
              </w:tabs>
              <w:spacing w:after="120" w:line="240" w:lineRule="auto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- do stosowania, jako lek uzupełniający podanie insuliny (tj. w leczeniu potrójnie skojarzonym), pomocniczo wraz z dietą i ćwiczeniami fizycznymi, w celu poprawy kontroli glikemii u pacjentów, u których stosowanie stałej dawki insuliny i metforminy nie zapewnia odpowiedniej kontroli glikemii.</w:t>
            </w:r>
          </w:p>
        </w:tc>
      </w:tr>
      <w:tr w:rsidR="00E55290" w:rsidRPr="003C4FDD" w14:paraId="56C43699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550DD" w14:textId="7A1D9AD8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0A4C" w14:textId="42B3F948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Oramorph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3E18C" w14:textId="0D6F06CB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siarczan morfiny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8CD3" w14:textId="56FD75B6" w:rsidR="00E55290" w:rsidRPr="003C4FDD" w:rsidRDefault="00E55290" w:rsidP="00E5529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B7AA" w14:textId="77777777" w:rsidR="00533C14" w:rsidRPr="00533C14" w:rsidRDefault="00533C14" w:rsidP="00533C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Nowa postać farmaceutyczna siarczanu morfiny  w formie kropli doustnych ułatwiajacych podawanie leku dzieciom oraz pacjentom mających problem z przełykaniem. </w:t>
            </w:r>
          </w:p>
          <w:p w14:paraId="02677A1C" w14:textId="6180AF80" w:rsidR="00E55290" w:rsidRPr="00E55290" w:rsidRDefault="00533C14" w:rsidP="00533C14">
            <w:pPr>
              <w:shd w:val="clear" w:color="auto" w:fill="FFFFFF"/>
              <w:spacing w:after="120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>Lek Oramorph wskazany jest u dorosłych, młodzieży i dzieci powyżej 1. roku życia.</w:t>
            </w:r>
          </w:p>
        </w:tc>
      </w:tr>
      <w:tr w:rsidR="0004482C" w:rsidRPr="003C4FDD" w14:paraId="2B2D1788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8B834" w14:textId="72FC4326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7E00" w14:textId="26485860" w:rsidR="0004482C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Oramorph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C168" w14:textId="407323EE" w:rsidR="0004482C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siarczan morfiny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92EA" w14:textId="462373DF" w:rsidR="0004482C" w:rsidRPr="009674E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>Neuralgia popółpaścowa przewlekła, Wieloobjawowy miejscowy zespół bólowy typu I - odruchowa dystrofia współczulna oraz typu II – kauzalgia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0DC1" w14:textId="0105A505" w:rsidR="0004482C" w:rsidRPr="009674ED" w:rsidRDefault="0004482C" w:rsidP="00533C1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Nowa postać farmaceutyczna siarczanu morfiny </w:t>
            </w:r>
            <w:r w:rsid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f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orm</w:t>
            </w:r>
            <w:r w:rsidR="00533C14">
              <w:rPr>
                <w:rFonts w:ascii="Lato" w:hAnsi="Lato" w:cstheme="majorHAnsi"/>
                <w:color w:val="000000"/>
                <w:sz w:val="18"/>
                <w:szCs w:val="18"/>
              </w:rPr>
              <w:t>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kropli doustnych ułatwia</w:t>
            </w:r>
            <w:r w:rsidR="00533C14">
              <w:rPr>
                <w:rFonts w:ascii="Lato" w:hAnsi="Lato" w:cstheme="majorHAnsi"/>
                <w:color w:val="000000"/>
                <w:sz w:val="18"/>
                <w:szCs w:val="18"/>
              </w:rPr>
              <w:t>jacych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podawanie leku dzieciom oraz pacjentom mających problem z przełykaniem. </w:t>
            </w:r>
          </w:p>
          <w:p w14:paraId="6B11F691" w14:textId="663B8671" w:rsidR="0004482C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>Lek Oramorph wskazany jest u dorosłych, młodzieży i dzieci powyżej 1. roku życia.</w:t>
            </w:r>
          </w:p>
        </w:tc>
      </w:tr>
      <w:tr w:rsidR="0004482C" w:rsidRPr="003C4FDD" w14:paraId="1BAE640F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1B93" w14:textId="5499B320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BF61" w14:textId="22C14756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VaxigripTetra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B225" w14:textId="3FEAB7F8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czterowalentna szczepionka przeciw grypie (rozszczepiony wirion), inaktywowana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2157" w14:textId="3636A6BF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BDC8" w14:textId="77777777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Do zapobiegania grypie wywołanej przez dwa podtypy wirusa grypy A oraz dwa typy wirusa grypy B, które są zawarte w szczepionce:</w:t>
            </w:r>
          </w:p>
          <w:p w14:paraId="63289E09" w14:textId="56AB91B8" w:rsidR="0004482C" w:rsidRPr="00793222" w:rsidRDefault="0004482C" w:rsidP="0004482C">
            <w:pPr>
              <w:pStyle w:val="Akapitzlist"/>
              <w:numPr>
                <w:ilvl w:val="0"/>
                <w:numId w:val="40"/>
              </w:numPr>
              <w:spacing w:before="60" w:after="60" w:line="240" w:lineRule="auto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93222">
              <w:rPr>
                <w:rFonts w:ascii="Lato" w:hAnsi="Lato" w:cstheme="majorHAnsi"/>
                <w:color w:val="000000"/>
                <w:sz w:val="18"/>
                <w:szCs w:val="18"/>
              </w:rPr>
              <w:t>czynne uodpornienie dorosłych, w tym kobiet w ciąży, oraz dzieci od ukończenia 6. miesiąca życia,</w:t>
            </w:r>
          </w:p>
          <w:p w14:paraId="2843AD31" w14:textId="615D80B0" w:rsidR="0004482C" w:rsidRPr="00793222" w:rsidRDefault="0004482C" w:rsidP="0004482C">
            <w:pPr>
              <w:pStyle w:val="Akapitzlist"/>
              <w:numPr>
                <w:ilvl w:val="0"/>
                <w:numId w:val="40"/>
              </w:numPr>
              <w:spacing w:before="60" w:after="60" w:line="240" w:lineRule="auto"/>
              <w:jc w:val="both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93222">
              <w:rPr>
                <w:rFonts w:ascii="Lato" w:hAnsi="Lato" w:cstheme="majorHAnsi"/>
                <w:color w:val="000000"/>
                <w:sz w:val="18"/>
                <w:szCs w:val="18"/>
              </w:rPr>
              <w:t>bierne uodpornienie niemowląt od urodzenia do wieku poniżej sześciu miesięcy po szczepieniu kobiet w ciąży.</w:t>
            </w:r>
          </w:p>
          <w:p w14:paraId="695FCFA9" w14:textId="4757F62F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Zastosowanie szczepionki VaxigripTetra powinno być zgodne z oficjalnymi zaleceniami.</w:t>
            </w:r>
          </w:p>
        </w:tc>
      </w:tr>
      <w:tr w:rsidR="0004482C" w:rsidRPr="003C4FDD" w14:paraId="3278AB75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99FD" w14:textId="2779B947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61BD" w14:textId="25D4B730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7FE6" w14:textId="09CC6C2E" w:rsidR="0004482C" w:rsidRPr="003C4FDD" w:rsidRDefault="0047073D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</w:t>
            </w:r>
            <w:r w:rsidR="0004482C"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noksaparyna sodowa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39EA6" w14:textId="111C8E05" w:rsidR="0004482C" w:rsidRPr="00FA2B57" w:rsidRDefault="00FA2B57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B91">
              <w:rPr>
                <w:rFonts w:ascii="Lato" w:hAnsi="Lato" w:cstheme="majorHAnsi"/>
                <w:color w:val="000000"/>
                <w:sz w:val="18"/>
                <w:szCs w:val="18"/>
              </w:rPr>
              <w:t>Profilaktyka i leczenie żylnej choroby zakrzepowo – zatorowej u kobiet w ciąży i połogu – w przypadkach innych niż określone w ChPL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4F80" w14:textId="373FC3BD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Poszerzenie wskazania pozarejestracyjnego w celu zwiększenie dostępności refundacyjnej do leczenie enoksaparyną dla kobiet w okresie połogu.</w:t>
            </w:r>
          </w:p>
        </w:tc>
      </w:tr>
      <w:tr w:rsidR="0004482C" w:rsidRPr="003C4FDD" w14:paraId="3A2194AA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E2FF" w14:textId="0F8122B2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30D9" w14:textId="6E2743D3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B101" w14:textId="018B435A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nadroparyna wapniowa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215F" w14:textId="07F3FB35" w:rsidR="0004482C" w:rsidRPr="003C4FDD" w:rsidRDefault="00FA2B57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24950">
              <w:rPr>
                <w:rFonts w:ascii="Lato" w:hAnsi="Lato" w:cstheme="majorHAnsi"/>
                <w:color w:val="000000"/>
                <w:sz w:val="18"/>
                <w:szCs w:val="18"/>
              </w:rPr>
              <w:t>Profilaktyka i leczenie żylnej choroby zakrzepowo – zatorowej u kobiet w ciąży i połogu – w przypadkach innych niż określone w ChPL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0138" w14:textId="55F796BA" w:rsidR="0004482C" w:rsidRPr="003C4FDD" w:rsidRDefault="0004482C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Poszerzenie wskazania pozarejestracyjnego w celu zwiększenie dostępności refundacyjnej do leczenie nadroparyną dla kobiet w okresie połogu.</w:t>
            </w:r>
          </w:p>
        </w:tc>
      </w:tr>
      <w:tr w:rsidR="00157EBF" w:rsidRPr="003C4FDD" w14:paraId="36C2EBBE" w14:textId="77777777" w:rsidTr="00E55290">
        <w:trPr>
          <w:cantSplit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5C44" w14:textId="536E04EB" w:rsidR="00157EBF" w:rsidRDefault="00157EBF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9B8F" w14:textId="6EB1E3FE" w:rsidR="00157EBF" w:rsidRPr="003C4FDD" w:rsidRDefault="00157EBF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C845A" w14:textId="6CFEA02A" w:rsidR="00157EBF" w:rsidRPr="003C4FDD" w:rsidRDefault="00157EBF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aprepitant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74DE" w14:textId="2CAC668C" w:rsidR="00157EBF" w:rsidRPr="00E24950" w:rsidRDefault="00157EBF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>Wczesne albo opóźnione wymioty u osób dorosłych związane z silnie emetogenną chemioterapią z zastosowaniem cisplatyny w dawce &gt;70 mg/m2, doksorubicyny i cyklofosfamidu – profilaktyka</w:t>
            </w:r>
          </w:p>
        </w:tc>
        <w:tc>
          <w:tcPr>
            <w:tcW w:w="1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6525F" w14:textId="7E745481" w:rsidR="00157EBF" w:rsidRPr="003C4FDD" w:rsidRDefault="00157EBF" w:rsidP="0004482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refundacyjnego o w</w:t>
            </w:r>
            <w:r w:rsidRPr="00157EBF">
              <w:rPr>
                <w:rFonts w:ascii="Lato" w:hAnsi="Lato" w:cstheme="majorHAnsi"/>
                <w:color w:val="000000"/>
                <w:sz w:val="18"/>
                <w:szCs w:val="18"/>
              </w:rPr>
              <w:t>czesne albo opóźnione wymioty związane z silnie emetogenną chemioterapią z zastosowaniem doksorubicyny i cyklofosfamidu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dla wszystkich produktów leczniczych z aprepitantem.</w:t>
            </w:r>
          </w:p>
        </w:tc>
      </w:tr>
    </w:tbl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6DCB6C8F" w14:textId="77777777" w:rsidR="005B41EF" w:rsidRPr="003C4FDD" w:rsidRDefault="005B41EF" w:rsidP="0068046C">
      <w:pPr>
        <w:suppressAutoHyphens w:val="0"/>
        <w:rPr>
          <w:rFonts w:ascii="Lato" w:hAnsi="Lato"/>
          <w:b/>
          <w:bCs/>
          <w:color w:val="00B0F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421"/>
        <w:gridCol w:w="5673"/>
        <w:gridCol w:w="5209"/>
      </w:tblGrid>
      <w:tr w:rsidR="005B41EF" w:rsidRPr="0044187C" w14:paraId="789CC5EF" w14:textId="77777777" w:rsidTr="00F2760C">
        <w:trPr>
          <w:trHeight w:val="328"/>
        </w:trPr>
        <w:tc>
          <w:tcPr>
            <w:tcW w:w="5000" w:type="pct"/>
            <w:gridSpan w:val="4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E15F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3" w:name="_Hlk148004033"/>
            <w:r w:rsidRPr="0044187C">
              <w:rPr>
                <w:rFonts w:ascii="Lato" w:hAnsi="Lato" w:cstheme="majorHAnsi"/>
                <w:b/>
                <w:bCs/>
                <w:color w:val="FFFFFF"/>
              </w:rPr>
              <w:t xml:space="preserve">Zmiany na liście </w:t>
            </w:r>
            <w:r>
              <w:rPr>
                <w:rFonts w:ascii="Lato" w:hAnsi="Lato" w:cstheme="majorHAnsi"/>
                <w:b/>
                <w:bCs/>
                <w:color w:val="FFFFFF"/>
              </w:rPr>
              <w:t>6</w:t>
            </w:r>
            <w:r w:rsidRPr="0044187C">
              <w:rPr>
                <w:rFonts w:ascii="Lato" w:hAnsi="Lato" w:cstheme="majorHAnsi"/>
                <w:b/>
                <w:bCs/>
                <w:color w:val="FFFFFF"/>
              </w:rPr>
              <w:t>5+</w:t>
            </w:r>
          </w:p>
        </w:tc>
      </w:tr>
      <w:tr w:rsidR="005B41EF" w:rsidRPr="0044187C" w14:paraId="16B93F47" w14:textId="77777777" w:rsidTr="00F2760C">
        <w:tc>
          <w:tcPr>
            <w:tcW w:w="24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26C85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5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E630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202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077EF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861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5E405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Dodatkowe informacje</w:t>
            </w:r>
          </w:p>
        </w:tc>
      </w:tr>
      <w:tr w:rsidR="005B41EF" w:rsidRPr="0044187C" w14:paraId="347A1273" w14:textId="77777777" w:rsidTr="00F2760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D47C1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6A377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wildagliptyna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B25E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CAB73" w14:textId="037570E0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zakresu wskazań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refundacyjnych </w:t>
            </w:r>
            <w:r w:rsidR="00116B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leku Glypvilo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 leczeniu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cukrzycy typu 2, u pacjentów 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 ukończeniu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65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>. roku życia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5B41EF" w:rsidRPr="0044187C" w14:paraId="1C5F85F2" w14:textId="77777777" w:rsidTr="00F2760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9E0B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E4CA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sitagliptyna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D63A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356F" w14:textId="43B42BAB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zakresu wskazań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refundacyjnych </w:t>
            </w:r>
            <w:r w:rsidR="00116B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leku </w:t>
            </w:r>
            <w:r w:rsidR="00116B73" w:rsidRPr="00116B73">
              <w:rPr>
                <w:rFonts w:ascii="Lato" w:hAnsi="Lato" w:cstheme="majorHAnsi"/>
                <w:color w:val="000000"/>
                <w:sz w:val="18"/>
                <w:szCs w:val="18"/>
              </w:rPr>
              <w:t>Maysiglu</w:t>
            </w:r>
            <w:r w:rsidR="00116B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 leczeniu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cukrzycy typu 2, u pacjentów 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 ukończeniu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65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>. roku życia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5B41EF" w:rsidRPr="0044187C" w14:paraId="3F0E4ED7" w14:textId="77777777" w:rsidTr="00F2760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2453F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3B6E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sitagliptyna + metforminy chlorowodorek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FD7FC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9D09" w14:textId="4860B949" w:rsidR="005B41EF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zakresu wskazań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refundacyjnych </w:t>
            </w:r>
            <w:r w:rsidR="00116B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leku </w:t>
            </w:r>
            <w:r w:rsidR="00116B73" w:rsidRPr="00116B73">
              <w:rPr>
                <w:rFonts w:ascii="Lato" w:hAnsi="Lato" w:cstheme="majorHAnsi"/>
                <w:color w:val="000000"/>
                <w:sz w:val="18"/>
                <w:szCs w:val="18"/>
              </w:rPr>
              <w:t>Maymetsi</w:t>
            </w:r>
            <w:r w:rsidR="00116B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 leczeniu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cukrzycy typu 2, u pacjentów 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 ukończeniu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65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>. roku życia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5B41EF" w:rsidRPr="0044187C" w14:paraId="5C994147" w14:textId="77777777" w:rsidTr="00F2760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36F84" w14:textId="77777777" w:rsidR="005B41EF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D385" w14:textId="77777777" w:rsidR="005B41EF" w:rsidRPr="003C4FDD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siarczan morfiny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9AD7" w14:textId="77777777" w:rsidR="005B41EF" w:rsidRPr="003C4FDD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F7F4" w14:textId="6991FC4A" w:rsidR="005B41EF" w:rsidRPr="005B41EF" w:rsidRDefault="00585FA9" w:rsidP="005B41E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Pierwszy siarczan morfiny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postaci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kropli doustnych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dostępny bezpłatnie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 pacjentów po ukończeniu 65. roku życia.</w:t>
            </w:r>
          </w:p>
        </w:tc>
      </w:tr>
      <w:tr w:rsidR="005B41EF" w:rsidRPr="0044187C" w14:paraId="194574B0" w14:textId="77777777" w:rsidTr="00F2760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2186" w14:textId="77777777" w:rsidR="005B41EF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FEA0" w14:textId="77777777" w:rsidR="005B41EF" w:rsidRPr="003C4FDD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siarczan morfiny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1E2A" w14:textId="77777777" w:rsidR="005B41EF" w:rsidRPr="003C4FDD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>Neuralgia popółpaścowa przewlekła, Wieloobjawowy miejscowy zespół bólowy typu I - odruchowa dystrofia współczulna oraz typu II – kauzalgia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6E328" w14:textId="3F47581D" w:rsidR="005B41EF" w:rsidRDefault="005B41EF" w:rsidP="00F2760C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Pierwszy siarczan morfiny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postaci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kropli doustnych </w:t>
            </w:r>
            <w:r w:rsidR="00585FA9">
              <w:rPr>
                <w:rFonts w:ascii="Lato" w:hAnsi="Lato" w:cstheme="majorHAnsi"/>
                <w:color w:val="000000"/>
                <w:sz w:val="18"/>
                <w:szCs w:val="18"/>
              </w:rPr>
              <w:t>dostępny bezpłatnie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 pacjentów po ukończeniu 65. roku życia.</w:t>
            </w:r>
          </w:p>
        </w:tc>
      </w:tr>
      <w:bookmarkEnd w:id="3"/>
    </w:tbl>
    <w:p w14:paraId="3B4E4833" w14:textId="77777777" w:rsidR="008B5033" w:rsidRDefault="008B5033" w:rsidP="008B503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p w14:paraId="65A980CE" w14:textId="77777777" w:rsidR="005B41EF" w:rsidRDefault="005B41EF" w:rsidP="008B503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421"/>
        <w:gridCol w:w="5673"/>
        <w:gridCol w:w="5209"/>
      </w:tblGrid>
      <w:tr w:rsidR="005B41EF" w:rsidRPr="0044187C" w14:paraId="37D46A66" w14:textId="77777777" w:rsidTr="00F2760C">
        <w:trPr>
          <w:trHeight w:val="328"/>
        </w:trPr>
        <w:tc>
          <w:tcPr>
            <w:tcW w:w="5000" w:type="pct"/>
            <w:gridSpan w:val="4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37176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4" w:name="_Hlk148004069"/>
            <w:r w:rsidRPr="0044187C">
              <w:rPr>
                <w:rFonts w:ascii="Lato" w:hAnsi="Lato" w:cstheme="majorHAnsi"/>
                <w:b/>
                <w:bCs/>
                <w:color w:val="FFFFFF"/>
              </w:rPr>
              <w:t xml:space="preserve">Zmiany na liście </w:t>
            </w:r>
            <w:r>
              <w:rPr>
                <w:rFonts w:ascii="Lato" w:hAnsi="Lato" w:cstheme="majorHAnsi"/>
                <w:b/>
                <w:bCs/>
                <w:color w:val="FFFFFF"/>
              </w:rPr>
              <w:t>bezpłatnych leków dla dzieci</w:t>
            </w:r>
          </w:p>
        </w:tc>
      </w:tr>
      <w:tr w:rsidR="005B41EF" w:rsidRPr="0044187C" w14:paraId="5884D3B0" w14:textId="77777777" w:rsidTr="00F2760C">
        <w:tc>
          <w:tcPr>
            <w:tcW w:w="24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9D2C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5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A42F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202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B7B02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861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AF70F" w14:textId="77777777" w:rsidR="005B41EF" w:rsidRPr="0044187C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Dodatkowe informacje</w:t>
            </w:r>
          </w:p>
        </w:tc>
      </w:tr>
      <w:tr w:rsidR="005B41EF" w:rsidRPr="0044187C" w14:paraId="1B9B2827" w14:textId="77777777" w:rsidTr="00F2760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ED96" w14:textId="77777777" w:rsidR="005B41EF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8DDA" w14:textId="77777777" w:rsidR="005B41EF" w:rsidRPr="003C4FDD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siarczan morfiny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AF80" w14:textId="77777777" w:rsidR="005B41EF" w:rsidRPr="003C4FDD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8A08" w14:textId="5C47901F" w:rsidR="005B41EF" w:rsidRDefault="005B41EF" w:rsidP="00F2760C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Pierwszy siarczan morfiny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postaci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kropli doustnych </w:t>
            </w:r>
            <w:r w:rsidR="00585FA9">
              <w:rPr>
                <w:rFonts w:ascii="Lato" w:hAnsi="Lato" w:cstheme="majorHAnsi"/>
                <w:color w:val="000000"/>
                <w:sz w:val="18"/>
                <w:szCs w:val="18"/>
              </w:rPr>
              <w:t>dostępny bezpłatnie u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dzieci i młodzieży.</w:t>
            </w:r>
          </w:p>
        </w:tc>
      </w:tr>
      <w:tr w:rsidR="005B41EF" w:rsidRPr="0044187C" w14:paraId="44058023" w14:textId="77777777" w:rsidTr="00F2760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03271" w14:textId="77777777" w:rsidR="005B41EF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DD76" w14:textId="77777777" w:rsidR="005B41EF" w:rsidRPr="003C4FDD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siarczan morfiny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CB7C" w14:textId="77777777" w:rsidR="005B41EF" w:rsidRPr="003C4FDD" w:rsidRDefault="005B41EF" w:rsidP="00F2760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74ED">
              <w:rPr>
                <w:rFonts w:ascii="Lato" w:hAnsi="Lato" w:cstheme="majorHAnsi"/>
                <w:color w:val="000000"/>
                <w:sz w:val="18"/>
                <w:szCs w:val="18"/>
              </w:rPr>
              <w:t>Neuralgia popółpaścowa przewlekła, Wieloobjawowy miejscowy zespół bólowy typu I - odruchowa dystrofia współczulna oraz typu II – kauzalgia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4928" w14:textId="48916572" w:rsidR="005B41EF" w:rsidRDefault="005B41EF" w:rsidP="00F2760C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Pierwszy siarczan morfiny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postaci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kropli doustnych </w:t>
            </w:r>
            <w:r w:rsidR="00585FA9">
              <w:rPr>
                <w:rFonts w:ascii="Lato" w:hAnsi="Lato" w:cstheme="majorHAnsi"/>
                <w:color w:val="000000"/>
                <w:sz w:val="18"/>
                <w:szCs w:val="18"/>
              </w:rPr>
              <w:t>dostępny bezpłatnie</w:t>
            </w:r>
            <w:r w:rsidRPr="00533C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 dzieci i młodzieży.</w:t>
            </w:r>
          </w:p>
        </w:tc>
      </w:tr>
      <w:bookmarkEnd w:id="4"/>
    </w:tbl>
    <w:p w14:paraId="5B95BBCF" w14:textId="77777777" w:rsidR="005B41EF" w:rsidRPr="003C4FDD" w:rsidRDefault="005B41EF" w:rsidP="008B503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p w14:paraId="6640118F" w14:textId="35F8D527" w:rsidR="008B5033" w:rsidRPr="003C4FDD" w:rsidRDefault="008B5033" w:rsidP="008B503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3C4FDD">
        <w:rPr>
          <w:rFonts w:ascii="Lato" w:hAnsi="Lato"/>
          <w:b/>
          <w:bCs/>
          <w:color w:val="00B0F0"/>
          <w:sz w:val="28"/>
          <w:szCs w:val="28"/>
        </w:rPr>
        <w:t>INFORMACJE DOTYCZĄCE BRAKU REFUNDACJI LEKÓW FORXIGA, INVOKANA</w:t>
      </w:r>
      <w:r w:rsidR="00E90D87">
        <w:rPr>
          <w:rFonts w:ascii="Lato" w:hAnsi="Lato"/>
          <w:b/>
          <w:bCs/>
          <w:color w:val="00B0F0"/>
          <w:sz w:val="28"/>
          <w:szCs w:val="28"/>
        </w:rPr>
        <w:t>, FLUENZ TETRA</w:t>
      </w:r>
      <w:r w:rsidR="00B0050A">
        <w:rPr>
          <w:rFonts w:ascii="Lato" w:hAnsi="Lato"/>
          <w:b/>
          <w:bCs/>
          <w:color w:val="00B0F0"/>
          <w:sz w:val="28"/>
          <w:szCs w:val="28"/>
        </w:rPr>
        <w:t xml:space="preserve"> </w:t>
      </w:r>
      <w:r w:rsidRPr="003C4FDD">
        <w:rPr>
          <w:rFonts w:ascii="Lato" w:hAnsi="Lato"/>
          <w:b/>
          <w:bCs/>
          <w:color w:val="00B0F0"/>
          <w:sz w:val="28"/>
          <w:szCs w:val="28"/>
        </w:rPr>
        <w:t>I XOFIGO OD LISTOPADA BIEŻĄCEGO ROKU</w:t>
      </w:r>
    </w:p>
    <w:p w14:paraId="3CA3DB60" w14:textId="485454A5" w:rsidR="007B25FE" w:rsidRPr="003C4FDD" w:rsidRDefault="007B25FE" w:rsidP="00BB4FF5">
      <w:p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>31 października 2023 r. upływa termin obowiązywania decyzji o objęciu refundacją i ustaleniu ceny dla dwóch z trzech refundowanych aktualnie leków z grupy doustnych leków przeciwcukrzycowych – flozyn:</w:t>
      </w:r>
    </w:p>
    <w:p w14:paraId="7523D90C" w14:textId="38596F35" w:rsidR="007B25FE" w:rsidRPr="003C4FDD" w:rsidRDefault="007B25FE" w:rsidP="00BB4FF5">
      <w:pPr>
        <w:pStyle w:val="Akapitzlist"/>
        <w:numPr>
          <w:ilvl w:val="1"/>
          <w:numId w:val="33"/>
        </w:num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  <w:b/>
          <w:bCs/>
        </w:rPr>
        <w:t>Forxiga</w:t>
      </w:r>
      <w:r w:rsidRPr="003C4FDD">
        <w:rPr>
          <w:rFonts w:ascii="Lato" w:hAnsi="Lato"/>
        </w:rPr>
        <w:t>, dapagliflozinum, 10 mg, tabl. powl., 30 tabl., GTIN: 05909990975884, podmiot odpowiedzialny AstraZeneca AB</w:t>
      </w:r>
      <w:r w:rsidR="00BB4FF5" w:rsidRPr="003C4FDD">
        <w:rPr>
          <w:rFonts w:ascii="Lato" w:hAnsi="Lato"/>
        </w:rPr>
        <w:t>,</w:t>
      </w:r>
    </w:p>
    <w:p w14:paraId="7B4AA621" w14:textId="7D40B1B9" w:rsidR="007B25FE" w:rsidRPr="003C4FDD" w:rsidRDefault="007B25FE" w:rsidP="00BB4FF5">
      <w:pPr>
        <w:pStyle w:val="Akapitzlist"/>
        <w:numPr>
          <w:ilvl w:val="1"/>
          <w:numId w:val="33"/>
        </w:num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  <w:b/>
          <w:bCs/>
        </w:rPr>
        <w:t>Invokana</w:t>
      </w:r>
      <w:r w:rsidRPr="003C4FDD">
        <w:rPr>
          <w:rFonts w:ascii="Lato" w:hAnsi="Lato"/>
        </w:rPr>
        <w:t>, canagliflozinum, 100 mg, tabl. powl., 30 tabl., GTIN: 05909991096106, podmiot odpowiedzialny Janssen-Cilag International NV.</w:t>
      </w:r>
    </w:p>
    <w:p w14:paraId="79D43B18" w14:textId="77777777" w:rsidR="007B25FE" w:rsidRPr="003C4FDD" w:rsidRDefault="007B25FE" w:rsidP="00BB4FF5">
      <w:p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  <w:b/>
          <w:bCs/>
        </w:rPr>
        <w:t>Podmiot odpowiedzialny AstraZeneca AB</w:t>
      </w:r>
      <w:r w:rsidRPr="003C4FDD">
        <w:rPr>
          <w:rFonts w:ascii="Lato" w:hAnsi="Lato"/>
        </w:rPr>
        <w:t xml:space="preserve"> nie złożył wniosków o kontynuację refundacji na kolejny okres obowiązywania ww. leku Forxiga we wszystkich dotychczas obowiązujących wskazaniach (cukrzyca, przewlekła niewydolność serca, przewlekła choroba nerek).</w:t>
      </w:r>
    </w:p>
    <w:p w14:paraId="5DEBF257" w14:textId="77777777" w:rsidR="007B25FE" w:rsidRPr="003C4FDD" w:rsidRDefault="007B25FE" w:rsidP="00BB4FF5">
      <w:p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lastRenderedPageBreak/>
        <w:t xml:space="preserve">Złożony przez </w:t>
      </w:r>
      <w:r w:rsidRPr="003C4FDD">
        <w:rPr>
          <w:rFonts w:ascii="Lato" w:hAnsi="Lato"/>
          <w:b/>
          <w:bCs/>
        </w:rPr>
        <w:t>Janssen-Cilag International NV</w:t>
      </w:r>
      <w:r w:rsidRPr="003C4FDD">
        <w:rPr>
          <w:rFonts w:ascii="Lato" w:hAnsi="Lato"/>
        </w:rPr>
        <w:t xml:space="preserve"> wniosek o kontynuację refundacji leku Invokana nie spełniał natomiast warunków określonych przepisami art. 13 ust. 2 1 ustawy z 12 maja 2011 r. o refundacji leków, środków spożywczych specjalnego przeznaczenia żywieniowego oraz wyrobów medycznych (Dz. U. z 2023 r. poz. 826, z późn. zm., dalej jako ustawa o refundacji), który jednoznacznie wskazuje maksymalną cenę leku wnioskowanego do objęcia refundacją w przypadku upłynięcia jego okresu wyłączności rynkowej.</w:t>
      </w:r>
    </w:p>
    <w:p w14:paraId="3FBCDFBA" w14:textId="77777777" w:rsidR="007B25FE" w:rsidRPr="003C4FDD" w:rsidRDefault="007B25FE" w:rsidP="00BB4FF5">
      <w:p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>W związku z powyższym Minister Zdrowia nie ma prawnych możliwości kontynuowania refundacji tych leków od 1 listopada 2023 r.</w:t>
      </w:r>
    </w:p>
    <w:p w14:paraId="4BDFC088" w14:textId="77777777" w:rsidR="007B25FE" w:rsidRPr="003C4FDD" w:rsidRDefault="007B25FE" w:rsidP="00BB4FF5">
      <w:p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>Minister Zdrowia informuje, że decyzje o niedostosowaniu warunków finansowych do obowiązujących przepisów prawa i w konsekwencji brak kontynuacji refundacji przedmiotowych leków są indywidualnymi decyzjami AstraZeneca AB i Janssen-Cilag International NV wynikającymi ze strategii marketingowej tych koncernów.</w:t>
      </w:r>
    </w:p>
    <w:p w14:paraId="61E9F2B4" w14:textId="557FFB20" w:rsidR="007B25FE" w:rsidRPr="003C4FDD" w:rsidRDefault="007B25FE" w:rsidP="00BB4FF5">
      <w:p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>Leki te będą mogły zostać ponownie objęte refundacją, gdy podmioty odpowiedzialne złożą wnioski spełniające wymogi ustawy o refundacji o czym zostały poinformowane przez Ministra Zdrowia.</w:t>
      </w:r>
      <w:r w:rsidR="000038E4">
        <w:rPr>
          <w:rFonts w:ascii="Lato" w:hAnsi="Lato"/>
        </w:rPr>
        <w:t xml:space="preserve"> </w:t>
      </w:r>
      <w:r w:rsidR="008C4EA3">
        <w:rPr>
          <w:rFonts w:ascii="Lato" w:hAnsi="Lato"/>
        </w:rPr>
        <w:t>Trwające obecnie p</w:t>
      </w:r>
      <w:r w:rsidR="000038E4">
        <w:rPr>
          <w:rFonts w:ascii="Lato" w:hAnsi="Lato"/>
        </w:rPr>
        <w:t xml:space="preserve">ostępowania refundacyjne </w:t>
      </w:r>
      <w:r w:rsidR="008C4EA3">
        <w:rPr>
          <w:rFonts w:ascii="Lato" w:hAnsi="Lato"/>
        </w:rPr>
        <w:t>wobec</w:t>
      </w:r>
      <w:r w:rsidR="000038E4">
        <w:rPr>
          <w:rFonts w:ascii="Lato" w:hAnsi="Lato"/>
        </w:rPr>
        <w:t xml:space="preserve"> lek</w:t>
      </w:r>
      <w:r w:rsidR="00AF5762">
        <w:rPr>
          <w:rFonts w:ascii="Lato" w:hAnsi="Lato"/>
        </w:rPr>
        <w:t>ów</w:t>
      </w:r>
      <w:r w:rsidR="000038E4">
        <w:rPr>
          <w:rFonts w:ascii="Lato" w:hAnsi="Lato"/>
        </w:rPr>
        <w:t xml:space="preserve"> Forxiga i Invokana, zainicjowane na skutek przedłożenia wniosków o których mowa powyżej, są </w:t>
      </w:r>
      <w:r w:rsidR="008C4EA3">
        <w:rPr>
          <w:rFonts w:ascii="Lato" w:hAnsi="Lato"/>
        </w:rPr>
        <w:t xml:space="preserve">aktualnie </w:t>
      </w:r>
      <w:r w:rsidR="000038E4">
        <w:rPr>
          <w:rFonts w:ascii="Lato" w:hAnsi="Lato"/>
        </w:rPr>
        <w:t>na zaawansowanym etapie procedowania.</w:t>
      </w:r>
    </w:p>
    <w:p w14:paraId="6710C04D" w14:textId="77777777" w:rsidR="007B25FE" w:rsidRPr="003C4FDD" w:rsidRDefault="007B25FE" w:rsidP="00BB4FF5">
      <w:p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>Jednocześnie Minister Zdrowia pragnie podkreślić, iż nadal refundowany będzie trzeci lek z grupy flozyn, tj. Jardiance, tabl. powl., 10 mg, Empagliflozinum, 28 szt. finansowany w następujących wskazaniach:</w:t>
      </w:r>
    </w:p>
    <w:p w14:paraId="11AD0486" w14:textId="77777777" w:rsidR="00997231" w:rsidRDefault="007B25FE" w:rsidP="00BB4FF5">
      <w:pPr>
        <w:pStyle w:val="Akapitzlist"/>
        <w:numPr>
          <w:ilvl w:val="1"/>
          <w:numId w:val="33"/>
        </w:num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 xml:space="preserve">Cukrzyca typu 2 u pacjentów leczonych co najmniej dwoma lekami hipoglikemizującymi, z HbA1c ≥ 7,5% oraz bardzo wysokim ryzykiem sercowo-naczyniowym rozumianym jako: 1) potwierdzona choroba sercowo-naczyniowa, lub 2) uszkodzenie innych narządów objawiające się poprzez: białkomocz lub przerost lewej komory lub retinopatię, lub 3) obecność 3 lub więcej głównych czynników ryzyka spośród wymienionych poniżej: </w:t>
      </w:r>
    </w:p>
    <w:p w14:paraId="6B554943" w14:textId="3D1DF273" w:rsidR="00997231" w:rsidRDefault="007B25FE" w:rsidP="00997231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 xml:space="preserve">wiek ≥ 55 lat dla mężczyzn, ≥60 lat dla kobiet, </w:t>
      </w:r>
    </w:p>
    <w:p w14:paraId="10E903E8" w14:textId="40EAFDD1" w:rsidR="00997231" w:rsidRDefault="007B25FE" w:rsidP="00997231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 xml:space="preserve">dyslipidemia, </w:t>
      </w:r>
    </w:p>
    <w:p w14:paraId="11AFA07D" w14:textId="1218252D" w:rsidR="00997231" w:rsidRDefault="007B25FE" w:rsidP="00997231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 xml:space="preserve">nadciśnienie tętnicze, </w:t>
      </w:r>
    </w:p>
    <w:p w14:paraId="0D653B75" w14:textId="4356F88D" w:rsidR="00997231" w:rsidRDefault="007B25FE" w:rsidP="00997231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 xml:space="preserve">palenie tytoniu, </w:t>
      </w:r>
    </w:p>
    <w:p w14:paraId="08AE2CCF" w14:textId="7A8A24D1" w:rsidR="007B25FE" w:rsidRPr="003C4FDD" w:rsidRDefault="007B25FE" w:rsidP="00997231">
      <w:pPr>
        <w:pStyle w:val="Akapitzlist"/>
        <w:numPr>
          <w:ilvl w:val="0"/>
          <w:numId w:val="38"/>
        </w:num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lastRenderedPageBreak/>
        <w:t>otyłość</w:t>
      </w:r>
      <w:r w:rsidR="00BB4FF5" w:rsidRPr="003C4FDD">
        <w:rPr>
          <w:rFonts w:ascii="Lato" w:hAnsi="Lato"/>
        </w:rPr>
        <w:t>,</w:t>
      </w:r>
    </w:p>
    <w:p w14:paraId="1CF9A4B8" w14:textId="188E972C" w:rsidR="007B25FE" w:rsidRPr="003C4FDD" w:rsidRDefault="007B25FE" w:rsidP="00BB4FF5">
      <w:pPr>
        <w:pStyle w:val="Akapitzlist"/>
        <w:numPr>
          <w:ilvl w:val="1"/>
          <w:numId w:val="33"/>
        </w:numPr>
        <w:suppressAutoHyphens w:val="0"/>
        <w:spacing w:line="360" w:lineRule="auto"/>
        <w:jc w:val="both"/>
        <w:rPr>
          <w:rFonts w:ascii="Lato" w:hAnsi="Lato"/>
        </w:rPr>
      </w:pPr>
      <w:r w:rsidRPr="003C4FDD">
        <w:rPr>
          <w:rFonts w:ascii="Lato" w:hAnsi="Lato"/>
        </w:rPr>
        <w:t>Przewlekła niewydolność serca u dorosłych pacjentów z obniżoną frakcją wyrzutową lewej komory serca (LVEF≤40%) oraz utrzymującymi się objawami choroby w klasie II-IV NYHA pomimo zastosowania terapii opartej na ACEi (lub ARB/ARNi) i lekach z grupy betaadrenolityków oraz jeśli wskazane antagonistach receptora mineralokortykoidów.</w:t>
      </w:r>
    </w:p>
    <w:p w14:paraId="5A10518D" w14:textId="05568AB7" w:rsidR="00284294" w:rsidRPr="00F763E5" w:rsidRDefault="00E90D87" w:rsidP="00912B91">
      <w:pPr>
        <w:spacing w:line="360" w:lineRule="auto"/>
        <w:jc w:val="both"/>
        <w:textAlignment w:val="auto"/>
        <w:rPr>
          <w:rFonts w:ascii="Lato" w:hAnsi="Lato" w:cs="Calibri Light"/>
        </w:rPr>
      </w:pPr>
      <w:r w:rsidRPr="00F763E5">
        <w:rPr>
          <w:rFonts w:ascii="Lato" w:hAnsi="Lato" w:cs="Calibri Light"/>
        </w:rPr>
        <w:t xml:space="preserve">Szczepionka </w:t>
      </w:r>
      <w:r w:rsidRPr="00912B91">
        <w:rPr>
          <w:rFonts w:ascii="Lato" w:hAnsi="Lato" w:cs="Calibri Light"/>
          <w:b/>
          <w:bCs/>
        </w:rPr>
        <w:t>Fluenz Tetra</w:t>
      </w:r>
      <w:r w:rsidRPr="00F763E5">
        <w:rPr>
          <w:rFonts w:ascii="Lato" w:hAnsi="Lato" w:cs="Calibri Light"/>
        </w:rPr>
        <w:t xml:space="preserve"> w postaci aerozolu donosowego, </w:t>
      </w:r>
      <w:r w:rsidR="00F763E5">
        <w:rPr>
          <w:rFonts w:ascii="Lato" w:hAnsi="Lato" w:cs="Calibri Light"/>
        </w:rPr>
        <w:t>refundowana</w:t>
      </w:r>
      <w:r w:rsidRPr="00F763E5">
        <w:rPr>
          <w:rFonts w:ascii="Lato" w:hAnsi="Lato" w:cs="Calibri Light"/>
        </w:rPr>
        <w:t xml:space="preserve"> dotychczas w zapobieganiu grypie u dzieci w wieku od ukończonego 24 miesiąca życia do ukończonego 60 miesiąca życia oraz zapobieganiu grypie u dzieci i młodzieży w wieku od ukończonego 60 miesiąca życia do ukończonego 18 roku życia, </w:t>
      </w:r>
      <w:r w:rsidR="00F763E5" w:rsidRPr="00F763E5">
        <w:rPr>
          <w:rFonts w:ascii="Lato" w:hAnsi="Lato" w:cs="Calibri Light"/>
        </w:rPr>
        <w:t xml:space="preserve">od 1 listopada 2023 r. nie będzie </w:t>
      </w:r>
      <w:r w:rsidR="00F763E5">
        <w:rPr>
          <w:rFonts w:ascii="Lato" w:hAnsi="Lato" w:cs="Calibri Light"/>
        </w:rPr>
        <w:t>finansowana ze środków publicznych</w:t>
      </w:r>
      <w:r w:rsidR="00F763E5" w:rsidRPr="00F763E5">
        <w:rPr>
          <w:rFonts w:ascii="Lato" w:hAnsi="Lato" w:cs="Calibri Light"/>
        </w:rPr>
        <w:t xml:space="preserve">. </w:t>
      </w:r>
      <w:r w:rsidR="00B0050A" w:rsidRPr="003C4FDD">
        <w:rPr>
          <w:rFonts w:ascii="Lato" w:hAnsi="Lato"/>
        </w:rPr>
        <w:t xml:space="preserve">31 października 2023 r. upływa termin obowiązywania decyzji o objęciu refundacją i ustaleniu </w:t>
      </w:r>
      <w:r w:rsidR="00B0050A">
        <w:rPr>
          <w:rFonts w:ascii="Lato" w:hAnsi="Lato"/>
        </w:rPr>
        <w:t xml:space="preserve">urzędowej </w:t>
      </w:r>
      <w:r w:rsidR="00B0050A" w:rsidRPr="003C4FDD">
        <w:rPr>
          <w:rFonts w:ascii="Lato" w:hAnsi="Lato"/>
        </w:rPr>
        <w:t>ceny</w:t>
      </w:r>
      <w:r w:rsidR="00B0050A">
        <w:rPr>
          <w:rFonts w:ascii="Lato" w:hAnsi="Lato"/>
        </w:rPr>
        <w:t xml:space="preserve"> zbytu, niemniej</w:t>
      </w:r>
      <w:r w:rsidR="00B0050A" w:rsidRPr="00F763E5">
        <w:rPr>
          <w:rFonts w:ascii="Lato" w:hAnsi="Lato" w:cs="Calibri Light"/>
          <w:b/>
          <w:bCs/>
        </w:rPr>
        <w:t xml:space="preserve"> </w:t>
      </w:r>
      <w:r w:rsidR="00B0050A">
        <w:rPr>
          <w:rFonts w:ascii="Lato" w:hAnsi="Lato" w:cs="Calibri Light"/>
          <w:b/>
          <w:bCs/>
        </w:rPr>
        <w:t>p</w:t>
      </w:r>
      <w:r w:rsidR="00F763E5" w:rsidRPr="00F763E5">
        <w:rPr>
          <w:rFonts w:ascii="Lato" w:hAnsi="Lato" w:cs="Calibri Light"/>
          <w:b/>
          <w:bCs/>
        </w:rPr>
        <w:t>odmiot odpowiedzialny AstraZeneca AB</w:t>
      </w:r>
      <w:r w:rsidR="00F763E5" w:rsidRPr="00912B91">
        <w:rPr>
          <w:rFonts w:ascii="Lato" w:hAnsi="Lato" w:cs="Calibri Light"/>
        </w:rPr>
        <w:t xml:space="preserve">, podobnie jak </w:t>
      </w:r>
      <w:r w:rsidR="00F763E5">
        <w:rPr>
          <w:rFonts w:ascii="Lato" w:hAnsi="Lato" w:cs="Calibri Light"/>
        </w:rPr>
        <w:t xml:space="preserve">w </w:t>
      </w:r>
      <w:r w:rsidR="00F763E5" w:rsidRPr="00912B91">
        <w:rPr>
          <w:rFonts w:ascii="Lato" w:hAnsi="Lato" w:cs="Calibri Light"/>
        </w:rPr>
        <w:t xml:space="preserve">wyżej wymienionym przypadku, </w:t>
      </w:r>
      <w:r w:rsidR="00F763E5" w:rsidRPr="00F763E5">
        <w:rPr>
          <w:rFonts w:ascii="Lato" w:hAnsi="Lato" w:cs="Calibri Light"/>
        </w:rPr>
        <w:t xml:space="preserve">nie złożył wniosków o kontynuację refundacji na kolejny okres obowiązywania </w:t>
      </w:r>
      <w:r w:rsidR="00B0050A">
        <w:rPr>
          <w:rFonts w:ascii="Lato" w:hAnsi="Lato" w:cs="Calibri Light"/>
        </w:rPr>
        <w:t xml:space="preserve">decyzji dla </w:t>
      </w:r>
      <w:r w:rsidR="00F763E5" w:rsidRPr="00F763E5">
        <w:rPr>
          <w:rFonts w:ascii="Lato" w:hAnsi="Lato" w:cs="Calibri Light"/>
        </w:rPr>
        <w:t>szczepionki Fluenz Tetra</w:t>
      </w:r>
      <w:r w:rsidR="007374BE">
        <w:rPr>
          <w:rFonts w:ascii="Lato" w:hAnsi="Lato" w:cs="Calibri Light"/>
        </w:rPr>
        <w:t>.</w:t>
      </w:r>
    </w:p>
    <w:p w14:paraId="66A950BA" w14:textId="22822EC0" w:rsidR="001D3A57" w:rsidRPr="001D3A57" w:rsidRDefault="001D3A57" w:rsidP="001D3A57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Lato" w:hAnsi="Lato" w:cs="Lato-Regular"/>
        </w:rPr>
      </w:pPr>
      <w:r w:rsidRPr="001D3A57">
        <w:rPr>
          <w:rFonts w:ascii="Lato" w:hAnsi="Lato" w:cs="Lato-Regular"/>
        </w:rPr>
        <w:t>31 października 2023 r. kończy się ważność decyzji o objęciu refundacją i ustaleniu urzędowej ceny zbytu dla leku</w:t>
      </w:r>
      <w:r w:rsidRPr="001D3A57">
        <w:rPr>
          <w:rFonts w:ascii="Lato" w:hAnsi="Lato" w:cs="Lato-Regular"/>
          <w:b/>
          <w:bCs/>
        </w:rPr>
        <w:t xml:space="preserve"> Xofigo, Radium dichloridum Ra223, Roztwór do wstrzykiwań, 1100 kBq/mL, 1 fiol. 0,6 ml, GTIN: 05908229300176</w:t>
      </w:r>
      <w:r w:rsidRPr="001D3A57">
        <w:rPr>
          <w:rFonts w:ascii="Lato" w:hAnsi="Lato" w:cs="Lato-Regular"/>
        </w:rPr>
        <w:t xml:space="preserve"> w ramach programu lekowego B.56. LECZENIE CHORYCH NA RAKA GRUCZOŁU KROKOWEGO (ICD-10: C61). Firma </w:t>
      </w:r>
      <w:r w:rsidRPr="001D3A57">
        <w:rPr>
          <w:rFonts w:ascii="Lato" w:hAnsi="Lato" w:cs="Lato-Regular"/>
          <w:b/>
          <w:bCs/>
        </w:rPr>
        <w:t xml:space="preserve">Bayer sp. z o.o. </w:t>
      </w:r>
      <w:r w:rsidRPr="001D3A57">
        <w:rPr>
          <w:rFonts w:ascii="Lato" w:hAnsi="Lato" w:cs="Lato-Regular"/>
        </w:rPr>
        <w:t xml:space="preserve">podjęła decyzję o niekontynuowaniu refundacji w/w produktu od 1 listopada 2023 r. na warunkach wymaganych przepisami ustawy </w:t>
      </w:r>
      <w:r w:rsidRPr="001D3A57">
        <w:rPr>
          <w:rFonts w:ascii="Lato" w:hAnsi="Lato" w:cs="Lato-Regular,Italic"/>
          <w:i/>
          <w:iCs/>
        </w:rPr>
        <w:t>o refundacji leków, środków spożywczych</w:t>
      </w:r>
      <w:r w:rsidRPr="001D3A57">
        <w:rPr>
          <w:rFonts w:ascii="Lato" w:hAnsi="Lato" w:cs="Lato-Regular"/>
        </w:rPr>
        <w:t xml:space="preserve"> </w:t>
      </w:r>
      <w:r w:rsidRPr="001D3A57">
        <w:rPr>
          <w:rFonts w:ascii="Lato" w:hAnsi="Lato" w:cs="Lato-Regular,Italic"/>
          <w:i/>
          <w:iCs/>
        </w:rPr>
        <w:t>specjalnego przeznaczenia żywieniowego oraz wyrobów medycznych (Dz. U. z</w:t>
      </w:r>
      <w:r w:rsidRPr="001D3A57">
        <w:rPr>
          <w:rFonts w:ascii="Lato" w:hAnsi="Lato" w:cs="Lato-Regular"/>
        </w:rPr>
        <w:t xml:space="preserve"> </w:t>
      </w:r>
      <w:r w:rsidRPr="001D3A57">
        <w:rPr>
          <w:rFonts w:ascii="Lato" w:hAnsi="Lato" w:cs="Lato-Regular,Italic"/>
          <w:i/>
          <w:iCs/>
        </w:rPr>
        <w:t>2023 r. poz. 826, z późn. zm.)</w:t>
      </w:r>
      <w:r w:rsidRPr="001D3A57">
        <w:rPr>
          <w:rFonts w:ascii="Lato" w:hAnsi="Lato" w:cs="Lato-Regular"/>
        </w:rPr>
        <w:t>.</w:t>
      </w:r>
    </w:p>
    <w:p w14:paraId="05C52F20" w14:textId="77777777" w:rsidR="001D3A57" w:rsidRPr="001D3A57" w:rsidRDefault="001D3A57" w:rsidP="001D3A57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Lato" w:hAnsi="Lato" w:cs="Lato-Regular"/>
        </w:rPr>
      </w:pPr>
      <w:r w:rsidRPr="001D3A57">
        <w:rPr>
          <w:rFonts w:ascii="Lato" w:hAnsi="Lato" w:cs="Lato-Regular"/>
        </w:rPr>
        <w:t xml:space="preserve">Podmiot odpowiedzialny złożył wniosek do Prezesa Narodowego Funduszu Zdrowia w celu finansowania leku Xofigo – w ramach kontynuacji leczenia dla pacjentów, którzy rozpoczęli terapię lekiem Xofigo w programie lekowym B.56. LECZENIE CHORYCH NA RAKA GRUCZOŁU KROKOWEGO (ICD-10: C61) na zasadach opisanych w art. 37b ustawy </w:t>
      </w:r>
      <w:r w:rsidRPr="001D3A57">
        <w:rPr>
          <w:rFonts w:ascii="Lato" w:hAnsi="Lato" w:cs="Lato-Regular,Italic"/>
        </w:rPr>
        <w:t>o refundacji</w:t>
      </w:r>
      <w:r w:rsidRPr="001D3A57">
        <w:rPr>
          <w:rFonts w:ascii="Lato" w:hAnsi="Lato" w:cs="Lato-Regular"/>
        </w:rPr>
        <w:t>.</w:t>
      </w:r>
    </w:p>
    <w:p w14:paraId="3245D908" w14:textId="0963E76B" w:rsidR="007B25FE" w:rsidRPr="001D3A57" w:rsidRDefault="001D3A57" w:rsidP="001D3A57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Lato" w:hAnsi="Lato" w:cs="Lato-Regular"/>
        </w:rPr>
      </w:pPr>
      <w:r w:rsidRPr="001D3A57">
        <w:rPr>
          <w:rFonts w:ascii="Lato" w:hAnsi="Lato" w:cs="Lato-Regular"/>
        </w:rPr>
        <w:t>Minister Zdrowia informuje, że decyzja o braku kontynuowania refundacji jest autonomiczną decyzją firmy Bayer sp. z o.o., a produkt Xofigo będzie mógł być ponownie objęty refundacją, o ile firma złoży odpowiedni wniosek, spełniający warunki opisane w ustawie o refundacji.</w:t>
      </w:r>
    </w:p>
    <w:p w14:paraId="3D71B768" w14:textId="77777777" w:rsidR="001D3A57" w:rsidRDefault="001D3A57" w:rsidP="00F727B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p w14:paraId="69481C91" w14:textId="77777777" w:rsidR="001D3A57" w:rsidRDefault="001D3A57" w:rsidP="00F727B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p w14:paraId="05B37334" w14:textId="4E95F0EA" w:rsidR="00F727B3" w:rsidRDefault="00F727B3" w:rsidP="00F727B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F727B3">
        <w:rPr>
          <w:rFonts w:ascii="Lato" w:hAnsi="Lato"/>
          <w:b/>
          <w:bCs/>
          <w:color w:val="00B0F0"/>
          <w:sz w:val="28"/>
          <w:szCs w:val="28"/>
        </w:rPr>
        <w:lastRenderedPageBreak/>
        <w:t xml:space="preserve">INFORMACJA DOTYCZĄCA BRAKU LEKÓW TOUJEO ORAZ ENSTILAR NA WYKAZIE </w:t>
      </w:r>
      <w:r>
        <w:rPr>
          <w:rFonts w:ascii="Lato" w:hAnsi="Lato"/>
          <w:b/>
          <w:bCs/>
          <w:color w:val="00B0F0"/>
          <w:sz w:val="28"/>
          <w:szCs w:val="28"/>
        </w:rPr>
        <w:t>BEZPŁATNYCH LEKÓW DLA DZIECI I MŁODZIEŻY W WIEKU DO 18. ROKU ŻYCIA</w:t>
      </w:r>
      <w:r w:rsidRPr="00F727B3">
        <w:rPr>
          <w:rFonts w:ascii="Lato" w:hAnsi="Lato"/>
          <w:b/>
          <w:bCs/>
          <w:color w:val="00B0F0"/>
          <w:sz w:val="28"/>
          <w:szCs w:val="28"/>
        </w:rPr>
        <w:t xml:space="preserve"> </w:t>
      </w:r>
    </w:p>
    <w:p w14:paraId="38A1EE61" w14:textId="3BDD50E4" w:rsidR="00F727B3" w:rsidRDefault="00D76F69" w:rsidP="00F727B3">
      <w:pPr>
        <w:spacing w:line="360" w:lineRule="auto"/>
        <w:jc w:val="both"/>
        <w:textAlignment w:val="auto"/>
        <w:rPr>
          <w:rFonts w:ascii="Lato" w:hAnsi="Lato" w:cs="Calibri Light"/>
        </w:rPr>
      </w:pPr>
      <w:r>
        <w:rPr>
          <w:rFonts w:ascii="Lato" w:hAnsi="Lato" w:cs="Calibri Light"/>
        </w:rPr>
        <w:t>Od 1 listopada 2023 r. na wykazie</w:t>
      </w:r>
      <w:r w:rsidRPr="00D76F69">
        <w:rPr>
          <w:rFonts w:ascii="Lato" w:hAnsi="Lato"/>
          <w:b/>
          <w:bCs/>
          <w:color w:val="00B0F0"/>
          <w:sz w:val="28"/>
          <w:szCs w:val="28"/>
        </w:rPr>
        <w:t xml:space="preserve"> </w:t>
      </w:r>
      <w:r w:rsidRPr="00D76F69">
        <w:rPr>
          <w:rFonts w:ascii="Lato" w:hAnsi="Lato" w:cs="Calibri Light"/>
        </w:rPr>
        <w:t>bezpłatnych leków dla dzieci i młodzieży w wieku do 18. roku życia</w:t>
      </w:r>
      <w:r>
        <w:rPr>
          <w:rFonts w:ascii="Lato" w:hAnsi="Lato" w:cs="Calibri Light"/>
        </w:rPr>
        <w:t xml:space="preserve"> – załącznik D1 do obwieszczenia Ministra Zdrowia w sprawie refundowanych leków, </w:t>
      </w:r>
      <w:r w:rsidRPr="00D76F69">
        <w:rPr>
          <w:rFonts w:ascii="Lato" w:hAnsi="Lato" w:cs="Calibri Light"/>
        </w:rPr>
        <w:t>środków spożywczych specjalnego przeznaczenia żywieniowego oraz wyrobów medycznych</w:t>
      </w:r>
      <w:r>
        <w:rPr>
          <w:rFonts w:ascii="Lato" w:hAnsi="Lato" w:cs="Calibri Light"/>
        </w:rPr>
        <w:t xml:space="preserve">, zabraknie leków Toujeo oraz Enstilar. Brak wspomnianych produktów leczniczych na </w:t>
      </w:r>
      <w:r w:rsidRPr="00D76F69">
        <w:rPr>
          <w:rFonts w:ascii="Lato" w:hAnsi="Lato" w:cs="Calibri Light"/>
          <w:i/>
          <w:iCs/>
        </w:rPr>
        <w:t>liście 18-</w:t>
      </w:r>
      <w:r>
        <w:rPr>
          <w:rFonts w:ascii="Lato" w:hAnsi="Lato" w:cs="Calibri Light"/>
        </w:rPr>
        <w:t xml:space="preserve">  wynika bezpośrednio z zakresów wskazań refundacyjnych, które w przypadku leków  Toujeo i Enstilar dotyczą wyłącznie pacjentów dorosłych:</w:t>
      </w:r>
    </w:p>
    <w:p w14:paraId="07C3F709" w14:textId="4CB8B4A2" w:rsidR="00D76F69" w:rsidRPr="00D76F69" w:rsidRDefault="00D76F69" w:rsidP="00D76F69">
      <w:pPr>
        <w:pStyle w:val="Akapitzlist"/>
        <w:numPr>
          <w:ilvl w:val="1"/>
          <w:numId w:val="33"/>
        </w:numPr>
        <w:spacing w:line="360" w:lineRule="auto"/>
        <w:jc w:val="both"/>
        <w:textAlignment w:val="auto"/>
        <w:rPr>
          <w:rFonts w:ascii="Lato" w:hAnsi="Lato" w:cs="Calibri Light"/>
        </w:rPr>
      </w:pPr>
      <w:r w:rsidRPr="00D76F69">
        <w:rPr>
          <w:rFonts w:ascii="Lato" w:hAnsi="Lato" w:cs="Calibri Light"/>
        </w:rPr>
        <w:t xml:space="preserve">Wskazanie refundacyjne leku Toujeo: </w:t>
      </w:r>
      <w:r w:rsidRPr="00D76F69">
        <w:rPr>
          <w:rFonts w:ascii="Lato" w:hAnsi="Lato" w:cs="Calibri Light"/>
          <w:i/>
          <w:iCs/>
        </w:rPr>
        <w:t xml:space="preserve">Cukrzyca typu I u </w:t>
      </w:r>
      <w:r w:rsidRPr="00D76F69">
        <w:rPr>
          <w:rFonts w:ascii="Lato" w:hAnsi="Lato" w:cs="Calibri Light"/>
          <w:b/>
          <w:bCs/>
          <w:i/>
          <w:iCs/>
        </w:rPr>
        <w:t>dorosłych</w:t>
      </w:r>
      <w:r w:rsidRPr="00D76F69">
        <w:rPr>
          <w:rFonts w:ascii="Lato" w:hAnsi="Lato" w:cs="Calibri Light"/>
          <w:i/>
          <w:iCs/>
        </w:rPr>
        <w:t xml:space="preserve">; Cukrzyca typu 2 u </w:t>
      </w:r>
      <w:r w:rsidRPr="00D76F69">
        <w:rPr>
          <w:rFonts w:ascii="Lato" w:hAnsi="Lato" w:cs="Calibri Light"/>
          <w:b/>
          <w:bCs/>
          <w:i/>
          <w:iCs/>
        </w:rPr>
        <w:t>dorosłych</w:t>
      </w:r>
      <w:r w:rsidRPr="00D76F69">
        <w:rPr>
          <w:rFonts w:ascii="Lato" w:hAnsi="Lato" w:cs="Calibri Light"/>
          <w:i/>
          <w:iCs/>
        </w:rPr>
        <w:t xml:space="preserve"> pacjentów leczonych insuliną NPH od co najmniej 6 miesięcy i z HbA1c ≥8% oraz cukrzyca typu 2 u dorosłych pacjentów leczonych insuliną NPH od co najmniej 6 miesięcy i z udokumentowanymi nawracającymi epizodami ciężkiej lub nocnej hipoglikemii oraz cukrzyca u dorosłych o znanej przyczynie (zgodnie z definicją wg WHO),</w:t>
      </w:r>
    </w:p>
    <w:p w14:paraId="5F72D5CD" w14:textId="03E5D9E9" w:rsidR="00D76F69" w:rsidRPr="00D76F69" w:rsidRDefault="00D76F69" w:rsidP="00D76F69">
      <w:pPr>
        <w:pStyle w:val="Akapitzlist"/>
        <w:numPr>
          <w:ilvl w:val="1"/>
          <w:numId w:val="33"/>
        </w:numPr>
        <w:spacing w:line="360" w:lineRule="auto"/>
        <w:jc w:val="both"/>
        <w:textAlignment w:val="auto"/>
        <w:rPr>
          <w:rFonts w:ascii="Lato" w:hAnsi="Lato" w:cs="Calibri Light"/>
          <w:b/>
          <w:bCs/>
          <w:i/>
          <w:iCs/>
        </w:rPr>
      </w:pPr>
      <w:r w:rsidRPr="00D76F69">
        <w:rPr>
          <w:rFonts w:ascii="Lato" w:hAnsi="Lato" w:cs="Calibri Light"/>
        </w:rPr>
        <w:t xml:space="preserve">Wskazanie refundacyjne leku Enstilar: </w:t>
      </w:r>
      <w:r w:rsidRPr="00D76F69">
        <w:rPr>
          <w:rFonts w:ascii="Lato" w:hAnsi="Lato" w:cs="Calibri Light"/>
          <w:i/>
          <w:iCs/>
        </w:rPr>
        <w:t xml:space="preserve">Leczenie miejscowe łuszczycy zwyczajnej u </w:t>
      </w:r>
      <w:r w:rsidRPr="00D76F69">
        <w:rPr>
          <w:rFonts w:ascii="Lato" w:hAnsi="Lato" w:cs="Calibri Light"/>
          <w:b/>
          <w:bCs/>
          <w:i/>
          <w:iCs/>
        </w:rPr>
        <w:t>dorosłych.</w:t>
      </w:r>
    </w:p>
    <w:p w14:paraId="543E9E27" w14:textId="68216E78" w:rsidR="00D76F69" w:rsidRDefault="00D76F69" w:rsidP="00F727B3">
      <w:pPr>
        <w:spacing w:line="360" w:lineRule="auto"/>
        <w:jc w:val="both"/>
        <w:textAlignment w:val="auto"/>
        <w:rPr>
          <w:rFonts w:ascii="Lato" w:hAnsi="Lato" w:cs="Calibri Light"/>
        </w:rPr>
      </w:pPr>
      <w:r w:rsidRPr="00D76F69">
        <w:rPr>
          <w:rFonts w:ascii="Lato" w:hAnsi="Lato" w:cs="Calibri Light"/>
        </w:rPr>
        <w:t xml:space="preserve">Przez wzgląd na brak refundacji w populacji pediatrycznej, od 1 listopada br. niniejsze produkty lecznicze nie znajdą się na wykazie bezpłatnych leków dla dzieci i młodzieży. </w:t>
      </w:r>
    </w:p>
    <w:p w14:paraId="7E23ACD6" w14:textId="77777777" w:rsidR="00AE5EF3" w:rsidRDefault="00AE5EF3" w:rsidP="00F727B3">
      <w:pPr>
        <w:spacing w:line="360" w:lineRule="auto"/>
        <w:jc w:val="both"/>
        <w:textAlignment w:val="auto"/>
        <w:rPr>
          <w:rFonts w:ascii="Lato" w:hAnsi="Lato" w:cs="Calibri Light"/>
        </w:rPr>
      </w:pPr>
    </w:p>
    <w:p w14:paraId="42AB0A76" w14:textId="77777777" w:rsidR="00AE5EF3" w:rsidRPr="003C4FDD" w:rsidRDefault="00AE5EF3" w:rsidP="00AE5EF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3C4FDD">
        <w:rPr>
          <w:rFonts w:ascii="Lato" w:hAnsi="Lato"/>
          <w:b/>
          <w:bCs/>
          <w:color w:val="00B0F0"/>
          <w:sz w:val="28"/>
          <w:szCs w:val="28"/>
        </w:rPr>
        <w:t>INFORMACJA DOTYCZĄCA PROGRAMU WCZESNEGO DOSTĘPU DO LECZENIA TRASTUZUMABEM DERUKSTEKAN</w:t>
      </w:r>
    </w:p>
    <w:p w14:paraId="5F39ACE7" w14:textId="36BD23F7" w:rsidR="00AE5EF3" w:rsidRPr="00D76F69" w:rsidRDefault="00AE5EF3" w:rsidP="00AE5EF3">
      <w:pPr>
        <w:spacing w:line="360" w:lineRule="auto"/>
        <w:jc w:val="both"/>
        <w:textAlignment w:val="auto"/>
        <w:rPr>
          <w:rFonts w:ascii="Lato" w:hAnsi="Lato"/>
          <w:sz w:val="28"/>
          <w:szCs w:val="28"/>
        </w:rPr>
      </w:pPr>
      <w:r w:rsidRPr="003C4FDD">
        <w:rPr>
          <w:rFonts w:ascii="Lato" w:hAnsi="Lato" w:cs="Calibri Light"/>
        </w:rPr>
        <w:t xml:space="preserve">Zgodnie z komunikatem Ministra Zdrowia, od 18 września do 31 października 2023 r. został uruchomiony pomostowy Program Wczesnego Dostępu finansowany przez firmę AstraZeneca w celu przyspieszenia terapii lekiem trastuzumab derukstekan dla pacjentów z HER2-dodatnim przerzutowym rakiem piersi. Z programu mogą skorzystać wszyscy pacjenci spełniający kryteria kwalifikacji do programu lekowego B.9.FM – w drugiej, trzeciej lub czwartej linii leczenia stosowanego z powodu nieoperacyjnego lub zaawansowanego HER2-dodatniego raka piersi.  Od 1 listopada 2023 r. wszyscy pacjenci spełniający kryteria i włączeni do Programu Wczesnego Dostępu od 18 września do 31 października,  na mocy </w:t>
      </w:r>
      <w:r w:rsidRPr="003C4FDD">
        <w:rPr>
          <w:rFonts w:ascii="Lato" w:hAnsi="Lato" w:cs="Calibri Light"/>
        </w:rPr>
        <w:lastRenderedPageBreak/>
        <w:t xml:space="preserve">zapisu </w:t>
      </w:r>
      <w:r w:rsidRPr="003C4FDD">
        <w:rPr>
          <w:rFonts w:ascii="Lato" w:hAnsi="Lato" w:cs="Calibri Light"/>
          <w:i/>
          <w:iCs/>
        </w:rPr>
        <w:t>„Ponadto do programu lekowego w zakresie leczenia przerzutowego, HER2-dodatniego raka piersi kwalifikowani są również pacjenci wymagający kontynuacji leczenia, którzy byli leczeni substancjami czynnymi finansowanymi w programie lekowym w ramach innego sposobu finansowania terapii, za wyjątkiem trwających badań klinicznych tych leków, pod warunkiem, że w chwili rozpoczęcia leczenia spełniali kryteria kwalifikacji do programu lekowego”</w:t>
      </w:r>
      <w:r w:rsidRPr="003C4FDD">
        <w:rPr>
          <w:rFonts w:ascii="Lato" w:hAnsi="Lato" w:cs="Calibri Light"/>
        </w:rPr>
        <w:t>, będą mogli kontynuować terapię trastuzumabem derukstekanem w ramach programu lekowego B.9.FM - LECZENIE CHORYCH NA RAKA PIERSI (ICD-10: C50).</w:t>
      </w:r>
    </w:p>
    <w:sectPr w:rsidR="00AE5EF3" w:rsidRPr="00D76F69" w:rsidSect="005058F2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8B3D" w14:textId="77777777" w:rsidR="009A40C8" w:rsidRDefault="009A40C8">
      <w:pPr>
        <w:spacing w:after="0" w:line="240" w:lineRule="auto"/>
      </w:pPr>
      <w:r>
        <w:separator/>
      </w:r>
    </w:p>
  </w:endnote>
  <w:endnote w:type="continuationSeparator" w:id="0">
    <w:p w14:paraId="24CD9B31" w14:textId="77777777" w:rsidR="009A40C8" w:rsidRDefault="009A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,Italic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C87F2" w14:textId="77777777" w:rsidR="009A40C8" w:rsidRDefault="009A40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4A713E" w14:textId="77777777" w:rsidR="009A40C8" w:rsidRDefault="009A4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4633511D" w:rsidR="005058F2" w:rsidRDefault="00143D0B">
    <w:pPr>
      <w:pStyle w:val="Nagwek"/>
    </w:pPr>
    <w:bookmarkStart w:id="5" w:name="_Hlk74147372"/>
    <w:bookmarkEnd w:id="5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405"/>
    <w:multiLevelType w:val="hybridMultilevel"/>
    <w:tmpl w:val="B308D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7CF6"/>
    <w:multiLevelType w:val="hybridMultilevel"/>
    <w:tmpl w:val="11287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21D5"/>
    <w:multiLevelType w:val="hybridMultilevel"/>
    <w:tmpl w:val="CED09C14"/>
    <w:lvl w:ilvl="0" w:tplc="41943DD6">
      <w:start w:val="1"/>
      <w:numFmt w:val="lowerLetter"/>
      <w:lvlText w:val="%1)"/>
      <w:lvlJc w:val="left"/>
      <w:pPr>
        <w:ind w:left="567" w:hanging="207"/>
      </w:pPr>
      <w:rPr>
        <w:rFonts w:ascii="Lato" w:eastAsiaTheme="minorHAnsi" w:hAnsi="Lato" w:cs="Arial" w:hint="default"/>
      </w:rPr>
    </w:lvl>
    <w:lvl w:ilvl="1" w:tplc="252C51DC">
      <w:numFmt w:val="bullet"/>
      <w:lvlText w:val="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5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2754095A"/>
    <w:multiLevelType w:val="hybridMultilevel"/>
    <w:tmpl w:val="E8244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47F2B"/>
    <w:multiLevelType w:val="hybridMultilevel"/>
    <w:tmpl w:val="5E207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D3FDC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37CD012E"/>
    <w:multiLevelType w:val="hybridMultilevel"/>
    <w:tmpl w:val="8FFC63CA"/>
    <w:lvl w:ilvl="0" w:tplc="C1569FCA">
      <w:start w:val="1"/>
      <w:numFmt w:val="bullet"/>
      <w:lvlText w:val="o"/>
      <w:lvlJc w:val="left"/>
      <w:pPr>
        <w:ind w:left="1068" w:hanging="217"/>
      </w:pPr>
      <w:rPr>
        <w:rFonts w:ascii="Courier New" w:hAnsi="Courier New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C42D8"/>
    <w:multiLevelType w:val="hybridMultilevel"/>
    <w:tmpl w:val="154C5C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5CDC"/>
    <w:multiLevelType w:val="hybridMultilevel"/>
    <w:tmpl w:val="23BA0A4E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5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EB6498"/>
    <w:multiLevelType w:val="hybridMultilevel"/>
    <w:tmpl w:val="F1366E56"/>
    <w:lvl w:ilvl="0" w:tplc="0CEC03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348AE"/>
    <w:multiLevelType w:val="hybridMultilevel"/>
    <w:tmpl w:val="FDF40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0E35"/>
    <w:multiLevelType w:val="hybridMultilevel"/>
    <w:tmpl w:val="4F46BCC6"/>
    <w:lvl w:ilvl="0" w:tplc="EE4685BA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47E04"/>
    <w:multiLevelType w:val="hybridMultilevel"/>
    <w:tmpl w:val="5CC0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4478E"/>
    <w:multiLevelType w:val="hybridMultilevel"/>
    <w:tmpl w:val="AF20E1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108AF"/>
    <w:multiLevelType w:val="hybridMultilevel"/>
    <w:tmpl w:val="C63A4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E6242"/>
    <w:multiLevelType w:val="hybridMultilevel"/>
    <w:tmpl w:val="A3463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8"/>
  </w:num>
  <w:num w:numId="2" w16cid:durableId="983047750">
    <w:abstractNumId w:val="6"/>
  </w:num>
  <w:num w:numId="3" w16cid:durableId="912206815">
    <w:abstractNumId w:val="9"/>
  </w:num>
  <w:num w:numId="4" w16cid:durableId="1919241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33"/>
  </w:num>
  <w:num w:numId="6" w16cid:durableId="1164782895">
    <w:abstractNumId w:val="7"/>
  </w:num>
  <w:num w:numId="7" w16cid:durableId="1764568987">
    <w:abstractNumId w:val="13"/>
  </w:num>
  <w:num w:numId="8" w16cid:durableId="1605840971">
    <w:abstractNumId w:val="15"/>
  </w:num>
  <w:num w:numId="9" w16cid:durableId="969629549">
    <w:abstractNumId w:val="29"/>
  </w:num>
  <w:num w:numId="10" w16cid:durableId="1576276737">
    <w:abstractNumId w:val="4"/>
  </w:num>
  <w:num w:numId="11" w16cid:durableId="409036424">
    <w:abstractNumId w:val="38"/>
  </w:num>
  <w:num w:numId="12" w16cid:durableId="1526747669">
    <w:abstractNumId w:val="5"/>
  </w:num>
  <w:num w:numId="13" w16cid:durableId="1746950255">
    <w:abstractNumId w:val="17"/>
  </w:num>
  <w:num w:numId="14" w16cid:durableId="329715522">
    <w:abstractNumId w:val="20"/>
  </w:num>
  <w:num w:numId="15" w16cid:durableId="1837842867">
    <w:abstractNumId w:val="18"/>
  </w:num>
  <w:num w:numId="16" w16cid:durableId="1970238000">
    <w:abstractNumId w:val="32"/>
  </w:num>
  <w:num w:numId="17" w16cid:durableId="485172914">
    <w:abstractNumId w:val="24"/>
  </w:num>
  <w:num w:numId="18" w16cid:durableId="338780148">
    <w:abstractNumId w:val="10"/>
  </w:num>
  <w:num w:numId="19" w16cid:durableId="1977641737">
    <w:abstractNumId w:val="4"/>
  </w:num>
  <w:num w:numId="20" w16cid:durableId="1099830501">
    <w:abstractNumId w:val="3"/>
  </w:num>
  <w:num w:numId="21" w16cid:durableId="1796680411">
    <w:abstractNumId w:val="26"/>
  </w:num>
  <w:num w:numId="22" w16cid:durableId="1157845039">
    <w:abstractNumId w:val="25"/>
  </w:num>
  <w:num w:numId="23" w16cid:durableId="1318220489">
    <w:abstractNumId w:val="22"/>
  </w:num>
  <w:num w:numId="24" w16cid:durableId="791442922">
    <w:abstractNumId w:val="28"/>
  </w:num>
  <w:num w:numId="25" w16cid:durableId="1530946489">
    <w:abstractNumId w:val="0"/>
  </w:num>
  <w:num w:numId="26" w16cid:durableId="1890258346">
    <w:abstractNumId w:val="2"/>
  </w:num>
  <w:num w:numId="27" w16cid:durableId="1649245800">
    <w:abstractNumId w:val="30"/>
  </w:num>
  <w:num w:numId="28" w16cid:durableId="611791289">
    <w:abstractNumId w:val="1"/>
  </w:num>
  <w:num w:numId="29" w16cid:durableId="1781562961">
    <w:abstractNumId w:val="37"/>
  </w:num>
  <w:num w:numId="30" w16cid:durableId="270279854">
    <w:abstractNumId w:val="27"/>
  </w:num>
  <w:num w:numId="31" w16cid:durableId="1770471421">
    <w:abstractNumId w:val="12"/>
  </w:num>
  <w:num w:numId="32" w16cid:durableId="1010982881">
    <w:abstractNumId w:val="36"/>
  </w:num>
  <w:num w:numId="33" w16cid:durableId="1406343733">
    <w:abstractNumId w:val="35"/>
  </w:num>
  <w:num w:numId="34" w16cid:durableId="1826360189">
    <w:abstractNumId w:val="14"/>
  </w:num>
  <w:num w:numId="35" w16cid:durableId="594823733">
    <w:abstractNumId w:val="21"/>
  </w:num>
  <w:num w:numId="36" w16cid:durableId="179323471">
    <w:abstractNumId w:val="19"/>
  </w:num>
  <w:num w:numId="37" w16cid:durableId="1776514804">
    <w:abstractNumId w:val="16"/>
  </w:num>
  <w:num w:numId="38" w16cid:durableId="653799481">
    <w:abstractNumId w:val="31"/>
  </w:num>
  <w:num w:numId="39" w16cid:durableId="757291277">
    <w:abstractNumId w:val="34"/>
  </w:num>
  <w:num w:numId="40" w16cid:durableId="481896344">
    <w:abstractNumId w:val="11"/>
  </w:num>
  <w:num w:numId="41" w16cid:durableId="654212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38E4"/>
    <w:rsid w:val="00003F3A"/>
    <w:rsid w:val="00006AE8"/>
    <w:rsid w:val="00006BD6"/>
    <w:rsid w:val="00026DCC"/>
    <w:rsid w:val="00031E9F"/>
    <w:rsid w:val="00033ED5"/>
    <w:rsid w:val="0004009C"/>
    <w:rsid w:val="0004482C"/>
    <w:rsid w:val="0005011B"/>
    <w:rsid w:val="00052E44"/>
    <w:rsid w:val="0006066F"/>
    <w:rsid w:val="000702E4"/>
    <w:rsid w:val="00070A13"/>
    <w:rsid w:val="00070A89"/>
    <w:rsid w:val="00077F0C"/>
    <w:rsid w:val="0008118E"/>
    <w:rsid w:val="00084C5D"/>
    <w:rsid w:val="00084DF3"/>
    <w:rsid w:val="00086074"/>
    <w:rsid w:val="0009112E"/>
    <w:rsid w:val="00097B17"/>
    <w:rsid w:val="000A4576"/>
    <w:rsid w:val="000A688D"/>
    <w:rsid w:val="000A6B96"/>
    <w:rsid w:val="000B21F0"/>
    <w:rsid w:val="000B32C4"/>
    <w:rsid w:val="000B65F8"/>
    <w:rsid w:val="000B7075"/>
    <w:rsid w:val="000D02C0"/>
    <w:rsid w:val="000D2FED"/>
    <w:rsid w:val="000E3BBE"/>
    <w:rsid w:val="000E649C"/>
    <w:rsid w:val="000F077F"/>
    <w:rsid w:val="000F3ED2"/>
    <w:rsid w:val="000F5E24"/>
    <w:rsid w:val="001030B2"/>
    <w:rsid w:val="00116B73"/>
    <w:rsid w:val="001204EA"/>
    <w:rsid w:val="00125F02"/>
    <w:rsid w:val="001275D1"/>
    <w:rsid w:val="00134135"/>
    <w:rsid w:val="001377DD"/>
    <w:rsid w:val="0014120D"/>
    <w:rsid w:val="00143D0B"/>
    <w:rsid w:val="00144B55"/>
    <w:rsid w:val="00155C8E"/>
    <w:rsid w:val="00157EBF"/>
    <w:rsid w:val="00161605"/>
    <w:rsid w:val="00170D7F"/>
    <w:rsid w:val="00172790"/>
    <w:rsid w:val="00173D8E"/>
    <w:rsid w:val="00175C1F"/>
    <w:rsid w:val="00180F5C"/>
    <w:rsid w:val="00186CB7"/>
    <w:rsid w:val="00190358"/>
    <w:rsid w:val="001933DE"/>
    <w:rsid w:val="00194CB4"/>
    <w:rsid w:val="00197FA2"/>
    <w:rsid w:val="001A1A5B"/>
    <w:rsid w:val="001A7E82"/>
    <w:rsid w:val="001B010E"/>
    <w:rsid w:val="001B0859"/>
    <w:rsid w:val="001B354B"/>
    <w:rsid w:val="001B440C"/>
    <w:rsid w:val="001B7475"/>
    <w:rsid w:val="001D026F"/>
    <w:rsid w:val="001D3A57"/>
    <w:rsid w:val="001D6485"/>
    <w:rsid w:val="001E2320"/>
    <w:rsid w:val="001E610A"/>
    <w:rsid w:val="001E721F"/>
    <w:rsid w:val="00205C55"/>
    <w:rsid w:val="00206C0B"/>
    <w:rsid w:val="00221A2A"/>
    <w:rsid w:val="002241C0"/>
    <w:rsid w:val="002270E2"/>
    <w:rsid w:val="00230BB7"/>
    <w:rsid w:val="00237DE2"/>
    <w:rsid w:val="0024697E"/>
    <w:rsid w:val="00255E53"/>
    <w:rsid w:val="00267DD2"/>
    <w:rsid w:val="00275115"/>
    <w:rsid w:val="00280311"/>
    <w:rsid w:val="00281BE7"/>
    <w:rsid w:val="0028225A"/>
    <w:rsid w:val="00284294"/>
    <w:rsid w:val="00286651"/>
    <w:rsid w:val="00287196"/>
    <w:rsid w:val="002907C2"/>
    <w:rsid w:val="0029287B"/>
    <w:rsid w:val="0029403F"/>
    <w:rsid w:val="002C0340"/>
    <w:rsid w:val="002C19DE"/>
    <w:rsid w:val="002D55B8"/>
    <w:rsid w:val="002D6ED9"/>
    <w:rsid w:val="002E3000"/>
    <w:rsid w:val="002E46AC"/>
    <w:rsid w:val="002F0FB2"/>
    <w:rsid w:val="002F43BB"/>
    <w:rsid w:val="002F61E3"/>
    <w:rsid w:val="003051DF"/>
    <w:rsid w:val="0031104C"/>
    <w:rsid w:val="003130CA"/>
    <w:rsid w:val="00326537"/>
    <w:rsid w:val="003357D9"/>
    <w:rsid w:val="00337B00"/>
    <w:rsid w:val="00355899"/>
    <w:rsid w:val="00356E75"/>
    <w:rsid w:val="0035733E"/>
    <w:rsid w:val="00363649"/>
    <w:rsid w:val="00372855"/>
    <w:rsid w:val="00374DBE"/>
    <w:rsid w:val="0037704D"/>
    <w:rsid w:val="0037714E"/>
    <w:rsid w:val="003841AB"/>
    <w:rsid w:val="003935E8"/>
    <w:rsid w:val="00395A36"/>
    <w:rsid w:val="003975D4"/>
    <w:rsid w:val="003A0F16"/>
    <w:rsid w:val="003A5B7D"/>
    <w:rsid w:val="003A6433"/>
    <w:rsid w:val="003B46BF"/>
    <w:rsid w:val="003C4FDD"/>
    <w:rsid w:val="003C6D56"/>
    <w:rsid w:val="003D2AE2"/>
    <w:rsid w:val="003D71C6"/>
    <w:rsid w:val="003F072E"/>
    <w:rsid w:val="00404F9B"/>
    <w:rsid w:val="00411C64"/>
    <w:rsid w:val="004156E6"/>
    <w:rsid w:val="00415707"/>
    <w:rsid w:val="00416F70"/>
    <w:rsid w:val="0041703B"/>
    <w:rsid w:val="00425E4A"/>
    <w:rsid w:val="004403B4"/>
    <w:rsid w:val="00444F12"/>
    <w:rsid w:val="00446466"/>
    <w:rsid w:val="00447CE9"/>
    <w:rsid w:val="00453B55"/>
    <w:rsid w:val="0045419D"/>
    <w:rsid w:val="00457779"/>
    <w:rsid w:val="00466FE8"/>
    <w:rsid w:val="0047073D"/>
    <w:rsid w:val="004744CD"/>
    <w:rsid w:val="0048011A"/>
    <w:rsid w:val="004850DC"/>
    <w:rsid w:val="00490715"/>
    <w:rsid w:val="00491267"/>
    <w:rsid w:val="00491300"/>
    <w:rsid w:val="00492285"/>
    <w:rsid w:val="004A2F20"/>
    <w:rsid w:val="004A2F45"/>
    <w:rsid w:val="004A5135"/>
    <w:rsid w:val="004A6973"/>
    <w:rsid w:val="004B2F38"/>
    <w:rsid w:val="004B6646"/>
    <w:rsid w:val="004C35E7"/>
    <w:rsid w:val="004D093B"/>
    <w:rsid w:val="004D2191"/>
    <w:rsid w:val="004D3DF8"/>
    <w:rsid w:val="004D7DDC"/>
    <w:rsid w:val="004E219F"/>
    <w:rsid w:val="004E4723"/>
    <w:rsid w:val="004F3FEF"/>
    <w:rsid w:val="004F78B7"/>
    <w:rsid w:val="005058F2"/>
    <w:rsid w:val="00512C38"/>
    <w:rsid w:val="00512C7C"/>
    <w:rsid w:val="005130EF"/>
    <w:rsid w:val="005143E4"/>
    <w:rsid w:val="00533C14"/>
    <w:rsid w:val="0055182D"/>
    <w:rsid w:val="0056748F"/>
    <w:rsid w:val="00574D83"/>
    <w:rsid w:val="00585FA9"/>
    <w:rsid w:val="005871C9"/>
    <w:rsid w:val="005B06B3"/>
    <w:rsid w:val="005B41EF"/>
    <w:rsid w:val="005B598A"/>
    <w:rsid w:val="005C1959"/>
    <w:rsid w:val="005C27EF"/>
    <w:rsid w:val="005C499F"/>
    <w:rsid w:val="005C608D"/>
    <w:rsid w:val="005C6551"/>
    <w:rsid w:val="005D269A"/>
    <w:rsid w:val="005D3140"/>
    <w:rsid w:val="005D5D31"/>
    <w:rsid w:val="005E0E08"/>
    <w:rsid w:val="005E4CF5"/>
    <w:rsid w:val="005E7898"/>
    <w:rsid w:val="005F70FE"/>
    <w:rsid w:val="006008CD"/>
    <w:rsid w:val="00611BBA"/>
    <w:rsid w:val="00626EE9"/>
    <w:rsid w:val="00633806"/>
    <w:rsid w:val="00633883"/>
    <w:rsid w:val="00634434"/>
    <w:rsid w:val="0064109C"/>
    <w:rsid w:val="0064487F"/>
    <w:rsid w:val="006648F3"/>
    <w:rsid w:val="00670C14"/>
    <w:rsid w:val="0068046C"/>
    <w:rsid w:val="00680B0E"/>
    <w:rsid w:val="00685293"/>
    <w:rsid w:val="00687B5F"/>
    <w:rsid w:val="00687E5A"/>
    <w:rsid w:val="006905E7"/>
    <w:rsid w:val="00694E14"/>
    <w:rsid w:val="006967BC"/>
    <w:rsid w:val="006A03EB"/>
    <w:rsid w:val="006A0DB9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7964"/>
    <w:rsid w:val="006F33D9"/>
    <w:rsid w:val="006F498A"/>
    <w:rsid w:val="006F5BEB"/>
    <w:rsid w:val="007135A8"/>
    <w:rsid w:val="007156F6"/>
    <w:rsid w:val="00715B91"/>
    <w:rsid w:val="0071620E"/>
    <w:rsid w:val="007321D8"/>
    <w:rsid w:val="00733AF9"/>
    <w:rsid w:val="00734732"/>
    <w:rsid w:val="007374BE"/>
    <w:rsid w:val="00740ABA"/>
    <w:rsid w:val="0074295D"/>
    <w:rsid w:val="00755E27"/>
    <w:rsid w:val="00760E62"/>
    <w:rsid w:val="0078723A"/>
    <w:rsid w:val="00793222"/>
    <w:rsid w:val="00795A57"/>
    <w:rsid w:val="007A4FB5"/>
    <w:rsid w:val="007B043E"/>
    <w:rsid w:val="007B25FE"/>
    <w:rsid w:val="007C4332"/>
    <w:rsid w:val="007C4C95"/>
    <w:rsid w:val="007D0493"/>
    <w:rsid w:val="007D1551"/>
    <w:rsid w:val="007D273D"/>
    <w:rsid w:val="007D6A3A"/>
    <w:rsid w:val="007D6B6F"/>
    <w:rsid w:val="007D74C7"/>
    <w:rsid w:val="007D74E2"/>
    <w:rsid w:val="007E1B54"/>
    <w:rsid w:val="007F016E"/>
    <w:rsid w:val="008008F6"/>
    <w:rsid w:val="008017A7"/>
    <w:rsid w:val="00823875"/>
    <w:rsid w:val="00827817"/>
    <w:rsid w:val="00827986"/>
    <w:rsid w:val="008279BD"/>
    <w:rsid w:val="0084154E"/>
    <w:rsid w:val="00843352"/>
    <w:rsid w:val="00844624"/>
    <w:rsid w:val="008462C0"/>
    <w:rsid w:val="00861524"/>
    <w:rsid w:val="0087118E"/>
    <w:rsid w:val="00872947"/>
    <w:rsid w:val="00874D78"/>
    <w:rsid w:val="008771C8"/>
    <w:rsid w:val="00882DCA"/>
    <w:rsid w:val="0088727A"/>
    <w:rsid w:val="00896D35"/>
    <w:rsid w:val="008B00C4"/>
    <w:rsid w:val="008B43B0"/>
    <w:rsid w:val="008B5033"/>
    <w:rsid w:val="008C0493"/>
    <w:rsid w:val="008C0E92"/>
    <w:rsid w:val="008C43D9"/>
    <w:rsid w:val="008C4EA3"/>
    <w:rsid w:val="008D3759"/>
    <w:rsid w:val="008D45C3"/>
    <w:rsid w:val="008E18D7"/>
    <w:rsid w:val="008E33C7"/>
    <w:rsid w:val="008E5398"/>
    <w:rsid w:val="008F1D35"/>
    <w:rsid w:val="009002AC"/>
    <w:rsid w:val="009066C7"/>
    <w:rsid w:val="009104F7"/>
    <w:rsid w:val="00912B91"/>
    <w:rsid w:val="0092099E"/>
    <w:rsid w:val="0092216D"/>
    <w:rsid w:val="00933339"/>
    <w:rsid w:val="00953B84"/>
    <w:rsid w:val="00954927"/>
    <w:rsid w:val="00973F6D"/>
    <w:rsid w:val="00982754"/>
    <w:rsid w:val="009943F4"/>
    <w:rsid w:val="00995FDD"/>
    <w:rsid w:val="00996389"/>
    <w:rsid w:val="00997231"/>
    <w:rsid w:val="009A2234"/>
    <w:rsid w:val="009A40C8"/>
    <w:rsid w:val="009A6D46"/>
    <w:rsid w:val="009B2F99"/>
    <w:rsid w:val="009B7A4D"/>
    <w:rsid w:val="009C573D"/>
    <w:rsid w:val="009D10B8"/>
    <w:rsid w:val="009D185F"/>
    <w:rsid w:val="009D43CC"/>
    <w:rsid w:val="009E20C4"/>
    <w:rsid w:val="009E2331"/>
    <w:rsid w:val="009F413F"/>
    <w:rsid w:val="009F550A"/>
    <w:rsid w:val="009F7497"/>
    <w:rsid w:val="00A01F60"/>
    <w:rsid w:val="00A118F0"/>
    <w:rsid w:val="00A159DA"/>
    <w:rsid w:val="00A22494"/>
    <w:rsid w:val="00A22A7B"/>
    <w:rsid w:val="00A242D8"/>
    <w:rsid w:val="00A248A1"/>
    <w:rsid w:val="00A434EB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76AA7"/>
    <w:rsid w:val="00A84589"/>
    <w:rsid w:val="00A90397"/>
    <w:rsid w:val="00A90CB0"/>
    <w:rsid w:val="00A9374D"/>
    <w:rsid w:val="00A94461"/>
    <w:rsid w:val="00A960EA"/>
    <w:rsid w:val="00AA4608"/>
    <w:rsid w:val="00AA6179"/>
    <w:rsid w:val="00AB1235"/>
    <w:rsid w:val="00AB2D5E"/>
    <w:rsid w:val="00AC0511"/>
    <w:rsid w:val="00AD08C5"/>
    <w:rsid w:val="00AE069A"/>
    <w:rsid w:val="00AE5EF3"/>
    <w:rsid w:val="00AF1EBC"/>
    <w:rsid w:val="00AF5762"/>
    <w:rsid w:val="00AF7CEB"/>
    <w:rsid w:val="00B0050A"/>
    <w:rsid w:val="00B1467F"/>
    <w:rsid w:val="00B31928"/>
    <w:rsid w:val="00B326A9"/>
    <w:rsid w:val="00B447A5"/>
    <w:rsid w:val="00B45ED3"/>
    <w:rsid w:val="00B5393C"/>
    <w:rsid w:val="00B543E9"/>
    <w:rsid w:val="00B57127"/>
    <w:rsid w:val="00B71266"/>
    <w:rsid w:val="00B76B2B"/>
    <w:rsid w:val="00B8251D"/>
    <w:rsid w:val="00B94288"/>
    <w:rsid w:val="00B9538B"/>
    <w:rsid w:val="00BA15A9"/>
    <w:rsid w:val="00BB30C0"/>
    <w:rsid w:val="00BB4FF5"/>
    <w:rsid w:val="00BC376D"/>
    <w:rsid w:val="00BD18E8"/>
    <w:rsid w:val="00BD1D9A"/>
    <w:rsid w:val="00BD20BC"/>
    <w:rsid w:val="00C15673"/>
    <w:rsid w:val="00C15E6F"/>
    <w:rsid w:val="00C210A9"/>
    <w:rsid w:val="00C22821"/>
    <w:rsid w:val="00C243BF"/>
    <w:rsid w:val="00C25F63"/>
    <w:rsid w:val="00C276AE"/>
    <w:rsid w:val="00C4237C"/>
    <w:rsid w:val="00C552AA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64C8"/>
    <w:rsid w:val="00C97315"/>
    <w:rsid w:val="00CA1AD2"/>
    <w:rsid w:val="00CA2878"/>
    <w:rsid w:val="00CA3038"/>
    <w:rsid w:val="00CA7D06"/>
    <w:rsid w:val="00CB2BB1"/>
    <w:rsid w:val="00CB2E2B"/>
    <w:rsid w:val="00CB3D33"/>
    <w:rsid w:val="00CC0463"/>
    <w:rsid w:val="00CC13E2"/>
    <w:rsid w:val="00CC7F58"/>
    <w:rsid w:val="00CD47C3"/>
    <w:rsid w:val="00CE099F"/>
    <w:rsid w:val="00CE73E2"/>
    <w:rsid w:val="00CF402D"/>
    <w:rsid w:val="00CF5E4F"/>
    <w:rsid w:val="00CF7674"/>
    <w:rsid w:val="00D17D3E"/>
    <w:rsid w:val="00D25F43"/>
    <w:rsid w:val="00D25FC6"/>
    <w:rsid w:val="00D44A5D"/>
    <w:rsid w:val="00D510E8"/>
    <w:rsid w:val="00D554A2"/>
    <w:rsid w:val="00D5628B"/>
    <w:rsid w:val="00D63F4F"/>
    <w:rsid w:val="00D6426A"/>
    <w:rsid w:val="00D66456"/>
    <w:rsid w:val="00D76F69"/>
    <w:rsid w:val="00D77CD0"/>
    <w:rsid w:val="00D9306F"/>
    <w:rsid w:val="00D96647"/>
    <w:rsid w:val="00DB0B88"/>
    <w:rsid w:val="00DC3784"/>
    <w:rsid w:val="00DD18C6"/>
    <w:rsid w:val="00DD6D00"/>
    <w:rsid w:val="00DE00F0"/>
    <w:rsid w:val="00DE1894"/>
    <w:rsid w:val="00DE5079"/>
    <w:rsid w:val="00DF3CBA"/>
    <w:rsid w:val="00DF6B3A"/>
    <w:rsid w:val="00E10271"/>
    <w:rsid w:val="00E34DF7"/>
    <w:rsid w:val="00E35DF6"/>
    <w:rsid w:val="00E50D44"/>
    <w:rsid w:val="00E52765"/>
    <w:rsid w:val="00E55290"/>
    <w:rsid w:val="00E60266"/>
    <w:rsid w:val="00E64133"/>
    <w:rsid w:val="00E66456"/>
    <w:rsid w:val="00E67C4E"/>
    <w:rsid w:val="00E738D5"/>
    <w:rsid w:val="00E8288D"/>
    <w:rsid w:val="00E8348C"/>
    <w:rsid w:val="00E900DE"/>
    <w:rsid w:val="00E90D87"/>
    <w:rsid w:val="00E91E64"/>
    <w:rsid w:val="00EA326D"/>
    <w:rsid w:val="00EB1B3E"/>
    <w:rsid w:val="00EB5A68"/>
    <w:rsid w:val="00EB77EA"/>
    <w:rsid w:val="00EC0C4F"/>
    <w:rsid w:val="00EC2B8F"/>
    <w:rsid w:val="00EC74BA"/>
    <w:rsid w:val="00ED15F0"/>
    <w:rsid w:val="00ED4931"/>
    <w:rsid w:val="00ED51E7"/>
    <w:rsid w:val="00EE4384"/>
    <w:rsid w:val="00EE4BD7"/>
    <w:rsid w:val="00EF3551"/>
    <w:rsid w:val="00F017D6"/>
    <w:rsid w:val="00F0779F"/>
    <w:rsid w:val="00F07A1E"/>
    <w:rsid w:val="00F12CF6"/>
    <w:rsid w:val="00F147FC"/>
    <w:rsid w:val="00F15BD4"/>
    <w:rsid w:val="00F25A2F"/>
    <w:rsid w:val="00F31A79"/>
    <w:rsid w:val="00F42214"/>
    <w:rsid w:val="00F5061B"/>
    <w:rsid w:val="00F61A7D"/>
    <w:rsid w:val="00F63AA8"/>
    <w:rsid w:val="00F67CA2"/>
    <w:rsid w:val="00F727B3"/>
    <w:rsid w:val="00F763E5"/>
    <w:rsid w:val="00F859A8"/>
    <w:rsid w:val="00F9203E"/>
    <w:rsid w:val="00F957B7"/>
    <w:rsid w:val="00FA2B57"/>
    <w:rsid w:val="00FA53DF"/>
    <w:rsid w:val="00FB2364"/>
    <w:rsid w:val="00FB30AC"/>
    <w:rsid w:val="00FB3B6F"/>
    <w:rsid w:val="00FC712D"/>
    <w:rsid w:val="00FD39E3"/>
    <w:rsid w:val="00FD48BC"/>
    <w:rsid w:val="00FE1242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34"/>
    <w:qFormat/>
    <w:rsid w:val="001933DE"/>
  </w:style>
  <w:style w:type="paragraph" w:styleId="Poprawka">
    <w:name w:val="Revision"/>
    <w:hidden/>
    <w:uiPriority w:val="99"/>
    <w:semiHidden/>
    <w:rsid w:val="002F43BB"/>
    <w:pPr>
      <w:autoSpaceDN/>
      <w:spacing w:after="0" w:line="240" w:lineRule="auto"/>
      <w:textAlignment w:val="auto"/>
    </w:pPr>
  </w:style>
  <w:style w:type="character" w:styleId="Pogrubienie">
    <w:name w:val="Strong"/>
    <w:basedOn w:val="Domylnaczcionkaakapitu"/>
    <w:uiPriority w:val="22"/>
    <w:qFormat/>
    <w:rsid w:val="00FA2B57"/>
    <w:rPr>
      <w:b/>
      <w:bCs/>
    </w:rPr>
  </w:style>
  <w:style w:type="character" w:customStyle="1" w:styleId="ui-provider">
    <w:name w:val="ui-provider"/>
    <w:basedOn w:val="Domylnaczcionkaakapitu"/>
    <w:rsid w:val="006F3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3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3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3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3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2023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3291030153488859E-2"/>
          <c:y val="0.11894515781244411"/>
          <c:w val="0.9172645506005298"/>
          <c:h val="0.729973889538953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2023'!$B$3:$G$3</c:f>
              <c:numCache>
                <c:formatCode>General</c:formatCode>
                <c:ptCount val="6"/>
                <c:pt idx="0">
                  <c:v>21</c:v>
                </c:pt>
                <c:pt idx="1">
                  <c:v>10</c:v>
                </c:pt>
                <c:pt idx="2">
                  <c:v>8</c:v>
                </c:pt>
                <c:pt idx="3">
                  <c:v>7</c:v>
                </c:pt>
                <c:pt idx="4">
                  <c:v>14</c:v>
                </c:pt>
                <c:pt idx="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F3-4B53-AE27-44524C5DBFA2}"/>
            </c:ext>
          </c:extLst>
        </c:ser>
        <c:ser>
          <c:idx val="1"/>
          <c:order val="1"/>
          <c:tx>
            <c:strRef>
              <c:f>'miesiące 2023'!$A$4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2023'!$B$4:$G$4</c:f>
              <c:numCache>
                <c:formatCode>General</c:formatCode>
                <c:ptCount val="6"/>
                <c:pt idx="0">
                  <c:v>2</c:v>
                </c:pt>
                <c:pt idx="1">
                  <c:v>9</c:v>
                </c:pt>
                <c:pt idx="2">
                  <c:v>8</c:v>
                </c:pt>
                <c:pt idx="3">
                  <c:v>32</c:v>
                </c:pt>
                <c:pt idx="4">
                  <c:v>8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F3-4B53-AE27-44524C5DBF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006461172659766"/>
          <c:y val="0.92427455328629027"/>
          <c:w val="0.6998705468162213"/>
          <c:h val="6.70730564909107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2023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6171214485286109E-2"/>
          <c:y val="0.11815866978635811"/>
          <c:w val="0.91438436626873265"/>
          <c:h val="0.728045527551932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2023'!$B$18:$G$18</c:f>
              <c:numCache>
                <c:formatCode>General</c:formatCode>
                <c:ptCount val="6"/>
                <c:pt idx="0">
                  <c:v>17</c:v>
                </c:pt>
                <c:pt idx="1">
                  <c:v>3</c:v>
                </c:pt>
                <c:pt idx="2">
                  <c:v>8</c:v>
                </c:pt>
                <c:pt idx="3">
                  <c:v>4</c:v>
                </c:pt>
                <c:pt idx="4">
                  <c:v>7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C6-4209-99C0-627261C43A33}"/>
            </c:ext>
          </c:extLst>
        </c:ser>
        <c:ser>
          <c:idx val="1"/>
          <c:order val="1"/>
          <c:tx>
            <c:strRef>
              <c:f>'miesiące 2023'!$A$19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2023'!$B$19:$G$19</c:f>
              <c:numCache>
                <c:formatCode>General</c:formatCode>
                <c:ptCount val="6"/>
                <c:pt idx="0">
                  <c:v>6</c:v>
                </c:pt>
                <c:pt idx="1">
                  <c:v>16</c:v>
                </c:pt>
                <c:pt idx="2">
                  <c:v>8</c:v>
                </c:pt>
                <c:pt idx="3">
                  <c:v>35</c:v>
                </c:pt>
                <c:pt idx="4">
                  <c:v>15</c:v>
                </c:pt>
                <c:pt idx="5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C6-4209-99C0-627261C43A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147601802939189"/>
          <c:y val="0.93374385894070933"/>
          <c:w val="0.39704774244991525"/>
          <c:h val="6.6256141059290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2023 r.</a:t>
            </a:r>
          </a:p>
        </c:rich>
      </c:tx>
      <c:layout>
        <c:manualLayout>
          <c:xMode val="edge"/>
          <c:yMode val="edge"/>
          <c:x val="0.20131068362217433"/>
          <c:y val="1.76978379374818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8.9144392068048334E-2"/>
          <c:w val="0.84009663854336591"/>
          <c:h val="0.83278715578612872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2023'!$B$2</c:f>
              <c:strCache>
                <c:ptCount val="1"/>
                <c:pt idx="0">
                  <c:v>2023
(stan na listopad)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2023'!$A$3:$A$8,'miesiące 2023'!$A$10:$A$12)</c:f>
              <c:strCache>
                <c:ptCount val="9"/>
                <c:pt idx="0">
                  <c:v>Inne</c:v>
                </c:pt>
                <c:pt idx="1">
                  <c:v>Nowotwory układu 
urologicznego</c:v>
                </c:pt>
                <c:pt idx="2">
                  <c:v>Nowotwory skóry</c:v>
                </c:pt>
                <c:pt idx="3">
                  <c:v>Nowotwory układu 
pokarmowego</c:v>
                </c:pt>
                <c:pt idx="4">
                  <c:v>Nowotwory układu 
oddechowego</c:v>
                </c:pt>
                <c:pt idx="5">
                  <c:v>Nowotwory nerki</c:v>
                </c:pt>
                <c:pt idx="6">
                  <c:v>Nowotwory 
ginekologiczne</c:v>
                </c:pt>
                <c:pt idx="7">
                  <c:v>Nowotwory układu 
endokrynnego</c:v>
                </c:pt>
                <c:pt idx="8">
                  <c:v>Hematoonkologia</c:v>
                </c:pt>
              </c:strCache>
              <c:extLst/>
            </c:strRef>
          </c:cat>
          <c:val>
            <c:numRef>
              <c:f>('miesiące 2023'!$B$3:$B$8,'miesiące 2023'!$B$10:$B$12)</c:f>
              <c:numCache>
                <c:formatCode>General</c:formatCode>
                <c:ptCount val="9"/>
                <c:pt idx="0">
                  <c:v>5</c:v>
                </c:pt>
                <c:pt idx="1">
                  <c:v>8</c:v>
                </c:pt>
                <c:pt idx="2">
                  <c:v>1</c:v>
                </c:pt>
                <c:pt idx="3">
                  <c:v>9</c:v>
                </c:pt>
                <c:pt idx="4">
                  <c:v>11</c:v>
                </c:pt>
                <c:pt idx="5">
                  <c:v>1</c:v>
                </c:pt>
                <c:pt idx="6">
                  <c:v>11</c:v>
                </c:pt>
                <c:pt idx="7">
                  <c:v>1</c:v>
                </c:pt>
                <c:pt idx="8">
                  <c:v>28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464C-40FE-B457-6F513CEA7A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2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latin typeface="Lato" panose="020F0502020204030203" pitchFamily="34" charset="-18"/>
              </a:rPr>
              <a:t>Cząsteczko-wskazania nieonkologiczne w 2023 r. </a:t>
            </a:r>
          </a:p>
        </c:rich>
      </c:tx>
      <c:layout>
        <c:manualLayout>
          <c:xMode val="edge"/>
          <c:yMode val="edge"/>
          <c:x val="0.27720079861812147"/>
          <c:y val="8.98876404494382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6153060995580679"/>
          <c:y val="0.1036439883216845"/>
          <c:w val="0.70650357807838127"/>
          <c:h val="0.8114199769972573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2023'!$B$19</c:f>
              <c:strCache>
                <c:ptCount val="1"/>
                <c:pt idx="0">
                  <c:v>2023
(stan na listopad)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2023'!$A$20:$A$25,'miesiące 2023'!$A$27:$A$28,'miesiące 2023'!$A$30,'miesiące 2023'!$A$32:$A$38)</c:f>
              <c:strCache>
                <c:ptCount val="16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Psychiatria</c:v>
                </c:pt>
                <c:pt idx="4">
                  <c:v>Okulistyka</c:v>
                </c:pt>
                <c:pt idx="5">
                  <c:v>Neurologia</c:v>
                </c:pt>
                <c:pt idx="6">
                  <c:v>Kardiologia</c:v>
                </c:pt>
                <c:pt idx="7">
                  <c:v>Immunologia</c:v>
                </c:pt>
                <c:pt idx="8">
                  <c:v>Hematologia</c:v>
                </c:pt>
                <c:pt idx="9">
                  <c:v>Gastroenterologia</c:v>
                </c:pt>
                <c:pt idx="10">
                  <c:v>Endokrynologia</c:v>
                </c:pt>
                <c:pt idx="11">
                  <c:v>Diabetologia</c:v>
                </c:pt>
                <c:pt idx="12">
                  <c:v>Dermatologia</c:v>
                </c:pt>
                <c:pt idx="13">
                  <c:v>Choroby metaboliczne</c:v>
                </c:pt>
                <c:pt idx="14">
                  <c:v>Angiologia</c:v>
                </c:pt>
                <c:pt idx="15">
                  <c:v>Alergologia</c:v>
                </c:pt>
              </c:strCache>
              <c:extLst/>
            </c:strRef>
          </c:cat>
          <c:val>
            <c:numRef>
              <c:f>('miesiące 2023'!$B$20:$B$25,'miesiące 2023'!$B$27:$B$28,'miesiące 2023'!$B$30,'miesiące 2023'!$B$32:$B$38)</c:f>
              <c:numCache>
                <c:formatCode>General</c:formatCode>
                <c:ptCount val="16"/>
                <c:pt idx="0">
                  <c:v>1</c:v>
                </c:pt>
                <c:pt idx="1">
                  <c:v>7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5</c:v>
                </c:pt>
                <c:pt idx="6">
                  <c:v>20</c:v>
                </c:pt>
                <c:pt idx="7">
                  <c:v>3</c:v>
                </c:pt>
                <c:pt idx="8">
                  <c:v>7</c:v>
                </c:pt>
                <c:pt idx="9">
                  <c:v>4</c:v>
                </c:pt>
                <c:pt idx="10">
                  <c:v>1</c:v>
                </c:pt>
                <c:pt idx="11">
                  <c:v>6</c:v>
                </c:pt>
                <c:pt idx="12">
                  <c:v>6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3F1F-4E12-B192-521BD7079F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2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18</Pages>
  <Words>4197</Words>
  <Characters>25183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Wilk Justyna</cp:lastModifiedBy>
  <cp:revision>14</cp:revision>
  <dcterms:created xsi:type="dcterms:W3CDTF">2023-10-16T08:33:00Z</dcterms:created>
  <dcterms:modified xsi:type="dcterms:W3CDTF">2023-10-20T13:07:00Z</dcterms:modified>
</cp:coreProperties>
</file>