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E158A" w14:textId="57F5D479" w:rsidR="007A45A5" w:rsidRPr="0016473A" w:rsidRDefault="007A45A5" w:rsidP="0016473A">
      <w:pPr>
        <w:spacing w:before="120" w:after="120" w:line="276" w:lineRule="auto"/>
        <w:mirrorIndents/>
        <w:rPr>
          <w:rFonts w:asciiTheme="minorHAnsi" w:hAnsiTheme="minorHAnsi" w:cstheme="minorHAnsi"/>
          <w:b/>
          <w:bCs/>
          <w:szCs w:val="24"/>
        </w:rPr>
      </w:pPr>
      <w:r w:rsidRPr="0016473A">
        <w:rPr>
          <w:rFonts w:asciiTheme="minorHAnsi" w:hAnsiTheme="minorHAnsi" w:cstheme="minorHAnsi"/>
          <w:b/>
          <w:bCs/>
          <w:szCs w:val="24"/>
        </w:rPr>
        <w:t>Czy złożenie wniosku zaliczkowego (niezawierającego części sprawozdawczej) o 1.</w:t>
      </w:r>
      <w:r w:rsidR="00337F7D" w:rsidRPr="0016473A">
        <w:rPr>
          <w:rFonts w:asciiTheme="minorHAnsi" w:hAnsiTheme="minorHAnsi" w:cstheme="minorHAnsi"/>
          <w:b/>
          <w:bCs/>
          <w:szCs w:val="24"/>
        </w:rPr>
        <w:t xml:space="preserve"> </w:t>
      </w:r>
      <w:r w:rsidRPr="0016473A">
        <w:rPr>
          <w:rFonts w:asciiTheme="minorHAnsi" w:hAnsiTheme="minorHAnsi" w:cstheme="minorHAnsi"/>
          <w:b/>
          <w:bCs/>
          <w:szCs w:val="24"/>
        </w:rPr>
        <w:t>zaliczkę wypełnia obowiązek składania wniosku w okresach nie dłuższych niż 6</w:t>
      </w:r>
      <w:r w:rsidR="00337F7D" w:rsidRPr="0016473A">
        <w:rPr>
          <w:rFonts w:asciiTheme="minorHAnsi" w:hAnsiTheme="minorHAnsi" w:cstheme="minorHAnsi"/>
          <w:b/>
          <w:bCs/>
          <w:szCs w:val="24"/>
        </w:rPr>
        <w:t xml:space="preserve"> </w:t>
      </w:r>
      <w:r w:rsidRPr="0016473A">
        <w:rPr>
          <w:rFonts w:asciiTheme="minorHAnsi" w:hAnsiTheme="minorHAnsi" w:cstheme="minorHAnsi"/>
          <w:b/>
          <w:bCs/>
          <w:szCs w:val="24"/>
        </w:rPr>
        <w:t>miesięcy? I od tego wniosku liczymy 6 miesięcy? Np. szybki wniosek o zaliczkę złożony</w:t>
      </w:r>
      <w:r w:rsidR="00337F7D" w:rsidRPr="0016473A">
        <w:rPr>
          <w:rFonts w:asciiTheme="minorHAnsi" w:hAnsiTheme="minorHAnsi" w:cstheme="minorHAnsi"/>
          <w:b/>
          <w:bCs/>
          <w:szCs w:val="24"/>
        </w:rPr>
        <w:t xml:space="preserve"> </w:t>
      </w:r>
      <w:r w:rsidRPr="0016473A">
        <w:rPr>
          <w:rFonts w:asciiTheme="minorHAnsi" w:hAnsiTheme="minorHAnsi" w:cstheme="minorHAnsi"/>
          <w:b/>
          <w:bCs/>
          <w:szCs w:val="24"/>
        </w:rPr>
        <w:t>w lutym 2024, kolejny wniosek jest wymagany w sierpniu 2024?</w:t>
      </w:r>
    </w:p>
    <w:p w14:paraId="24FD00AA" w14:textId="77777777" w:rsidR="007A45A5" w:rsidRPr="004C515D" w:rsidRDefault="007A45A5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4C515D">
        <w:rPr>
          <w:rFonts w:asciiTheme="minorHAnsi" w:hAnsiTheme="minorHAnsi" w:cstheme="minorHAnsi"/>
          <w:szCs w:val="24"/>
        </w:rPr>
        <w:t>Odpowiedź:</w:t>
      </w:r>
    </w:p>
    <w:p w14:paraId="190F2FB5" w14:textId="77777777" w:rsidR="007A45A5" w:rsidRPr="004C515D" w:rsidRDefault="007A45A5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4C515D">
        <w:rPr>
          <w:rFonts w:asciiTheme="minorHAnsi" w:hAnsiTheme="minorHAnsi" w:cstheme="minorHAnsi"/>
          <w:szCs w:val="24"/>
        </w:rPr>
        <w:t>Zgodnie z zapisami Umowy wniosek o płatność należy złożyć w ciągu 6 miesięcy od</w:t>
      </w:r>
    </w:p>
    <w:p w14:paraId="76A60433" w14:textId="77777777" w:rsidR="007A45A5" w:rsidRPr="004C515D" w:rsidRDefault="007A45A5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4C515D">
        <w:rPr>
          <w:rFonts w:asciiTheme="minorHAnsi" w:hAnsiTheme="minorHAnsi" w:cstheme="minorHAnsi"/>
          <w:szCs w:val="24"/>
        </w:rPr>
        <w:t>podpisania umowy. Wniosek zaliczkowy nie spełnia tego wymogu, jeśli nie ma części</w:t>
      </w:r>
    </w:p>
    <w:p w14:paraId="59FC0360" w14:textId="77777777" w:rsidR="007A45A5" w:rsidRPr="004C515D" w:rsidRDefault="007A45A5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4C515D">
        <w:rPr>
          <w:rFonts w:asciiTheme="minorHAnsi" w:hAnsiTheme="minorHAnsi" w:cstheme="minorHAnsi"/>
          <w:szCs w:val="24"/>
        </w:rPr>
        <w:t>sprawozdawczej. Jeżeli złożą Państwo wniosek o zaliczkę, to w ciągu 6 miesięcy od</w:t>
      </w:r>
    </w:p>
    <w:p w14:paraId="76A7FD06" w14:textId="5792D2F7" w:rsidR="00214D1A" w:rsidRDefault="007A45A5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4C515D">
        <w:rPr>
          <w:rFonts w:asciiTheme="minorHAnsi" w:hAnsiTheme="minorHAnsi" w:cstheme="minorHAnsi"/>
          <w:szCs w:val="24"/>
        </w:rPr>
        <w:t>podpisania umowy muszą Państwo złożyć też sprawozdawczy wniosek o płatność.</w:t>
      </w:r>
    </w:p>
    <w:p w14:paraId="1D94D9CA" w14:textId="77777777" w:rsidR="00F346F3" w:rsidRPr="004C515D" w:rsidRDefault="00F346F3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</w:p>
    <w:p w14:paraId="2F46B9AC" w14:textId="128A21DF" w:rsidR="00214D1A" w:rsidRPr="00706C62" w:rsidRDefault="00214D1A" w:rsidP="00E438BF">
      <w:pPr>
        <w:spacing w:before="120" w:after="120" w:line="276" w:lineRule="auto"/>
        <w:mirrorIndents/>
        <w:rPr>
          <w:rFonts w:asciiTheme="minorHAnsi" w:hAnsiTheme="minorHAnsi" w:cstheme="minorHAnsi"/>
          <w:b/>
          <w:bCs/>
          <w:szCs w:val="24"/>
        </w:rPr>
      </w:pPr>
      <w:r w:rsidRPr="00706C62">
        <w:rPr>
          <w:rFonts w:asciiTheme="minorHAnsi" w:hAnsiTheme="minorHAnsi" w:cstheme="minorHAnsi"/>
          <w:b/>
          <w:bCs/>
          <w:szCs w:val="24"/>
        </w:rPr>
        <w:t>Czy jeżeli na koncie projektowym zostały niewykorzystane środki z zaliczki w</w:t>
      </w:r>
      <w:r w:rsidR="00D82FED" w:rsidRPr="00706C62">
        <w:rPr>
          <w:rFonts w:asciiTheme="minorHAnsi" w:hAnsiTheme="minorHAnsi" w:cstheme="minorHAnsi"/>
          <w:b/>
          <w:bCs/>
          <w:szCs w:val="24"/>
        </w:rPr>
        <w:t xml:space="preserve"> </w:t>
      </w:r>
      <w:r w:rsidRPr="00706C62">
        <w:rPr>
          <w:rFonts w:asciiTheme="minorHAnsi" w:hAnsiTheme="minorHAnsi" w:cstheme="minorHAnsi"/>
          <w:b/>
          <w:bCs/>
          <w:szCs w:val="24"/>
        </w:rPr>
        <w:t>stosunku do osiągniętych wskaźników produktu zgodnie z wnioskiem</w:t>
      </w:r>
      <w:r w:rsidR="00D82FED" w:rsidRPr="00706C62">
        <w:rPr>
          <w:rFonts w:asciiTheme="minorHAnsi" w:hAnsiTheme="minorHAnsi" w:cstheme="minorHAnsi"/>
          <w:b/>
          <w:bCs/>
          <w:szCs w:val="24"/>
        </w:rPr>
        <w:t xml:space="preserve"> </w:t>
      </w:r>
      <w:r w:rsidRPr="00706C62">
        <w:rPr>
          <w:rFonts w:asciiTheme="minorHAnsi" w:hAnsiTheme="minorHAnsi" w:cstheme="minorHAnsi"/>
          <w:b/>
          <w:bCs/>
          <w:szCs w:val="24"/>
        </w:rPr>
        <w:t>sprawozdawczym i rozliczającym zaliczkę, środki mogę przelać na konto własne w</w:t>
      </w:r>
      <w:r w:rsidR="00D82FED" w:rsidRPr="00706C62">
        <w:rPr>
          <w:rFonts w:asciiTheme="minorHAnsi" w:hAnsiTheme="minorHAnsi" w:cstheme="minorHAnsi"/>
          <w:b/>
          <w:bCs/>
          <w:szCs w:val="24"/>
        </w:rPr>
        <w:t xml:space="preserve"> </w:t>
      </w:r>
      <w:r w:rsidRPr="00706C62">
        <w:rPr>
          <w:rFonts w:asciiTheme="minorHAnsi" w:hAnsiTheme="minorHAnsi" w:cstheme="minorHAnsi"/>
          <w:b/>
          <w:bCs/>
          <w:szCs w:val="24"/>
        </w:rPr>
        <w:t>momencie złożenia wniosku czy w momencie jego akceptacji?</w:t>
      </w:r>
    </w:p>
    <w:p w14:paraId="474DBEFF" w14:textId="77777777" w:rsidR="00214D1A" w:rsidRPr="00706C62" w:rsidRDefault="00214D1A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706C62">
        <w:rPr>
          <w:rFonts w:asciiTheme="minorHAnsi" w:hAnsiTheme="minorHAnsi" w:cstheme="minorHAnsi"/>
          <w:szCs w:val="24"/>
        </w:rPr>
        <w:t>Odpowiedź:</w:t>
      </w:r>
    </w:p>
    <w:p w14:paraId="0CA5095E" w14:textId="77777777" w:rsidR="00214D1A" w:rsidRPr="00706C62" w:rsidRDefault="00214D1A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706C62">
        <w:rPr>
          <w:rFonts w:asciiTheme="minorHAnsi" w:hAnsiTheme="minorHAnsi" w:cstheme="minorHAnsi"/>
          <w:szCs w:val="24"/>
        </w:rPr>
        <w:t>Co do zasady zaleca się aby środki pozostałe na rachunku bankowym przelać na rachunek</w:t>
      </w:r>
    </w:p>
    <w:p w14:paraId="0F667523" w14:textId="77777777" w:rsidR="005B58AD" w:rsidRPr="00706C62" w:rsidRDefault="00214D1A" w:rsidP="005B64DD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szCs w:val="24"/>
        </w:rPr>
      </w:pPr>
      <w:r w:rsidRPr="00706C62">
        <w:rPr>
          <w:rFonts w:asciiTheme="minorHAnsi" w:hAnsiTheme="minorHAnsi" w:cstheme="minorHAnsi"/>
          <w:szCs w:val="24"/>
        </w:rPr>
        <w:t>własny OOW dopiero po rozliczeniu zaliczki w oparciu o stawki jednostkowe.</w:t>
      </w:r>
    </w:p>
    <w:p w14:paraId="460C4D9F" w14:textId="77777777" w:rsidR="00E438BF" w:rsidRDefault="00E438BF" w:rsidP="00E438BF">
      <w:pPr>
        <w:spacing w:before="120" w:after="120" w:line="276" w:lineRule="auto"/>
        <w:mirrorIndents/>
        <w:rPr>
          <w:rFonts w:asciiTheme="minorHAnsi" w:hAnsiTheme="minorHAnsi" w:cstheme="minorHAnsi"/>
          <w:szCs w:val="24"/>
        </w:rPr>
      </w:pPr>
    </w:p>
    <w:p w14:paraId="63D3CA55" w14:textId="29CB04FF" w:rsidR="00706C62" w:rsidRPr="00CA7F80" w:rsidRDefault="00CA7F80" w:rsidP="00CA7F80">
      <w:pPr>
        <w:spacing w:before="120" w:after="120" w:line="276" w:lineRule="auto"/>
        <w:contextualSpacing/>
        <w:mirrorIndents/>
        <w:rPr>
          <w:rFonts w:asciiTheme="minorHAnsi" w:hAnsiTheme="minorHAnsi" w:cstheme="minorHAnsi"/>
          <w:b/>
          <w:bCs/>
          <w:szCs w:val="24"/>
        </w:rPr>
      </w:pPr>
      <w:r w:rsidRPr="00CA7F80">
        <w:rPr>
          <w:rFonts w:asciiTheme="minorHAnsi" w:hAnsiTheme="minorHAnsi" w:cstheme="minorHAnsi"/>
          <w:b/>
          <w:bCs/>
          <w:szCs w:val="24"/>
        </w:rPr>
        <w:t>Czy beneficjent może na bieżąco finansować faktury od Generalnego Wykonawcy z przyznanych środków, co może skutkować momentami, że stan środków na wyodrębnionym rachunku bankowym służącym do obsługi Przedsięwzięcia będzie różny niż stan rozliczenia z CPPC w zgłoszonym przez beneficjenta wniosku o płatność (taka sytuacja może wystąpić w przypadku wcześniejszego wykonania przez Wykonawcę prac i opłacenia ich przez Zamawiającego, np. dokumentacja projektowa dla punktów adresowych wykonana i zapłacona z innego Kamienia Milowego niż rozliczany z CPPC).</w:t>
      </w:r>
    </w:p>
    <w:p w14:paraId="2EE8D348" w14:textId="5CEDD01D" w:rsidR="00437674" w:rsidRDefault="00437674" w:rsidP="00437674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Odpowiedź:</w:t>
      </w:r>
    </w:p>
    <w:p w14:paraId="188AFCED" w14:textId="05A362A8" w:rsidR="00CA7F80" w:rsidRDefault="00437674" w:rsidP="00437674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437674">
        <w:rPr>
          <w:rFonts w:asciiTheme="minorHAnsi" w:hAnsiTheme="minorHAnsi" w:cstheme="minorHAnsi"/>
          <w:szCs w:val="24"/>
        </w:rPr>
        <w:t xml:space="preserve">Tak, jest to możliwe. Jeżeli umowa z Wykonawcą będzie obejmowała etapy częściowe, to jest możliwość wypłaty częściowej. Przy rozliczeniu wniosku o płatność </w:t>
      </w:r>
      <w:r w:rsidR="00AE7901">
        <w:rPr>
          <w:rFonts w:asciiTheme="minorHAnsi" w:hAnsiTheme="minorHAnsi" w:cstheme="minorHAnsi"/>
          <w:szCs w:val="24"/>
        </w:rPr>
        <w:t>B</w:t>
      </w:r>
      <w:r w:rsidRPr="00437674">
        <w:rPr>
          <w:rFonts w:asciiTheme="minorHAnsi" w:hAnsiTheme="minorHAnsi" w:cstheme="minorHAnsi"/>
          <w:szCs w:val="24"/>
        </w:rPr>
        <w:t>eneficjent</w:t>
      </w:r>
      <w:r>
        <w:rPr>
          <w:rFonts w:asciiTheme="minorHAnsi" w:hAnsiTheme="minorHAnsi" w:cstheme="minorHAnsi"/>
          <w:szCs w:val="24"/>
        </w:rPr>
        <w:t>/OOW</w:t>
      </w:r>
      <w:r w:rsidRPr="00437674">
        <w:rPr>
          <w:rFonts w:asciiTheme="minorHAnsi" w:hAnsiTheme="minorHAnsi" w:cstheme="minorHAnsi"/>
          <w:szCs w:val="24"/>
        </w:rPr>
        <w:t xml:space="preserve"> będzie musiał przedstawić oświadczenie, w którym potwierdzi, że wszystkie płatności zrealizowane z konta dedykowanego są spożytkowane na cele projektu</w:t>
      </w:r>
      <w:r w:rsidR="008C0077">
        <w:rPr>
          <w:rFonts w:asciiTheme="minorHAnsi" w:hAnsiTheme="minorHAnsi" w:cstheme="minorHAnsi"/>
          <w:szCs w:val="24"/>
        </w:rPr>
        <w:t>.</w:t>
      </w:r>
    </w:p>
    <w:p w14:paraId="292A10E7" w14:textId="77777777" w:rsidR="00D27B9D" w:rsidRDefault="00D27B9D" w:rsidP="00437674">
      <w:pPr>
        <w:spacing w:before="120" w:after="120" w:line="276" w:lineRule="auto"/>
        <w:rPr>
          <w:rFonts w:asciiTheme="minorHAnsi" w:hAnsiTheme="minorHAnsi" w:cstheme="minorHAnsi"/>
          <w:szCs w:val="24"/>
        </w:rPr>
      </w:pPr>
    </w:p>
    <w:p w14:paraId="0C818799" w14:textId="77777777" w:rsidR="00F216AD" w:rsidRDefault="004347C8" w:rsidP="004347C8">
      <w:pPr>
        <w:spacing w:before="120" w:after="120" w:line="276" w:lineRule="auto"/>
        <w:rPr>
          <w:rFonts w:asciiTheme="minorHAnsi" w:hAnsiTheme="minorHAnsi" w:cstheme="minorHAnsi"/>
          <w:b/>
          <w:bCs/>
          <w:szCs w:val="24"/>
        </w:rPr>
      </w:pPr>
      <w:r w:rsidRPr="004347C8">
        <w:rPr>
          <w:rFonts w:asciiTheme="minorHAnsi" w:hAnsiTheme="minorHAnsi" w:cstheme="minorHAnsi"/>
          <w:b/>
          <w:bCs/>
          <w:szCs w:val="24"/>
        </w:rPr>
        <w:t>Czy zaliczka udzielana wykonawcy na podstawie faktury zaliczkowej, która będzie później częścią faktury końcowej, może być zapłacona:</w:t>
      </w:r>
    </w:p>
    <w:p w14:paraId="6281E57F" w14:textId="38A77D5F" w:rsidR="004347C8" w:rsidRPr="004347C8" w:rsidRDefault="004347C8" w:rsidP="004347C8">
      <w:pPr>
        <w:spacing w:before="120" w:after="120" w:line="276" w:lineRule="auto"/>
        <w:rPr>
          <w:rFonts w:asciiTheme="minorHAnsi" w:hAnsiTheme="minorHAnsi" w:cstheme="minorHAnsi"/>
          <w:b/>
          <w:bCs/>
          <w:szCs w:val="24"/>
        </w:rPr>
      </w:pPr>
      <w:r w:rsidRPr="004347C8">
        <w:rPr>
          <w:rFonts w:asciiTheme="minorHAnsi" w:hAnsiTheme="minorHAnsi" w:cstheme="minorHAnsi"/>
          <w:b/>
          <w:bCs/>
          <w:szCs w:val="24"/>
        </w:rPr>
        <w:t>1) w całości z rachunku bieżącego beneficjenta?</w:t>
      </w:r>
    </w:p>
    <w:p w14:paraId="2C4E288E" w14:textId="77777777" w:rsidR="004347C8" w:rsidRPr="004347C8" w:rsidRDefault="004347C8" w:rsidP="004347C8">
      <w:pPr>
        <w:spacing w:before="120" w:after="120" w:line="276" w:lineRule="auto"/>
        <w:rPr>
          <w:rFonts w:asciiTheme="minorHAnsi" w:hAnsiTheme="minorHAnsi" w:cstheme="minorHAnsi"/>
          <w:b/>
          <w:bCs/>
          <w:szCs w:val="24"/>
        </w:rPr>
      </w:pPr>
      <w:r w:rsidRPr="004347C8">
        <w:rPr>
          <w:rFonts w:asciiTheme="minorHAnsi" w:hAnsiTheme="minorHAnsi" w:cstheme="minorHAnsi"/>
          <w:b/>
          <w:bCs/>
          <w:szCs w:val="24"/>
        </w:rPr>
        <w:t>2) czy też w odpowiednich częściach z rachunku dotacyjnego i rachunku bieżącego?</w:t>
      </w:r>
    </w:p>
    <w:p w14:paraId="1D3CDC0D" w14:textId="77777777" w:rsidR="004347C8" w:rsidRDefault="004347C8" w:rsidP="004347C8">
      <w:pPr>
        <w:spacing w:before="120" w:after="120" w:line="276" w:lineRule="auto"/>
        <w:rPr>
          <w:rFonts w:asciiTheme="minorHAnsi" w:hAnsiTheme="minorHAnsi" w:cstheme="minorHAnsi"/>
          <w:szCs w:val="24"/>
        </w:rPr>
      </w:pPr>
    </w:p>
    <w:p w14:paraId="4D76AD3F" w14:textId="64188F43" w:rsidR="004347C8" w:rsidRPr="004347C8" w:rsidRDefault="004347C8" w:rsidP="004347C8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4347C8">
        <w:rPr>
          <w:rFonts w:asciiTheme="minorHAnsi" w:hAnsiTheme="minorHAnsi" w:cstheme="minorHAnsi"/>
          <w:szCs w:val="24"/>
        </w:rPr>
        <w:t xml:space="preserve">Odpowiedź: </w:t>
      </w:r>
    </w:p>
    <w:p w14:paraId="78436344" w14:textId="77777777" w:rsidR="004347C8" w:rsidRDefault="004347C8" w:rsidP="004347C8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4347C8">
        <w:rPr>
          <w:rFonts w:asciiTheme="minorHAnsi" w:hAnsiTheme="minorHAnsi" w:cstheme="minorHAnsi"/>
          <w:szCs w:val="24"/>
        </w:rPr>
        <w:lastRenderedPageBreak/>
        <w:t xml:space="preserve">Zgodnie z § 8 pkt 2 umowy o objęcie przedsięwzięcia wsparciem, „…Dofinansowanie, o którym mowa w ust. 1, będzie przekazywane w transzach, każdorazowo na podstawie zatwierdzonego wniosku o płatność, na wskazany przez Ostatecznego odbiorcę wsparcia wyodrębniony rachunek bankowy o numerze ………………………………………, który będzie służył wyłącznie do prowadzenia operacji wynikających z realizacji Przedsięwzięcia. W przypadku gdy bank prowadzący rachunek udostępnia taką możliwość, Ostateczny odbiorca wsparcia zobowiązany jest oznaczyć rachunek bankowy jako służący do obsługi Przedsięwzięcia w celu ochrony środków, które się na nim znajdują przed zajęciem w rozumieniu art. 831 § 1 pkt 2a ustawy z dnia 17 listopada 1964 r. Kodeks postępowania cywilnego (t.j. Dz.U. z 2023 r. poz. 1550 ze zm.).” </w:t>
      </w:r>
    </w:p>
    <w:p w14:paraId="56CED050" w14:textId="51C58075" w:rsidR="00D27B9D" w:rsidRDefault="004347C8" w:rsidP="004347C8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4347C8">
        <w:rPr>
          <w:rFonts w:asciiTheme="minorHAnsi" w:hAnsiTheme="minorHAnsi" w:cstheme="minorHAnsi"/>
          <w:szCs w:val="24"/>
        </w:rPr>
        <w:t>Ob</w:t>
      </w:r>
      <w:r>
        <w:rPr>
          <w:rFonts w:asciiTheme="minorHAnsi" w:hAnsiTheme="minorHAnsi" w:cstheme="minorHAnsi"/>
          <w:szCs w:val="24"/>
        </w:rPr>
        <w:t>ydwa</w:t>
      </w:r>
      <w:r w:rsidRPr="004347C8">
        <w:rPr>
          <w:rFonts w:asciiTheme="minorHAnsi" w:hAnsiTheme="minorHAnsi" w:cstheme="minorHAnsi"/>
          <w:szCs w:val="24"/>
        </w:rPr>
        <w:t xml:space="preserve"> sposoby rozliczeń są właściwe. Prosimy wziąć pod uwagę, że przepływy z rachunku dotacyjnego powinny służyć jedynie realizacji celów projektów.</w:t>
      </w:r>
    </w:p>
    <w:p w14:paraId="2A8D7406" w14:textId="77777777" w:rsidR="00F216AD" w:rsidRDefault="00F216AD" w:rsidP="004347C8">
      <w:pPr>
        <w:spacing w:before="120" w:after="120" w:line="276" w:lineRule="auto"/>
        <w:rPr>
          <w:rFonts w:asciiTheme="minorHAnsi" w:hAnsiTheme="minorHAnsi" w:cstheme="minorHAnsi"/>
          <w:szCs w:val="24"/>
        </w:rPr>
      </w:pPr>
    </w:p>
    <w:p w14:paraId="5599C350" w14:textId="5EA8E606" w:rsidR="00F216AD" w:rsidRPr="00F216AD" w:rsidRDefault="00F216AD" w:rsidP="00F216AD">
      <w:pPr>
        <w:spacing w:before="120" w:after="120" w:line="276" w:lineRule="auto"/>
        <w:rPr>
          <w:rFonts w:asciiTheme="minorHAnsi" w:hAnsiTheme="minorHAnsi" w:cstheme="minorHAnsi"/>
          <w:b/>
          <w:bCs/>
          <w:szCs w:val="24"/>
        </w:rPr>
      </w:pPr>
      <w:r w:rsidRPr="00F216AD">
        <w:rPr>
          <w:rFonts w:asciiTheme="minorHAnsi" w:hAnsiTheme="minorHAnsi" w:cstheme="minorHAnsi"/>
          <w:b/>
          <w:bCs/>
          <w:szCs w:val="24"/>
        </w:rPr>
        <w:t>Czy Beneficjent może uzupełnić rachunek dotacyjny na potrzeby zaliczki z rachunku bieżącego (dotyczy potwierdzenia zasady opisanej w pkt 1.b).</w:t>
      </w:r>
    </w:p>
    <w:p w14:paraId="06E6C80E" w14:textId="108D6985" w:rsidR="00F216AD" w:rsidRPr="00F216AD" w:rsidRDefault="00F216AD" w:rsidP="00F216AD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F216AD">
        <w:rPr>
          <w:rFonts w:asciiTheme="minorHAnsi" w:hAnsiTheme="minorHAnsi" w:cstheme="minorHAnsi"/>
          <w:szCs w:val="24"/>
        </w:rPr>
        <w:t>Odpowiedź:</w:t>
      </w:r>
    </w:p>
    <w:p w14:paraId="5B9418C2" w14:textId="5E957B74" w:rsidR="00F216AD" w:rsidRDefault="00F216AD" w:rsidP="00F216AD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F216AD">
        <w:rPr>
          <w:rFonts w:asciiTheme="minorHAnsi" w:hAnsiTheme="minorHAnsi" w:cstheme="minorHAnsi"/>
          <w:szCs w:val="24"/>
        </w:rPr>
        <w:t>Tak, jest to możliwe.</w:t>
      </w:r>
    </w:p>
    <w:p w14:paraId="3FF5DF38" w14:textId="77777777" w:rsidR="008C0077" w:rsidRDefault="008C0077" w:rsidP="00437674">
      <w:pPr>
        <w:spacing w:before="120" w:after="120" w:line="276" w:lineRule="auto"/>
        <w:rPr>
          <w:rFonts w:asciiTheme="minorHAnsi" w:hAnsiTheme="minorHAnsi" w:cstheme="minorHAnsi"/>
          <w:szCs w:val="24"/>
        </w:rPr>
      </w:pPr>
    </w:p>
    <w:p w14:paraId="349DBD0E" w14:textId="17FAE8D5" w:rsidR="008C0077" w:rsidRDefault="00101879" w:rsidP="00437674">
      <w:pPr>
        <w:spacing w:before="120" w:after="120" w:line="276" w:lineRule="auto"/>
        <w:rPr>
          <w:rFonts w:asciiTheme="minorHAnsi" w:hAnsiTheme="minorHAnsi" w:cstheme="minorHAnsi"/>
          <w:b/>
          <w:bCs/>
          <w:szCs w:val="24"/>
        </w:rPr>
      </w:pPr>
      <w:r w:rsidRPr="00101879">
        <w:rPr>
          <w:rFonts w:asciiTheme="minorHAnsi" w:hAnsiTheme="minorHAnsi" w:cstheme="minorHAnsi"/>
          <w:b/>
          <w:bCs/>
          <w:szCs w:val="24"/>
        </w:rPr>
        <w:t>Ostateczny odbiorca wsparcia</w:t>
      </w:r>
      <w:r w:rsidR="00E443FC">
        <w:rPr>
          <w:rFonts w:asciiTheme="minorHAnsi" w:hAnsiTheme="minorHAnsi" w:cstheme="minorHAnsi"/>
          <w:b/>
          <w:bCs/>
          <w:szCs w:val="24"/>
        </w:rPr>
        <w:t>/beneficjent</w:t>
      </w:r>
      <w:r w:rsidRPr="00101879">
        <w:rPr>
          <w:rFonts w:asciiTheme="minorHAnsi" w:hAnsiTheme="minorHAnsi" w:cstheme="minorHAnsi"/>
          <w:b/>
          <w:bCs/>
          <w:szCs w:val="24"/>
        </w:rPr>
        <w:t xml:space="preserve"> otrzymał zaliczkę, którą wydatkował w całości na prace projektowe. Wydatki zostały poniesione, jednak żaden z punktów adresowych nie został objęty zasięgiem, gdyż wykonano tylko dokumentację projektową. W tej sytuacji, aby rozliczyć zaliczkę należy wykonać prace budowlano-montażowe itd. (koszty rozliczane w ramach refundacji, gdyż oow</w:t>
      </w:r>
      <w:r w:rsidR="00E443FC">
        <w:rPr>
          <w:rFonts w:asciiTheme="minorHAnsi" w:hAnsiTheme="minorHAnsi" w:cstheme="minorHAnsi"/>
          <w:b/>
          <w:bCs/>
          <w:szCs w:val="24"/>
        </w:rPr>
        <w:t>/beneficjent</w:t>
      </w:r>
      <w:r w:rsidRPr="00101879">
        <w:rPr>
          <w:rFonts w:asciiTheme="minorHAnsi" w:hAnsiTheme="minorHAnsi" w:cstheme="minorHAnsi"/>
          <w:b/>
          <w:bCs/>
          <w:szCs w:val="24"/>
        </w:rPr>
        <w:t xml:space="preserve"> nie może zawnioskować o kolejną zaliczkę). Zgadza się?</w:t>
      </w:r>
    </w:p>
    <w:p w14:paraId="7C4AD0EF" w14:textId="49A757C1" w:rsidR="00FD7A66" w:rsidRPr="00FD7A66" w:rsidRDefault="00FD7A66" w:rsidP="00FD7A66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FD7A66">
        <w:rPr>
          <w:rFonts w:asciiTheme="minorHAnsi" w:hAnsiTheme="minorHAnsi" w:cstheme="minorHAnsi"/>
          <w:szCs w:val="24"/>
        </w:rPr>
        <w:t>Odpowiedź:</w:t>
      </w:r>
    </w:p>
    <w:p w14:paraId="5D9C14BB" w14:textId="144C4B77" w:rsidR="00FD7A66" w:rsidRPr="00FD7A66" w:rsidRDefault="00FD7A66" w:rsidP="00FD7A66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FD7A66">
        <w:rPr>
          <w:rFonts w:asciiTheme="minorHAnsi" w:hAnsiTheme="minorHAnsi" w:cstheme="minorHAnsi"/>
          <w:szCs w:val="24"/>
        </w:rPr>
        <w:t>Rozliczenie dofinansowania przekazanego w formie zaliczki, polega na wykazaniu przez Ostatecznego odbiorcę wsparcia</w:t>
      </w:r>
      <w:r w:rsidR="00347927">
        <w:rPr>
          <w:rFonts w:asciiTheme="minorHAnsi" w:hAnsiTheme="minorHAnsi" w:cstheme="minorHAnsi"/>
          <w:szCs w:val="24"/>
        </w:rPr>
        <w:t>/Beneficjenta</w:t>
      </w:r>
      <w:r w:rsidRPr="00FD7A66">
        <w:rPr>
          <w:rFonts w:asciiTheme="minorHAnsi" w:hAnsiTheme="minorHAnsi" w:cstheme="minorHAnsi"/>
          <w:szCs w:val="24"/>
        </w:rPr>
        <w:t xml:space="preserve"> wydatków kwalifikowalnych we wnioskach o płatność rozliczających tę zaliczkę złożonych do </w:t>
      </w:r>
      <w:r w:rsidR="00347927">
        <w:rPr>
          <w:rFonts w:asciiTheme="minorHAnsi" w:hAnsiTheme="minorHAnsi" w:cstheme="minorHAnsi"/>
          <w:szCs w:val="24"/>
        </w:rPr>
        <w:t>CPPC</w:t>
      </w:r>
      <w:r w:rsidRPr="00FD7A66">
        <w:rPr>
          <w:rFonts w:asciiTheme="minorHAnsi" w:hAnsiTheme="minorHAnsi" w:cstheme="minorHAnsi"/>
          <w:szCs w:val="24"/>
        </w:rPr>
        <w:t xml:space="preserve"> lub na zwrocie tej zaliczki. Kolejno, zgodnie umo</w:t>
      </w:r>
      <w:r w:rsidR="00BF5330">
        <w:rPr>
          <w:rFonts w:asciiTheme="minorHAnsi" w:hAnsiTheme="minorHAnsi" w:cstheme="minorHAnsi"/>
          <w:szCs w:val="24"/>
        </w:rPr>
        <w:t>wą</w:t>
      </w:r>
      <w:r w:rsidRPr="00FD7A66">
        <w:rPr>
          <w:rFonts w:asciiTheme="minorHAnsi" w:hAnsiTheme="minorHAnsi" w:cstheme="minorHAnsi"/>
          <w:szCs w:val="24"/>
        </w:rPr>
        <w:t xml:space="preserve"> warunkiem otrzymania kolejnej transzy zaliczki jest przedstawienie do rozliczenia przez Ostatecznego odbiorcę wsparcia</w:t>
      </w:r>
      <w:r w:rsidR="00BF5330">
        <w:rPr>
          <w:rFonts w:asciiTheme="minorHAnsi" w:hAnsiTheme="minorHAnsi" w:cstheme="minorHAnsi"/>
          <w:szCs w:val="24"/>
        </w:rPr>
        <w:t>/Beneficjenta</w:t>
      </w:r>
      <w:r w:rsidRPr="00FD7A66">
        <w:rPr>
          <w:rFonts w:asciiTheme="minorHAnsi" w:hAnsiTheme="minorHAnsi" w:cstheme="minorHAnsi"/>
          <w:szCs w:val="24"/>
        </w:rPr>
        <w:t xml:space="preserve"> punktów adresowych, dla których suma stawek jednostkowych wynosi co najmniej 70% wartości łącznie dotychczas udzielonych zaliczek.</w:t>
      </w:r>
    </w:p>
    <w:p w14:paraId="42D094E1" w14:textId="0A4A0F2D" w:rsidR="00E443FC" w:rsidRDefault="00FD7A66" w:rsidP="00FD7A66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FD7A66">
        <w:rPr>
          <w:rFonts w:asciiTheme="minorHAnsi" w:hAnsiTheme="minorHAnsi" w:cstheme="minorHAnsi"/>
          <w:szCs w:val="24"/>
        </w:rPr>
        <w:t xml:space="preserve">Potwierdzam, że jeśli otrzymana zaliczka została wydatkowana w całości na prace projektowe i tym samym żaden z punktów adresowych nie został objęty zasięgiem (nie został wykonany) nie będzie można rozliczyć tej zaliczki we wniosku o płatność. Rozliczenie zaliczki będzie mogło nastąpić dopiero we wniosku, w którym zostaną wykazane wykonane punkty adresowe (efekt wykonanych prac). Zgodnie z par. 8 ust. 8 umowy, zaliczka musi zostać </w:t>
      </w:r>
      <w:r w:rsidRPr="00FD7A66">
        <w:rPr>
          <w:rFonts w:asciiTheme="minorHAnsi" w:hAnsiTheme="minorHAnsi" w:cstheme="minorHAnsi"/>
          <w:szCs w:val="24"/>
        </w:rPr>
        <w:lastRenderedPageBreak/>
        <w:t>rozliczona w ciągu 18 miesięcy od dnia jej otrzymania, co oznacza, że w tym terminie należy złożyć wniosek rozliczający lub zwrócić zaliczkę.</w:t>
      </w:r>
    </w:p>
    <w:p w14:paraId="0DAA0244" w14:textId="77777777" w:rsidR="007803B6" w:rsidRDefault="007803B6" w:rsidP="00FD7A66">
      <w:pPr>
        <w:spacing w:before="120" w:after="120" w:line="276" w:lineRule="auto"/>
        <w:rPr>
          <w:rFonts w:asciiTheme="minorHAnsi" w:hAnsiTheme="minorHAnsi" w:cstheme="minorHAnsi"/>
          <w:szCs w:val="24"/>
        </w:rPr>
      </w:pPr>
    </w:p>
    <w:p w14:paraId="165723AF" w14:textId="43D20F8B" w:rsidR="007803B6" w:rsidRPr="00427F57" w:rsidRDefault="00A509E5" w:rsidP="00FD7A66">
      <w:pPr>
        <w:spacing w:before="120" w:after="120" w:line="276" w:lineRule="auto"/>
        <w:rPr>
          <w:rFonts w:asciiTheme="minorHAnsi" w:hAnsiTheme="minorHAnsi" w:cstheme="minorHAnsi"/>
          <w:b/>
          <w:bCs/>
          <w:szCs w:val="24"/>
        </w:rPr>
      </w:pPr>
      <w:r w:rsidRPr="00427F57">
        <w:rPr>
          <w:rFonts w:asciiTheme="minorHAnsi" w:hAnsiTheme="minorHAnsi" w:cstheme="minorHAnsi"/>
          <w:b/>
          <w:bCs/>
          <w:szCs w:val="24"/>
        </w:rPr>
        <w:t>Z czego wynika zasada, że maksymalna jednorazowa wartość zaliczki w ramach KPO nie może przekroczyć 40% całego dofinansowania? Nie ma tego zapisu w umowie, ale rozumiem, że dotyczy zarówno pierwszego, jak i drugiego naboru KPO?</w:t>
      </w:r>
    </w:p>
    <w:p w14:paraId="7DDCBE62" w14:textId="2D948EB1" w:rsidR="00A509E5" w:rsidRDefault="00A509E5" w:rsidP="00FD7A66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Odpowiedź:</w:t>
      </w:r>
    </w:p>
    <w:p w14:paraId="2C5DA68A" w14:textId="77777777" w:rsidR="00427F57" w:rsidRPr="00427F57" w:rsidRDefault="00427F57" w:rsidP="00427F57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427F57">
        <w:rPr>
          <w:rFonts w:asciiTheme="minorHAnsi" w:hAnsiTheme="minorHAnsi" w:cstheme="minorHAnsi"/>
          <w:szCs w:val="24"/>
        </w:rPr>
        <w:t>Zgodnie z Umową § 7 ust. 3 ,,Ostateczny odbiorca wsparcia zobowiązuje się do realizacji Przedsięwzięcia w pełnym zakresie, w okresie wskazanym w § 4 ust. 1, z należytą starannością, w szczególności ponosząc wydatki celowo, rzetelnie, racjonalnie i oszczędnie z zachowaniem zasady uzyskiwania najlepszych efektów z danych nakładów …”</w:t>
      </w:r>
    </w:p>
    <w:p w14:paraId="37F18212" w14:textId="1FCACFE8" w:rsidR="00A509E5" w:rsidRPr="00FD7A66" w:rsidRDefault="00427F57" w:rsidP="00427F57">
      <w:pPr>
        <w:spacing w:before="120" w:after="120" w:line="276" w:lineRule="auto"/>
        <w:rPr>
          <w:rFonts w:asciiTheme="minorHAnsi" w:hAnsiTheme="minorHAnsi" w:cstheme="minorHAnsi"/>
          <w:szCs w:val="24"/>
        </w:rPr>
      </w:pPr>
      <w:r w:rsidRPr="00427F57">
        <w:rPr>
          <w:rFonts w:asciiTheme="minorHAnsi" w:hAnsiTheme="minorHAnsi" w:cstheme="minorHAnsi"/>
          <w:szCs w:val="24"/>
        </w:rPr>
        <w:t>W związku z powyższym maksymalna wysokość transzy zaliczki jest relacją zobowiązań wynikających z projektu i racjonalności wydatkowania środków publicznych. Zgodnie z zapisami umowy mają Państwo obowiązek rozliczyć zaliczkę w ciągu 18 miesięcy, a w pierwszych 2 latach mają Państwo do rozliczenia 35% Przedsięwzięcia w ramach kamieni milowych (KM 1 i KM2). Należy zauważyć, że ustalona wysokość transzy zaliczki zabezpiecza płynność finansowania projektu do osiągnięcia pierwszych dwóch kamieni milowych.</w:t>
      </w:r>
    </w:p>
    <w:sectPr w:rsidR="00A509E5" w:rsidRPr="00FD7A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EB7821"/>
    <w:multiLevelType w:val="hybridMultilevel"/>
    <w:tmpl w:val="418884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33610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96A"/>
    <w:rsid w:val="00022887"/>
    <w:rsid w:val="00072598"/>
    <w:rsid w:val="000B31F3"/>
    <w:rsid w:val="000D0B3F"/>
    <w:rsid w:val="00101879"/>
    <w:rsid w:val="0016473A"/>
    <w:rsid w:val="001752E9"/>
    <w:rsid w:val="001A1F61"/>
    <w:rsid w:val="001A361B"/>
    <w:rsid w:val="001D6947"/>
    <w:rsid w:val="001E5281"/>
    <w:rsid w:val="00214D1A"/>
    <w:rsid w:val="002440CD"/>
    <w:rsid w:val="002873B6"/>
    <w:rsid w:val="002A3530"/>
    <w:rsid w:val="00314D78"/>
    <w:rsid w:val="00337F7D"/>
    <w:rsid w:val="00347927"/>
    <w:rsid w:val="00420698"/>
    <w:rsid w:val="00427F57"/>
    <w:rsid w:val="004347C8"/>
    <w:rsid w:val="00437674"/>
    <w:rsid w:val="004C4276"/>
    <w:rsid w:val="004C515D"/>
    <w:rsid w:val="005570AC"/>
    <w:rsid w:val="00576552"/>
    <w:rsid w:val="005B58AD"/>
    <w:rsid w:val="005B64DD"/>
    <w:rsid w:val="006041B2"/>
    <w:rsid w:val="00615620"/>
    <w:rsid w:val="0068107B"/>
    <w:rsid w:val="006C79F2"/>
    <w:rsid w:val="00706C62"/>
    <w:rsid w:val="007803B6"/>
    <w:rsid w:val="007961E2"/>
    <w:rsid w:val="007A45A5"/>
    <w:rsid w:val="008B1A8F"/>
    <w:rsid w:val="008C0077"/>
    <w:rsid w:val="008C589E"/>
    <w:rsid w:val="00987248"/>
    <w:rsid w:val="009D4906"/>
    <w:rsid w:val="00A509E5"/>
    <w:rsid w:val="00AE7901"/>
    <w:rsid w:val="00B529D3"/>
    <w:rsid w:val="00BD261C"/>
    <w:rsid w:val="00BF5330"/>
    <w:rsid w:val="00C04525"/>
    <w:rsid w:val="00C108B1"/>
    <w:rsid w:val="00C21709"/>
    <w:rsid w:val="00C879B2"/>
    <w:rsid w:val="00CA2237"/>
    <w:rsid w:val="00CA696A"/>
    <w:rsid w:val="00CA7F80"/>
    <w:rsid w:val="00D27B9D"/>
    <w:rsid w:val="00D82FED"/>
    <w:rsid w:val="00E03EEA"/>
    <w:rsid w:val="00E438BF"/>
    <w:rsid w:val="00E443FC"/>
    <w:rsid w:val="00E5658A"/>
    <w:rsid w:val="00EA150C"/>
    <w:rsid w:val="00F007BE"/>
    <w:rsid w:val="00F216AD"/>
    <w:rsid w:val="00F346F3"/>
    <w:rsid w:val="00F43496"/>
    <w:rsid w:val="00F5693B"/>
    <w:rsid w:val="00FC1B4E"/>
    <w:rsid w:val="00FD7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DF192"/>
  <w15:chartTrackingRefBased/>
  <w15:docId w15:val="{9B3AECB9-0AD9-4D2D-8DB8-817CA35FB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361B"/>
    <w:pPr>
      <w:spacing w:before="360" w:after="360" w:line="360" w:lineRule="auto"/>
    </w:pPr>
    <w:rPr>
      <w:rFonts w:ascii="Calibri" w:eastAsiaTheme="minorEastAsia" w:hAnsi="Calibri"/>
      <w:sz w:val="24"/>
      <w:lang w:eastAsia="it-IT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A361B"/>
    <w:pPr>
      <w:keepNext/>
      <w:keepLines/>
      <w:spacing w:line="276" w:lineRule="auto"/>
      <w:outlineLvl w:val="0"/>
    </w:pPr>
    <w:rPr>
      <w:rFonts w:eastAsiaTheme="majorEastAsia" w:cstheme="majorBidi"/>
      <w:b/>
      <w:bCs/>
      <w:sz w:val="26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B1A8F"/>
    <w:pPr>
      <w:keepNext/>
      <w:keepLines/>
      <w:spacing w:line="276" w:lineRule="auto"/>
      <w:outlineLvl w:val="1"/>
    </w:pPr>
    <w:rPr>
      <w:rFonts w:eastAsiaTheme="majorEastAsia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6C79F2"/>
    <w:pPr>
      <w:keepNext/>
      <w:keepLines/>
      <w:spacing w:line="276" w:lineRule="auto"/>
      <w:outlineLvl w:val="2"/>
    </w:pPr>
    <w:rPr>
      <w:rFonts w:asciiTheme="minorHAnsi" w:eastAsiaTheme="majorEastAsia" w:hAnsiTheme="minorHAnsi" w:cstheme="majorBidi"/>
      <w:color w:val="1F3763" w:themeColor="accent1" w:themeShade="7F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A361B"/>
    <w:rPr>
      <w:rFonts w:ascii="Calibri" w:eastAsiaTheme="majorEastAsia" w:hAnsi="Calibri" w:cstheme="majorBidi"/>
      <w:b/>
      <w:bCs/>
      <w:sz w:val="26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8B1A8F"/>
    <w:rPr>
      <w:rFonts w:ascii="Calibri" w:eastAsiaTheme="majorEastAsia" w:hAnsi="Calibri" w:cstheme="majorBidi"/>
      <w:b/>
      <w:sz w:val="24"/>
      <w:szCs w:val="26"/>
    </w:rPr>
  </w:style>
  <w:style w:type="character" w:customStyle="1" w:styleId="Nagwek3Znak">
    <w:name w:val="Nagłówek 3 Znak"/>
    <w:basedOn w:val="Domylnaczcionkaakapitu"/>
    <w:link w:val="Nagwek3"/>
    <w:semiHidden/>
    <w:rsid w:val="006C79F2"/>
    <w:rPr>
      <w:rFonts w:eastAsiaTheme="majorEastAsia" w:cstheme="majorBidi"/>
      <w:color w:val="1F3763" w:themeColor="accent1" w:themeShade="7F"/>
    </w:rPr>
  </w:style>
  <w:style w:type="character" w:customStyle="1" w:styleId="ui-provider">
    <w:name w:val="ui-provider"/>
    <w:basedOn w:val="Domylnaczcionkaakapitu"/>
    <w:rsid w:val="00CA696A"/>
  </w:style>
  <w:style w:type="paragraph" w:styleId="Akapitzlist">
    <w:name w:val="List Paragraph"/>
    <w:basedOn w:val="Normalny"/>
    <w:uiPriority w:val="34"/>
    <w:qFormat/>
    <w:rsid w:val="00CA69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5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9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84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40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696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33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23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2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06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4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67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59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69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69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52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9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5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10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9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52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215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44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44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798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77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1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205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70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346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401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1932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53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575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7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07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84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259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69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37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14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48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6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800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30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20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35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01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854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8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76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13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717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85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46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61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82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32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54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13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87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85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98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80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34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69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31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443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85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20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22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76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10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27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51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60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73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0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62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450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42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87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43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40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08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7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868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5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56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48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97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3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86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1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9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62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55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859</Words>
  <Characters>5159</Characters>
  <Application>Microsoft Office Word</Application>
  <DocSecurity>0</DocSecurity>
  <Lines>42</Lines>
  <Paragraphs>12</Paragraphs>
  <ScaleCrop>false</ScaleCrop>
  <Company/>
  <LinksUpToDate>false</LinksUpToDate>
  <CharactersWithSpaces>6006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Nowicka</dc:creator>
  <cp:keywords/>
  <dc:description/>
  <cp:lastModifiedBy>Sławomir Zubiak</cp:lastModifiedBy>
  <cp:revision>11</cp:revision>
  <dcterms:created xsi:type="dcterms:W3CDTF">2024-05-14T14:46:00Z</dcterms:created>
  <dcterms:modified xsi:type="dcterms:W3CDTF">2024-05-14T15:46:00Z</dcterms:modified>
</cp:coreProperties>
</file>