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BA" w:rsidRPr="003B2392" w:rsidRDefault="008234BA" w:rsidP="007B20B5">
      <w:pPr>
        <w:pStyle w:val="Nagwek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</w:rPr>
      </w:pPr>
      <w:r w:rsidRPr="003B2392">
        <w:rPr>
          <w:rFonts w:ascii="Arial" w:hAnsi="Arial" w:cs="Arial"/>
        </w:rPr>
        <w:t>Odpowiedzialność i zadania innych niż PSP jednostek ochrony przeciwpożarowej mających dostęp do SWD PSP</w:t>
      </w:r>
    </w:p>
    <w:p w:rsidR="007B20B5" w:rsidRDefault="007B20B5" w:rsidP="008234BA">
      <w:pPr>
        <w:jc w:val="both"/>
        <w:rPr>
          <w:rFonts w:ascii="Arial" w:hAnsi="Arial" w:cs="Arial"/>
        </w:rPr>
      </w:pPr>
    </w:p>
    <w:p w:rsidR="008234BA" w:rsidRPr="003B2392" w:rsidRDefault="008234BA" w:rsidP="008234BA">
      <w:p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Inne jednostki ochrony przeciwpożarowej, które zostaną dopuszczone do przetwarzania danych w SWD PSP, na mocy odrębnych przepisó</w:t>
      </w:r>
      <w:bookmarkStart w:id="0" w:name="_GoBack"/>
      <w:bookmarkEnd w:id="0"/>
      <w:r w:rsidRPr="003B2392">
        <w:rPr>
          <w:rFonts w:ascii="Arial" w:hAnsi="Arial" w:cs="Arial"/>
        </w:rPr>
        <w:t>w, są zobowiązane do: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Dopuszczania do pracy w SWD PSP wyłącznie osób spełniających minimalne wymogi odnośnie bezpieczeństwa osobowego. Oznacza to, że każda osoba mająca przetwarzać dane, które będą trafiały do SWD PSP powinna: posiadać imienne upoważnienie pisemne do przetwarzania danych osobowych wydane przez właściwego administratora, podpisać oświadczenie o poufności zawierające dodatkowo informację o zapoznaniu się z procedurami, przepisami i instrukcjami oraz zobowiązanie do ich przestrzegania, odbyć szkolenie obejmujące zasady przetwarzania w systemach teleinformatycznych oraz ochrony danych osobowych. Dodatkowo każda osoba mająca przetwarzać dane w SWD PSP powinna dodatkowo: posiadać dokument zatwierdzony przez administratora, upoważniający do przetwarzania danych w systemie teleinformatycznym łączące jego nazwę oraz nazwę użytkownika, pod którą dozwolone jest przetwarzanie danych dla danej osoby.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Prowadzenia i aktualizowania ewidencji osób upoważnionych do przetwarzania danych osobowych w SWD PSP.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Prowadzenia szkoleń dla użytkowników w zakresie bezpieczeństwa teleinformatycznego oraz ochrony danych osobowych.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Regularnego testowania, mierzenia i oceniania skuteczności środków technicznych </w:t>
      </w:r>
      <w:r w:rsidRPr="003B2392">
        <w:rPr>
          <w:rFonts w:ascii="Arial" w:hAnsi="Arial" w:cs="Arial"/>
        </w:rPr>
        <w:br/>
        <w:t>i organizacyjnych mających zapewnić bezpieczeństwo przetwarzania.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Zapewnienia poufności, integralności, dostępności i odporności systemów i usług przetwarzania, w tym tworzenia zabezpieczeń technicznych, ograniczeń dostępu fizycznego i zdalnego, przestrzegania zasad zarządzania - administrowania, zarządzania użytkownikami i uprawnieniami w odniesieniu do sieci oraz stacji roboczych i oprogramowania końcowego.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Zapewnienia rozliczalności operacji przetwarzania.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Zgłaszania naruszeń i przeprowadzania postępowań po ich stwierdzeniu.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Wykonania obowiązku informacyjnego oraz udostępnienia treści uzgodnień strażakom i innym osobom z własnych jednostek, których dane dotyczą.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Zapewnienia współpracy z IOD z właściwej jednostki PSP oraz UODO.</w:t>
      </w:r>
    </w:p>
    <w:p w:rsidR="008234BA" w:rsidRPr="003B2392" w:rsidRDefault="008234BA" w:rsidP="008234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Zapewnienia przestrzegania obowiązujących przepisów i procedur wewnętrznych przez własnych członków i pracowników.</w:t>
      </w:r>
    </w:p>
    <w:p w:rsidR="008234BA" w:rsidRPr="003B2392" w:rsidRDefault="008234BA" w:rsidP="008234BA">
      <w:pPr>
        <w:ind w:left="360"/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Dodatkowo inne jednostki ochrony przeciwpożarowej, są również obowiązane do przestrzegania minimalnych wymogów bezpieczeństwa dotyczących przetwarzania danych osobowych w SWD PSP w zakresie: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Zbierania danych, tj.: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osoby pozyskujące dane powinny spełniać minimalne wymogi odnośnie bezpieczeństwa osobowego opisane powyżej. 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Utrwalania danych, tj.: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Dane zbierane w związku z prowadzonymi działaniami ratowniczymi mogą być pierwotnie utrwalane na nośnikach tradycyjnych – papierowych, skąd niezwłocznie przenoszone są do SWD PSP. Dane utrwalone w formie papierowej (notatki odręcznej) powinny zostać zniszczone, po ich skutecznym przeniesieniu do SWD PSP, chyba, że zostały lub będą włączone do akt </w:t>
      </w:r>
      <w:r w:rsidRPr="003B2392">
        <w:rPr>
          <w:rFonts w:ascii="Arial" w:hAnsi="Arial" w:cs="Arial"/>
        </w:rPr>
        <w:lastRenderedPageBreak/>
        <w:t xml:space="preserve">sprawy. Odpowiedzialność za te czynności spoczywa na osobie pierwotnie utrwalającej dane;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Wyjątek mogą stanowić notatniki KDR i notatniki dyżurnego stanowiska kierowania/punktu alarmowego (dyżurnego), które podlegają rejestracji wiążącej notatnik z konkretną osobą odpowiedzialną. Notatniki te podlegają niszczeniu do 3 miesięcy po upływie roku kalendarzowego, w którym zostały wytworzone. Dokumentacja w postaci notatników KDR i dyżurnych powinna być odpowiednio chroniona przed dostępem osób nieupoważnionych;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Dokumentacja multimedialna (audio, zdjęcia i wideo) powinna być wykonywana za pomocą sprzętu służbowego przez osoby spełniające minimalne wymogi odnośnie bezpieczeństwa osobowego;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Użycie sprzętu prywatnego do wykonywania dokumentacji multimedialnej dozwolone jest wyłącznie za wiedzą i zgodą właściwego administratora;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Zabrania się wykorzystywania ogólnie dostępnych systemów informatycznych, w tym mediów społecznościowych w celu przetwarzania dokumentacji ze zdarzenia, a zwłaszcza dokumentacji multimedialnej (audio, zdjęcia, wideo);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Podczas zgrywania materiałów z urządzeń w celu ich dalszego przetwarzania, należy dokonać ich przeglądu pod kątem niezbędności ich przechowywania oraz adekwatności zawartości w odniesieniu do celu, jakim jest dokumentowanie działań ratowniczych;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Systemy informatyczne, służące do przechowywania materiałów multimedialnych powinny spełniać wymogi bezpieczeństwa analogiczne jak określone dla SWD PSP;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Administrator może zdecydować o wykorzystaniu wybranej dokumentacji multimedialnej do celów związanych z działalnością informacyjną oraz do działań związanych z zapobieganiem powstawania i rozprzestrzeniania się pożarów, klęsk żywiołowych lub innych miejscowych zagrożeń w ramach prewencji społecznej.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Przekazywania danych za pomocą środków łączności, tj.: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Przekazując i przyjmując dane w formie informacji ustnej, za pomocą środków łączności, należy zawsze mieć na względzie ochronę danych osobowych; nie wolno robić tego w obecności osób nieupoważnionych;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Zabronione jest przekazywanie za pomocą niekodowanych środków łączności informacji, które umożliwiają zidentyfikowanie konkretnych osób, w tym obejmujących szczególne kategorie danych osobowych, o których mowa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w art. 9 ust 1 RODO.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Usuwania danych, tj.: usunięcie danych z SWD PSP może nastąpić wyłącznie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w przypadkach określonych w art. 17 RODO, na pisemny wniosek osoby, której dane dotyczą lub z inicjatywy administratora.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Zdolności do ciągłego zapewnienia poufności, integralności, dostępności i odporności systemów i usług przetwarzania, tj.: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 zakresie funkcjonowania stacji roboczych i oprogramowania końcowego: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urządzenia muszą być zlokalizowane w pomieszczeniach spełniających wymogi bezpieczeństwa fizycznego dla przetwarzania danych osobowych,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sprzęt oraz oprogramowanie na nim używane musi być wyposażone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 xml:space="preserve">w zabezpieczenia przed nieautoryzowanym dostępem zdalnym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w postaci: login i hasło oraz odseparowany od sieci publicznej przy pomocy zapory sieciowej,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wymagana jest praca użytkowników pod indywidualnym identyfikatorem,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lastRenderedPageBreak/>
        <w:t>dopuszczalna jest praca na wspólnym loginie w stanowiskach kierowania/punktach alarmowych pod warunkiem zapewnienia innego mechanizmu rozliczalności operacji przetwarzania danych,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wskazane jest rozdzielenie uprawnień użytkownika od uprawnień administracyjnych i technicznych.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 zakresie przetwarzania w formie papierowej: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kopie papierowe z danymi osobowymi muszą być przechowywane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w zamykanych na klucz szafach, szufladach lub sejfach,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obowiązuje tzw. „zasada czystego biurka”, czyli niepozostawianie dokumentów z danymi osobowymi w trakcie nieobecności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w pomieszczeniu bez odpowiedniego ich zabezpieczenia,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dopuszcza się przechowywanie danych osobowych w niezamykanych szafach lub regałach tylko w pomieszczeniu archiwum lub pomieszczeniu do przechowywania informacji niejawnych zabezpieczonym zgodnie z odrębnymi przepisami.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Zasad napraw urządzeń teleinformatycznych, tj.: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Urządzenia teleinformatyczne powinny być oddawane do naprawy po usunięciu z nich nośników pamięci zawierających dane osobowe lub po trwałym skasowaniu tych danych;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W przypadku, gdy naprawa dotyczy samego nośnika, a nie jest możliwe usunięcie z niego danych, administrator jest zobowiązany podpisać umowę powierzenia przetwarzania danych osobowych z podmiotem dokonującym naprawy. 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Zabezpieczenia przed dostępem fizycznym do obszaru przetwarzania, tj.: 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Administrator definiuje obszar, w którym dozwolone jest przetwarzanie danych osobowych oraz zasady przebywania w nim osób postronnych, nieupoważnionych do przetwarzania danych;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Administrator określa zasady dostępu do pomieszczeń i obszarów, gdzie są przetwarzane dane osobowe, które zapewniają poufność przetwarzanych danych oraz rozliczalność w zakresie osób w nich przebywających;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Pomieszczenia, w których przetwarzane są dane osobowe, powinny być zamykane na czas nieobecności w nich osób dopuszczonych do danych osobowych, w sposób uniemożliwiający dostęp do nich osobom nieupoważnionym;</w:t>
      </w:r>
    </w:p>
    <w:p w:rsidR="008234BA" w:rsidRPr="003B2392" w:rsidRDefault="008234BA" w:rsidP="008234B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Przetwarzanie danych osobowych poza wyznaczonymi pomieszczeniami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 xml:space="preserve">i obszarami powinno się odbywać wyłącznie na polecenie administratora lub osoby przez niego upoważnionej, przy zachowaniu adekwatnym do ryzyka, zasad i procedur bezpieczeństwa. Procedury te powinny być co najmniej tak skuteczne jak stosowane do wyznaczonych pomieszczeń i obszarów. </w:t>
      </w:r>
    </w:p>
    <w:p w:rsidR="008234BA" w:rsidRPr="003B2392" w:rsidRDefault="008234BA" w:rsidP="008234B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Postępowania w sytuacji naruszeń praw i wolności osób fizycznych w związku </w:t>
      </w:r>
      <w:r w:rsidRPr="003B2392">
        <w:rPr>
          <w:rFonts w:ascii="Arial" w:hAnsi="Arial" w:cs="Arial"/>
        </w:rPr>
        <w:br/>
        <w:t xml:space="preserve">z przetwarzaniem ich danych osobowych, tj.: </w:t>
      </w:r>
    </w:p>
    <w:p w:rsidR="008234BA" w:rsidRPr="003B2392" w:rsidRDefault="008234BA" w:rsidP="008234B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Administrator po stwierdzeniu lub uzyskaniu informacji o naruszeniu ochrony danych osobowych powinien: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przystąpić do identyfikacji rodzaju zdarzenia, a w szczególności do określenia skali zniszczeń, dostępu do danych osobowych itp.,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powiadomić właściwego IOD, a także przekazać mu wszelkie niezbędne informacje do realizacji jego obowiązków,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podjąć odpowiednie kroki w celu zminimalizowania szkód i rozmiarów zdarzenia oraz zabezpieczenia przed usunięciem śladów zdarzenia,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lastRenderedPageBreak/>
        <w:t>opisać zdarzenie w prowadzonej dokumentacji naruszeń (również takie, które nie wymaga zgłoszenia do UODO),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 terminie 72 godzin przesłać do UODO zgłoszenie naruszenia ochrony danych osobowych, jeżeli skutkowało ono ryzykiem naruszenia praw i wolności osób fizycznych,</w:t>
      </w:r>
    </w:p>
    <w:p w:rsidR="008234BA" w:rsidRPr="003B2392" w:rsidRDefault="008234BA" w:rsidP="008234BA">
      <w:pPr>
        <w:pStyle w:val="Akapitzlist"/>
        <w:numPr>
          <w:ilvl w:val="2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zgodne z art. 34 RODO, bez zbędnej zwłoki zawiadomić osobę, której dane dotyczą o naruszeniu, jeżeli skutkowało ono dużym ryzykiem naruszenia praw i wolności osób fizycznych.</w:t>
      </w:r>
    </w:p>
    <w:p w:rsidR="008234BA" w:rsidRPr="003B2392" w:rsidRDefault="008234BA" w:rsidP="008234B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 przypadku zdarzenia mającego związek z systemem informatycznym należy dodatkowo: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dokonać szczegółowej analizy systemu w celu potwierdzenia lub wykluczenia faktu naruszenia,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wygenerować, wydrukować dokumenty, raporty lub zestawienia, które mogą pomóc w ustaleniu okoliczności zdarzenia, opatrując je datą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i podpisem,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 razie konieczności dokonać fizycznego odłączenia urządzenia, segmentu sieci, które mogły umożliwiać dostęp do bazy danych osobowych osobie nieupoważnionej,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wylogować użytkownika podejrzewanego o naruszenie ochrony danych osobowych,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>dokonać zmiany haseł na kontach, poprzez które uzyskano nielegalny dostęp,</w:t>
      </w:r>
    </w:p>
    <w:p w:rsidR="008234BA" w:rsidRPr="003B2392" w:rsidRDefault="008234BA" w:rsidP="008234BA">
      <w:pPr>
        <w:pStyle w:val="Akapitzlist"/>
        <w:numPr>
          <w:ilvl w:val="2"/>
          <w:numId w:val="5"/>
        </w:numPr>
        <w:jc w:val="both"/>
        <w:rPr>
          <w:rFonts w:ascii="Arial" w:hAnsi="Arial" w:cs="Arial"/>
        </w:rPr>
      </w:pPr>
      <w:r w:rsidRPr="003B2392">
        <w:rPr>
          <w:rFonts w:ascii="Arial" w:hAnsi="Arial" w:cs="Arial"/>
        </w:rPr>
        <w:t xml:space="preserve">przywrócić normalne działanie systemu, przy czym, jeżeli nastąpiło uszkodzenie bazy danych, przywrócić ją z ostatniej kopii awaryjnej </w:t>
      </w:r>
      <w:r w:rsidR="003B2392">
        <w:rPr>
          <w:rFonts w:ascii="Arial" w:hAnsi="Arial" w:cs="Arial"/>
        </w:rPr>
        <w:br/>
      </w:r>
      <w:r w:rsidRPr="003B2392">
        <w:rPr>
          <w:rFonts w:ascii="Arial" w:hAnsi="Arial" w:cs="Arial"/>
        </w:rPr>
        <w:t>z zachowaniem środków ostrożności przed ponownym dostępem tą samą drogą przez osobę nieupoważnioną.</w:t>
      </w:r>
    </w:p>
    <w:p w:rsidR="008234BA" w:rsidRPr="003B2392" w:rsidRDefault="008234BA" w:rsidP="008234BA">
      <w:pPr>
        <w:rPr>
          <w:rFonts w:ascii="Arial" w:hAnsi="Arial" w:cs="Arial"/>
        </w:rPr>
      </w:pPr>
    </w:p>
    <w:p w:rsidR="00EA0C5F" w:rsidRPr="003B2392" w:rsidRDefault="007B20B5">
      <w:pPr>
        <w:rPr>
          <w:rFonts w:ascii="Arial" w:hAnsi="Arial" w:cs="Arial"/>
        </w:rPr>
      </w:pPr>
    </w:p>
    <w:sectPr w:rsidR="00EA0C5F" w:rsidRPr="003B2392" w:rsidSect="00DE18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0D4"/>
    <w:multiLevelType w:val="hybridMultilevel"/>
    <w:tmpl w:val="8AB2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10D"/>
    <w:multiLevelType w:val="hybridMultilevel"/>
    <w:tmpl w:val="798C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6233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43560CEC"/>
    <w:multiLevelType w:val="hybridMultilevel"/>
    <w:tmpl w:val="040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75CB"/>
    <w:multiLevelType w:val="hybridMultilevel"/>
    <w:tmpl w:val="80DE3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BA"/>
    <w:rsid w:val="00171614"/>
    <w:rsid w:val="003B2392"/>
    <w:rsid w:val="007B20B5"/>
    <w:rsid w:val="008234BA"/>
    <w:rsid w:val="00DE18D9"/>
    <w:rsid w:val="00EB0CC7"/>
    <w:rsid w:val="00E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4A27"/>
  <w15:docId w15:val="{919F5725-33B5-4636-B0AE-DC52D64C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4B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4B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4B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4B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4B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4B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4B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4B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4B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4B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4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4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4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4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82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Kadry</cp:lastModifiedBy>
  <cp:revision>3</cp:revision>
  <dcterms:created xsi:type="dcterms:W3CDTF">2019-12-30T12:18:00Z</dcterms:created>
  <dcterms:modified xsi:type="dcterms:W3CDTF">2019-12-30T12:21:00Z</dcterms:modified>
</cp:coreProperties>
</file>