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2BE" w:rsidRDefault="004602BE" w:rsidP="004602BE">
      <w:pPr>
        <w:autoSpaceDE w:val="0"/>
        <w:autoSpaceDN w:val="0"/>
        <w:adjustRightInd w:val="0"/>
        <w:rPr>
          <w:sz w:val="22"/>
          <w:szCs w:val="28"/>
        </w:rPr>
      </w:pPr>
      <w:r w:rsidRPr="003B7CF8">
        <w:rPr>
          <w:sz w:val="22"/>
          <w:szCs w:val="28"/>
        </w:rPr>
        <w:t>Załącznik</w:t>
      </w:r>
      <w:r>
        <w:rPr>
          <w:sz w:val="22"/>
          <w:szCs w:val="28"/>
        </w:rPr>
        <w:t xml:space="preserve"> B.79</w:t>
      </w:r>
      <w:r>
        <w:rPr>
          <w:sz w:val="22"/>
          <w:szCs w:val="28"/>
        </w:rPr>
        <w:t>.</w:t>
      </w:r>
    </w:p>
    <w:p w:rsidR="008821A8" w:rsidRDefault="008821A8" w:rsidP="004602BE">
      <w:pPr>
        <w:autoSpaceDE w:val="0"/>
        <w:autoSpaceDN w:val="0"/>
        <w:adjustRightInd w:val="0"/>
        <w:rPr>
          <w:sz w:val="22"/>
        </w:rPr>
      </w:pPr>
    </w:p>
    <w:p w:rsidR="004301CA" w:rsidRPr="008821A8" w:rsidRDefault="004301CA" w:rsidP="004602BE">
      <w:pPr>
        <w:spacing w:after="240"/>
        <w:rPr>
          <w:b/>
          <w:sz w:val="28"/>
        </w:rPr>
      </w:pPr>
      <w:r w:rsidRPr="008821A8">
        <w:rPr>
          <w:b/>
          <w:sz w:val="28"/>
        </w:rPr>
        <w:t xml:space="preserve">LECZENIE </w:t>
      </w:r>
      <w:r w:rsidR="00EE540B">
        <w:rPr>
          <w:b/>
          <w:bCs/>
          <w:sz w:val="28"/>
        </w:rPr>
        <w:t>PRZEWLEKŁEJ BIAŁACZKI LIMFOCYTOWEJ</w:t>
      </w:r>
      <w:r w:rsidR="00EE540B" w:rsidRPr="00EE540B">
        <w:rPr>
          <w:b/>
          <w:bCs/>
          <w:sz w:val="28"/>
        </w:rPr>
        <w:t xml:space="preserve"> OBINUTUZUMAB</w:t>
      </w:r>
      <w:r w:rsidR="00EE540B">
        <w:rPr>
          <w:b/>
          <w:bCs/>
          <w:sz w:val="28"/>
        </w:rPr>
        <w:t>EM</w:t>
      </w:r>
      <w:r w:rsidR="00EE540B" w:rsidRPr="00EE540B">
        <w:rPr>
          <w:b/>
          <w:bCs/>
          <w:sz w:val="28"/>
        </w:rPr>
        <w:t xml:space="preserve"> (ICD 10: C.91.1)</w:t>
      </w:r>
    </w:p>
    <w:tbl>
      <w:tblPr>
        <w:tblW w:w="5000" w:type="pct"/>
        <w:tblCellMar>
          <w:left w:w="70" w:type="dxa"/>
          <w:right w:w="70" w:type="dxa"/>
        </w:tblCellMar>
        <w:tblLook w:val="0000" w:firstRow="0" w:lastRow="0" w:firstColumn="0" w:lastColumn="0" w:noHBand="0" w:noVBand="0"/>
      </w:tblPr>
      <w:tblGrid>
        <w:gridCol w:w="5544"/>
        <w:gridCol w:w="4350"/>
        <w:gridCol w:w="5488"/>
      </w:tblGrid>
      <w:tr w:rsidR="001C600E" w:rsidRPr="004E2E0D" w:rsidTr="004E2E0D">
        <w:trPr>
          <w:trHeight w:val="482"/>
        </w:trPr>
        <w:tc>
          <w:tcPr>
            <w:tcW w:w="5000" w:type="pct"/>
            <w:gridSpan w:val="3"/>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F1F15">
            <w:pPr>
              <w:autoSpaceDE w:val="0"/>
              <w:autoSpaceDN w:val="0"/>
              <w:adjustRightInd w:val="0"/>
              <w:spacing w:line="276" w:lineRule="auto"/>
              <w:jc w:val="center"/>
              <w:rPr>
                <w:sz w:val="20"/>
                <w:szCs w:val="20"/>
              </w:rPr>
            </w:pPr>
            <w:r w:rsidRPr="004E2E0D">
              <w:rPr>
                <w:b/>
                <w:bCs/>
                <w:sz w:val="20"/>
                <w:szCs w:val="20"/>
              </w:rPr>
              <w:t>ZAKRES ŚWIADCZENIA GWARANTOWANEGO</w:t>
            </w:r>
          </w:p>
        </w:tc>
      </w:tr>
      <w:tr w:rsidR="001C600E" w:rsidRPr="004E2E0D" w:rsidTr="00BA5DA0">
        <w:tc>
          <w:tcPr>
            <w:tcW w:w="1802" w:type="pct"/>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F1F15">
            <w:pPr>
              <w:autoSpaceDE w:val="0"/>
              <w:autoSpaceDN w:val="0"/>
              <w:adjustRightInd w:val="0"/>
              <w:spacing w:line="276" w:lineRule="auto"/>
              <w:jc w:val="center"/>
              <w:rPr>
                <w:sz w:val="20"/>
                <w:szCs w:val="20"/>
              </w:rPr>
            </w:pPr>
            <w:r w:rsidRPr="004E2E0D">
              <w:rPr>
                <w:b/>
                <w:bCs/>
                <w:sz w:val="20"/>
                <w:szCs w:val="20"/>
              </w:rPr>
              <w:t>ŚWIADCZENIOBIORCY</w:t>
            </w:r>
          </w:p>
        </w:tc>
        <w:tc>
          <w:tcPr>
            <w:tcW w:w="1414" w:type="pct"/>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849DD">
            <w:pPr>
              <w:autoSpaceDE w:val="0"/>
              <w:autoSpaceDN w:val="0"/>
              <w:adjustRightInd w:val="0"/>
              <w:spacing w:line="276" w:lineRule="auto"/>
              <w:jc w:val="center"/>
              <w:rPr>
                <w:sz w:val="20"/>
                <w:szCs w:val="20"/>
              </w:rPr>
            </w:pPr>
            <w:r w:rsidRPr="004E2E0D">
              <w:rPr>
                <w:b/>
                <w:bCs/>
                <w:sz w:val="20"/>
                <w:szCs w:val="20"/>
              </w:rPr>
              <w:t>SCHEMAT DAWKOWANIA LEKÓW W</w:t>
            </w:r>
            <w:r w:rsidR="00E849DD">
              <w:rPr>
                <w:b/>
                <w:bCs/>
                <w:sz w:val="20"/>
                <w:szCs w:val="20"/>
              </w:rPr>
              <w:t> </w:t>
            </w:r>
            <w:r w:rsidRPr="004E2E0D">
              <w:rPr>
                <w:b/>
                <w:bCs/>
                <w:sz w:val="20"/>
                <w:szCs w:val="20"/>
              </w:rPr>
              <w:t>PROGRAMIE</w:t>
            </w:r>
          </w:p>
        </w:tc>
        <w:tc>
          <w:tcPr>
            <w:tcW w:w="1784" w:type="pct"/>
            <w:tcBorders>
              <w:top w:val="single" w:sz="6" w:space="0" w:color="auto"/>
              <w:left w:val="single" w:sz="6" w:space="0" w:color="auto"/>
              <w:bottom w:val="single" w:sz="6" w:space="0" w:color="auto"/>
              <w:right w:val="single" w:sz="6" w:space="0" w:color="auto"/>
            </w:tcBorders>
            <w:vAlign w:val="center"/>
          </w:tcPr>
          <w:p w:rsidR="001C600E" w:rsidRPr="004E2E0D" w:rsidRDefault="001C600E" w:rsidP="00E849DD">
            <w:pPr>
              <w:autoSpaceDE w:val="0"/>
              <w:autoSpaceDN w:val="0"/>
              <w:adjustRightInd w:val="0"/>
              <w:spacing w:line="276" w:lineRule="auto"/>
              <w:jc w:val="center"/>
              <w:rPr>
                <w:sz w:val="20"/>
                <w:szCs w:val="20"/>
              </w:rPr>
            </w:pPr>
            <w:r w:rsidRPr="004E2E0D">
              <w:rPr>
                <w:b/>
                <w:bCs/>
                <w:sz w:val="20"/>
                <w:szCs w:val="20"/>
              </w:rPr>
              <w:t>BADANIA DIAGNOSTYCZNE WYKONYWANE W</w:t>
            </w:r>
            <w:r w:rsidR="00E849DD">
              <w:rPr>
                <w:b/>
                <w:bCs/>
                <w:sz w:val="20"/>
                <w:szCs w:val="20"/>
              </w:rPr>
              <w:t> </w:t>
            </w:r>
            <w:r w:rsidRPr="004E2E0D">
              <w:rPr>
                <w:b/>
                <w:bCs/>
                <w:sz w:val="20"/>
                <w:szCs w:val="20"/>
              </w:rPr>
              <w:t>RAMACH PROGRAMU</w:t>
            </w:r>
          </w:p>
        </w:tc>
      </w:tr>
      <w:tr w:rsidR="001C600E" w:rsidRPr="004E2E0D" w:rsidTr="00BA5DA0">
        <w:tc>
          <w:tcPr>
            <w:tcW w:w="1802" w:type="pct"/>
            <w:tcBorders>
              <w:top w:val="single" w:sz="6" w:space="0" w:color="auto"/>
              <w:left w:val="single" w:sz="6" w:space="0" w:color="auto"/>
              <w:bottom w:val="single" w:sz="6" w:space="0" w:color="auto"/>
              <w:right w:val="single" w:sz="6" w:space="0" w:color="auto"/>
            </w:tcBorders>
          </w:tcPr>
          <w:p w:rsidR="001C600E" w:rsidRDefault="00C17A2E" w:rsidP="004602BE">
            <w:pPr>
              <w:numPr>
                <w:ilvl w:val="0"/>
                <w:numId w:val="57"/>
              </w:numPr>
              <w:autoSpaceDE w:val="0"/>
              <w:autoSpaceDN w:val="0"/>
              <w:adjustRightInd w:val="0"/>
              <w:spacing w:after="120" w:line="276" w:lineRule="auto"/>
              <w:ind w:left="284" w:hanging="284"/>
              <w:rPr>
                <w:b/>
                <w:bCs/>
                <w:sz w:val="20"/>
                <w:szCs w:val="20"/>
              </w:rPr>
            </w:pPr>
            <w:r w:rsidRPr="00CD0236">
              <w:rPr>
                <w:b/>
                <w:bCs/>
                <w:sz w:val="20"/>
                <w:szCs w:val="20"/>
              </w:rPr>
              <w:t>Kryteria kwalifikacji</w:t>
            </w:r>
            <w:r w:rsidR="00884C81" w:rsidRPr="00CD0236">
              <w:rPr>
                <w:b/>
                <w:bCs/>
                <w:sz w:val="20"/>
                <w:szCs w:val="20"/>
              </w:rPr>
              <w:t>:</w:t>
            </w:r>
            <w:r w:rsidRPr="00CD0236">
              <w:rPr>
                <w:b/>
                <w:bCs/>
                <w:sz w:val="20"/>
                <w:szCs w:val="20"/>
              </w:rPr>
              <w:t xml:space="preserve"> </w:t>
            </w:r>
          </w:p>
          <w:p w:rsidR="00EE540B" w:rsidRDefault="00EE540B" w:rsidP="004602BE">
            <w:pPr>
              <w:autoSpaceDE w:val="0"/>
              <w:autoSpaceDN w:val="0"/>
              <w:adjustRightInd w:val="0"/>
              <w:spacing w:line="276" w:lineRule="auto"/>
              <w:rPr>
                <w:sz w:val="20"/>
                <w:szCs w:val="20"/>
              </w:rPr>
            </w:pPr>
            <w:r>
              <w:rPr>
                <w:sz w:val="20"/>
                <w:szCs w:val="20"/>
              </w:rPr>
              <w:t>Do leczenia kwalifikowani są pacjenci ze zdiagnozowaną</w:t>
            </w:r>
          </w:p>
          <w:p w:rsidR="00EE540B" w:rsidRDefault="00EE540B" w:rsidP="004602BE">
            <w:pPr>
              <w:autoSpaceDE w:val="0"/>
              <w:autoSpaceDN w:val="0"/>
              <w:adjustRightInd w:val="0"/>
              <w:spacing w:line="276" w:lineRule="auto"/>
              <w:rPr>
                <w:sz w:val="20"/>
                <w:szCs w:val="20"/>
              </w:rPr>
            </w:pPr>
            <w:r>
              <w:rPr>
                <w:sz w:val="20"/>
                <w:szCs w:val="20"/>
              </w:rPr>
              <w:t>przewlekłą</w:t>
            </w:r>
            <w:r w:rsidR="00001C99">
              <w:rPr>
                <w:sz w:val="20"/>
                <w:szCs w:val="20"/>
              </w:rPr>
              <w:t xml:space="preserve"> białaczką limfocytową</w:t>
            </w:r>
            <w:r>
              <w:rPr>
                <w:sz w:val="20"/>
                <w:szCs w:val="20"/>
              </w:rPr>
              <w:t xml:space="preserve"> </w:t>
            </w:r>
            <w:r w:rsidR="00463158">
              <w:rPr>
                <w:sz w:val="20"/>
                <w:szCs w:val="20"/>
              </w:rPr>
              <w:t xml:space="preserve">CD20+ </w:t>
            </w:r>
            <w:r w:rsidR="00001C99">
              <w:rPr>
                <w:sz w:val="20"/>
                <w:szCs w:val="20"/>
              </w:rPr>
              <w:t>spełniający łącznie wszystkie poniższe kryteria:</w:t>
            </w:r>
          </w:p>
          <w:p w:rsidR="00EE540B" w:rsidRDefault="00001C99" w:rsidP="004602BE">
            <w:pPr>
              <w:numPr>
                <w:ilvl w:val="0"/>
                <w:numId w:val="58"/>
              </w:numPr>
              <w:autoSpaceDE w:val="0"/>
              <w:autoSpaceDN w:val="0"/>
              <w:adjustRightInd w:val="0"/>
              <w:spacing w:line="276" w:lineRule="auto"/>
              <w:rPr>
                <w:sz w:val="20"/>
                <w:szCs w:val="20"/>
              </w:rPr>
            </w:pPr>
            <w:r>
              <w:rPr>
                <w:sz w:val="20"/>
                <w:szCs w:val="20"/>
              </w:rPr>
              <w:t>wiek</w:t>
            </w:r>
            <w:r w:rsidR="00EE540B" w:rsidRPr="00001C99">
              <w:rPr>
                <w:sz w:val="20"/>
                <w:szCs w:val="20"/>
              </w:rPr>
              <w:t xml:space="preserve"> 18 lat i powyż</w:t>
            </w:r>
            <w:r>
              <w:rPr>
                <w:sz w:val="20"/>
                <w:szCs w:val="20"/>
              </w:rPr>
              <w:t>ej;</w:t>
            </w:r>
          </w:p>
          <w:p w:rsidR="00001C99" w:rsidRPr="00001C99" w:rsidRDefault="00001C99" w:rsidP="004602BE">
            <w:pPr>
              <w:numPr>
                <w:ilvl w:val="0"/>
                <w:numId w:val="58"/>
              </w:numPr>
              <w:autoSpaceDE w:val="0"/>
              <w:autoSpaceDN w:val="0"/>
              <w:adjustRightInd w:val="0"/>
              <w:spacing w:line="276" w:lineRule="auto"/>
              <w:rPr>
                <w:sz w:val="20"/>
                <w:szCs w:val="20"/>
              </w:rPr>
            </w:pPr>
            <w:r>
              <w:rPr>
                <w:sz w:val="20"/>
                <w:szCs w:val="20"/>
              </w:rPr>
              <w:t xml:space="preserve">brak wcześniejszego leczenia </w:t>
            </w:r>
            <w:r>
              <w:rPr>
                <w:bCs/>
                <w:sz w:val="20"/>
                <w:szCs w:val="20"/>
              </w:rPr>
              <w:t>przewlekłej białaczki limfocytowej;</w:t>
            </w:r>
          </w:p>
          <w:p w:rsidR="00001C99" w:rsidRPr="0015001C" w:rsidRDefault="00001C99" w:rsidP="004602BE">
            <w:pPr>
              <w:numPr>
                <w:ilvl w:val="0"/>
                <w:numId w:val="58"/>
              </w:numPr>
              <w:autoSpaceDE w:val="0"/>
              <w:autoSpaceDN w:val="0"/>
              <w:adjustRightInd w:val="0"/>
              <w:spacing w:line="276" w:lineRule="auto"/>
              <w:rPr>
                <w:sz w:val="20"/>
                <w:szCs w:val="20"/>
              </w:rPr>
            </w:pPr>
            <w:r>
              <w:rPr>
                <w:bCs/>
                <w:sz w:val="20"/>
                <w:szCs w:val="20"/>
              </w:rPr>
              <w:t xml:space="preserve">przeciwwskazania (z powodu chorób współistniejących) do leczenia </w:t>
            </w:r>
            <w:r w:rsidRPr="00EE540B">
              <w:rPr>
                <w:bCs/>
                <w:sz w:val="20"/>
                <w:szCs w:val="20"/>
              </w:rPr>
              <w:t>opartego n</w:t>
            </w:r>
            <w:bookmarkStart w:id="0" w:name="_GoBack"/>
            <w:bookmarkEnd w:id="0"/>
            <w:r w:rsidRPr="00EE540B">
              <w:rPr>
                <w:bCs/>
                <w:sz w:val="20"/>
                <w:szCs w:val="20"/>
              </w:rPr>
              <w:t>a pełnej dawce fludarabiny</w:t>
            </w:r>
            <w:r>
              <w:rPr>
                <w:bCs/>
                <w:sz w:val="20"/>
                <w:szCs w:val="20"/>
              </w:rPr>
              <w:t>;</w:t>
            </w:r>
          </w:p>
          <w:p w:rsidR="00001C99" w:rsidRPr="00001C99" w:rsidRDefault="00001C99" w:rsidP="004602BE">
            <w:pPr>
              <w:numPr>
                <w:ilvl w:val="0"/>
                <w:numId w:val="58"/>
              </w:numPr>
              <w:autoSpaceDE w:val="0"/>
              <w:autoSpaceDN w:val="0"/>
              <w:adjustRightInd w:val="0"/>
              <w:spacing w:line="276" w:lineRule="auto"/>
              <w:rPr>
                <w:sz w:val="20"/>
                <w:szCs w:val="20"/>
              </w:rPr>
            </w:pPr>
            <w:r>
              <w:rPr>
                <w:bCs/>
                <w:sz w:val="20"/>
                <w:szCs w:val="20"/>
              </w:rPr>
              <w:t>parametry:</w:t>
            </w:r>
          </w:p>
          <w:p w:rsidR="00001C99" w:rsidRPr="00891AD3" w:rsidRDefault="00891AD3" w:rsidP="004602BE">
            <w:pPr>
              <w:numPr>
                <w:ilvl w:val="0"/>
                <w:numId w:val="59"/>
              </w:numPr>
              <w:autoSpaceDE w:val="0"/>
              <w:autoSpaceDN w:val="0"/>
              <w:adjustRightInd w:val="0"/>
              <w:spacing w:line="276" w:lineRule="auto"/>
              <w:ind w:left="851" w:hanging="284"/>
              <w:rPr>
                <w:sz w:val="20"/>
                <w:szCs w:val="20"/>
                <w:lang w:val="en-US"/>
              </w:rPr>
            </w:pPr>
            <w:r w:rsidRPr="00891AD3">
              <w:rPr>
                <w:bCs/>
                <w:sz w:val="20"/>
                <w:szCs w:val="20"/>
                <w:lang w:val="en-US"/>
              </w:rPr>
              <w:t xml:space="preserve"> CrCl (Creatine Clearance): &gt;30ml/min oraz </w:t>
            </w:r>
            <w:r w:rsidR="00001C99" w:rsidRPr="00891AD3">
              <w:rPr>
                <w:bCs/>
                <w:sz w:val="20"/>
                <w:szCs w:val="20"/>
                <w:lang w:val="en-US"/>
              </w:rPr>
              <w:t xml:space="preserve"> &lt; 70 ml/min lub</w:t>
            </w:r>
          </w:p>
          <w:p w:rsidR="00EE540B" w:rsidRPr="00001C99" w:rsidRDefault="00001C99" w:rsidP="004602BE">
            <w:pPr>
              <w:numPr>
                <w:ilvl w:val="0"/>
                <w:numId w:val="59"/>
              </w:numPr>
              <w:autoSpaceDE w:val="0"/>
              <w:autoSpaceDN w:val="0"/>
              <w:adjustRightInd w:val="0"/>
              <w:spacing w:line="276" w:lineRule="auto"/>
              <w:ind w:left="851" w:hanging="284"/>
              <w:rPr>
                <w:sz w:val="20"/>
                <w:szCs w:val="20"/>
              </w:rPr>
            </w:pPr>
            <w:r w:rsidRPr="00EE540B">
              <w:rPr>
                <w:bCs/>
                <w:sz w:val="20"/>
                <w:szCs w:val="20"/>
              </w:rPr>
              <w:t>liczba punktów wg skali CIRS &gt; 6</w:t>
            </w:r>
            <w:r>
              <w:rPr>
                <w:sz w:val="20"/>
                <w:szCs w:val="20"/>
              </w:rPr>
              <w:t>;</w:t>
            </w:r>
          </w:p>
          <w:p w:rsidR="00EE540B" w:rsidRPr="00EE540B" w:rsidRDefault="00EE540B" w:rsidP="004602BE">
            <w:pPr>
              <w:numPr>
                <w:ilvl w:val="0"/>
                <w:numId w:val="58"/>
              </w:numPr>
              <w:autoSpaceDE w:val="0"/>
              <w:autoSpaceDN w:val="0"/>
              <w:adjustRightInd w:val="0"/>
              <w:spacing w:line="276" w:lineRule="auto"/>
              <w:rPr>
                <w:bCs/>
                <w:sz w:val="20"/>
                <w:szCs w:val="20"/>
              </w:rPr>
            </w:pPr>
            <w:r w:rsidRPr="00EE540B">
              <w:rPr>
                <w:bCs/>
                <w:sz w:val="20"/>
                <w:szCs w:val="20"/>
              </w:rPr>
              <w:t>stan sprawności według WHO</w:t>
            </w:r>
            <w:r w:rsidR="00722E16">
              <w:rPr>
                <w:bCs/>
                <w:sz w:val="20"/>
                <w:szCs w:val="20"/>
              </w:rPr>
              <w:t>: 1;</w:t>
            </w:r>
          </w:p>
          <w:p w:rsidR="00EE540B" w:rsidRPr="00001C99" w:rsidRDefault="00EE540B" w:rsidP="004602BE">
            <w:pPr>
              <w:numPr>
                <w:ilvl w:val="0"/>
                <w:numId w:val="58"/>
              </w:numPr>
              <w:autoSpaceDE w:val="0"/>
              <w:autoSpaceDN w:val="0"/>
              <w:adjustRightInd w:val="0"/>
              <w:spacing w:line="276" w:lineRule="auto"/>
              <w:rPr>
                <w:bCs/>
                <w:sz w:val="20"/>
                <w:szCs w:val="20"/>
                <w:lang w:val="en-US"/>
              </w:rPr>
            </w:pPr>
            <w:r w:rsidRPr="00001C99">
              <w:rPr>
                <w:bCs/>
                <w:sz w:val="20"/>
                <w:szCs w:val="20"/>
                <w:lang w:val="en-US"/>
              </w:rPr>
              <w:t>obecność wskazań do rozpoczęcia leczenia wg</w:t>
            </w:r>
            <w:r w:rsidR="00001C99">
              <w:rPr>
                <w:bCs/>
                <w:sz w:val="20"/>
                <w:szCs w:val="20"/>
                <w:lang w:val="en-US"/>
              </w:rPr>
              <w:t xml:space="preserve"> </w:t>
            </w:r>
            <w:r w:rsidRPr="00001C99">
              <w:rPr>
                <w:bCs/>
                <w:sz w:val="20"/>
                <w:szCs w:val="20"/>
                <w:lang w:val="en-US"/>
              </w:rPr>
              <w:t>propozycji International Workshop on Chronić</w:t>
            </w:r>
            <w:r w:rsidR="00001C99">
              <w:rPr>
                <w:bCs/>
                <w:sz w:val="20"/>
                <w:szCs w:val="20"/>
                <w:lang w:val="en-US"/>
              </w:rPr>
              <w:t xml:space="preserve"> </w:t>
            </w:r>
            <w:r w:rsidRPr="00001C99">
              <w:rPr>
                <w:bCs/>
                <w:sz w:val="20"/>
                <w:szCs w:val="20"/>
                <w:lang w:val="en-US"/>
              </w:rPr>
              <w:t>Lymphocytic Leukemia updating (he National</w:t>
            </w:r>
            <w:r w:rsidR="00001C99">
              <w:rPr>
                <w:bCs/>
                <w:sz w:val="20"/>
                <w:szCs w:val="20"/>
                <w:lang w:val="en-US"/>
              </w:rPr>
              <w:t xml:space="preserve"> </w:t>
            </w:r>
            <w:r w:rsidRPr="00001C99">
              <w:rPr>
                <w:bCs/>
                <w:sz w:val="20"/>
                <w:szCs w:val="20"/>
                <w:lang w:val="en-US"/>
              </w:rPr>
              <w:t>Cancer Institute-Working Group (WCLL)</w:t>
            </w:r>
            <w:r w:rsidR="00001C99">
              <w:rPr>
                <w:bCs/>
                <w:sz w:val="20"/>
                <w:szCs w:val="20"/>
                <w:lang w:val="en-US"/>
              </w:rPr>
              <w:t>;</w:t>
            </w:r>
          </w:p>
          <w:p w:rsidR="00EE540B" w:rsidRDefault="00EE540B" w:rsidP="004602BE">
            <w:pPr>
              <w:numPr>
                <w:ilvl w:val="0"/>
                <w:numId w:val="58"/>
              </w:numPr>
              <w:autoSpaceDE w:val="0"/>
              <w:autoSpaceDN w:val="0"/>
              <w:adjustRightInd w:val="0"/>
              <w:spacing w:line="276" w:lineRule="auto"/>
              <w:rPr>
                <w:bCs/>
                <w:sz w:val="20"/>
                <w:szCs w:val="20"/>
              </w:rPr>
            </w:pPr>
            <w:r w:rsidRPr="00EE540B">
              <w:rPr>
                <w:bCs/>
                <w:sz w:val="20"/>
                <w:szCs w:val="20"/>
              </w:rPr>
              <w:t>ujemny wynik badań na obecność HBsAg</w:t>
            </w:r>
            <w:r w:rsidR="00001C99">
              <w:rPr>
                <w:bCs/>
                <w:sz w:val="20"/>
                <w:szCs w:val="20"/>
              </w:rPr>
              <w:t xml:space="preserve"> </w:t>
            </w:r>
            <w:r w:rsidRPr="00EE540B">
              <w:rPr>
                <w:bCs/>
                <w:sz w:val="20"/>
                <w:szCs w:val="20"/>
              </w:rPr>
              <w:t xml:space="preserve"> i</w:t>
            </w:r>
            <w:r w:rsidR="00001C99">
              <w:rPr>
                <w:bCs/>
                <w:sz w:val="20"/>
                <w:szCs w:val="20"/>
              </w:rPr>
              <w:t xml:space="preserve"> </w:t>
            </w:r>
            <w:r w:rsidRPr="00EE540B">
              <w:rPr>
                <w:bCs/>
                <w:sz w:val="20"/>
                <w:szCs w:val="20"/>
              </w:rPr>
              <w:t>HBcAb, a w przypadku dodatniego wyniku HBsAg</w:t>
            </w:r>
            <w:r w:rsidR="00001C99">
              <w:rPr>
                <w:bCs/>
                <w:sz w:val="20"/>
                <w:szCs w:val="20"/>
              </w:rPr>
              <w:t xml:space="preserve"> </w:t>
            </w:r>
            <w:r w:rsidRPr="00EE540B">
              <w:rPr>
                <w:bCs/>
                <w:sz w:val="20"/>
                <w:szCs w:val="20"/>
              </w:rPr>
              <w:t>lub HBcAb przed rozpoczęciem leczenia</w:t>
            </w:r>
            <w:r w:rsidR="00001C99">
              <w:rPr>
                <w:bCs/>
                <w:sz w:val="20"/>
                <w:szCs w:val="20"/>
              </w:rPr>
              <w:t xml:space="preserve"> </w:t>
            </w:r>
            <w:r w:rsidRPr="00EE540B">
              <w:rPr>
                <w:bCs/>
                <w:sz w:val="20"/>
                <w:szCs w:val="20"/>
              </w:rPr>
              <w:t>konieczna konsultacja przez lekarza hepatologa</w:t>
            </w:r>
            <w:r w:rsidR="00001C99">
              <w:rPr>
                <w:bCs/>
                <w:sz w:val="20"/>
                <w:szCs w:val="20"/>
              </w:rPr>
              <w:t xml:space="preserve"> </w:t>
            </w:r>
            <w:r w:rsidRPr="00EE540B">
              <w:rPr>
                <w:bCs/>
                <w:sz w:val="20"/>
                <w:szCs w:val="20"/>
              </w:rPr>
              <w:t>lub lekarza chorób zakaźnych.</w:t>
            </w:r>
          </w:p>
          <w:p w:rsidR="00463158" w:rsidRDefault="00463158" w:rsidP="004602BE">
            <w:pPr>
              <w:numPr>
                <w:ilvl w:val="0"/>
                <w:numId w:val="57"/>
              </w:numPr>
              <w:autoSpaceDE w:val="0"/>
              <w:autoSpaceDN w:val="0"/>
              <w:adjustRightInd w:val="0"/>
              <w:spacing w:before="240" w:after="120" w:line="276" w:lineRule="auto"/>
              <w:ind w:left="284" w:hanging="284"/>
              <w:rPr>
                <w:b/>
                <w:bCs/>
                <w:sz w:val="20"/>
                <w:szCs w:val="20"/>
              </w:rPr>
            </w:pPr>
            <w:r w:rsidRPr="00CD0236">
              <w:rPr>
                <w:b/>
                <w:bCs/>
                <w:sz w:val="20"/>
                <w:szCs w:val="20"/>
              </w:rPr>
              <w:t xml:space="preserve">Kryteria </w:t>
            </w:r>
            <w:r>
              <w:rPr>
                <w:b/>
                <w:bCs/>
                <w:sz w:val="20"/>
                <w:szCs w:val="20"/>
              </w:rPr>
              <w:t>uniemożliwiające włączenie do programu</w:t>
            </w:r>
            <w:r w:rsidRPr="00CD0236">
              <w:rPr>
                <w:b/>
                <w:bCs/>
                <w:sz w:val="20"/>
                <w:szCs w:val="20"/>
              </w:rPr>
              <w:t xml:space="preserve">: </w:t>
            </w:r>
          </w:p>
          <w:p w:rsidR="00463158" w:rsidRDefault="00463158" w:rsidP="004602BE">
            <w:pPr>
              <w:numPr>
                <w:ilvl w:val="0"/>
                <w:numId w:val="62"/>
              </w:numPr>
              <w:autoSpaceDE w:val="0"/>
              <w:autoSpaceDN w:val="0"/>
              <w:adjustRightInd w:val="0"/>
              <w:spacing w:line="276" w:lineRule="auto"/>
              <w:rPr>
                <w:bCs/>
                <w:sz w:val="20"/>
                <w:szCs w:val="20"/>
              </w:rPr>
            </w:pPr>
            <w:r>
              <w:rPr>
                <w:bCs/>
                <w:sz w:val="20"/>
                <w:szCs w:val="20"/>
              </w:rPr>
              <w:t>aktywność AST lub ALT przekraczająca ponad 5 razy wartość górnej granicy normy;</w:t>
            </w:r>
          </w:p>
          <w:p w:rsidR="00463158" w:rsidRDefault="00463158" w:rsidP="004602BE">
            <w:pPr>
              <w:numPr>
                <w:ilvl w:val="0"/>
                <w:numId w:val="62"/>
              </w:numPr>
              <w:autoSpaceDE w:val="0"/>
              <w:autoSpaceDN w:val="0"/>
              <w:adjustRightInd w:val="0"/>
              <w:spacing w:line="276" w:lineRule="auto"/>
              <w:rPr>
                <w:bCs/>
                <w:sz w:val="20"/>
                <w:szCs w:val="20"/>
              </w:rPr>
            </w:pPr>
            <w:r>
              <w:rPr>
                <w:bCs/>
                <w:sz w:val="20"/>
                <w:szCs w:val="20"/>
              </w:rPr>
              <w:t>stężenie bilirubiny przekraczające 3 razy wartość górnej granicy normy;</w:t>
            </w:r>
          </w:p>
          <w:p w:rsidR="00463158" w:rsidRPr="00891AD3" w:rsidRDefault="00891AD3" w:rsidP="004602BE">
            <w:pPr>
              <w:numPr>
                <w:ilvl w:val="0"/>
                <w:numId w:val="62"/>
              </w:numPr>
              <w:autoSpaceDE w:val="0"/>
              <w:autoSpaceDN w:val="0"/>
              <w:adjustRightInd w:val="0"/>
              <w:spacing w:line="276" w:lineRule="auto"/>
              <w:rPr>
                <w:bCs/>
                <w:sz w:val="20"/>
                <w:szCs w:val="20"/>
              </w:rPr>
            </w:pPr>
            <w:r w:rsidRPr="00891AD3">
              <w:rPr>
                <w:bCs/>
                <w:sz w:val="20"/>
                <w:szCs w:val="20"/>
              </w:rPr>
              <w:t>niewydolność co najmniej jednego narządu/układu ocenioną na 4 wg klasyfikacji CIRS, z wyjątkiem zaburzeń oczu, uszu, nosa, gardła i krtani</w:t>
            </w:r>
            <w:r>
              <w:rPr>
                <w:bCs/>
                <w:sz w:val="20"/>
                <w:szCs w:val="20"/>
              </w:rPr>
              <w:t>.</w:t>
            </w:r>
          </w:p>
          <w:p w:rsidR="00F363F5" w:rsidRPr="00CD0236" w:rsidRDefault="00F363F5" w:rsidP="004602BE">
            <w:pPr>
              <w:numPr>
                <w:ilvl w:val="0"/>
                <w:numId w:val="57"/>
              </w:numPr>
              <w:autoSpaceDE w:val="0"/>
              <w:autoSpaceDN w:val="0"/>
              <w:adjustRightInd w:val="0"/>
              <w:spacing w:before="240" w:after="120" w:line="276" w:lineRule="auto"/>
              <w:ind w:left="284" w:hanging="284"/>
              <w:rPr>
                <w:b/>
                <w:sz w:val="20"/>
                <w:szCs w:val="20"/>
              </w:rPr>
            </w:pPr>
            <w:r w:rsidRPr="00CD0236">
              <w:rPr>
                <w:b/>
                <w:sz w:val="20"/>
                <w:szCs w:val="20"/>
              </w:rPr>
              <w:lastRenderedPageBreak/>
              <w:t>Określenie czasu leczenia w programie</w:t>
            </w:r>
            <w:r w:rsidR="00A8669E" w:rsidRPr="00CD0236">
              <w:rPr>
                <w:b/>
                <w:sz w:val="20"/>
                <w:szCs w:val="20"/>
              </w:rPr>
              <w:t>:</w:t>
            </w:r>
          </w:p>
          <w:p w:rsidR="00001C99" w:rsidRDefault="00F363F5" w:rsidP="004602BE">
            <w:pPr>
              <w:autoSpaceDE w:val="0"/>
              <w:autoSpaceDN w:val="0"/>
              <w:adjustRightInd w:val="0"/>
              <w:spacing w:line="276" w:lineRule="auto"/>
              <w:rPr>
                <w:sz w:val="20"/>
                <w:szCs w:val="20"/>
              </w:rPr>
            </w:pPr>
            <w:r w:rsidRPr="00EF52C7">
              <w:rPr>
                <w:sz w:val="20"/>
                <w:szCs w:val="20"/>
              </w:rPr>
              <w:t>Czas leczenia w programie określa lekarz na podstawie kryteriów wyłączenia.</w:t>
            </w:r>
            <w:r w:rsidR="00001C99">
              <w:rPr>
                <w:sz w:val="20"/>
                <w:szCs w:val="20"/>
              </w:rPr>
              <w:t xml:space="preserve"> </w:t>
            </w:r>
          </w:p>
          <w:p w:rsidR="004A7B89" w:rsidRDefault="00001C99" w:rsidP="004602BE">
            <w:pPr>
              <w:autoSpaceDE w:val="0"/>
              <w:autoSpaceDN w:val="0"/>
              <w:adjustRightInd w:val="0"/>
              <w:spacing w:line="276" w:lineRule="auto"/>
              <w:rPr>
                <w:sz w:val="20"/>
                <w:szCs w:val="20"/>
              </w:rPr>
            </w:pPr>
            <w:r>
              <w:rPr>
                <w:sz w:val="20"/>
                <w:szCs w:val="20"/>
              </w:rPr>
              <w:t>Maksymalny czas leczenia wynosi 6 cykli.</w:t>
            </w:r>
          </w:p>
          <w:p w:rsidR="00001C99" w:rsidRDefault="00001C99" w:rsidP="0009183D">
            <w:pPr>
              <w:autoSpaceDE w:val="0"/>
              <w:autoSpaceDN w:val="0"/>
              <w:adjustRightInd w:val="0"/>
              <w:spacing w:line="276" w:lineRule="auto"/>
              <w:rPr>
                <w:sz w:val="20"/>
                <w:szCs w:val="20"/>
              </w:rPr>
            </w:pPr>
          </w:p>
          <w:p w:rsidR="00001C99" w:rsidRDefault="00001C99" w:rsidP="0009183D">
            <w:pPr>
              <w:autoSpaceDE w:val="0"/>
              <w:autoSpaceDN w:val="0"/>
              <w:adjustRightInd w:val="0"/>
              <w:spacing w:line="276" w:lineRule="auto"/>
              <w:rPr>
                <w:sz w:val="20"/>
                <w:szCs w:val="20"/>
              </w:rPr>
            </w:pPr>
          </w:p>
          <w:p w:rsidR="00BD71B6" w:rsidRPr="00CD0236" w:rsidRDefault="002E3866" w:rsidP="00CD0236">
            <w:pPr>
              <w:numPr>
                <w:ilvl w:val="0"/>
                <w:numId w:val="57"/>
              </w:numPr>
              <w:autoSpaceDE w:val="0"/>
              <w:autoSpaceDN w:val="0"/>
              <w:adjustRightInd w:val="0"/>
              <w:spacing w:before="240" w:after="120" w:line="276" w:lineRule="auto"/>
              <w:ind w:left="284" w:hanging="284"/>
              <w:rPr>
                <w:b/>
                <w:bCs/>
                <w:sz w:val="20"/>
                <w:szCs w:val="20"/>
              </w:rPr>
            </w:pPr>
            <w:r w:rsidRPr="00CD0236">
              <w:rPr>
                <w:b/>
                <w:bCs/>
                <w:sz w:val="20"/>
                <w:szCs w:val="20"/>
              </w:rPr>
              <w:t xml:space="preserve">Kryteria wyłączenia z </w:t>
            </w:r>
            <w:r w:rsidR="009E3788">
              <w:rPr>
                <w:b/>
                <w:bCs/>
                <w:sz w:val="20"/>
                <w:szCs w:val="20"/>
              </w:rPr>
              <w:t>programu</w:t>
            </w:r>
            <w:r w:rsidR="004C75C0" w:rsidRPr="00CD0236">
              <w:rPr>
                <w:b/>
                <w:bCs/>
                <w:sz w:val="20"/>
                <w:szCs w:val="20"/>
              </w:rPr>
              <w:t>:</w:t>
            </w:r>
          </w:p>
          <w:p w:rsidR="001620DC" w:rsidRPr="001E1B53" w:rsidRDefault="00455021" w:rsidP="00CD0236">
            <w:pPr>
              <w:pStyle w:val="Akapitzlist"/>
              <w:numPr>
                <w:ilvl w:val="0"/>
                <w:numId w:val="40"/>
              </w:numPr>
              <w:autoSpaceDE w:val="0"/>
              <w:autoSpaceDN w:val="0"/>
              <w:adjustRightInd w:val="0"/>
              <w:spacing w:line="276" w:lineRule="auto"/>
              <w:ind w:left="489" w:hanging="307"/>
            </w:pPr>
            <w:r w:rsidRPr="00455021">
              <w:rPr>
                <w:sz w:val="20"/>
                <w:szCs w:val="20"/>
              </w:rPr>
              <w:t>wystąpienie objawów nadwrażliwości na obinutuzumab lub którykolwiek ze składników preparatu lub na białka mysie</w:t>
            </w:r>
            <w:r w:rsidR="008F166B">
              <w:rPr>
                <w:sz w:val="20"/>
                <w:szCs w:val="20"/>
              </w:rPr>
              <w:t>;</w:t>
            </w:r>
          </w:p>
          <w:p w:rsidR="001C600E" w:rsidRPr="00341F76" w:rsidRDefault="00455021" w:rsidP="00CD0236">
            <w:pPr>
              <w:pStyle w:val="Akapitzlist"/>
              <w:numPr>
                <w:ilvl w:val="0"/>
                <w:numId w:val="40"/>
              </w:numPr>
              <w:autoSpaceDE w:val="0"/>
              <w:autoSpaceDN w:val="0"/>
              <w:adjustRightInd w:val="0"/>
              <w:spacing w:line="276" w:lineRule="auto"/>
              <w:ind w:left="489" w:hanging="307"/>
              <w:rPr>
                <w:sz w:val="20"/>
                <w:szCs w:val="20"/>
              </w:rPr>
            </w:pPr>
            <w:r w:rsidRPr="00455021">
              <w:rPr>
                <w:sz w:val="20"/>
                <w:szCs w:val="20"/>
              </w:rPr>
              <w:t>progr</w:t>
            </w:r>
            <w:r>
              <w:rPr>
                <w:sz w:val="20"/>
                <w:szCs w:val="20"/>
              </w:rPr>
              <w:t>esja choroby w trakcie leczenia</w:t>
            </w:r>
            <w:r w:rsidR="00790B0C">
              <w:rPr>
                <w:sz w:val="20"/>
                <w:szCs w:val="20"/>
              </w:rPr>
              <w:t>;</w:t>
            </w:r>
          </w:p>
          <w:p w:rsidR="00F3005E" w:rsidRDefault="00455021" w:rsidP="00CD0236">
            <w:pPr>
              <w:pStyle w:val="Akapitzlist"/>
              <w:numPr>
                <w:ilvl w:val="0"/>
                <w:numId w:val="40"/>
              </w:numPr>
              <w:autoSpaceDE w:val="0"/>
              <w:autoSpaceDN w:val="0"/>
              <w:adjustRightInd w:val="0"/>
              <w:spacing w:line="276" w:lineRule="auto"/>
              <w:ind w:left="489" w:hanging="307"/>
              <w:rPr>
                <w:sz w:val="20"/>
                <w:szCs w:val="20"/>
              </w:rPr>
            </w:pPr>
            <w:r w:rsidRPr="00455021">
              <w:rPr>
                <w:sz w:val="20"/>
                <w:szCs w:val="20"/>
              </w:rPr>
              <w:t>obecność objawów ciężkiego zakażenia</w:t>
            </w:r>
            <w:r w:rsidR="00775545">
              <w:rPr>
                <w:sz w:val="20"/>
                <w:szCs w:val="20"/>
              </w:rPr>
              <w:t>;</w:t>
            </w:r>
          </w:p>
          <w:p w:rsidR="00F64F48" w:rsidRDefault="00455021" w:rsidP="00455021">
            <w:pPr>
              <w:pStyle w:val="Akapitzlist"/>
              <w:numPr>
                <w:ilvl w:val="0"/>
                <w:numId w:val="40"/>
              </w:numPr>
              <w:autoSpaceDE w:val="0"/>
              <w:autoSpaceDN w:val="0"/>
              <w:adjustRightInd w:val="0"/>
              <w:spacing w:line="276" w:lineRule="auto"/>
              <w:ind w:left="489" w:hanging="307"/>
              <w:rPr>
                <w:sz w:val="20"/>
                <w:szCs w:val="20"/>
              </w:rPr>
            </w:pPr>
            <w:r>
              <w:rPr>
                <w:sz w:val="20"/>
                <w:szCs w:val="20"/>
              </w:rPr>
              <w:t>ciąża</w:t>
            </w:r>
            <w:r w:rsidR="00F64F48">
              <w:rPr>
                <w:sz w:val="20"/>
                <w:szCs w:val="20"/>
              </w:rPr>
              <w:t>;</w:t>
            </w:r>
          </w:p>
          <w:p w:rsidR="00780773" w:rsidRDefault="00780773" w:rsidP="00455021">
            <w:pPr>
              <w:pStyle w:val="Akapitzlist"/>
              <w:numPr>
                <w:ilvl w:val="0"/>
                <w:numId w:val="40"/>
              </w:numPr>
              <w:autoSpaceDE w:val="0"/>
              <w:autoSpaceDN w:val="0"/>
              <w:adjustRightInd w:val="0"/>
              <w:spacing w:line="276" w:lineRule="auto"/>
              <w:ind w:left="489" w:hanging="307"/>
              <w:rPr>
                <w:sz w:val="20"/>
                <w:szCs w:val="20"/>
              </w:rPr>
            </w:pPr>
            <w:r>
              <w:rPr>
                <w:sz w:val="20"/>
                <w:szCs w:val="20"/>
              </w:rPr>
              <w:t>rezygnacja pacjenta;</w:t>
            </w:r>
          </w:p>
          <w:p w:rsidR="00BA5DA0" w:rsidRPr="00455021" w:rsidRDefault="00BA5DA0" w:rsidP="0082498E">
            <w:pPr>
              <w:pStyle w:val="Akapitzlist"/>
              <w:autoSpaceDE w:val="0"/>
              <w:autoSpaceDN w:val="0"/>
              <w:adjustRightInd w:val="0"/>
              <w:spacing w:line="276" w:lineRule="auto"/>
              <w:ind w:left="489"/>
              <w:rPr>
                <w:sz w:val="20"/>
                <w:szCs w:val="20"/>
              </w:rPr>
            </w:pPr>
          </w:p>
          <w:p w:rsidR="001C600E" w:rsidRPr="00EF52C7" w:rsidRDefault="001C600E" w:rsidP="00EF1F15">
            <w:pPr>
              <w:autoSpaceDE w:val="0"/>
              <w:autoSpaceDN w:val="0"/>
              <w:adjustRightInd w:val="0"/>
              <w:spacing w:line="276" w:lineRule="auto"/>
              <w:rPr>
                <w:sz w:val="20"/>
                <w:szCs w:val="20"/>
              </w:rPr>
            </w:pPr>
          </w:p>
        </w:tc>
        <w:tc>
          <w:tcPr>
            <w:tcW w:w="1414" w:type="pct"/>
            <w:tcBorders>
              <w:top w:val="single" w:sz="6" w:space="0" w:color="auto"/>
              <w:left w:val="single" w:sz="6" w:space="0" w:color="auto"/>
              <w:bottom w:val="single" w:sz="6" w:space="0" w:color="auto"/>
              <w:right w:val="single" w:sz="6" w:space="0" w:color="auto"/>
            </w:tcBorders>
          </w:tcPr>
          <w:p w:rsidR="00341316" w:rsidRDefault="00341316" w:rsidP="00EF1F15">
            <w:pPr>
              <w:autoSpaceDE w:val="0"/>
              <w:autoSpaceDN w:val="0"/>
              <w:adjustRightInd w:val="0"/>
              <w:spacing w:line="276" w:lineRule="auto"/>
              <w:rPr>
                <w:b/>
                <w:sz w:val="20"/>
                <w:szCs w:val="20"/>
              </w:rPr>
            </w:pPr>
            <w:r w:rsidRPr="00CD0236">
              <w:rPr>
                <w:b/>
                <w:sz w:val="20"/>
                <w:szCs w:val="20"/>
              </w:rPr>
              <w:lastRenderedPageBreak/>
              <w:t xml:space="preserve">Dawkowanie </w:t>
            </w:r>
            <w:r w:rsidR="009E3788">
              <w:rPr>
                <w:b/>
                <w:sz w:val="20"/>
                <w:szCs w:val="20"/>
              </w:rPr>
              <w:t>obinutuzumabu</w:t>
            </w:r>
            <w:r w:rsidRPr="00CD0236">
              <w:rPr>
                <w:b/>
                <w:sz w:val="20"/>
                <w:szCs w:val="20"/>
              </w:rPr>
              <w:t>:</w:t>
            </w:r>
          </w:p>
          <w:p w:rsidR="009E3788" w:rsidRDefault="009E3788" w:rsidP="009E3788">
            <w:pPr>
              <w:numPr>
                <w:ilvl w:val="0"/>
                <w:numId w:val="60"/>
              </w:numPr>
              <w:autoSpaceDE w:val="0"/>
              <w:autoSpaceDN w:val="0"/>
              <w:adjustRightInd w:val="0"/>
              <w:spacing w:line="276" w:lineRule="auto"/>
              <w:ind w:left="354" w:hanging="284"/>
              <w:rPr>
                <w:b/>
                <w:sz w:val="20"/>
                <w:szCs w:val="20"/>
              </w:rPr>
            </w:pPr>
            <w:r>
              <w:rPr>
                <w:b/>
                <w:sz w:val="20"/>
                <w:szCs w:val="20"/>
              </w:rPr>
              <w:t>Cykl 1.</w:t>
            </w:r>
          </w:p>
          <w:p w:rsidR="009E3788" w:rsidRPr="009E3788" w:rsidRDefault="009E3788" w:rsidP="009E3788">
            <w:pPr>
              <w:autoSpaceDE w:val="0"/>
              <w:autoSpaceDN w:val="0"/>
              <w:adjustRightInd w:val="0"/>
              <w:spacing w:line="276" w:lineRule="auto"/>
              <w:rPr>
                <w:sz w:val="20"/>
                <w:szCs w:val="20"/>
              </w:rPr>
            </w:pPr>
            <w:r w:rsidRPr="009E3788">
              <w:rPr>
                <w:sz w:val="20"/>
                <w:szCs w:val="20"/>
              </w:rPr>
              <w:t>Zalecaną dawkę obinutuzumabu - 1000 mg - podaje się w 1.-2. dniu, 8. dniu i 15. dniu pierwszego 28-dniowego cyklu leczenia.</w:t>
            </w:r>
          </w:p>
          <w:p w:rsidR="009E3788" w:rsidRPr="009E3788" w:rsidRDefault="009E3788" w:rsidP="009E3788">
            <w:pPr>
              <w:autoSpaceDE w:val="0"/>
              <w:autoSpaceDN w:val="0"/>
              <w:adjustRightInd w:val="0"/>
              <w:spacing w:line="276" w:lineRule="auto"/>
              <w:rPr>
                <w:sz w:val="20"/>
                <w:szCs w:val="20"/>
              </w:rPr>
            </w:pPr>
            <w:r w:rsidRPr="009E3788">
              <w:rPr>
                <w:sz w:val="20"/>
                <w:szCs w:val="20"/>
              </w:rPr>
              <w:t xml:space="preserve">Do infuzji w </w:t>
            </w:r>
            <w:r w:rsidRPr="009E3788">
              <w:rPr>
                <w:bCs/>
                <w:sz w:val="20"/>
                <w:szCs w:val="20"/>
              </w:rPr>
              <w:t>1</w:t>
            </w:r>
            <w:r w:rsidRPr="009E3788">
              <w:rPr>
                <w:sz w:val="20"/>
                <w:szCs w:val="20"/>
              </w:rPr>
              <w:t xml:space="preserve">.-2. dniu cyklu należy przygotować dwie torebki infuzyjne (100 mg na dzień 1. i 900 mg na dzień 2.). Jeżeli podczas podawania pierwszej torebki nie było przerw ani konieczności modyfikacji prędkości podawania, drugą torebkę można podać tego samego dnia (bez konieczności opóźnienia podania), pod warunkiem, </w:t>
            </w:r>
            <w:r w:rsidRPr="009E3788">
              <w:rPr>
                <w:bCs/>
                <w:sz w:val="20"/>
                <w:szCs w:val="20"/>
              </w:rPr>
              <w:t xml:space="preserve">że </w:t>
            </w:r>
            <w:r w:rsidRPr="009E3788">
              <w:rPr>
                <w:sz w:val="20"/>
                <w:szCs w:val="20"/>
              </w:rPr>
              <w:t>podczas trwania infuzji zapewnione są właściwe warunki, odpowiedni czas i nadzór personelu medycznego. W przypadku jakichkolwiek zmian w prędkości infuzji lub wystąpienia przerw podczas podawania pierwszych 100 mg, drugą torebkę z produktem leczniczym należy podać następnego dnia.</w:t>
            </w:r>
          </w:p>
          <w:p w:rsidR="009E3788" w:rsidRPr="00CD0236" w:rsidRDefault="009E3788" w:rsidP="00EF1F15">
            <w:pPr>
              <w:autoSpaceDE w:val="0"/>
              <w:autoSpaceDN w:val="0"/>
              <w:adjustRightInd w:val="0"/>
              <w:spacing w:line="276" w:lineRule="auto"/>
              <w:rPr>
                <w:b/>
                <w:sz w:val="20"/>
                <w:szCs w:val="20"/>
              </w:rPr>
            </w:pPr>
          </w:p>
          <w:p w:rsidR="009E3788" w:rsidRDefault="00722E16" w:rsidP="009E3788">
            <w:pPr>
              <w:numPr>
                <w:ilvl w:val="0"/>
                <w:numId w:val="60"/>
              </w:numPr>
              <w:autoSpaceDE w:val="0"/>
              <w:autoSpaceDN w:val="0"/>
              <w:adjustRightInd w:val="0"/>
              <w:spacing w:line="276" w:lineRule="auto"/>
              <w:ind w:left="354" w:hanging="284"/>
              <w:rPr>
                <w:b/>
                <w:sz w:val="20"/>
                <w:szCs w:val="20"/>
              </w:rPr>
            </w:pPr>
            <w:r>
              <w:rPr>
                <w:b/>
                <w:sz w:val="20"/>
                <w:szCs w:val="20"/>
              </w:rPr>
              <w:t>Cykl 2 - 6</w:t>
            </w:r>
          </w:p>
          <w:p w:rsidR="009E3788" w:rsidRPr="009E3788" w:rsidRDefault="009E3788" w:rsidP="009E3788">
            <w:pPr>
              <w:autoSpaceDE w:val="0"/>
              <w:autoSpaceDN w:val="0"/>
              <w:adjustRightInd w:val="0"/>
              <w:spacing w:line="276" w:lineRule="auto"/>
              <w:rPr>
                <w:sz w:val="20"/>
                <w:szCs w:val="20"/>
              </w:rPr>
            </w:pPr>
            <w:r w:rsidRPr="009E3788">
              <w:rPr>
                <w:sz w:val="20"/>
                <w:szCs w:val="20"/>
              </w:rPr>
              <w:t>Zalecaną dawkę obinutuzumabu -1000 mg podaje się w 1. dniu cyklu.</w:t>
            </w:r>
          </w:p>
          <w:p w:rsidR="00341316" w:rsidRPr="00EF52C7" w:rsidRDefault="00341316" w:rsidP="00EF1F15">
            <w:pPr>
              <w:autoSpaceDE w:val="0"/>
              <w:autoSpaceDN w:val="0"/>
              <w:adjustRightInd w:val="0"/>
              <w:spacing w:line="276" w:lineRule="auto"/>
              <w:rPr>
                <w:sz w:val="20"/>
                <w:szCs w:val="20"/>
              </w:rPr>
            </w:pPr>
          </w:p>
          <w:p w:rsidR="004E2E0D" w:rsidRPr="00EF52C7" w:rsidRDefault="004A52CD" w:rsidP="00EF1F15">
            <w:pPr>
              <w:autoSpaceDE w:val="0"/>
              <w:autoSpaceDN w:val="0"/>
              <w:adjustRightInd w:val="0"/>
              <w:spacing w:line="276" w:lineRule="auto"/>
              <w:rPr>
                <w:sz w:val="20"/>
                <w:szCs w:val="20"/>
              </w:rPr>
            </w:pPr>
            <w:r w:rsidRPr="004A52CD">
              <w:rPr>
                <w:sz w:val="20"/>
                <w:szCs w:val="20"/>
              </w:rPr>
              <w:t>Obinutuzumab</w:t>
            </w:r>
            <w:r>
              <w:rPr>
                <w:sz w:val="20"/>
                <w:szCs w:val="20"/>
              </w:rPr>
              <w:t xml:space="preserve"> stosowany jest w skojarzeniu z </w:t>
            </w:r>
            <w:r w:rsidRPr="004A52CD">
              <w:rPr>
                <w:sz w:val="20"/>
                <w:szCs w:val="20"/>
              </w:rPr>
              <w:t>chlorambucylem.</w:t>
            </w:r>
          </w:p>
          <w:p w:rsidR="000D570F" w:rsidRPr="00EF52C7" w:rsidRDefault="000D570F" w:rsidP="00954F48">
            <w:pPr>
              <w:autoSpaceDE w:val="0"/>
              <w:autoSpaceDN w:val="0"/>
              <w:adjustRightInd w:val="0"/>
              <w:spacing w:line="276" w:lineRule="auto"/>
              <w:rPr>
                <w:sz w:val="20"/>
                <w:szCs w:val="20"/>
              </w:rPr>
            </w:pPr>
          </w:p>
        </w:tc>
        <w:tc>
          <w:tcPr>
            <w:tcW w:w="1784" w:type="pct"/>
            <w:tcBorders>
              <w:top w:val="single" w:sz="6" w:space="0" w:color="auto"/>
              <w:left w:val="single" w:sz="6" w:space="0" w:color="auto"/>
              <w:bottom w:val="single" w:sz="6" w:space="0" w:color="auto"/>
              <w:right w:val="single" w:sz="6" w:space="0" w:color="auto"/>
            </w:tcBorders>
          </w:tcPr>
          <w:p w:rsidR="001C600E" w:rsidRPr="00F441C9" w:rsidRDefault="001C600E" w:rsidP="00F441C9">
            <w:pPr>
              <w:numPr>
                <w:ilvl w:val="0"/>
                <w:numId w:val="50"/>
              </w:numPr>
              <w:autoSpaceDE w:val="0"/>
              <w:autoSpaceDN w:val="0"/>
              <w:adjustRightInd w:val="0"/>
              <w:spacing w:after="120" w:line="276" w:lineRule="auto"/>
              <w:ind w:left="294" w:hanging="266"/>
              <w:rPr>
                <w:b/>
                <w:sz w:val="20"/>
                <w:szCs w:val="20"/>
              </w:rPr>
            </w:pPr>
            <w:r w:rsidRPr="00F441C9">
              <w:rPr>
                <w:b/>
                <w:bCs/>
                <w:sz w:val="20"/>
                <w:szCs w:val="20"/>
              </w:rPr>
              <w:t>Badania przy kwalifikacji</w:t>
            </w:r>
          </w:p>
          <w:p w:rsidR="009E3788" w:rsidRDefault="00F441C9" w:rsidP="009E3788">
            <w:pPr>
              <w:numPr>
                <w:ilvl w:val="0"/>
                <w:numId w:val="49"/>
              </w:numPr>
              <w:autoSpaceDE w:val="0"/>
              <w:autoSpaceDN w:val="0"/>
              <w:adjustRightInd w:val="0"/>
              <w:spacing w:line="276" w:lineRule="auto"/>
              <w:ind w:left="496" w:hanging="425"/>
              <w:rPr>
                <w:bCs/>
                <w:sz w:val="20"/>
                <w:szCs w:val="20"/>
              </w:rPr>
            </w:pPr>
            <w:r w:rsidRPr="009E3788">
              <w:rPr>
                <w:bCs/>
                <w:sz w:val="20"/>
                <w:szCs w:val="20"/>
              </w:rPr>
              <w:t>B</w:t>
            </w:r>
            <w:r w:rsidR="001C600E" w:rsidRPr="009E3788">
              <w:rPr>
                <w:bCs/>
                <w:sz w:val="20"/>
                <w:szCs w:val="20"/>
              </w:rPr>
              <w:t xml:space="preserve">adania </w:t>
            </w:r>
            <w:r w:rsidR="009E3788" w:rsidRPr="009E3788">
              <w:rPr>
                <w:bCs/>
                <w:sz w:val="20"/>
                <w:szCs w:val="20"/>
              </w:rPr>
              <w:t xml:space="preserve">niezbędne do ustalenia rozpoznania </w:t>
            </w:r>
            <w:r w:rsidR="009E3788" w:rsidRPr="009E3788">
              <w:rPr>
                <w:sz w:val="20"/>
                <w:szCs w:val="20"/>
              </w:rPr>
              <w:t>przewlekłej białaczki limfocytowej,</w:t>
            </w:r>
            <w:r w:rsidR="009E3788" w:rsidRPr="009E3788">
              <w:rPr>
                <w:bCs/>
                <w:sz w:val="20"/>
                <w:szCs w:val="20"/>
              </w:rPr>
              <w:t xml:space="preserve"> o ile nie były wykonane wcześniej:</w:t>
            </w:r>
          </w:p>
          <w:p w:rsidR="00891AD3" w:rsidRPr="009E3788" w:rsidRDefault="00891AD3" w:rsidP="00891AD3">
            <w:pPr>
              <w:numPr>
                <w:ilvl w:val="0"/>
                <w:numId w:val="61"/>
              </w:numPr>
              <w:autoSpaceDE w:val="0"/>
              <w:autoSpaceDN w:val="0"/>
              <w:adjustRightInd w:val="0"/>
              <w:spacing w:line="276" w:lineRule="auto"/>
              <w:ind w:left="638" w:hanging="278"/>
              <w:rPr>
                <w:bCs/>
                <w:sz w:val="20"/>
                <w:szCs w:val="20"/>
              </w:rPr>
            </w:pPr>
            <w:r>
              <w:rPr>
                <w:bCs/>
                <w:sz w:val="20"/>
                <w:szCs w:val="20"/>
              </w:rPr>
              <w:t>badanie na obecność antygenu CD20;</w:t>
            </w:r>
          </w:p>
          <w:p w:rsidR="009E3788" w:rsidRPr="009E3788" w:rsidRDefault="009E3788" w:rsidP="009E3788">
            <w:pPr>
              <w:numPr>
                <w:ilvl w:val="0"/>
                <w:numId w:val="61"/>
              </w:numPr>
              <w:autoSpaceDE w:val="0"/>
              <w:autoSpaceDN w:val="0"/>
              <w:adjustRightInd w:val="0"/>
              <w:spacing w:line="276" w:lineRule="auto"/>
              <w:ind w:left="638" w:hanging="278"/>
              <w:rPr>
                <w:bCs/>
                <w:sz w:val="20"/>
                <w:szCs w:val="20"/>
              </w:rPr>
            </w:pPr>
            <w:r w:rsidRPr="009E3788">
              <w:rPr>
                <w:bCs/>
                <w:sz w:val="20"/>
                <w:szCs w:val="20"/>
              </w:rPr>
              <w:t>morfologia krwi obwodowej ze wzorem odsetkowym</w:t>
            </w:r>
            <w:r>
              <w:rPr>
                <w:bCs/>
                <w:sz w:val="20"/>
                <w:szCs w:val="20"/>
              </w:rPr>
              <w:t>;</w:t>
            </w:r>
          </w:p>
          <w:p w:rsidR="009E3788" w:rsidRPr="009E3788" w:rsidRDefault="009E3788" w:rsidP="009E3788">
            <w:pPr>
              <w:numPr>
                <w:ilvl w:val="0"/>
                <w:numId w:val="61"/>
              </w:numPr>
              <w:autoSpaceDE w:val="0"/>
              <w:autoSpaceDN w:val="0"/>
              <w:adjustRightInd w:val="0"/>
              <w:spacing w:line="276" w:lineRule="auto"/>
              <w:ind w:left="638" w:hanging="278"/>
              <w:rPr>
                <w:bCs/>
                <w:sz w:val="20"/>
                <w:szCs w:val="20"/>
              </w:rPr>
            </w:pPr>
            <w:r w:rsidRPr="009E3788">
              <w:rPr>
                <w:bCs/>
                <w:sz w:val="20"/>
                <w:szCs w:val="20"/>
              </w:rPr>
              <w:t>ocena wydolności nerek i wątroby (kreatynina, eGFR, kwas moczowy, AST, ALT, bilirubina całkowita)</w:t>
            </w:r>
            <w:r>
              <w:rPr>
                <w:bCs/>
                <w:sz w:val="20"/>
                <w:szCs w:val="20"/>
              </w:rPr>
              <w:t>;</w:t>
            </w:r>
          </w:p>
          <w:p w:rsidR="009E3788" w:rsidRPr="009E3788" w:rsidRDefault="009E3788" w:rsidP="009E3788">
            <w:pPr>
              <w:numPr>
                <w:ilvl w:val="0"/>
                <w:numId w:val="61"/>
              </w:numPr>
              <w:autoSpaceDE w:val="0"/>
              <w:autoSpaceDN w:val="0"/>
              <w:adjustRightInd w:val="0"/>
              <w:spacing w:line="276" w:lineRule="auto"/>
              <w:ind w:left="638" w:hanging="278"/>
              <w:rPr>
                <w:bCs/>
                <w:sz w:val="20"/>
                <w:szCs w:val="20"/>
              </w:rPr>
            </w:pPr>
            <w:r w:rsidRPr="009E3788">
              <w:rPr>
                <w:bCs/>
                <w:sz w:val="20"/>
                <w:szCs w:val="20"/>
              </w:rPr>
              <w:t>ocena stopnia zaawansowania klinicznego w</w:t>
            </w:r>
            <w:r>
              <w:rPr>
                <w:bCs/>
                <w:sz w:val="20"/>
                <w:szCs w:val="20"/>
              </w:rPr>
              <w:t>g klasyfikacji Rai'a lub Bineta;</w:t>
            </w:r>
          </w:p>
          <w:p w:rsidR="009E3788" w:rsidRPr="009E3788" w:rsidRDefault="009E3788" w:rsidP="009E3788">
            <w:pPr>
              <w:numPr>
                <w:ilvl w:val="0"/>
                <w:numId w:val="61"/>
              </w:numPr>
              <w:autoSpaceDE w:val="0"/>
              <w:autoSpaceDN w:val="0"/>
              <w:adjustRightInd w:val="0"/>
              <w:spacing w:after="120" w:line="276" w:lineRule="auto"/>
              <w:ind w:left="635" w:hanging="278"/>
              <w:rPr>
                <w:bCs/>
                <w:sz w:val="20"/>
                <w:szCs w:val="20"/>
              </w:rPr>
            </w:pPr>
            <w:r w:rsidRPr="009E3788">
              <w:rPr>
                <w:bCs/>
                <w:sz w:val="20"/>
                <w:szCs w:val="20"/>
              </w:rPr>
              <w:t>ocena nasilenia objawów chorób towarzyszących wg skali CIRS</w:t>
            </w:r>
            <w:r>
              <w:rPr>
                <w:bCs/>
                <w:sz w:val="20"/>
                <w:szCs w:val="20"/>
              </w:rPr>
              <w:t>.</w:t>
            </w:r>
          </w:p>
          <w:p w:rsidR="009E3788" w:rsidRPr="009E3788" w:rsidRDefault="009E3788" w:rsidP="009E3788">
            <w:pPr>
              <w:numPr>
                <w:ilvl w:val="0"/>
                <w:numId w:val="49"/>
              </w:numPr>
              <w:autoSpaceDE w:val="0"/>
              <w:autoSpaceDN w:val="0"/>
              <w:adjustRightInd w:val="0"/>
              <w:spacing w:line="276" w:lineRule="auto"/>
              <w:ind w:left="496" w:hanging="425"/>
              <w:rPr>
                <w:bCs/>
                <w:sz w:val="20"/>
                <w:szCs w:val="20"/>
              </w:rPr>
            </w:pPr>
            <w:r w:rsidRPr="009E3788">
              <w:rPr>
                <w:bCs/>
                <w:sz w:val="20"/>
                <w:szCs w:val="20"/>
              </w:rPr>
              <w:t>Badania przesiewowe w kierunku wirusowego zapalenia wątroby typu B zawierające co najmniej testy w kierunku HBsAg i HBcAb;</w:t>
            </w:r>
          </w:p>
          <w:p w:rsidR="009E3788" w:rsidRPr="009E3788" w:rsidRDefault="009E3788" w:rsidP="009E3788">
            <w:pPr>
              <w:numPr>
                <w:ilvl w:val="0"/>
                <w:numId w:val="49"/>
              </w:numPr>
              <w:autoSpaceDE w:val="0"/>
              <w:autoSpaceDN w:val="0"/>
              <w:adjustRightInd w:val="0"/>
              <w:spacing w:after="120" w:line="276" w:lineRule="auto"/>
              <w:ind w:left="499" w:hanging="425"/>
              <w:rPr>
                <w:bCs/>
                <w:sz w:val="20"/>
                <w:szCs w:val="20"/>
              </w:rPr>
            </w:pPr>
            <w:r w:rsidRPr="009E3788">
              <w:rPr>
                <w:bCs/>
                <w:sz w:val="20"/>
                <w:szCs w:val="20"/>
              </w:rPr>
              <w:t>Test ciążowy</w:t>
            </w:r>
          </w:p>
          <w:p w:rsidR="001C600E" w:rsidRPr="00455021" w:rsidRDefault="009E3788" w:rsidP="009E3788">
            <w:pPr>
              <w:numPr>
                <w:ilvl w:val="0"/>
                <w:numId w:val="50"/>
              </w:numPr>
              <w:autoSpaceDE w:val="0"/>
              <w:autoSpaceDN w:val="0"/>
              <w:adjustRightInd w:val="0"/>
              <w:spacing w:after="120" w:line="276" w:lineRule="auto"/>
              <w:ind w:left="294" w:hanging="266"/>
              <w:rPr>
                <w:b/>
                <w:sz w:val="20"/>
                <w:szCs w:val="20"/>
              </w:rPr>
            </w:pPr>
            <w:r w:rsidRPr="009E3788">
              <w:rPr>
                <w:b/>
                <w:bCs/>
                <w:sz w:val="20"/>
                <w:szCs w:val="20"/>
              </w:rPr>
              <w:t>Monitorowanie</w:t>
            </w:r>
            <w:r>
              <w:rPr>
                <w:b/>
                <w:bCs/>
                <w:sz w:val="20"/>
                <w:szCs w:val="20"/>
              </w:rPr>
              <w:t xml:space="preserve"> leczenia</w:t>
            </w:r>
            <w:r w:rsidR="001C600E" w:rsidRPr="00F441C9">
              <w:rPr>
                <w:b/>
                <w:bCs/>
                <w:sz w:val="20"/>
                <w:szCs w:val="20"/>
              </w:rPr>
              <w:t>:</w:t>
            </w:r>
          </w:p>
          <w:p w:rsidR="00455021" w:rsidRPr="00455021" w:rsidRDefault="00455021" w:rsidP="00455021">
            <w:pPr>
              <w:autoSpaceDE w:val="0"/>
              <w:autoSpaceDN w:val="0"/>
              <w:adjustRightInd w:val="0"/>
              <w:spacing w:after="120" w:line="276" w:lineRule="auto"/>
              <w:ind w:left="28"/>
              <w:rPr>
                <w:sz w:val="20"/>
                <w:szCs w:val="20"/>
              </w:rPr>
            </w:pPr>
            <w:r w:rsidRPr="00455021">
              <w:rPr>
                <w:bCs/>
                <w:sz w:val="20"/>
                <w:szCs w:val="20"/>
              </w:rPr>
              <w:t>Przed każdym podaniem leku:</w:t>
            </w:r>
          </w:p>
          <w:p w:rsidR="001C600E" w:rsidRPr="00EF52C7" w:rsidRDefault="00455021" w:rsidP="00F441C9">
            <w:pPr>
              <w:pStyle w:val="Akapitzlist"/>
              <w:numPr>
                <w:ilvl w:val="0"/>
                <w:numId w:val="19"/>
              </w:numPr>
              <w:autoSpaceDE w:val="0"/>
              <w:autoSpaceDN w:val="0"/>
              <w:adjustRightInd w:val="0"/>
              <w:spacing w:line="276" w:lineRule="auto"/>
              <w:ind w:left="496" w:hanging="284"/>
              <w:rPr>
                <w:sz w:val="20"/>
                <w:szCs w:val="20"/>
              </w:rPr>
            </w:pPr>
            <w:r>
              <w:rPr>
                <w:sz w:val="20"/>
                <w:szCs w:val="20"/>
              </w:rPr>
              <w:t>morfologia krwi ze wzrostem odsetkowym</w:t>
            </w:r>
            <w:r w:rsidR="00F441C9">
              <w:rPr>
                <w:sz w:val="20"/>
                <w:szCs w:val="20"/>
              </w:rPr>
              <w:t>;</w:t>
            </w:r>
          </w:p>
          <w:p w:rsidR="001C600E" w:rsidRPr="00EF52C7" w:rsidRDefault="00455021" w:rsidP="00F441C9">
            <w:pPr>
              <w:pStyle w:val="Akapitzlist"/>
              <w:numPr>
                <w:ilvl w:val="0"/>
                <w:numId w:val="19"/>
              </w:numPr>
              <w:autoSpaceDE w:val="0"/>
              <w:autoSpaceDN w:val="0"/>
              <w:adjustRightInd w:val="0"/>
              <w:spacing w:line="276" w:lineRule="auto"/>
              <w:ind w:left="496" w:hanging="284"/>
              <w:rPr>
                <w:sz w:val="20"/>
                <w:szCs w:val="20"/>
              </w:rPr>
            </w:pPr>
            <w:r>
              <w:rPr>
                <w:sz w:val="20"/>
                <w:szCs w:val="20"/>
              </w:rPr>
              <w:t>stężenie kreatyniny;</w:t>
            </w:r>
          </w:p>
          <w:p w:rsidR="001C600E" w:rsidRPr="00EF52C7" w:rsidRDefault="00455021" w:rsidP="00F441C9">
            <w:pPr>
              <w:pStyle w:val="Akapitzlist"/>
              <w:numPr>
                <w:ilvl w:val="0"/>
                <w:numId w:val="19"/>
              </w:numPr>
              <w:autoSpaceDE w:val="0"/>
              <w:autoSpaceDN w:val="0"/>
              <w:adjustRightInd w:val="0"/>
              <w:spacing w:line="276" w:lineRule="auto"/>
              <w:ind w:left="496" w:hanging="284"/>
              <w:rPr>
                <w:sz w:val="20"/>
                <w:szCs w:val="20"/>
              </w:rPr>
            </w:pPr>
            <w:r>
              <w:rPr>
                <w:sz w:val="20"/>
                <w:szCs w:val="20"/>
              </w:rPr>
              <w:t>stężenie kwasu moczowego</w:t>
            </w:r>
            <w:r w:rsidR="00F441C9">
              <w:rPr>
                <w:sz w:val="20"/>
                <w:szCs w:val="20"/>
              </w:rPr>
              <w:t>;</w:t>
            </w:r>
          </w:p>
          <w:p w:rsidR="00455021" w:rsidRDefault="00455021" w:rsidP="00F441C9">
            <w:pPr>
              <w:pStyle w:val="Akapitzlist"/>
              <w:numPr>
                <w:ilvl w:val="0"/>
                <w:numId w:val="19"/>
              </w:numPr>
              <w:autoSpaceDE w:val="0"/>
              <w:autoSpaceDN w:val="0"/>
              <w:adjustRightInd w:val="0"/>
              <w:spacing w:line="276" w:lineRule="auto"/>
              <w:ind w:left="496" w:hanging="284"/>
              <w:rPr>
                <w:sz w:val="20"/>
                <w:szCs w:val="20"/>
              </w:rPr>
            </w:pPr>
            <w:r>
              <w:rPr>
                <w:sz w:val="20"/>
                <w:szCs w:val="20"/>
              </w:rPr>
              <w:t>aktywność AST, ALT;</w:t>
            </w:r>
          </w:p>
          <w:p w:rsidR="00455021" w:rsidRPr="00455021" w:rsidRDefault="00455021" w:rsidP="00455021">
            <w:pPr>
              <w:pStyle w:val="Akapitzlist"/>
              <w:numPr>
                <w:ilvl w:val="0"/>
                <w:numId w:val="19"/>
              </w:numPr>
              <w:autoSpaceDE w:val="0"/>
              <w:autoSpaceDN w:val="0"/>
              <w:adjustRightInd w:val="0"/>
              <w:spacing w:after="240" w:line="276" w:lineRule="auto"/>
              <w:ind w:left="494" w:hanging="284"/>
              <w:contextualSpacing w:val="0"/>
              <w:rPr>
                <w:sz w:val="20"/>
                <w:szCs w:val="20"/>
              </w:rPr>
            </w:pPr>
            <w:r>
              <w:rPr>
                <w:sz w:val="20"/>
                <w:szCs w:val="20"/>
              </w:rPr>
              <w:t>stężenie bilirubiny całkowitej</w:t>
            </w:r>
            <w:r w:rsidR="00F441C9">
              <w:rPr>
                <w:sz w:val="20"/>
                <w:szCs w:val="20"/>
              </w:rPr>
              <w:t>.</w:t>
            </w:r>
          </w:p>
          <w:p w:rsidR="00455021" w:rsidRDefault="00455021" w:rsidP="00455021">
            <w:pPr>
              <w:pStyle w:val="Akapitzlist"/>
              <w:spacing w:line="276" w:lineRule="auto"/>
              <w:ind w:left="71"/>
              <w:rPr>
                <w:sz w:val="20"/>
                <w:szCs w:val="20"/>
              </w:rPr>
            </w:pPr>
            <w:r w:rsidRPr="00455021">
              <w:rPr>
                <w:sz w:val="20"/>
                <w:szCs w:val="20"/>
              </w:rPr>
              <w:t xml:space="preserve">Ocena odpowiedzi na leczenie powinna być przeprowadzona zgodnie z kryteriami zaproponowanymi w Zaleceniach postępowania diagnostycznego i terapeutycznego wg Polskiego Towarzystwa Onkologii Klinicznej (PTOK), lub Grupy Leczenia </w:t>
            </w:r>
            <w:r w:rsidRPr="00455021">
              <w:rPr>
                <w:sz w:val="20"/>
                <w:szCs w:val="20"/>
              </w:rPr>
              <w:lastRenderedPageBreak/>
              <w:t>Białaczek u Osób Dorosłych Polskiego Towarzystwa Hematologów i Transfuzjologów (PTHiT PALG).</w:t>
            </w:r>
          </w:p>
          <w:p w:rsidR="007C7773" w:rsidRPr="00EF52C7" w:rsidRDefault="007C7773" w:rsidP="00EF1F15">
            <w:pPr>
              <w:autoSpaceDE w:val="0"/>
              <w:autoSpaceDN w:val="0"/>
              <w:adjustRightInd w:val="0"/>
              <w:spacing w:line="276" w:lineRule="auto"/>
              <w:rPr>
                <w:sz w:val="20"/>
                <w:szCs w:val="20"/>
              </w:rPr>
            </w:pPr>
          </w:p>
          <w:p w:rsidR="00EF52C7" w:rsidRPr="00F441C9" w:rsidRDefault="00EF52C7" w:rsidP="00F441C9">
            <w:pPr>
              <w:numPr>
                <w:ilvl w:val="0"/>
                <w:numId w:val="50"/>
              </w:numPr>
              <w:autoSpaceDE w:val="0"/>
              <w:autoSpaceDN w:val="0"/>
              <w:adjustRightInd w:val="0"/>
              <w:spacing w:after="120" w:line="276" w:lineRule="auto"/>
              <w:ind w:left="294" w:hanging="266"/>
              <w:rPr>
                <w:b/>
                <w:sz w:val="20"/>
                <w:szCs w:val="20"/>
              </w:rPr>
            </w:pPr>
            <w:r w:rsidRPr="00F441C9">
              <w:rPr>
                <w:b/>
                <w:sz w:val="20"/>
                <w:szCs w:val="20"/>
              </w:rPr>
              <w:t>Monitorowanie programu:</w:t>
            </w:r>
          </w:p>
          <w:p w:rsidR="00EF52C7" w:rsidRDefault="00EF52C7" w:rsidP="00341F76">
            <w:pPr>
              <w:pStyle w:val="Akapitzlist"/>
              <w:numPr>
                <w:ilvl w:val="0"/>
                <w:numId w:val="39"/>
              </w:numPr>
              <w:autoSpaceDE w:val="0"/>
              <w:autoSpaceDN w:val="0"/>
              <w:adjustRightInd w:val="0"/>
              <w:spacing w:line="276" w:lineRule="auto"/>
              <w:ind w:left="376" w:hanging="283"/>
              <w:rPr>
                <w:sz w:val="20"/>
                <w:szCs w:val="20"/>
              </w:rPr>
            </w:pPr>
            <w:r>
              <w:rPr>
                <w:sz w:val="20"/>
                <w:szCs w:val="20"/>
              </w:rPr>
              <w:t xml:space="preserve">gromadzenie </w:t>
            </w:r>
            <w:r w:rsidR="0040253D">
              <w:rPr>
                <w:sz w:val="20"/>
                <w:szCs w:val="20"/>
              </w:rPr>
              <w:t xml:space="preserve">w </w:t>
            </w:r>
            <w:r>
              <w:rPr>
                <w:sz w:val="20"/>
                <w:szCs w:val="20"/>
              </w:rPr>
              <w:t>dokumentacji</w:t>
            </w:r>
            <w:r w:rsidRPr="00EF52C7">
              <w:rPr>
                <w:sz w:val="20"/>
                <w:szCs w:val="20"/>
              </w:rPr>
              <w:t xml:space="preserve"> medycznej pacje</w:t>
            </w:r>
            <w:r w:rsidR="004133D9">
              <w:rPr>
                <w:sz w:val="20"/>
                <w:szCs w:val="20"/>
              </w:rPr>
              <w:t>n</w:t>
            </w:r>
            <w:r w:rsidRPr="00EF52C7">
              <w:rPr>
                <w:sz w:val="20"/>
                <w:szCs w:val="20"/>
              </w:rPr>
              <w:t xml:space="preserve">ta </w:t>
            </w:r>
            <w:r>
              <w:rPr>
                <w:sz w:val="20"/>
                <w:szCs w:val="20"/>
              </w:rPr>
              <w:t>danych dotyczących</w:t>
            </w:r>
            <w:r w:rsidRPr="00EF52C7">
              <w:rPr>
                <w:sz w:val="20"/>
                <w:szCs w:val="20"/>
              </w:rPr>
              <w:t xml:space="preserve"> monitorowania leczenia i każdorazowo przedstawia</w:t>
            </w:r>
            <w:r>
              <w:rPr>
                <w:sz w:val="20"/>
                <w:szCs w:val="20"/>
              </w:rPr>
              <w:t>nie</w:t>
            </w:r>
            <w:r w:rsidRPr="00EF52C7">
              <w:rPr>
                <w:sz w:val="20"/>
                <w:szCs w:val="20"/>
              </w:rPr>
              <w:t xml:space="preserve"> na żądanie kontroler</w:t>
            </w:r>
            <w:r>
              <w:rPr>
                <w:sz w:val="20"/>
                <w:szCs w:val="20"/>
              </w:rPr>
              <w:t>ów</w:t>
            </w:r>
            <w:r w:rsidR="00734A11">
              <w:rPr>
                <w:sz w:val="20"/>
                <w:szCs w:val="20"/>
              </w:rPr>
              <w:t xml:space="preserve"> NFZ;</w:t>
            </w:r>
          </w:p>
          <w:p w:rsidR="00EF52C7" w:rsidRPr="00EF52C7" w:rsidRDefault="00EF52C7" w:rsidP="00341F76">
            <w:pPr>
              <w:pStyle w:val="Akapitzlist"/>
              <w:numPr>
                <w:ilvl w:val="0"/>
                <w:numId w:val="39"/>
              </w:numPr>
              <w:autoSpaceDE w:val="0"/>
              <w:autoSpaceDN w:val="0"/>
              <w:adjustRightInd w:val="0"/>
              <w:spacing w:line="276" w:lineRule="auto"/>
              <w:ind w:left="376" w:hanging="283"/>
              <w:rPr>
                <w:sz w:val="20"/>
                <w:szCs w:val="20"/>
              </w:rPr>
            </w:pPr>
            <w:r w:rsidRPr="00EF52C7">
              <w:rPr>
                <w:sz w:val="20"/>
                <w:szCs w:val="20"/>
              </w:rPr>
              <w:t xml:space="preserve">uzupełnianie danych zawartych w rejestrze </w:t>
            </w:r>
            <w:r>
              <w:rPr>
                <w:sz w:val="20"/>
                <w:szCs w:val="20"/>
              </w:rPr>
              <w:t xml:space="preserve">(SMPT) </w:t>
            </w:r>
            <w:r w:rsidRPr="00EF52C7">
              <w:rPr>
                <w:sz w:val="20"/>
                <w:szCs w:val="20"/>
              </w:rPr>
              <w:t>dostępnym za pomocą aplikacji internetowej udostępnionej przez OW NFZ</w:t>
            </w:r>
            <w:r w:rsidR="00455021">
              <w:rPr>
                <w:sz w:val="20"/>
                <w:szCs w:val="20"/>
              </w:rPr>
              <w:t>,</w:t>
            </w:r>
            <w:r w:rsidRPr="00EF52C7">
              <w:rPr>
                <w:sz w:val="20"/>
                <w:szCs w:val="20"/>
              </w:rPr>
              <w:t xml:space="preserve"> </w:t>
            </w:r>
            <w:r w:rsidR="00734A11">
              <w:rPr>
                <w:sz w:val="20"/>
                <w:szCs w:val="20"/>
              </w:rPr>
              <w:t>z częstotliwością zgodną</w:t>
            </w:r>
            <w:r>
              <w:rPr>
                <w:sz w:val="20"/>
                <w:szCs w:val="20"/>
              </w:rPr>
              <w:t xml:space="preserve"> z opisem programu</w:t>
            </w:r>
            <w:r w:rsidRPr="00EF52C7">
              <w:rPr>
                <w:sz w:val="20"/>
                <w:szCs w:val="20"/>
              </w:rPr>
              <w:t xml:space="preserve"> oraz na zakończenie leczenia</w:t>
            </w:r>
            <w:r w:rsidR="00734A11">
              <w:rPr>
                <w:sz w:val="20"/>
                <w:szCs w:val="20"/>
              </w:rPr>
              <w:t>;</w:t>
            </w:r>
          </w:p>
          <w:p w:rsidR="001C600E" w:rsidRPr="00EF52C7" w:rsidRDefault="0040253D" w:rsidP="00341F76">
            <w:pPr>
              <w:pStyle w:val="Akapitzlist"/>
              <w:numPr>
                <w:ilvl w:val="0"/>
                <w:numId w:val="39"/>
              </w:numPr>
              <w:autoSpaceDE w:val="0"/>
              <w:autoSpaceDN w:val="0"/>
              <w:adjustRightInd w:val="0"/>
              <w:spacing w:line="276" w:lineRule="auto"/>
              <w:ind w:left="376" w:hanging="283"/>
              <w:rPr>
                <w:sz w:val="20"/>
                <w:szCs w:val="20"/>
              </w:rPr>
            </w:pPr>
            <w:r>
              <w:rPr>
                <w:sz w:val="20"/>
                <w:szCs w:val="20"/>
              </w:rPr>
              <w:t>p</w:t>
            </w:r>
            <w:r w:rsidR="001C600E" w:rsidRPr="00EF52C7">
              <w:rPr>
                <w:sz w:val="20"/>
                <w:szCs w:val="20"/>
              </w:rPr>
              <w:t>rzekazywani</w:t>
            </w:r>
            <w:r w:rsidR="00EF52C7" w:rsidRPr="00EF52C7">
              <w:rPr>
                <w:sz w:val="20"/>
                <w:szCs w:val="20"/>
              </w:rPr>
              <w:t>e</w:t>
            </w:r>
            <w:r w:rsidR="00FC243F">
              <w:rPr>
                <w:sz w:val="20"/>
                <w:szCs w:val="20"/>
              </w:rPr>
              <w:t xml:space="preserve"> informacji sprawozdawczo-</w:t>
            </w:r>
            <w:r w:rsidR="001C600E" w:rsidRPr="00EF52C7">
              <w:rPr>
                <w:sz w:val="20"/>
                <w:szCs w:val="20"/>
              </w:rPr>
              <w:t>rozliczeniowych</w:t>
            </w:r>
            <w:r w:rsidR="00EF52C7" w:rsidRPr="00EF52C7">
              <w:rPr>
                <w:sz w:val="20"/>
                <w:szCs w:val="20"/>
              </w:rPr>
              <w:t xml:space="preserve"> do NFZ: </w:t>
            </w:r>
            <w:r w:rsidR="001C600E" w:rsidRPr="00EF52C7">
              <w:rPr>
                <w:sz w:val="20"/>
                <w:szCs w:val="20"/>
              </w:rPr>
              <w:t>Informacje przekaz</w:t>
            </w:r>
            <w:r w:rsidR="00EF52C7" w:rsidRPr="00EF52C7">
              <w:rPr>
                <w:sz w:val="20"/>
                <w:szCs w:val="20"/>
              </w:rPr>
              <w:t xml:space="preserve">uje się </w:t>
            </w:r>
            <w:r w:rsidR="001C600E" w:rsidRPr="00EF52C7">
              <w:rPr>
                <w:sz w:val="20"/>
                <w:szCs w:val="20"/>
              </w:rPr>
              <w:t>w formie papierowej i/lub w</w:t>
            </w:r>
            <w:r w:rsidR="00B90A15" w:rsidRPr="00EF52C7">
              <w:rPr>
                <w:sz w:val="20"/>
                <w:szCs w:val="20"/>
              </w:rPr>
              <w:t> </w:t>
            </w:r>
            <w:r w:rsidR="001C600E" w:rsidRPr="00EF52C7">
              <w:rPr>
                <w:sz w:val="20"/>
                <w:szCs w:val="20"/>
              </w:rPr>
              <w:t>formie elektronicznej, zgodnie z wymaganiami opublikowanymi przez Narodowy Fundusz Zdrowia.</w:t>
            </w:r>
          </w:p>
        </w:tc>
      </w:tr>
    </w:tbl>
    <w:p w:rsidR="00743C43" w:rsidRPr="00A8669E" w:rsidRDefault="00743C43" w:rsidP="00EF1F15">
      <w:pPr>
        <w:spacing w:line="276" w:lineRule="auto"/>
        <w:rPr>
          <w:sz w:val="2"/>
          <w:szCs w:val="20"/>
        </w:rPr>
      </w:pPr>
    </w:p>
    <w:sectPr w:rsidR="00743C43" w:rsidRPr="00A8669E" w:rsidSect="004602BE">
      <w:pgSz w:w="16838" w:h="11906" w:orient="landscape" w:code="9"/>
      <w:pgMar w:top="1588" w:right="720"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2147" w:rsidRDefault="00402147" w:rsidP="00C71DD3">
      <w:r>
        <w:separator/>
      </w:r>
    </w:p>
  </w:endnote>
  <w:endnote w:type="continuationSeparator" w:id="0">
    <w:p w:rsidR="00402147" w:rsidRDefault="00402147" w:rsidP="00C71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KBKDC+Ari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2147" w:rsidRDefault="00402147" w:rsidP="00C71DD3">
      <w:r>
        <w:separator/>
      </w:r>
    </w:p>
  </w:footnote>
  <w:footnote w:type="continuationSeparator" w:id="0">
    <w:p w:rsidR="00402147" w:rsidRDefault="00402147" w:rsidP="00C71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6FB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454819"/>
    <w:multiLevelType w:val="hybridMultilevel"/>
    <w:tmpl w:val="4EBCFC24"/>
    <w:lvl w:ilvl="0" w:tplc="73865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3D53B00"/>
    <w:multiLevelType w:val="hybridMultilevel"/>
    <w:tmpl w:val="619E6084"/>
    <w:lvl w:ilvl="0" w:tplc="0415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F73707"/>
    <w:multiLevelType w:val="hybridMultilevel"/>
    <w:tmpl w:val="A4FCC32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64F4239"/>
    <w:multiLevelType w:val="hybridMultilevel"/>
    <w:tmpl w:val="98F8D6DA"/>
    <w:lvl w:ilvl="0" w:tplc="C068CA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F21E45"/>
    <w:multiLevelType w:val="hybridMultilevel"/>
    <w:tmpl w:val="C92629F8"/>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0DB66FA"/>
    <w:multiLevelType w:val="hybridMultilevel"/>
    <w:tmpl w:val="B4CA15E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2806579"/>
    <w:multiLevelType w:val="hybridMultilevel"/>
    <w:tmpl w:val="1AB854B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337532D"/>
    <w:multiLevelType w:val="hybridMultilevel"/>
    <w:tmpl w:val="400A22C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5ED69D4"/>
    <w:multiLevelType w:val="hybridMultilevel"/>
    <w:tmpl w:val="73E6AD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17B94474"/>
    <w:multiLevelType w:val="hybridMultilevel"/>
    <w:tmpl w:val="986878A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A2074A7"/>
    <w:multiLevelType w:val="hybridMultilevel"/>
    <w:tmpl w:val="151E778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A47469F"/>
    <w:multiLevelType w:val="multilevel"/>
    <w:tmpl w:val="0870095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3" w15:restartNumberingAfterBreak="0">
    <w:nsid w:val="1B30350F"/>
    <w:multiLevelType w:val="hybridMultilevel"/>
    <w:tmpl w:val="8432EC3A"/>
    <w:lvl w:ilvl="0" w:tplc="907C6682">
      <w:start w:val="1"/>
      <w:numFmt w:val="lowerLetter"/>
      <w:lvlText w:val="%1)"/>
      <w:lvlJc w:val="left"/>
      <w:pPr>
        <w:ind w:left="1080" w:hanging="360"/>
      </w:pPr>
      <w:rPr>
        <w:rFonts w:ascii="Times New Roman" w:eastAsia="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E34102"/>
    <w:multiLevelType w:val="hybridMultilevel"/>
    <w:tmpl w:val="4146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1B1AFE"/>
    <w:multiLevelType w:val="hybridMultilevel"/>
    <w:tmpl w:val="8F62334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E5A298E"/>
    <w:multiLevelType w:val="hybridMultilevel"/>
    <w:tmpl w:val="0598134E"/>
    <w:lvl w:ilvl="0" w:tplc="FD961592">
      <w:start w:val="1"/>
      <w:numFmt w:val="decimal"/>
      <w:lvlText w:val="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53617D"/>
    <w:multiLevelType w:val="hybridMultilevel"/>
    <w:tmpl w:val="187A57A6"/>
    <w:lvl w:ilvl="0" w:tplc="6E1A3F10">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6931F81"/>
    <w:multiLevelType w:val="hybridMultilevel"/>
    <w:tmpl w:val="85CA08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E14E99"/>
    <w:multiLevelType w:val="hybridMultilevel"/>
    <w:tmpl w:val="0D164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7E40CE6"/>
    <w:multiLevelType w:val="hybridMultilevel"/>
    <w:tmpl w:val="0846DFF8"/>
    <w:lvl w:ilvl="0" w:tplc="03F87A3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28CE1FBA"/>
    <w:multiLevelType w:val="hybridMultilevel"/>
    <w:tmpl w:val="A36CF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9FF52A8"/>
    <w:multiLevelType w:val="hybridMultilevel"/>
    <w:tmpl w:val="17C67C42"/>
    <w:lvl w:ilvl="0" w:tplc="04150011">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15:restartNumberingAfterBreak="0">
    <w:nsid w:val="2EEA7FE4"/>
    <w:multiLevelType w:val="hybridMultilevel"/>
    <w:tmpl w:val="0194EAA0"/>
    <w:lvl w:ilvl="0" w:tplc="B2B68838">
      <w:start w:val="1"/>
      <w:numFmt w:val="decimal"/>
      <w:lvlText w:val="%1)"/>
      <w:lvlJc w:val="left"/>
      <w:pPr>
        <w:ind w:left="1068" w:hanging="360"/>
      </w:pPr>
      <w:rPr>
        <w:sz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2F1F69DB"/>
    <w:multiLevelType w:val="hybridMultilevel"/>
    <w:tmpl w:val="9550C392"/>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A907F0"/>
    <w:multiLevelType w:val="hybridMultilevel"/>
    <w:tmpl w:val="88DAB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EF2D41"/>
    <w:multiLevelType w:val="hybridMultilevel"/>
    <w:tmpl w:val="B39CFB2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7B5623D"/>
    <w:multiLevelType w:val="hybridMultilevel"/>
    <w:tmpl w:val="329E3F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8857428"/>
    <w:multiLevelType w:val="hybridMultilevel"/>
    <w:tmpl w:val="F5F0BBAA"/>
    <w:lvl w:ilvl="0" w:tplc="0B8071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96A589D"/>
    <w:multiLevelType w:val="hybridMultilevel"/>
    <w:tmpl w:val="F408A19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603E4D"/>
    <w:multiLevelType w:val="hybridMultilevel"/>
    <w:tmpl w:val="3440F324"/>
    <w:lvl w:ilvl="0" w:tplc="6E1A3F10">
      <w:start w:val="1"/>
      <w:numFmt w:val="decimal"/>
      <w:lvlText w:val="2.%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857E38"/>
    <w:multiLevelType w:val="hybridMultilevel"/>
    <w:tmpl w:val="C5ACE0C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CC334F5"/>
    <w:multiLevelType w:val="hybridMultilevel"/>
    <w:tmpl w:val="BA90CA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E00C6F"/>
    <w:multiLevelType w:val="hybridMultilevel"/>
    <w:tmpl w:val="CB2E1B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2364ED2"/>
    <w:multiLevelType w:val="hybridMultilevel"/>
    <w:tmpl w:val="A36CF8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5922728"/>
    <w:multiLevelType w:val="hybridMultilevel"/>
    <w:tmpl w:val="3C9ECC90"/>
    <w:lvl w:ilvl="0" w:tplc="F7201704">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650250F"/>
    <w:multiLevelType w:val="hybridMultilevel"/>
    <w:tmpl w:val="B142CBBE"/>
    <w:lvl w:ilvl="0" w:tplc="C068CAA0">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37" w15:restartNumberingAfterBreak="0">
    <w:nsid w:val="4A8802A9"/>
    <w:multiLevelType w:val="hybridMultilevel"/>
    <w:tmpl w:val="5E0A02A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D17230E"/>
    <w:multiLevelType w:val="hybridMultilevel"/>
    <w:tmpl w:val="73E6AD5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D601E7B"/>
    <w:multiLevelType w:val="hybridMultilevel"/>
    <w:tmpl w:val="38B281E2"/>
    <w:lvl w:ilvl="0" w:tplc="8604AB7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E957E8F"/>
    <w:multiLevelType w:val="hybridMultilevel"/>
    <w:tmpl w:val="2154F0FE"/>
    <w:lvl w:ilvl="0" w:tplc="94FCF27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2D33867"/>
    <w:multiLevelType w:val="hybridMultilevel"/>
    <w:tmpl w:val="C5ACE0CE"/>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530112D6"/>
    <w:multiLevelType w:val="hybridMultilevel"/>
    <w:tmpl w:val="BFE0AD14"/>
    <w:lvl w:ilvl="0" w:tplc="73865BD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56501461"/>
    <w:multiLevelType w:val="hybridMultilevel"/>
    <w:tmpl w:val="F3A6C3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65D7A13"/>
    <w:multiLevelType w:val="hybridMultilevel"/>
    <w:tmpl w:val="EDA212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9002983"/>
    <w:multiLevelType w:val="hybridMultilevel"/>
    <w:tmpl w:val="C972C4DA"/>
    <w:lvl w:ilvl="0" w:tplc="562437C2">
      <w:start w:val="1"/>
      <w:numFmt w:val="decimal"/>
      <w:lvlText w:val="%1)"/>
      <w:lvlJc w:val="left"/>
      <w:pPr>
        <w:ind w:left="720" w:hanging="360"/>
      </w:pPr>
      <w:rPr>
        <w:rFonts w:ascii="Times New Roman" w:hAnsi="Times New Roman" w:cs="Times New Roman" w:hint="default"/>
        <w:b w:val="0"/>
        <w:color w:val="auto"/>
      </w:rPr>
    </w:lvl>
    <w:lvl w:ilvl="1" w:tplc="907C6682">
      <w:start w:val="1"/>
      <w:numFmt w:val="lowerLetter"/>
      <w:lvlText w:val="%2)"/>
      <w:lvlJc w:val="left"/>
      <w:pPr>
        <w:ind w:left="1440" w:hanging="360"/>
      </w:pPr>
      <w:rPr>
        <w:rFonts w:ascii="Times New Roman" w:eastAsia="Times New Roman" w:hAnsi="Times New Roman" w:cs="Times New Roman" w:hint="default"/>
        <w:b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94F0774"/>
    <w:multiLevelType w:val="hybridMultilevel"/>
    <w:tmpl w:val="AA4E16AA"/>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C167BAD"/>
    <w:multiLevelType w:val="hybridMultilevel"/>
    <w:tmpl w:val="E3F4961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F103E84"/>
    <w:multiLevelType w:val="hybridMultilevel"/>
    <w:tmpl w:val="A3F8E6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2B17207"/>
    <w:multiLevelType w:val="hybridMultilevel"/>
    <w:tmpl w:val="A79A2ECA"/>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64D21BDD"/>
    <w:multiLevelType w:val="hybridMultilevel"/>
    <w:tmpl w:val="2B8E61BC"/>
    <w:lvl w:ilvl="0" w:tplc="2EBEB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5E263DB"/>
    <w:multiLevelType w:val="hybridMultilevel"/>
    <w:tmpl w:val="2A6A88E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6697069A"/>
    <w:multiLevelType w:val="hybridMultilevel"/>
    <w:tmpl w:val="EE747CE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67D80C44"/>
    <w:multiLevelType w:val="hybridMultilevel"/>
    <w:tmpl w:val="99246FC8"/>
    <w:lvl w:ilvl="0" w:tplc="1DEA2326">
      <w:start w:val="1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570EB4"/>
    <w:multiLevelType w:val="hybridMultilevel"/>
    <w:tmpl w:val="489291E8"/>
    <w:lvl w:ilvl="0" w:tplc="015EDAD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6FAF56A3"/>
    <w:multiLevelType w:val="hybridMultilevel"/>
    <w:tmpl w:val="CDEE9FA6"/>
    <w:lvl w:ilvl="0" w:tplc="42702A94">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6" w15:restartNumberingAfterBreak="0">
    <w:nsid w:val="70304063"/>
    <w:multiLevelType w:val="hybridMultilevel"/>
    <w:tmpl w:val="D09C86A4"/>
    <w:lvl w:ilvl="0" w:tplc="04150011">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794637F1"/>
    <w:multiLevelType w:val="hybridMultilevel"/>
    <w:tmpl w:val="532AC22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9DC4CC4"/>
    <w:multiLevelType w:val="hybridMultilevel"/>
    <w:tmpl w:val="0BB0B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B192E99"/>
    <w:multiLevelType w:val="hybridMultilevel"/>
    <w:tmpl w:val="7350503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C0B7E82"/>
    <w:multiLevelType w:val="multilevel"/>
    <w:tmpl w:val="A55AF1A6"/>
    <w:lvl w:ilvl="0">
      <w:start w:val="4"/>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3)"/>
      <w:lvlJc w:val="left"/>
      <w:pPr>
        <w:ind w:left="1080" w:hanging="360"/>
      </w:pPr>
      <w:rPr>
        <w:rFonts w:hint="default"/>
      </w:rPr>
    </w:lvl>
    <w:lvl w:ilvl="3">
      <w:start w:val="1"/>
      <w:numFmt w:val="none"/>
      <w:lvlText w:val="(%4)"/>
      <w:lvlJc w:val="left"/>
      <w:pPr>
        <w:ind w:left="1440" w:hanging="360"/>
      </w:pPr>
      <w:rPr>
        <w:rFonts w:hint="default"/>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61" w15:restartNumberingAfterBreak="0">
    <w:nsid w:val="7E486A90"/>
    <w:multiLevelType w:val="hybridMultilevel"/>
    <w:tmpl w:val="EA08E9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9"/>
  </w:num>
  <w:num w:numId="2">
    <w:abstractNumId w:val="54"/>
  </w:num>
  <w:num w:numId="3">
    <w:abstractNumId w:val="12"/>
  </w:num>
  <w:num w:numId="4">
    <w:abstractNumId w:val="9"/>
  </w:num>
  <w:num w:numId="5">
    <w:abstractNumId w:val="61"/>
  </w:num>
  <w:num w:numId="6">
    <w:abstractNumId w:val="35"/>
  </w:num>
  <w:num w:numId="7">
    <w:abstractNumId w:val="6"/>
  </w:num>
  <w:num w:numId="8">
    <w:abstractNumId w:val="45"/>
  </w:num>
  <w:num w:numId="9">
    <w:abstractNumId w:val="55"/>
  </w:num>
  <w:num w:numId="10">
    <w:abstractNumId w:val="15"/>
  </w:num>
  <w:num w:numId="11">
    <w:abstractNumId w:val="19"/>
  </w:num>
  <w:num w:numId="12">
    <w:abstractNumId w:val="26"/>
  </w:num>
  <w:num w:numId="13">
    <w:abstractNumId w:val="59"/>
  </w:num>
  <w:num w:numId="14">
    <w:abstractNumId w:val="47"/>
  </w:num>
  <w:num w:numId="15">
    <w:abstractNumId w:val="49"/>
  </w:num>
  <w:num w:numId="16">
    <w:abstractNumId w:val="11"/>
  </w:num>
  <w:num w:numId="17">
    <w:abstractNumId w:val="5"/>
  </w:num>
  <w:num w:numId="18">
    <w:abstractNumId w:val="7"/>
  </w:num>
  <w:num w:numId="19">
    <w:abstractNumId w:val="52"/>
  </w:num>
  <w:num w:numId="20">
    <w:abstractNumId w:val="10"/>
  </w:num>
  <w:num w:numId="21">
    <w:abstractNumId w:val="56"/>
  </w:num>
  <w:num w:numId="22">
    <w:abstractNumId w:val="22"/>
  </w:num>
  <w:num w:numId="23">
    <w:abstractNumId w:val="8"/>
  </w:num>
  <w:num w:numId="24">
    <w:abstractNumId w:val="1"/>
  </w:num>
  <w:num w:numId="25">
    <w:abstractNumId w:val="42"/>
  </w:num>
  <w:num w:numId="26">
    <w:abstractNumId w:val="38"/>
  </w:num>
  <w:num w:numId="27">
    <w:abstractNumId w:val="41"/>
  </w:num>
  <w:num w:numId="28">
    <w:abstractNumId w:val="40"/>
  </w:num>
  <w:num w:numId="29">
    <w:abstractNumId w:val="60"/>
  </w:num>
  <w:num w:numId="30">
    <w:abstractNumId w:val="53"/>
  </w:num>
  <w:num w:numId="31">
    <w:abstractNumId w:val="24"/>
  </w:num>
  <w:num w:numId="32">
    <w:abstractNumId w:val="27"/>
  </w:num>
  <w:num w:numId="33">
    <w:abstractNumId w:val="14"/>
  </w:num>
  <w:num w:numId="34">
    <w:abstractNumId w:val="2"/>
  </w:num>
  <w:num w:numId="35">
    <w:abstractNumId w:val="13"/>
  </w:num>
  <w:num w:numId="36">
    <w:abstractNumId w:val="31"/>
  </w:num>
  <w:num w:numId="37">
    <w:abstractNumId w:val="0"/>
  </w:num>
  <w:num w:numId="38">
    <w:abstractNumId w:val="33"/>
  </w:num>
  <w:num w:numId="39">
    <w:abstractNumId w:val="3"/>
  </w:num>
  <w:num w:numId="40">
    <w:abstractNumId w:val="23"/>
  </w:num>
  <w:num w:numId="41">
    <w:abstractNumId w:val="57"/>
  </w:num>
  <w:num w:numId="42">
    <w:abstractNumId w:val="58"/>
  </w:num>
  <w:num w:numId="43">
    <w:abstractNumId w:val="48"/>
  </w:num>
  <w:num w:numId="44">
    <w:abstractNumId w:val="20"/>
  </w:num>
  <w:num w:numId="45">
    <w:abstractNumId w:val="25"/>
  </w:num>
  <w:num w:numId="46">
    <w:abstractNumId w:val="32"/>
  </w:num>
  <w:num w:numId="47">
    <w:abstractNumId w:val="46"/>
  </w:num>
  <w:num w:numId="48">
    <w:abstractNumId w:val="51"/>
  </w:num>
  <w:num w:numId="49">
    <w:abstractNumId w:val="16"/>
  </w:num>
  <w:num w:numId="50">
    <w:abstractNumId w:val="43"/>
  </w:num>
  <w:num w:numId="51">
    <w:abstractNumId w:val="30"/>
  </w:num>
  <w:num w:numId="52">
    <w:abstractNumId w:val="17"/>
  </w:num>
  <w:num w:numId="53">
    <w:abstractNumId w:val="50"/>
  </w:num>
  <w:num w:numId="54">
    <w:abstractNumId w:val="36"/>
  </w:num>
  <w:num w:numId="55">
    <w:abstractNumId w:val="39"/>
  </w:num>
  <w:num w:numId="56">
    <w:abstractNumId w:val="4"/>
  </w:num>
  <w:num w:numId="57">
    <w:abstractNumId w:val="18"/>
  </w:num>
  <w:num w:numId="58">
    <w:abstractNumId w:val="21"/>
  </w:num>
  <w:num w:numId="59">
    <w:abstractNumId w:val="37"/>
  </w:num>
  <w:num w:numId="60">
    <w:abstractNumId w:val="44"/>
  </w:num>
  <w:num w:numId="61">
    <w:abstractNumId w:val="28"/>
  </w:num>
  <w:num w:numId="62">
    <w:abstractNumId w:val="3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43"/>
    <w:rsid w:val="00001AF1"/>
    <w:rsid w:val="00001C99"/>
    <w:rsid w:val="000108D0"/>
    <w:rsid w:val="000155E5"/>
    <w:rsid w:val="000347B4"/>
    <w:rsid w:val="000357A7"/>
    <w:rsid w:val="00035DE7"/>
    <w:rsid w:val="00050F22"/>
    <w:rsid w:val="00052E99"/>
    <w:rsid w:val="000659CD"/>
    <w:rsid w:val="00066941"/>
    <w:rsid w:val="00067E41"/>
    <w:rsid w:val="00080003"/>
    <w:rsid w:val="0009183D"/>
    <w:rsid w:val="000970FD"/>
    <w:rsid w:val="000A11B3"/>
    <w:rsid w:val="000C4131"/>
    <w:rsid w:val="000D297D"/>
    <w:rsid w:val="000D570F"/>
    <w:rsid w:val="000D66EC"/>
    <w:rsid w:val="000E520E"/>
    <w:rsid w:val="000E5433"/>
    <w:rsid w:val="000E5E8F"/>
    <w:rsid w:val="000F001B"/>
    <w:rsid w:val="000F2F27"/>
    <w:rsid w:val="00102297"/>
    <w:rsid w:val="001046AB"/>
    <w:rsid w:val="00114BB7"/>
    <w:rsid w:val="00122037"/>
    <w:rsid w:val="00124ED1"/>
    <w:rsid w:val="00131AE6"/>
    <w:rsid w:val="00131BE3"/>
    <w:rsid w:val="00134B96"/>
    <w:rsid w:val="00137AEA"/>
    <w:rsid w:val="001417F2"/>
    <w:rsid w:val="00141F0B"/>
    <w:rsid w:val="001426AF"/>
    <w:rsid w:val="0014400A"/>
    <w:rsid w:val="00144C47"/>
    <w:rsid w:val="0015001C"/>
    <w:rsid w:val="00152609"/>
    <w:rsid w:val="00157B64"/>
    <w:rsid w:val="001620DC"/>
    <w:rsid w:val="00177058"/>
    <w:rsid w:val="001771F3"/>
    <w:rsid w:val="001A51D3"/>
    <w:rsid w:val="001A7452"/>
    <w:rsid w:val="001B27E1"/>
    <w:rsid w:val="001B4545"/>
    <w:rsid w:val="001B6AC3"/>
    <w:rsid w:val="001C0A40"/>
    <w:rsid w:val="001C12FC"/>
    <w:rsid w:val="001C577E"/>
    <w:rsid w:val="001C600E"/>
    <w:rsid w:val="001C6084"/>
    <w:rsid w:val="001D1D3C"/>
    <w:rsid w:val="001D6BF6"/>
    <w:rsid w:val="001E1B53"/>
    <w:rsid w:val="001E4FAC"/>
    <w:rsid w:val="001E7709"/>
    <w:rsid w:val="001F6840"/>
    <w:rsid w:val="001F6BE7"/>
    <w:rsid w:val="00205BB8"/>
    <w:rsid w:val="002069A7"/>
    <w:rsid w:val="00221D34"/>
    <w:rsid w:val="00231093"/>
    <w:rsid w:val="0023185C"/>
    <w:rsid w:val="002364E0"/>
    <w:rsid w:val="00236CE0"/>
    <w:rsid w:val="00252BCA"/>
    <w:rsid w:val="0027128F"/>
    <w:rsid w:val="00273010"/>
    <w:rsid w:val="00276645"/>
    <w:rsid w:val="00280404"/>
    <w:rsid w:val="002818A1"/>
    <w:rsid w:val="002853E3"/>
    <w:rsid w:val="00295889"/>
    <w:rsid w:val="002B5D13"/>
    <w:rsid w:val="002C376B"/>
    <w:rsid w:val="002C754B"/>
    <w:rsid w:val="002D6556"/>
    <w:rsid w:val="002E0871"/>
    <w:rsid w:val="002E14E5"/>
    <w:rsid w:val="002E3866"/>
    <w:rsid w:val="002E6FD2"/>
    <w:rsid w:val="002F3FBD"/>
    <w:rsid w:val="003004A8"/>
    <w:rsid w:val="003018B7"/>
    <w:rsid w:val="003042D5"/>
    <w:rsid w:val="00311BCA"/>
    <w:rsid w:val="00315833"/>
    <w:rsid w:val="003254C9"/>
    <w:rsid w:val="00330E03"/>
    <w:rsid w:val="00335926"/>
    <w:rsid w:val="003365F1"/>
    <w:rsid w:val="00341316"/>
    <w:rsid w:val="00341F76"/>
    <w:rsid w:val="00354B6E"/>
    <w:rsid w:val="00357EA5"/>
    <w:rsid w:val="0036230C"/>
    <w:rsid w:val="00364F7D"/>
    <w:rsid w:val="00367C29"/>
    <w:rsid w:val="003732E6"/>
    <w:rsid w:val="003830B4"/>
    <w:rsid w:val="00390647"/>
    <w:rsid w:val="00392C85"/>
    <w:rsid w:val="003945E8"/>
    <w:rsid w:val="003A767F"/>
    <w:rsid w:val="003C2AF8"/>
    <w:rsid w:val="003D5CBA"/>
    <w:rsid w:val="003D652D"/>
    <w:rsid w:val="003F4A58"/>
    <w:rsid w:val="004001F9"/>
    <w:rsid w:val="00402147"/>
    <w:rsid w:val="0040253D"/>
    <w:rsid w:val="004046CF"/>
    <w:rsid w:val="004066E8"/>
    <w:rsid w:val="00410BEA"/>
    <w:rsid w:val="004133D9"/>
    <w:rsid w:val="00422C1D"/>
    <w:rsid w:val="004301CA"/>
    <w:rsid w:val="004311BB"/>
    <w:rsid w:val="00442851"/>
    <w:rsid w:val="00454394"/>
    <w:rsid w:val="00455021"/>
    <w:rsid w:val="00455D4C"/>
    <w:rsid w:val="004602BE"/>
    <w:rsid w:val="00463158"/>
    <w:rsid w:val="00466415"/>
    <w:rsid w:val="004665A3"/>
    <w:rsid w:val="00472B65"/>
    <w:rsid w:val="00481D1E"/>
    <w:rsid w:val="00483452"/>
    <w:rsid w:val="00497A25"/>
    <w:rsid w:val="004A201C"/>
    <w:rsid w:val="004A4560"/>
    <w:rsid w:val="004A4662"/>
    <w:rsid w:val="004A52CD"/>
    <w:rsid w:val="004A7B89"/>
    <w:rsid w:val="004A7F6A"/>
    <w:rsid w:val="004C1DAE"/>
    <w:rsid w:val="004C2150"/>
    <w:rsid w:val="004C7201"/>
    <w:rsid w:val="004C75C0"/>
    <w:rsid w:val="004D13F8"/>
    <w:rsid w:val="004D5850"/>
    <w:rsid w:val="004E21F8"/>
    <w:rsid w:val="004E2E0D"/>
    <w:rsid w:val="004E661F"/>
    <w:rsid w:val="004E6781"/>
    <w:rsid w:val="004F1C83"/>
    <w:rsid w:val="004F2647"/>
    <w:rsid w:val="004F68A2"/>
    <w:rsid w:val="00512DEE"/>
    <w:rsid w:val="00517F79"/>
    <w:rsid w:val="005206CC"/>
    <w:rsid w:val="00524EB5"/>
    <w:rsid w:val="00525A1F"/>
    <w:rsid w:val="005367DB"/>
    <w:rsid w:val="0054374E"/>
    <w:rsid w:val="00544347"/>
    <w:rsid w:val="00552A72"/>
    <w:rsid w:val="00560949"/>
    <w:rsid w:val="00571B63"/>
    <w:rsid w:val="00574019"/>
    <w:rsid w:val="00575FA7"/>
    <w:rsid w:val="00581261"/>
    <w:rsid w:val="00581E5B"/>
    <w:rsid w:val="00584BE8"/>
    <w:rsid w:val="005900E6"/>
    <w:rsid w:val="00592AD2"/>
    <w:rsid w:val="005A6E5B"/>
    <w:rsid w:val="005B09D0"/>
    <w:rsid w:val="005B3F03"/>
    <w:rsid w:val="005B7A99"/>
    <w:rsid w:val="005C345F"/>
    <w:rsid w:val="005D439B"/>
    <w:rsid w:val="005D4509"/>
    <w:rsid w:val="005D6A1C"/>
    <w:rsid w:val="005D75D6"/>
    <w:rsid w:val="005E432B"/>
    <w:rsid w:val="005F5596"/>
    <w:rsid w:val="005F75DD"/>
    <w:rsid w:val="0060648E"/>
    <w:rsid w:val="00617BCB"/>
    <w:rsid w:val="00626EF8"/>
    <w:rsid w:val="00627542"/>
    <w:rsid w:val="00630C94"/>
    <w:rsid w:val="00632670"/>
    <w:rsid w:val="00633E44"/>
    <w:rsid w:val="0063776D"/>
    <w:rsid w:val="00643A77"/>
    <w:rsid w:val="00660F17"/>
    <w:rsid w:val="006673AB"/>
    <w:rsid w:val="00667436"/>
    <w:rsid w:val="0067139A"/>
    <w:rsid w:val="0067374A"/>
    <w:rsid w:val="00677EBB"/>
    <w:rsid w:val="00683FDB"/>
    <w:rsid w:val="00687F3C"/>
    <w:rsid w:val="00696696"/>
    <w:rsid w:val="006A49B2"/>
    <w:rsid w:val="006A6DDE"/>
    <w:rsid w:val="006B6EE5"/>
    <w:rsid w:val="006C6435"/>
    <w:rsid w:val="006D12E2"/>
    <w:rsid w:val="006D1F57"/>
    <w:rsid w:val="006E0B55"/>
    <w:rsid w:val="006E27C7"/>
    <w:rsid w:val="006E43D9"/>
    <w:rsid w:val="006E7E5C"/>
    <w:rsid w:val="006F7CB6"/>
    <w:rsid w:val="00707C6B"/>
    <w:rsid w:val="00714F7D"/>
    <w:rsid w:val="00720577"/>
    <w:rsid w:val="00722E16"/>
    <w:rsid w:val="0073270E"/>
    <w:rsid w:val="00732C93"/>
    <w:rsid w:val="00734A11"/>
    <w:rsid w:val="00734EB0"/>
    <w:rsid w:val="00735634"/>
    <w:rsid w:val="007365E3"/>
    <w:rsid w:val="007410FE"/>
    <w:rsid w:val="00742B41"/>
    <w:rsid w:val="00743C43"/>
    <w:rsid w:val="007535F8"/>
    <w:rsid w:val="00753B08"/>
    <w:rsid w:val="007544AC"/>
    <w:rsid w:val="00766689"/>
    <w:rsid w:val="00775545"/>
    <w:rsid w:val="00780773"/>
    <w:rsid w:val="00790B0C"/>
    <w:rsid w:val="00792670"/>
    <w:rsid w:val="00795177"/>
    <w:rsid w:val="007B34F4"/>
    <w:rsid w:val="007B3B6F"/>
    <w:rsid w:val="007B615C"/>
    <w:rsid w:val="007C7773"/>
    <w:rsid w:val="007D188D"/>
    <w:rsid w:val="007D32BD"/>
    <w:rsid w:val="007D6617"/>
    <w:rsid w:val="007D762E"/>
    <w:rsid w:val="007E68D8"/>
    <w:rsid w:val="00805AC6"/>
    <w:rsid w:val="00816181"/>
    <w:rsid w:val="00817787"/>
    <w:rsid w:val="00817FED"/>
    <w:rsid w:val="008234A7"/>
    <w:rsid w:val="0082498E"/>
    <w:rsid w:val="00827BB4"/>
    <w:rsid w:val="00832253"/>
    <w:rsid w:val="00832328"/>
    <w:rsid w:val="00862D10"/>
    <w:rsid w:val="00863284"/>
    <w:rsid w:val="00863C98"/>
    <w:rsid w:val="0087266A"/>
    <w:rsid w:val="008821A8"/>
    <w:rsid w:val="00884C81"/>
    <w:rsid w:val="00891AD3"/>
    <w:rsid w:val="00894B99"/>
    <w:rsid w:val="008969BF"/>
    <w:rsid w:val="008A0DA0"/>
    <w:rsid w:val="008A6051"/>
    <w:rsid w:val="008A6ECD"/>
    <w:rsid w:val="008C7C26"/>
    <w:rsid w:val="008E0EEB"/>
    <w:rsid w:val="008E233B"/>
    <w:rsid w:val="008E4A1B"/>
    <w:rsid w:val="008E7757"/>
    <w:rsid w:val="008E79B7"/>
    <w:rsid w:val="008F09DD"/>
    <w:rsid w:val="008F166B"/>
    <w:rsid w:val="008F3843"/>
    <w:rsid w:val="008F41C4"/>
    <w:rsid w:val="008F4549"/>
    <w:rsid w:val="008F4CD0"/>
    <w:rsid w:val="008F7ECE"/>
    <w:rsid w:val="009007E8"/>
    <w:rsid w:val="00904162"/>
    <w:rsid w:val="00905EAA"/>
    <w:rsid w:val="0091089D"/>
    <w:rsid w:val="009114E2"/>
    <w:rsid w:val="00922B83"/>
    <w:rsid w:val="00923944"/>
    <w:rsid w:val="00933F54"/>
    <w:rsid w:val="00941BFC"/>
    <w:rsid w:val="00942541"/>
    <w:rsid w:val="0095002A"/>
    <w:rsid w:val="009530A8"/>
    <w:rsid w:val="00954F48"/>
    <w:rsid w:val="00977203"/>
    <w:rsid w:val="00983815"/>
    <w:rsid w:val="009838C9"/>
    <w:rsid w:val="00991CCB"/>
    <w:rsid w:val="009A1302"/>
    <w:rsid w:val="009A13EC"/>
    <w:rsid w:val="009A338C"/>
    <w:rsid w:val="009A3D10"/>
    <w:rsid w:val="009A7836"/>
    <w:rsid w:val="009B1F8F"/>
    <w:rsid w:val="009B26FE"/>
    <w:rsid w:val="009B40BD"/>
    <w:rsid w:val="009C3538"/>
    <w:rsid w:val="009C6A28"/>
    <w:rsid w:val="009E0262"/>
    <w:rsid w:val="009E2489"/>
    <w:rsid w:val="009E3788"/>
    <w:rsid w:val="009E7CB8"/>
    <w:rsid w:val="009F06FA"/>
    <w:rsid w:val="00A01ABA"/>
    <w:rsid w:val="00A11479"/>
    <w:rsid w:val="00A12058"/>
    <w:rsid w:val="00A23F3F"/>
    <w:rsid w:val="00A3730E"/>
    <w:rsid w:val="00A431F4"/>
    <w:rsid w:val="00A45124"/>
    <w:rsid w:val="00A455FC"/>
    <w:rsid w:val="00A5355C"/>
    <w:rsid w:val="00A53D59"/>
    <w:rsid w:val="00A75603"/>
    <w:rsid w:val="00A82E56"/>
    <w:rsid w:val="00A8669E"/>
    <w:rsid w:val="00A910DF"/>
    <w:rsid w:val="00A9202D"/>
    <w:rsid w:val="00A92D9B"/>
    <w:rsid w:val="00A92E53"/>
    <w:rsid w:val="00A96EE2"/>
    <w:rsid w:val="00AA1CB0"/>
    <w:rsid w:val="00AA3130"/>
    <w:rsid w:val="00AA73DB"/>
    <w:rsid w:val="00AB2281"/>
    <w:rsid w:val="00AB342B"/>
    <w:rsid w:val="00AB69FA"/>
    <w:rsid w:val="00AC2920"/>
    <w:rsid w:val="00AC30CB"/>
    <w:rsid w:val="00AD0C71"/>
    <w:rsid w:val="00AD1099"/>
    <w:rsid w:val="00AD792F"/>
    <w:rsid w:val="00AE262E"/>
    <w:rsid w:val="00AE3BB6"/>
    <w:rsid w:val="00AF2FB3"/>
    <w:rsid w:val="00AF3EB7"/>
    <w:rsid w:val="00B01E02"/>
    <w:rsid w:val="00B04169"/>
    <w:rsid w:val="00B06A05"/>
    <w:rsid w:val="00B13533"/>
    <w:rsid w:val="00B15091"/>
    <w:rsid w:val="00B15F0A"/>
    <w:rsid w:val="00B22174"/>
    <w:rsid w:val="00B24289"/>
    <w:rsid w:val="00B244A2"/>
    <w:rsid w:val="00B26024"/>
    <w:rsid w:val="00B33365"/>
    <w:rsid w:val="00B33519"/>
    <w:rsid w:val="00B36057"/>
    <w:rsid w:val="00B56CD6"/>
    <w:rsid w:val="00B631B3"/>
    <w:rsid w:val="00B64EF5"/>
    <w:rsid w:val="00B66368"/>
    <w:rsid w:val="00B66D95"/>
    <w:rsid w:val="00B6744E"/>
    <w:rsid w:val="00B90A15"/>
    <w:rsid w:val="00B920D6"/>
    <w:rsid w:val="00B934A4"/>
    <w:rsid w:val="00B959E6"/>
    <w:rsid w:val="00B9658D"/>
    <w:rsid w:val="00B977A2"/>
    <w:rsid w:val="00BA03E5"/>
    <w:rsid w:val="00BA346A"/>
    <w:rsid w:val="00BA47C1"/>
    <w:rsid w:val="00BA5DA0"/>
    <w:rsid w:val="00BA714A"/>
    <w:rsid w:val="00BC28CD"/>
    <w:rsid w:val="00BC2EBE"/>
    <w:rsid w:val="00BD71B6"/>
    <w:rsid w:val="00BD7F1F"/>
    <w:rsid w:val="00BE5D06"/>
    <w:rsid w:val="00BF0695"/>
    <w:rsid w:val="00BF66F2"/>
    <w:rsid w:val="00BF7A8B"/>
    <w:rsid w:val="00C0138B"/>
    <w:rsid w:val="00C0215D"/>
    <w:rsid w:val="00C14466"/>
    <w:rsid w:val="00C164B3"/>
    <w:rsid w:val="00C17A2E"/>
    <w:rsid w:val="00C248C7"/>
    <w:rsid w:val="00C256F6"/>
    <w:rsid w:val="00C2602F"/>
    <w:rsid w:val="00C430F2"/>
    <w:rsid w:val="00C47979"/>
    <w:rsid w:val="00C47A60"/>
    <w:rsid w:val="00C51A83"/>
    <w:rsid w:val="00C71DD3"/>
    <w:rsid w:val="00C74577"/>
    <w:rsid w:val="00C75B95"/>
    <w:rsid w:val="00C77310"/>
    <w:rsid w:val="00C81421"/>
    <w:rsid w:val="00C83818"/>
    <w:rsid w:val="00C85668"/>
    <w:rsid w:val="00C85FBE"/>
    <w:rsid w:val="00C87143"/>
    <w:rsid w:val="00C93E9A"/>
    <w:rsid w:val="00C95C1B"/>
    <w:rsid w:val="00C96D19"/>
    <w:rsid w:val="00CA491B"/>
    <w:rsid w:val="00CA558E"/>
    <w:rsid w:val="00CB04E6"/>
    <w:rsid w:val="00CB16B7"/>
    <w:rsid w:val="00CB24C0"/>
    <w:rsid w:val="00CB3F07"/>
    <w:rsid w:val="00CC03FF"/>
    <w:rsid w:val="00CC3993"/>
    <w:rsid w:val="00CD0236"/>
    <w:rsid w:val="00CD5209"/>
    <w:rsid w:val="00CF4389"/>
    <w:rsid w:val="00D035EF"/>
    <w:rsid w:val="00D048CE"/>
    <w:rsid w:val="00D04A66"/>
    <w:rsid w:val="00D0655B"/>
    <w:rsid w:val="00D17A6F"/>
    <w:rsid w:val="00D22D91"/>
    <w:rsid w:val="00D2343E"/>
    <w:rsid w:val="00D246B5"/>
    <w:rsid w:val="00D24D72"/>
    <w:rsid w:val="00D25705"/>
    <w:rsid w:val="00D341FA"/>
    <w:rsid w:val="00D45051"/>
    <w:rsid w:val="00D4583D"/>
    <w:rsid w:val="00D504ED"/>
    <w:rsid w:val="00D52487"/>
    <w:rsid w:val="00D52854"/>
    <w:rsid w:val="00D548B6"/>
    <w:rsid w:val="00D66EB9"/>
    <w:rsid w:val="00D7190F"/>
    <w:rsid w:val="00D80F5B"/>
    <w:rsid w:val="00D85690"/>
    <w:rsid w:val="00D933FF"/>
    <w:rsid w:val="00D93CDC"/>
    <w:rsid w:val="00D94AFD"/>
    <w:rsid w:val="00D957BF"/>
    <w:rsid w:val="00DA0018"/>
    <w:rsid w:val="00DA06B5"/>
    <w:rsid w:val="00DA5B94"/>
    <w:rsid w:val="00DA6460"/>
    <w:rsid w:val="00DA6C55"/>
    <w:rsid w:val="00DB1520"/>
    <w:rsid w:val="00DB29CB"/>
    <w:rsid w:val="00DC184B"/>
    <w:rsid w:val="00DC2F40"/>
    <w:rsid w:val="00DC423C"/>
    <w:rsid w:val="00DD0E25"/>
    <w:rsid w:val="00DD754D"/>
    <w:rsid w:val="00DE3C2E"/>
    <w:rsid w:val="00DE5575"/>
    <w:rsid w:val="00DE7EBF"/>
    <w:rsid w:val="00DF2823"/>
    <w:rsid w:val="00DF48D1"/>
    <w:rsid w:val="00E00C67"/>
    <w:rsid w:val="00E00CEF"/>
    <w:rsid w:val="00E10B16"/>
    <w:rsid w:val="00E1117C"/>
    <w:rsid w:val="00E3563E"/>
    <w:rsid w:val="00E369B2"/>
    <w:rsid w:val="00E44FDB"/>
    <w:rsid w:val="00E50C4F"/>
    <w:rsid w:val="00E535EE"/>
    <w:rsid w:val="00E576FF"/>
    <w:rsid w:val="00E5797B"/>
    <w:rsid w:val="00E679DB"/>
    <w:rsid w:val="00E726B6"/>
    <w:rsid w:val="00E73B2D"/>
    <w:rsid w:val="00E819A0"/>
    <w:rsid w:val="00E844C2"/>
    <w:rsid w:val="00E849DD"/>
    <w:rsid w:val="00E85EE3"/>
    <w:rsid w:val="00E87671"/>
    <w:rsid w:val="00E87ACB"/>
    <w:rsid w:val="00E917B9"/>
    <w:rsid w:val="00E91B89"/>
    <w:rsid w:val="00E921C9"/>
    <w:rsid w:val="00E94087"/>
    <w:rsid w:val="00E979E1"/>
    <w:rsid w:val="00EA4673"/>
    <w:rsid w:val="00EB0061"/>
    <w:rsid w:val="00EC2D7B"/>
    <w:rsid w:val="00EC43C8"/>
    <w:rsid w:val="00EC4DB6"/>
    <w:rsid w:val="00ED03EE"/>
    <w:rsid w:val="00ED6ED3"/>
    <w:rsid w:val="00ED75A0"/>
    <w:rsid w:val="00EE43B3"/>
    <w:rsid w:val="00EE540B"/>
    <w:rsid w:val="00EF0AAD"/>
    <w:rsid w:val="00EF1F15"/>
    <w:rsid w:val="00EF26CE"/>
    <w:rsid w:val="00EF52C7"/>
    <w:rsid w:val="00F0071B"/>
    <w:rsid w:val="00F02275"/>
    <w:rsid w:val="00F0363C"/>
    <w:rsid w:val="00F0521F"/>
    <w:rsid w:val="00F12A4A"/>
    <w:rsid w:val="00F14430"/>
    <w:rsid w:val="00F15C0E"/>
    <w:rsid w:val="00F223E3"/>
    <w:rsid w:val="00F3005E"/>
    <w:rsid w:val="00F34C63"/>
    <w:rsid w:val="00F35A1F"/>
    <w:rsid w:val="00F363F5"/>
    <w:rsid w:val="00F409A7"/>
    <w:rsid w:val="00F41B95"/>
    <w:rsid w:val="00F43F55"/>
    <w:rsid w:val="00F441C9"/>
    <w:rsid w:val="00F51EBE"/>
    <w:rsid w:val="00F54B3F"/>
    <w:rsid w:val="00F56358"/>
    <w:rsid w:val="00F5643A"/>
    <w:rsid w:val="00F61654"/>
    <w:rsid w:val="00F64F48"/>
    <w:rsid w:val="00F73465"/>
    <w:rsid w:val="00F73840"/>
    <w:rsid w:val="00F85FD0"/>
    <w:rsid w:val="00F938A8"/>
    <w:rsid w:val="00F95DBE"/>
    <w:rsid w:val="00FA41A1"/>
    <w:rsid w:val="00FA4CA3"/>
    <w:rsid w:val="00FA6A11"/>
    <w:rsid w:val="00FB11F9"/>
    <w:rsid w:val="00FB4A35"/>
    <w:rsid w:val="00FC0551"/>
    <w:rsid w:val="00FC08EE"/>
    <w:rsid w:val="00FC243F"/>
    <w:rsid w:val="00FC66A3"/>
    <w:rsid w:val="00FC7652"/>
    <w:rsid w:val="00FD1A76"/>
    <w:rsid w:val="00FD1EEE"/>
    <w:rsid w:val="00FD43C9"/>
    <w:rsid w:val="00FD5013"/>
    <w:rsid w:val="00FD608A"/>
    <w:rsid w:val="00FE5181"/>
    <w:rsid w:val="00FE75F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F140F882-0D66-4A7B-850A-F9E518508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F52C7"/>
    <w:rPr>
      <w:sz w:val="24"/>
      <w:szCs w:val="24"/>
    </w:rPr>
  </w:style>
  <w:style w:type="paragraph" w:styleId="Nagwek1">
    <w:name w:val="heading 1"/>
    <w:basedOn w:val="Normalny"/>
    <w:next w:val="Normalny"/>
    <w:link w:val="Nagwek1Znak"/>
    <w:qFormat/>
    <w:rsid w:val="005F75DD"/>
    <w:pPr>
      <w:keepNext/>
      <w:keepLines/>
      <w:spacing w:before="480"/>
      <w:outlineLvl w:val="0"/>
    </w:pPr>
    <w:rPr>
      <w:rFonts w:ascii="Cambria" w:hAnsi="Cambria"/>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rsid w:val="00F41B95"/>
    <w:rPr>
      <w:rFonts w:ascii="Tahoma" w:hAnsi="Tahoma"/>
      <w:sz w:val="16"/>
      <w:szCs w:val="16"/>
      <w:lang w:val="x-none" w:eastAsia="x-none"/>
    </w:rPr>
  </w:style>
  <w:style w:type="character" w:customStyle="1" w:styleId="TekstdymkaZnak">
    <w:name w:val="Tekst dymka Znak"/>
    <w:link w:val="Tekstdymka"/>
    <w:rsid w:val="00F41B95"/>
    <w:rPr>
      <w:rFonts w:ascii="Tahoma" w:hAnsi="Tahoma" w:cs="Tahoma"/>
      <w:sz w:val="16"/>
      <w:szCs w:val="16"/>
    </w:rPr>
  </w:style>
  <w:style w:type="character" w:styleId="Odwoaniedokomentarza">
    <w:name w:val="annotation reference"/>
    <w:rsid w:val="006A6DDE"/>
    <w:rPr>
      <w:sz w:val="16"/>
      <w:szCs w:val="16"/>
    </w:rPr>
  </w:style>
  <w:style w:type="paragraph" w:styleId="Tekstkomentarza">
    <w:name w:val="annotation text"/>
    <w:basedOn w:val="Normalny"/>
    <w:link w:val="TekstkomentarzaZnak"/>
    <w:rsid w:val="006A6DDE"/>
    <w:rPr>
      <w:sz w:val="20"/>
      <w:szCs w:val="20"/>
    </w:rPr>
  </w:style>
  <w:style w:type="character" w:customStyle="1" w:styleId="TekstkomentarzaZnak">
    <w:name w:val="Tekst komentarza Znak"/>
    <w:basedOn w:val="Domylnaczcionkaakapitu"/>
    <w:link w:val="Tekstkomentarza"/>
    <w:rsid w:val="006A6DDE"/>
  </w:style>
  <w:style w:type="paragraph" w:styleId="Tematkomentarza">
    <w:name w:val="annotation subject"/>
    <w:basedOn w:val="Tekstkomentarza"/>
    <w:next w:val="Tekstkomentarza"/>
    <w:link w:val="TematkomentarzaZnak"/>
    <w:rsid w:val="006A6DDE"/>
    <w:rPr>
      <w:b/>
      <w:bCs/>
      <w:lang w:val="x-none" w:eastAsia="x-none"/>
    </w:rPr>
  </w:style>
  <w:style w:type="character" w:customStyle="1" w:styleId="TematkomentarzaZnak">
    <w:name w:val="Temat komentarza Znak"/>
    <w:link w:val="Tematkomentarza"/>
    <w:rsid w:val="006A6DDE"/>
    <w:rPr>
      <w:b/>
      <w:bCs/>
    </w:rPr>
  </w:style>
  <w:style w:type="paragraph" w:styleId="Nagwek">
    <w:name w:val="header"/>
    <w:basedOn w:val="Normalny"/>
    <w:link w:val="NagwekZnak"/>
    <w:rsid w:val="00C71DD3"/>
    <w:pPr>
      <w:tabs>
        <w:tab w:val="center" w:pos="4536"/>
        <w:tab w:val="right" w:pos="9072"/>
      </w:tabs>
    </w:pPr>
    <w:rPr>
      <w:lang w:val="x-none" w:eastAsia="x-none"/>
    </w:rPr>
  </w:style>
  <w:style w:type="character" w:customStyle="1" w:styleId="NagwekZnak">
    <w:name w:val="Nagłówek Znak"/>
    <w:link w:val="Nagwek"/>
    <w:rsid w:val="00C71DD3"/>
    <w:rPr>
      <w:sz w:val="24"/>
      <w:szCs w:val="24"/>
    </w:rPr>
  </w:style>
  <w:style w:type="paragraph" w:styleId="Stopka">
    <w:name w:val="footer"/>
    <w:basedOn w:val="Normalny"/>
    <w:link w:val="StopkaZnak"/>
    <w:uiPriority w:val="99"/>
    <w:rsid w:val="00C71DD3"/>
    <w:pPr>
      <w:tabs>
        <w:tab w:val="center" w:pos="4536"/>
        <w:tab w:val="right" w:pos="9072"/>
      </w:tabs>
    </w:pPr>
    <w:rPr>
      <w:lang w:val="x-none" w:eastAsia="x-none"/>
    </w:rPr>
  </w:style>
  <w:style w:type="character" w:customStyle="1" w:styleId="StopkaZnak">
    <w:name w:val="Stopka Znak"/>
    <w:link w:val="Stopka"/>
    <w:uiPriority w:val="99"/>
    <w:rsid w:val="00C71DD3"/>
    <w:rPr>
      <w:sz w:val="24"/>
      <w:szCs w:val="24"/>
    </w:rPr>
  </w:style>
  <w:style w:type="paragraph" w:styleId="Akapitzlist">
    <w:name w:val="List Paragraph"/>
    <w:basedOn w:val="Normalny"/>
    <w:uiPriority w:val="34"/>
    <w:qFormat/>
    <w:rsid w:val="00EF26CE"/>
    <w:pPr>
      <w:ind w:left="720"/>
      <w:contextualSpacing/>
    </w:pPr>
  </w:style>
  <w:style w:type="paragraph" w:styleId="Poprawka">
    <w:name w:val="Revision"/>
    <w:hidden/>
    <w:uiPriority w:val="99"/>
    <w:semiHidden/>
    <w:rsid w:val="001417F2"/>
    <w:rPr>
      <w:sz w:val="24"/>
      <w:szCs w:val="24"/>
    </w:rPr>
  </w:style>
  <w:style w:type="character" w:customStyle="1" w:styleId="Nagwek1Znak">
    <w:name w:val="Nagłówek 1 Znak"/>
    <w:link w:val="Nagwek1"/>
    <w:rsid w:val="005F75DD"/>
    <w:rPr>
      <w:rFonts w:ascii="Cambria" w:eastAsia="Times New Roman" w:hAnsi="Cambria" w:cs="Times New Roman"/>
      <w:b/>
      <w:bCs/>
      <w:color w:val="365F91"/>
      <w:sz w:val="28"/>
      <w:szCs w:val="28"/>
    </w:rPr>
  </w:style>
  <w:style w:type="paragraph" w:customStyle="1" w:styleId="Default">
    <w:name w:val="Default"/>
    <w:uiPriority w:val="99"/>
    <w:rsid w:val="00D035EF"/>
    <w:pPr>
      <w:widowControl w:val="0"/>
      <w:autoSpaceDE w:val="0"/>
      <w:autoSpaceDN w:val="0"/>
      <w:adjustRightInd w:val="0"/>
    </w:pPr>
    <w:rPr>
      <w:rFonts w:ascii="CKBKDC+Arial" w:hAnsi="CKBKDC+Arial" w:cs="CKBKDC+Arial"/>
      <w:color w:val="000000"/>
      <w:sz w:val="24"/>
      <w:szCs w:val="24"/>
    </w:rPr>
  </w:style>
  <w:style w:type="paragraph" w:styleId="HTML-wstpniesformatowany">
    <w:name w:val="HTML Preformatted"/>
    <w:basedOn w:val="Normalny"/>
    <w:link w:val="HTML-wstpniesformatowanyZnak"/>
    <w:uiPriority w:val="99"/>
    <w:unhideWhenUsed/>
    <w:rsid w:val="00050F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wstpniesformatowanyZnak">
    <w:name w:val="HTML - wstępnie sformatowany Znak"/>
    <w:link w:val="HTML-wstpniesformatowany"/>
    <w:uiPriority w:val="99"/>
    <w:rsid w:val="00050F22"/>
    <w:rPr>
      <w:rFonts w:ascii="Courier New" w:hAnsi="Courier New" w:cs="Courier New"/>
    </w:rPr>
  </w:style>
  <w:style w:type="paragraph" w:styleId="Tekstpodstawowy">
    <w:name w:val="Body Text"/>
    <w:aliases w:val="Body Text Char1,Body Text Char Char,Body Text Char1 Char Char,Body Text Char Char Char Char,Body Text Char1 Char Char Char Char,Body Text Char Char Char Char Char Char,Body Text Char1 Char Char Char Char Char Char"/>
    <w:basedOn w:val="Normalny"/>
    <w:link w:val="TekstpodstawowyZnak"/>
    <w:rsid w:val="003042D5"/>
    <w:pPr>
      <w:jc w:val="both"/>
    </w:pPr>
    <w:rPr>
      <w:lang w:val="x-none" w:eastAsia="x-none"/>
    </w:rPr>
  </w:style>
  <w:style w:type="character" w:customStyle="1" w:styleId="TekstpodstawowyZnak">
    <w:name w:val="Tekst podstawowy Znak"/>
    <w:aliases w:val="Body Text Char1 Znak,Body Text Char Char Znak,Body Text Char1 Char Char Znak,Body Text Char Char Char Char Znak,Body Text Char1 Char Char Char Char Znak,Body Text Char Char Char Char Char Char Znak"/>
    <w:link w:val="Tekstpodstawowy"/>
    <w:rsid w:val="003042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682352">
      <w:bodyDiv w:val="1"/>
      <w:marLeft w:val="0"/>
      <w:marRight w:val="0"/>
      <w:marTop w:val="0"/>
      <w:marBottom w:val="0"/>
      <w:divBdr>
        <w:top w:val="none" w:sz="0" w:space="0" w:color="auto"/>
        <w:left w:val="none" w:sz="0" w:space="0" w:color="auto"/>
        <w:bottom w:val="none" w:sz="0" w:space="0" w:color="auto"/>
        <w:right w:val="none" w:sz="0" w:space="0" w:color="auto"/>
      </w:divBdr>
    </w:div>
    <w:div w:id="1234781387">
      <w:bodyDiv w:val="1"/>
      <w:marLeft w:val="0"/>
      <w:marRight w:val="0"/>
      <w:marTop w:val="0"/>
      <w:marBottom w:val="0"/>
      <w:divBdr>
        <w:top w:val="none" w:sz="0" w:space="0" w:color="auto"/>
        <w:left w:val="none" w:sz="0" w:space="0" w:color="auto"/>
        <w:bottom w:val="none" w:sz="0" w:space="0" w:color="auto"/>
        <w:right w:val="none" w:sz="0" w:space="0" w:color="auto"/>
      </w:divBdr>
    </w:div>
    <w:div w:id="19337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2FAB7-439F-4E1D-9487-7A9776FE7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611</Words>
  <Characters>3823</Characters>
  <Application>Microsoft Office Word</Application>
  <DocSecurity>0</DocSecurity>
  <Lines>31</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Załącznik do decyzji Nr</vt:lpstr>
      <vt:lpstr>Załącznik do decyzji Nr</vt:lpstr>
    </vt:vector>
  </TitlesOfParts>
  <LinksUpToDate>false</LinksUpToDate>
  <CharactersWithSpaces>4426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2014-09-15T06:24:00Z</cp:lastPrinted>
  <dcterms:created xsi:type="dcterms:W3CDTF">2016-06-17T13:20:00Z</dcterms:created>
  <dcterms:modified xsi:type="dcterms:W3CDTF">2016-06-17T13:35:00Z</dcterms:modified>
</cp:coreProperties>
</file>