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6B9DC" w14:textId="0982E430" w:rsidR="00537404" w:rsidRDefault="00744684" w:rsidP="00CB257E">
      <w:pPr>
        <w:autoSpaceDE w:val="0"/>
        <w:autoSpaceDN w:val="0"/>
        <w:adjustRightInd w:val="0"/>
        <w:ind w:right="91"/>
        <w:rPr>
          <w:rFonts w:eastAsiaTheme="minorHAnsi"/>
          <w:sz w:val="22"/>
          <w:szCs w:val="22"/>
          <w:lang w:eastAsia="en-US"/>
        </w:rPr>
      </w:pPr>
      <w:r w:rsidRPr="00744684">
        <w:rPr>
          <w:rFonts w:eastAsiaTheme="minorHAnsi"/>
          <w:sz w:val="22"/>
          <w:szCs w:val="22"/>
          <w:lang w:eastAsia="en-US"/>
        </w:rPr>
        <w:t xml:space="preserve">Załącznik </w:t>
      </w:r>
      <w:r w:rsidR="00537404">
        <w:rPr>
          <w:rFonts w:eastAsiaTheme="minorHAnsi"/>
          <w:sz w:val="22"/>
          <w:szCs w:val="22"/>
          <w:lang w:eastAsia="en-US"/>
        </w:rPr>
        <w:t>B.4.</w:t>
      </w:r>
    </w:p>
    <w:p w14:paraId="495B0380" w14:textId="39212BB6" w:rsidR="00744684" w:rsidRPr="00744684" w:rsidRDefault="00744684" w:rsidP="00CB257E">
      <w:pPr>
        <w:autoSpaceDE w:val="0"/>
        <w:autoSpaceDN w:val="0"/>
        <w:adjustRightInd w:val="0"/>
        <w:ind w:right="91"/>
        <w:rPr>
          <w:rFonts w:eastAsiaTheme="minorHAnsi"/>
          <w:sz w:val="22"/>
          <w:szCs w:val="22"/>
          <w:lang w:eastAsia="en-US"/>
        </w:rPr>
      </w:pPr>
      <w:r w:rsidRPr="00744684">
        <w:rPr>
          <w:rFonts w:eastAsiaTheme="minorHAnsi"/>
          <w:sz w:val="22"/>
          <w:szCs w:val="22"/>
          <w:lang w:eastAsia="en-US"/>
        </w:rPr>
        <w:fldChar w:fldCharType="begin"/>
      </w:r>
      <w:r w:rsidRPr="00744684">
        <w:rPr>
          <w:rFonts w:eastAsiaTheme="minorHAnsi"/>
          <w:sz w:val="22"/>
          <w:szCs w:val="22"/>
          <w:lang w:eastAsia="en-US"/>
        </w:rPr>
        <w:instrText xml:space="preserve"> FILENAME   \* MERGEFORMAT </w:instrText>
      </w:r>
      <w:r w:rsidRPr="00744684">
        <w:rPr>
          <w:rFonts w:eastAsiaTheme="minorHAnsi"/>
          <w:sz w:val="22"/>
          <w:szCs w:val="22"/>
          <w:lang w:eastAsia="en-US"/>
        </w:rPr>
        <w:fldChar w:fldCharType="end"/>
      </w:r>
    </w:p>
    <w:p w14:paraId="43A20F14" w14:textId="587D8A55" w:rsidR="00744684" w:rsidRPr="00744684" w:rsidRDefault="00744684" w:rsidP="00CB257E">
      <w:pPr>
        <w:autoSpaceDE w:val="0"/>
        <w:autoSpaceDN w:val="0"/>
        <w:adjustRightInd w:val="0"/>
        <w:spacing w:after="240"/>
        <w:rPr>
          <w:rFonts w:eastAsiaTheme="minorHAnsi"/>
          <w:b/>
          <w:bCs/>
          <w:sz w:val="28"/>
          <w:szCs w:val="28"/>
          <w:lang w:eastAsia="en-US"/>
        </w:rPr>
      </w:pPr>
      <w:r w:rsidRPr="00744684">
        <w:rPr>
          <w:rFonts w:eastAsiaTheme="minorHAnsi"/>
          <w:b/>
          <w:bCs/>
          <w:sz w:val="28"/>
          <w:szCs w:val="28"/>
          <w:lang w:eastAsia="en-US"/>
        </w:rPr>
        <w:t>LECZENIE ZAAWANSOWANEGO RAKA JELITA GRUBEGO (ICD-10 C18 – C20)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4293"/>
        <w:gridCol w:w="4296"/>
      </w:tblGrid>
      <w:tr w:rsidR="00744684" w:rsidRPr="007D7922" w14:paraId="3C7BA0E9" w14:textId="77777777" w:rsidTr="00A175BB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14:paraId="3B295A57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ZAKRES ŚWIADCZENIA GWARANTOWANEGO</w:t>
            </w:r>
          </w:p>
        </w:tc>
      </w:tr>
      <w:tr w:rsidR="00A175BB" w:rsidRPr="007D7922" w14:paraId="47C0A5F7" w14:textId="77777777" w:rsidTr="00E05EF9">
        <w:trPr>
          <w:trHeight w:val="567"/>
          <w:jc w:val="center"/>
        </w:trPr>
        <w:tc>
          <w:tcPr>
            <w:tcW w:w="2209" w:type="pct"/>
            <w:vAlign w:val="center"/>
          </w:tcPr>
          <w:p w14:paraId="6DD8D44C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395" w:type="pct"/>
            <w:vAlign w:val="center"/>
          </w:tcPr>
          <w:p w14:paraId="325556A7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 xml:space="preserve">SCHEMAT DAWKOWANIA LEKÓW </w:t>
            </w:r>
            <w:r w:rsidRPr="007D7922">
              <w:rPr>
                <w:b/>
                <w:sz w:val="20"/>
                <w:szCs w:val="20"/>
              </w:rPr>
              <w:br/>
              <w:t>W PROGRAMIE</w:t>
            </w:r>
          </w:p>
        </w:tc>
        <w:tc>
          <w:tcPr>
            <w:tcW w:w="1396" w:type="pct"/>
            <w:tcBorders>
              <w:right w:val="single" w:sz="4" w:space="0" w:color="auto"/>
            </w:tcBorders>
            <w:vAlign w:val="center"/>
          </w:tcPr>
          <w:p w14:paraId="0EEA2601" w14:textId="77777777" w:rsidR="00744684" w:rsidRPr="007D7922" w:rsidRDefault="00744684" w:rsidP="00A13920">
            <w:pPr>
              <w:jc w:val="center"/>
              <w:rPr>
                <w:b/>
                <w:sz w:val="20"/>
                <w:szCs w:val="20"/>
              </w:rPr>
            </w:pPr>
            <w:r w:rsidRPr="007D7922">
              <w:rPr>
                <w:b/>
                <w:sz w:val="20"/>
                <w:szCs w:val="20"/>
              </w:rPr>
              <w:t>BADANIA DIAGNOSTYCZNE WYKONYWANE W RAMACH PROGRAMU</w:t>
            </w:r>
          </w:p>
        </w:tc>
      </w:tr>
      <w:tr w:rsidR="00A175BB" w:rsidRPr="007D7922" w14:paraId="238A8443" w14:textId="77777777" w:rsidTr="00E05EF9">
        <w:trPr>
          <w:jc w:val="center"/>
        </w:trPr>
        <w:tc>
          <w:tcPr>
            <w:tcW w:w="2209" w:type="pct"/>
          </w:tcPr>
          <w:p w14:paraId="44ABD803" w14:textId="057608F0" w:rsidR="00744684" w:rsidRPr="00B2755F" w:rsidRDefault="00B2755F" w:rsidP="00B2755F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</w:t>
            </w:r>
            <w:r w:rsidR="00744684" w:rsidRPr="00B2755F">
              <w:rPr>
                <w:b/>
                <w:sz w:val="20"/>
                <w:szCs w:val="20"/>
              </w:rPr>
              <w:t>Leczenie pierwszej linii chorych na zaawansowanego raka jelita grubego z wykorzystaniem substancji czynnej</w:t>
            </w:r>
            <w:r w:rsidR="003572AF" w:rsidRPr="00B275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44684" w:rsidRPr="00B2755F">
              <w:rPr>
                <w:b/>
                <w:sz w:val="20"/>
                <w:szCs w:val="20"/>
              </w:rPr>
              <w:t>cetuksymab</w:t>
            </w:r>
            <w:proofErr w:type="spellEnd"/>
          </w:p>
          <w:p w14:paraId="0F8AB86B" w14:textId="77777777" w:rsidR="00744684" w:rsidRPr="00F375E7" w:rsidRDefault="00744684" w:rsidP="00A175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57D1A5BB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20CFCE01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5F1EB263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37AE5862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368167F7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w genie BRAF V600E;</w:t>
            </w:r>
          </w:p>
          <w:p w14:paraId="1D7E49B2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10DDF8C6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0-1według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2E9D85DE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6C25697E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724CEA6D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0BCA47EB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6A35C0A2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stężenie hemoglobiny większe lub równe10,0 g/dl; </w:t>
            </w:r>
          </w:p>
          <w:p w14:paraId="2B2C04E2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52C41982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48136E09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aktywność transaminaz (alaninowej i asparaginowej) w surowicy nieprzekraczająca 5-krotnie górnej granicy normy,</w:t>
            </w:r>
          </w:p>
          <w:p w14:paraId="2C7138FF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1,5-krotnie górnej granicy normy;</w:t>
            </w:r>
          </w:p>
          <w:p w14:paraId="0EA44D6E" w14:textId="6C273573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do zastosowania (nieobecność przeciwwskazań) chemioterapia wielolekowa według schematu FOLFIRI</w:t>
            </w:r>
            <w:r w:rsidR="00EC3898">
              <w:rPr>
                <w:sz w:val="20"/>
                <w:szCs w:val="20"/>
              </w:rPr>
              <w:t xml:space="preserve"> lub FOLFOX</w:t>
            </w:r>
            <w:r w:rsidRPr="00F375E7">
              <w:rPr>
                <w:sz w:val="20"/>
                <w:szCs w:val="20"/>
              </w:rPr>
              <w:t>;</w:t>
            </w:r>
          </w:p>
          <w:p w14:paraId="503B30AE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09C75423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3EF37CC9" w14:textId="77777777" w:rsidR="00744684" w:rsidRPr="00F375E7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cetuksymabu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1E06FC18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0D01ECBA" w14:textId="77777777" w:rsidR="00744684" w:rsidRPr="00F375E7" w:rsidRDefault="00744684" w:rsidP="00A175BB">
            <w:pPr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1DE36467" w14:textId="1DD0A4DB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Wymagane jest spełnienie wszystkich kryteriów wymienionych wyżej (</w:t>
            </w:r>
            <w:r w:rsidRPr="00B2755F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Pr="00B2755F">
              <w:rPr>
                <w:sz w:val="20"/>
                <w:szCs w:val="20"/>
                <w:u w:val="single"/>
              </w:rPr>
              <w:t>cetuksymabu</w:t>
            </w:r>
            <w:proofErr w:type="spellEnd"/>
            <w:r w:rsidRPr="00B2755F">
              <w:rPr>
                <w:sz w:val="20"/>
                <w:szCs w:val="20"/>
                <w:u w:val="single"/>
              </w:rPr>
              <w:t xml:space="preserve"> </w:t>
            </w:r>
            <w:r w:rsidRPr="00B2755F">
              <w:rPr>
                <w:sz w:val="20"/>
                <w:szCs w:val="20"/>
              </w:rPr>
              <w:t>).</w:t>
            </w:r>
          </w:p>
          <w:p w14:paraId="68512C70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78F8C2D" w14:textId="77777777" w:rsidR="00744684" w:rsidRPr="00F375E7" w:rsidRDefault="00744684" w:rsidP="00A175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19015C23" w14:textId="05B182A4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05ED7ECF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438709F" w14:textId="77777777" w:rsidR="00744684" w:rsidRPr="00F375E7" w:rsidRDefault="00744684" w:rsidP="00A175BB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4456FA8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lub jakikolwiek składnik chemioterapii;</w:t>
            </w:r>
          </w:p>
          <w:p w14:paraId="56D96F73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6E956C6F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756DE079" w14:textId="77777777" w:rsidR="00744684" w:rsidRPr="00F375E7" w:rsidRDefault="00744684" w:rsidP="00A175BB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zapalenie płuc;</w:t>
            </w:r>
          </w:p>
          <w:p w14:paraId="13496F6E" w14:textId="03268BA4" w:rsidR="00744684" w:rsidRDefault="00744684" w:rsidP="00A175BB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78C7CE25" w14:textId="77777777" w:rsidR="00B2755F" w:rsidRPr="00F375E7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34490FA" w14:textId="50B13717" w:rsidR="00744684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</w:t>
            </w:r>
            <w:r w:rsidR="00744684" w:rsidRPr="00B2755F">
              <w:rPr>
                <w:b/>
                <w:sz w:val="20"/>
                <w:szCs w:val="20"/>
              </w:rPr>
              <w:t xml:space="preserve">Leczenie pierwszej linii chorych na zaawansowanego raka jelita grubego z wykorzystaniem substancji czynnej </w:t>
            </w:r>
            <w:proofErr w:type="spellStart"/>
            <w:r w:rsidR="00744684" w:rsidRPr="00B2755F">
              <w:rPr>
                <w:b/>
                <w:sz w:val="20"/>
                <w:szCs w:val="20"/>
              </w:rPr>
              <w:t>bewacyzumab</w:t>
            </w:r>
            <w:proofErr w:type="spellEnd"/>
          </w:p>
          <w:p w14:paraId="787A7B44" w14:textId="77777777" w:rsidR="00744684" w:rsidRPr="00F375E7" w:rsidRDefault="00744684" w:rsidP="00A175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0DD7E59B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2E902621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6B138A04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67A2A6F9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65EC9178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wcześniejsze stosowanie chemioterapii uzupełniającej z </w:t>
            </w:r>
            <w:proofErr w:type="spellStart"/>
            <w:r w:rsidRPr="00F375E7">
              <w:rPr>
                <w:sz w:val="20"/>
                <w:szCs w:val="20"/>
              </w:rPr>
              <w:t>oksaliplatyną</w:t>
            </w:r>
            <w:proofErr w:type="spellEnd"/>
            <w:r w:rsidRPr="00F375E7">
              <w:rPr>
                <w:sz w:val="20"/>
                <w:szCs w:val="20"/>
              </w:rPr>
              <w:t xml:space="preserve"> – w przypadku 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w skojarzeniu z chemioterapią FOLFIRI;</w:t>
            </w:r>
          </w:p>
          <w:p w14:paraId="3F95A1D4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bookmarkStart w:id="0" w:name="_Hlk47597865"/>
            <w:r w:rsidRPr="00F375E7">
              <w:rPr>
                <w:sz w:val="20"/>
                <w:szCs w:val="20"/>
              </w:rPr>
              <w:t xml:space="preserve">potwierdzona obecność mutacji aktywującej genu KRAS lub NRAS (w jednym z </w:t>
            </w:r>
            <w:proofErr w:type="spellStart"/>
            <w:r w:rsidRPr="00F375E7">
              <w:rPr>
                <w:sz w:val="20"/>
                <w:szCs w:val="20"/>
              </w:rPr>
              <w:t>eksonów</w:t>
            </w:r>
            <w:proofErr w:type="spellEnd"/>
            <w:r w:rsidRPr="00F375E7">
              <w:rPr>
                <w:sz w:val="20"/>
                <w:szCs w:val="20"/>
              </w:rPr>
              <w:t xml:space="preserve"> 2.,3. lub 4.) w przypadku </w:t>
            </w:r>
            <w:bookmarkEnd w:id="0"/>
            <w:r w:rsidRPr="00F375E7">
              <w:rPr>
                <w:sz w:val="20"/>
                <w:szCs w:val="20"/>
              </w:rPr>
              <w:t xml:space="preserve">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375E7">
              <w:rPr>
                <w:sz w:val="20"/>
                <w:szCs w:val="20"/>
              </w:rPr>
              <w:t>chemioterpią</w:t>
            </w:r>
            <w:proofErr w:type="spellEnd"/>
            <w:r w:rsidRPr="00F375E7">
              <w:rPr>
                <w:sz w:val="20"/>
                <w:szCs w:val="20"/>
              </w:rPr>
              <w:t xml:space="preserve"> FOLFIRI;</w:t>
            </w:r>
          </w:p>
          <w:p w14:paraId="6A6E17CE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1C943937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0-1według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7D63C4B9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777EF3ED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5C60BBB7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060E35A0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 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6A2BDBF1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hemoglobiny większe lub równe 10,0 g/dl;</w:t>
            </w:r>
          </w:p>
          <w:p w14:paraId="2FA19BD2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65E39703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6725321E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1900958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w granicach normy;</w:t>
            </w:r>
          </w:p>
          <w:p w14:paraId="4675DDDF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możliwa do zastosowania (nieobecność przeciwwskazań) chemioterapia wielolekowa według schematu FOLFIRI;</w:t>
            </w:r>
          </w:p>
          <w:p w14:paraId="32CD8ED3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12ED1430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2C2C3F9E" w14:textId="77777777" w:rsidR="00744684" w:rsidRPr="00F375E7" w:rsidRDefault="00744684" w:rsidP="00A175BB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3891637F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nieusunięta pierwotna zmiana nowotworowa w jelicie grubym (chorzy kwalifikowani do leczenia </w:t>
            </w:r>
            <w:proofErr w:type="spellStart"/>
            <w:r w:rsidRPr="00F375E7">
              <w:rPr>
                <w:sz w:val="20"/>
                <w:szCs w:val="20"/>
              </w:rPr>
              <w:t>bewacyzumabem</w:t>
            </w:r>
            <w:proofErr w:type="spellEnd"/>
            <w:r w:rsidRPr="00F375E7">
              <w:rPr>
                <w:sz w:val="20"/>
                <w:szCs w:val="20"/>
              </w:rPr>
              <w:t xml:space="preserve"> muszą mieć wykonaną resekcję pierwotnej zmiany w jelicie grubym),</w:t>
            </w:r>
          </w:p>
          <w:p w14:paraId="3CA2C379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czynna choroba wrzodowa żołądka lub dwunastnicy,</w:t>
            </w:r>
          </w:p>
          <w:p w14:paraId="4B31C59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niestabilne nadciśnienie tętnicze,</w:t>
            </w:r>
          </w:p>
          <w:p w14:paraId="4F76C48B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niestabilna choroba niedokrwienna serca,</w:t>
            </w:r>
          </w:p>
          <w:p w14:paraId="1A5EDE4B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naczyniowe choroby ośrodkowego układu nerwowego w wywiadzie,</w:t>
            </w:r>
          </w:p>
          <w:p w14:paraId="448295E6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wrodzona skaza krwotoczna lub nabyta koagulopatia,</w:t>
            </w:r>
          </w:p>
          <w:p w14:paraId="60BD6A4D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stany chorobowe przebiegające ze zwiększonym ryzykiem krwawień,</w:t>
            </w:r>
          </w:p>
          <w:p w14:paraId="5DA3EC54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stosowanie leków przeciwkrzepliwych lub antyagregacyjnych (dopuszczalne jest podawanie heparyny drobnocząsteczkowej w dawce profilaktycznej),</w:t>
            </w:r>
          </w:p>
          <w:p w14:paraId="74AE42FB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niegojące się rany,</w:t>
            </w:r>
          </w:p>
          <w:p w14:paraId="5C4C89A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zabieg operacyjny przebyty w ciągu mniej niż 4 tygodni od momentu kwalifikacji do leczenia,</w:t>
            </w:r>
          </w:p>
          <w:p w14:paraId="7F4A7A4D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białkomocz (z wyjątkiem stopnia 1 wg CTCAE),</w:t>
            </w:r>
          </w:p>
          <w:p w14:paraId="6742CE9C" w14:textId="77777777" w:rsidR="00744684" w:rsidRPr="00F375E7" w:rsidRDefault="00744684" w:rsidP="00A175BB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alergia na lek lub którąkolwiek z substancji pomocniczych.</w:t>
            </w:r>
          </w:p>
          <w:p w14:paraId="08FD3395" w14:textId="34EF55AA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Wymagane jest spełnienie wszystkich kryteriów wymienionych wyżej (</w:t>
            </w:r>
            <w:r w:rsidRPr="00B2755F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Pr="00B2755F">
              <w:rPr>
                <w:sz w:val="20"/>
                <w:szCs w:val="20"/>
                <w:u w:val="single"/>
              </w:rPr>
              <w:t>bewacyzumabu</w:t>
            </w:r>
            <w:proofErr w:type="spellEnd"/>
            <w:r w:rsidRPr="00B2755F">
              <w:rPr>
                <w:sz w:val="20"/>
                <w:szCs w:val="20"/>
              </w:rPr>
              <w:t>).</w:t>
            </w:r>
          </w:p>
          <w:p w14:paraId="5CB62BFB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4B086BC" w14:textId="77777777" w:rsidR="00744684" w:rsidRPr="00F375E7" w:rsidRDefault="00744684" w:rsidP="00A175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332DCF90" w14:textId="2EB88EBD" w:rsidR="00744684" w:rsidRDefault="00744684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lastRenderedPageBreak/>
              <w:t>Do czasu podjęcia decyzji o zakończeniu leczenia zgodnie z kryteriami wyłączenia.</w:t>
            </w:r>
          </w:p>
          <w:p w14:paraId="7948C724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F808520" w14:textId="77777777" w:rsidR="00744684" w:rsidRPr="00F375E7" w:rsidRDefault="00744684" w:rsidP="00A175BB">
            <w:pPr>
              <w:numPr>
                <w:ilvl w:val="0"/>
                <w:numId w:val="2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00801736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bewacyzumab</w:t>
            </w:r>
            <w:proofErr w:type="spellEnd"/>
            <w:r w:rsidRPr="00F375E7">
              <w:rPr>
                <w:sz w:val="20"/>
                <w:szCs w:val="20"/>
              </w:rPr>
              <w:t xml:space="preserve"> lub jakikolwiek składnik chemioterapii;</w:t>
            </w:r>
          </w:p>
          <w:p w14:paraId="4D072C63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273EAD88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klinicznie działania niepożądane w stopniu równym lub większym niż 3. według klasyfikacji WHO;</w:t>
            </w:r>
          </w:p>
          <w:p w14:paraId="2A93F800" w14:textId="77777777" w:rsidR="00744684" w:rsidRPr="00F375E7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utrzymujący się białkomocz stopnia co najmniej 2. wg CTCAE;</w:t>
            </w:r>
          </w:p>
          <w:p w14:paraId="099DD751" w14:textId="780CB227" w:rsidR="00744684" w:rsidRDefault="00744684" w:rsidP="00A175BB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 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1A1B6899" w14:textId="77777777" w:rsidR="00B2755F" w:rsidRPr="00F375E7" w:rsidRDefault="00B2755F" w:rsidP="00B2755F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87F5D0F" w14:textId="07539A75" w:rsidR="00E751B0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 </w:t>
            </w:r>
            <w:r w:rsidR="00E751B0" w:rsidRPr="00B2755F">
              <w:rPr>
                <w:b/>
                <w:sz w:val="20"/>
                <w:szCs w:val="20"/>
              </w:rPr>
              <w:t>Leczenie pierwszej linii chorych na zaawansowanego raka jelita grubego z wykorzystaniem substancji czynnej</w:t>
            </w:r>
            <w:r w:rsidR="003572AF" w:rsidRPr="00B2755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51B0" w:rsidRPr="00B2755F">
              <w:rPr>
                <w:b/>
                <w:sz w:val="20"/>
                <w:szCs w:val="20"/>
              </w:rPr>
              <w:t>panitumumab</w:t>
            </w:r>
            <w:proofErr w:type="spellEnd"/>
            <w:r w:rsidR="00E751B0" w:rsidRPr="00B2755F">
              <w:rPr>
                <w:b/>
                <w:sz w:val="20"/>
                <w:szCs w:val="20"/>
              </w:rPr>
              <w:t xml:space="preserve"> w skojarzeniu z chemioterapią według schematu </w:t>
            </w:r>
            <w:r w:rsidR="0025290F" w:rsidRPr="00B2755F">
              <w:rPr>
                <w:b/>
                <w:sz w:val="20"/>
                <w:szCs w:val="20"/>
              </w:rPr>
              <w:t>FOLFIRI</w:t>
            </w:r>
          </w:p>
          <w:p w14:paraId="30620F07" w14:textId="77777777" w:rsidR="00BE06EC" w:rsidRPr="00F375E7" w:rsidRDefault="00BE06EC" w:rsidP="00A175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3CE75CE7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12E3F033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4D8285A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234F440C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32F2400D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w genie BRAF V600E;</w:t>
            </w:r>
          </w:p>
          <w:p w14:paraId="128FF556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37C3AA14" w14:textId="65A3EB5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w stopniach 0-1</w:t>
            </w:r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 xml:space="preserve">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68607FD4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5914DB8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1037B3E0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43FC5152" w14:textId="5C88576C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</w:t>
            </w:r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41C8926D" w14:textId="758EBCDF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hemoglobiny większe lub równe</w:t>
            </w:r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 xml:space="preserve">10,0 g/dl; </w:t>
            </w:r>
          </w:p>
          <w:p w14:paraId="46A63F0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72CDE5A8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5FF05B9C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22F759FF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1,5-krotnie górnej granicy normy;</w:t>
            </w:r>
          </w:p>
          <w:p w14:paraId="06445BD0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do zastosowania (nieobecność przeciwwskazań) chemioterapia wielolekowa według schematu FOLFIRI;</w:t>
            </w:r>
          </w:p>
          <w:p w14:paraId="0782FBAE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46FDEFC4" w14:textId="77777777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16E41CD4" w14:textId="1EEE5963" w:rsidR="00BE06EC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="00F579BF" w:rsidRPr="00F375E7">
              <w:rPr>
                <w:sz w:val="20"/>
                <w:szCs w:val="20"/>
              </w:rPr>
              <w:t>panitumumabu</w:t>
            </w:r>
            <w:proofErr w:type="spellEnd"/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– niżej wymienione – nieobecne:</w:t>
            </w:r>
          </w:p>
          <w:p w14:paraId="4832B6B3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5C97C805" w14:textId="77777777" w:rsidR="00BE06EC" w:rsidRPr="00F375E7" w:rsidRDefault="00BE06EC" w:rsidP="00A175BB">
            <w:pPr>
              <w:numPr>
                <w:ilvl w:val="3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45E13D3C" w14:textId="51A1DA92" w:rsidR="00BE06EC" w:rsidRDefault="00BE06EC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Wymagane jest spełnienie wszystkich kryteriów wymienionych wyżej (</w:t>
            </w:r>
            <w:r w:rsidRPr="00B2755F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="00F579BF" w:rsidRPr="00B2755F">
              <w:rPr>
                <w:sz w:val="20"/>
                <w:szCs w:val="20"/>
                <w:u w:val="single"/>
              </w:rPr>
              <w:t>panitumumabu</w:t>
            </w:r>
            <w:proofErr w:type="spellEnd"/>
            <w:r w:rsidRPr="00B2755F">
              <w:rPr>
                <w:sz w:val="20"/>
                <w:szCs w:val="20"/>
              </w:rPr>
              <w:t>).</w:t>
            </w:r>
          </w:p>
          <w:p w14:paraId="494B048E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CF70355" w14:textId="77777777" w:rsidR="00BE06EC" w:rsidRPr="00F375E7" w:rsidRDefault="00BE06EC" w:rsidP="00A175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5B47BA3B" w14:textId="2C817CF4" w:rsidR="00BE06EC" w:rsidRDefault="00BE06EC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B2755F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7EA36205" w14:textId="77777777" w:rsidR="00B2755F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9C04811" w14:textId="77777777" w:rsidR="00BE06EC" w:rsidRPr="00F375E7" w:rsidRDefault="00BE06EC" w:rsidP="00A175BB">
            <w:pPr>
              <w:numPr>
                <w:ilvl w:val="0"/>
                <w:numId w:val="3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10999DD4" w14:textId="7C0D8CFC" w:rsidR="00BE06EC" w:rsidRPr="00F375E7" w:rsidRDefault="00BE06EC" w:rsidP="00A175BB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="00F579BF" w:rsidRPr="00F375E7">
              <w:rPr>
                <w:sz w:val="20"/>
                <w:szCs w:val="20"/>
              </w:rPr>
              <w:t>panitumumab</w:t>
            </w:r>
            <w:proofErr w:type="spellEnd"/>
            <w:r w:rsidR="00F579BF" w:rsidRPr="00F375E7">
              <w:rPr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lub jakikolwiek składnik chemioterapii;</w:t>
            </w:r>
          </w:p>
          <w:p w14:paraId="704885D6" w14:textId="77777777" w:rsidR="00BE06EC" w:rsidRPr="00F375E7" w:rsidRDefault="00BE06EC" w:rsidP="00A175BB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progresja choroby w trakcie leczenia;</w:t>
            </w:r>
          </w:p>
          <w:p w14:paraId="294348F2" w14:textId="77777777" w:rsidR="00BE06EC" w:rsidRPr="00F375E7" w:rsidRDefault="00BE06EC" w:rsidP="00A175BB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117FAE69" w14:textId="77777777" w:rsidR="00F579BF" w:rsidRPr="00F375E7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zapalenie płuc;</w:t>
            </w:r>
          </w:p>
          <w:p w14:paraId="67ADB833" w14:textId="5CF461A9" w:rsidR="00E751B0" w:rsidRDefault="00BE06EC" w:rsidP="00A175BB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</w:t>
            </w:r>
            <w:r w:rsidR="00F579BF" w:rsidRPr="00F375E7">
              <w:rPr>
                <w:sz w:val="20"/>
                <w:szCs w:val="20"/>
              </w:rPr>
              <w:t>.</w:t>
            </w:r>
          </w:p>
          <w:p w14:paraId="26537660" w14:textId="77777777" w:rsidR="00B2755F" w:rsidRPr="00F375E7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75A0490" w14:textId="02118048" w:rsidR="00744684" w:rsidRPr="00B2755F" w:rsidRDefault="00B2755F" w:rsidP="00B2755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="00744684" w:rsidRPr="00B2755F">
              <w:rPr>
                <w:b/>
                <w:sz w:val="20"/>
                <w:szCs w:val="20"/>
              </w:rPr>
              <w:t xml:space="preserve">Leczenie pierwszej linii chorych na zaawansowanego raka jelita grubego z wykorzystaniem substancji czynnej </w:t>
            </w:r>
            <w:proofErr w:type="spellStart"/>
            <w:r w:rsidR="00744684" w:rsidRPr="00B2755F">
              <w:rPr>
                <w:b/>
                <w:sz w:val="20"/>
                <w:szCs w:val="20"/>
              </w:rPr>
              <w:t>panitumumab</w:t>
            </w:r>
            <w:proofErr w:type="spellEnd"/>
            <w:r w:rsidR="00CF687B" w:rsidRPr="00B2755F">
              <w:rPr>
                <w:b/>
                <w:sz w:val="20"/>
                <w:szCs w:val="20"/>
              </w:rPr>
              <w:t xml:space="preserve"> w skojarzeniu z chemioterapią według</w:t>
            </w:r>
            <w:r w:rsidR="00E751B0" w:rsidRPr="00B2755F">
              <w:rPr>
                <w:b/>
                <w:sz w:val="20"/>
                <w:szCs w:val="20"/>
              </w:rPr>
              <w:t xml:space="preserve"> </w:t>
            </w:r>
            <w:r w:rsidR="00CF687B" w:rsidRPr="00B2755F">
              <w:rPr>
                <w:b/>
                <w:sz w:val="20"/>
                <w:szCs w:val="20"/>
              </w:rPr>
              <w:t>schematu FOLFOX</w:t>
            </w:r>
          </w:p>
          <w:p w14:paraId="236DBC64" w14:textId="77777777" w:rsidR="00744684" w:rsidRPr="00F375E7" w:rsidRDefault="00744684" w:rsidP="00A175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43E10505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2A8A6F9A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1BE8382C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36BF9F91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brak wcześniejszego leczenia systemowego z powodu choroby przerzutowej;</w:t>
            </w:r>
          </w:p>
          <w:p w14:paraId="70593E43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BRAF V600E;</w:t>
            </w:r>
          </w:p>
          <w:p w14:paraId="2AB68036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36615270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0-1według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4EA45CB7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1285C401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30BD26F1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638BB774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0209B70F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stężenie hemoglobiny większe lub równe10,0 g/dl; </w:t>
            </w:r>
          </w:p>
          <w:p w14:paraId="49C06CBA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7617F0D7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2-krotnie górnej granicy normy (z wyjątkiem chorych z zespołem Gilberta),</w:t>
            </w:r>
          </w:p>
          <w:p w14:paraId="0F7F4DB6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aktywność transaminaz (alaninowej i asparaginowej) w surowicy nieprzekraczająca 5-krotnie górnej granicy normy,</w:t>
            </w:r>
          </w:p>
          <w:p w14:paraId="21D4FE49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1,5-krotnie górnej granicy normy;</w:t>
            </w:r>
          </w:p>
          <w:p w14:paraId="032BEEB8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do zastosowania (nieobecność przeciwwskazań) chemioterapia wielolekowa według schematu FOLFOX;</w:t>
            </w:r>
          </w:p>
          <w:p w14:paraId="4771C529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niestosowanie wcześniej chemioterapii uzupełniającej z </w:t>
            </w:r>
            <w:proofErr w:type="spellStart"/>
            <w:r w:rsidRPr="00F375E7">
              <w:rPr>
                <w:sz w:val="20"/>
                <w:szCs w:val="20"/>
              </w:rPr>
              <w:t>oksaliplatyną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72A59833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55CCD95B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2EBB6994" w14:textId="77777777" w:rsidR="00744684" w:rsidRPr="00F375E7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panitumumabu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66CE0D5C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09E35DEA" w14:textId="77777777" w:rsidR="00744684" w:rsidRPr="00F375E7" w:rsidRDefault="00744684" w:rsidP="00A175BB">
            <w:pPr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7296852A" w14:textId="0814F9F8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Wymagane jest spełnienie wszystkich kryteriów wymienionych wyżej (</w:t>
            </w:r>
            <w:r w:rsidRPr="009341E7">
              <w:rPr>
                <w:sz w:val="20"/>
                <w:szCs w:val="20"/>
                <w:u w:val="single"/>
              </w:rPr>
              <w:t xml:space="preserve">w przypadku niespełnienia kryteriów – chemioterapia wielolekowa lub jednolekowa bez </w:t>
            </w:r>
            <w:proofErr w:type="spellStart"/>
            <w:r w:rsidRPr="009341E7">
              <w:rPr>
                <w:sz w:val="20"/>
                <w:szCs w:val="20"/>
                <w:u w:val="single"/>
              </w:rPr>
              <w:t>panitumumabu</w:t>
            </w:r>
            <w:proofErr w:type="spellEnd"/>
            <w:r w:rsidRPr="009341E7">
              <w:rPr>
                <w:sz w:val="20"/>
                <w:szCs w:val="20"/>
              </w:rPr>
              <w:t>).</w:t>
            </w:r>
          </w:p>
          <w:p w14:paraId="27C659D7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37F8E14" w14:textId="77777777" w:rsidR="00744684" w:rsidRPr="00F375E7" w:rsidRDefault="00744684" w:rsidP="00A175B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1F7A4572" w14:textId="4F3390B5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08433DE8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0C6F863" w14:textId="77777777" w:rsidR="00744684" w:rsidRPr="00F375E7" w:rsidRDefault="00744684" w:rsidP="00A175BB">
            <w:pPr>
              <w:numPr>
                <w:ilvl w:val="0"/>
                <w:numId w:val="4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5C33BCDD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panitumumab</w:t>
            </w:r>
            <w:proofErr w:type="spellEnd"/>
            <w:r w:rsidRPr="00F375E7">
              <w:rPr>
                <w:sz w:val="20"/>
                <w:szCs w:val="20"/>
              </w:rPr>
              <w:t xml:space="preserve"> lub jakikolwiek składnik chemioterapii;</w:t>
            </w:r>
          </w:p>
          <w:p w14:paraId="47E14E64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29891F95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0C8D5506" w14:textId="77777777" w:rsidR="00744684" w:rsidRPr="00F375E7" w:rsidRDefault="00744684" w:rsidP="00A175BB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zapalenie płuc;</w:t>
            </w:r>
          </w:p>
          <w:p w14:paraId="25037C02" w14:textId="16AAB211" w:rsidR="00744684" w:rsidRDefault="00744684" w:rsidP="00A175BB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2D7E0647" w14:textId="77777777" w:rsidR="009341E7" w:rsidRPr="00F375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11B90E61" w14:textId="01C112BA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="00744684" w:rsidRPr="009341E7">
              <w:rPr>
                <w:b/>
                <w:sz w:val="20"/>
                <w:szCs w:val="20"/>
              </w:rPr>
              <w:t xml:space="preserve">Leczenie drugiej linii chorych na zaawansowanego raka jelita grubego z wykorzystaniem substancji czynnej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bewacyzumab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– wyłącznie u chorych, którzy nie otrzymali wymienionego leku podczas pierwszej linii leczenia.</w:t>
            </w:r>
          </w:p>
          <w:p w14:paraId="036954D1" w14:textId="77777777" w:rsidR="00744684" w:rsidRPr="00F375E7" w:rsidRDefault="00744684" w:rsidP="00A175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bookmarkStart w:id="1" w:name="_Hlk47598061"/>
            <w:r w:rsidRPr="00F375E7">
              <w:rPr>
                <w:sz w:val="20"/>
                <w:szCs w:val="20"/>
              </w:rPr>
              <w:t>Chemioterapia według schematu FOLFOX-4 z </w:t>
            </w:r>
            <w:proofErr w:type="spellStart"/>
            <w:r w:rsidRPr="00F375E7">
              <w:rPr>
                <w:sz w:val="20"/>
                <w:szCs w:val="20"/>
              </w:rPr>
              <w:t>bewacyzumabem</w:t>
            </w:r>
            <w:proofErr w:type="spellEnd"/>
            <w:r w:rsidRPr="00F375E7">
              <w:rPr>
                <w:sz w:val="20"/>
                <w:szCs w:val="20"/>
              </w:rPr>
              <w:t xml:space="preserve"> w przypadku chorych, którzy otrzymali </w:t>
            </w:r>
            <w:proofErr w:type="spellStart"/>
            <w:r w:rsidRPr="00F375E7">
              <w:rPr>
                <w:sz w:val="20"/>
                <w:szCs w:val="20"/>
              </w:rPr>
              <w:t>irynotekan</w:t>
            </w:r>
            <w:proofErr w:type="spellEnd"/>
            <w:r w:rsidRPr="00F375E7">
              <w:rPr>
                <w:sz w:val="20"/>
                <w:szCs w:val="20"/>
              </w:rPr>
              <w:t xml:space="preserve"> w pierwszej linii leczenia zaawansowanego nowotworu. Do leczenia nie mogą być kwalifikowani chorzy, którzy otrzymali </w:t>
            </w:r>
            <w:proofErr w:type="spellStart"/>
            <w:r w:rsidRPr="00F375E7">
              <w:rPr>
                <w:sz w:val="20"/>
                <w:szCs w:val="20"/>
              </w:rPr>
              <w:t>oksaliplatynę</w:t>
            </w:r>
            <w:proofErr w:type="spellEnd"/>
            <w:r w:rsidRPr="00F375E7">
              <w:rPr>
                <w:sz w:val="20"/>
                <w:szCs w:val="20"/>
              </w:rPr>
              <w:t xml:space="preserve"> podczas uzupełniającej chemioterapii pooperacyjnej </w:t>
            </w:r>
            <w:bookmarkEnd w:id="1"/>
            <w:r w:rsidRPr="00F375E7">
              <w:rPr>
                <w:sz w:val="20"/>
                <w:szCs w:val="20"/>
              </w:rPr>
              <w:t>(kryterium wyłączenia).</w:t>
            </w:r>
          </w:p>
          <w:p w14:paraId="7AE78487" w14:textId="1060E0AD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 xml:space="preserve">Kryteria kwalifikowania – stan sprawności w stopniach 0-2 według klasyfikacji </w:t>
            </w:r>
            <w:proofErr w:type="spellStart"/>
            <w:r w:rsidRPr="009341E7">
              <w:rPr>
                <w:sz w:val="20"/>
                <w:szCs w:val="20"/>
              </w:rPr>
              <w:t>Zubroda</w:t>
            </w:r>
            <w:proofErr w:type="spellEnd"/>
            <w:r w:rsidRPr="009341E7">
              <w:rPr>
                <w:sz w:val="20"/>
                <w:szCs w:val="20"/>
              </w:rPr>
              <w:t>-WHO oraz typowe dla chemioterapii i umieszczone w punkcie</w:t>
            </w:r>
            <w:r w:rsidR="00F1486A" w:rsidRPr="009341E7">
              <w:rPr>
                <w:sz w:val="20"/>
                <w:szCs w:val="20"/>
              </w:rPr>
              <w:t xml:space="preserve"> </w:t>
            </w:r>
            <w:r w:rsidRPr="009341E7">
              <w:rPr>
                <w:sz w:val="20"/>
                <w:szCs w:val="20"/>
              </w:rPr>
              <w:t xml:space="preserve">1. w przypadku stosowania </w:t>
            </w:r>
            <w:proofErr w:type="spellStart"/>
            <w:r w:rsidRPr="009341E7">
              <w:rPr>
                <w:sz w:val="20"/>
                <w:szCs w:val="20"/>
              </w:rPr>
              <w:t>bewacyzumabu</w:t>
            </w:r>
            <w:proofErr w:type="spellEnd"/>
            <w:r w:rsidRPr="009341E7">
              <w:rPr>
                <w:sz w:val="20"/>
                <w:szCs w:val="20"/>
              </w:rPr>
              <w:t xml:space="preserve"> w pierwszej linii z wyjątkiem punktów 4), 5), 6), 8) i 12).</w:t>
            </w:r>
          </w:p>
          <w:p w14:paraId="6F981813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ED42E80" w14:textId="77777777" w:rsidR="00744684" w:rsidRPr="00F375E7" w:rsidRDefault="00744684" w:rsidP="00A175B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4D0896ED" w14:textId="1048CE83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542736E7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D92E54D" w14:textId="77777777" w:rsidR="00744684" w:rsidRPr="00F375E7" w:rsidRDefault="00744684" w:rsidP="00A175BB">
            <w:pPr>
              <w:numPr>
                <w:ilvl w:val="0"/>
                <w:numId w:val="5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773A7B1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bewacyzumab</w:t>
            </w:r>
            <w:proofErr w:type="spellEnd"/>
            <w:r w:rsidRPr="00F375E7">
              <w:rPr>
                <w:sz w:val="20"/>
                <w:szCs w:val="20"/>
              </w:rPr>
              <w:t xml:space="preserve"> lub jakikolwiek składnik chemioterapii;</w:t>
            </w:r>
          </w:p>
          <w:p w14:paraId="5AF520A5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08F230A3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kliniczne działania niepożądane w stopniu równym lub większym niż 3. według klasyfikacji WHO;</w:t>
            </w:r>
          </w:p>
          <w:p w14:paraId="4E4096C2" w14:textId="77777777" w:rsidR="00744684" w:rsidRPr="00F375E7" w:rsidRDefault="00744684" w:rsidP="00A175BB">
            <w:pPr>
              <w:numPr>
                <w:ilvl w:val="2"/>
                <w:numId w:val="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utrzymujący się białkomocz stopnia co najmniej 2. wg CTCAE;</w:t>
            </w:r>
          </w:p>
          <w:p w14:paraId="1EE47D80" w14:textId="198A0B51" w:rsidR="00744684" w:rsidRDefault="00744684" w:rsidP="00A175BB">
            <w:pPr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5FE0E257" w14:textId="77777777" w:rsidR="009341E7" w:rsidRPr="00F375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3EAF55FE" w14:textId="45770D46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VI. </w:t>
            </w:r>
            <w:r w:rsidR="00744684" w:rsidRPr="009341E7">
              <w:rPr>
                <w:b/>
                <w:sz w:val="20"/>
                <w:szCs w:val="20"/>
              </w:rPr>
              <w:t xml:space="preserve">Leczenie drugiej linii chorych na zaawansowanego raka jelita grubego z wykorzystaniem substancji czynnej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aflibercept</w:t>
            </w:r>
            <w:proofErr w:type="spellEnd"/>
          </w:p>
          <w:p w14:paraId="6782B77B" w14:textId="77777777" w:rsidR="00744684" w:rsidRPr="00F375E7" w:rsidRDefault="00744684" w:rsidP="00A175B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1CC5CB18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raka jelita grubego;</w:t>
            </w:r>
          </w:p>
          <w:p w14:paraId="6B0D104A" w14:textId="23C1F97B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uogólnienia nowotworu, tj. obecności przerzutów w narządach odległych na podstawie wyników badań obrazowych;</w:t>
            </w:r>
          </w:p>
          <w:p w14:paraId="6F36C60A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brak możliwości wykonania radykalnej </w:t>
            </w:r>
            <w:proofErr w:type="spellStart"/>
            <w:r w:rsidRPr="00F375E7">
              <w:rPr>
                <w:sz w:val="20"/>
                <w:szCs w:val="20"/>
              </w:rPr>
              <w:t>metastazektomii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235861D9" w14:textId="73E078F4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udokumentowana nieskuteczność zastosowanej w zaawansowanym stadium chemioterapii pierwszej linii z udziałem </w:t>
            </w:r>
            <w:proofErr w:type="spellStart"/>
            <w:r w:rsidRPr="00F375E7">
              <w:rPr>
                <w:sz w:val="20"/>
                <w:szCs w:val="20"/>
              </w:rPr>
              <w:t>fluoropirymidyny</w:t>
            </w:r>
            <w:proofErr w:type="spellEnd"/>
            <w:r w:rsidRPr="00F375E7">
              <w:rPr>
                <w:sz w:val="20"/>
                <w:szCs w:val="20"/>
              </w:rPr>
              <w:t xml:space="preserve"> i </w:t>
            </w:r>
            <w:proofErr w:type="spellStart"/>
            <w:r w:rsidRPr="00F375E7">
              <w:rPr>
                <w:sz w:val="20"/>
                <w:szCs w:val="20"/>
              </w:rPr>
              <w:t>oksaliplatyny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10AE912F" w14:textId="058D0E19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niestosowanie wcześniejszego leczenia z wykorzystaniem </w:t>
            </w:r>
            <w:proofErr w:type="spellStart"/>
            <w:r w:rsidRPr="00F375E7">
              <w:rPr>
                <w:sz w:val="20"/>
                <w:szCs w:val="20"/>
              </w:rPr>
              <w:t>irynotekanu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afliberceptu</w:t>
            </w:r>
            <w:proofErr w:type="spellEnd"/>
            <w:r w:rsidRPr="00F375E7">
              <w:rPr>
                <w:sz w:val="20"/>
                <w:szCs w:val="20"/>
              </w:rPr>
              <w:t>;</w:t>
            </w:r>
          </w:p>
          <w:p w14:paraId="14047944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obecności zmiany lub zmian nowotworowych umożliwiających ocenę odpowiedzi na leczenie według klasyfikacji RECIST;</w:t>
            </w:r>
          </w:p>
          <w:p w14:paraId="0AACDA3B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ogólnej:</w:t>
            </w:r>
          </w:p>
          <w:p w14:paraId="243CC993" w14:textId="4088B1C2" w:rsidR="00744684" w:rsidRPr="00A13920" w:rsidRDefault="00744684" w:rsidP="00A175BB">
            <w:pPr>
              <w:pStyle w:val="Akapitzlist"/>
              <w:numPr>
                <w:ilvl w:val="4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13920">
              <w:rPr>
                <w:sz w:val="20"/>
                <w:szCs w:val="20"/>
              </w:rPr>
              <w:t xml:space="preserve">0 według klasyfikacji </w:t>
            </w:r>
            <w:proofErr w:type="spellStart"/>
            <w:r w:rsidRPr="00A13920">
              <w:rPr>
                <w:sz w:val="20"/>
                <w:szCs w:val="20"/>
              </w:rPr>
              <w:t>Zubroda</w:t>
            </w:r>
            <w:proofErr w:type="spellEnd"/>
            <w:r w:rsidRPr="00A13920">
              <w:rPr>
                <w:sz w:val="20"/>
                <w:szCs w:val="20"/>
              </w:rPr>
              <w:t>-WHO i dowolna liczba</w:t>
            </w:r>
            <w:r w:rsidR="009341E7">
              <w:rPr>
                <w:sz w:val="20"/>
                <w:szCs w:val="20"/>
              </w:rPr>
              <w:t xml:space="preserve"> </w:t>
            </w:r>
            <w:r w:rsidRPr="00A13920">
              <w:rPr>
                <w:sz w:val="20"/>
                <w:szCs w:val="20"/>
              </w:rPr>
              <w:t xml:space="preserve">przerzutów w narządach odległych lub </w:t>
            </w:r>
          </w:p>
          <w:p w14:paraId="4B0DD276" w14:textId="5644D6A4" w:rsidR="00744684" w:rsidRPr="00A13920" w:rsidRDefault="00744684" w:rsidP="00A175BB">
            <w:pPr>
              <w:pStyle w:val="Akapitzlist"/>
              <w:numPr>
                <w:ilvl w:val="4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13920">
              <w:rPr>
                <w:sz w:val="20"/>
                <w:szCs w:val="20"/>
              </w:rPr>
              <w:t xml:space="preserve">1 według klasyfikacji </w:t>
            </w:r>
            <w:proofErr w:type="spellStart"/>
            <w:r w:rsidRPr="00A13920">
              <w:rPr>
                <w:sz w:val="20"/>
                <w:szCs w:val="20"/>
              </w:rPr>
              <w:t>Zubroda</w:t>
            </w:r>
            <w:proofErr w:type="spellEnd"/>
            <w:r w:rsidRPr="00A13920">
              <w:rPr>
                <w:sz w:val="20"/>
                <w:szCs w:val="20"/>
              </w:rPr>
              <w:t>-WHO i jedna lokalizacją przerzutu w narządach odległych;</w:t>
            </w:r>
          </w:p>
          <w:p w14:paraId="6C4FCC56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powyżej 18. roku życia;</w:t>
            </w:r>
          </w:p>
          <w:p w14:paraId="4C5EE66B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6FBA755A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1,5 x 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5F34FFC5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neutrofili większa lub równa 1500/mm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0F450EFF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hemoglobiny większe lub równe 10,0 g/dl;</w:t>
            </w:r>
          </w:p>
          <w:p w14:paraId="675D0BB9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wskaźniki czynności wątroby i nerek: </w:t>
            </w:r>
          </w:p>
          <w:p w14:paraId="7797B629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bilirubiny całkowitej nieprzekraczające 2-krotnie górnej granicy normy (z wyjątkiem chorych z zespołem Gilberta),</w:t>
            </w:r>
          </w:p>
          <w:p w14:paraId="123429B3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 xml:space="preserve"> aktywność transaminaz (alaninowej i asparaginowej) w surowicy nieprzekraczająca 5-krotnie górnej granicy normy, </w:t>
            </w:r>
          </w:p>
          <w:p w14:paraId="76307398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w granicach normy;</w:t>
            </w:r>
          </w:p>
          <w:p w14:paraId="3BCF7792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212ADE81" w14:textId="7A80B88F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nieobecność przerzutów w mózgu (w przypadku objawó</w:t>
            </w:r>
            <w:r w:rsidR="00564A05" w:rsidRPr="00F375E7">
              <w:rPr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 xml:space="preserve"> klinicznych ze strony ośrodkowego układu nerwowego konieczne jest wykluczenie przerzutów na podstawie badania obrazowego);</w:t>
            </w:r>
          </w:p>
          <w:p w14:paraId="04A6B2C4" w14:textId="01D0A6DF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nieobecność przeciwwskazań do chemioterapii według schematu FOLFIRI;</w:t>
            </w:r>
          </w:p>
          <w:p w14:paraId="0A24A9A7" w14:textId="77777777" w:rsidR="00744684" w:rsidRPr="00F375E7" w:rsidRDefault="00744684" w:rsidP="00A175BB">
            <w:pPr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 nieobecność przeciwwskazań do zastosowania </w:t>
            </w:r>
            <w:proofErr w:type="spellStart"/>
            <w:r w:rsidRPr="00F375E7">
              <w:rPr>
                <w:sz w:val="20"/>
                <w:szCs w:val="20"/>
              </w:rPr>
              <w:t>afliberceptu</w:t>
            </w:r>
            <w:proofErr w:type="spellEnd"/>
            <w:r w:rsidRPr="00F375E7">
              <w:rPr>
                <w:sz w:val="20"/>
                <w:szCs w:val="20"/>
              </w:rPr>
              <w:t>, którymi są:</w:t>
            </w:r>
          </w:p>
          <w:p w14:paraId="3B8D11BB" w14:textId="2CE01404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nieusunięta pierwotna zmiana nowotworowa w jelicie grubym (pacjenci kwalifikowani do leczenia </w:t>
            </w:r>
            <w:proofErr w:type="spellStart"/>
            <w:r w:rsidRPr="00F375E7">
              <w:rPr>
                <w:sz w:val="20"/>
                <w:szCs w:val="20"/>
              </w:rPr>
              <w:t>afliberceptem</w:t>
            </w:r>
            <w:proofErr w:type="spellEnd"/>
            <w:r w:rsidRPr="00F375E7">
              <w:rPr>
                <w:sz w:val="20"/>
                <w:szCs w:val="20"/>
              </w:rPr>
              <w:t xml:space="preserve"> muszą mieć wykonaną resekcję pierwotnej zmiany w jelicie grubym),</w:t>
            </w:r>
          </w:p>
          <w:p w14:paraId="2DEE1744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czynna choroba wrzodowa żołądka lub dwunastnicy,</w:t>
            </w:r>
          </w:p>
          <w:p w14:paraId="21FF4780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 poddające się kontroli nadciśnienie tętnicze,</w:t>
            </w:r>
          </w:p>
          <w:p w14:paraId="5966AB07" w14:textId="2B6CA0E4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zastoinowa niewydolność krążenia klasy III lub IV wg NYHA,</w:t>
            </w:r>
          </w:p>
          <w:p w14:paraId="52BC07DB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tętniczy incydent zatorowo-zakrzepowy,</w:t>
            </w:r>
          </w:p>
          <w:p w14:paraId="12862E02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żylne zdarzenie zakrzepowo-zatorowe zagrażające życiu- stopień IV (w tym zatorowość płucna),</w:t>
            </w:r>
          </w:p>
          <w:p w14:paraId="409FC736" w14:textId="77777777" w:rsidR="00744684" w:rsidRPr="00F375E7" w:rsidRDefault="00744684" w:rsidP="00A175BB">
            <w:pPr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choroby naczyniowe ośrodkowego układu nerwowego w wywiadzie,</w:t>
            </w:r>
          </w:p>
          <w:p w14:paraId="4CAA3D34" w14:textId="7777777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1"/>
                <w:sz w:val="20"/>
                <w:szCs w:val="20"/>
              </w:rPr>
              <w:t>rod</w:t>
            </w:r>
            <w:r w:rsidRPr="00F375E7">
              <w:rPr>
                <w:sz w:val="20"/>
                <w:szCs w:val="20"/>
              </w:rPr>
              <w:t>z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7"/>
                <w:sz w:val="20"/>
                <w:szCs w:val="20"/>
              </w:rPr>
              <w:t xml:space="preserve"> </w:t>
            </w:r>
            <w:r w:rsidRPr="00F375E7">
              <w:rPr>
                <w:spacing w:val="2"/>
                <w:sz w:val="20"/>
                <w:szCs w:val="20"/>
              </w:rPr>
              <w:t>s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z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3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t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1"/>
                <w:sz w:val="20"/>
                <w:szCs w:val="20"/>
              </w:rPr>
              <w:t>z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6"/>
                <w:sz w:val="20"/>
                <w:szCs w:val="20"/>
              </w:rPr>
              <w:t xml:space="preserve"> 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b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4"/>
                <w:sz w:val="20"/>
                <w:szCs w:val="20"/>
              </w:rPr>
              <w:t>b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z w:val="20"/>
                <w:szCs w:val="20"/>
              </w:rPr>
              <w:t>ta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g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1"/>
                <w:sz w:val="20"/>
                <w:szCs w:val="20"/>
              </w:rPr>
              <w:t>op</w:t>
            </w:r>
            <w:r w:rsidRPr="00F375E7">
              <w:rPr>
                <w:sz w:val="20"/>
                <w:szCs w:val="20"/>
              </w:rPr>
              <w:t>atia,</w:t>
            </w:r>
          </w:p>
          <w:p w14:paraId="39FAE4E2" w14:textId="0165109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z w:val="20"/>
                <w:szCs w:val="20"/>
              </w:rPr>
              <w:t>ta</w:t>
            </w:r>
            <w:r w:rsidRPr="00F375E7">
              <w:rPr>
                <w:spacing w:val="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y</w:t>
            </w:r>
            <w:r w:rsidRPr="00F375E7">
              <w:rPr>
                <w:spacing w:val="-5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h</w:t>
            </w:r>
            <w:r w:rsidRPr="00F375E7">
              <w:rPr>
                <w:spacing w:val="1"/>
                <w:sz w:val="20"/>
                <w:szCs w:val="20"/>
              </w:rPr>
              <w:t>orob</w:t>
            </w:r>
            <w:r w:rsidRPr="00F375E7">
              <w:rPr>
                <w:spacing w:val="3"/>
                <w:sz w:val="20"/>
                <w:szCs w:val="20"/>
              </w:rPr>
              <w:t>o</w:t>
            </w:r>
            <w:r w:rsidRPr="00F375E7">
              <w:rPr>
                <w:spacing w:val="-5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-8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pr</w:t>
            </w:r>
            <w:r w:rsidRPr="00F375E7">
              <w:rPr>
                <w:sz w:val="20"/>
                <w:szCs w:val="20"/>
              </w:rPr>
              <w:t>z</w:t>
            </w:r>
            <w:r w:rsidRPr="00F375E7">
              <w:rPr>
                <w:spacing w:val="1"/>
                <w:sz w:val="20"/>
                <w:szCs w:val="20"/>
              </w:rPr>
              <w:t>eb</w:t>
            </w:r>
            <w:r w:rsidRPr="00F375E7">
              <w:rPr>
                <w:sz w:val="20"/>
                <w:szCs w:val="20"/>
              </w:rPr>
              <w:t>ie</w:t>
            </w:r>
            <w:r w:rsidRPr="00F375E7">
              <w:rPr>
                <w:spacing w:val="-1"/>
                <w:sz w:val="20"/>
                <w:szCs w:val="20"/>
              </w:rPr>
              <w:t>g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ą</w:t>
            </w:r>
            <w:r w:rsidRPr="00F375E7">
              <w:rPr>
                <w:spacing w:val="1"/>
                <w:sz w:val="20"/>
                <w:szCs w:val="20"/>
              </w:rPr>
              <w:t>c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-10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ze</w:t>
            </w:r>
            <w:r w:rsidRPr="00F375E7">
              <w:rPr>
                <w:spacing w:val="-1"/>
                <w:sz w:val="20"/>
                <w:szCs w:val="20"/>
              </w:rPr>
              <w:t xml:space="preserve"> </w:t>
            </w:r>
            <w:r w:rsidRPr="00F375E7">
              <w:rPr>
                <w:spacing w:val="3"/>
                <w:sz w:val="20"/>
                <w:szCs w:val="20"/>
              </w:rPr>
              <w:t>z</w:t>
            </w:r>
            <w:r w:rsidRPr="00F375E7">
              <w:rPr>
                <w:spacing w:val="-5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ę</w:t>
            </w:r>
            <w:r w:rsidRPr="00F375E7">
              <w:rPr>
                <w:spacing w:val="-1"/>
                <w:sz w:val="20"/>
                <w:szCs w:val="20"/>
              </w:rPr>
              <w:t>ks</w:t>
            </w:r>
            <w:r w:rsidRPr="00F375E7">
              <w:rPr>
                <w:sz w:val="20"/>
                <w:szCs w:val="20"/>
              </w:rPr>
              <w:t>z</w:t>
            </w:r>
            <w:r w:rsidRPr="00F375E7">
              <w:rPr>
                <w:spacing w:val="1"/>
                <w:sz w:val="20"/>
                <w:szCs w:val="20"/>
              </w:rPr>
              <w:t>ony</w:t>
            </w:r>
            <w:r w:rsidRPr="00F375E7">
              <w:rPr>
                <w:sz w:val="20"/>
                <w:szCs w:val="20"/>
              </w:rPr>
              <w:t>m</w:t>
            </w:r>
            <w:r w:rsidRPr="00F375E7">
              <w:rPr>
                <w:spacing w:val="-12"/>
                <w:sz w:val="20"/>
                <w:szCs w:val="20"/>
              </w:rPr>
              <w:t xml:space="preserve"> 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pacing w:val="3"/>
                <w:sz w:val="20"/>
                <w:szCs w:val="20"/>
              </w:rPr>
              <w:t>z</w:t>
            </w:r>
            <w:r w:rsidRPr="00F375E7">
              <w:rPr>
                <w:spacing w:val="-1"/>
                <w:sz w:val="20"/>
                <w:szCs w:val="20"/>
              </w:rPr>
              <w:t>y</w:t>
            </w:r>
            <w:r w:rsidRPr="00F375E7">
              <w:rPr>
                <w:spacing w:val="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z w:val="20"/>
                <w:szCs w:val="20"/>
              </w:rPr>
              <w:t xml:space="preserve">m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3"/>
                <w:sz w:val="20"/>
                <w:szCs w:val="20"/>
              </w:rPr>
              <w:t>a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ń</w:t>
            </w:r>
            <w:r w:rsidRPr="00F375E7">
              <w:rPr>
                <w:sz w:val="20"/>
                <w:szCs w:val="20"/>
              </w:rPr>
              <w:t>,</w:t>
            </w:r>
          </w:p>
          <w:p w14:paraId="692B88A4" w14:textId="7777777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ie</w:t>
            </w:r>
            <w:r w:rsidRPr="00F375E7">
              <w:rPr>
                <w:spacing w:val="-1"/>
                <w:sz w:val="20"/>
                <w:szCs w:val="20"/>
              </w:rPr>
              <w:t>g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ą</w:t>
            </w:r>
            <w:r w:rsidRPr="00F375E7">
              <w:rPr>
                <w:spacing w:val="1"/>
                <w:sz w:val="20"/>
                <w:szCs w:val="20"/>
              </w:rPr>
              <w:t>c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-7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z w:val="20"/>
                <w:szCs w:val="20"/>
              </w:rPr>
              <w:t>ię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r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n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z w:val="20"/>
                <w:szCs w:val="20"/>
              </w:rPr>
              <w:t>,</w:t>
            </w:r>
          </w:p>
          <w:p w14:paraId="4625F3EA" w14:textId="77777777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zabieg operacyjny przebyty w ciągu mniej niż 4 tygodni 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 xml:space="preserve">d </w:t>
            </w:r>
            <w:r w:rsidRPr="00F375E7">
              <w:rPr>
                <w:spacing w:val="-4"/>
                <w:sz w:val="20"/>
                <w:szCs w:val="20"/>
              </w:rPr>
              <w:t>m</w:t>
            </w:r>
            <w:r w:rsidRPr="00F375E7">
              <w:rPr>
                <w:spacing w:val="3"/>
                <w:sz w:val="20"/>
                <w:szCs w:val="20"/>
              </w:rPr>
              <w:t>o</w:t>
            </w:r>
            <w:r w:rsidRPr="00F375E7">
              <w:rPr>
                <w:spacing w:val="-1"/>
                <w:sz w:val="20"/>
                <w:szCs w:val="20"/>
              </w:rPr>
              <w:t>m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pacing w:val="2"/>
                <w:sz w:val="20"/>
                <w:szCs w:val="20"/>
              </w:rPr>
              <w:t>t</w:t>
            </w:r>
            <w:r w:rsidRPr="00F375E7">
              <w:rPr>
                <w:sz w:val="20"/>
                <w:szCs w:val="20"/>
              </w:rPr>
              <w:t>u</w:t>
            </w:r>
            <w:r w:rsidRPr="00F375E7">
              <w:rPr>
                <w:spacing w:val="-9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k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3"/>
                <w:sz w:val="20"/>
                <w:szCs w:val="20"/>
              </w:rPr>
              <w:t>a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2"/>
                <w:sz w:val="20"/>
                <w:szCs w:val="20"/>
              </w:rPr>
              <w:t>i</w:t>
            </w:r>
            <w:r w:rsidRPr="00F375E7">
              <w:rPr>
                <w:spacing w:val="-2"/>
                <w:sz w:val="20"/>
                <w:szCs w:val="20"/>
              </w:rPr>
              <w:t>f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c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-10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d</w:t>
            </w:r>
            <w:r w:rsidRPr="00F375E7">
              <w:rPr>
                <w:sz w:val="20"/>
                <w:szCs w:val="20"/>
              </w:rPr>
              <w:t>o</w:t>
            </w:r>
            <w:r w:rsidRPr="00F375E7">
              <w:rPr>
                <w:spacing w:val="-1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lec</w:t>
            </w:r>
            <w:r w:rsidRPr="00F375E7">
              <w:rPr>
                <w:spacing w:val="1"/>
                <w:sz w:val="20"/>
                <w:szCs w:val="20"/>
              </w:rPr>
              <w:t>z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 xml:space="preserve">ia, </w:t>
            </w:r>
          </w:p>
          <w:p w14:paraId="390B26E8" w14:textId="2AD9A01A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białkomocz ≥ 2g/24 godziny oznaczony w dobowej zbiórce moczu - jeśli poprzedzające badanie ogólne moczu było nieprawidłowe,</w:t>
            </w:r>
          </w:p>
          <w:p w14:paraId="7BE07662" w14:textId="76BB45CD" w:rsidR="00744684" w:rsidRPr="00F375E7" w:rsidRDefault="00744684" w:rsidP="00A175BB">
            <w:pPr>
              <w:widowControl w:val="0"/>
              <w:numPr>
                <w:ilvl w:val="3"/>
                <w:numId w:val="6"/>
              </w:numPr>
              <w:tabs>
                <w:tab w:val="left" w:pos="709"/>
              </w:tabs>
              <w:spacing w:after="60" w:line="276" w:lineRule="auto"/>
              <w:ind w:right="-2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nadwrażliwość 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-1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z w:val="20"/>
                <w:szCs w:val="20"/>
              </w:rPr>
              <w:t>k</w:t>
            </w:r>
            <w:r w:rsidRPr="00F375E7">
              <w:rPr>
                <w:spacing w:val="-3"/>
                <w:sz w:val="20"/>
                <w:szCs w:val="20"/>
              </w:rPr>
              <w:t xml:space="preserve"> 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b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t</w:t>
            </w:r>
            <w:r w:rsidRPr="00F375E7">
              <w:rPr>
                <w:spacing w:val="1"/>
                <w:sz w:val="20"/>
                <w:szCs w:val="20"/>
              </w:rPr>
              <w:t>ór</w:t>
            </w:r>
            <w:r w:rsidRPr="00F375E7">
              <w:rPr>
                <w:sz w:val="20"/>
                <w:szCs w:val="20"/>
              </w:rPr>
              <w:t>ą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2"/>
                <w:sz w:val="20"/>
                <w:szCs w:val="20"/>
              </w:rPr>
              <w:t>e</w:t>
            </w:r>
            <w:r w:rsidRPr="00F375E7">
              <w:rPr>
                <w:sz w:val="20"/>
                <w:szCs w:val="20"/>
              </w:rPr>
              <w:t>k</w:t>
            </w:r>
            <w:r w:rsidRPr="00F375E7">
              <w:rPr>
                <w:spacing w:val="-12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 xml:space="preserve">z </w:t>
            </w:r>
            <w:r w:rsidRPr="00F375E7">
              <w:rPr>
                <w:spacing w:val="-1"/>
                <w:sz w:val="20"/>
                <w:szCs w:val="20"/>
              </w:rPr>
              <w:t>su</w:t>
            </w:r>
            <w:r w:rsidRPr="00F375E7">
              <w:rPr>
                <w:spacing w:val="3"/>
                <w:sz w:val="20"/>
                <w:szCs w:val="20"/>
              </w:rPr>
              <w:t>b</w:t>
            </w: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z w:val="20"/>
                <w:szCs w:val="20"/>
              </w:rPr>
              <w:t>ta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2"/>
                <w:sz w:val="20"/>
                <w:szCs w:val="20"/>
              </w:rPr>
              <w:t>j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-8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p</w:t>
            </w:r>
            <w:r w:rsidRPr="00F375E7">
              <w:rPr>
                <w:spacing w:val="3"/>
                <w:sz w:val="20"/>
                <w:szCs w:val="20"/>
              </w:rPr>
              <w:t>o</w:t>
            </w:r>
            <w:r w:rsidRPr="00F375E7">
              <w:rPr>
                <w:spacing w:val="-4"/>
                <w:sz w:val="20"/>
                <w:szCs w:val="20"/>
              </w:rPr>
              <w:t>m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ic</w:t>
            </w:r>
            <w:r w:rsidRPr="00F375E7">
              <w:rPr>
                <w:spacing w:val="3"/>
                <w:sz w:val="20"/>
                <w:szCs w:val="20"/>
              </w:rPr>
              <w:t>z</w:t>
            </w:r>
            <w:r w:rsidRPr="00F375E7">
              <w:rPr>
                <w:spacing w:val="-1"/>
                <w:sz w:val="20"/>
                <w:szCs w:val="20"/>
              </w:rPr>
              <w:t>y</w:t>
            </w:r>
            <w:r w:rsidRPr="00F375E7">
              <w:rPr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 xml:space="preserve">h. </w:t>
            </w:r>
          </w:p>
          <w:p w14:paraId="6D2A8137" w14:textId="736317BA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Kryteria kwalifikacji musza być spełnione łącznie.</w:t>
            </w:r>
          </w:p>
          <w:p w14:paraId="3B9240FE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2ABFF50" w14:textId="656FE63A" w:rsidR="00744684" w:rsidRPr="00A13920" w:rsidRDefault="00744684" w:rsidP="00A175BB">
            <w:pPr>
              <w:pStyle w:val="Akapitzlist"/>
              <w:numPr>
                <w:ilvl w:val="0"/>
                <w:numId w:val="6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13920">
              <w:rPr>
                <w:b/>
                <w:bCs/>
                <w:sz w:val="20"/>
                <w:szCs w:val="20"/>
              </w:rPr>
              <w:t xml:space="preserve">Określenie czasu leczenia </w:t>
            </w:r>
          </w:p>
          <w:p w14:paraId="6B6E5BEE" w14:textId="7EBE2EF0" w:rsidR="00744684" w:rsidRDefault="00744684" w:rsidP="009341E7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Leczenie trwa do czasu podjęcia przez lekarza prowadzącego decyzji o wyłączeniu świadczeniobiorcy z programu, zgodnie z kryteriami wyłączenia.</w:t>
            </w:r>
          </w:p>
          <w:p w14:paraId="611BB8DA" w14:textId="77777777" w:rsidR="009341E7" w:rsidRPr="009341E7" w:rsidRDefault="009341E7" w:rsidP="009341E7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3C99853" w14:textId="10A292E1" w:rsidR="00744684" w:rsidRPr="00A13920" w:rsidRDefault="00744684" w:rsidP="00A175BB">
            <w:pPr>
              <w:pStyle w:val="Akapitzlist"/>
              <w:widowControl w:val="0"/>
              <w:numPr>
                <w:ilvl w:val="0"/>
                <w:numId w:val="6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13920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7E55A21" w14:textId="0971C7F5" w:rsidR="00744684" w:rsidRPr="00F375E7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af</w:t>
            </w:r>
            <w:r w:rsidRPr="00F375E7">
              <w:rPr>
                <w:spacing w:val="1"/>
                <w:sz w:val="20"/>
                <w:szCs w:val="20"/>
              </w:rPr>
              <w:t>libercept</w:t>
            </w:r>
            <w:proofErr w:type="spellEnd"/>
            <w:r w:rsidRPr="00F375E7">
              <w:rPr>
                <w:spacing w:val="-9"/>
                <w:sz w:val="20"/>
                <w:szCs w:val="20"/>
              </w:rPr>
              <w:t xml:space="preserve"> </w:t>
            </w:r>
            <w:r w:rsidRPr="00F375E7">
              <w:rPr>
                <w:sz w:val="20"/>
                <w:szCs w:val="20"/>
              </w:rPr>
              <w:t>l</w:t>
            </w:r>
            <w:r w:rsidRPr="00F375E7">
              <w:rPr>
                <w:spacing w:val="-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b</w:t>
            </w:r>
            <w:r w:rsidRPr="00F375E7">
              <w:rPr>
                <w:spacing w:val="-2"/>
                <w:sz w:val="20"/>
                <w:szCs w:val="20"/>
              </w:rPr>
              <w:t xml:space="preserve"> </w:t>
            </w:r>
            <w:r w:rsidRPr="00F375E7">
              <w:rPr>
                <w:spacing w:val="1"/>
                <w:sz w:val="20"/>
                <w:szCs w:val="20"/>
              </w:rPr>
              <w:t>k</w:t>
            </w:r>
            <w:r w:rsidRPr="00F375E7">
              <w:rPr>
                <w:sz w:val="20"/>
                <w:szCs w:val="20"/>
              </w:rPr>
              <w:t>t</w:t>
            </w:r>
            <w:r w:rsidRPr="00F375E7">
              <w:rPr>
                <w:spacing w:val="1"/>
                <w:sz w:val="20"/>
                <w:szCs w:val="20"/>
              </w:rPr>
              <w:t>ó</w:t>
            </w:r>
            <w:r w:rsidRPr="00F375E7">
              <w:rPr>
                <w:spacing w:val="3"/>
                <w:sz w:val="20"/>
                <w:szCs w:val="20"/>
              </w:rPr>
              <w:t>r</w:t>
            </w:r>
            <w:r w:rsidRPr="00F375E7">
              <w:rPr>
                <w:spacing w:val="-4"/>
                <w:sz w:val="20"/>
                <w:szCs w:val="20"/>
              </w:rPr>
              <w:t>y</w:t>
            </w:r>
            <w:r w:rsidRPr="00F375E7">
              <w:rPr>
                <w:spacing w:val="-1"/>
                <w:sz w:val="20"/>
                <w:szCs w:val="20"/>
              </w:rPr>
              <w:t>k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pacing w:val="2"/>
                <w:sz w:val="20"/>
                <w:szCs w:val="20"/>
              </w:rPr>
              <w:t>l</w:t>
            </w:r>
            <w:r w:rsidRPr="00F375E7">
              <w:rPr>
                <w:spacing w:val="-2"/>
                <w:sz w:val="20"/>
                <w:szCs w:val="20"/>
              </w:rPr>
              <w:t>w</w:t>
            </w:r>
            <w:r w:rsidRPr="00F375E7">
              <w:rPr>
                <w:spacing w:val="4"/>
                <w:sz w:val="20"/>
                <w:szCs w:val="20"/>
              </w:rPr>
              <w:t>i</w:t>
            </w:r>
            <w:r w:rsidRPr="00F375E7">
              <w:rPr>
                <w:sz w:val="20"/>
                <w:szCs w:val="20"/>
              </w:rPr>
              <w:t xml:space="preserve">ek </w:t>
            </w:r>
            <w:r w:rsidRPr="00F375E7">
              <w:rPr>
                <w:spacing w:val="-1"/>
                <w:sz w:val="20"/>
                <w:szCs w:val="20"/>
              </w:rPr>
              <w:t>sk</w:t>
            </w:r>
            <w:r w:rsidRPr="00F375E7">
              <w:rPr>
                <w:sz w:val="20"/>
                <w:szCs w:val="20"/>
              </w:rPr>
              <w:t>ła</w:t>
            </w:r>
            <w:r w:rsidRPr="00F375E7">
              <w:rPr>
                <w:spacing w:val="4"/>
                <w:sz w:val="20"/>
                <w:szCs w:val="20"/>
              </w:rPr>
              <w:t>d</w:t>
            </w:r>
            <w:r w:rsidRPr="00F375E7">
              <w:rPr>
                <w:spacing w:val="-1"/>
                <w:sz w:val="20"/>
                <w:szCs w:val="20"/>
              </w:rPr>
              <w:t>n</w:t>
            </w:r>
            <w:r w:rsidRPr="00F375E7">
              <w:rPr>
                <w:sz w:val="20"/>
                <w:szCs w:val="20"/>
              </w:rPr>
              <w:t>ik</w:t>
            </w:r>
            <w:r w:rsidRPr="00F375E7">
              <w:rPr>
                <w:spacing w:val="-8"/>
                <w:sz w:val="20"/>
                <w:szCs w:val="20"/>
              </w:rPr>
              <w:t xml:space="preserve"> </w:t>
            </w:r>
            <w:r w:rsidRPr="00F375E7">
              <w:rPr>
                <w:spacing w:val="3"/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h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1"/>
                <w:sz w:val="20"/>
                <w:szCs w:val="20"/>
              </w:rPr>
              <w:t>m</w:t>
            </w:r>
            <w:r w:rsidRPr="00F375E7">
              <w:rPr>
                <w:sz w:val="20"/>
                <w:szCs w:val="20"/>
              </w:rPr>
              <w:t>i</w:t>
            </w:r>
            <w:r w:rsidRPr="00F375E7">
              <w:rPr>
                <w:spacing w:val="1"/>
                <w:sz w:val="20"/>
                <w:szCs w:val="20"/>
              </w:rPr>
              <w:t>o</w:t>
            </w:r>
            <w:r w:rsidRPr="00F375E7">
              <w:rPr>
                <w:sz w:val="20"/>
                <w:szCs w:val="20"/>
              </w:rPr>
              <w:t>te</w:t>
            </w:r>
            <w:r w:rsidRPr="00F375E7">
              <w:rPr>
                <w:spacing w:val="1"/>
                <w:sz w:val="20"/>
                <w:szCs w:val="20"/>
              </w:rPr>
              <w:t>r</w:t>
            </w:r>
            <w:r w:rsidRPr="00F375E7">
              <w:rPr>
                <w:sz w:val="20"/>
                <w:szCs w:val="20"/>
              </w:rPr>
              <w:t>a</w:t>
            </w:r>
            <w:r w:rsidRPr="00F375E7">
              <w:rPr>
                <w:spacing w:val="1"/>
                <w:sz w:val="20"/>
                <w:szCs w:val="20"/>
              </w:rPr>
              <w:t>p</w:t>
            </w:r>
            <w:r w:rsidRPr="00F375E7">
              <w:rPr>
                <w:sz w:val="20"/>
                <w:szCs w:val="20"/>
              </w:rPr>
              <w:t>ii</w:t>
            </w:r>
            <w:r w:rsidRPr="00F375E7">
              <w:rPr>
                <w:spacing w:val="-9"/>
                <w:sz w:val="20"/>
                <w:szCs w:val="20"/>
              </w:rPr>
              <w:t xml:space="preserve"> </w:t>
            </w:r>
            <w:r w:rsidRPr="00F375E7">
              <w:rPr>
                <w:spacing w:val="-5"/>
                <w:sz w:val="20"/>
                <w:szCs w:val="20"/>
              </w:rPr>
              <w:t>w</w:t>
            </w:r>
            <w:r w:rsidRPr="00F375E7">
              <w:rPr>
                <w:sz w:val="20"/>
                <w:szCs w:val="20"/>
              </w:rPr>
              <w:t>e</w:t>
            </w:r>
            <w:r w:rsidRPr="00F375E7">
              <w:rPr>
                <w:spacing w:val="1"/>
                <w:sz w:val="20"/>
                <w:szCs w:val="20"/>
              </w:rPr>
              <w:t>d</w:t>
            </w:r>
            <w:r w:rsidRPr="00F375E7">
              <w:rPr>
                <w:spacing w:val="2"/>
                <w:sz w:val="20"/>
                <w:szCs w:val="20"/>
              </w:rPr>
              <w:t>ł</w:t>
            </w:r>
            <w:r w:rsidRPr="00F375E7">
              <w:rPr>
                <w:spacing w:val="1"/>
                <w:sz w:val="20"/>
                <w:szCs w:val="20"/>
              </w:rPr>
              <w:t>u</w:t>
            </w:r>
            <w:r w:rsidRPr="00F375E7">
              <w:rPr>
                <w:sz w:val="20"/>
                <w:szCs w:val="20"/>
              </w:rPr>
              <w:t>g</w:t>
            </w:r>
            <w:r w:rsidRPr="00F375E7">
              <w:rPr>
                <w:spacing w:val="-7"/>
                <w:sz w:val="20"/>
                <w:szCs w:val="20"/>
              </w:rPr>
              <w:t xml:space="preserve"> </w:t>
            </w:r>
            <w:r w:rsidRPr="00F375E7">
              <w:rPr>
                <w:spacing w:val="-1"/>
                <w:sz w:val="20"/>
                <w:szCs w:val="20"/>
              </w:rPr>
              <w:t>s</w:t>
            </w:r>
            <w:r w:rsidRPr="00F375E7">
              <w:rPr>
                <w:spacing w:val="3"/>
                <w:sz w:val="20"/>
                <w:szCs w:val="20"/>
              </w:rPr>
              <w:t>c</w:t>
            </w:r>
            <w:r w:rsidRPr="00F375E7">
              <w:rPr>
                <w:spacing w:val="-1"/>
                <w:sz w:val="20"/>
                <w:szCs w:val="20"/>
              </w:rPr>
              <w:t>h</w:t>
            </w:r>
            <w:r w:rsidRPr="00F375E7">
              <w:rPr>
                <w:spacing w:val="3"/>
                <w:sz w:val="20"/>
                <w:szCs w:val="20"/>
              </w:rPr>
              <w:t>e</w:t>
            </w:r>
            <w:r w:rsidRPr="00F375E7">
              <w:rPr>
                <w:spacing w:val="-4"/>
                <w:sz w:val="20"/>
                <w:szCs w:val="20"/>
              </w:rPr>
              <w:t>m</w:t>
            </w:r>
            <w:r w:rsidRPr="00F375E7">
              <w:rPr>
                <w:spacing w:val="3"/>
                <w:sz w:val="20"/>
                <w:szCs w:val="20"/>
              </w:rPr>
              <w:t>a</w:t>
            </w:r>
            <w:r w:rsidRPr="00F375E7">
              <w:rPr>
                <w:sz w:val="20"/>
                <w:szCs w:val="20"/>
              </w:rPr>
              <w:t>tu</w:t>
            </w:r>
            <w:r w:rsidRPr="00F375E7">
              <w:rPr>
                <w:spacing w:val="-9"/>
                <w:sz w:val="20"/>
                <w:szCs w:val="20"/>
              </w:rPr>
              <w:t xml:space="preserve"> FOLFIRI;</w:t>
            </w:r>
          </w:p>
          <w:p w14:paraId="64BF83BF" w14:textId="77777777" w:rsidR="00744684" w:rsidRPr="00F375E7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 w trakcie leczenia;</w:t>
            </w:r>
          </w:p>
          <w:p w14:paraId="222E1579" w14:textId="77777777" w:rsidR="00744684" w:rsidRPr="00F375E7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działania niepożądane w stopniu równym lub większym od 3 według klasyfikacji WHO;</w:t>
            </w:r>
          </w:p>
          <w:p w14:paraId="5CFA89B0" w14:textId="47E97B82" w:rsidR="00744684" w:rsidRDefault="00744684" w:rsidP="00A175BB">
            <w:pPr>
              <w:numPr>
                <w:ilvl w:val="2"/>
                <w:numId w:val="6"/>
              </w:numPr>
              <w:spacing w:after="60" w:line="276" w:lineRule="auto"/>
              <w:ind w:right="-23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 do stopnia 2 lub wyższych.</w:t>
            </w:r>
          </w:p>
          <w:p w14:paraId="633405CA" w14:textId="77777777" w:rsidR="009341E7" w:rsidRPr="00F375E7" w:rsidRDefault="009341E7" w:rsidP="009341E7">
            <w:pPr>
              <w:spacing w:after="60" w:line="276" w:lineRule="auto"/>
              <w:ind w:left="454" w:right="-23"/>
              <w:jc w:val="both"/>
              <w:rPr>
                <w:sz w:val="20"/>
                <w:szCs w:val="20"/>
              </w:rPr>
            </w:pPr>
          </w:p>
          <w:p w14:paraId="128110C3" w14:textId="2B0F1CA5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</w:t>
            </w:r>
            <w:r w:rsidR="00744684" w:rsidRPr="009341E7">
              <w:rPr>
                <w:b/>
                <w:sz w:val="20"/>
                <w:szCs w:val="20"/>
              </w:rPr>
              <w:t xml:space="preserve">Leczenie trzeciej linii chorych na zaawansowanego raka jelita grubego z wykorzystaniem substancji czynnej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panitumumab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cetuksymab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w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monoterapii</w:t>
            </w:r>
            <w:proofErr w:type="spellEnd"/>
            <w:r w:rsidR="00744684" w:rsidRPr="009341E7">
              <w:rPr>
                <w:sz w:val="20"/>
                <w:szCs w:val="20"/>
              </w:rPr>
              <w:t>.</w:t>
            </w:r>
          </w:p>
          <w:p w14:paraId="7C6CCAEC" w14:textId="77777777" w:rsidR="00744684" w:rsidRPr="009341E7" w:rsidRDefault="00744684" w:rsidP="00A175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341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74B1C7E0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histologicznie potwierdzony rak jelita grubego;</w:t>
            </w:r>
          </w:p>
          <w:p w14:paraId="634DDE39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uogólnienie nowotworu (IV stopień zaawansowania);</w:t>
            </w:r>
          </w:p>
          <w:p w14:paraId="3D5328AB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niemożliwe radykalne leczenie operacyjne;</w:t>
            </w:r>
          </w:p>
          <w:p w14:paraId="3A4BFA8B" w14:textId="6D10A67E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brak wcześniejszego leczenia </w:t>
            </w:r>
            <w:proofErr w:type="spellStart"/>
            <w:r w:rsidRPr="00F375E7">
              <w:rPr>
                <w:sz w:val="20"/>
                <w:szCs w:val="20"/>
              </w:rPr>
              <w:t>panitumumabem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cetuksymabem</w:t>
            </w:r>
            <w:proofErr w:type="spellEnd"/>
            <w:r w:rsidRPr="00F375E7">
              <w:rPr>
                <w:sz w:val="20"/>
                <w:szCs w:val="20"/>
              </w:rPr>
              <w:t xml:space="preserve"> z powodu raka jelita grubego;</w:t>
            </w:r>
          </w:p>
          <w:p w14:paraId="0FD778D8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nieobecne mutacje w genach KRAS i NRAS (wykluczenie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nieobecna mutacja w genie BRAF V600E;</w:t>
            </w:r>
          </w:p>
          <w:p w14:paraId="5843C1D8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możliwa ocena odpowiedzi na leczenie zmian nowotworowych według klasyfikacji RECIST;</w:t>
            </w:r>
          </w:p>
          <w:p w14:paraId="3A707155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stan sprawności w stopniach 0-2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-WHO;</w:t>
            </w:r>
          </w:p>
          <w:p w14:paraId="06B89902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wiek powyżej 18. roku życia;</w:t>
            </w:r>
          </w:p>
          <w:p w14:paraId="72D28E02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badania morfologii krwi z rozmazem:</w:t>
            </w:r>
          </w:p>
          <w:p w14:paraId="129EC9FB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liczba płytek krwi większa lub równa 0,75 x 10</w:t>
            </w:r>
            <w:r w:rsidRPr="00F375E7">
              <w:rPr>
                <w:sz w:val="20"/>
                <w:szCs w:val="20"/>
                <w:vertAlign w:val="superscript"/>
              </w:rPr>
              <w:t>5</w:t>
            </w:r>
            <w:r w:rsidRPr="00F375E7">
              <w:rPr>
                <w:sz w:val="20"/>
                <w:szCs w:val="20"/>
              </w:rPr>
              <w:t>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 xml:space="preserve">, </w:t>
            </w:r>
          </w:p>
          <w:p w14:paraId="70B76158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bezwzględna liczba neutrofilów większa lub równa 1000/mm</w:t>
            </w:r>
            <w:r w:rsidRPr="00F375E7">
              <w:rPr>
                <w:sz w:val="20"/>
                <w:szCs w:val="20"/>
                <w:vertAlign w:val="superscript"/>
              </w:rPr>
              <w:t>3</w:t>
            </w:r>
            <w:r w:rsidRPr="00F375E7">
              <w:rPr>
                <w:sz w:val="20"/>
                <w:szCs w:val="20"/>
              </w:rPr>
              <w:t>,</w:t>
            </w:r>
          </w:p>
          <w:p w14:paraId="461E71E4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stężenie hemoglobiny większe lub równe 8,0 g/dl; </w:t>
            </w:r>
          </w:p>
          <w:p w14:paraId="19041AA9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wskaźniki czynności wątroby i nerek:</w:t>
            </w:r>
          </w:p>
          <w:p w14:paraId="4D7F8F46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całkowitej bilirubiny nieprzekraczające 3-krotnie górnej granicy normy (z wyjątkiem chorych z zespołem Gilberta),</w:t>
            </w:r>
          </w:p>
          <w:p w14:paraId="31A84E04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(alaninowej i asparaginowej) w surowicy nieprzekraczająca 5-krotnie górnej granicy normy,</w:t>
            </w:r>
          </w:p>
          <w:p w14:paraId="20C5C446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 nieprzekraczające 2-krotnie górnej granicy normy;</w:t>
            </w:r>
          </w:p>
          <w:p w14:paraId="5E077C95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wykluczenie ciąży;</w:t>
            </w:r>
          </w:p>
          <w:p w14:paraId="60434116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przerzuty w mózgu nieobecne (w przypadku objawów klinicznych – wykluczenie na podstawie badania obrazowego);</w:t>
            </w:r>
          </w:p>
          <w:p w14:paraId="0F24C47C" w14:textId="77777777" w:rsidR="00744684" w:rsidRPr="00F375E7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przeciwwskazania do zastosowania </w:t>
            </w:r>
            <w:proofErr w:type="spellStart"/>
            <w:r w:rsidRPr="00F375E7">
              <w:rPr>
                <w:sz w:val="20"/>
                <w:szCs w:val="20"/>
              </w:rPr>
              <w:t>cetuksymabu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panitumumabu</w:t>
            </w:r>
            <w:proofErr w:type="spellEnd"/>
            <w:r w:rsidRPr="00F375E7">
              <w:rPr>
                <w:sz w:val="20"/>
                <w:szCs w:val="20"/>
              </w:rPr>
              <w:t xml:space="preserve"> – niżej wymienione – nieobecne:</w:t>
            </w:r>
          </w:p>
          <w:p w14:paraId="10927435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włóknienie płuc lub śródmiąższowe zapalenia płuc,</w:t>
            </w:r>
          </w:p>
          <w:p w14:paraId="5D80E0B5" w14:textId="77777777" w:rsidR="00744684" w:rsidRPr="00F375E7" w:rsidRDefault="00744684" w:rsidP="00A175BB">
            <w:pPr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nadwrażliwość na każdą substancję pomocniczą.</w:t>
            </w:r>
          </w:p>
          <w:p w14:paraId="34395639" w14:textId="23071362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Wymagane jest spełnienie wszystkich kryteriów wymienionych wyżej (w przypadku niespełnienia kryteriów – brak standardowego leczenia).</w:t>
            </w:r>
          </w:p>
          <w:p w14:paraId="617F67E6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6AD93B7" w14:textId="77777777" w:rsidR="00744684" w:rsidRPr="00F375E7" w:rsidRDefault="00744684" w:rsidP="00A175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</w:t>
            </w:r>
          </w:p>
          <w:p w14:paraId="1C088024" w14:textId="282D69CA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>Do czasu podjęcia decyzji o zakończeniu leczenia zgodnie z kryteriami wyłączenia.</w:t>
            </w:r>
          </w:p>
          <w:p w14:paraId="71403229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D28A273" w14:textId="77777777" w:rsidR="00744684" w:rsidRPr="00F375E7" w:rsidRDefault="00744684" w:rsidP="00A175BB">
            <w:pPr>
              <w:numPr>
                <w:ilvl w:val="0"/>
                <w:numId w:val="7"/>
              </w:numPr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wyłączenia z programu</w:t>
            </w:r>
          </w:p>
          <w:p w14:paraId="6AECC02F" w14:textId="77777777" w:rsidR="00744684" w:rsidRPr="00F375E7" w:rsidRDefault="00744684" w:rsidP="00A175BB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objawy nadwrażliwości na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lub </w:t>
            </w:r>
            <w:proofErr w:type="spellStart"/>
            <w:r w:rsidRPr="00F375E7">
              <w:rPr>
                <w:sz w:val="20"/>
                <w:szCs w:val="20"/>
              </w:rPr>
              <w:t>panitumumab</w:t>
            </w:r>
            <w:proofErr w:type="spellEnd"/>
            <w:r w:rsidRPr="00F375E7">
              <w:rPr>
                <w:sz w:val="20"/>
                <w:szCs w:val="20"/>
              </w:rPr>
              <w:t xml:space="preserve"> lub jakikolwiek składnik chemioterapii;</w:t>
            </w:r>
          </w:p>
          <w:p w14:paraId="1795C3F0" w14:textId="77777777" w:rsidR="00744684" w:rsidRPr="00F375E7" w:rsidRDefault="00744684" w:rsidP="00A175BB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progresja choroby w trakcie leczenia;</w:t>
            </w:r>
          </w:p>
          <w:p w14:paraId="678A8136" w14:textId="77777777" w:rsidR="00744684" w:rsidRPr="00F375E7" w:rsidRDefault="00744684" w:rsidP="00A175BB">
            <w:pPr>
              <w:numPr>
                <w:ilvl w:val="2"/>
                <w:numId w:val="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długotrwałe i istotne działania niepożądane w stopniu równym lub większym niż 3. według klasyfikacji WHO;</w:t>
            </w:r>
          </w:p>
          <w:p w14:paraId="478BE935" w14:textId="46D14F8C" w:rsidR="00744684" w:rsidRDefault="00744684" w:rsidP="00A175BB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utrzymujące się pogorszenie stanu sprawności do stopnia 3. lub 4. według klasyfikacji </w:t>
            </w:r>
            <w:proofErr w:type="spellStart"/>
            <w:r w:rsidRPr="00F375E7">
              <w:rPr>
                <w:sz w:val="20"/>
                <w:szCs w:val="20"/>
              </w:rPr>
              <w:t>Zubroda</w:t>
            </w:r>
            <w:proofErr w:type="spellEnd"/>
            <w:r w:rsidRPr="00F375E7">
              <w:rPr>
                <w:sz w:val="20"/>
                <w:szCs w:val="20"/>
              </w:rPr>
              <w:t>-WHO.</w:t>
            </w:r>
          </w:p>
          <w:p w14:paraId="66E5830D" w14:textId="77777777" w:rsidR="009341E7" w:rsidRPr="00F375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5D7E6201" w14:textId="27CDD43C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VIII. </w:t>
            </w:r>
            <w:r w:rsidR="00744684" w:rsidRPr="009341E7">
              <w:rPr>
                <w:b/>
                <w:sz w:val="20"/>
                <w:szCs w:val="20"/>
              </w:rPr>
              <w:t xml:space="preserve">Leczenie trzeciej lub czwartej linii chorych na zaawansowanego raka jelita grubego z wykorzystaniem terapii skojarzonej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triflurydyną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 xml:space="preserve"> oraz </w:t>
            </w:r>
            <w:proofErr w:type="spellStart"/>
            <w:r w:rsidR="00744684" w:rsidRPr="009341E7">
              <w:rPr>
                <w:b/>
                <w:sz w:val="20"/>
                <w:szCs w:val="20"/>
              </w:rPr>
              <w:t>typiracylem</w:t>
            </w:r>
            <w:proofErr w:type="spellEnd"/>
            <w:r w:rsidR="00744684" w:rsidRPr="009341E7">
              <w:rPr>
                <w:b/>
                <w:sz w:val="20"/>
                <w:szCs w:val="20"/>
              </w:rPr>
              <w:t>.</w:t>
            </w:r>
          </w:p>
          <w:p w14:paraId="5482B2B4" w14:textId="77777777" w:rsidR="00744684" w:rsidRPr="00F375E7" w:rsidRDefault="00744684" w:rsidP="00A175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Kryteria kwalifikowania</w:t>
            </w:r>
          </w:p>
          <w:p w14:paraId="350E8446" w14:textId="298F3DF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Potwierdzony histologicznie rak jelita grubego (ICD-10</w:t>
            </w:r>
            <w:r w:rsidR="003572AF" w:rsidRPr="00F375E7">
              <w:rPr>
                <w:sz w:val="20"/>
                <w:szCs w:val="20"/>
              </w:rPr>
              <w:t xml:space="preserve">: </w:t>
            </w:r>
            <w:r w:rsidRPr="00F375E7">
              <w:rPr>
                <w:sz w:val="20"/>
                <w:szCs w:val="20"/>
              </w:rPr>
              <w:t>C18 - C20)</w:t>
            </w:r>
          </w:p>
          <w:p w14:paraId="08F545F4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uogólnienia nowotworu, tj. obecności przerzutów w narządach odległych na podstawie badań obrazowych;</w:t>
            </w:r>
          </w:p>
          <w:p w14:paraId="448950EC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potwierdzenie obecności zmiany lub zmian nowotworowych umożliwiających ocenę odpowiedzi na leczenie;</w:t>
            </w:r>
          </w:p>
          <w:p w14:paraId="62F238D0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wiek ≥ 18 rok życia;</w:t>
            </w:r>
          </w:p>
          <w:p w14:paraId="017A5D8E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ogólnej według WHO 0-1;</w:t>
            </w:r>
          </w:p>
          <w:p w14:paraId="4E63C9D5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wyniki badań laboratoryjnych zgodnie z Charakterystyką Produktu Leczniczego;</w:t>
            </w:r>
          </w:p>
          <w:p w14:paraId="6542C187" w14:textId="5E6D257F" w:rsidR="00744684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udokumentowana nieskuteczność wcześniejszej chemioterapii opartej na </w:t>
            </w:r>
            <w:proofErr w:type="spellStart"/>
            <w:r w:rsidRPr="00F375E7">
              <w:rPr>
                <w:sz w:val="20"/>
                <w:szCs w:val="20"/>
              </w:rPr>
              <w:t>fluoropirymidynie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oksaliplatynie</w:t>
            </w:r>
            <w:proofErr w:type="spellEnd"/>
            <w:r w:rsidRPr="00F375E7">
              <w:rPr>
                <w:sz w:val="20"/>
                <w:szCs w:val="20"/>
              </w:rPr>
              <w:t xml:space="preserve"> i </w:t>
            </w:r>
            <w:proofErr w:type="spellStart"/>
            <w:r w:rsidRPr="00F375E7">
              <w:rPr>
                <w:sz w:val="20"/>
                <w:szCs w:val="20"/>
              </w:rPr>
              <w:t>irynotekanie</w:t>
            </w:r>
            <w:proofErr w:type="spellEnd"/>
            <w:r w:rsidRPr="00F375E7">
              <w:rPr>
                <w:sz w:val="20"/>
                <w:szCs w:val="20"/>
              </w:rPr>
              <w:t xml:space="preserve">, terapii z zastosowaniem leków anty-VEGF oraz leków anty-EGFR lub brak możliwości zastosowania wymienionych powyżej metod. </w:t>
            </w:r>
          </w:p>
          <w:p w14:paraId="1C4472E6" w14:textId="77777777" w:rsidR="009341E7" w:rsidRPr="00F375E7" w:rsidRDefault="009341E7" w:rsidP="009341E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4D07327B" w14:textId="77777777" w:rsidR="00744684" w:rsidRPr="00F375E7" w:rsidRDefault="00744684" w:rsidP="00A175B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t>Określenie czasu leczenia w programie</w:t>
            </w:r>
          </w:p>
          <w:p w14:paraId="28287BBE" w14:textId="162721B1" w:rsidR="00744684" w:rsidRDefault="00744684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341E7">
              <w:rPr>
                <w:sz w:val="20"/>
                <w:szCs w:val="20"/>
              </w:rPr>
              <w:t xml:space="preserve">Leczenie </w:t>
            </w:r>
            <w:proofErr w:type="spellStart"/>
            <w:r w:rsidRPr="009341E7">
              <w:rPr>
                <w:sz w:val="20"/>
                <w:szCs w:val="20"/>
              </w:rPr>
              <w:t>triflurydyną</w:t>
            </w:r>
            <w:proofErr w:type="spellEnd"/>
            <w:r w:rsidRPr="009341E7">
              <w:rPr>
                <w:sz w:val="20"/>
                <w:szCs w:val="20"/>
              </w:rPr>
              <w:t>/</w:t>
            </w:r>
            <w:proofErr w:type="spellStart"/>
            <w:r w:rsidRPr="009341E7">
              <w:rPr>
                <w:sz w:val="20"/>
                <w:szCs w:val="20"/>
              </w:rPr>
              <w:t>typiracylem</w:t>
            </w:r>
            <w:proofErr w:type="spellEnd"/>
            <w:r w:rsidRPr="009341E7">
              <w:rPr>
                <w:sz w:val="20"/>
                <w:szCs w:val="20"/>
              </w:rPr>
              <w:t xml:space="preserve"> kontynuuje się do czasu podjęcia przez lekarza decyzji o wyłączeniu świadczeniobiorcy z programu, zgodnie z kryteriami zakończenia udziału w programie.</w:t>
            </w:r>
          </w:p>
          <w:p w14:paraId="764434D3" w14:textId="77777777" w:rsidR="009341E7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41FE072" w14:textId="77777777" w:rsidR="00744684" w:rsidRPr="00F375E7" w:rsidRDefault="00744684" w:rsidP="00A175B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F375E7">
              <w:rPr>
                <w:b/>
                <w:bCs/>
                <w:sz w:val="20"/>
                <w:szCs w:val="20"/>
              </w:rPr>
              <w:lastRenderedPageBreak/>
              <w:t>Kryteria zakończenia udziału w programie</w:t>
            </w:r>
          </w:p>
          <w:p w14:paraId="45F246A3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wystąpienie objawów nadwrażliwości na </w:t>
            </w:r>
            <w:proofErr w:type="spellStart"/>
            <w:r w:rsidRPr="00F375E7">
              <w:rPr>
                <w:sz w:val="20"/>
                <w:szCs w:val="20"/>
              </w:rPr>
              <w:t>triflurydynę</w:t>
            </w:r>
            <w:proofErr w:type="spellEnd"/>
            <w:r w:rsidRPr="00F375E7">
              <w:rPr>
                <w:sz w:val="20"/>
                <w:szCs w:val="20"/>
              </w:rPr>
              <w:t>/</w:t>
            </w:r>
            <w:proofErr w:type="spellStart"/>
            <w:r w:rsidRPr="00F375E7">
              <w:rPr>
                <w:sz w:val="20"/>
                <w:szCs w:val="20"/>
              </w:rPr>
              <w:t>typiracyl</w:t>
            </w:r>
            <w:proofErr w:type="spellEnd"/>
            <w:r w:rsidRPr="00F375E7">
              <w:rPr>
                <w:sz w:val="20"/>
                <w:szCs w:val="20"/>
              </w:rPr>
              <w:t xml:space="preserve"> lub na którąkolwiek substancję pomocniczą;</w:t>
            </w:r>
          </w:p>
          <w:p w14:paraId="7A8CB128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progresja choroby;</w:t>
            </w:r>
          </w:p>
          <w:p w14:paraId="0275327D" w14:textId="77777777" w:rsidR="00744684" w:rsidRPr="00F375E7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wystąpienie niemożliwych do zaakceptowania objawów toksyczności;</w:t>
            </w:r>
          </w:p>
          <w:p w14:paraId="651E88B3" w14:textId="31AB8554" w:rsidR="00744684" w:rsidRDefault="00744684" w:rsidP="00A175BB">
            <w:pPr>
              <w:pStyle w:val="Akapitzlist"/>
              <w:numPr>
                <w:ilvl w:val="2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stan sprawności według WHO 3-4.</w:t>
            </w:r>
          </w:p>
          <w:p w14:paraId="1C26B8F7" w14:textId="77777777" w:rsidR="009341E7" w:rsidRPr="00F375E7" w:rsidRDefault="009341E7" w:rsidP="009341E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F6F2A12" w14:textId="53855DDE" w:rsidR="00744684" w:rsidRPr="009341E7" w:rsidRDefault="009341E7" w:rsidP="009341E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IX. </w:t>
            </w:r>
            <w:r w:rsidR="00744684" w:rsidRPr="009341E7">
              <w:rPr>
                <w:b/>
                <w:sz w:val="20"/>
                <w:szCs w:val="20"/>
              </w:rPr>
              <w:t>Kontynuacja leczenia pacjentów po zakończeniu finansowania w ramach chemioterapii niestandardowej</w:t>
            </w:r>
          </w:p>
          <w:p w14:paraId="46ADECB9" w14:textId="77777777" w:rsidR="00744684" w:rsidRPr="00F375E7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 dniem 1 kwietnia 2018 roku do programu kwalifikowani mogą być pacjenci, których leczenie było finansowane do tego dnia w ramach programu chemioterapii niestandardowej.</w:t>
            </w:r>
          </w:p>
          <w:p w14:paraId="195F5C89" w14:textId="77777777" w:rsidR="00744684" w:rsidRPr="00F375E7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Kwalifikacja, o której mowa w pkt. 1, dotyczy leczenia tą samą substancją czynną, która była finansowana w ramach programu chemioterapii niestandardowej.</w:t>
            </w:r>
          </w:p>
          <w:p w14:paraId="7A6DB9C0" w14:textId="77777777" w:rsidR="00744684" w:rsidRPr="00F375E7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Pacjenci, o których mowa w pkt. 1 nie muszą spełniać w chwili kwalifikacji, innych kryteriów wymaganych do włączenia do programu.</w:t>
            </w:r>
          </w:p>
          <w:p w14:paraId="0DC5BC94" w14:textId="77777777" w:rsidR="00744684" w:rsidRDefault="00744684" w:rsidP="00A175BB">
            <w:pPr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Pacjenci, o których mowa w pkt. 1 kontynuują leczenie w ramach programu do momentu podjęcia decyzji przez lekarza prowadzącego o zakończeniu leczenia danym lekiem.</w:t>
            </w:r>
          </w:p>
          <w:p w14:paraId="5E7BED9D" w14:textId="505FFEFB" w:rsidR="00B53728" w:rsidRPr="00F375E7" w:rsidRDefault="00B53728" w:rsidP="00B53728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pct"/>
          </w:tcPr>
          <w:p w14:paraId="53578B68" w14:textId="77777777" w:rsidR="00744684" w:rsidRPr="00B53728" w:rsidRDefault="00744684" w:rsidP="00B53728">
            <w:pPr>
              <w:spacing w:before="120"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lastRenderedPageBreak/>
              <w:t>Cetuksymab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</w:t>
            </w:r>
            <w:r w:rsidRPr="00B53728">
              <w:rPr>
                <w:sz w:val="20"/>
                <w:szCs w:val="20"/>
              </w:rPr>
              <w:t>stosowany wg schematu:</w:t>
            </w:r>
          </w:p>
          <w:p w14:paraId="608BF9C8" w14:textId="038208D1" w:rsidR="00744684" w:rsidRPr="00F375E7" w:rsidRDefault="00744684" w:rsidP="00A175BB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400 mg/m</w:t>
            </w:r>
            <w:r w:rsidRPr="00F375E7">
              <w:rPr>
                <w:sz w:val="20"/>
                <w:szCs w:val="20"/>
                <w:vertAlign w:val="superscript"/>
              </w:rPr>
              <w:t>2</w:t>
            </w:r>
            <w:r w:rsidRPr="00F375E7">
              <w:rPr>
                <w:sz w:val="20"/>
                <w:szCs w:val="20"/>
              </w:rPr>
              <w:t xml:space="preserve"> powierzchni ciała dożylnie we wlewie trwającym 2 godziny (pierwsza dawka) oraz 250 mg/m</w:t>
            </w:r>
            <w:r w:rsidRPr="00F375E7">
              <w:rPr>
                <w:sz w:val="20"/>
                <w:szCs w:val="20"/>
                <w:vertAlign w:val="superscript"/>
              </w:rPr>
              <w:t>2</w:t>
            </w:r>
            <w:r w:rsidRPr="00F375E7">
              <w:rPr>
                <w:sz w:val="20"/>
                <w:szCs w:val="20"/>
              </w:rPr>
              <w:t xml:space="preserve"> powierzchni ciała dożylnie we wlewie trwającym 1 godzinę (kolejne dawki). W tym przypadku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stosowany jest w odstępach 7-dniowych, lub</w:t>
            </w:r>
          </w:p>
          <w:p w14:paraId="74FA6829" w14:textId="77777777" w:rsidR="00744684" w:rsidRPr="00F375E7" w:rsidRDefault="00744684" w:rsidP="00A175BB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500 mg/m</w:t>
            </w:r>
            <w:r w:rsidRPr="00F375E7">
              <w:rPr>
                <w:sz w:val="20"/>
                <w:szCs w:val="20"/>
                <w:vertAlign w:val="superscript"/>
              </w:rPr>
              <w:t>2</w:t>
            </w:r>
            <w:r w:rsidRPr="00F375E7">
              <w:rPr>
                <w:sz w:val="20"/>
                <w:szCs w:val="20"/>
              </w:rPr>
              <w:t xml:space="preserve"> powierzchni ciała dożylnie we wlewie trwającym 2 godziny wówczas </w:t>
            </w:r>
            <w:proofErr w:type="spellStart"/>
            <w:r w:rsidRPr="00F375E7">
              <w:rPr>
                <w:sz w:val="20"/>
                <w:szCs w:val="20"/>
              </w:rPr>
              <w:t>cetuksymab</w:t>
            </w:r>
            <w:proofErr w:type="spellEnd"/>
            <w:r w:rsidRPr="00F375E7">
              <w:rPr>
                <w:sz w:val="20"/>
                <w:szCs w:val="20"/>
              </w:rPr>
              <w:t xml:space="preserve"> stosowany jest w odstępach 14-dniowych.</w:t>
            </w:r>
          </w:p>
          <w:p w14:paraId="457AEC6C" w14:textId="5BC206E9" w:rsidR="00744684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r w:rsidR="00744684" w:rsidRPr="00B53728">
              <w:rPr>
                <w:sz w:val="20"/>
                <w:szCs w:val="20"/>
              </w:rPr>
              <w:t>wyborze schematu dawkowania decyduje lekarz prowadzący.</w:t>
            </w:r>
          </w:p>
          <w:p w14:paraId="417EE7A3" w14:textId="73D0D667" w:rsidR="00C93F83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t>Cetuksymab</w:t>
            </w:r>
            <w:proofErr w:type="spellEnd"/>
            <w:r w:rsidRPr="00B53728">
              <w:rPr>
                <w:sz w:val="20"/>
                <w:szCs w:val="20"/>
              </w:rPr>
              <w:t xml:space="preserve"> stosowany jest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(trzecia linia leczenia) lub wraz z chemioterapią według schematu FOLFIRI</w:t>
            </w:r>
            <w:r w:rsidR="00EC3898">
              <w:rPr>
                <w:sz w:val="20"/>
                <w:szCs w:val="20"/>
              </w:rPr>
              <w:t xml:space="preserve"> lub FOLFOX</w:t>
            </w:r>
            <w:r w:rsidRPr="00B53728">
              <w:rPr>
                <w:sz w:val="20"/>
                <w:szCs w:val="20"/>
              </w:rPr>
              <w:t xml:space="preserve"> (pierwsza linia leczenia) z uwzględnieniem możliwości kontynuowania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(bez chemioterapii) w sytuacji potwierdzenia obiektywnej odpowiedzi lub stabilizacji choroby (ocena na podstawie wyników dwóch kolejnych badań obrazowych). </w:t>
            </w:r>
          </w:p>
          <w:p w14:paraId="2697313B" w14:textId="39DF4ACC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Chemioterapia według schematu FOLFIRI</w:t>
            </w:r>
            <w:r w:rsidR="00EC3898">
              <w:rPr>
                <w:sz w:val="20"/>
                <w:szCs w:val="20"/>
              </w:rPr>
              <w:t xml:space="preserve"> i FOLFOX</w:t>
            </w:r>
            <w:r w:rsidRPr="00B53728">
              <w:rPr>
                <w:sz w:val="20"/>
                <w:szCs w:val="20"/>
              </w:rPr>
              <w:t xml:space="preserve"> – stosowana w odstępach 14-dniowych.</w:t>
            </w:r>
          </w:p>
          <w:p w14:paraId="1148670C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lastRenderedPageBreak/>
              <w:t xml:space="preserve">W przypadku wystąpienia 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cetuksymabu</w:t>
            </w:r>
            <w:proofErr w:type="spellEnd"/>
            <w:r w:rsidRPr="00B53728">
              <w:rPr>
                <w:sz w:val="20"/>
                <w:szCs w:val="20"/>
              </w:rPr>
              <w:t>, z powodu działań niepożądanych to maksymalny czas do podania kolejnej dawki nie może być dłuższy niż 8 tygodni.</w:t>
            </w:r>
          </w:p>
          <w:p w14:paraId="11ABB33B" w14:textId="77777777" w:rsidR="00EC3898" w:rsidRPr="00B53728" w:rsidRDefault="00EC3898" w:rsidP="00EC389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uzasadnionych przypadkach (w szczególności w przypadku wystąpienia polineuropatii) można zredukować dawkę </w:t>
            </w:r>
            <w:proofErr w:type="spellStart"/>
            <w:r w:rsidRPr="00B53728">
              <w:rPr>
                <w:sz w:val="20"/>
                <w:szCs w:val="20"/>
              </w:rPr>
              <w:t>oksaliplatyny</w:t>
            </w:r>
            <w:proofErr w:type="spellEnd"/>
            <w:r w:rsidRPr="00B53728">
              <w:rPr>
                <w:sz w:val="20"/>
                <w:szCs w:val="20"/>
              </w:rPr>
              <w:t xml:space="preserve"> do 65 mg/m</w:t>
            </w:r>
            <w:r w:rsidRPr="00B53728">
              <w:rPr>
                <w:sz w:val="20"/>
                <w:szCs w:val="20"/>
                <w:vertAlign w:val="superscript"/>
              </w:rPr>
              <w:t xml:space="preserve">2 </w:t>
            </w:r>
            <w:r w:rsidRPr="00B53728">
              <w:rPr>
                <w:sz w:val="20"/>
                <w:szCs w:val="20"/>
              </w:rPr>
              <w:t>powierzchni ciała, a także wydłużyć przerwę pomiędzy cyklami leczenia do 3 tygodni (w szczególności w przypadku powikłań hematologicznych).</w:t>
            </w:r>
          </w:p>
          <w:p w14:paraId="21A5FD32" w14:textId="6AF9EF31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lub częściowo (</w:t>
            </w:r>
            <w:proofErr w:type="spellStart"/>
            <w:r w:rsidRPr="00B53728">
              <w:rPr>
                <w:sz w:val="20"/>
                <w:szCs w:val="20"/>
              </w:rPr>
              <w:t>monoterapia</w:t>
            </w:r>
            <w:proofErr w:type="spellEnd"/>
            <w:r w:rsidRPr="00B53728">
              <w:rPr>
                <w:sz w:val="20"/>
                <w:szCs w:val="20"/>
              </w:rPr>
              <w:t xml:space="preserve"> </w:t>
            </w:r>
            <w:proofErr w:type="spellStart"/>
            <w:r w:rsidRPr="00B53728">
              <w:rPr>
                <w:sz w:val="20"/>
                <w:szCs w:val="20"/>
              </w:rPr>
              <w:t>fluoropirymidyną</w:t>
            </w:r>
            <w:proofErr w:type="spellEnd"/>
            <w:r w:rsidRPr="00B53728">
              <w:rPr>
                <w:sz w:val="20"/>
                <w:szCs w:val="20"/>
              </w:rPr>
              <w:t>) pod warunkiem 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14:paraId="115A210A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7EF25BA" w14:textId="7748EA78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t>Panitumumab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</w:t>
            </w:r>
            <w:r w:rsidRPr="00B53728">
              <w:rPr>
                <w:sz w:val="20"/>
                <w:szCs w:val="20"/>
              </w:rPr>
              <w:t xml:space="preserve">– 6 mg/kg masy ciała dożylnie we wlewie trwającym 1 godzinę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(trzecia linia leczenia) lub wraz z chemioterapią według schematu FOLFOX</w:t>
            </w:r>
            <w:r w:rsidR="008D4287" w:rsidRPr="00B53728">
              <w:rPr>
                <w:sz w:val="20"/>
                <w:szCs w:val="20"/>
              </w:rPr>
              <w:t xml:space="preserve"> lub FOLFIRI</w:t>
            </w:r>
            <w:r w:rsidRPr="00B53728">
              <w:rPr>
                <w:sz w:val="20"/>
                <w:szCs w:val="20"/>
              </w:rPr>
              <w:t xml:space="preserve"> (pierwsza linia leczenia) z uwzględnieniem </w:t>
            </w:r>
            <w:r w:rsidRPr="00B53728">
              <w:rPr>
                <w:sz w:val="20"/>
                <w:szCs w:val="20"/>
              </w:rPr>
              <w:lastRenderedPageBreak/>
              <w:t xml:space="preserve">możliwości kontynuowania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(bez chemioterapii) w sytuacji potwierdzenia obiektywnej odpowiedzi lub stabilizacji choroby (ocena na podstawie wyników dwóch kolejnych badań obrazowych).</w:t>
            </w:r>
          </w:p>
          <w:p w14:paraId="5F4B3157" w14:textId="77777777" w:rsidR="00C93F83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Chemioterapia według schematu FOLFOX</w:t>
            </w:r>
            <w:r w:rsidR="00A3344E" w:rsidRPr="00B53728">
              <w:rPr>
                <w:sz w:val="20"/>
                <w:szCs w:val="20"/>
              </w:rPr>
              <w:t xml:space="preserve"> </w:t>
            </w:r>
            <w:r w:rsidR="008C3D22" w:rsidRPr="00B53728">
              <w:rPr>
                <w:sz w:val="20"/>
                <w:szCs w:val="20"/>
              </w:rPr>
              <w:t>i</w:t>
            </w:r>
            <w:r w:rsidR="008D4287" w:rsidRPr="00B53728">
              <w:rPr>
                <w:sz w:val="20"/>
                <w:szCs w:val="20"/>
              </w:rPr>
              <w:t xml:space="preserve"> FOLFIRI</w:t>
            </w:r>
            <w:r w:rsidRPr="00B53728">
              <w:rPr>
                <w:sz w:val="20"/>
                <w:szCs w:val="20"/>
              </w:rPr>
              <w:t xml:space="preserve"> – stosowana w odstępach 14-dniowych.</w:t>
            </w:r>
          </w:p>
          <w:p w14:paraId="5C4CC39B" w14:textId="74CFB4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t>Panitumumab</w:t>
            </w:r>
            <w:proofErr w:type="spellEnd"/>
            <w:r w:rsidRPr="00B53728">
              <w:rPr>
                <w:sz w:val="20"/>
                <w:szCs w:val="20"/>
              </w:rPr>
              <w:t xml:space="preserve"> – stosowany w odstępach 14-dniowych.</w:t>
            </w:r>
          </w:p>
          <w:p w14:paraId="07F8FE8F" w14:textId="4357F135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przypadku wystąpienia 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panitumumabu</w:t>
            </w:r>
            <w:proofErr w:type="spellEnd"/>
            <w:r w:rsidRPr="00B53728">
              <w:rPr>
                <w:sz w:val="20"/>
                <w:szCs w:val="20"/>
              </w:rPr>
              <w:t xml:space="preserve"> z powodu działań niepożądanych, to maksymalny czas do podania kolejnej dawki nie może być dłuższy niż 8 tygodni.</w:t>
            </w:r>
          </w:p>
          <w:p w14:paraId="764A60FA" w14:textId="1FCD6296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uzasadnionych przypadkach (w szczególności w przypadku wystąpienia polineuropatii) można zredukować dawkę </w:t>
            </w:r>
            <w:proofErr w:type="spellStart"/>
            <w:r w:rsidRPr="00B53728">
              <w:rPr>
                <w:sz w:val="20"/>
                <w:szCs w:val="20"/>
              </w:rPr>
              <w:t>oksaliplatyny</w:t>
            </w:r>
            <w:proofErr w:type="spellEnd"/>
            <w:r w:rsidRPr="00B53728">
              <w:rPr>
                <w:sz w:val="20"/>
                <w:szCs w:val="20"/>
              </w:rPr>
              <w:t xml:space="preserve"> do 65 mg/m</w:t>
            </w:r>
            <w:r w:rsidRPr="00B53728">
              <w:rPr>
                <w:sz w:val="20"/>
                <w:szCs w:val="20"/>
                <w:vertAlign w:val="superscript"/>
              </w:rPr>
              <w:t xml:space="preserve">2 </w:t>
            </w:r>
            <w:r w:rsidRPr="00B53728">
              <w:rPr>
                <w:sz w:val="20"/>
                <w:szCs w:val="20"/>
              </w:rPr>
              <w:t>powierzchni ciała, a także wydłużyć przerwę pomiędzy cyklami leczenia do 3 tygodni (w szczególności w przypadku powikłań hematologicznych).</w:t>
            </w:r>
          </w:p>
          <w:p w14:paraId="1E775D65" w14:textId="49B24863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lub częściowo (</w:t>
            </w:r>
            <w:proofErr w:type="spellStart"/>
            <w:r w:rsidRPr="00B53728">
              <w:rPr>
                <w:sz w:val="20"/>
                <w:szCs w:val="20"/>
              </w:rPr>
              <w:t>monoterapia</w:t>
            </w:r>
            <w:proofErr w:type="spellEnd"/>
            <w:r w:rsidRPr="00B53728">
              <w:rPr>
                <w:sz w:val="20"/>
                <w:szCs w:val="20"/>
              </w:rPr>
              <w:t xml:space="preserve"> </w:t>
            </w:r>
            <w:proofErr w:type="spellStart"/>
            <w:r w:rsidRPr="00B53728">
              <w:rPr>
                <w:sz w:val="20"/>
                <w:szCs w:val="20"/>
              </w:rPr>
              <w:t>fluoropirymidyną</w:t>
            </w:r>
            <w:proofErr w:type="spellEnd"/>
            <w:r w:rsidRPr="00B53728">
              <w:rPr>
                <w:sz w:val="20"/>
                <w:szCs w:val="20"/>
              </w:rPr>
              <w:t xml:space="preserve">) pod warunkiem kontynuowania oceny odpowiedzi zgodnie z zapisami programu. Po stwierdzeniu progresji choroby leczenie może być wznowione, o ile nadal spełnione są kryteria kwalifikowania (z </w:t>
            </w:r>
            <w:r w:rsidRPr="00B53728">
              <w:rPr>
                <w:sz w:val="20"/>
                <w:szCs w:val="20"/>
              </w:rPr>
              <w:lastRenderedPageBreak/>
              <w:t>wykluczeniem punktu 4 - brak wcześniejszego leczenia systemowego z powodu choroby przerzutowej).</w:t>
            </w:r>
          </w:p>
          <w:p w14:paraId="578FC9F1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446A7DB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t>Bewacyzumab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– </w:t>
            </w:r>
            <w:r w:rsidRPr="00B53728">
              <w:rPr>
                <w:sz w:val="20"/>
                <w:szCs w:val="20"/>
              </w:rPr>
              <w:t>10 mg/kg masy ciała dożylnie (schemat FOLFOX-4) lub 5 mg/kg masy ciała dożylnie (schemat FOLFIRI) we wlewie trwającym 30-90 minut (dzień 1.) wraz z chemioterapią według schematów:</w:t>
            </w:r>
          </w:p>
          <w:p w14:paraId="05A2774C" w14:textId="254BD049" w:rsidR="00744684" w:rsidRPr="00F375E7" w:rsidRDefault="00744684" w:rsidP="00A175BB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FOLFIRI – pierwsza linia leczenia;</w:t>
            </w:r>
          </w:p>
          <w:p w14:paraId="44C73FF4" w14:textId="68825869" w:rsidR="00744684" w:rsidRPr="00F375E7" w:rsidRDefault="00744684" w:rsidP="00A175BB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FOLFOX-4 – druga linia leczenia. </w:t>
            </w:r>
          </w:p>
          <w:p w14:paraId="2AED46F6" w14:textId="77777777" w:rsidR="00744684" w:rsidRPr="00B53728" w:rsidRDefault="00744684" w:rsidP="00B53728">
            <w:p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t>Bewacyzumab</w:t>
            </w:r>
            <w:proofErr w:type="spellEnd"/>
            <w:r w:rsidRPr="00B53728">
              <w:rPr>
                <w:sz w:val="20"/>
                <w:szCs w:val="20"/>
              </w:rPr>
              <w:t xml:space="preserve"> – stosowany w odstępach 14-dniowych z uwzględnieniem możliwości kontynuowania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(bez chemioterapii) w sytuacji potwierdzenia obiektywnej odpowiedzi lub stabilizacji choroby w ocenie przeprowadzonej na podstawie wyników dwóch kolejnych badań obrazowych (lek nie może być </w:t>
            </w:r>
            <w:r w:rsidRPr="00B53728">
              <w:rPr>
                <w:color w:val="000000" w:themeColor="text1"/>
                <w:sz w:val="20"/>
                <w:szCs w:val="20"/>
              </w:rPr>
              <w:t>stosowany w </w:t>
            </w:r>
            <w:proofErr w:type="spellStart"/>
            <w:r w:rsidRPr="00B53728">
              <w:rPr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Pr="00B53728">
              <w:rPr>
                <w:color w:val="000000" w:themeColor="text1"/>
                <w:sz w:val="20"/>
                <w:szCs w:val="20"/>
              </w:rPr>
              <w:t xml:space="preserve"> w drugiej linii leczenia)</w:t>
            </w:r>
          </w:p>
          <w:p w14:paraId="6BC8249B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color w:val="000000" w:themeColor="text1"/>
                <w:sz w:val="20"/>
                <w:szCs w:val="20"/>
              </w:rPr>
              <w:t xml:space="preserve">W przypadku wystąpienia </w:t>
            </w:r>
            <w:r w:rsidRPr="00B53728">
              <w:rPr>
                <w:sz w:val="20"/>
                <w:szCs w:val="20"/>
              </w:rPr>
              <w:t xml:space="preserve">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bewacyzumabu</w:t>
            </w:r>
            <w:proofErr w:type="spellEnd"/>
            <w:r w:rsidRPr="00B53728">
              <w:rPr>
                <w:sz w:val="20"/>
                <w:szCs w:val="20"/>
              </w:rPr>
              <w:t>, to maksymalny czas do podania kolejnej dawki nie może być dłuższy niż 8 tygodni.</w:t>
            </w:r>
          </w:p>
          <w:p w14:paraId="783134F5" w14:textId="6B869074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uzasadnionych przypadkach (w szczególności w przypadku wystąpienia polineuropatii) można zredukować dawkę </w:t>
            </w:r>
            <w:proofErr w:type="spellStart"/>
            <w:r w:rsidRPr="00B53728">
              <w:rPr>
                <w:sz w:val="20"/>
                <w:szCs w:val="20"/>
              </w:rPr>
              <w:t>oksaliplatyny</w:t>
            </w:r>
            <w:proofErr w:type="spellEnd"/>
            <w:r w:rsidRPr="00B53728">
              <w:rPr>
                <w:sz w:val="20"/>
                <w:szCs w:val="20"/>
              </w:rPr>
              <w:t xml:space="preserve"> do 65 mg/m</w:t>
            </w:r>
            <w:r w:rsidRPr="00B53728">
              <w:rPr>
                <w:sz w:val="20"/>
                <w:szCs w:val="20"/>
                <w:vertAlign w:val="superscript"/>
              </w:rPr>
              <w:t xml:space="preserve">2 </w:t>
            </w:r>
            <w:r w:rsidRPr="00B53728">
              <w:rPr>
                <w:sz w:val="20"/>
                <w:szCs w:val="20"/>
              </w:rPr>
              <w:t xml:space="preserve">powierzchni ciała, a także wydłużyć przerwę pomiędzy cyklami leczenia do 3 tygodni (w </w:t>
            </w:r>
            <w:r w:rsidRPr="00B53728">
              <w:rPr>
                <w:sz w:val="20"/>
                <w:szCs w:val="20"/>
              </w:rPr>
              <w:lastRenderedPageBreak/>
              <w:t>szczególności w przypadku powikłań hematologicznych).</w:t>
            </w:r>
          </w:p>
          <w:p w14:paraId="12C99584" w14:textId="5D6DD8DB" w:rsidR="00744684" w:rsidRDefault="00744684" w:rsidP="00B53728">
            <w:pPr>
              <w:shd w:val="clear" w:color="auto" w:fill="FFFFFF"/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 przypadku uzyskania w co najmniej dwóch kolejnych ocenach obrazowych obiektywnej odpowiedzi lub stabilizacji na leczenie pierwszej linii, chemioterapię można przerwać całkowicie (</w:t>
            </w:r>
            <w:proofErr w:type="spellStart"/>
            <w:r w:rsidRPr="00B53728">
              <w:rPr>
                <w:sz w:val="20"/>
                <w:szCs w:val="20"/>
              </w:rPr>
              <w:t>bewacyzumab</w:t>
            </w:r>
            <w:proofErr w:type="spellEnd"/>
            <w:r w:rsidRPr="00B53728">
              <w:rPr>
                <w:sz w:val="20"/>
                <w:szCs w:val="20"/>
              </w:rPr>
              <w:t xml:space="preserve">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>) lub częściowo (</w:t>
            </w:r>
            <w:proofErr w:type="spellStart"/>
            <w:r w:rsidRPr="00B53728">
              <w:rPr>
                <w:sz w:val="20"/>
                <w:szCs w:val="20"/>
              </w:rPr>
              <w:t>bewacyzumab</w:t>
            </w:r>
            <w:proofErr w:type="spellEnd"/>
            <w:r w:rsidRPr="00B53728">
              <w:rPr>
                <w:sz w:val="20"/>
                <w:szCs w:val="20"/>
              </w:rPr>
              <w:t xml:space="preserve"> z </w:t>
            </w:r>
            <w:proofErr w:type="spellStart"/>
            <w:r w:rsidRPr="00B53728">
              <w:rPr>
                <w:sz w:val="20"/>
                <w:szCs w:val="20"/>
              </w:rPr>
              <w:t>fluoropirymidyną</w:t>
            </w:r>
            <w:proofErr w:type="spellEnd"/>
            <w:r w:rsidRPr="00B53728">
              <w:rPr>
                <w:sz w:val="20"/>
                <w:szCs w:val="20"/>
              </w:rPr>
              <w:t xml:space="preserve"> pod warunkiem kontynuowania oceny odpowiedzi zgodnie z zapisami programu. Po stwierdzeniu progresji choroby leczenie może być wznowione, o ile nadal spełnione są kryteria kwalifikowania (z wykluczeniem punktu nr 4 – brak wcześniejszego leczenia systemowego z powodu choroby przerzutowej).</w:t>
            </w:r>
          </w:p>
          <w:p w14:paraId="5A253993" w14:textId="77777777" w:rsidR="00B53728" w:rsidRPr="00B53728" w:rsidRDefault="00B53728" w:rsidP="00B53728">
            <w:pPr>
              <w:shd w:val="clear" w:color="auto" w:fill="FFFFFF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A799BD4" w14:textId="52481815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t>Aflibercept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- </w:t>
            </w:r>
            <w:r w:rsidRPr="00B53728">
              <w:rPr>
                <w:sz w:val="20"/>
                <w:szCs w:val="20"/>
              </w:rPr>
              <w:t>4 mg/kg masy ciała dożylnie we wlewie trwającym 1 godzinę (dzień 1) wraz z chemioterapią według schematu FOLFIRI.</w:t>
            </w:r>
          </w:p>
          <w:p w14:paraId="065BFAAC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Cykl leczenia powtarza się co dwa tygodnie.</w:t>
            </w:r>
          </w:p>
          <w:p w14:paraId="11AC461E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W przypadku wystąpienia działań niepożądanych dawkowanie leku należy dostosować do wytycznych zawartych w Charakterystyce Produktu Leczniczego. Jeżeli przerwano stosowanie </w:t>
            </w:r>
            <w:proofErr w:type="spellStart"/>
            <w:r w:rsidRPr="00B53728">
              <w:rPr>
                <w:sz w:val="20"/>
                <w:szCs w:val="20"/>
              </w:rPr>
              <w:t>afliberceptu</w:t>
            </w:r>
            <w:proofErr w:type="spellEnd"/>
            <w:r w:rsidRPr="00B53728">
              <w:rPr>
                <w:sz w:val="20"/>
                <w:szCs w:val="20"/>
              </w:rPr>
              <w:t>, z powodu działań niepożądanych to maksymalny czas do podania kolejnej dawki nie może być dłuższy niż 8 tygodni.</w:t>
            </w:r>
          </w:p>
          <w:p w14:paraId="190AB821" w14:textId="3F7A5834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sz w:val="20"/>
                <w:szCs w:val="20"/>
              </w:rPr>
              <w:t>Aflibercept</w:t>
            </w:r>
            <w:proofErr w:type="spellEnd"/>
            <w:r w:rsidRPr="00B53728">
              <w:rPr>
                <w:sz w:val="20"/>
                <w:szCs w:val="20"/>
              </w:rPr>
              <w:t xml:space="preserve"> nie może być stosowany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>.</w:t>
            </w:r>
          </w:p>
          <w:p w14:paraId="5396A80B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B468B8D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53728">
              <w:rPr>
                <w:b/>
                <w:sz w:val="20"/>
                <w:szCs w:val="20"/>
              </w:rPr>
              <w:lastRenderedPageBreak/>
              <w:t>Triflurydyna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B53728">
              <w:rPr>
                <w:b/>
                <w:sz w:val="20"/>
                <w:szCs w:val="20"/>
              </w:rPr>
              <w:t>typiracylem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- </w:t>
            </w:r>
            <w:r w:rsidRPr="00B53728">
              <w:rPr>
                <w:sz w:val="20"/>
                <w:szCs w:val="20"/>
              </w:rPr>
              <w:t xml:space="preserve">zalecana dawka początkowa u dorosłych to 35 mg/m2 </w:t>
            </w:r>
            <w:proofErr w:type="spellStart"/>
            <w:r w:rsidRPr="00B53728">
              <w:rPr>
                <w:sz w:val="20"/>
                <w:szCs w:val="20"/>
              </w:rPr>
              <w:t>pc</w:t>
            </w:r>
            <w:proofErr w:type="spellEnd"/>
            <w:r w:rsidRPr="00B53728">
              <w:rPr>
                <w:sz w:val="20"/>
                <w:szCs w:val="20"/>
              </w:rPr>
              <w:t>./dawkę podawana doustnie dwa razy na dobę od 1. do 5. dnia oraz od 8. do 12. dnia każdego 28-dniowego cyklu, podawana tak długo, jak długo obserwuje się korzyści z leczenia lub do momentu wystąpienia niemożliwych do zaakceptowania objawów toksyczności.</w:t>
            </w:r>
          </w:p>
          <w:p w14:paraId="6C647796" w14:textId="77777777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Dawkowanie oblicza się na podstawie powierzchni ciała pacjenta zgodnie z Charakterystyką Produktu Leczniczego. Dawkę należy zaokrąglić do najbliższej wartości zwiększanej o 5 mg. Nie należy przekraczać 80 mg/dawkę. Jeśli dawki pominięto lub wstrzymano, pacjent nie powinien przyjąć pominiętych dawek.</w:t>
            </w:r>
          </w:p>
          <w:p w14:paraId="654CADC0" w14:textId="77777777" w:rsidR="00744684" w:rsidRPr="00F375E7" w:rsidRDefault="00744684" w:rsidP="00B2755F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tcBorders>
              <w:right w:val="single" w:sz="4" w:space="0" w:color="auto"/>
            </w:tcBorders>
          </w:tcPr>
          <w:p w14:paraId="49B28D1E" w14:textId="77777777" w:rsidR="00744684" w:rsidRPr="00B53728" w:rsidRDefault="00744684" w:rsidP="00B53728">
            <w:pPr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lastRenderedPageBreak/>
              <w:t xml:space="preserve">Badania podczas kwalifikowania do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cetuksymabem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b/>
                <w:sz w:val="20"/>
                <w:szCs w:val="20"/>
              </w:rPr>
              <w:t>panitumumabem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61DCA717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histologiczne potwierdzenie raka jelita grubego;</w:t>
            </w:r>
          </w:p>
          <w:p w14:paraId="69030C79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ocena stanu genów KRAS i NRAS (wykluczenie obecności mutacji w </w:t>
            </w:r>
            <w:proofErr w:type="spellStart"/>
            <w:r w:rsidRPr="00F375E7">
              <w:rPr>
                <w:sz w:val="20"/>
                <w:szCs w:val="20"/>
              </w:rPr>
              <w:t>eksonach</w:t>
            </w:r>
            <w:proofErr w:type="spellEnd"/>
            <w:r w:rsidRPr="00F375E7">
              <w:rPr>
                <w:sz w:val="20"/>
                <w:szCs w:val="20"/>
              </w:rPr>
              <w:t xml:space="preserve"> 2., 3. i 4. obu genów) oraz wykluczenie mutacji w genie BRAF V600E;</w:t>
            </w:r>
          </w:p>
          <w:p w14:paraId="3502661C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morfologia krwi z rozmazem; </w:t>
            </w:r>
          </w:p>
          <w:p w14:paraId="38140615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733A1929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kreatyniny,</w:t>
            </w:r>
          </w:p>
          <w:p w14:paraId="16E42951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bilirubiny</w:t>
            </w:r>
          </w:p>
          <w:p w14:paraId="4A11BFCC" w14:textId="6594676A" w:rsidR="00744684" w:rsidRPr="00A13920" w:rsidRDefault="00B53728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– </w:t>
            </w:r>
            <w:r w:rsidR="00744684" w:rsidRPr="00A13920">
              <w:rPr>
                <w:sz w:val="20"/>
                <w:szCs w:val="20"/>
              </w:rPr>
              <w:t>w surowicy;</w:t>
            </w:r>
          </w:p>
          <w:p w14:paraId="25F7D7DE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30212290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0237A9A9" w14:textId="77777777" w:rsidR="00744684" w:rsidRPr="00F375E7" w:rsidRDefault="00744684" w:rsidP="00A175BB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magnezu</w:t>
            </w:r>
          </w:p>
          <w:p w14:paraId="2C74667A" w14:textId="5A1EB05C" w:rsidR="00744684" w:rsidRPr="00B53728" w:rsidRDefault="00B53728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– </w:t>
            </w:r>
            <w:r w:rsidRPr="00A13920">
              <w:rPr>
                <w:sz w:val="20"/>
                <w:szCs w:val="20"/>
              </w:rPr>
              <w:t>w surowicy</w:t>
            </w:r>
            <w:r w:rsidR="00744684" w:rsidRPr="00B53728">
              <w:rPr>
                <w:sz w:val="20"/>
                <w:szCs w:val="20"/>
              </w:rPr>
              <w:t>;</w:t>
            </w:r>
          </w:p>
          <w:p w14:paraId="088C2500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próba ciążowa – u kobiet w okresie prokreacyjnym;</w:t>
            </w:r>
          </w:p>
          <w:p w14:paraId="037430D8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 xml:space="preserve">badanie KT jamy brzusznej oraz innych okolic ciała w zależności od wskazań klinicznych; </w:t>
            </w:r>
          </w:p>
          <w:p w14:paraId="1B8278A8" w14:textId="32D0CA80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14:paraId="775B829F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14:paraId="0CAEF371" w14:textId="77777777" w:rsidR="00744684" w:rsidRPr="00F375E7" w:rsidRDefault="00744684" w:rsidP="00A175BB">
            <w:pPr>
              <w:numPr>
                <w:ilvl w:val="2"/>
                <w:numId w:val="11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EKG;</w:t>
            </w:r>
          </w:p>
          <w:p w14:paraId="2EBDFC43" w14:textId="77777777" w:rsidR="00744684" w:rsidRPr="00F375E7" w:rsidRDefault="00744684" w:rsidP="00A175BB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49835162" w14:textId="600D636B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7CABDD87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DD5FB89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t xml:space="preserve">Badania podczas kwalifikowania do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bewacyzumabem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251F95EE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histologiczne potwierdzenie raka jelita grubego;</w:t>
            </w:r>
          </w:p>
          <w:p w14:paraId="47C79929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potwierdzona obecność mutacji aktywującej genu KRAS lub NRAS (w jednym z </w:t>
            </w:r>
            <w:proofErr w:type="spellStart"/>
            <w:r w:rsidRPr="00F375E7">
              <w:rPr>
                <w:sz w:val="20"/>
                <w:szCs w:val="20"/>
              </w:rPr>
              <w:t>eksonów</w:t>
            </w:r>
            <w:proofErr w:type="spellEnd"/>
            <w:r w:rsidRPr="00F375E7">
              <w:rPr>
                <w:sz w:val="20"/>
                <w:szCs w:val="20"/>
              </w:rPr>
              <w:t xml:space="preserve"> 2.,3. lub 4.) w przypadku stosowania </w:t>
            </w:r>
            <w:proofErr w:type="spellStart"/>
            <w:r w:rsidRPr="00F375E7">
              <w:rPr>
                <w:sz w:val="20"/>
                <w:szCs w:val="20"/>
              </w:rPr>
              <w:t>bewacyzumabu</w:t>
            </w:r>
            <w:proofErr w:type="spellEnd"/>
            <w:r w:rsidRPr="00F375E7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375E7">
              <w:rPr>
                <w:sz w:val="20"/>
                <w:szCs w:val="20"/>
              </w:rPr>
              <w:t>chemioterpią</w:t>
            </w:r>
            <w:proofErr w:type="spellEnd"/>
            <w:r w:rsidRPr="00F375E7">
              <w:rPr>
                <w:sz w:val="20"/>
                <w:szCs w:val="20"/>
              </w:rPr>
              <w:t xml:space="preserve"> FOLFIRI;</w:t>
            </w:r>
          </w:p>
          <w:p w14:paraId="4F4BA198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morfologia krwi z rozmazem; </w:t>
            </w:r>
          </w:p>
          <w:p w14:paraId="23832D0C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7A63DD41" w14:textId="77777777" w:rsidR="00744684" w:rsidRPr="00F375E7" w:rsidRDefault="00744684" w:rsidP="00A175BB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kreatyniny,</w:t>
            </w:r>
          </w:p>
          <w:p w14:paraId="642BF3C8" w14:textId="77777777" w:rsidR="00744684" w:rsidRPr="00F375E7" w:rsidRDefault="00744684" w:rsidP="00A175BB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bilirubiny</w:t>
            </w:r>
          </w:p>
          <w:p w14:paraId="05343286" w14:textId="3F0D9609" w:rsidR="00744684" w:rsidRPr="00B53728" w:rsidRDefault="00B53728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– </w:t>
            </w:r>
            <w:r w:rsidR="00744684" w:rsidRPr="00B53728">
              <w:rPr>
                <w:sz w:val="20"/>
                <w:szCs w:val="20"/>
              </w:rPr>
              <w:t>w surowicy;</w:t>
            </w:r>
          </w:p>
          <w:p w14:paraId="3E83039D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405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aktywności:</w:t>
            </w:r>
          </w:p>
          <w:p w14:paraId="432E7C12" w14:textId="77777777" w:rsidR="00744684" w:rsidRPr="00F375E7" w:rsidRDefault="00744684" w:rsidP="00A175BB">
            <w:pPr>
              <w:numPr>
                <w:ilvl w:val="3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695A96CD" w14:textId="77777777" w:rsidR="00744684" w:rsidRPr="00B53728" w:rsidRDefault="00744684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535835A0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oznaczenie czasu </w:t>
            </w:r>
            <w:proofErr w:type="spellStart"/>
            <w:r w:rsidRPr="00F375E7">
              <w:rPr>
                <w:sz w:val="20"/>
                <w:szCs w:val="20"/>
              </w:rPr>
              <w:t>kaolinowo-kefalinowego</w:t>
            </w:r>
            <w:proofErr w:type="spellEnd"/>
            <w:r w:rsidRPr="00F375E7">
              <w:rPr>
                <w:sz w:val="20"/>
                <w:szCs w:val="20"/>
              </w:rPr>
              <w:t xml:space="preserve"> (APTT);</w:t>
            </w:r>
          </w:p>
          <w:p w14:paraId="7A0E1E54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INR;</w:t>
            </w:r>
          </w:p>
          <w:p w14:paraId="0AAE693D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60081237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próba ciążowa – u kobiet w okresie prokreacyjnym;</w:t>
            </w:r>
          </w:p>
          <w:p w14:paraId="30AFA5A4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14:paraId="5D72605D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14:paraId="07E7BD2F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14:paraId="60516F0B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EKG;</w:t>
            </w:r>
          </w:p>
          <w:p w14:paraId="2F1DD0F7" w14:textId="77777777" w:rsidR="00744684" w:rsidRPr="00F375E7" w:rsidRDefault="00744684" w:rsidP="00A175BB">
            <w:pPr>
              <w:numPr>
                <w:ilvl w:val="2"/>
                <w:numId w:val="12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25E650A6" w14:textId="77777777" w:rsidR="00744684" w:rsidRPr="00F375E7" w:rsidRDefault="00744684" w:rsidP="00A175BB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0FB0BDA2" w14:textId="43764F50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2CCD8868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A67B4B7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t xml:space="preserve">Badania przy kwalifikacji do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afliberceptem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478C812F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histologiczne potwierdzenie raka jelita grubego;</w:t>
            </w:r>
          </w:p>
          <w:p w14:paraId="7444C475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morfologia krwi z rozmazem; </w:t>
            </w:r>
          </w:p>
          <w:p w14:paraId="0D31BB49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oznaczenie stężenia:</w:t>
            </w:r>
          </w:p>
          <w:p w14:paraId="47EA9FE2" w14:textId="77777777" w:rsidR="00744684" w:rsidRPr="00F375E7" w:rsidRDefault="00744684" w:rsidP="00A175BB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kreatyniny,</w:t>
            </w:r>
          </w:p>
          <w:p w14:paraId="0F047C11" w14:textId="77777777" w:rsidR="00744684" w:rsidRPr="00F375E7" w:rsidRDefault="00744684" w:rsidP="00A175BB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bilirubiny</w:t>
            </w:r>
          </w:p>
          <w:p w14:paraId="3A185F49" w14:textId="77777777" w:rsidR="00744684" w:rsidRPr="00B53728" w:rsidRDefault="00744684" w:rsidP="00B53728">
            <w:pPr>
              <w:tabs>
                <w:tab w:val="left" w:pos="324"/>
              </w:tabs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540C3575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aktywności:</w:t>
            </w:r>
          </w:p>
          <w:p w14:paraId="736B9D59" w14:textId="77777777" w:rsidR="00744684" w:rsidRPr="00F375E7" w:rsidRDefault="00744684" w:rsidP="00A175BB">
            <w:pPr>
              <w:numPr>
                <w:ilvl w:val="3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028042FE" w14:textId="77777777" w:rsidR="00744684" w:rsidRPr="00B53728" w:rsidRDefault="00744684" w:rsidP="00B53728">
            <w:pPr>
              <w:tabs>
                <w:tab w:val="left" w:pos="324"/>
              </w:tabs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0D96ADDE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oznaczenie czasu </w:t>
            </w:r>
            <w:proofErr w:type="spellStart"/>
            <w:r w:rsidRPr="00F375E7">
              <w:rPr>
                <w:sz w:val="20"/>
                <w:szCs w:val="20"/>
              </w:rPr>
              <w:t>kaolinowo-kefalinowego</w:t>
            </w:r>
            <w:proofErr w:type="spellEnd"/>
            <w:r w:rsidRPr="00F375E7">
              <w:rPr>
                <w:sz w:val="20"/>
                <w:szCs w:val="20"/>
              </w:rPr>
              <w:t xml:space="preserve"> (APTT);</w:t>
            </w:r>
          </w:p>
          <w:p w14:paraId="6898DBD7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oznaczenie INR lub czasu </w:t>
            </w:r>
            <w:proofErr w:type="spellStart"/>
            <w:r w:rsidRPr="00F375E7">
              <w:rPr>
                <w:sz w:val="20"/>
                <w:szCs w:val="20"/>
              </w:rPr>
              <w:t>protrombinowego</w:t>
            </w:r>
            <w:proofErr w:type="spellEnd"/>
            <w:r w:rsidRPr="00F375E7">
              <w:rPr>
                <w:sz w:val="20"/>
                <w:szCs w:val="20"/>
              </w:rPr>
              <w:t xml:space="preserve"> (PT);</w:t>
            </w:r>
          </w:p>
          <w:p w14:paraId="4B36AECE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0BDCFDAA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próba ciążowa – u kobiet w okresie prokreacyjnym;</w:t>
            </w:r>
          </w:p>
          <w:p w14:paraId="37FC1AA8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KT jamy brzusznej oraz innych okolic ciała w zależności od wskazań klinicznych; </w:t>
            </w:r>
          </w:p>
          <w:p w14:paraId="5D9765D6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KT lub MR mózgu w przypadku wskazań klinicznych w celu wykluczenia przerzutów;</w:t>
            </w:r>
          </w:p>
          <w:p w14:paraId="142AB589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KT klatki piersiowej;</w:t>
            </w:r>
          </w:p>
          <w:p w14:paraId="458306BC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EKG;</w:t>
            </w:r>
          </w:p>
          <w:p w14:paraId="4EA63C74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5A6A0608" w14:textId="77777777" w:rsidR="00744684" w:rsidRPr="00F375E7" w:rsidRDefault="00744684" w:rsidP="00A175BB">
            <w:pPr>
              <w:numPr>
                <w:ilvl w:val="2"/>
                <w:numId w:val="13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30763D38" w14:textId="660B3414" w:rsidR="00744684" w:rsidRDefault="00744684" w:rsidP="00B53728">
            <w:p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Wstępne badania obrazowe muszą umożliwić późniejszą obiektywną ocenę odpowiedzi na leczenie.</w:t>
            </w:r>
          </w:p>
          <w:p w14:paraId="56D9C98B" w14:textId="77777777" w:rsidR="00B53728" w:rsidRPr="00B53728" w:rsidRDefault="00B53728" w:rsidP="00B53728">
            <w:p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3175ECA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lastRenderedPageBreak/>
              <w:t xml:space="preserve">Badania przy kwalifikacji do terapii skojarzonej </w:t>
            </w:r>
            <w:proofErr w:type="spellStart"/>
            <w:r w:rsidRPr="00B53728">
              <w:rPr>
                <w:b/>
                <w:sz w:val="20"/>
                <w:szCs w:val="20"/>
              </w:rPr>
              <w:t>triflurydyną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oraz </w:t>
            </w:r>
            <w:proofErr w:type="spellStart"/>
            <w:r w:rsidRPr="00B53728">
              <w:rPr>
                <w:b/>
                <w:sz w:val="20"/>
                <w:szCs w:val="20"/>
              </w:rPr>
              <w:t>typiracylem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729C563A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72A4F005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bilirubiny całkowitej;</w:t>
            </w:r>
          </w:p>
          <w:p w14:paraId="3C98E0E2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kreatyniny;</w:t>
            </w:r>
          </w:p>
          <w:p w14:paraId="4FF81BB0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aktywność 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);</w:t>
            </w:r>
          </w:p>
          <w:p w14:paraId="7C4B03C1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64DBF4A1" w14:textId="77777777" w:rsidR="00744684" w:rsidRPr="00F375E7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tomografii komputerowej jamy brzusznej oraz innych okolic ciała w zależności od wskazań klinicznych;</w:t>
            </w:r>
          </w:p>
          <w:p w14:paraId="6544A585" w14:textId="51F3A999" w:rsidR="00744684" w:rsidRDefault="00744684" w:rsidP="00A175BB">
            <w:pPr>
              <w:pStyle w:val="Akapitzlist"/>
              <w:numPr>
                <w:ilvl w:val="2"/>
                <w:numId w:val="1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wykonywana tomografia komputerowa tej okolicy.</w:t>
            </w:r>
          </w:p>
          <w:p w14:paraId="0BBE22C2" w14:textId="77777777" w:rsidR="00B53728" w:rsidRPr="00F375E7" w:rsidRDefault="00B53728" w:rsidP="00B53728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58EC1C6" w14:textId="77777777" w:rsidR="00744684" w:rsidRPr="00B53728" w:rsidRDefault="00744684" w:rsidP="00B53728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B53728">
              <w:rPr>
                <w:b/>
                <w:sz w:val="20"/>
                <w:szCs w:val="20"/>
              </w:rPr>
              <w:t xml:space="preserve">Monitorowanie bezpieczeństwa leczenia </w:t>
            </w:r>
            <w:proofErr w:type="spellStart"/>
            <w:r w:rsidRPr="00B53728">
              <w:rPr>
                <w:b/>
                <w:sz w:val="20"/>
                <w:szCs w:val="20"/>
              </w:rPr>
              <w:t>cetuksymabem</w:t>
            </w:r>
            <w:proofErr w:type="spellEnd"/>
            <w:r w:rsidRPr="00B53728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b/>
                <w:sz w:val="20"/>
                <w:szCs w:val="20"/>
              </w:rPr>
              <w:t>panitumumabem</w:t>
            </w:r>
            <w:proofErr w:type="spellEnd"/>
            <w:r w:rsidRPr="00B53728">
              <w:rPr>
                <w:b/>
                <w:sz w:val="20"/>
                <w:szCs w:val="20"/>
              </w:rPr>
              <w:t>:</w:t>
            </w:r>
          </w:p>
          <w:p w14:paraId="20AC9655" w14:textId="77777777" w:rsidR="00744684" w:rsidRPr="00F375E7" w:rsidRDefault="00744684" w:rsidP="00A175BB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181006B6" w14:textId="77777777" w:rsidR="00744684" w:rsidRPr="00F375E7" w:rsidRDefault="00744684" w:rsidP="00A175BB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39DE20B3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kreatyniny, </w:t>
            </w:r>
          </w:p>
          <w:p w14:paraId="19994FCB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bilirubiny </w:t>
            </w:r>
          </w:p>
          <w:p w14:paraId="2996CD47" w14:textId="77777777" w:rsidR="00744684" w:rsidRPr="00B53728" w:rsidRDefault="00744684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194DEEEB" w14:textId="77777777" w:rsidR="00744684" w:rsidRPr="00F375E7" w:rsidRDefault="00744684" w:rsidP="00A175BB">
            <w:pPr>
              <w:numPr>
                <w:ilvl w:val="2"/>
                <w:numId w:val="15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5DD363D8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11AA3156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fosfatazy alkalicznej,</w:t>
            </w:r>
          </w:p>
          <w:p w14:paraId="493357E1" w14:textId="77777777" w:rsidR="00744684" w:rsidRPr="00F375E7" w:rsidRDefault="00744684" w:rsidP="00A175BB">
            <w:pPr>
              <w:numPr>
                <w:ilvl w:val="3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magnezu</w:t>
            </w:r>
          </w:p>
          <w:p w14:paraId="51BF2FF3" w14:textId="77777777" w:rsidR="00744684" w:rsidRPr="00B53728" w:rsidRDefault="00744684" w:rsidP="00B53728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– w surowicy;</w:t>
            </w:r>
          </w:p>
          <w:p w14:paraId="2E9F559F" w14:textId="77777777" w:rsidR="00744684" w:rsidRPr="00F375E7" w:rsidRDefault="00744684" w:rsidP="00A175BB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ocena powikłań skórnych;</w:t>
            </w:r>
          </w:p>
          <w:p w14:paraId="31A46E28" w14:textId="77777777" w:rsidR="00744684" w:rsidRPr="00F375E7" w:rsidRDefault="00744684" w:rsidP="00A175BB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badanie w razie wskazań klinicznych.</w:t>
            </w:r>
          </w:p>
          <w:p w14:paraId="0C22D39E" w14:textId="6DBBC8E2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lastRenderedPageBreak/>
              <w:t xml:space="preserve">Jeżeli </w:t>
            </w:r>
            <w:proofErr w:type="spellStart"/>
            <w:r w:rsidRPr="00B53728">
              <w:rPr>
                <w:sz w:val="20"/>
                <w:szCs w:val="20"/>
              </w:rPr>
              <w:t>cetuksymab</w:t>
            </w:r>
            <w:proofErr w:type="spellEnd"/>
            <w:r w:rsidRPr="00B53728">
              <w:rPr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sz w:val="20"/>
                <w:szCs w:val="20"/>
              </w:rPr>
              <w:t>panitumumab</w:t>
            </w:r>
            <w:proofErr w:type="spellEnd"/>
            <w:r w:rsidRPr="00B53728">
              <w:rPr>
                <w:sz w:val="20"/>
                <w:szCs w:val="20"/>
              </w:rPr>
              <w:t xml:space="preserve"> stosowany jest łącznie z chemioterapią (pierwsza linia leczenia) to badanie morfologii krwi, oznaczenie stężenia kreatyniny oraz ocenę powikłań skórnych wykonuje się przed rozpoczęciem każdego cyklu leczenia, a pozostałe badania przed rozpoczęciem co drugiego cyklu leczenia. </w:t>
            </w:r>
          </w:p>
          <w:p w14:paraId="2F1D1B22" w14:textId="0EF5676C" w:rsidR="00744684" w:rsidRPr="00B53728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 xml:space="preserve">Jeżeli </w:t>
            </w:r>
            <w:proofErr w:type="spellStart"/>
            <w:r w:rsidRPr="00B53728">
              <w:rPr>
                <w:sz w:val="20"/>
                <w:szCs w:val="20"/>
              </w:rPr>
              <w:t>panitumumab</w:t>
            </w:r>
            <w:proofErr w:type="spellEnd"/>
            <w:r w:rsidRPr="00B53728">
              <w:rPr>
                <w:sz w:val="20"/>
                <w:szCs w:val="20"/>
              </w:rPr>
              <w:t xml:space="preserve"> lub </w:t>
            </w:r>
            <w:proofErr w:type="spellStart"/>
            <w:r w:rsidRPr="00B53728">
              <w:rPr>
                <w:sz w:val="20"/>
                <w:szCs w:val="20"/>
              </w:rPr>
              <w:t>cetuksymab</w:t>
            </w:r>
            <w:proofErr w:type="spellEnd"/>
            <w:r w:rsidRPr="00B53728">
              <w:rPr>
                <w:sz w:val="20"/>
                <w:szCs w:val="20"/>
              </w:rPr>
              <w:t xml:space="preserve"> stosowane są w </w:t>
            </w:r>
            <w:proofErr w:type="spellStart"/>
            <w:r w:rsidRPr="00B53728">
              <w:rPr>
                <w:sz w:val="20"/>
                <w:szCs w:val="20"/>
              </w:rPr>
              <w:t>monoterapii</w:t>
            </w:r>
            <w:proofErr w:type="spellEnd"/>
            <w:r w:rsidRPr="00B53728">
              <w:rPr>
                <w:sz w:val="20"/>
                <w:szCs w:val="20"/>
              </w:rPr>
              <w:t xml:space="preserve"> (trzecia linia leczenia), to ocenę powikłań skórnych wykonuje się przed każdym podaniem leku, a pozostałe badania nie rzadziej niż co miesiąc. </w:t>
            </w:r>
          </w:p>
          <w:p w14:paraId="0AA6ACD0" w14:textId="0CADB576" w:rsidR="00744684" w:rsidRDefault="00744684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B53728">
              <w:rPr>
                <w:sz w:val="20"/>
                <w:szCs w:val="20"/>
              </w:rPr>
              <w:t>Badania należy wykonać zawsze w przypadku wskazań klinicznych.</w:t>
            </w:r>
          </w:p>
          <w:p w14:paraId="7F171900" w14:textId="77777777" w:rsidR="00B53728" w:rsidRPr="00B53728" w:rsidRDefault="00B53728" w:rsidP="00B5372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74069A6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bezpieczeństwa leczenia </w:t>
            </w:r>
            <w:proofErr w:type="spellStart"/>
            <w:r w:rsidRPr="00A175BB">
              <w:rPr>
                <w:b/>
                <w:sz w:val="20"/>
                <w:szCs w:val="20"/>
              </w:rPr>
              <w:t>bewacyzumabem</w:t>
            </w:r>
            <w:proofErr w:type="spellEnd"/>
            <w:r w:rsidRPr="00A175BB">
              <w:rPr>
                <w:b/>
                <w:sz w:val="20"/>
                <w:szCs w:val="20"/>
              </w:rPr>
              <w:t>:</w:t>
            </w:r>
          </w:p>
          <w:p w14:paraId="3D21E716" w14:textId="77777777" w:rsidR="00744684" w:rsidRPr="00F375E7" w:rsidRDefault="00744684" w:rsidP="00A175BB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58AB1267" w14:textId="77777777" w:rsidR="00744684" w:rsidRPr="00F375E7" w:rsidRDefault="00744684" w:rsidP="00A175BB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35EDEA56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kreatyniny, </w:t>
            </w:r>
          </w:p>
          <w:p w14:paraId="0343B4D2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bilirubiny </w:t>
            </w:r>
          </w:p>
          <w:p w14:paraId="577C8C04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60146A58" w14:textId="77777777" w:rsidR="00744684" w:rsidRPr="00F375E7" w:rsidRDefault="00744684" w:rsidP="00A175BB">
            <w:pPr>
              <w:numPr>
                <w:ilvl w:val="2"/>
                <w:numId w:val="16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aktywności:</w:t>
            </w:r>
          </w:p>
          <w:p w14:paraId="0A408A3D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6903F896" w14:textId="77777777" w:rsidR="00744684" w:rsidRPr="00F375E7" w:rsidRDefault="00744684" w:rsidP="00A175BB">
            <w:pPr>
              <w:numPr>
                <w:ilvl w:val="3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fosfatazy alkalicznej</w:t>
            </w:r>
          </w:p>
          <w:p w14:paraId="586475B2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21041A63" w14:textId="77777777" w:rsidR="00744684" w:rsidRPr="00F375E7" w:rsidRDefault="00744684" w:rsidP="00A175BB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357510F2" w14:textId="77777777" w:rsidR="00744684" w:rsidRPr="00F375E7" w:rsidRDefault="00744684" w:rsidP="00A175BB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6717EA9B" w14:textId="77777777" w:rsidR="00744684" w:rsidRPr="00F375E7" w:rsidRDefault="00744684" w:rsidP="00A175BB">
            <w:pPr>
              <w:numPr>
                <w:ilvl w:val="2"/>
                <w:numId w:val="1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badanie w razie wskazań klinicznych.</w:t>
            </w:r>
          </w:p>
          <w:p w14:paraId="1B901C38" w14:textId="25FF43E3" w:rsidR="00744684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lastRenderedPageBreak/>
              <w:t>Badanie morfologii krwi, oznaczenie stężenia kreatyniny oraz pomiar ciśnienia tętniczego wykonuje się przed rozpoczęciem każdego cyklu leczenia, a pozostałe badania przed rozpoczęciem co drugiego cyklu leczenia. Badania należy zawsze wykonać w przypadku wskazań klinicznych.</w:t>
            </w:r>
          </w:p>
          <w:p w14:paraId="4CDC33A8" w14:textId="77777777" w:rsidR="00A175BB" w:rsidRPr="00A175BB" w:rsidRDefault="00A175BB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2975701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bezpieczeństwa leczenia </w:t>
            </w:r>
            <w:proofErr w:type="spellStart"/>
            <w:r w:rsidRPr="00A175BB">
              <w:rPr>
                <w:b/>
                <w:sz w:val="20"/>
                <w:szCs w:val="20"/>
              </w:rPr>
              <w:t>afliberceptem</w:t>
            </w:r>
            <w:proofErr w:type="spellEnd"/>
            <w:r w:rsidRPr="00A175BB">
              <w:rPr>
                <w:b/>
                <w:sz w:val="20"/>
                <w:szCs w:val="20"/>
              </w:rPr>
              <w:t>:</w:t>
            </w:r>
          </w:p>
          <w:p w14:paraId="02F17FDC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05C2BAC6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stężenia:</w:t>
            </w:r>
          </w:p>
          <w:p w14:paraId="1A83E99C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kreatyniny, </w:t>
            </w:r>
          </w:p>
          <w:p w14:paraId="51A5D3E9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bilirubiny </w:t>
            </w:r>
          </w:p>
          <w:p w14:paraId="61BF7449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08DD0690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oznaczenie aktywności:</w:t>
            </w:r>
          </w:p>
          <w:p w14:paraId="22518753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),</w:t>
            </w:r>
          </w:p>
          <w:p w14:paraId="2CC139CB" w14:textId="77777777" w:rsidR="00744684" w:rsidRPr="00F375E7" w:rsidRDefault="00744684" w:rsidP="00A175BB">
            <w:pPr>
              <w:numPr>
                <w:ilvl w:val="3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fosfatazy alkalicznej</w:t>
            </w:r>
          </w:p>
          <w:p w14:paraId="0BD2F4E5" w14:textId="77777777" w:rsidR="00744684" w:rsidRPr="00A175BB" w:rsidRDefault="00744684" w:rsidP="00A175BB">
            <w:pPr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– w surowicy;</w:t>
            </w:r>
          </w:p>
          <w:p w14:paraId="3709A7FE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ogólne moczu;</w:t>
            </w:r>
          </w:p>
          <w:p w14:paraId="087E9AF6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pomiar ciśnienia tętniczego;</w:t>
            </w:r>
          </w:p>
          <w:p w14:paraId="7C0B811E" w14:textId="77777777" w:rsidR="00744684" w:rsidRPr="00F375E7" w:rsidRDefault="00744684" w:rsidP="00A175BB">
            <w:pPr>
              <w:numPr>
                <w:ilvl w:val="2"/>
                <w:numId w:val="1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badanie w razie wskazań klinicznych.</w:t>
            </w:r>
          </w:p>
          <w:p w14:paraId="60654D1D" w14:textId="0F12E946" w:rsidR="00744684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Morfologię krwi z rozmazem wykonuje się w odstępach 2-tygodniowych lub przed rozpoczęciem kolejnego cyklu leczenia jeżeli podanie leku było opóźnione . Pozostałe badania wykonuje się w odstępach 4-tygodniowych (co drugi cykl leczenia) lub przed rozpoczęciem kolejnego cyklu terapii jeżeli podanie leku było opóźnione lub w przypadku zaistnienia wskazań klinicznych.</w:t>
            </w:r>
          </w:p>
          <w:p w14:paraId="638BDAA0" w14:textId="77777777" w:rsidR="00A175BB" w:rsidRPr="00A175BB" w:rsidRDefault="00A175BB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94C3D0F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skuteczności leczenia </w:t>
            </w:r>
            <w:proofErr w:type="spellStart"/>
            <w:r w:rsidRPr="00A175BB">
              <w:rPr>
                <w:b/>
                <w:sz w:val="20"/>
                <w:szCs w:val="20"/>
              </w:rPr>
              <w:t>afliberceptem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175BB">
              <w:rPr>
                <w:b/>
                <w:sz w:val="20"/>
                <w:szCs w:val="20"/>
              </w:rPr>
              <w:t>bewacyzumabem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175BB">
              <w:rPr>
                <w:b/>
                <w:sz w:val="20"/>
                <w:szCs w:val="20"/>
              </w:rPr>
              <w:t>cetuksymabem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 lub </w:t>
            </w:r>
            <w:proofErr w:type="spellStart"/>
            <w:r w:rsidRPr="00A175BB">
              <w:rPr>
                <w:b/>
                <w:sz w:val="20"/>
                <w:szCs w:val="20"/>
              </w:rPr>
              <w:t>panitumumabem</w:t>
            </w:r>
            <w:proofErr w:type="spellEnd"/>
            <w:r w:rsidRPr="00A175BB">
              <w:rPr>
                <w:b/>
                <w:sz w:val="20"/>
                <w:szCs w:val="20"/>
              </w:rPr>
              <w:t>:</w:t>
            </w:r>
          </w:p>
          <w:p w14:paraId="6CCF3506" w14:textId="77777777" w:rsidR="00744684" w:rsidRPr="00F375E7" w:rsidRDefault="00744684" w:rsidP="00A175BB">
            <w:pPr>
              <w:numPr>
                <w:ilvl w:val="2"/>
                <w:numId w:val="18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KT odpowiednich obszarów ciała w zależności od wskazań klinicznych; </w:t>
            </w:r>
          </w:p>
          <w:p w14:paraId="64321972" w14:textId="77777777" w:rsidR="00744684" w:rsidRPr="00F375E7" w:rsidRDefault="00744684" w:rsidP="00A175BB">
            <w:pPr>
              <w:numPr>
                <w:ilvl w:val="2"/>
                <w:numId w:val="18"/>
              </w:numPr>
              <w:tabs>
                <w:tab w:val="left" w:pos="324"/>
              </w:tabs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badanie RTG klatki piersiowej – jeżeli nie jest wykonywane badanie KT klatki piersiowej;</w:t>
            </w:r>
          </w:p>
          <w:p w14:paraId="71070466" w14:textId="77777777" w:rsidR="00744684" w:rsidRPr="00F375E7" w:rsidRDefault="00744684" w:rsidP="00A175BB">
            <w:pPr>
              <w:numPr>
                <w:ilvl w:val="2"/>
                <w:numId w:val="18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inne badania w razie wskazań klinicznych.</w:t>
            </w:r>
          </w:p>
          <w:p w14:paraId="3540C307" w14:textId="77777777" w:rsidR="00744684" w:rsidRPr="00A175BB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Badania wykonuje się:</w:t>
            </w:r>
          </w:p>
          <w:p w14:paraId="1086B4B2" w14:textId="77777777" w:rsidR="00744684" w:rsidRPr="00F375E7" w:rsidRDefault="00744684" w:rsidP="00A175BB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nie rzadziej niż w odstępach 12-tygodniowych z możliwością 2-tygodniowego opóźnienia daty wykonania w przypadkach uzasadnionych przesunięć w realizowaniu leczenia;</w:t>
            </w:r>
          </w:p>
          <w:p w14:paraId="1ACEB947" w14:textId="77777777" w:rsidR="00744684" w:rsidRPr="00F375E7" w:rsidRDefault="00744684" w:rsidP="00A175BB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w chwili wyłączenia z programu, o ile nastąpiło z innych przyczyn niż udokumentowana progresja choroby;</w:t>
            </w:r>
          </w:p>
          <w:p w14:paraId="07A69D82" w14:textId="77777777" w:rsidR="00744684" w:rsidRPr="00F375E7" w:rsidRDefault="00744684" w:rsidP="00A175BB">
            <w:pPr>
              <w:numPr>
                <w:ilvl w:val="2"/>
                <w:numId w:val="19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zawsze w przypadku wskazań klinicznych.</w:t>
            </w:r>
          </w:p>
          <w:p w14:paraId="1DF526FF" w14:textId="2535A597" w:rsidR="00744684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Oceny skuteczności leczenia dokonuje się zgodnie z kryteriami RECIST.</w:t>
            </w:r>
          </w:p>
          <w:p w14:paraId="161E4F86" w14:textId="77777777" w:rsidR="00A175BB" w:rsidRPr="00A175BB" w:rsidRDefault="00A175BB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0E5C2E7" w14:textId="77777777" w:rsidR="00744684" w:rsidRPr="00A175BB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leczenia terapią skojarzoną </w:t>
            </w:r>
            <w:proofErr w:type="spellStart"/>
            <w:r w:rsidRPr="00A175BB">
              <w:rPr>
                <w:b/>
                <w:sz w:val="20"/>
                <w:szCs w:val="20"/>
              </w:rPr>
              <w:t>triflurydyną</w:t>
            </w:r>
            <w:proofErr w:type="spellEnd"/>
            <w:r w:rsidRPr="00A175BB">
              <w:rPr>
                <w:b/>
                <w:sz w:val="20"/>
                <w:szCs w:val="20"/>
              </w:rPr>
              <w:t xml:space="preserve"> oraz </w:t>
            </w:r>
            <w:proofErr w:type="spellStart"/>
            <w:r w:rsidRPr="00A175BB">
              <w:rPr>
                <w:b/>
                <w:sz w:val="20"/>
                <w:szCs w:val="20"/>
              </w:rPr>
              <w:t>typiracylem</w:t>
            </w:r>
            <w:proofErr w:type="spellEnd"/>
          </w:p>
          <w:p w14:paraId="6972EF95" w14:textId="77777777" w:rsidR="00744684" w:rsidRPr="00A175BB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Badanie przeprowadzane przed każdym cyklem podania leku:</w:t>
            </w:r>
          </w:p>
          <w:p w14:paraId="795E14E5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morfologia krwi z rozmazem;</w:t>
            </w:r>
          </w:p>
          <w:p w14:paraId="2954995E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bilirubiny całkowitej;</w:t>
            </w:r>
          </w:p>
          <w:p w14:paraId="2D8C6E83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stężenie kreatyniny;</w:t>
            </w:r>
          </w:p>
          <w:p w14:paraId="7F785660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lastRenderedPageBreak/>
              <w:t>aktywność transaminaz (</w:t>
            </w:r>
            <w:proofErr w:type="spellStart"/>
            <w:r w:rsidRPr="00F375E7">
              <w:rPr>
                <w:sz w:val="20"/>
                <w:szCs w:val="20"/>
              </w:rPr>
              <w:t>AspAT</w:t>
            </w:r>
            <w:proofErr w:type="spellEnd"/>
            <w:r w:rsidRPr="00F375E7">
              <w:rPr>
                <w:sz w:val="20"/>
                <w:szCs w:val="20"/>
              </w:rPr>
              <w:t xml:space="preserve">, </w:t>
            </w:r>
            <w:proofErr w:type="spellStart"/>
            <w:r w:rsidRPr="00F375E7">
              <w:rPr>
                <w:sz w:val="20"/>
                <w:szCs w:val="20"/>
              </w:rPr>
              <w:t>AlAT</w:t>
            </w:r>
            <w:proofErr w:type="spellEnd"/>
            <w:r w:rsidRPr="00F375E7">
              <w:rPr>
                <w:sz w:val="20"/>
                <w:szCs w:val="20"/>
              </w:rPr>
              <w:t>);</w:t>
            </w:r>
          </w:p>
          <w:p w14:paraId="4696A952" w14:textId="77777777" w:rsidR="00744684" w:rsidRPr="00F375E7" w:rsidRDefault="00744684" w:rsidP="00A175BB">
            <w:pPr>
              <w:pStyle w:val="Akapitzlist"/>
              <w:numPr>
                <w:ilvl w:val="2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badanie ogólne moczu; </w:t>
            </w:r>
          </w:p>
          <w:p w14:paraId="1CEA7FCA" w14:textId="77777777" w:rsidR="00744684" w:rsidRPr="00A175BB" w:rsidRDefault="00744684" w:rsidP="00A175BB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175BB">
              <w:rPr>
                <w:sz w:val="20"/>
                <w:szCs w:val="20"/>
              </w:rPr>
              <w:t>Odpowiednie badania obrazowe wykonywane nie rzadziej niż co 8 tygodni lub w razie podejrzenia progresji choroby.</w:t>
            </w:r>
          </w:p>
          <w:p w14:paraId="6B35296B" w14:textId="05A29F35" w:rsidR="00744684" w:rsidRDefault="00744684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175BB">
              <w:rPr>
                <w:b/>
                <w:sz w:val="20"/>
                <w:szCs w:val="20"/>
              </w:rPr>
              <w:t xml:space="preserve">Monitorowanie skuteczności i bezpieczeństwa leczenia pacjentów, o których mowa w sekcji Świadczeniobiorcy </w:t>
            </w:r>
            <w:r w:rsidR="00A46F15" w:rsidRPr="00A175BB">
              <w:rPr>
                <w:b/>
                <w:sz w:val="20"/>
                <w:szCs w:val="20"/>
              </w:rPr>
              <w:t>IX</w:t>
            </w:r>
            <w:r w:rsidRPr="00A175BB">
              <w:rPr>
                <w:b/>
                <w:sz w:val="20"/>
                <w:szCs w:val="20"/>
              </w:rPr>
              <w:t xml:space="preserve"> pkt. 1, powinno być prowadzone jednakowo jak w przypadku pozostałych pacjentów.</w:t>
            </w:r>
          </w:p>
          <w:p w14:paraId="4AC26149" w14:textId="77777777" w:rsidR="00A175BB" w:rsidRPr="00A175BB" w:rsidRDefault="00A175BB" w:rsidP="00A175BB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</w:p>
          <w:p w14:paraId="7182E12F" w14:textId="3C9E72A2" w:rsidR="00744684" w:rsidRPr="00A175BB" w:rsidRDefault="00744684" w:rsidP="00A175BB">
            <w:pPr>
              <w:widowControl w:val="0"/>
              <w:spacing w:after="60"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175BB">
              <w:rPr>
                <w:rFonts w:eastAsia="Calibri"/>
                <w:b/>
                <w:bCs/>
                <w:sz w:val="20"/>
                <w:szCs w:val="20"/>
              </w:rPr>
              <w:t>Monitorowanie programu</w:t>
            </w:r>
          </w:p>
          <w:p w14:paraId="4505B6E5" w14:textId="305E1114" w:rsidR="00744684" w:rsidRPr="00F375E7" w:rsidRDefault="00600A6E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G</w:t>
            </w:r>
            <w:r w:rsidR="00744684" w:rsidRPr="00F375E7">
              <w:rPr>
                <w:sz w:val="20"/>
                <w:szCs w:val="20"/>
              </w:rPr>
              <w:t>romadzenie w dokumentacji medycznej danych dotyczących monitorowania leczenia i każdorazowe ich przedstawianie na żądanie kontrolerów Narodowego Funduszu Zdrowia;</w:t>
            </w:r>
          </w:p>
          <w:p w14:paraId="07463B8C" w14:textId="131B3FEB" w:rsidR="00744684" w:rsidRPr="00F375E7" w:rsidRDefault="00600A6E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U</w:t>
            </w:r>
            <w:r w:rsidR="00744684" w:rsidRPr="00F375E7">
              <w:rPr>
                <w:sz w:val="20"/>
                <w:szCs w:val="20"/>
              </w:rPr>
              <w:t>zupełnianie danych zawartych w rejestrze (SMPT) dostępnym za pomocą aplikacji internetowej udostępnionej przez OW NFZ, z częstotliwością zgodną z opisem programu oraz na zakończenie leczenia;</w:t>
            </w:r>
          </w:p>
          <w:p w14:paraId="2C6720DC" w14:textId="35D73F69" w:rsidR="00744684" w:rsidRPr="00F375E7" w:rsidRDefault="00600A6E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>P</w:t>
            </w:r>
            <w:r w:rsidR="00744684" w:rsidRPr="00F375E7">
              <w:rPr>
                <w:sz w:val="20"/>
                <w:szCs w:val="20"/>
              </w:rPr>
              <w:t>rzekazywanie informacji sprawozdawczo-rozliczeniowych do NFZ (informacje przekazuje się do NFZ w formie papierowej lub w formie elektronicznej) zgodnie z wymaganiami opublikowanymi przez NFZ;</w:t>
            </w:r>
          </w:p>
          <w:p w14:paraId="0B6457D7" w14:textId="0723F31F" w:rsidR="00744684" w:rsidRPr="00F375E7" w:rsidRDefault="00744684" w:rsidP="00A175BB">
            <w:pPr>
              <w:widowControl w:val="0"/>
              <w:numPr>
                <w:ilvl w:val="2"/>
                <w:numId w:val="2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375E7">
              <w:rPr>
                <w:sz w:val="20"/>
                <w:szCs w:val="20"/>
              </w:rPr>
              <w:t xml:space="preserve">W przypadku pacjentów, o których mowa w sekcji Świadczeniobiorcy </w:t>
            </w:r>
            <w:r w:rsidR="00600A6E" w:rsidRPr="00F375E7">
              <w:rPr>
                <w:sz w:val="20"/>
                <w:szCs w:val="20"/>
              </w:rPr>
              <w:t>IX</w:t>
            </w:r>
            <w:r w:rsidRPr="00F375E7">
              <w:rPr>
                <w:sz w:val="20"/>
                <w:szCs w:val="20"/>
              </w:rPr>
              <w:t xml:space="preserve"> pkt. 1, nie jest wymagane uzupełnianie danych i informacji w elektronicznym systemie monitorowania </w:t>
            </w:r>
            <w:r w:rsidRPr="00F375E7">
              <w:rPr>
                <w:sz w:val="20"/>
                <w:szCs w:val="20"/>
              </w:rPr>
              <w:lastRenderedPageBreak/>
              <w:t>programów lekowych.</w:t>
            </w:r>
          </w:p>
        </w:tc>
      </w:tr>
    </w:tbl>
    <w:p w14:paraId="1400B7D0" w14:textId="77777777" w:rsidR="00221D34" w:rsidRPr="00E43594" w:rsidRDefault="00221D34" w:rsidP="00221D34">
      <w:pPr>
        <w:autoSpaceDE w:val="0"/>
        <w:autoSpaceDN w:val="0"/>
        <w:adjustRightInd w:val="0"/>
        <w:rPr>
          <w:rFonts w:ascii="Courier New" w:hAnsi="Courier New"/>
        </w:rPr>
      </w:pPr>
    </w:p>
    <w:sectPr w:rsidR="00221D34" w:rsidRPr="00E43594" w:rsidSect="00471B0F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CE855" w14:textId="77777777" w:rsidR="00DC351C" w:rsidRDefault="00DC351C" w:rsidP="00BF49D7">
      <w:r>
        <w:separator/>
      </w:r>
    </w:p>
  </w:endnote>
  <w:endnote w:type="continuationSeparator" w:id="0">
    <w:p w14:paraId="71A2AC40" w14:textId="77777777" w:rsidR="00DC351C" w:rsidRDefault="00DC351C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BE0F4" w14:textId="77777777" w:rsidR="00DC351C" w:rsidRDefault="00DC351C" w:rsidP="00BF49D7">
      <w:r>
        <w:separator/>
      </w:r>
    </w:p>
  </w:footnote>
  <w:footnote w:type="continuationSeparator" w:id="0">
    <w:p w14:paraId="34FB0AF7" w14:textId="77777777" w:rsidR="00DC351C" w:rsidRDefault="00DC351C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B3BB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D150C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85C2EB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9366C69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A7D72FF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2BA6497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5D21609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AF41CAD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F06272D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F6C0F15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FE80FC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6FE723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3EC84626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41C32AB1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8A2350B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4FF53C78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5A30A92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5E482C67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68780DD3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98D0A7A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5D53FA2"/>
    <w:multiLevelType w:val="multilevel"/>
    <w:tmpl w:val="5D02841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17"/>
  </w:num>
  <w:num w:numId="7">
    <w:abstractNumId w:val="4"/>
  </w:num>
  <w:num w:numId="8">
    <w:abstractNumId w:val="10"/>
  </w:num>
  <w:num w:numId="9">
    <w:abstractNumId w:val="12"/>
  </w:num>
  <w:num w:numId="10">
    <w:abstractNumId w:val="18"/>
  </w:num>
  <w:num w:numId="11">
    <w:abstractNumId w:val="7"/>
  </w:num>
  <w:num w:numId="12">
    <w:abstractNumId w:val="15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2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5927"/>
    <w:rsid w:val="000814F5"/>
    <w:rsid w:val="00084FB8"/>
    <w:rsid w:val="000A79AC"/>
    <w:rsid w:val="000B7CD7"/>
    <w:rsid w:val="000C0596"/>
    <w:rsid w:val="000C36D5"/>
    <w:rsid w:val="000C4794"/>
    <w:rsid w:val="000D5952"/>
    <w:rsid w:val="00106628"/>
    <w:rsid w:val="00133821"/>
    <w:rsid w:val="001349B5"/>
    <w:rsid w:val="001361F1"/>
    <w:rsid w:val="00144C47"/>
    <w:rsid w:val="001824BF"/>
    <w:rsid w:val="0019143B"/>
    <w:rsid w:val="00196B54"/>
    <w:rsid w:val="001B67B4"/>
    <w:rsid w:val="001E3E14"/>
    <w:rsid w:val="001F2F10"/>
    <w:rsid w:val="00207BD0"/>
    <w:rsid w:val="00221D34"/>
    <w:rsid w:val="0025290F"/>
    <w:rsid w:val="002616CC"/>
    <w:rsid w:val="00262C65"/>
    <w:rsid w:val="00265363"/>
    <w:rsid w:val="0028213B"/>
    <w:rsid w:val="00286C22"/>
    <w:rsid w:val="002B3B8C"/>
    <w:rsid w:val="002B44DE"/>
    <w:rsid w:val="00330EF9"/>
    <w:rsid w:val="00346922"/>
    <w:rsid w:val="003542D8"/>
    <w:rsid w:val="003572AF"/>
    <w:rsid w:val="003A00F3"/>
    <w:rsid w:val="003B7CF8"/>
    <w:rsid w:val="003D03C4"/>
    <w:rsid w:val="003F4A58"/>
    <w:rsid w:val="004311BB"/>
    <w:rsid w:val="00437C4B"/>
    <w:rsid w:val="00471B0F"/>
    <w:rsid w:val="00472B65"/>
    <w:rsid w:val="004853F8"/>
    <w:rsid w:val="00486F50"/>
    <w:rsid w:val="00497A25"/>
    <w:rsid w:val="004A797A"/>
    <w:rsid w:val="004B0757"/>
    <w:rsid w:val="004B4866"/>
    <w:rsid w:val="004D5AE7"/>
    <w:rsid w:val="005026EF"/>
    <w:rsid w:val="00512373"/>
    <w:rsid w:val="00523C92"/>
    <w:rsid w:val="00537404"/>
    <w:rsid w:val="00547315"/>
    <w:rsid w:val="00564A05"/>
    <w:rsid w:val="00565830"/>
    <w:rsid w:val="005E3710"/>
    <w:rsid w:val="00600A6E"/>
    <w:rsid w:val="00604B8D"/>
    <w:rsid w:val="00627BDE"/>
    <w:rsid w:val="006333EE"/>
    <w:rsid w:val="00642045"/>
    <w:rsid w:val="00642C07"/>
    <w:rsid w:val="00653E18"/>
    <w:rsid w:val="00660EF0"/>
    <w:rsid w:val="0068241A"/>
    <w:rsid w:val="00690FA9"/>
    <w:rsid w:val="006B5357"/>
    <w:rsid w:val="00743C43"/>
    <w:rsid w:val="00744684"/>
    <w:rsid w:val="00766318"/>
    <w:rsid w:val="00786E34"/>
    <w:rsid w:val="007B34F4"/>
    <w:rsid w:val="007D188D"/>
    <w:rsid w:val="007F66F8"/>
    <w:rsid w:val="008026DC"/>
    <w:rsid w:val="008118B8"/>
    <w:rsid w:val="00830520"/>
    <w:rsid w:val="0083097B"/>
    <w:rsid w:val="00864948"/>
    <w:rsid w:val="008B6EA7"/>
    <w:rsid w:val="008C3D22"/>
    <w:rsid w:val="008D4287"/>
    <w:rsid w:val="008E4AB6"/>
    <w:rsid w:val="008F26E6"/>
    <w:rsid w:val="009116A6"/>
    <w:rsid w:val="009341E7"/>
    <w:rsid w:val="00936C94"/>
    <w:rsid w:val="009530A8"/>
    <w:rsid w:val="00963F9B"/>
    <w:rsid w:val="00966F29"/>
    <w:rsid w:val="00977709"/>
    <w:rsid w:val="009878D2"/>
    <w:rsid w:val="009A0663"/>
    <w:rsid w:val="009B4469"/>
    <w:rsid w:val="009B538D"/>
    <w:rsid w:val="009F39DF"/>
    <w:rsid w:val="009F538F"/>
    <w:rsid w:val="00A13920"/>
    <w:rsid w:val="00A175BB"/>
    <w:rsid w:val="00A23F3F"/>
    <w:rsid w:val="00A3344E"/>
    <w:rsid w:val="00A46F15"/>
    <w:rsid w:val="00A53D42"/>
    <w:rsid w:val="00A6241F"/>
    <w:rsid w:val="00A70DFE"/>
    <w:rsid w:val="00AC597A"/>
    <w:rsid w:val="00AF0963"/>
    <w:rsid w:val="00AF4EA2"/>
    <w:rsid w:val="00B11596"/>
    <w:rsid w:val="00B152A6"/>
    <w:rsid w:val="00B2755F"/>
    <w:rsid w:val="00B42D08"/>
    <w:rsid w:val="00B53728"/>
    <w:rsid w:val="00B819C7"/>
    <w:rsid w:val="00B900A4"/>
    <w:rsid w:val="00B90EB7"/>
    <w:rsid w:val="00BB08D1"/>
    <w:rsid w:val="00BC6CF9"/>
    <w:rsid w:val="00BD51B5"/>
    <w:rsid w:val="00BE06EC"/>
    <w:rsid w:val="00BF49D7"/>
    <w:rsid w:val="00C07DA7"/>
    <w:rsid w:val="00C2457C"/>
    <w:rsid w:val="00C2602F"/>
    <w:rsid w:val="00C43C2B"/>
    <w:rsid w:val="00C60F36"/>
    <w:rsid w:val="00C71B35"/>
    <w:rsid w:val="00C82603"/>
    <w:rsid w:val="00C93F83"/>
    <w:rsid w:val="00CA491B"/>
    <w:rsid w:val="00CB257E"/>
    <w:rsid w:val="00CB3D45"/>
    <w:rsid w:val="00CB5855"/>
    <w:rsid w:val="00CF4389"/>
    <w:rsid w:val="00CF687B"/>
    <w:rsid w:val="00D1157B"/>
    <w:rsid w:val="00D17E33"/>
    <w:rsid w:val="00D2164A"/>
    <w:rsid w:val="00D24D72"/>
    <w:rsid w:val="00D46159"/>
    <w:rsid w:val="00D618E1"/>
    <w:rsid w:val="00DA24DF"/>
    <w:rsid w:val="00DA6460"/>
    <w:rsid w:val="00DC351C"/>
    <w:rsid w:val="00DD03AB"/>
    <w:rsid w:val="00E05EF9"/>
    <w:rsid w:val="00E23E9D"/>
    <w:rsid w:val="00E248EA"/>
    <w:rsid w:val="00E27612"/>
    <w:rsid w:val="00E331E3"/>
    <w:rsid w:val="00E43594"/>
    <w:rsid w:val="00E555BD"/>
    <w:rsid w:val="00E56687"/>
    <w:rsid w:val="00E751B0"/>
    <w:rsid w:val="00E7549C"/>
    <w:rsid w:val="00EB744E"/>
    <w:rsid w:val="00EC3898"/>
    <w:rsid w:val="00EE46A8"/>
    <w:rsid w:val="00F1486A"/>
    <w:rsid w:val="00F375E7"/>
    <w:rsid w:val="00F579BF"/>
    <w:rsid w:val="00F67349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C8ABF3"/>
  <w15:docId w15:val="{43EFE97B-0737-4B4E-9299-490AB5B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9845B5521B84E915E5A2165E0F2F3" ma:contentTypeVersion="12" ma:contentTypeDescription="Create a new document." ma:contentTypeScope="" ma:versionID="fc4b521961d5b2544a42b95acdc2153f">
  <xsd:schema xmlns:xsd="http://www.w3.org/2001/XMLSchema" xmlns:xs="http://www.w3.org/2001/XMLSchema" xmlns:p="http://schemas.microsoft.com/office/2006/metadata/properties" xmlns:ns3="ba1578fc-93ab-4f63-be22-2218f9cfb4a7" xmlns:ns4="503145e6-b5dd-4d1d-ad5e-f568aa3c319c" targetNamespace="http://schemas.microsoft.com/office/2006/metadata/properties" ma:root="true" ma:fieldsID="954101eb4452529b26714a2051d2e97b" ns3:_="" ns4:_="">
    <xsd:import namespace="ba1578fc-93ab-4f63-be22-2218f9cfb4a7"/>
    <xsd:import namespace="503145e6-b5dd-4d1d-ad5e-f568aa3c3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78fc-93ab-4f63-be22-2218f9cfb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45e6-b5dd-4d1d-ad5e-f568aa3c3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112F9-B066-4E3F-9604-189854176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8B0DEF-08BA-4471-B7F2-EEF6C2ED6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42A8A-7D3E-411A-81BD-6FF28AF7B71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A517709-E74D-419D-AD1D-2FD82237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578fc-93ab-4f63-be22-2218f9cfb4a7"/>
    <ds:schemaRef ds:uri="503145e6-b5dd-4d1d-ad5e-f568aa3c3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99687B-7112-4FF6-A0C1-56BB9A531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4426</Words>
  <Characters>28904</Characters>
  <Application>Microsoft Office Word</Application>
  <DocSecurity>0</DocSecurity>
  <Lines>240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Załącznik do decyzji</vt:lpstr>
      <vt:lpstr>Załącznik do decyzji</vt:lpstr>
    </vt:vector>
  </TitlesOfParts>
  <Company>Ministerstwo Zdrowia</Company>
  <LinksUpToDate>false</LinksUpToDate>
  <CharactersWithSpaces>33264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keywords>*$%PUB-*$%GenBus</cp:keywords>
  <cp:lastModifiedBy>Królak-Buzakowska Joanna</cp:lastModifiedBy>
  <cp:revision>2</cp:revision>
  <cp:lastPrinted>2014-05-08T07:00:00Z</cp:lastPrinted>
  <dcterms:created xsi:type="dcterms:W3CDTF">2021-01-28T17:50:00Z</dcterms:created>
  <dcterms:modified xsi:type="dcterms:W3CDTF">2021-01-28T17:50:00Z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e976d70d-0929-48a1-afa7-2e08859931eb</vt:lpwstr>
  </property>
  <property fmtid="{D5CDD505-2E9C-101B-9397-08002B2CF9AE}" pid="3" name="bjSaver">
    <vt:lpwstr>gvOuDYKqgnC+Ol8ZjbLxz0roa12XtkNn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6" name="bjDocumentSecurityLabel">
    <vt:lpwstr>Public - General Business</vt:lpwstr>
  </property>
  <property fmtid="{D5CDD505-2E9C-101B-9397-08002B2CF9AE}" pid="7" name="ContentTypeId">
    <vt:lpwstr>0x0101001D39845B5521B84E915E5A2165E0F2F3</vt:lpwstr>
  </property>
</Properties>
</file>