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C9" w:rsidRPr="00675B26" w:rsidRDefault="00502DC9" w:rsidP="00675B26">
      <w:pPr>
        <w:pStyle w:val="Nagwek2"/>
      </w:pPr>
      <w:r w:rsidRPr="00675B26">
        <w:t>ZAWIADOMIENIE O PRZETARGU</w:t>
      </w:r>
      <w:r w:rsidR="001A5B5C" w:rsidRPr="00675B26">
        <w:t xml:space="preserve"> </w:t>
      </w:r>
      <w:r w:rsidR="00A419C9" w:rsidRPr="00675B26">
        <w:t>nr PS4.6839.</w:t>
      </w:r>
      <w:r w:rsidR="00F74E40" w:rsidRPr="00675B26">
        <w:t>1</w:t>
      </w:r>
      <w:r w:rsidR="00A419C9" w:rsidRPr="00675B26">
        <w:t>.201</w:t>
      </w:r>
      <w:r w:rsidR="00E57BD1" w:rsidRPr="00675B26">
        <w:t>9</w:t>
      </w:r>
      <w:r w:rsidR="007B30EB" w:rsidRPr="00675B26">
        <w:t xml:space="preserve"> z dnia</w:t>
      </w:r>
      <w:r w:rsidR="00616A52" w:rsidRPr="00675B26">
        <w:t xml:space="preserve"> </w:t>
      </w:r>
      <w:r w:rsidR="00E57BD1" w:rsidRPr="00675B26">
        <w:t xml:space="preserve">24 lipca </w:t>
      </w:r>
      <w:r w:rsidRPr="00675B26">
        <w:t>201</w:t>
      </w:r>
      <w:r w:rsidR="00E57BD1" w:rsidRPr="00675B26">
        <w:t>9</w:t>
      </w:r>
      <w:r w:rsidRPr="00675B26">
        <w:t xml:space="preserve"> r.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Minister</w:t>
      </w:r>
      <w:r w:rsidR="00E60FD4" w:rsidRPr="00015367">
        <w:rPr>
          <w:rFonts w:ascii="Arial" w:hAnsi="Arial" w:cs="Arial"/>
          <w:sz w:val="28"/>
          <w:szCs w:val="28"/>
        </w:rPr>
        <w:t xml:space="preserve"> </w:t>
      </w:r>
      <w:r w:rsidRPr="00015367">
        <w:rPr>
          <w:rFonts w:ascii="Arial" w:hAnsi="Arial" w:cs="Arial"/>
          <w:sz w:val="28"/>
          <w:szCs w:val="28"/>
        </w:rPr>
        <w:t>Finansów działając na podstawie art. 33 ust. 2 usta</w:t>
      </w:r>
      <w:r w:rsidR="00E60FD4" w:rsidRPr="00015367">
        <w:rPr>
          <w:rFonts w:ascii="Arial" w:hAnsi="Arial" w:cs="Arial"/>
          <w:sz w:val="28"/>
          <w:szCs w:val="28"/>
        </w:rPr>
        <w:t xml:space="preserve">wy z dnia 19 listopada 2009 r. </w:t>
      </w:r>
      <w:r w:rsidRPr="00015367">
        <w:rPr>
          <w:rFonts w:ascii="Arial" w:hAnsi="Arial" w:cs="Arial"/>
          <w:sz w:val="28"/>
          <w:szCs w:val="28"/>
        </w:rPr>
        <w:t>o grach hazardowych (Dz. U. z 201</w:t>
      </w:r>
      <w:r w:rsidR="00E57BD1" w:rsidRPr="00015367">
        <w:rPr>
          <w:rFonts w:ascii="Arial" w:hAnsi="Arial" w:cs="Arial"/>
          <w:sz w:val="28"/>
          <w:szCs w:val="28"/>
        </w:rPr>
        <w:t>9</w:t>
      </w:r>
      <w:r w:rsidRPr="00015367">
        <w:rPr>
          <w:rFonts w:ascii="Arial" w:hAnsi="Arial" w:cs="Arial"/>
          <w:sz w:val="28"/>
          <w:szCs w:val="28"/>
        </w:rPr>
        <w:t xml:space="preserve"> r. poz. </w:t>
      </w:r>
      <w:r w:rsidR="00E57BD1" w:rsidRPr="00015367">
        <w:rPr>
          <w:rFonts w:ascii="Arial" w:hAnsi="Arial" w:cs="Arial"/>
          <w:sz w:val="28"/>
          <w:szCs w:val="28"/>
        </w:rPr>
        <w:t>847</w:t>
      </w:r>
      <w:r w:rsidRPr="00015367">
        <w:rPr>
          <w:rFonts w:ascii="Arial" w:hAnsi="Arial" w:cs="Arial"/>
          <w:sz w:val="28"/>
          <w:szCs w:val="28"/>
        </w:rPr>
        <w:t xml:space="preserve">) w związku z § 5 i § 1 rozporządzenia Ministra Finansów z dnia 27 sierpnia 2010 r. w sprawie szczegółowych warunków przeprowadzenia przetargu dla podmiotów ubiegających się o udzielenie koncesji na prowadzenie kasyna gry lub zezwolenia na prowadzenie salonu gry bingo pieniężne (Dz. U. z 2013 r. poz. 1156) 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8E62EB">
      <w:pPr>
        <w:pStyle w:val="Nagwek3"/>
      </w:pPr>
      <w:r w:rsidRPr="00675B26">
        <w:t>OGŁASZA</w:t>
      </w:r>
      <w:r w:rsidR="00015367" w:rsidRPr="00675B26">
        <w:t xml:space="preserve"> </w:t>
      </w:r>
      <w:r w:rsidRPr="00675B26">
        <w:t>PRZETARG NA PROWADZENIE KASYNA GRY</w:t>
      </w:r>
    </w:p>
    <w:p w:rsidR="00502DC9" w:rsidRPr="00015367" w:rsidRDefault="00502DC9" w:rsidP="00015367">
      <w:pPr>
        <w:pStyle w:val="Bezodstpw"/>
        <w:numPr>
          <w:ilvl w:val="0"/>
          <w:numId w:val="3"/>
        </w:numPr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 xml:space="preserve">Przedmiotem przetargu jest udzielenie koncesji na prowadzenie </w:t>
      </w:r>
      <w:r w:rsidR="009A39D1" w:rsidRPr="00015367">
        <w:rPr>
          <w:rFonts w:ascii="Arial" w:hAnsi="Arial" w:cs="Arial"/>
          <w:sz w:val="28"/>
          <w:szCs w:val="28"/>
        </w:rPr>
        <w:t>kasyn</w:t>
      </w:r>
      <w:r w:rsidR="00FB4122" w:rsidRPr="00015367">
        <w:rPr>
          <w:rFonts w:ascii="Arial" w:hAnsi="Arial" w:cs="Arial"/>
          <w:sz w:val="28"/>
          <w:szCs w:val="28"/>
        </w:rPr>
        <w:t>a</w:t>
      </w:r>
      <w:r w:rsidRPr="00015367">
        <w:rPr>
          <w:rFonts w:ascii="Arial" w:hAnsi="Arial" w:cs="Arial"/>
          <w:sz w:val="28"/>
          <w:szCs w:val="28"/>
        </w:rPr>
        <w:t xml:space="preserve"> gry w województwie </w:t>
      </w:r>
      <w:r w:rsidR="00E57BD1" w:rsidRPr="00015367">
        <w:rPr>
          <w:rFonts w:ascii="Arial" w:hAnsi="Arial" w:cs="Arial"/>
          <w:sz w:val="28"/>
          <w:szCs w:val="28"/>
        </w:rPr>
        <w:t>pomorskim</w:t>
      </w:r>
      <w:r w:rsidR="00E16952" w:rsidRPr="00015367">
        <w:rPr>
          <w:rFonts w:ascii="Arial" w:hAnsi="Arial" w:cs="Arial"/>
          <w:sz w:val="28"/>
          <w:szCs w:val="28"/>
        </w:rPr>
        <w:t xml:space="preserve"> z wyłączeniem miejscowości, w których limit został wykorzystany</w:t>
      </w:r>
      <w:r w:rsidR="007B30EB" w:rsidRPr="00015367">
        <w:rPr>
          <w:rFonts w:ascii="Arial" w:hAnsi="Arial" w:cs="Arial"/>
          <w:sz w:val="28"/>
          <w:szCs w:val="28"/>
        </w:rPr>
        <w:t>.</w:t>
      </w: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numPr>
          <w:ilvl w:val="0"/>
          <w:numId w:val="3"/>
        </w:numPr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Wymagana treść ofert: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numPr>
          <w:ilvl w:val="0"/>
          <w:numId w:val="2"/>
        </w:numPr>
        <w:ind w:left="426" w:hanging="437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 xml:space="preserve">dokumenty określone w art. 35 ustawy z dnia 19 listopada 2009 r. o </w:t>
      </w:r>
      <w:r w:rsidR="00E16952" w:rsidRPr="00015367">
        <w:rPr>
          <w:rFonts w:ascii="Arial" w:hAnsi="Arial" w:cs="Arial"/>
          <w:sz w:val="28"/>
          <w:szCs w:val="28"/>
        </w:rPr>
        <w:t>grach hazardowych (Dz. U. z 2019</w:t>
      </w:r>
      <w:r w:rsidRPr="00015367">
        <w:rPr>
          <w:rFonts w:ascii="Arial" w:hAnsi="Arial" w:cs="Arial"/>
          <w:sz w:val="28"/>
          <w:szCs w:val="28"/>
        </w:rPr>
        <w:t xml:space="preserve"> r. poz. </w:t>
      </w:r>
      <w:r w:rsidR="00E16952" w:rsidRPr="00015367">
        <w:rPr>
          <w:rFonts w:ascii="Arial" w:hAnsi="Arial" w:cs="Arial"/>
          <w:sz w:val="28"/>
          <w:szCs w:val="28"/>
        </w:rPr>
        <w:t>847</w:t>
      </w:r>
      <w:r w:rsidRPr="00015367">
        <w:rPr>
          <w:rFonts w:ascii="Arial" w:hAnsi="Arial" w:cs="Arial"/>
          <w:sz w:val="28"/>
          <w:szCs w:val="28"/>
        </w:rPr>
        <w:t>),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BD1F35" w:rsidP="00015367">
      <w:pPr>
        <w:pStyle w:val="Bezodstpw"/>
        <w:ind w:left="426" w:hanging="426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II.</w:t>
      </w:r>
      <w:r w:rsidRPr="00015367">
        <w:rPr>
          <w:rFonts w:ascii="Arial" w:hAnsi="Arial" w:cs="Arial"/>
          <w:sz w:val="28"/>
          <w:szCs w:val="28"/>
        </w:rPr>
        <w:tab/>
      </w:r>
      <w:r w:rsidR="00502DC9" w:rsidRPr="00015367">
        <w:rPr>
          <w:rFonts w:ascii="Arial" w:hAnsi="Arial" w:cs="Arial"/>
          <w:sz w:val="28"/>
          <w:szCs w:val="28"/>
        </w:rPr>
        <w:t xml:space="preserve">informacje i dokumenty zawierające dane konieczne do oceny ofert przetargowych według </w:t>
      </w:r>
      <w:r w:rsidR="00015367">
        <w:rPr>
          <w:rFonts w:ascii="Arial" w:hAnsi="Arial" w:cs="Arial"/>
          <w:sz w:val="28"/>
          <w:szCs w:val="28"/>
        </w:rPr>
        <w:t xml:space="preserve">kryteriów i sposobu oceny ofert </w:t>
      </w:r>
      <w:r w:rsidR="00502DC9" w:rsidRPr="00015367">
        <w:rPr>
          <w:rFonts w:ascii="Arial" w:hAnsi="Arial" w:cs="Arial"/>
          <w:sz w:val="28"/>
          <w:szCs w:val="28"/>
        </w:rPr>
        <w:t xml:space="preserve">przetargowych, wskazanych w ww. rozporządzeniu Ministra Finansów z dnia 27 sierpnia 2010 r. oraz w załączniku do niniejszego zawiadomienia, 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ind w:left="426" w:hanging="426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III.</w:t>
      </w:r>
      <w:r w:rsidRPr="00015367">
        <w:rPr>
          <w:rFonts w:ascii="Arial" w:hAnsi="Arial" w:cs="Arial"/>
          <w:sz w:val="28"/>
          <w:szCs w:val="28"/>
        </w:rPr>
        <w:tab/>
        <w:t>oświadczenia dotyczące zadeklarowania uzyskania określonej podstawy opodatkowania podatkiem od gier.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Dokumenty, o których mowa w pkt I-III winny być składan</w:t>
      </w:r>
      <w:r w:rsidR="00BD1F35" w:rsidRPr="00015367">
        <w:rPr>
          <w:rFonts w:ascii="Arial" w:hAnsi="Arial" w:cs="Arial"/>
          <w:sz w:val="28"/>
          <w:szCs w:val="28"/>
        </w:rPr>
        <w:t xml:space="preserve">e w oryginale lub poświadczone </w:t>
      </w:r>
      <w:r w:rsidRPr="00015367">
        <w:rPr>
          <w:rFonts w:ascii="Arial" w:hAnsi="Arial" w:cs="Arial"/>
          <w:sz w:val="28"/>
          <w:szCs w:val="28"/>
        </w:rPr>
        <w:t>za zgodność z oryginałem notarialnie lub przez adwokata bądź radcę prawnego.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2735C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 xml:space="preserve">Oferty winny być spięte </w:t>
      </w:r>
      <w:r w:rsidR="0052735C" w:rsidRPr="00015367">
        <w:rPr>
          <w:rFonts w:ascii="Arial" w:hAnsi="Arial" w:cs="Arial"/>
          <w:sz w:val="28"/>
          <w:szCs w:val="28"/>
        </w:rPr>
        <w:t>i zawierać ponumerowane strony.</w:t>
      </w:r>
    </w:p>
    <w:p w:rsidR="0052735C" w:rsidRPr="00015367" w:rsidRDefault="0052735C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E324C5" w:rsidRPr="00015367" w:rsidRDefault="00502DC9" w:rsidP="00015367">
      <w:pPr>
        <w:pStyle w:val="Bezodstpw"/>
        <w:numPr>
          <w:ilvl w:val="0"/>
          <w:numId w:val="3"/>
        </w:numPr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Podmioty zainteresowane przetargiem składają swoją ofertę w formie pisemnej, w zalakowanej lub zaplombowanej kopercie zawierającej dane identyfikujące oferenta, w</w:t>
      </w:r>
      <w:r w:rsidR="00F74E40" w:rsidRPr="00015367">
        <w:rPr>
          <w:rFonts w:ascii="Arial" w:hAnsi="Arial" w:cs="Arial"/>
          <w:sz w:val="28"/>
          <w:szCs w:val="28"/>
        </w:rPr>
        <w:t xml:space="preserve"> </w:t>
      </w:r>
      <w:r w:rsidRPr="00015367">
        <w:rPr>
          <w:rFonts w:ascii="Arial" w:hAnsi="Arial" w:cs="Arial"/>
          <w:sz w:val="28"/>
          <w:szCs w:val="28"/>
        </w:rPr>
        <w:t>siedzibie Ministerstwa Finansów: Warszawa, ul</w:t>
      </w:r>
      <w:r w:rsidR="00A2370E" w:rsidRPr="00015367">
        <w:rPr>
          <w:rFonts w:ascii="Arial" w:hAnsi="Arial" w:cs="Arial"/>
          <w:sz w:val="28"/>
          <w:szCs w:val="28"/>
        </w:rPr>
        <w:t>ica Świętokrzyska 12</w:t>
      </w:r>
      <w:r w:rsidRPr="00015367">
        <w:rPr>
          <w:rFonts w:ascii="Arial" w:hAnsi="Arial" w:cs="Arial"/>
          <w:sz w:val="28"/>
          <w:szCs w:val="28"/>
        </w:rPr>
        <w:t xml:space="preserve">, </w:t>
      </w:r>
      <w:r w:rsidR="00A2370E" w:rsidRPr="00015367">
        <w:rPr>
          <w:rFonts w:ascii="Arial" w:hAnsi="Arial" w:cs="Arial"/>
          <w:sz w:val="28"/>
          <w:szCs w:val="28"/>
        </w:rPr>
        <w:t xml:space="preserve">w sekretariacie Departamentu Podatków Sektorowych, Lokalnych oraz Podatku od Gier (PS) </w:t>
      </w:r>
      <w:r w:rsidRPr="00015367">
        <w:rPr>
          <w:rFonts w:ascii="Arial" w:hAnsi="Arial" w:cs="Arial"/>
          <w:sz w:val="28"/>
          <w:szCs w:val="28"/>
        </w:rPr>
        <w:t>w</w:t>
      </w:r>
      <w:r w:rsidR="00F74E40" w:rsidRPr="00015367">
        <w:rPr>
          <w:rFonts w:ascii="Arial" w:hAnsi="Arial" w:cs="Arial"/>
          <w:sz w:val="28"/>
          <w:szCs w:val="28"/>
        </w:rPr>
        <w:t xml:space="preserve"> </w:t>
      </w:r>
      <w:r w:rsidRPr="00015367">
        <w:rPr>
          <w:rFonts w:ascii="Arial" w:hAnsi="Arial" w:cs="Arial"/>
          <w:sz w:val="28"/>
          <w:szCs w:val="28"/>
        </w:rPr>
        <w:t xml:space="preserve">terminie do dnia </w:t>
      </w:r>
      <w:r w:rsidR="00F74E40" w:rsidRPr="00015367">
        <w:rPr>
          <w:rFonts w:ascii="Arial" w:hAnsi="Arial" w:cs="Arial"/>
          <w:sz w:val="28"/>
          <w:szCs w:val="28"/>
        </w:rPr>
        <w:t>2</w:t>
      </w:r>
      <w:r w:rsidR="0028143F" w:rsidRPr="00015367">
        <w:rPr>
          <w:rFonts w:ascii="Arial" w:hAnsi="Arial" w:cs="Arial"/>
          <w:sz w:val="28"/>
          <w:szCs w:val="28"/>
        </w:rPr>
        <w:t>6</w:t>
      </w:r>
      <w:r w:rsidR="00E16952" w:rsidRPr="00015367">
        <w:rPr>
          <w:rFonts w:ascii="Arial" w:hAnsi="Arial" w:cs="Arial"/>
          <w:sz w:val="28"/>
          <w:szCs w:val="28"/>
        </w:rPr>
        <w:t xml:space="preserve"> sierpnia</w:t>
      </w:r>
      <w:r w:rsidR="00F74E40" w:rsidRPr="00015367">
        <w:rPr>
          <w:rFonts w:ascii="Arial" w:hAnsi="Arial" w:cs="Arial"/>
          <w:sz w:val="28"/>
          <w:szCs w:val="28"/>
        </w:rPr>
        <w:t xml:space="preserve"> 201</w:t>
      </w:r>
      <w:r w:rsidR="00E16952" w:rsidRPr="00015367">
        <w:rPr>
          <w:rFonts w:ascii="Arial" w:hAnsi="Arial" w:cs="Arial"/>
          <w:sz w:val="28"/>
          <w:szCs w:val="28"/>
        </w:rPr>
        <w:t>9</w:t>
      </w:r>
      <w:r w:rsidR="000720A5" w:rsidRPr="00015367">
        <w:rPr>
          <w:rFonts w:ascii="Arial" w:hAnsi="Arial" w:cs="Arial"/>
          <w:sz w:val="28"/>
          <w:szCs w:val="28"/>
        </w:rPr>
        <w:t xml:space="preserve"> r.</w:t>
      </w:r>
      <w:r w:rsidRPr="00015367">
        <w:rPr>
          <w:rFonts w:ascii="Arial" w:hAnsi="Arial" w:cs="Arial"/>
          <w:sz w:val="28"/>
          <w:szCs w:val="28"/>
        </w:rPr>
        <w:t xml:space="preserve"> do godz. 14.30. Oznaczenie oferty powinno zawierać nazwę podmiotu, </w:t>
      </w:r>
      <w:r w:rsidR="0052735C" w:rsidRPr="00015367">
        <w:rPr>
          <w:rFonts w:ascii="Arial" w:hAnsi="Arial" w:cs="Arial"/>
          <w:sz w:val="28"/>
          <w:szCs w:val="28"/>
        </w:rPr>
        <w:t>siedzibę i przedmiot przetargu.</w:t>
      </w:r>
      <w:r w:rsidR="00A2370E" w:rsidRPr="00015367">
        <w:rPr>
          <w:rFonts w:ascii="Arial" w:hAnsi="Arial" w:cs="Arial"/>
          <w:sz w:val="28"/>
          <w:szCs w:val="28"/>
        </w:rPr>
        <w:t xml:space="preserve"> W celu potwierdzenia złożenia oferty, podmiot składający ofertę, </w:t>
      </w:r>
      <w:r w:rsidR="00A2370E" w:rsidRPr="00015367">
        <w:rPr>
          <w:rFonts w:ascii="Arial" w:hAnsi="Arial" w:cs="Arial"/>
          <w:sz w:val="28"/>
          <w:szCs w:val="28"/>
        </w:rPr>
        <w:lastRenderedPageBreak/>
        <w:t xml:space="preserve">zobowiązany jest uzyskać poświadczenie jej złożenia w postaci pieczęci </w:t>
      </w:r>
      <w:r w:rsidR="00756962" w:rsidRPr="00015367">
        <w:rPr>
          <w:rFonts w:ascii="Arial" w:hAnsi="Arial" w:cs="Arial"/>
          <w:sz w:val="28"/>
          <w:szCs w:val="28"/>
        </w:rPr>
        <w:t xml:space="preserve">sekretariatu </w:t>
      </w:r>
      <w:r w:rsidR="00A2370E" w:rsidRPr="00015367">
        <w:rPr>
          <w:rFonts w:ascii="Arial" w:hAnsi="Arial" w:cs="Arial"/>
          <w:sz w:val="28"/>
          <w:szCs w:val="28"/>
        </w:rPr>
        <w:t>Departamentu PS.</w:t>
      </w:r>
    </w:p>
    <w:p w:rsidR="000720A5" w:rsidRPr="00015367" w:rsidRDefault="000720A5" w:rsidP="00015367">
      <w:pPr>
        <w:pStyle w:val="Bezodstpw"/>
        <w:ind w:left="284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numPr>
          <w:ilvl w:val="0"/>
          <w:numId w:val="3"/>
        </w:numPr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Rozpoczęcie przetargu i otwarcie ofert nastąpi w siedzibie Ministe</w:t>
      </w:r>
      <w:r w:rsidR="0052735C" w:rsidRPr="00015367">
        <w:rPr>
          <w:rFonts w:ascii="Arial" w:hAnsi="Arial" w:cs="Arial"/>
          <w:sz w:val="28"/>
          <w:szCs w:val="28"/>
        </w:rPr>
        <w:t xml:space="preserve">rstwa Finansów w </w:t>
      </w:r>
      <w:r w:rsidRPr="00015367">
        <w:rPr>
          <w:rFonts w:ascii="Arial" w:hAnsi="Arial" w:cs="Arial"/>
          <w:sz w:val="28"/>
          <w:szCs w:val="28"/>
        </w:rPr>
        <w:t xml:space="preserve">dniu </w:t>
      </w:r>
      <w:r w:rsidR="00B4421A" w:rsidRPr="00015367">
        <w:rPr>
          <w:rFonts w:ascii="Arial" w:hAnsi="Arial" w:cs="Arial"/>
          <w:sz w:val="28"/>
          <w:szCs w:val="28"/>
        </w:rPr>
        <w:t>2</w:t>
      </w:r>
      <w:r w:rsidR="0028143F" w:rsidRPr="00015367">
        <w:rPr>
          <w:rFonts w:ascii="Arial" w:hAnsi="Arial" w:cs="Arial"/>
          <w:sz w:val="28"/>
          <w:szCs w:val="28"/>
        </w:rPr>
        <w:t>9</w:t>
      </w:r>
      <w:r w:rsidR="00B4421A" w:rsidRPr="00015367">
        <w:rPr>
          <w:rFonts w:ascii="Arial" w:hAnsi="Arial" w:cs="Arial"/>
          <w:sz w:val="28"/>
          <w:szCs w:val="28"/>
        </w:rPr>
        <w:t xml:space="preserve"> sierpnia </w:t>
      </w:r>
      <w:r w:rsidR="000F26F6" w:rsidRPr="00015367">
        <w:rPr>
          <w:rFonts w:ascii="Arial" w:hAnsi="Arial" w:cs="Arial"/>
          <w:sz w:val="28"/>
          <w:szCs w:val="28"/>
        </w:rPr>
        <w:t>201</w:t>
      </w:r>
      <w:r w:rsidR="00B4421A" w:rsidRPr="00015367">
        <w:rPr>
          <w:rFonts w:ascii="Arial" w:hAnsi="Arial" w:cs="Arial"/>
          <w:sz w:val="28"/>
          <w:szCs w:val="28"/>
        </w:rPr>
        <w:t>9</w:t>
      </w:r>
      <w:r w:rsidRPr="00015367">
        <w:rPr>
          <w:rFonts w:ascii="Arial" w:hAnsi="Arial" w:cs="Arial"/>
          <w:sz w:val="28"/>
          <w:szCs w:val="28"/>
        </w:rPr>
        <w:t xml:space="preserve"> r. o godzinie 10.00.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5.</w:t>
      </w:r>
      <w:r w:rsidRPr="00015367">
        <w:rPr>
          <w:rFonts w:ascii="Arial" w:hAnsi="Arial" w:cs="Arial"/>
          <w:sz w:val="28"/>
          <w:szCs w:val="28"/>
        </w:rPr>
        <w:tab/>
        <w:t>Komisja przetargowa będzie rozpatrywała wyłącznie dokumentację zawartą w ofercie, przekazaną w zalakowanej lub zaplombowanej kopercie, złożoną zgodnie z pkt 3.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6.</w:t>
      </w:r>
      <w:r w:rsidRPr="00015367">
        <w:rPr>
          <w:rFonts w:ascii="Arial" w:hAnsi="Arial" w:cs="Arial"/>
          <w:sz w:val="28"/>
          <w:szCs w:val="28"/>
        </w:rPr>
        <w:tab/>
        <w:t>Przy ocenianiu ofert będą brane pod uwagę: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0F1B5F" w:rsidP="00015367">
      <w:pPr>
        <w:pStyle w:val="Bezodstpw"/>
        <w:ind w:left="426" w:hanging="426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I.</w:t>
      </w:r>
      <w:r w:rsidR="00502DC9" w:rsidRPr="00015367">
        <w:rPr>
          <w:rFonts w:ascii="Arial" w:hAnsi="Arial" w:cs="Arial"/>
          <w:sz w:val="28"/>
          <w:szCs w:val="28"/>
        </w:rPr>
        <w:tab/>
        <w:t>spełnienie warunków określonych w ustawie o grach hazardowych,</w:t>
      </w: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</w:p>
    <w:p w:rsidR="00502DC9" w:rsidRPr="00015367" w:rsidRDefault="000F1B5F" w:rsidP="00015367">
      <w:pPr>
        <w:pStyle w:val="Bezodstpw"/>
        <w:ind w:left="426" w:hanging="426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II.</w:t>
      </w:r>
      <w:r w:rsidRPr="00015367">
        <w:rPr>
          <w:rFonts w:ascii="Arial" w:hAnsi="Arial" w:cs="Arial"/>
          <w:sz w:val="28"/>
          <w:szCs w:val="28"/>
        </w:rPr>
        <w:tab/>
      </w:r>
      <w:r w:rsidR="00502DC9" w:rsidRPr="00015367">
        <w:rPr>
          <w:rFonts w:ascii="Arial" w:hAnsi="Arial" w:cs="Arial"/>
          <w:sz w:val="28"/>
          <w:szCs w:val="28"/>
        </w:rPr>
        <w:t>kryteria do oceny ofert określone w ww. rozporząd</w:t>
      </w:r>
      <w:r w:rsidR="00015367">
        <w:rPr>
          <w:rFonts w:ascii="Arial" w:hAnsi="Arial" w:cs="Arial"/>
          <w:sz w:val="28"/>
          <w:szCs w:val="28"/>
        </w:rPr>
        <w:t xml:space="preserve">zeniu Ministra Finansów z dnia </w:t>
      </w:r>
      <w:r w:rsidR="00502DC9" w:rsidRPr="00015367">
        <w:rPr>
          <w:rFonts w:ascii="Arial" w:hAnsi="Arial" w:cs="Arial"/>
          <w:sz w:val="28"/>
          <w:szCs w:val="28"/>
        </w:rPr>
        <w:t>27 sierpnia 2010 r. oraz w załączniku do niniejszego zawiadomienia o przetargu.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7.</w:t>
      </w:r>
      <w:r w:rsidRPr="00015367">
        <w:rPr>
          <w:rFonts w:ascii="Arial" w:hAnsi="Arial" w:cs="Arial"/>
          <w:sz w:val="28"/>
          <w:szCs w:val="28"/>
        </w:rPr>
        <w:tab/>
        <w:t>Zgodnie z § 6 ust. 2 pkt 1 i ust. 3 pkt 1 lit. a) i b) ww. rozporządzenia, komisja przetargowa odrzuca oferty złożone po wyznaczonym terminie oraz nies</w:t>
      </w:r>
      <w:r w:rsidR="000F1B5F" w:rsidRPr="00015367">
        <w:rPr>
          <w:rFonts w:ascii="Arial" w:hAnsi="Arial" w:cs="Arial"/>
          <w:sz w:val="28"/>
          <w:szCs w:val="28"/>
        </w:rPr>
        <w:t xml:space="preserve">pełniające wymagań określonych </w:t>
      </w:r>
      <w:r w:rsidRPr="00015367">
        <w:rPr>
          <w:rFonts w:ascii="Arial" w:hAnsi="Arial" w:cs="Arial"/>
          <w:sz w:val="28"/>
          <w:szCs w:val="28"/>
        </w:rPr>
        <w:t xml:space="preserve">w przepisach ustawy o grach hazardowych lub niespełniające wymagań dotyczących treści ofert określonych w rozporządzeniu oraz zawiadomieniu o przetargu. 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8.</w:t>
      </w:r>
      <w:r w:rsidRPr="00015367">
        <w:rPr>
          <w:rFonts w:ascii="Arial" w:hAnsi="Arial" w:cs="Arial"/>
          <w:sz w:val="28"/>
          <w:szCs w:val="28"/>
        </w:rPr>
        <w:tab/>
        <w:t xml:space="preserve">Stosownie do § 6 ust. 3 pkt 2 ww. rozporządzenia, komisja przetargowa dokonuje oceny ofert i ich uszeregowania, umieszczając na pierwszym miejscu ofertę, która uzyskała największą liczbę punktów. </w:t>
      </w:r>
    </w:p>
    <w:p w:rsidR="00502DC9" w:rsidRPr="00015367" w:rsidRDefault="00502DC9" w:rsidP="00015367">
      <w:pPr>
        <w:pStyle w:val="Bezodstpw"/>
        <w:rPr>
          <w:rFonts w:ascii="Arial" w:hAnsi="Arial" w:cs="Arial"/>
          <w:sz w:val="28"/>
          <w:szCs w:val="28"/>
        </w:rPr>
      </w:pP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9.</w:t>
      </w:r>
      <w:r w:rsidRPr="00015367">
        <w:rPr>
          <w:rFonts w:ascii="Arial" w:hAnsi="Arial" w:cs="Arial"/>
          <w:sz w:val="28"/>
          <w:szCs w:val="28"/>
        </w:rPr>
        <w:tab/>
        <w:t>Przekazanie protokołu ministrowi właściwemu do spraw finansów publicznych kończy postępowanie przetargowe.</w:t>
      </w:r>
    </w:p>
    <w:p w:rsidR="00502DC9" w:rsidRPr="00015367" w:rsidRDefault="00502DC9" w:rsidP="00015367">
      <w:pPr>
        <w:pStyle w:val="Bezodstpw"/>
        <w:ind w:left="284" w:hanging="284"/>
        <w:rPr>
          <w:rFonts w:ascii="Arial" w:hAnsi="Arial" w:cs="Arial"/>
          <w:sz w:val="28"/>
          <w:szCs w:val="28"/>
        </w:rPr>
      </w:pPr>
    </w:p>
    <w:p w:rsidR="00E053DE" w:rsidRDefault="00502DC9" w:rsidP="00015367">
      <w:pPr>
        <w:pStyle w:val="Bezodstpw"/>
        <w:ind w:left="426" w:hanging="426"/>
        <w:rPr>
          <w:rFonts w:ascii="Arial" w:hAnsi="Arial" w:cs="Arial"/>
          <w:sz w:val="28"/>
          <w:szCs w:val="28"/>
        </w:rPr>
      </w:pPr>
      <w:r w:rsidRPr="00015367">
        <w:rPr>
          <w:rFonts w:ascii="Arial" w:hAnsi="Arial" w:cs="Arial"/>
          <w:sz w:val="28"/>
          <w:szCs w:val="28"/>
        </w:rPr>
        <w:t>10.</w:t>
      </w:r>
      <w:r w:rsidR="000F1B5F" w:rsidRPr="00015367">
        <w:rPr>
          <w:rFonts w:ascii="Arial" w:hAnsi="Arial" w:cs="Arial"/>
          <w:sz w:val="28"/>
          <w:szCs w:val="28"/>
        </w:rPr>
        <w:t xml:space="preserve"> </w:t>
      </w:r>
      <w:r w:rsidRPr="00015367">
        <w:rPr>
          <w:rFonts w:ascii="Arial" w:hAnsi="Arial" w:cs="Arial"/>
          <w:sz w:val="28"/>
          <w:szCs w:val="28"/>
        </w:rPr>
        <w:t xml:space="preserve">Rozstrzygnięcie przetargu i ogłoszenie wyników przetargu nastąpi w terminie 3 dni roboczych po przekazaniu ministrowi właściwemu do spraw </w:t>
      </w:r>
      <w:r w:rsidR="000F1B5F" w:rsidRPr="00015367">
        <w:rPr>
          <w:rFonts w:ascii="Arial" w:hAnsi="Arial" w:cs="Arial"/>
          <w:sz w:val="28"/>
          <w:szCs w:val="28"/>
        </w:rPr>
        <w:t xml:space="preserve">finansów publicznych protokołu </w:t>
      </w:r>
      <w:r w:rsidRPr="00015367">
        <w:rPr>
          <w:rFonts w:ascii="Arial" w:hAnsi="Arial" w:cs="Arial"/>
          <w:sz w:val="28"/>
          <w:szCs w:val="28"/>
        </w:rPr>
        <w:t>z przetargu, poprzez umieszczenie informacji w Bi</w:t>
      </w:r>
      <w:r w:rsidR="000F1B5F" w:rsidRPr="00015367">
        <w:rPr>
          <w:rFonts w:ascii="Arial" w:hAnsi="Arial" w:cs="Arial"/>
          <w:sz w:val="28"/>
          <w:szCs w:val="28"/>
        </w:rPr>
        <w:t xml:space="preserve">uletynie Informacji Publicznej </w:t>
      </w:r>
      <w:r w:rsidRPr="00015367">
        <w:rPr>
          <w:rFonts w:ascii="Arial" w:hAnsi="Arial" w:cs="Arial"/>
          <w:sz w:val="28"/>
          <w:szCs w:val="28"/>
        </w:rPr>
        <w:t>na stronie podmiotowej ministra właściwego do spraw finansów publicznych.</w:t>
      </w:r>
    </w:p>
    <w:p w:rsidR="00015367" w:rsidRDefault="00015367" w:rsidP="00015367">
      <w:pPr>
        <w:pStyle w:val="Bezodstpw"/>
        <w:ind w:left="426" w:hanging="426"/>
        <w:rPr>
          <w:rFonts w:ascii="Arial" w:hAnsi="Arial" w:cs="Arial"/>
          <w:sz w:val="28"/>
          <w:szCs w:val="28"/>
        </w:rPr>
      </w:pPr>
    </w:p>
    <w:p w:rsidR="00015367" w:rsidRPr="00675B26" w:rsidRDefault="00015367" w:rsidP="00675B26">
      <w:pPr>
        <w:pStyle w:val="Nagwek3"/>
      </w:pPr>
      <w:r w:rsidRPr="00675B26">
        <w:t>Załącznik do zawiadomienia o przetargu nr PS4.6839.1.2019 z dnia 24 lipca 2019 r.</w:t>
      </w:r>
    </w:p>
    <w:p w:rsidR="00015367" w:rsidRPr="00015367" w:rsidRDefault="00015367" w:rsidP="00015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bookmarkEnd w:id="0"/>
      <w:r w:rsidRPr="00015367">
        <w:rPr>
          <w:rFonts w:ascii="Arial" w:eastAsia="Times New Roman" w:hAnsi="Arial" w:cs="Arial"/>
          <w:sz w:val="28"/>
          <w:szCs w:val="28"/>
          <w:lang w:eastAsia="pl-PL"/>
        </w:rPr>
        <w:t>Kryteria i sposób oceny ofert przetargowych</w:t>
      </w:r>
    </w:p>
    <w:p w:rsidR="00015367" w:rsidRPr="00015367" w:rsidRDefault="00015367" w:rsidP="00015367">
      <w:pPr>
        <w:autoSpaceDE w:val="0"/>
        <w:autoSpaceDN w:val="0"/>
        <w:adjustRightInd w:val="0"/>
        <w:spacing w:before="20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t>1. Atrakcyjność proponowanej lokalizacji kasyna gry: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lokalizacja budynku: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w centrum miasta,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lastRenderedPageBreak/>
        <w:t>b)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przy ruchliwym ciągu komunikacyjnym,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c)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w obrębie lub bezpośrednim sąsiedztwie centrum rozrywki;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standard budynku: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5 pkt – hotel kategorii cztery albo pięć gwiazdek,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4 pkt – budynek zabytkowy,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c)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3 pkt – budynek nowy,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d)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3 pkt – hotel kategorii trzy gwiazdki. 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bCs/>
          <w:color w:val="000000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color w:val="000000"/>
          <w:sz w:val="28"/>
          <w:szCs w:val="28"/>
          <w:lang w:eastAsia="pl-PL"/>
        </w:rPr>
        <w:t>2. Planowany termin rozpoczęcia działalności kasyna gry:</w:t>
      </w:r>
    </w:p>
    <w:p w:rsidR="00015367" w:rsidRPr="00015367" w:rsidRDefault="00015367" w:rsidP="00015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 3 pkt – w przypadku zadeklarowania przez podmiot bądź podmioty ubiegające się o udzielenie koncesji terminu rozpoczęcia działalności nieprzekraczającego 3 miesięcy od dnia udzielenia koncesji;</w:t>
      </w:r>
    </w:p>
    <w:p w:rsidR="00015367" w:rsidRPr="00015367" w:rsidRDefault="00015367" w:rsidP="00015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 xml:space="preserve">2) 2 pkt – w przypadku zadeklarowania przez podmiot bądź podmioty ubiegające się o udzielenie koncesji terminu rozpoczęcia działalności wynoszącego ponad 3 miesiące i nieprzekraczającego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br/>
        <w:t>6 miesięcy od dnia udzielenia koncesji;</w:t>
      </w:r>
    </w:p>
    <w:p w:rsidR="00015367" w:rsidRPr="00015367" w:rsidRDefault="00015367" w:rsidP="00015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 xml:space="preserve">3) 1 pkt – w przypadku zadeklarowania przez podmiot bądź podmioty ubiegające się o udzielenie koncesji terminu rozpoczęcia działalności wynoszącego ponad 6 miesięcy i nieprzekraczającego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br/>
        <w:t>12 miesięcy od dnia udzielenia koncesji;</w:t>
      </w:r>
    </w:p>
    <w:p w:rsidR="00015367" w:rsidRPr="00015367" w:rsidRDefault="00015367" w:rsidP="00015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4) 0 pkt – w przypadku zadeklarowania przez podmiot bądź podmioty ubiegające się o udzielenie koncesji terminu rozpoczęcia działalności wynoszącego ponad 12 miesięcy od dnia udzielenia koncesji.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bCs/>
          <w:color w:val="000000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color w:val="000000"/>
          <w:sz w:val="28"/>
          <w:szCs w:val="28"/>
          <w:lang w:eastAsia="pl-PL"/>
        </w:rPr>
        <w:t>3. Planowane godziny otwarcia kasyna gry:</w:t>
      </w:r>
    </w:p>
    <w:p w:rsidR="00015367" w:rsidRPr="00015367" w:rsidRDefault="00015367" w:rsidP="000153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 xml:space="preserve">1)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w przypadku gdy obiekt będzie otwarty dłużej niż 12 godzin na dobę;</w:t>
      </w:r>
    </w:p>
    <w:p w:rsidR="00015367" w:rsidRPr="00015367" w:rsidRDefault="00015367" w:rsidP="000153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 0,5 pkt – w przypadku gdy obiekt będzie otwarty od 8 do 12 godzin na dobę;</w:t>
      </w:r>
    </w:p>
    <w:p w:rsidR="00015367" w:rsidRPr="00015367" w:rsidRDefault="00015367" w:rsidP="000153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 xml:space="preserve">3)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0 pkt – w przypadku gdy obiekt będzie otwarty krócej niż 8 godzin na dobę.</w:t>
      </w:r>
    </w:p>
    <w:p w:rsidR="00015367" w:rsidRPr="00015367" w:rsidRDefault="00015367" w:rsidP="000153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bCs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t>3a. Deklarowana podstawa opodatkowania podatkiem od gie</w:t>
      </w:r>
      <w:r>
        <w:rPr>
          <w:rFonts w:ascii="Arial" w:eastAsia="Arial Unicode MS" w:hAnsi="Arial" w:cs="Arial"/>
          <w:bCs/>
          <w:sz w:val="28"/>
          <w:szCs w:val="28"/>
          <w:lang w:eastAsia="pl-PL"/>
        </w:rPr>
        <w:t xml:space="preserve">r, jaką podmiot ubiegający się </w:t>
      </w: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t xml:space="preserve">o udzielenie koncesji planuje osiągnąć w działalności prowadzonej na podstawie koncesji </w:t>
      </w: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br/>
        <w:t>w kasynie gry, którego dotyczy złożona oferta: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sz w:val="28"/>
          <w:szCs w:val="28"/>
          <w:lang w:eastAsia="pl-PL"/>
        </w:rPr>
        <w:t>1) 3 pkt – w przypadku zadeklarowania najwyższej podstawy opodatkowania podatkiem od gier przez podmiot bądź podmioty ubiegające się o udzielenie koncesji;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sz w:val="28"/>
          <w:szCs w:val="28"/>
          <w:lang w:eastAsia="pl-PL"/>
        </w:rPr>
        <w:t>2) 2 pkt – w przypadku zadeklarowania drugiej pod względem wysokości podstawy opodatkowania podatkiem od gier przez podmiot bądź podmioty ubiegające się o udzielenie koncesji;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sz w:val="28"/>
          <w:szCs w:val="28"/>
          <w:lang w:eastAsia="pl-PL"/>
        </w:rPr>
        <w:t>3) 1 pkt – w przypadku zadeklarowania trzeciej i kolejnej pod względem wysokości podstawy opodatkowania podatkiem od gier przez podmiot bądź podmioty ubiegające się o udzielenie koncesji.</w:t>
      </w:r>
    </w:p>
    <w:p w:rsidR="00015367" w:rsidRPr="00015367" w:rsidRDefault="00015367" w:rsidP="00015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bCs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lastRenderedPageBreak/>
        <w:t xml:space="preserve">3b. Wielkość powierzchni kasyna gry przeznaczonej bezpośrednio na prowadzenie gier hazardowych: 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sz w:val="28"/>
          <w:szCs w:val="28"/>
          <w:lang w:eastAsia="pl-PL"/>
        </w:rPr>
        <w:t>1) 3 pkt – w przypadku zadeklarowania największej powierzchni przeznaczonej bezpośrednio na prowadzenie gier hazardowych przez podmiot bądź podmioty ubiegające się o udzielenie koncesji;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sz w:val="28"/>
          <w:szCs w:val="28"/>
          <w:lang w:eastAsia="pl-PL"/>
        </w:rPr>
        <w:t>2) 2 pkt – w przypadku zadeklarowania drugiej pod względem wielkości powierzchni przeznaczonej bezpośrednio na prowadzenie gier hazardowych przez podmiot bądź podmioty ubiegające się o udzielenie koncesji;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sz w:val="28"/>
          <w:szCs w:val="28"/>
          <w:lang w:eastAsia="pl-PL"/>
        </w:rPr>
        <w:t>3) 1 pkt – w przypadku zadeklarowania trzeciej i kolejnej pod względem wielkości powierzchni przeznaczonej bezpośrednio na prowadzenie gier hazardowych przez podmiot bądź podmioty ubiegające się o udzielenie koncesji.</w:t>
      </w:r>
    </w:p>
    <w:p w:rsidR="00015367" w:rsidRPr="00015367" w:rsidRDefault="00015367" w:rsidP="000153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t>4. Terminowość rozpoczynania dotychczasowej działalności po uzyskaniu koncesji lub zezwolenia w wyniku przetargu w okresie ostatnich trzech lat kalendarzowych poprzedzających rok, w którym zostało ogłoszone zawiadomienie o przetargu: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3 pkt – w przypadku gdy podmiot ubiegający się o udzielenie k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oncesji lub zezwolenia uzyskał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>w tym okresie koncesję lub zezwolenie w wyniku przetargu i rozpoczął działalność w terminie zadeklarowanym w ofercie, z zastrzeżeniem, że w przypadku podmiotu, który w tym okresie uzyskał więcej niż jedną koncesję lub zezwolenie, liczba punktów mieści się w przedziale od 0 do 3, odpowiednio: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3 pkt – w przypadku otwarcia w zadeklarowanym terminie od 100 % do 75 % ośrodków,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2 pkt – w przypadku otwarcia w zadeklarowanym terminie poniżej 75 % do 50 % ośrodków,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c)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w przypadku otwarcia w zadeklarowanym terminie poniżej 50 % do 25 % ośrodków,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d)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0 pkt – w przypadku otwarcia w zadeklarowanym terminie poniżej 25 % ośrodków;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2 pkt – w przypadku podmiotu ubiegającego się o udzielenie koncesji lub zezwolenia, który: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dotychczas nie uzyskał koncesji lub zezwolenia w wyniku przetargu, w tym dotychczas nie przystępował do przetargu,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uzyskał koncesję lub zezwolenie w wyniku przetargu w innym okresie,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c)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nie może być poddany ocenie ze względu na fakt, że deklarowany termin rozpoczęcia działalności jeszcze nie upłynął;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3)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0 pkt – w przypadku gdy podmiot ubiegający się o udzielenie k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oncesji lub zezwolenia uzyskał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>w tym okresie koncesję lub zezwolenie w wyniku przetargu, l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ecz nie rozpoczął działalności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>w zadeklarowanym w ofercie terminie.</w:t>
      </w:r>
    </w:p>
    <w:p w:rsidR="00015367" w:rsidRPr="00015367" w:rsidRDefault="00015367" w:rsidP="00015367">
      <w:pPr>
        <w:autoSpaceDE w:val="0"/>
        <w:autoSpaceDN w:val="0"/>
        <w:adjustRightInd w:val="0"/>
        <w:spacing w:before="20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lastRenderedPageBreak/>
        <w:t>5. Zgodność wysokości podstawy opodatkowania podatkiem od gier uprzednio deklarowanej przez podmiot, który uzyskał koncesję lub zezwolenie w wyniku przetargu, z realnie uzyskaną w działalności prowadzonej na podstawie takiej koncesji lub zezwolenia, biorąc pod uwagę koncesje i zezwolenia uzyskane w okresie ostatnich trzech lat kalendarzowych poprzedzających rok, w którym zostało ogłoszone zawiadomienie o przetargu: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4 pkt – w przypadku gdy zgodność pomiędzy deklarowaną a realnie uzyskaną podstawą opodatkowania występuje w przedziale powyżej 75 % do 100%,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2 pkt – w przypadku gdy zgodność pomiędzy deklarowaną a realnie uzyskaną podstawą opodatkowania występuje w przedziale od 50 % do 75 %,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3)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2 pkt – w przypadku podmiotów, które dotychczas nie przystępowały do przetargu lub uzyskały koncesję lub zezwolenie w wyniku przetargu w innym okresie, lub w stosu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nku do których nie jest możliwe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>zweryfikowanie deklarowanej wysokości podstawy opodatkowania ze względu na zbyt krótki okres sprawozdawczości,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4)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0 pkt – w przypadku gdy zgodność pomiędzy deklarowaną a realnie uzyskaną podstawą opodatkowania podatkiem od gier wynosi poniżej 50 %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>- przy czym w przypadku podmiotu, który w okresie ostatnich trzech lat kalendarzowych poprzedzających rok, w którym zostało ogłoszone zawiadomienie o przetargu, uzyskał więcej niż jedną koncesję lub zezwolenie w wyniku przetargu, bierze się pod uwagę średnią kwot podstawy opodatkowania deklarowanych i uzyskanych.</w:t>
      </w:r>
    </w:p>
    <w:p w:rsidR="00015367" w:rsidRPr="00015367" w:rsidRDefault="00015367" w:rsidP="00015367">
      <w:pPr>
        <w:autoSpaceDE w:val="0"/>
        <w:autoSpaceDN w:val="0"/>
        <w:adjustRightInd w:val="0"/>
        <w:spacing w:before="20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t>6. Przypadki cofnięcia koncesji, zezwolenia lub innego zezwolenia w zakresie gier hazardowych lub wezwania przez organ udzielający takiej koncesji lub zezwoleń do usunięcia stwierdzonych uchybień w okresie ostatnich trzech lat kalendarzowych poprzedzających rok, w którym zostało ogłoszone zawiadomienie o przetargu: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2 pkt – w przypadku podmiotu: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któremu w tym okresie nie cofnięto koncesji, zezwolenia lub innego zezwolenia w zakresie gier hazardowych ani do którego nie skierowano w tym okresie wezwania do usunięcia stwierdzonych uchybień,</w:t>
      </w:r>
    </w:p>
    <w:p w:rsidR="00015367" w:rsidRPr="00015367" w:rsidRDefault="00015367" w:rsidP="00015367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który nie prowadził w tym okresie działalności w zakresie gier hazardowych;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0 pkt – w przypadku podmiotu, do którego w tym okresie skierowano wezwanie do usunięcia stwierdzonych uchybień bądź któremu cofnięto koncesję, zezwolenie lub inne zezwolenie 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br/>
        <w:t>w zakresie gier hazardowych.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7. Uchybienia w dotychczas prowadzonej działalności w zakresie gier hazardowych, potwierdzone przez organ udzielający koncesji, zezwolenia lub innego zezwolenia w zakresie gier hazardowych lub </w:t>
      </w: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lastRenderedPageBreak/>
        <w:t>organ właściwy w sprawach kontroli w okresie ostatnich trzech lat kalendarzowych poprzedzających rok, w którym został</w:t>
      </w:r>
      <w:r w:rsidR="001A5B5C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o ogłoszone zawiadomienie </w:t>
      </w: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t>o przetargu: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w przypadku gdy nie stwierdzono uchybień, które w tym okresie zostały potwierdzone, oraz w przypadku podmiotów, które w tym okresie nie prowadziły działalności w zakresie gier hazardowych;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0 pkt – w przypadku gdy stwierdzono uchybienia, które w tym okresie zostały potwierdzone.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bCs/>
          <w:sz w:val="28"/>
          <w:szCs w:val="28"/>
          <w:lang w:eastAsia="pl-PL"/>
        </w:rPr>
        <w:t>8. Rentowność (wynik netto w każdym z ostatnich trzech lat działalności):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2 pkt – w przypadku wyniku dodatniego;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w przypadku podmiotów, co do których nie można ustalić wyniku netto w trzech ostatnich latach działalności;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3)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0 pkt – w przypadku wyniku ujemnego.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sz w:val="28"/>
          <w:szCs w:val="28"/>
          <w:lang w:eastAsia="pl-PL"/>
        </w:rPr>
        <w:t>9. Doświadczenie na rynku gier hazardowych: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1 pkt – w przypadku gdy podmiot posiada doświadczenie na rynku gier hazardowych;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15367"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015367">
        <w:rPr>
          <w:rFonts w:ascii="Arial" w:eastAsia="Times New Roman" w:hAnsi="Arial" w:cs="Arial"/>
          <w:sz w:val="28"/>
          <w:szCs w:val="28"/>
          <w:lang w:eastAsia="pl-PL"/>
        </w:rPr>
        <w:tab/>
        <w:t>0 pkt – w przypadku gdy podmiot nie posiada doświadczenia na rynku gier hazardowych.</w:t>
      </w:r>
    </w:p>
    <w:p w:rsidR="00015367" w:rsidRPr="00015367" w:rsidRDefault="00015367" w:rsidP="00015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bCs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t xml:space="preserve">10. Stwierdzone przez organ udzielający koncesji lub zezwolenia lub organ właściwy </w:t>
      </w: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br/>
        <w:t>w sprawach kontroli niedotrzymanie warunków deklarowanych w ofercie, w zakresie kryteriów oceny ofert, o których mowa w ust. 1 pkt 1, 3 i 3b przez podmiot, który uzyskał koncesję lub zezwolenie w wyniku przetargu, w okresie trzech lat od uzyskania koncesji lub zezwolenia, przy czym stwierdzone niedotrzymanie warunków deklarowanych w ofercie bierze się pod uwagę w przetargach ogłoszonych w okresie sześciu lat od uzyskania koncesji lub zezwolenia: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bCs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t>1) 2 pkt – w przypadku gdy nie stwierdzono niedotrzymania warunków deklarowanych w ofercie przez podmiot bądź podmioty ubiegające się o udzielenie koncesji lub zezwolenia;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bCs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t xml:space="preserve">2) 1 pkt – w przypadku podmiotów, które dotychczas nie uzyskały koncesji lub zezwolenia </w:t>
      </w: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br/>
        <w:t xml:space="preserve">w wyniku przetargu, w tym dotychczas nie przystępowały do przetargu, lub uzyskały koncesję </w:t>
      </w: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br/>
        <w:t>lub zezwolenie w wyniku przetargu w innym okresie;</w:t>
      </w:r>
    </w:p>
    <w:p w:rsidR="00015367" w:rsidRPr="00015367" w:rsidRDefault="00015367" w:rsidP="00015367">
      <w:pPr>
        <w:spacing w:after="0" w:line="240" w:lineRule="auto"/>
        <w:rPr>
          <w:rFonts w:ascii="Arial" w:eastAsia="Arial Unicode MS" w:hAnsi="Arial" w:cs="Arial"/>
          <w:sz w:val="28"/>
          <w:szCs w:val="28"/>
          <w:lang w:eastAsia="pl-PL"/>
        </w:rPr>
      </w:pPr>
      <w:r w:rsidRPr="00015367">
        <w:rPr>
          <w:rFonts w:ascii="Arial" w:eastAsia="Arial Unicode MS" w:hAnsi="Arial" w:cs="Arial"/>
          <w:bCs/>
          <w:sz w:val="28"/>
          <w:szCs w:val="28"/>
          <w:lang w:eastAsia="pl-PL"/>
        </w:rPr>
        <w:t>3) 0 pkt – w przypadku gdy stwierdzono co najmniej jeden przypadek niedotrzymania warunków deklarowanych w ofercie przez podmiot bądź podmioty ubiegające się o udzielenie koncesji lub zezwolenia</w:t>
      </w:r>
      <w:r w:rsidRPr="00015367">
        <w:rPr>
          <w:rFonts w:ascii="Arial" w:eastAsia="Arial Unicode MS" w:hAnsi="Arial" w:cs="Arial"/>
          <w:sz w:val="28"/>
          <w:szCs w:val="28"/>
          <w:lang w:eastAsia="pl-PL"/>
        </w:rPr>
        <w:t>.</w:t>
      </w:r>
    </w:p>
    <w:p w:rsidR="00015367" w:rsidRPr="00015367" w:rsidRDefault="00015367" w:rsidP="00015367">
      <w:pPr>
        <w:pStyle w:val="Bezodstpw"/>
        <w:ind w:left="426" w:hanging="426"/>
        <w:rPr>
          <w:rFonts w:ascii="Arial" w:hAnsi="Arial" w:cs="Arial"/>
          <w:sz w:val="28"/>
          <w:szCs w:val="28"/>
        </w:rPr>
      </w:pPr>
    </w:p>
    <w:sectPr w:rsidR="00015367" w:rsidRPr="00015367" w:rsidSect="000A0217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67B6"/>
    <w:multiLevelType w:val="hybridMultilevel"/>
    <w:tmpl w:val="DF5A4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9F"/>
    <w:multiLevelType w:val="hybridMultilevel"/>
    <w:tmpl w:val="6218B470"/>
    <w:lvl w:ilvl="0" w:tplc="CDB06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02DA"/>
    <w:multiLevelType w:val="hybridMultilevel"/>
    <w:tmpl w:val="ADFE7BCE"/>
    <w:lvl w:ilvl="0" w:tplc="FC2CB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F055E8"/>
    <w:multiLevelType w:val="hybridMultilevel"/>
    <w:tmpl w:val="00ECC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C9"/>
    <w:rsid w:val="00015367"/>
    <w:rsid w:val="000720A5"/>
    <w:rsid w:val="00094148"/>
    <w:rsid w:val="000A0217"/>
    <w:rsid w:val="000D5E61"/>
    <w:rsid w:val="000F1B5F"/>
    <w:rsid w:val="000F26F6"/>
    <w:rsid w:val="001303B8"/>
    <w:rsid w:val="00146589"/>
    <w:rsid w:val="001A5B5C"/>
    <w:rsid w:val="00221B6D"/>
    <w:rsid w:val="00224523"/>
    <w:rsid w:val="00236D6B"/>
    <w:rsid w:val="00253614"/>
    <w:rsid w:val="0028143F"/>
    <w:rsid w:val="002931C5"/>
    <w:rsid w:val="002C5A50"/>
    <w:rsid w:val="003B6DB2"/>
    <w:rsid w:val="003C38BA"/>
    <w:rsid w:val="003F07A8"/>
    <w:rsid w:val="00461E26"/>
    <w:rsid w:val="00502DC9"/>
    <w:rsid w:val="0052735C"/>
    <w:rsid w:val="00616A52"/>
    <w:rsid w:val="0067204B"/>
    <w:rsid w:val="00675B26"/>
    <w:rsid w:val="00680560"/>
    <w:rsid w:val="00752313"/>
    <w:rsid w:val="00756962"/>
    <w:rsid w:val="00766EE4"/>
    <w:rsid w:val="007B30EB"/>
    <w:rsid w:val="007B3115"/>
    <w:rsid w:val="00880873"/>
    <w:rsid w:val="008C7918"/>
    <w:rsid w:val="008E2C69"/>
    <w:rsid w:val="008E62EB"/>
    <w:rsid w:val="00912307"/>
    <w:rsid w:val="009A39D1"/>
    <w:rsid w:val="009B4AEC"/>
    <w:rsid w:val="00A15ECD"/>
    <w:rsid w:val="00A2370E"/>
    <w:rsid w:val="00A3753A"/>
    <w:rsid w:val="00A419C9"/>
    <w:rsid w:val="00A503EC"/>
    <w:rsid w:val="00A6289C"/>
    <w:rsid w:val="00AC405C"/>
    <w:rsid w:val="00B02CB8"/>
    <w:rsid w:val="00B27A28"/>
    <w:rsid w:val="00B4421A"/>
    <w:rsid w:val="00B91139"/>
    <w:rsid w:val="00BD1F35"/>
    <w:rsid w:val="00C01B31"/>
    <w:rsid w:val="00C07FF7"/>
    <w:rsid w:val="00C30D83"/>
    <w:rsid w:val="00C70E05"/>
    <w:rsid w:val="00C77E2B"/>
    <w:rsid w:val="00C926BF"/>
    <w:rsid w:val="00D2574B"/>
    <w:rsid w:val="00DA306E"/>
    <w:rsid w:val="00E16952"/>
    <w:rsid w:val="00E324C5"/>
    <w:rsid w:val="00E57BD1"/>
    <w:rsid w:val="00E60FD4"/>
    <w:rsid w:val="00EE29E1"/>
    <w:rsid w:val="00F74E40"/>
    <w:rsid w:val="00FA05BE"/>
    <w:rsid w:val="00F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3EE86-151B-446D-AB20-0C0C3D31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B26"/>
    <w:pPr>
      <w:outlineLvl w:val="1"/>
    </w:pPr>
    <w:rPr>
      <w:rFonts w:ascii="Arial" w:hAnsi="Arial" w:cs="Arial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5B26"/>
    <w:pPr>
      <w:outlineLvl w:val="2"/>
    </w:pPr>
    <w:rPr>
      <w:rFonts w:ascii="Arial" w:hAnsi="Arial" w:cs="Arial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2D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237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5B26"/>
    <w:rPr>
      <w:rFonts w:ascii="Arial" w:hAnsi="Arial" w:cs="Arial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75B26"/>
    <w:rPr>
      <w:rFonts w:ascii="Arial" w:hAnsi="Arial" w:cs="Ari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8B4-CFA8-484A-81E9-0E2A872C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1849</Words>
  <Characters>11097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Polski Marek</dc:creator>
  <cp:lastModifiedBy>Polski Marek</cp:lastModifiedBy>
  <cp:revision>10</cp:revision>
  <dcterms:created xsi:type="dcterms:W3CDTF">2019-09-02T14:20:00Z</dcterms:created>
  <dcterms:modified xsi:type="dcterms:W3CDTF">2019-09-02T14:39:00Z</dcterms:modified>
</cp:coreProperties>
</file>