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9F" w:rsidRDefault="0020199F" w:rsidP="002C2F49">
      <w:pPr>
        <w:jc w:val="center"/>
        <w:rPr>
          <w:rFonts w:cs="Arial"/>
          <w:b/>
          <w:lang w:val="pl-PL"/>
        </w:rPr>
      </w:pPr>
      <w:bookmarkStart w:id="0" w:name="_GoBack"/>
      <w:bookmarkEnd w:id="0"/>
    </w:p>
    <w:p w:rsidR="007A3FF2" w:rsidRDefault="007A3FF2" w:rsidP="00A308C0">
      <w:pPr>
        <w:spacing w:after="240"/>
        <w:jc w:val="center"/>
        <w:rPr>
          <w:rFonts w:cs="Arial"/>
          <w:b/>
          <w:lang w:val="pl-PL"/>
        </w:rPr>
      </w:pPr>
    </w:p>
    <w:p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 ZAŁOŻEŃ PROJEKTU INFORMATYCZNEGO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2423"/>
        <w:gridCol w:w="2407"/>
        <w:gridCol w:w="2814"/>
      </w:tblGrid>
      <w:tr w:rsidR="00D9223C" w:rsidRPr="00C73D50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AB1B53" w:rsidDel="00440618" w:rsidRDefault="00AB1B53" w:rsidP="001B6667">
            <w:pPr>
              <w:jc w:val="both"/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</w:pPr>
            <w:r w:rsidRPr="00E9745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Rozwój nowoczesnych wewnętrznych technologii informacyjno-komunikacyjnych dla usług świadczonych drogą elektroniczną w Narodowym Instytucie Zdrowia Publicznego - Państwowym Zakładzie Higieny (NIZP-PZH)</w:t>
            </w:r>
          </w:p>
        </w:tc>
      </w:tr>
      <w:tr w:rsidR="00D9223C" w:rsidRPr="00C73D50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AB1B53" w:rsidRPr="00813C17" w:rsidRDefault="00AB1B53" w:rsidP="00AB1B5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813C1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Ministerstwo Zdrowia ul. Miodowa 15, </w:t>
            </w:r>
          </w:p>
          <w:p w:rsidR="00D9223C" w:rsidRPr="001B6667" w:rsidDel="00440618" w:rsidRDefault="00AB1B53" w:rsidP="00AB1B53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  <w:r w:rsidRPr="00813C1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00-952 Warszawa</w:t>
            </w:r>
          </w:p>
        </w:tc>
      </w:tr>
      <w:tr w:rsidR="00D9223C" w:rsidRPr="00402AAE" w:rsidDel="00440618" w:rsidTr="00E9745E">
        <w:trPr>
          <w:trHeight w:val="518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866FA0" w:rsidDel="00440618" w:rsidRDefault="00AB1B53" w:rsidP="00AB1B53">
            <w:pPr>
              <w:jc w:val="both"/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E9745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Narodowy Instytut Zdrowia Publicznego – Państwowy Zakład Higieny; ul. Chocimska 24; 00-791 Warszawa</w:t>
            </w:r>
          </w:p>
        </w:tc>
      </w:tr>
      <w:tr w:rsidR="00D9223C" w:rsidRPr="001B6667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E9745E" w:rsidP="00E9745E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  <w:r w:rsidRPr="00E9745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Brak</w:t>
            </w:r>
          </w:p>
        </w:tc>
      </w:tr>
      <w:tr w:rsidR="00D9223C" w:rsidRPr="00F75B35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63457E" w:rsidRDefault="00D9223C" w:rsidP="001B6667">
            <w:pPr>
              <w:spacing w:after="120"/>
              <w:rPr>
                <w:rFonts w:asciiTheme="majorHAnsi" w:hAnsiTheme="majorHAnsi" w:cstheme="majorHAnsi"/>
                <w:sz w:val="20"/>
                <w:lang w:val="pl-PL"/>
              </w:rPr>
            </w:pPr>
            <w:r w:rsidRPr="00FB42B3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813C17" w:rsidRDefault="00223036" w:rsidP="008E323E">
            <w:pPr>
              <w:rPr>
                <w:rFonts w:asciiTheme="majorHAnsi" w:hAnsiTheme="majorHAnsi" w:cstheme="majorHAnsi"/>
                <w:sz w:val="20"/>
                <w:lang w:val="pl-PL"/>
              </w:rPr>
            </w:pPr>
            <w:r w:rsidRPr="00813C17">
              <w:rPr>
                <w:rFonts w:asciiTheme="majorHAnsi" w:hAnsiTheme="majorHAnsi" w:cstheme="majorHAnsi"/>
                <w:sz w:val="20"/>
                <w:lang w:val="pl-PL"/>
              </w:rPr>
              <w:t>środki UE – Program Operacyjny Polska Cyfrowa, Działanie 2.2 „Cyfryzacja procesów back-office w administracji rządowej” oraz środki krajowe (współfinansowanie)</w:t>
            </w:r>
            <w:r w:rsidR="0063457E" w:rsidRPr="00813C17">
              <w:rPr>
                <w:rFonts w:asciiTheme="majorHAnsi" w:hAnsiTheme="majorHAnsi" w:cstheme="majorHAnsi"/>
                <w:sz w:val="20"/>
                <w:lang w:val="pl-PL"/>
              </w:rPr>
              <w:t>,</w:t>
            </w:r>
          </w:p>
          <w:p w:rsidR="0063457E" w:rsidRPr="0063457E" w:rsidDel="00440618" w:rsidRDefault="0063457E" w:rsidP="008E323E">
            <w:pPr>
              <w:rPr>
                <w:rFonts w:asciiTheme="majorHAnsi" w:hAnsiTheme="majorHAnsi" w:cstheme="majorHAnsi"/>
                <w:sz w:val="20"/>
                <w:lang w:val="pl-PL"/>
              </w:rPr>
            </w:pPr>
            <w:r w:rsidRPr="00813C17">
              <w:rPr>
                <w:rFonts w:asciiTheme="majorHAnsi" w:hAnsiTheme="majorHAnsi" w:cstheme="majorHAnsi"/>
                <w:b/>
                <w:bCs/>
                <w:sz w:val="20"/>
                <w:lang w:val="pl-PL"/>
              </w:rPr>
              <w:t>84,63%</w:t>
            </w:r>
            <w:r w:rsidRPr="00813C17">
              <w:rPr>
                <w:rFonts w:asciiTheme="majorHAnsi" w:hAnsiTheme="majorHAnsi" w:cstheme="majorHAnsi"/>
                <w:sz w:val="20"/>
                <w:lang w:val="pl-PL"/>
              </w:rPr>
              <w:t> stanowią środki UE (EFRR), a </w:t>
            </w:r>
            <w:r w:rsidRPr="00813C17">
              <w:rPr>
                <w:rFonts w:asciiTheme="majorHAnsi" w:hAnsiTheme="majorHAnsi" w:cstheme="majorHAnsi"/>
                <w:b/>
                <w:bCs/>
                <w:sz w:val="20"/>
                <w:lang w:val="pl-PL"/>
              </w:rPr>
              <w:t>15,37%</w:t>
            </w:r>
            <w:r w:rsidRPr="00813C17">
              <w:rPr>
                <w:rFonts w:asciiTheme="majorHAnsi" w:hAnsiTheme="majorHAnsi" w:cstheme="majorHAnsi"/>
                <w:sz w:val="20"/>
                <w:lang w:val="pl-PL"/>
              </w:rPr>
              <w:t> to współfinansowanie krajowe z budżetu państwa.</w:t>
            </w:r>
            <w:r w:rsidR="00FB42B3" w:rsidRPr="00813C17">
              <w:rPr>
                <w:rFonts w:asciiTheme="majorHAnsi" w:hAnsiTheme="majorHAnsi" w:cstheme="majorHAnsi"/>
                <w:sz w:val="20"/>
                <w:lang w:val="pl-PL"/>
              </w:rPr>
              <w:t xml:space="preserve"> ( Część 46 )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>Całkowity koszt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9166A3" w:rsidP="00E533D1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  <w:r w:rsidRPr="009166A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17 796 613,12</w:t>
            </w:r>
            <w:r w:rsidR="00842AC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zł</w:t>
            </w:r>
            <w:r w:rsidR="0090140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>realizacji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C20522" w:rsidP="00C20522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  <w:r w:rsidRPr="00C2052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01.02.2019 do 31.01.2022</w:t>
            </w:r>
            <w:r w:rsidR="00EE48A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</w:p>
        </w:tc>
      </w:tr>
      <w:tr w:rsidR="00F26E20" w:rsidRPr="001B666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F26E20" w:rsidRPr="001B6667" w:rsidRDefault="00F26E20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167" w:type="pct"/>
            <w:shd w:val="clear" w:color="auto" w:fill="FFFFFF"/>
            <w:vAlign w:val="center"/>
          </w:tcPr>
          <w:p w:rsidR="00F26E20" w:rsidRPr="00EE48A3" w:rsidRDefault="00EE48A3" w:rsidP="00EE48A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EE48A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Anna Małek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F26E20" w:rsidRPr="00EE48A3" w:rsidRDefault="00EE48A3" w:rsidP="00EE48A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EE48A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amalek@pzh.gov.pl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F26E20" w:rsidRPr="00EE48A3" w:rsidRDefault="00EE48A3" w:rsidP="00EE48A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EE48A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22 54 21 412</w:t>
            </w:r>
          </w:p>
        </w:tc>
      </w:tr>
    </w:tbl>
    <w:p w:rsidR="00D83767" w:rsidRPr="002C2F49" w:rsidRDefault="00D83767" w:rsidP="002C2F49">
      <w:pPr>
        <w:tabs>
          <w:tab w:val="left" w:pos="6000"/>
        </w:tabs>
        <w:rPr>
          <w:rFonts w:cs="Arial"/>
          <w:lang w:val="pl-PL"/>
        </w:rPr>
      </w:pPr>
    </w:p>
    <w:p w:rsidR="009C7AD9" w:rsidRDefault="00AB4172" w:rsidP="00E00A0A">
      <w:pPr>
        <w:pStyle w:val="Nagwek1"/>
        <w:spacing w:before="1080" w:after="0"/>
        <w:ind w:left="782" w:hanging="357"/>
        <w:jc w:val="both"/>
        <w:rPr>
          <w:rFonts w:cs="Arial"/>
          <w:lang w:val="pl-PL" w:eastAsia="pl-PL"/>
        </w:rPr>
      </w:pPr>
      <w:bookmarkStart w:id="1" w:name="_Toc462924046"/>
      <w:r w:rsidRPr="001B6667">
        <w:rPr>
          <w:rFonts w:cs="Arial"/>
          <w:lang w:val="pl-PL" w:eastAsia="pl-PL"/>
        </w:rPr>
        <w:t>POWODY PODJĘCIA PROJEKT</w:t>
      </w:r>
      <w:bookmarkEnd w:id="1"/>
    </w:p>
    <w:p w:rsidR="00E00A0A" w:rsidRPr="00CE2715" w:rsidRDefault="00E00A0A" w:rsidP="00E00A0A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</w:p>
    <w:p w:rsidR="00E00A0A" w:rsidRPr="00E00A0A" w:rsidRDefault="00E00A0A" w:rsidP="00E00A0A">
      <w:pPr>
        <w:pStyle w:val="Tekstpodstawowy"/>
        <w:ind w:left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E00A0A">
        <w:rPr>
          <w:rFonts w:asciiTheme="minorHAnsi" w:hAnsiTheme="minorHAnsi" w:cstheme="minorHAnsi"/>
          <w:sz w:val="18"/>
          <w:szCs w:val="18"/>
          <w:lang w:val="pl-PL"/>
        </w:rPr>
        <w:t>Realizacja procesów back-office w NIZP-PZH znacząco wpłynie na rozwój e-usług o jak najwyższym poziomie dojrzałości, o szerokim zasięgu i zagwarantowanej interoperacyjności, co w konsekwencji przełoży się na umocnienie NIZP-PZH, jako nowoczesnej placówki spełniającej standardy krajowe i europejskie. Realizacja celu projektu w sposób bezpośredni przełoży się na zwiększenie jakości i dostępności usług wewnętrznych, zoptymalizuje procesy biznesowe, zwiększy wygodę i skróci czas realizacji spraw oraz zmniejszy obciążenia administracyjne (zmniejszenie/wyeliminowanie barier komunikacyjnych, informacyjnych).</w:t>
      </w:r>
    </w:p>
    <w:p w:rsidR="00E00A0A" w:rsidRPr="00E00A0A" w:rsidRDefault="00E00A0A" w:rsidP="00E00A0A">
      <w:pPr>
        <w:pStyle w:val="Tekstpodstawowy"/>
        <w:ind w:left="0"/>
        <w:rPr>
          <w:lang w:val="pl-PL" w:eastAsia="pl-PL"/>
        </w:rPr>
      </w:pPr>
    </w:p>
    <w:p w:rsidR="00D94004" w:rsidRP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2" w:name="_Toc462924047"/>
      <w:r w:rsidRPr="00D94004">
        <w:rPr>
          <w:lang w:val="pl-PL" w:eastAsia="pl-PL"/>
        </w:rPr>
        <w:t>Identyfikacja problemu i potrzeb</w:t>
      </w:r>
    </w:p>
    <w:p w:rsidR="006C485E" w:rsidRDefault="006C485E" w:rsidP="006C485E">
      <w:pPr>
        <w:pStyle w:val="Tekstpodstawowy2"/>
        <w:rPr>
          <w:lang w:val="pl-PL" w:eastAsia="pl-PL"/>
        </w:rPr>
      </w:pPr>
    </w:p>
    <w:p w:rsidR="006C485E" w:rsidRPr="006C485E" w:rsidRDefault="006C485E" w:rsidP="006C485E">
      <w:pPr>
        <w:pStyle w:val="Tekstpodstawowy2"/>
        <w:rPr>
          <w:lang w:val="pl-PL" w:eastAsia="pl-PL"/>
        </w:rPr>
      </w:pP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:rsidTr="00480C5A">
        <w:tc>
          <w:tcPr>
            <w:tcW w:w="3212" w:type="dxa"/>
            <w:shd w:val="clear" w:color="auto" w:fill="E7E6E6"/>
          </w:tcPr>
          <w:p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C73D50" w:rsidTr="00480C5A">
        <w:tc>
          <w:tcPr>
            <w:tcW w:w="3212" w:type="dxa"/>
            <w:shd w:val="clear" w:color="auto" w:fill="auto"/>
          </w:tcPr>
          <w:p w:rsidR="00D94004" w:rsidRPr="009431B0" w:rsidRDefault="002E4D6E" w:rsidP="002E4D6E">
            <w:pPr>
              <w:jc w:val="both"/>
              <w:rPr>
                <w:i/>
                <w:sz w:val="20"/>
                <w:szCs w:val="24"/>
                <w:lang w:val="pl-PL"/>
              </w:rPr>
            </w:pPr>
            <w:r w:rsidRPr="002E4D6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Odb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iorcami projektu  będą obecni i </w:t>
            </w:r>
            <w:r w:rsidRPr="002E4D6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przyszli pracownicy NIZP-PZH oraz pośrednio odbiorcy zewnętrzni usług, które dzięki elektronicznym procesom  wewnątrzadministracyjnym będą mogły być świadczone drogą elektroniczną</w:t>
            </w:r>
          </w:p>
        </w:tc>
        <w:tc>
          <w:tcPr>
            <w:tcW w:w="2847" w:type="dxa"/>
          </w:tcPr>
          <w:p w:rsidR="00FE5E45" w:rsidRPr="00FE5E45" w:rsidRDefault="002E4D6E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Projekt będzie odpowiedzią na </w:t>
            </w:r>
            <w:r w:rsidR="00FE5E45"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problem optymalizacji kosztów,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przy jednoczesnym efektywnym i </w:t>
            </w:r>
            <w:r w:rsidR="00FE5E45"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oszczędnym wykorzystaniu potencjału Instytutu na rzecz organów administracji rządowej, </w:t>
            </w:r>
            <w:r w:rsidR="00FE5E45"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 xml:space="preserve">samorządowej oraz innych podmiotów, w tym podmiotów gospodarczych.  Potrzebą biznesową jest wprowadzenie nowoczesnych wewnętrznych rozwiązań informatycznych, które znacznie wpłyną na usprawnienie procesów związanych z realizacją </w:t>
            </w:r>
            <w:r w:rsid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zadań dedykowanych jednostce, w </w:t>
            </w:r>
            <w:r w:rsidR="00FE5E45"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tym m. in.:</w:t>
            </w:r>
          </w:p>
          <w:p w:rsidR="00FE5E45" w:rsidRPr="00FE5E45" w:rsidRDefault="00FE5E45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1) usprawnią wymianę informacji pomiędzy poszczególnymi komórkami organizacyjnymi NIZP-PZH,</w:t>
            </w:r>
          </w:p>
          <w:p w:rsidR="00FE5E45" w:rsidRPr="00FE5E45" w:rsidRDefault="00FE5E45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2) przyspieszą proces realizacji usług,</w:t>
            </w:r>
          </w:p>
          <w:p w:rsidR="00FE5E45" w:rsidRPr="00FE5E45" w:rsidRDefault="00FE5E45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3) podniosą jakość świadczonych usług,</w:t>
            </w:r>
          </w:p>
          <w:p w:rsidR="00FE5E45" w:rsidRPr="00FE5E45" w:rsidRDefault="00FE5E45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4) wpłyną na zmniejszenie kosztów wykonywanych usług. </w:t>
            </w:r>
          </w:p>
          <w:p w:rsidR="00FE5E45" w:rsidRPr="00FE5E45" w:rsidRDefault="00FE5E45" w:rsidP="00FE5E4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Postać papierowa jest podstawową formą wymiany danych/informacji wewnątrz Instytutu. Instytut posiada wiele rozproszonych ba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 danych, które gromadzą dane z </w:t>
            </w: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wykorzystaniem komercyjnych licencji MS ACCESS. Dane są rozproszone w zależności od miejsca ich powstawania – co potwierdza w pełni zasadność potrzeby realizacji projektu.</w:t>
            </w:r>
          </w:p>
          <w:p w:rsidR="00D94004" w:rsidRPr="000C7C7E" w:rsidRDefault="00FE5E45" w:rsidP="00FE5E45">
            <w:pPr>
              <w:pStyle w:val="Tekstpodstawowy2"/>
              <w:spacing w:after="0"/>
              <w:ind w:left="0"/>
              <w:jc w:val="both"/>
              <w:rPr>
                <w:i/>
                <w:sz w:val="20"/>
                <w:szCs w:val="20"/>
                <w:lang w:val="pl-PL"/>
              </w:rPr>
            </w:pPr>
            <w:r w:rsidRPr="00FE5E4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Realizacja kluczowych procesów biznesowych odbywa się obecnie głównie w formie wymiany dokumentacji papierowej, jedynie działalność lecznicza (głównie diagnostyka laboratoryjna) posiada dedykowany, jednak przestarzały system obiegu próbek.</w:t>
            </w:r>
          </w:p>
        </w:tc>
        <w:tc>
          <w:tcPr>
            <w:tcW w:w="3307" w:type="dxa"/>
          </w:tcPr>
          <w:p w:rsidR="00D94004" w:rsidRPr="009431B0" w:rsidRDefault="009C4535" w:rsidP="009C4535">
            <w:pPr>
              <w:jc w:val="both"/>
              <w:rPr>
                <w:i/>
                <w:sz w:val="20"/>
                <w:szCs w:val="24"/>
                <w:lang w:val="pl-PL"/>
              </w:rPr>
            </w:pPr>
            <w:r w:rsidRPr="009C453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Pracownicy NIZP-PZH – ok 400 osób./ Odbiorcy zewnętrzni – wszyscy obywatele RP.</w:t>
            </w:r>
            <w:r>
              <w:rPr>
                <w:i/>
                <w:sz w:val="20"/>
                <w:szCs w:val="24"/>
                <w:lang w:val="pl-PL"/>
              </w:rPr>
              <w:t xml:space="preserve">  </w:t>
            </w:r>
          </w:p>
        </w:tc>
      </w:tr>
    </w:tbl>
    <w:p w:rsidR="00FE5E45" w:rsidRPr="00D94004" w:rsidRDefault="00FE5E45" w:rsidP="00781656">
      <w:pPr>
        <w:pStyle w:val="Tekstpodstawowy2"/>
        <w:ind w:left="0"/>
        <w:rPr>
          <w:lang w:val="pl-PL" w:eastAsia="pl-PL"/>
        </w:rPr>
      </w:pPr>
    </w:p>
    <w:p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2"/>
    </w:p>
    <w:p w:rsid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bookmarkStart w:id="3" w:name="_Toc462924055"/>
      <w:r w:rsidRPr="0010362E">
        <w:rPr>
          <w:rFonts w:asciiTheme="minorHAnsi" w:hAnsiTheme="minorHAnsi" w:cstheme="minorHAnsi"/>
          <w:sz w:val="18"/>
          <w:szCs w:val="18"/>
          <w:lang w:val="pl-PL"/>
        </w:rPr>
        <w:t xml:space="preserve">Postać papierowa jest podstawową formą wymiany danych/informacji wewnątrz Instytutu. Instytut </w:t>
      </w:r>
      <w:r w:rsidR="00BC50BB">
        <w:rPr>
          <w:rFonts w:asciiTheme="minorHAnsi" w:hAnsiTheme="minorHAnsi" w:cstheme="minorHAnsi"/>
          <w:sz w:val="18"/>
          <w:szCs w:val="18"/>
          <w:lang w:val="pl-PL"/>
        </w:rPr>
        <w:t>posiada wiele rozproszonych baz </w:t>
      </w:r>
      <w:r w:rsidRPr="0010362E">
        <w:rPr>
          <w:rFonts w:asciiTheme="minorHAnsi" w:hAnsiTheme="minorHAnsi" w:cstheme="minorHAnsi"/>
          <w:sz w:val="18"/>
          <w:szCs w:val="18"/>
          <w:lang w:val="pl-PL"/>
        </w:rPr>
        <w:t>danych, które gromadzą dane z wykorzystaniem komercyjnych licencji MS ACCESS. Dane są rozprosz</w:t>
      </w:r>
      <w:r w:rsidR="00BC50BB">
        <w:rPr>
          <w:rFonts w:asciiTheme="minorHAnsi" w:hAnsiTheme="minorHAnsi" w:cstheme="minorHAnsi"/>
          <w:sz w:val="18"/>
          <w:szCs w:val="18"/>
          <w:lang w:val="pl-PL"/>
        </w:rPr>
        <w:t>one w zależności od miejsca ich </w:t>
      </w:r>
      <w:r w:rsidRPr="0010362E">
        <w:rPr>
          <w:rFonts w:asciiTheme="minorHAnsi" w:hAnsiTheme="minorHAnsi" w:cstheme="minorHAnsi"/>
          <w:sz w:val="18"/>
          <w:szCs w:val="18"/>
          <w:lang w:val="pl-PL"/>
        </w:rPr>
        <w:t>powstawania – co potwierdza w pełni zasadność potrzeby realizacji projektu.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10362E">
        <w:rPr>
          <w:rFonts w:asciiTheme="minorHAnsi" w:hAnsiTheme="minorHAnsi" w:cstheme="minorHAnsi"/>
          <w:sz w:val="18"/>
          <w:szCs w:val="18"/>
          <w:lang w:val="pl-PL"/>
        </w:rPr>
        <w:t xml:space="preserve">Realizacja kluczowych </w:t>
      </w:r>
      <w:r w:rsidR="00BC50BB">
        <w:rPr>
          <w:rFonts w:asciiTheme="minorHAnsi" w:hAnsiTheme="minorHAnsi" w:cstheme="minorHAnsi"/>
          <w:sz w:val="18"/>
          <w:szCs w:val="18"/>
          <w:lang w:val="pl-PL"/>
        </w:rPr>
        <w:t>procesów biznesowych odbywa się </w:t>
      </w:r>
      <w:r w:rsidRPr="0010362E">
        <w:rPr>
          <w:rFonts w:asciiTheme="minorHAnsi" w:hAnsiTheme="minorHAnsi" w:cstheme="minorHAnsi"/>
          <w:sz w:val="18"/>
          <w:szCs w:val="18"/>
          <w:lang w:val="pl-PL"/>
        </w:rPr>
        <w:t>obecnie głównie w formie wymiany dokumentacji papierowej, jedynie działalność lecznicza posiada dedykowany, jednak przestarzały system obiegu próbek.</w:t>
      </w:r>
    </w:p>
    <w:p w:rsidR="0010362E" w:rsidRP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0362E">
        <w:rPr>
          <w:rFonts w:asciiTheme="minorHAnsi" w:hAnsiTheme="minorHAnsi" w:cstheme="minorHAnsi"/>
          <w:sz w:val="18"/>
          <w:szCs w:val="18"/>
          <w:lang w:val="pl-PL"/>
        </w:rPr>
        <w:t>Obecnie zdiagnozowanymi barierami jest:</w:t>
      </w:r>
    </w:p>
    <w:p w:rsidR="0010362E" w:rsidRP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0362E">
        <w:rPr>
          <w:rFonts w:asciiTheme="minorHAnsi" w:hAnsiTheme="minorHAnsi" w:cstheme="minorHAnsi"/>
          <w:sz w:val="18"/>
          <w:szCs w:val="18"/>
          <w:lang w:val="pl-PL"/>
        </w:rPr>
        <w:t>1) Brak nowoczesnych rozwiązań IT, w szczególności profesjonalnej usługi www – dane będące w posiadaniu Instytutu są rozproszone, prezentowane w sposób mało przyjazny dla użytkownika końcowego, brakuje rozwiązań niezbędnych do wyszukiwania danych/informacji, ich ponownego wykorzystania,</w:t>
      </w:r>
    </w:p>
    <w:p w:rsidR="0010362E" w:rsidRP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0362E">
        <w:rPr>
          <w:rFonts w:asciiTheme="minorHAnsi" w:hAnsiTheme="minorHAnsi" w:cstheme="minorHAnsi"/>
          <w:sz w:val="18"/>
          <w:szCs w:val="18"/>
          <w:lang w:val="pl-PL"/>
        </w:rPr>
        <w:t>2) Długi czas realizacji procesów wewnętrznych – bez zinformatyzowania procesów nie jest możliwa szybka reakcja ze strony pracowników Instytutu,</w:t>
      </w:r>
    </w:p>
    <w:p w:rsidR="0010362E" w:rsidRP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0362E">
        <w:rPr>
          <w:rFonts w:asciiTheme="minorHAnsi" w:hAnsiTheme="minorHAnsi" w:cstheme="minorHAnsi"/>
          <w:sz w:val="18"/>
          <w:szCs w:val="18"/>
          <w:lang w:val="pl-PL"/>
        </w:rPr>
        <w:t>3) Zbyt wysoki koszt wykonania usługi wewnątrz Instytutu – brak możliwości wymiany elektronicznej danych powoduje konieczność wymiany korespondencji w postaci papierowej (konieczność wykonania kopii dokumentacji, koszty przesłania dokumentacji; ewentualne koszty związane z jej uzupełnieniem, etc.), - koszty te generowane są obecnie w każdym procesie zachodzącym wewnątrz Instytutu,</w:t>
      </w:r>
    </w:p>
    <w:p w:rsidR="0010362E" w:rsidRDefault="0010362E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0362E">
        <w:rPr>
          <w:rFonts w:asciiTheme="minorHAnsi" w:hAnsiTheme="minorHAnsi" w:cstheme="minorHAnsi"/>
          <w:sz w:val="18"/>
          <w:szCs w:val="18"/>
          <w:lang w:val="pl-PL"/>
        </w:rPr>
        <w:lastRenderedPageBreak/>
        <w:t>4) Brak zautomatyzowanego procesu związanego z prowadzoną w NIZP-PZH działalnością leczniczą (badania diagnostyczne) uniemożliwia odbiorcom badań szybsze otrzymanie wyników – a co za tym idzie szybsze uzyskanie porady lekarskiej.</w:t>
      </w:r>
    </w:p>
    <w:p w:rsidR="00BC50BB" w:rsidRDefault="00BC50BB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BC50BB" w:rsidRDefault="00BC50BB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BC50BB" w:rsidRDefault="00BC50BB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BC50BB" w:rsidRPr="0010362E" w:rsidRDefault="00BC50BB" w:rsidP="0010362E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AB4172" w:rsidRPr="007947BE" w:rsidRDefault="00AB4172" w:rsidP="00A964F0">
      <w:pPr>
        <w:pStyle w:val="Nagwek1"/>
        <w:jc w:val="both"/>
        <w:rPr>
          <w:rFonts w:cs="Arial"/>
          <w:lang w:val="pl-PL" w:eastAsia="pl-PL"/>
        </w:rPr>
      </w:pPr>
      <w:r w:rsidRPr="007947BE">
        <w:rPr>
          <w:rFonts w:cs="Arial"/>
          <w:lang w:val="pl-PL" w:eastAsia="pl-PL"/>
        </w:rPr>
        <w:t>EFEKTY PROJEKTU</w:t>
      </w:r>
      <w:bookmarkEnd w:id="3"/>
    </w:p>
    <w:p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4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>orzyści wynikające z projektu</w:t>
      </w:r>
      <w:bookmarkEnd w:id="4"/>
      <w:r w:rsidR="009C7AD9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307FB8" w:rsidRPr="001B6667" w:rsidRDefault="00307FB8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0841DA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/>
          </w:tcPr>
          <w:p w:rsidR="00A96AEA" w:rsidRPr="001B6667" w:rsidRDefault="001808DB" w:rsidP="00C73D50">
            <w:pPr>
              <w:pStyle w:val="Tekstpodstawowy2"/>
              <w:ind w:left="34"/>
              <w:jc w:val="both"/>
              <w:rPr>
                <w:rFonts w:cs="Arial"/>
                <w:color w:val="0070C0"/>
                <w:sz w:val="20"/>
                <w:lang w:val="pl-PL" w:eastAsia="pl-PL"/>
              </w:rPr>
            </w:pPr>
            <w:r w:rsidRPr="001808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Celem projektu jest cyfryzacja procesów back-office w NIZP-PZH, a tym samym poprawa warunków funkcjonowania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="00BC50BB" w:rsidRPr="00BC50B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poprzez poszerzenie zakresu spraw, które będzie można załatwić drogą elektroniczną za pomocą wprowadzonych e-usług wewnętrznych o wysokim poziomie dojrzałości, o szerokim zasięgu i zagwarantowanej interoperacyjności. Powyższe możliwe będzie dzięki elekt</w:t>
            </w:r>
            <w:r w:rsidR="00BC50B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ronizacji procesów, poprawę ich </w:t>
            </w:r>
            <w:r w:rsidR="00BC50BB" w:rsidRPr="00BC50B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funkcjonalności. </w:t>
            </w:r>
          </w:p>
        </w:tc>
      </w:tr>
      <w:tr w:rsidR="007063B2" w:rsidRPr="00C73D50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:rsidR="00AF7C27" w:rsidRPr="00AF7C27" w:rsidRDefault="003174A1" w:rsidP="00AF7C27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174A1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Projekt realizuje strategiczny cel szczegółowy 3 Działania 2.2 POPC – Cyfryzacja procesów back-office w administracji rządowej.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Ponadto c</w:t>
            </w:r>
            <w:r w:rsidR="00AF7C27" w:rsidRPr="00AF7C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ele Projektu wpisują się w szczególności w założenia: </w:t>
            </w:r>
          </w:p>
          <w:p w:rsidR="00AF7C27" w:rsidRPr="00AF7C27" w:rsidRDefault="00AF7C27" w:rsidP="00AF7C27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F7C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1) Europejskiej Agendy Cyfrowej EAC poprzez uzyskanie trwałych korzyści ekonomicznych i społecznych z jednolitego rynku cyfrowego w oparciu o szybki i bardzo szybki Internet i interoperacyjne aplikacje. Cel projektu jest zbieżny z celem tematycznym Unii Europejskiej CT2 - Zwiększanie dostępności, wykorzystania i jakości technologii informacyjno – komunikacyjnych (TIK).</w:t>
            </w:r>
          </w:p>
          <w:p w:rsidR="00AF7C27" w:rsidRPr="00AF7C27" w:rsidRDefault="00AF7C27" w:rsidP="00AF7C27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F7C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2) Strategia Europa 2020 - innowacyjność projektu, powoduje, że projekt przyczynia się do zwiększenia zasięgu świadczonych przez Beneficjenta usług udostępniania ISP, podniesienia standardów, w szczególności zwiększenia szybkości świadczenia usługi, obniżenia kosztów i większej dostępności.  </w:t>
            </w:r>
          </w:p>
          <w:p w:rsidR="00AF7C27" w:rsidRPr="00AF7C27" w:rsidRDefault="00AF7C27" w:rsidP="00AF7C27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F7C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3) Program Zintegrowanej Informatyzacji Państwa - to strategiczny dokument opisujący działania rządu zmierzające do dostarczenia społeczeństwu wysokiej jakości elektronicznych usług publicznych. Celem programu jest stworzenie spójnego, logicznego i sprawnego systemu informacyjnego państwa, dostarczającego e-usługi na poziomie krajowym i europejskim w sposób efektywny pod względem jakości i kosztów. W programie wymieniono obszary, w których jako priorytetowe należy traktować wdrożenie e-usług publicznych. Jednym z nich jest obszar działalności administracji publicznej, w których w pierwszej kolejności powinny zostać wdrożone e-usługi publiczne: sprawy administracyjne, ochrona zdrowia, udostępnianie zasobów informacyjnych administracji i nauki, w tym szkolnictwa wyższego Projekt został zaplanowany mając na uwadze wskazane w PZIP standardy dla bezpiecznej i efektywnej e-administracji, w tym poprzez m.in. zapewnienie interoperacyjności rejestrów i innych systemów teleinformatycznych (zgodnie z KRI) w tym zapewnienie integralności z Portalem Interoperacyjności platformy e-PUAP.</w:t>
            </w:r>
          </w:p>
          <w:p w:rsidR="007063B2" w:rsidRPr="00AF7C27" w:rsidRDefault="00AF7C27" w:rsidP="00AF7C27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F7C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4) Strategii Sprawne Państwo 2020, której celem głównym jest zwiększenie skuteczności i efektywności państwa otwartego na współpracę z obywatelami. Projekt jest zgodny z celami Strategii w szczególności: Cel 2 Zwiększenie sprawności instytucjonalnej Państwa, kierunek interwencji Efektywne i funkcjonalne urzędu administracji publicznej, w którym przewiduje się szerokie wykorzystanie nowoczesnych technologii cyfrowych.</w:t>
            </w:r>
          </w:p>
        </w:tc>
      </w:tr>
      <w:tr w:rsidR="000F667D" w:rsidRPr="00C73D50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/>
          </w:tcPr>
          <w:p w:rsidR="001D383B" w:rsidRDefault="001D383B" w:rsidP="001D383B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Integracja istniejących zasobów w NIZP PZH (w tym wymiana danych pomiędzy tworzonym Systemem a systemami projektów EpiBaza i ProfiBaza), możliwość automatycznej wymiany i odczytu danych pomiędzy aplikacjami wewnątrz Instytutu jak z systemami zewnętrznymi dzięki czemu możliwe będzie bardziej powszechne wykorzystanie dostępnych danych.</w:t>
            </w:r>
          </w:p>
          <w:p w:rsidR="001D383B" w:rsidRPr="001D383B" w:rsidRDefault="001D383B" w:rsidP="001D383B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Optymalizacja procesów biznesowych, zmniejszenia obciążeń administracyjnych, skrócenia </w:t>
            </w:r>
            <w:r w:rsidRPr="001D383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realizacji poszczególnych działań, zwiększenie bezpieczeństwa danych, dzięki: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dogodnemu dostępowi do zasobu danych w NIZP PZH,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wdrożeniu zdefiniowanych, wspólnych, zoptymalizowanych standardów procedowania spraw,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możliwości pełnej kontroli i audytowalności,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integracji systemu kancelaryjnego,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stosowaniu predefiniowanych formularzy w systemach dziedzinowych,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zdefiniowaniu workflow dla zidentyfikowanych procesów i możliwości zarządzania nimi,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zapewnieniu właściwego poziomu monitorowania procesów,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zapobieganiu omyłkom dzięki automatycznej weryfikacji,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automatyzacji procesów standardowych,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zastosowaniu standardowych rozwiązań w zakresie ochrony danych,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wprowadzeniu identyfikacji danych w zależności od kontekstu w jakim są przekazywane (definiowanie reguł),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utworzeniu zintegrowanej i łatwoprzeszukiwalnej bazy danych,</w:t>
            </w:r>
          </w:p>
          <w:p w:rsidR="001D383B" w:rsidRP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zwiększeniu bezpieczeństwa gromadzenia i przechowywania danych,</w:t>
            </w:r>
          </w:p>
          <w:p w:rsidR="001D383B" w:rsidRDefault="001D383B" w:rsidP="001D383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zwiększeniu skuteczności kontroli prawidłowości przebiegu procesów</w:t>
            </w:r>
          </w:p>
          <w:p w:rsidR="001D383B" w:rsidRPr="001D383B" w:rsidRDefault="001D383B" w:rsidP="001D383B">
            <w:pPr>
              <w:pStyle w:val="Akapitzlist"/>
              <w:spacing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1D383B" w:rsidRDefault="001D383B" w:rsidP="001D383B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1D383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Zwiększenie komfortu w wykonywaniu zadań służbowych.  Zwiększenie efektywności, wydajności i jakości świadczonej pracy. Stworzenie lepszych warunków pracy osobom niepełnosprawnym. Większa integracja środowiska pracowniczego w związku z udziałem pracowników w projektowaniu usług. Zwiększenie satysfakcji i poczucia wartości wśród pracowników.</w:t>
            </w:r>
          </w:p>
          <w:p w:rsidR="001D383B" w:rsidRDefault="00E15E4A" w:rsidP="00E15E4A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E15E4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Zwiększenie możliwości wykorzystania narzędzi informatycznych do realizacji obowiązków służbowych w Instytucie, w tym przez osoby niepełnosprawne.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E15E4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Możliwość docelowego utworzenia e-usług „wyprowadzonych” na zewnątrz Instytutu (w ramach Projektu zostaną opracowane formularze dla typowych spraw i udostępnione na platformie ePUAP).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E15E4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Ulepszanie formy świadczonych e-usług dzięki wnioskom z badań satysfakcji klientów wewnętrznych i zewnętrznych instytutu.</w:t>
            </w:r>
          </w:p>
          <w:p w:rsidR="00DF5EE2" w:rsidRDefault="00DF5EE2" w:rsidP="00DF5EE2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F5EE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Zwiększona efektywność pracy NIZP PZH co pośrednio pozytywnie przekłada się na korzyści w obszarach obsługiwanych przez Instytut (zdrowie, bezpieczeństwo żywności, środowisko, higiena, nauka) a bezpośrednio na korzyści klientów zewnętrznych, którzy uzyskają lepszy poziom świadczonych przez NIZP PZH usług w postaci ułatwionego kontaktu, skrócenia czasu realizacji zleceń. Taka sytuacja przyczyni się do poprawy wizerunku Instytutu wśród klientów i interesariuszy.</w:t>
            </w:r>
          </w:p>
          <w:p w:rsidR="00DF5EE2" w:rsidRDefault="00DF5EE2" w:rsidP="00DF5EE2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F5EE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Poprawa standardu wykorzystania Elektronicznej Skrzynki Podawczej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  <w:p w:rsidR="00DF5EE2" w:rsidRDefault="00DF5EE2" w:rsidP="00DF5EE2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F5EE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Łatwiejszy i szybszy dostęp do danych spoza Instytutu. Korzystanie z aktualnych danych pochodzących z zewnętrznych baz dziedzinowych. Uzyskanie przez podmioty zewnętrzne zainteresowane danymi Instytutu łatwiejszego i szybszego do nich dostępu. Co za tym idzie dane Instytutu będą powszechniej wykorzystywane.</w:t>
            </w:r>
          </w:p>
          <w:p w:rsidR="00DF5EE2" w:rsidRPr="00E15E4A" w:rsidRDefault="00DF5EE2" w:rsidP="00DF5EE2">
            <w:pPr>
              <w:pStyle w:val="Tekstpodstawowy2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F5EE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Zwiększone kompetencje pracowników NIZP PZH.</w:t>
            </w:r>
          </w:p>
        </w:tc>
      </w:tr>
      <w:tr w:rsidR="000F667D" w:rsidRPr="00F75B35" w:rsidTr="001B6667">
        <w:trPr>
          <w:trHeight w:val="274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lastRenderedPageBreak/>
              <w:t>KPI:</w:t>
            </w:r>
          </w:p>
        </w:tc>
        <w:tc>
          <w:tcPr>
            <w:tcW w:w="7655" w:type="dxa"/>
            <w:shd w:val="clear" w:color="auto" w:fill="FFFFFF"/>
          </w:tcPr>
          <w:p w:rsidR="00566116" w:rsidRPr="00566116" w:rsidRDefault="00566116" w:rsidP="005661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66116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podmiotów, które usprawniły funkcjonowanie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566116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 zakresie objętym katalogiem rekomendacji</w:t>
            </w:r>
          </w:p>
          <w:p w:rsidR="00221961" w:rsidRPr="00A4554B" w:rsidRDefault="00566116" w:rsidP="00566116">
            <w:pPr>
              <w:pStyle w:val="Tekstpodstawowy2"/>
              <w:spacing w:after="0" w:line="259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dotyczących awansu cyfrowego.</w:t>
            </w:r>
          </w:p>
        </w:tc>
      </w:tr>
      <w:tr w:rsidR="00566116" w:rsidRPr="00F75B35" w:rsidTr="001B6667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263B5A" w:rsidRPr="00263B5A" w:rsidRDefault="00263B5A" w:rsidP="00CC50BC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566116" w:rsidRPr="00A4554B" w:rsidRDefault="00263B5A" w:rsidP="00CC50BC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- 1</w:t>
            </w:r>
          </w:p>
        </w:tc>
      </w:tr>
      <w:tr w:rsidR="00566116" w:rsidRPr="00C73D50" w:rsidTr="001B6667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566116" w:rsidRPr="00A4554B" w:rsidRDefault="00263B5A" w:rsidP="00CC50BC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4554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na podstawie raportu  z  zakończenia  realizacji projektu, pomiar po zakończeniu realizacji projektu.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bookmarkStart w:id="5" w:name="_Toc462924057"/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566116" w:rsidRPr="00A4554B" w:rsidRDefault="00A4554B" w:rsidP="00A455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4554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uruchomionych systemów teleinformatycznych w podmiotach wykonujących zadania publiczne</w:t>
            </w:r>
          </w:p>
        </w:tc>
      </w:tr>
      <w:tr w:rsidR="00566116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A4554B" w:rsidRPr="00263B5A" w:rsidRDefault="00A4554B" w:rsidP="00A4554B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566116" w:rsidRPr="007904DF" w:rsidRDefault="00A4554B" w:rsidP="00A4554B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- 1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566116" w:rsidRPr="007904DF" w:rsidRDefault="00A4554B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na podstawie raportu  z  zakończenia  realizacji projektu, protokołu odbioru, pomiar po zakończeniu realizacji projektu.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566116" w:rsidRPr="007904DF" w:rsidRDefault="00A4554B" w:rsidP="00A455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IT podmiotów wykonujących zadania publiczne objętych wsparciem szkoleniowym.</w:t>
            </w:r>
          </w:p>
        </w:tc>
      </w:tr>
      <w:tr w:rsidR="00566116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A4554B" w:rsidRPr="00263B5A" w:rsidRDefault="00A4554B" w:rsidP="00A4554B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566116" w:rsidRPr="007904DF" w:rsidRDefault="00A4554B" w:rsidP="00A4554B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- 6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566116" w:rsidRPr="007904DF" w:rsidRDefault="00A61A9C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szkolenia.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566116" w:rsidRPr="007904DF" w:rsidRDefault="00D67E87" w:rsidP="00D67E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IT podmiotów wykonujących zadania publiczne objętych wsparciem szkoleniowym – kobiety.</w:t>
            </w:r>
          </w:p>
        </w:tc>
      </w:tr>
      <w:tr w:rsidR="00566116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D67E87" w:rsidRPr="00263B5A" w:rsidRDefault="00D67E87" w:rsidP="00D67E87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566116" w:rsidRPr="007904DF" w:rsidRDefault="00D67E87" w:rsidP="00D67E87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- 1</w:t>
            </w:r>
          </w:p>
        </w:tc>
      </w:tr>
      <w:tr w:rsidR="00566116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66116" w:rsidRPr="001B6667" w:rsidRDefault="00566116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566116" w:rsidRPr="007904DF" w:rsidRDefault="00D67E87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szkolenia.</w:t>
            </w:r>
          </w:p>
        </w:tc>
      </w:tr>
      <w:tr w:rsidR="00581C50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81C50" w:rsidRPr="001B6667" w:rsidRDefault="00581C50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581C50" w:rsidRPr="007904DF" w:rsidRDefault="009A271A" w:rsidP="009A27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IT podmiotów wykonujących zadania publiczne objętych wsparciem szkoleniowym - mężczyźni</w:t>
            </w:r>
          </w:p>
        </w:tc>
      </w:tr>
      <w:tr w:rsidR="00581C50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81C50" w:rsidRPr="001B6667" w:rsidRDefault="00581C50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7D7759" w:rsidRPr="00263B5A" w:rsidRDefault="007D7759" w:rsidP="007D7759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581C50" w:rsidRPr="007904DF" w:rsidRDefault="007D7759" w:rsidP="007D7759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- 5</w:t>
            </w:r>
          </w:p>
        </w:tc>
      </w:tr>
      <w:tr w:rsidR="00581C50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581C50" w:rsidRPr="001B6667" w:rsidRDefault="00581C50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581C50" w:rsidRPr="007904DF" w:rsidRDefault="007D7759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szkolenia.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E93D62" w:rsidP="00E93D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podmiotów wykonujących zadania publiczne niebędących pracownikami IT, objętych wsparciem szkoleniowym.</w:t>
            </w:r>
          </w:p>
        </w:tc>
      </w:tr>
      <w:tr w:rsidR="00F142A5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E93D62" w:rsidRPr="00263B5A" w:rsidRDefault="00E93D62" w:rsidP="00E93D62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F142A5" w:rsidRPr="007904DF" w:rsidRDefault="00E93D62" w:rsidP="00E93D62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- 324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E93D62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500D99" w:rsidP="00500D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podmiotów wykonujących zadania publiczne niebędących pracownikami IT, objętych wsparciem szkoleniowym - kobiety</w:t>
            </w:r>
          </w:p>
        </w:tc>
      </w:tr>
      <w:tr w:rsidR="00F142A5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500D99" w:rsidRPr="00263B5A" w:rsidRDefault="00500D99" w:rsidP="00500D99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F142A5" w:rsidRPr="007904DF" w:rsidRDefault="00500D99" w:rsidP="00500D99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- 234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500D99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szkolenia.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7904DF" w:rsidP="007904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Liczba pracowników podmiotów wykonujących zadania publiczne niebędących pracownikami IT, objętych wsparciem szkoleniowym – mężczyźni.</w:t>
            </w:r>
          </w:p>
        </w:tc>
      </w:tr>
      <w:tr w:rsidR="00F142A5" w:rsidRPr="00A90BB6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KPI:</w:t>
            </w:r>
          </w:p>
        </w:tc>
        <w:tc>
          <w:tcPr>
            <w:tcW w:w="7655" w:type="dxa"/>
            <w:shd w:val="clear" w:color="auto" w:fill="FFFFFF"/>
          </w:tcPr>
          <w:p w:rsidR="007904DF" w:rsidRPr="00263B5A" w:rsidRDefault="007904DF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3B5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wartość aktualna – 0   </w:t>
            </w:r>
          </w:p>
          <w:p w:rsidR="00F142A5" w:rsidRPr="007904DF" w:rsidRDefault="007904DF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wartość docelowa - 90</w:t>
            </w:r>
          </w:p>
        </w:tc>
      </w:tr>
      <w:tr w:rsidR="00F142A5" w:rsidRPr="00C73D50" w:rsidTr="007904DF">
        <w:trPr>
          <w:trHeight w:val="274"/>
        </w:trPr>
        <w:tc>
          <w:tcPr>
            <w:tcW w:w="1984" w:type="dxa"/>
            <w:shd w:val="clear" w:color="auto" w:fill="E7E6E6"/>
          </w:tcPr>
          <w:p w:rsidR="00F142A5" w:rsidRPr="001B6667" w:rsidRDefault="00F142A5" w:rsidP="007904DF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566116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F142A5" w:rsidRPr="007904DF" w:rsidRDefault="007904DF" w:rsidP="007904DF">
            <w:pPr>
              <w:pStyle w:val="Tekstpodstawowy2"/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904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Wskaźnik mierzony za pomocą certyfikatów/potwierdzeniem  ukończenia szkolenia.</w:t>
            </w:r>
          </w:p>
        </w:tc>
      </w:tr>
    </w:tbl>
    <w:p w:rsidR="004A0BB2" w:rsidRDefault="004A0BB2" w:rsidP="002F7D84">
      <w:pPr>
        <w:pStyle w:val="Nagwek2"/>
        <w:numPr>
          <w:ilvl w:val="0"/>
          <w:numId w:val="0"/>
        </w:numPr>
        <w:ind w:firstLine="720"/>
        <w:rPr>
          <w:lang w:val="pl-PL" w:eastAsia="pl-PL"/>
        </w:rPr>
      </w:pPr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1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56584B" w:rsidRDefault="0056584B" w:rsidP="00505D03">
      <w:pPr>
        <w:pStyle w:val="Nagwek2"/>
        <w:numPr>
          <w:ilvl w:val="1"/>
          <w:numId w:val="11"/>
        </w:numPr>
        <w:tabs>
          <w:tab w:val="left" w:pos="4962"/>
        </w:tabs>
        <w:spacing w:after="360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143B0D">
        <w:rPr>
          <w:lang w:val="pl-PL" w:eastAsia="pl-PL"/>
        </w:rPr>
        <w:t>Udostępnione e-usługi</w:t>
      </w:r>
      <w:bookmarkEnd w:id="5"/>
      <w:r w:rsidR="009C7AD9" w:rsidRPr="00143B0D">
        <w:rPr>
          <w:lang w:val="pl-PL" w:eastAsia="pl-PL"/>
        </w:rPr>
        <w:t xml:space="preserve"> </w:t>
      </w:r>
    </w:p>
    <w:p w:rsidR="00F15B60" w:rsidRPr="00F15B60" w:rsidRDefault="00F15B60" w:rsidP="00F15B60">
      <w:pPr>
        <w:pStyle w:val="Tekstpodstawowy2"/>
        <w:rPr>
          <w:rFonts w:asciiTheme="minorHAnsi" w:hAnsiTheme="minorHAnsi" w:cstheme="minorHAnsi"/>
          <w:sz w:val="18"/>
          <w:szCs w:val="18"/>
          <w:lang w:val="pl-PL"/>
        </w:rPr>
      </w:pPr>
      <w:r w:rsidRPr="00F15B60">
        <w:rPr>
          <w:rFonts w:asciiTheme="minorHAnsi" w:hAnsiTheme="minorHAnsi" w:cstheme="minorHAnsi"/>
          <w:sz w:val="18"/>
          <w:szCs w:val="18"/>
          <w:lang w:val="pl-PL"/>
        </w:rPr>
        <w:t>Nie dotyczy</w:t>
      </w:r>
    </w:p>
    <w:p w:rsidR="00AD549B" w:rsidRDefault="00AD549B" w:rsidP="004A0BB2">
      <w:pPr>
        <w:pStyle w:val="Nagwek2"/>
        <w:numPr>
          <w:ilvl w:val="0"/>
          <w:numId w:val="0"/>
        </w:numPr>
        <w:spacing w:after="0"/>
        <w:ind w:left="710"/>
        <w:rPr>
          <w:rStyle w:val="Nagwek3Znak"/>
          <w:rFonts w:eastAsiaTheme="minorHAnsi"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CB2DF6" w:rsidRDefault="0056584B" w:rsidP="00F15B60">
      <w:pPr>
        <w:pStyle w:val="Nagwek2"/>
        <w:numPr>
          <w:ilvl w:val="1"/>
          <w:numId w:val="12"/>
        </w:numPr>
        <w:spacing w:after="360"/>
        <w:rPr>
          <w:rStyle w:val="Nagwek3Znak"/>
          <w:rFonts w:eastAsiaTheme="minorHAnsi"/>
        </w:rPr>
      </w:pPr>
      <w:r w:rsidRPr="007B0A82">
        <w:rPr>
          <w:rStyle w:val="Nagwek3Znak"/>
          <w:rFonts w:eastAsiaTheme="minorHAnsi"/>
        </w:rPr>
        <w:t xml:space="preserve">Udostępnione informacje sektora </w:t>
      </w:r>
      <w:r w:rsidRPr="007573B2">
        <w:rPr>
          <w:lang w:val="pl-PL"/>
        </w:rPr>
        <w:t>publicznego</w:t>
      </w:r>
      <w:r w:rsidRPr="007B0A82">
        <w:rPr>
          <w:rStyle w:val="Nagwek3Znak"/>
          <w:rFonts w:eastAsiaTheme="minorHAnsi"/>
        </w:rPr>
        <w:t xml:space="preserve"> i zdigitalizowane zasoby</w:t>
      </w:r>
      <w:r w:rsidR="009C7AD9">
        <w:rPr>
          <w:rStyle w:val="Nagwek3Znak"/>
          <w:rFonts w:eastAsiaTheme="minorHAnsi"/>
        </w:rPr>
        <w:t xml:space="preserve"> </w:t>
      </w:r>
    </w:p>
    <w:p w:rsidR="00F15B60" w:rsidRPr="00F15B60" w:rsidRDefault="00F15B60" w:rsidP="00F15B60">
      <w:pPr>
        <w:pStyle w:val="Tekstpodstawowy2"/>
        <w:rPr>
          <w:rFonts w:asciiTheme="minorHAnsi" w:hAnsiTheme="minorHAnsi" w:cstheme="minorHAnsi"/>
          <w:sz w:val="18"/>
          <w:szCs w:val="18"/>
          <w:lang w:val="pl-PL"/>
        </w:rPr>
      </w:pPr>
      <w:r w:rsidRPr="00F15B60">
        <w:rPr>
          <w:rFonts w:asciiTheme="minorHAnsi" w:hAnsiTheme="minorHAnsi" w:cstheme="minorHAnsi"/>
          <w:sz w:val="18"/>
          <w:szCs w:val="18"/>
          <w:lang w:val="pl-PL"/>
        </w:rPr>
        <w:t>Nie dotyczy</w:t>
      </w:r>
    </w:p>
    <w:p w:rsidR="00AD549B" w:rsidRDefault="00AD549B" w:rsidP="00E47439">
      <w:pPr>
        <w:pStyle w:val="Nagwek2"/>
        <w:keepNext/>
        <w:keepLines/>
        <w:numPr>
          <w:ilvl w:val="0"/>
          <w:numId w:val="0"/>
        </w:numPr>
        <w:spacing w:before="40" w:line="256" w:lineRule="auto"/>
        <w:ind w:right="0"/>
        <w:rPr>
          <w:lang w:val="pl-PL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440618" w:rsidRPr="00F8445B" w:rsidRDefault="00B73C22" w:rsidP="0086459D">
      <w:pPr>
        <w:pStyle w:val="Nagwek2"/>
        <w:keepLines/>
        <w:spacing w:before="40" w:line="256" w:lineRule="auto"/>
        <w:rPr>
          <w:lang w:val="pl-PL"/>
        </w:rPr>
      </w:pPr>
      <w:r w:rsidRPr="00F8445B">
        <w:rPr>
          <w:lang w:val="pl-PL"/>
        </w:rPr>
        <w:t>P</w:t>
      </w:r>
      <w:r w:rsidR="007063B2" w:rsidRPr="00F8445B">
        <w:rPr>
          <w:lang w:val="pl-PL"/>
        </w:rPr>
        <w:t xml:space="preserve">rodukty </w:t>
      </w:r>
      <w:r w:rsidR="005349BA" w:rsidRPr="00F8445B">
        <w:rPr>
          <w:lang w:val="pl-PL"/>
        </w:rPr>
        <w:t xml:space="preserve">końcowe </w:t>
      </w:r>
      <w:r w:rsidR="007063B2" w:rsidRPr="00F8445B">
        <w:rPr>
          <w:lang w:val="pl-PL"/>
        </w:rPr>
        <w:t>projektu</w:t>
      </w:r>
      <w:r w:rsidR="009C7AD9" w:rsidRPr="00F8445B">
        <w:rPr>
          <w:lang w:val="pl-PL"/>
        </w:rPr>
        <w:t xml:space="preserve"> </w:t>
      </w:r>
    </w:p>
    <w:p w:rsidR="00B73C22" w:rsidRPr="001B6667" w:rsidRDefault="00B73C22" w:rsidP="00F15B60">
      <w:pPr>
        <w:pStyle w:val="Tekstpodstawowy2"/>
        <w:spacing w:after="0"/>
        <w:ind w:left="0"/>
        <w:rPr>
          <w:rFonts w:cs="Arial"/>
          <w:color w:val="0070C0"/>
          <w:sz w:val="22"/>
          <w:szCs w:val="22"/>
          <w:lang w:val="pl-PL"/>
        </w:rPr>
      </w:pPr>
    </w:p>
    <w:tbl>
      <w:tblPr>
        <w:tblStyle w:val="Tabela-Siatka"/>
        <w:tblW w:w="9524" w:type="dxa"/>
        <w:tblInd w:w="108" w:type="dxa"/>
        <w:tblLook w:val="04A0" w:firstRow="1" w:lastRow="0" w:firstColumn="1" w:lastColumn="0" w:noHBand="0" w:noVBand="1"/>
      </w:tblPr>
      <w:tblGrid>
        <w:gridCol w:w="8113"/>
        <w:gridCol w:w="1411"/>
      </w:tblGrid>
      <w:tr w:rsidR="007609C7" w:rsidRPr="007573B2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CE2715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AF7C27" w:rsidRDefault="00AF7C2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API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AF7C27" w:rsidRDefault="00AC26F5" w:rsidP="00EF22F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CE2715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Default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ERP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9C4BDB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Moduł aplikacji wspierający p</w:t>
            </w:r>
            <w:r w:rsidR="00AC26F5"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roces gromadzenia danych i informacji, zarówno medycznych jak i administracyjny</w:t>
            </w:r>
            <w:r w:rsidR="00AC26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9C4BDB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9C4BDB" w:rsidRDefault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Moduł aplikacji wspierający p</w:t>
            </w:r>
            <w:r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roces </w:t>
            </w:r>
            <w:r w:rsidR="00AC26F5"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wydawania atestu, opinii, ekspertyzy, etc.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9C4BDB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9C4BDB" w:rsidRDefault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Moduł aplikacji wspierający p</w:t>
            </w:r>
            <w:r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roces</w:t>
            </w:r>
            <w:r w:rsidR="00AC26F5"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związany z podnoszeniem kwalifikacji zawodowych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672203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672203" w:rsidRDefault="00AC26F5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Obieg dokumentów – 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 realizacji tej części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systemu NIZP-PZH planuje 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wykorzystać system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EZD PUW lub EZD RP, dzięki czemu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możliwe będzie ujednolicenie gromadzenia dokumentacji. </w:t>
            </w:r>
            <w:r w:rsidR="00C63FD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Biorąc pod uwagę specyfikę działalności Instytutu, system EZD PUW lub EZD RP zostanie zmodyfikowany na potrzeby Instytutu oraz wzbogacony o nowe funkcjonalności, specyficzne dla instytutu badawczego. </w:t>
            </w:r>
            <w:r w:rsidR="0067220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tej sprawie NIZP-PZH nawiązał kontakt z autorami </w:t>
            </w:r>
            <w:r w:rsidR="00672203" w:rsidRPr="0067220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EZD PUW</w:t>
            </w:r>
            <w:r w:rsidR="005E3CF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="0067220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Podlaskim Urzędem Wojewódzkim w Białymstoku. Mając na uwadze powyższe ustalenia, w celu nawiązania współpracy z Podlaskim Urzędem Wojewódzkim w Białymstoku zostanie podpisane porozumienie o współpracy.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672203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Default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CRM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672203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Moduł aplikacji wspierający p</w:t>
            </w:r>
            <w:r w:rsidRPr="009C4BD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roces 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wydawania a</w:t>
            </w:r>
            <w:r w:rsidR="00AC26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test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ów higienicznych/świadectw jakości zdrowotnej/opinii/ekspertyz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  <w:tr w:rsidR="00AC26F5" w:rsidRPr="00672203" w:rsidTr="007F3EBD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Default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System Obiegu Próbek (SOP)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F5" w:rsidRPr="00AF7C27" w:rsidRDefault="00AC26F5" w:rsidP="009337D1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31.01.2022</w:t>
            </w:r>
          </w:p>
        </w:tc>
      </w:tr>
    </w:tbl>
    <w:p w:rsidR="00FF3DE9" w:rsidRPr="000A19D8" w:rsidRDefault="00FF3DE9" w:rsidP="006952A5">
      <w:pPr>
        <w:pStyle w:val="Tekstpodstawowy"/>
        <w:ind w:left="0"/>
        <w:rPr>
          <w:lang w:val="pl-PL" w:eastAsia="pl-PL"/>
        </w:rPr>
      </w:pPr>
    </w:p>
    <w:p w:rsidR="00F710D4" w:rsidRPr="00F8445B" w:rsidRDefault="002F7D84" w:rsidP="00183078">
      <w:pPr>
        <w:pStyle w:val="Nagwek1"/>
        <w:rPr>
          <w:rFonts w:cs="Arial"/>
          <w:lang w:val="pl-PL" w:eastAsia="pl-PL"/>
        </w:rPr>
      </w:pPr>
      <w:r w:rsidRPr="00F8445B">
        <w:rPr>
          <w:rFonts w:cs="Arial"/>
          <w:lang w:val="pl-PL" w:eastAsia="pl-PL"/>
        </w:rPr>
        <w:t>KAMIENIE MILOWE</w:t>
      </w:r>
      <w:r w:rsidR="009C7AD9" w:rsidRPr="00F8445B">
        <w:rPr>
          <w:rFonts w:cs="Arial"/>
          <w:lang w:val="pl-PL" w:eastAsia="pl-PL"/>
        </w:rPr>
        <w:t xml:space="preserve"> </w:t>
      </w:r>
    </w:p>
    <w:tbl>
      <w:tblPr>
        <w:tblStyle w:val="Tabela-Siatka"/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768"/>
        <w:gridCol w:w="1701"/>
      </w:tblGrid>
      <w:tr w:rsidR="00990CD6" w:rsidRPr="00AF7C27" w:rsidTr="00642102">
        <w:trPr>
          <w:trHeight w:val="450"/>
        </w:trPr>
        <w:tc>
          <w:tcPr>
            <w:tcW w:w="7768" w:type="dxa"/>
            <w:shd w:val="clear" w:color="auto" w:fill="A6A6A6" w:themeFill="background1" w:themeFillShade="A6"/>
            <w:vAlign w:val="center"/>
          </w:tcPr>
          <w:p w:rsidR="00990CD6" w:rsidRPr="00AB138D" w:rsidRDefault="00990CD6" w:rsidP="00AB138D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AB138D">
              <w:rPr>
                <w:rFonts w:cs="Arial"/>
                <w:b/>
                <w:sz w:val="20"/>
                <w:lang w:val="pl-PL"/>
              </w:rPr>
              <w:t>Nazwa kamienia milowego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990CD6" w:rsidRPr="00AB138D" w:rsidRDefault="00990CD6" w:rsidP="00AB138D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990CD6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990CD6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Złożenie wniosku aplikacyjnego</w:t>
            </w:r>
          </w:p>
        </w:tc>
        <w:tc>
          <w:tcPr>
            <w:tcW w:w="1701" w:type="dxa"/>
          </w:tcPr>
          <w:p w:rsidR="00990CD6" w:rsidRPr="00F15B60" w:rsidRDefault="00990CD6" w:rsidP="00EF22F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  <w:r w:rsidR="00EF22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.2018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Zawarcie u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mow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y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o dofinansowanie</w:t>
            </w:r>
          </w:p>
        </w:tc>
        <w:tc>
          <w:tcPr>
            <w:tcW w:w="1701" w:type="dxa"/>
          </w:tcPr>
          <w:p w:rsidR="00990CD6" w:rsidRPr="00F15B60" w:rsidRDefault="00990CD6" w:rsidP="00AE0EDC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4</w:t>
            </w: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.2019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Zawarcie umowy z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wykonawc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ą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analizy przedwdrożeniowej</w:t>
            </w:r>
          </w:p>
        </w:tc>
        <w:tc>
          <w:tcPr>
            <w:tcW w:w="1701" w:type="dxa"/>
          </w:tcPr>
          <w:p w:rsidR="00990CD6" w:rsidRPr="00F15B60" w:rsidRDefault="00EF22F7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7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.2019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Zakończenie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analizy przedwdrożeniowej</w:t>
            </w:r>
          </w:p>
        </w:tc>
        <w:tc>
          <w:tcPr>
            <w:tcW w:w="1701" w:type="dxa"/>
          </w:tcPr>
          <w:p w:rsidR="00990CD6" w:rsidRPr="00F15B60" w:rsidRDefault="00AE0EDC" w:rsidP="00AE0EDC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12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.2019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Zawarcie umowy z 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wykonawc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ą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systemu</w:t>
            </w:r>
          </w:p>
        </w:tc>
        <w:tc>
          <w:tcPr>
            <w:tcW w:w="1701" w:type="dxa"/>
          </w:tcPr>
          <w:p w:rsidR="00990CD6" w:rsidRPr="00F15B60" w:rsidRDefault="00AC26F5" w:rsidP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</w:t>
            </w:r>
            <w:r w:rsidR="00AE0ED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5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20</w:t>
            </w:r>
          </w:p>
        </w:tc>
      </w:tr>
      <w:tr w:rsidR="00D16BEE" w:rsidRPr="00D16BEE" w:rsidTr="00642102">
        <w:trPr>
          <w:trHeight w:val="397"/>
        </w:trPr>
        <w:tc>
          <w:tcPr>
            <w:tcW w:w="7768" w:type="dxa"/>
          </w:tcPr>
          <w:p w:rsidR="00D16BEE" w:rsidRPr="00F15B60" w:rsidRDefault="005E3CF2" w:rsidP="005E3CF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Zawarcie umowy z </w:t>
            </w:r>
            <w:r w:rsidR="00D16BEE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dostawc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ą</w:t>
            </w:r>
            <w:r w:rsidR="00D16BEE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sprzętu informatycznego</w:t>
            </w:r>
          </w:p>
        </w:tc>
        <w:tc>
          <w:tcPr>
            <w:tcW w:w="1701" w:type="dxa"/>
          </w:tcPr>
          <w:p w:rsidR="00D16BEE" w:rsidRDefault="00D16BEE" w:rsidP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03.2021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Odbiór aplikacji do testów</w:t>
            </w:r>
          </w:p>
        </w:tc>
        <w:tc>
          <w:tcPr>
            <w:tcW w:w="1701" w:type="dxa"/>
          </w:tcPr>
          <w:p w:rsidR="00990CD6" w:rsidRPr="00F15B60" w:rsidRDefault="00AC26F5" w:rsidP="00EF22F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06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.202</w:t>
            </w:r>
            <w:r w:rsidR="00EF22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Zakończenie testów</w:t>
            </w:r>
          </w:p>
        </w:tc>
        <w:tc>
          <w:tcPr>
            <w:tcW w:w="1701" w:type="dxa"/>
          </w:tcPr>
          <w:p w:rsidR="00990CD6" w:rsidRPr="00F15B60" w:rsidRDefault="00AC26F5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10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.2021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Dostawa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sprzętu i oprogramowania</w:t>
            </w:r>
          </w:p>
        </w:tc>
        <w:tc>
          <w:tcPr>
            <w:tcW w:w="1701" w:type="dxa"/>
          </w:tcPr>
          <w:p w:rsidR="00990CD6" w:rsidRPr="00F15B60" w:rsidRDefault="00AC26F5" w:rsidP="00D16BEE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</w:t>
            </w:r>
            <w:r w:rsidR="00D16BE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5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</w:t>
            </w:r>
            <w:r w:rsidR="00EF22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="00D16BE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Odbiór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systemu</w:t>
            </w:r>
          </w:p>
        </w:tc>
        <w:tc>
          <w:tcPr>
            <w:tcW w:w="1701" w:type="dxa"/>
          </w:tcPr>
          <w:p w:rsidR="00990CD6" w:rsidRPr="00F15B60" w:rsidRDefault="00AC26F5" w:rsidP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01</w:t>
            </w:r>
            <w:r w:rsidR="00990CD6"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.202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5E3CF2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Zakończenie działań promocyjnych</w:t>
            </w:r>
          </w:p>
        </w:tc>
        <w:tc>
          <w:tcPr>
            <w:tcW w:w="1701" w:type="dxa"/>
          </w:tcPr>
          <w:p w:rsidR="00990CD6" w:rsidRPr="00F15B60" w:rsidRDefault="00990CD6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01.2022</w:t>
            </w:r>
          </w:p>
        </w:tc>
      </w:tr>
      <w:tr w:rsidR="00990CD6" w:rsidTr="00642102">
        <w:trPr>
          <w:trHeight w:val="397"/>
        </w:trPr>
        <w:tc>
          <w:tcPr>
            <w:tcW w:w="7768" w:type="dxa"/>
          </w:tcPr>
          <w:p w:rsidR="00990CD6" w:rsidRPr="00F15B60" w:rsidRDefault="00990CD6" w:rsidP="00FE74B3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Rozliczenie/zakończenie projektu</w:t>
            </w:r>
          </w:p>
        </w:tc>
        <w:tc>
          <w:tcPr>
            <w:tcW w:w="1701" w:type="dxa"/>
          </w:tcPr>
          <w:p w:rsidR="00990CD6" w:rsidRPr="00F15B60" w:rsidRDefault="00990CD6" w:rsidP="00AC26F5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</w:t>
            </w:r>
            <w:r w:rsidR="00AC26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F15B6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.2022</w:t>
            </w:r>
          </w:p>
        </w:tc>
      </w:tr>
    </w:tbl>
    <w:p w:rsidR="00F15B60" w:rsidRPr="00F15B60" w:rsidRDefault="00F15B60" w:rsidP="00F15B60">
      <w:pPr>
        <w:pStyle w:val="Tekstpodstawowy"/>
        <w:rPr>
          <w:lang w:val="pl-PL" w:eastAsia="pl-PL"/>
        </w:rPr>
      </w:pPr>
    </w:p>
    <w:p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6" w:name="_Toc462924067"/>
      <w:r w:rsidRPr="001B6667">
        <w:rPr>
          <w:rFonts w:cs="Arial"/>
          <w:lang w:val="pl-PL" w:eastAsia="pl-PL"/>
        </w:rPr>
        <w:t>KOSZTY</w:t>
      </w:r>
      <w:bookmarkEnd w:id="6"/>
      <w:r w:rsidR="009C7AD9">
        <w:rPr>
          <w:rFonts w:cs="Arial"/>
          <w:lang w:val="pl-PL" w:eastAsia="pl-PL"/>
        </w:rPr>
        <w:t xml:space="preserve"> </w:t>
      </w:r>
    </w:p>
    <w:p w:rsidR="00A44251" w:rsidRPr="001B6667" w:rsidRDefault="00A44251" w:rsidP="008149AF">
      <w:pPr>
        <w:pStyle w:val="Nagwek2"/>
        <w:tabs>
          <w:tab w:val="num" w:pos="1134"/>
        </w:tabs>
        <w:spacing w:after="0"/>
        <w:rPr>
          <w:lang w:val="pl-PL" w:eastAsia="pl-PL"/>
        </w:rPr>
      </w:pPr>
      <w:bookmarkStart w:id="7" w:name="_Toc462924068"/>
      <w:r w:rsidRPr="001B6667">
        <w:rPr>
          <w:lang w:val="pl-PL" w:eastAsia="pl-PL"/>
        </w:rPr>
        <w:t>Koszty ogólne projektu wraz ze sposobem finansowania</w:t>
      </w:r>
      <w:bookmarkEnd w:id="7"/>
    </w:p>
    <w:p w:rsidR="006C5A7C" w:rsidRDefault="006C5A7C" w:rsidP="006C5A7C">
      <w:pPr>
        <w:pStyle w:val="Tekstpodstawowy2"/>
        <w:rPr>
          <w:lang w:val="pl-PL" w:eastAsia="pl-PL"/>
        </w:rPr>
      </w:pPr>
      <w:bookmarkStart w:id="8" w:name="_Toc462924069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993"/>
        <w:gridCol w:w="6237"/>
      </w:tblGrid>
      <w:tr w:rsidR="0090140E" w:rsidRPr="0090140E" w:rsidTr="009337D1">
        <w:trPr>
          <w:trHeight w:val="392"/>
        </w:trPr>
        <w:tc>
          <w:tcPr>
            <w:tcW w:w="2409" w:type="dxa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Całkowity koszt projektu (netto oraz brutto)</w:t>
            </w:r>
            <w: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0140E" w:rsidRPr="0090140E" w:rsidRDefault="0090140E" w:rsidP="0090140E">
            <w:pPr>
              <w:rPr>
                <w:rFonts w:cs="Arial"/>
                <w:sz w:val="20"/>
                <w:lang w:val="pl-PL" w:eastAsia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15 632 732 zł netto / 17 796 613 zł brutto</w:t>
            </w:r>
          </w:p>
        </w:tc>
      </w:tr>
      <w:tr w:rsidR="0090140E" w:rsidRPr="0090140E" w:rsidTr="009337D1">
        <w:trPr>
          <w:trHeight w:val="82"/>
        </w:trPr>
        <w:tc>
          <w:tcPr>
            <w:tcW w:w="2409" w:type="dxa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0140E" w:rsidRPr="0090140E" w:rsidRDefault="0090140E" w:rsidP="0090140E">
            <w:pPr>
              <w:rPr>
                <w:rFonts w:cs="Arial"/>
                <w:sz w:val="20"/>
                <w:lang w:val="pl-PL" w:eastAsia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85 %</w:t>
            </w:r>
          </w:p>
        </w:tc>
      </w:tr>
      <w:tr w:rsidR="0090140E" w:rsidRPr="0090140E" w:rsidTr="009337D1">
        <w:trPr>
          <w:trHeight w:val="82"/>
        </w:trPr>
        <w:tc>
          <w:tcPr>
            <w:tcW w:w="2409" w:type="dxa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0140E" w:rsidRPr="0090140E" w:rsidRDefault="0090140E" w:rsidP="0090140E">
            <w:pPr>
              <w:rPr>
                <w:rFonts w:cs="Arial"/>
                <w:sz w:val="20"/>
                <w:lang w:val="pl-PL" w:eastAsia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15 %</w:t>
            </w:r>
          </w:p>
        </w:tc>
      </w:tr>
      <w:tr w:rsidR="0090140E" w:rsidRPr="0090140E" w:rsidTr="009337D1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Podział całkowitego kosztu projektu na poszczególna lata (netto oraz brutto)</w:t>
            </w:r>
          </w:p>
        </w:tc>
        <w:tc>
          <w:tcPr>
            <w:tcW w:w="993" w:type="dxa"/>
            <w:shd w:val="clear" w:color="auto" w:fill="FFFFFF"/>
          </w:tcPr>
          <w:p w:rsidR="0090140E" w:rsidRPr="001B6667" w:rsidRDefault="0090140E" w:rsidP="0090140E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2019</w:t>
            </w:r>
            <w:r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90140E" w:rsidRPr="0090140E" w:rsidRDefault="0090140E" w:rsidP="009337D1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2 074 853,00 zł netto / 2 169 314,00 zł brutto</w:t>
            </w:r>
          </w:p>
        </w:tc>
      </w:tr>
      <w:tr w:rsidR="0090140E" w:rsidRPr="0090140E" w:rsidTr="009337D1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2020 </w:t>
            </w:r>
            <w:r w:rsidRPr="001B6667">
              <w:rPr>
                <w:rFonts w:ascii="Arial" w:hAnsi="Arial" w:cs="Arial"/>
                <w:i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0140E">
              <w:rPr>
                <w:rFonts w:ascii="Arial" w:hAnsi="Arial" w:cs="Arial"/>
                <w:b w:val="0"/>
                <w:sz w:val="20"/>
                <w:lang w:eastAsia="pl-PL"/>
              </w:rPr>
              <w:t>7 989 518,00 zł netto / 9 336 977.00 zł brutto</w:t>
            </w:r>
          </w:p>
        </w:tc>
      </w:tr>
      <w:tr w:rsidR="0090140E" w:rsidRPr="0090140E" w:rsidTr="009337D1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2021</w:t>
            </w:r>
            <w:r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0140E">
              <w:rPr>
                <w:rFonts w:ascii="Arial" w:hAnsi="Arial" w:cs="Arial"/>
                <w:b w:val="0"/>
                <w:sz w:val="20"/>
                <w:lang w:eastAsia="pl-PL"/>
              </w:rPr>
              <w:t>4 955 880.00 zł netto / 5 612 396,00 zł brutto</w:t>
            </w:r>
          </w:p>
        </w:tc>
      </w:tr>
      <w:tr w:rsidR="0090140E" w:rsidRPr="0090140E" w:rsidTr="009337D1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2022</w:t>
            </w:r>
            <w:r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0140E">
              <w:rPr>
                <w:rFonts w:ascii="Arial" w:hAnsi="Arial" w:cs="Arial"/>
                <w:b w:val="0"/>
                <w:sz w:val="20"/>
                <w:lang w:eastAsia="pl-PL"/>
              </w:rPr>
              <w:t>612 482,00 zł netto / 677 926,00 zł brutto</w:t>
            </w:r>
          </w:p>
        </w:tc>
      </w:tr>
    </w:tbl>
    <w:p w:rsidR="006C5A7C" w:rsidRPr="006C5A7C" w:rsidRDefault="006C5A7C" w:rsidP="0090140E">
      <w:pPr>
        <w:pStyle w:val="Tekstpodstawowy2"/>
        <w:ind w:left="0"/>
        <w:rPr>
          <w:lang w:val="pl-PL" w:eastAsia="pl-PL"/>
        </w:rPr>
      </w:pPr>
    </w:p>
    <w:p w:rsidR="00121B8A" w:rsidRPr="001B6667" w:rsidRDefault="00A44251" w:rsidP="00B73C22">
      <w:pPr>
        <w:pStyle w:val="Nagwek2"/>
        <w:tabs>
          <w:tab w:val="num" w:pos="1134"/>
        </w:tabs>
        <w:rPr>
          <w:lang w:val="pl-PL" w:eastAsia="pl-PL"/>
        </w:rPr>
      </w:pPr>
      <w:r w:rsidRPr="001B6667">
        <w:rPr>
          <w:lang w:val="pl-PL" w:eastAsia="pl-PL"/>
        </w:rPr>
        <w:t>Wykaz poszczególnych pozycji kosztowych</w:t>
      </w:r>
      <w:bookmarkEnd w:id="8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W w:w="96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701"/>
        <w:gridCol w:w="2410"/>
        <w:gridCol w:w="2409"/>
      </w:tblGrid>
      <w:tr w:rsidR="00E57428" w:rsidRPr="00C73D50" w:rsidTr="009337D1">
        <w:trPr>
          <w:trHeight w:val="724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:rsidR="00E57428" w:rsidRPr="00E57428" w:rsidRDefault="00E57428" w:rsidP="00E57428">
            <w:pPr>
              <w:jc w:val="center"/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</w:pPr>
            <w:bookmarkStart w:id="9" w:name="_Toc462924070"/>
            <w:r w:rsidRPr="00E5742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  <w:p w:rsidR="00E57428" w:rsidRPr="00E57428" w:rsidRDefault="00E57428" w:rsidP="00E57428">
            <w:pPr>
              <w:widowControl w:val="0"/>
              <w:suppressAutoHyphens/>
              <w:jc w:val="center"/>
              <w:rPr>
                <w:rFonts w:eastAsia="Arial Unicode MS" w:cs="Arial"/>
                <w:b/>
                <w:bCs/>
                <w:kern w:val="1"/>
                <w:sz w:val="20"/>
                <w:szCs w:val="18"/>
                <w:lang w:val="pl-PL"/>
              </w:rPr>
            </w:pPr>
            <w:r w:rsidRPr="00E57428">
              <w:rPr>
                <w:rFonts w:eastAsia="Arial Unicode MS" w:cs="Arial"/>
                <w:bCs/>
                <w:color w:val="0070C0"/>
                <w:kern w:val="1"/>
                <w:sz w:val="20"/>
                <w:szCs w:val="18"/>
                <w:lang w:val="pl-PL" w:eastAsia="pl-PL"/>
              </w:rPr>
              <w:t>&lt;&lt;zakres należy dostosować do typu projektu. Dane prezentowane w tej kolumnie powinny korelować z częścią 2.2-2.4 &gt;&gt;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57428" w:rsidRPr="00E57428" w:rsidRDefault="00E57428" w:rsidP="00E57428">
            <w:pPr>
              <w:widowControl w:val="0"/>
              <w:suppressAutoHyphens/>
              <w:jc w:val="center"/>
              <w:rPr>
                <w:rFonts w:eastAsia="Arial Unicode MS" w:cs="Arial"/>
                <w:b/>
                <w:bCs/>
                <w:kern w:val="1"/>
                <w:sz w:val="20"/>
                <w:szCs w:val="18"/>
                <w:lang w:val="pl-PL"/>
              </w:rPr>
            </w:pPr>
            <w:r w:rsidRPr="00E57428">
              <w:rPr>
                <w:rFonts w:eastAsia="Arial Unicode MS" w:cs="Arial"/>
                <w:b/>
                <w:bCs/>
                <w:kern w:val="1"/>
                <w:sz w:val="20"/>
                <w:szCs w:val="18"/>
                <w:lang w:val="pl-PL"/>
              </w:rPr>
              <w:t>Przewidywany koszt  brutto:</w:t>
            </w:r>
          </w:p>
          <w:p w:rsidR="00E57428" w:rsidRPr="00E57428" w:rsidRDefault="00E57428" w:rsidP="00E57428">
            <w:pPr>
              <w:widowControl w:val="0"/>
              <w:suppressAutoHyphens/>
              <w:rPr>
                <w:sz w:val="20"/>
                <w:szCs w:val="18"/>
                <w:lang w:val="pl-PL"/>
              </w:rPr>
            </w:pPr>
            <w:r w:rsidRPr="00E57428">
              <w:rPr>
                <w:rFonts w:eastAsia="Arial Unicode MS" w:cs="Arial"/>
                <w:bCs/>
                <w:color w:val="0070C0"/>
                <w:kern w:val="1"/>
                <w:sz w:val="20"/>
                <w:szCs w:val="18"/>
                <w:lang w:val="pl-PL" w:eastAsia="pl-PL"/>
              </w:rPr>
              <w:t>&lt;&lt;kwoty wyrażone w formacie: 1 485 000,00 zł. Należy wskazać przewidywany całościowy koszt dla każdej pozycji&gt;&gt;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57428" w:rsidRPr="00E57428" w:rsidRDefault="00E57428" w:rsidP="00E57428">
            <w:pPr>
              <w:widowControl w:val="0"/>
              <w:tabs>
                <w:tab w:val="left" w:pos="585"/>
              </w:tabs>
              <w:suppressAutoHyphens/>
              <w:jc w:val="center"/>
              <w:rPr>
                <w:rFonts w:eastAsia="Arial Unicode MS" w:cs="Arial"/>
                <w:b/>
                <w:bCs/>
                <w:kern w:val="1"/>
                <w:sz w:val="20"/>
                <w:szCs w:val="18"/>
                <w:lang w:val="pl-PL"/>
              </w:rPr>
            </w:pPr>
            <w:r w:rsidRPr="00E57428">
              <w:rPr>
                <w:rFonts w:eastAsia="Arial Unicode MS" w:cs="Arial"/>
                <w:b/>
                <w:bCs/>
                <w:kern w:val="1"/>
                <w:sz w:val="20"/>
                <w:szCs w:val="18"/>
                <w:lang w:val="pl-PL"/>
              </w:rPr>
              <w:t>Uzasadnienie pozycji kosztowej (przeznaczenie):</w:t>
            </w:r>
          </w:p>
          <w:p w:rsidR="00E57428" w:rsidRPr="00E57428" w:rsidRDefault="00E57428" w:rsidP="00E57428">
            <w:pPr>
              <w:widowControl w:val="0"/>
              <w:suppressAutoHyphens/>
              <w:rPr>
                <w:sz w:val="20"/>
                <w:szCs w:val="18"/>
                <w:lang w:val="pl-PL"/>
              </w:rPr>
            </w:pPr>
            <w:r w:rsidRPr="00E57428">
              <w:rPr>
                <w:rFonts w:eastAsia="Arial Unicode MS" w:cs="Arial"/>
                <w:bCs/>
                <w:color w:val="0070C0"/>
                <w:kern w:val="1"/>
                <w:sz w:val="20"/>
                <w:szCs w:val="18"/>
                <w:lang w:val="pl-PL" w:eastAsia="pl-PL"/>
              </w:rPr>
              <w:t>&lt;&lt;zwięzłe uzasadnienie potrzeby wydatkowania środków na tę pozycję kosztową; maksymalnie 3 zdania&gt;&gt;</w:t>
            </w:r>
          </w:p>
        </w:tc>
      </w:tr>
      <w:tr w:rsidR="00E44335" w:rsidRPr="00C73D50" w:rsidTr="009337D1">
        <w:trPr>
          <w:trHeight w:val="383"/>
        </w:trPr>
        <w:tc>
          <w:tcPr>
            <w:tcW w:w="3118" w:type="dxa"/>
            <w:shd w:val="clear" w:color="auto" w:fill="auto"/>
          </w:tcPr>
          <w:p w:rsidR="00E57428" w:rsidRPr="00E44335" w:rsidRDefault="00E57428" w:rsidP="00E57428">
            <w:pPr>
              <w:rPr>
                <w:rFonts w:eastAsia="MS MinNew Roman" w:cs="Arial"/>
                <w:bCs/>
                <w:sz w:val="20"/>
                <w:szCs w:val="18"/>
                <w:lang w:val="pl-PL"/>
              </w:rPr>
            </w:pPr>
            <w:r w:rsidRPr="00E44335">
              <w:rPr>
                <w:rFonts w:eastAsia="MS MinNew Roman" w:cs="Arial"/>
                <w:bCs/>
                <w:sz w:val="20"/>
                <w:szCs w:val="18"/>
                <w:lang w:val="pl-PL"/>
              </w:rPr>
              <w:t>Oprogramowanie</w:t>
            </w:r>
          </w:p>
        </w:tc>
        <w:tc>
          <w:tcPr>
            <w:tcW w:w="1701" w:type="dxa"/>
          </w:tcPr>
          <w:p w:rsidR="00E57428" w:rsidRPr="00E44335" w:rsidRDefault="00F60C69" w:rsidP="00F60C69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Określone po przeprowadzeniu analizy wstępnej</w:t>
            </w:r>
          </w:p>
        </w:tc>
        <w:tc>
          <w:tcPr>
            <w:tcW w:w="2410" w:type="dxa"/>
            <w:shd w:val="clear" w:color="auto" w:fill="FFFFFF"/>
          </w:tcPr>
          <w:p w:rsidR="00E57428" w:rsidRPr="00E44335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8 305 390,44 </w:t>
            </w:r>
          </w:p>
        </w:tc>
        <w:tc>
          <w:tcPr>
            <w:tcW w:w="2409" w:type="dxa"/>
            <w:shd w:val="clear" w:color="auto" w:fill="FFFFFF"/>
          </w:tcPr>
          <w:p w:rsidR="00E57428" w:rsidRPr="00E44335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Pozycja zawiera zakup niezbędnego oprogramowania </w:t>
            </w:r>
            <w:r w:rsidR="00F85CE8"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licencjonowanego </w:t>
            </w: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do prawidłowego funkcjonowania zbudowanych aplikacji systemu A2A oraz budowę </w:t>
            </w:r>
            <w:r w:rsidR="00F85CE8"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systemu</w:t>
            </w: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 wymaganego do zrealizowania założeń projektu.</w:t>
            </w:r>
          </w:p>
        </w:tc>
      </w:tr>
      <w:tr w:rsidR="00E44335" w:rsidRPr="00C73D50" w:rsidTr="009337D1">
        <w:trPr>
          <w:trHeight w:val="432"/>
        </w:trPr>
        <w:tc>
          <w:tcPr>
            <w:tcW w:w="3118" w:type="dxa"/>
            <w:shd w:val="clear" w:color="auto" w:fill="auto"/>
          </w:tcPr>
          <w:p w:rsidR="00E57428" w:rsidRPr="00E44335" w:rsidDel="00CC0813" w:rsidRDefault="00E57428" w:rsidP="00E57428">
            <w:pPr>
              <w:rPr>
                <w:rFonts w:cs="Arial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Infrastruktura</w:t>
            </w:r>
          </w:p>
        </w:tc>
        <w:tc>
          <w:tcPr>
            <w:tcW w:w="1701" w:type="dxa"/>
          </w:tcPr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Macierz; szt. </w:t>
            </w: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2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cena brutto 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658 714,20;</w:t>
            </w:r>
          </w:p>
          <w:p w:rsidR="000841DA" w:rsidRPr="000841DA" w:rsidRDefault="000841DA" w:rsidP="000841DA">
            <w:pPr>
              <w:widowControl w:val="0"/>
              <w:tabs>
                <w:tab w:val="left" w:pos="0"/>
              </w:tabs>
              <w:suppressAutoHyphens/>
              <w:ind w:right="-5608"/>
              <w:rPr>
                <w:rFonts w:eastAsia="Arial Unicode MS" w:cs="Arial"/>
                <w:bCs/>
                <w:kern w:val="1"/>
                <w:sz w:val="18"/>
                <w:szCs w:val="18"/>
                <w:lang w:val="pl-PL"/>
              </w:rPr>
            </w:pP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Serwer; szt. 6; cena brutto:</w:t>
            </w:r>
          </w:p>
          <w:p w:rsidR="000841DA" w:rsidRP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361 620,00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UPS (do serwerów)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szt. </w:t>
            </w: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cena brutto: </w:t>
            </w:r>
          </w:p>
          <w:p w:rsidR="000841DA" w:rsidRP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38 376,00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Zestawy komputerowe (stacja+monitor+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 </w:t>
            </w: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UPS)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szt. </w:t>
            </w: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35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cena brutto:</w:t>
            </w:r>
          </w:p>
          <w:p w:rsidR="000841DA" w:rsidRP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345 045,75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Default="009337D1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Ska</w:t>
            </w:r>
            <w:r w:rsid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ner; szt. </w:t>
            </w:r>
            <w:r w:rsidR="000841DA"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</w:t>
            </w:r>
            <w:r w:rsid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;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cena brutto:</w:t>
            </w:r>
          </w:p>
          <w:p w:rsidR="000841DA" w:rsidRP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25 830,00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Pr="00C73D50" w:rsidRDefault="009337D1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C73D50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Pamięć masowa </w:t>
            </w:r>
            <w:r w:rsidR="000841DA" w:rsidRPr="00C73D50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Back-up; szt. 1</w:t>
            </w:r>
          </w:p>
          <w:p w:rsidR="000841DA" w:rsidRPr="00C73D50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C73D50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cena brutto:</w:t>
            </w:r>
          </w:p>
          <w:p w:rsidR="000841DA" w:rsidRPr="000841DA" w:rsidRDefault="001D59BE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59 881,85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Dysk HDD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; szt. 40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cena brutto: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98 400,00</w:t>
            </w:r>
          </w:p>
          <w:p w:rsidR="000841DA" w:rsidRP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Switch</w:t>
            </w: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; szt. </w:t>
            </w: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2</w:t>
            </w:r>
          </w:p>
          <w:p w:rsidR="000841DA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cena brutto:</w:t>
            </w:r>
          </w:p>
          <w:p w:rsidR="00E57428" w:rsidRPr="00E44335" w:rsidDel="00CC0813" w:rsidRDefault="000841DA" w:rsidP="000841DA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0841DA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98 400,00</w:t>
            </w:r>
          </w:p>
        </w:tc>
        <w:tc>
          <w:tcPr>
            <w:tcW w:w="2410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1 686 267,80</w:t>
            </w:r>
          </w:p>
        </w:tc>
        <w:tc>
          <w:tcPr>
            <w:tcW w:w="2409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Niezbędne dla prawidłowego funkcjonowania zbudowanych aplikacji systemu A2A</w:t>
            </w:r>
          </w:p>
        </w:tc>
      </w:tr>
      <w:tr w:rsidR="00E44335" w:rsidRPr="00E44335" w:rsidTr="009337D1">
        <w:trPr>
          <w:trHeight w:val="395"/>
        </w:trPr>
        <w:tc>
          <w:tcPr>
            <w:tcW w:w="3118" w:type="dxa"/>
            <w:shd w:val="clear" w:color="auto" w:fill="auto"/>
          </w:tcPr>
          <w:p w:rsidR="00E57428" w:rsidRPr="00E44335" w:rsidDel="00CC0813" w:rsidRDefault="00E57428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20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20"/>
                <w:szCs w:val="18"/>
                <w:lang w:val="pl-PL" w:eastAsia="pl-PL"/>
              </w:rPr>
              <w:t>Koszty UX i grafiki</w:t>
            </w:r>
          </w:p>
        </w:tc>
        <w:tc>
          <w:tcPr>
            <w:tcW w:w="1701" w:type="dxa"/>
            <w:shd w:val="clear" w:color="auto" w:fill="auto"/>
          </w:tcPr>
          <w:p w:rsidR="00E57428" w:rsidRPr="00E44335" w:rsidDel="00CC0813" w:rsidRDefault="00E57428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57428" w:rsidRPr="00E44335" w:rsidDel="00CC0813" w:rsidRDefault="00E57428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E57428" w:rsidRPr="00E44335" w:rsidDel="00CC0813" w:rsidRDefault="00F60C69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Zawarte w pozycji Oprogramowanie</w:t>
            </w:r>
          </w:p>
        </w:tc>
      </w:tr>
      <w:tr w:rsidR="00E44335" w:rsidRPr="00C73D50" w:rsidTr="009337D1">
        <w:trPr>
          <w:trHeight w:val="395"/>
        </w:trPr>
        <w:tc>
          <w:tcPr>
            <w:tcW w:w="3118" w:type="dxa"/>
            <w:shd w:val="clear" w:color="auto" w:fill="auto"/>
          </w:tcPr>
          <w:p w:rsidR="002B15AB" w:rsidRPr="00E44335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Bezpieczeństwo</w:t>
            </w:r>
          </w:p>
        </w:tc>
        <w:tc>
          <w:tcPr>
            <w:tcW w:w="1701" w:type="dxa"/>
            <w:shd w:val="clear" w:color="auto" w:fill="auto"/>
          </w:tcPr>
          <w:p w:rsidR="002B15AB" w:rsidRPr="00E44335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B15AB" w:rsidRPr="00E44335" w:rsidDel="00CC0813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0,00</w:t>
            </w:r>
          </w:p>
        </w:tc>
        <w:tc>
          <w:tcPr>
            <w:tcW w:w="2409" w:type="dxa"/>
            <w:shd w:val="clear" w:color="auto" w:fill="FFFFFF"/>
          </w:tcPr>
          <w:p w:rsidR="002B15AB" w:rsidRPr="00E44335" w:rsidDel="00CC0813" w:rsidRDefault="0070195C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Wspólne rozwiązania wykorzystane z realizowanych równolegle projektów EpiBaza i ProfiBaza.</w:t>
            </w:r>
          </w:p>
        </w:tc>
      </w:tr>
      <w:tr w:rsidR="00E44335" w:rsidRPr="00C73D50" w:rsidTr="009337D1">
        <w:trPr>
          <w:trHeight w:val="395"/>
        </w:trPr>
        <w:tc>
          <w:tcPr>
            <w:tcW w:w="3118" w:type="dxa"/>
            <w:shd w:val="clear" w:color="auto" w:fill="auto"/>
          </w:tcPr>
          <w:p w:rsidR="002B15AB" w:rsidRPr="00E44335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Wydajność rozwiązań</w:t>
            </w:r>
          </w:p>
        </w:tc>
        <w:tc>
          <w:tcPr>
            <w:tcW w:w="1701" w:type="dxa"/>
            <w:shd w:val="clear" w:color="auto" w:fill="auto"/>
          </w:tcPr>
          <w:p w:rsidR="002B15AB" w:rsidRPr="00E44335" w:rsidRDefault="00F60C69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Koszty analizy, testów, wdrożenia</w:t>
            </w:r>
          </w:p>
        </w:tc>
        <w:tc>
          <w:tcPr>
            <w:tcW w:w="2410" w:type="dxa"/>
            <w:shd w:val="clear" w:color="auto" w:fill="FFFFFF"/>
          </w:tcPr>
          <w:p w:rsidR="002B15AB" w:rsidRPr="00E44335" w:rsidDel="00CC0813" w:rsidRDefault="002B15AB" w:rsidP="002B15AB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4 283 119,08</w:t>
            </w:r>
          </w:p>
        </w:tc>
        <w:tc>
          <w:tcPr>
            <w:tcW w:w="2409" w:type="dxa"/>
            <w:shd w:val="clear" w:color="auto" w:fill="FFFFFF"/>
          </w:tcPr>
          <w:p w:rsidR="002B15AB" w:rsidRPr="00E44335" w:rsidDel="00CC0813" w:rsidRDefault="002B15AB" w:rsidP="005E0C6D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W celu zapewnienia optymalnej wydajności budowanego systemu niezbędne jest przeprowadzenie testów </w:t>
            </w:r>
            <w:r w:rsidR="005E0C6D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wydajności</w:t>
            </w: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 i optymalizacji </w:t>
            </w:r>
            <w:r w:rsidR="005E0C6D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oprogramowania</w:t>
            </w: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.</w:t>
            </w:r>
          </w:p>
        </w:tc>
      </w:tr>
      <w:tr w:rsidR="00E44335" w:rsidRPr="00C73D50" w:rsidTr="009337D1">
        <w:trPr>
          <w:trHeight w:val="413"/>
        </w:trPr>
        <w:tc>
          <w:tcPr>
            <w:tcW w:w="3118" w:type="dxa"/>
            <w:shd w:val="clear" w:color="auto" w:fill="auto"/>
          </w:tcPr>
          <w:p w:rsidR="00E57428" w:rsidRPr="00E44335" w:rsidRDefault="00E57428" w:rsidP="00E57428">
            <w:pPr>
              <w:rPr>
                <w:rFonts w:cs="Arial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Szkolenia</w:t>
            </w:r>
          </w:p>
        </w:tc>
        <w:tc>
          <w:tcPr>
            <w:tcW w:w="1701" w:type="dxa"/>
          </w:tcPr>
          <w:p w:rsidR="00E57428" w:rsidRPr="00E44335" w:rsidDel="00CC0813" w:rsidRDefault="00E57428" w:rsidP="00E57428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160 000,00</w:t>
            </w:r>
          </w:p>
        </w:tc>
        <w:tc>
          <w:tcPr>
            <w:tcW w:w="2409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Szkolenia niezbędne dla personelu NIZP-PZH zaangażowanych w użytkowanie systemów</w:t>
            </w:r>
          </w:p>
        </w:tc>
      </w:tr>
      <w:tr w:rsidR="00E44335" w:rsidRPr="00C73D50" w:rsidTr="009337D1">
        <w:trPr>
          <w:trHeight w:val="419"/>
        </w:trPr>
        <w:tc>
          <w:tcPr>
            <w:tcW w:w="3118" w:type="dxa"/>
            <w:shd w:val="clear" w:color="auto" w:fill="auto"/>
          </w:tcPr>
          <w:p w:rsidR="00E57428" w:rsidRPr="00E44335" w:rsidRDefault="00E57428" w:rsidP="00E57428">
            <w:pPr>
              <w:rPr>
                <w:rFonts w:cs="Arial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Działania informacyjno-promocyjne</w:t>
            </w:r>
          </w:p>
        </w:tc>
        <w:tc>
          <w:tcPr>
            <w:tcW w:w="1701" w:type="dxa"/>
          </w:tcPr>
          <w:p w:rsidR="00E57428" w:rsidRPr="00E44335" w:rsidDel="00CC0813" w:rsidRDefault="00E57428" w:rsidP="00E57428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247 609,80</w:t>
            </w:r>
          </w:p>
        </w:tc>
        <w:tc>
          <w:tcPr>
            <w:tcW w:w="2409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Wynika z założeń projektu oraz dokumentacji programowej</w:t>
            </w:r>
          </w:p>
        </w:tc>
      </w:tr>
      <w:tr w:rsidR="00E44335" w:rsidRPr="00C73D50" w:rsidTr="009337D1">
        <w:trPr>
          <w:trHeight w:val="724"/>
        </w:trPr>
        <w:tc>
          <w:tcPr>
            <w:tcW w:w="3118" w:type="dxa"/>
            <w:shd w:val="clear" w:color="auto" w:fill="auto"/>
          </w:tcPr>
          <w:p w:rsidR="00E57428" w:rsidRPr="00E44335" w:rsidRDefault="00E57428" w:rsidP="00E57428">
            <w:pPr>
              <w:rPr>
                <w:rFonts w:cs="Arial"/>
                <w:sz w:val="20"/>
                <w:szCs w:val="18"/>
                <w:lang w:val="pl-PL" w:eastAsia="pl-PL"/>
              </w:rPr>
            </w:pPr>
            <w:r w:rsidRPr="00E44335">
              <w:rPr>
                <w:rFonts w:cs="Arial"/>
                <w:sz w:val="20"/>
                <w:szCs w:val="18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1701" w:type="dxa"/>
          </w:tcPr>
          <w:p w:rsidR="00E57428" w:rsidRPr="00E44335" w:rsidDel="00CC0813" w:rsidRDefault="00F60C69" w:rsidP="00F60C69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Koordynacja zadań i Kierownik projektu, wparcie kadrowo-finansowo-księgowe oraz zamówień publicznych, analiza przedwdrożeniowa, doradztwo zewnętrzne przy budowie systemu, audyt zewnętrzny, doradztwo prawne, opracowanie Studium Wykonalności.</w:t>
            </w:r>
          </w:p>
        </w:tc>
        <w:tc>
          <w:tcPr>
            <w:tcW w:w="2410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3 114 226,00</w:t>
            </w:r>
          </w:p>
        </w:tc>
        <w:tc>
          <w:tcPr>
            <w:tcW w:w="2409" w:type="dxa"/>
            <w:shd w:val="clear" w:color="auto" w:fill="FFFFFF"/>
          </w:tcPr>
          <w:p w:rsidR="00E57428" w:rsidRPr="00E44335" w:rsidDel="00CC0813" w:rsidRDefault="0090140E" w:rsidP="00E57428">
            <w:pPr>
              <w:widowControl w:val="0"/>
              <w:suppressAutoHyphens/>
              <w:rPr>
                <w:rFonts w:eastAsia="Arial Unicode MS" w:cs="Arial"/>
                <w:bCs/>
                <w:kern w:val="1"/>
                <w:sz w:val="18"/>
                <w:szCs w:val="18"/>
                <w:highlight w:val="yellow"/>
                <w:lang w:val="pl-PL" w:eastAsia="pl-PL"/>
              </w:rPr>
            </w:pP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Zapewnienie sprawnej, merytorycznej, zgod</w:t>
            </w:r>
            <w:r w:rsidR="00F85CE8"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>nej z założeniami i dokumentacją</w:t>
            </w:r>
            <w:r w:rsidRPr="00E44335">
              <w:rPr>
                <w:rFonts w:eastAsia="Arial Unicode MS" w:cs="Arial"/>
                <w:bCs/>
                <w:kern w:val="1"/>
                <w:sz w:val="18"/>
                <w:szCs w:val="18"/>
                <w:lang w:val="pl-PL" w:eastAsia="pl-PL"/>
              </w:rPr>
              <w:t xml:space="preserve"> projektu realizacji zadania</w:t>
            </w:r>
          </w:p>
        </w:tc>
      </w:tr>
    </w:tbl>
    <w:p w:rsidR="00CA7A8F" w:rsidRPr="0078552C" w:rsidRDefault="00CA7A8F" w:rsidP="007573B2">
      <w:pPr>
        <w:pStyle w:val="Tekstpodstawowy2"/>
        <w:rPr>
          <w:lang w:val="pl-PL" w:eastAsia="pl-PL"/>
        </w:rPr>
      </w:pPr>
    </w:p>
    <w:p w:rsidR="00972003" w:rsidRDefault="00A44251" w:rsidP="008149AF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9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2410"/>
      </w:tblGrid>
      <w:tr w:rsidR="0090140E" w:rsidRPr="0090140E" w:rsidTr="009337D1">
        <w:trPr>
          <w:trHeight w:val="392"/>
        </w:trPr>
        <w:tc>
          <w:tcPr>
            <w:tcW w:w="2268" w:type="dxa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Całkowity koszt utrzymania trwałości projektu (brutto)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90140E" w:rsidRPr="0090140E" w:rsidRDefault="0090140E" w:rsidP="009337D1">
            <w:pPr>
              <w:rPr>
                <w:rFonts w:eastAsia="MS MinNew Roman" w:cs="Arial"/>
                <w:sz w:val="20"/>
                <w:lang w:val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3 289 368,00 zł. (od 2022 r. do 2027 r.)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0140E" w:rsidRPr="0090140E" w:rsidRDefault="0090140E" w:rsidP="009337D1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90140E">
              <w:rPr>
                <w:rFonts w:eastAsia="MS MinNew Roman" w:cs="Arial"/>
                <w:b/>
                <w:bCs/>
                <w:sz w:val="20"/>
                <w:lang w:val="pl-PL"/>
              </w:rPr>
              <w:t>Źródło finansowania</w:t>
            </w:r>
          </w:p>
          <w:p w:rsidR="0090140E" w:rsidRPr="0090140E" w:rsidRDefault="0090140E" w:rsidP="009337D1">
            <w:pPr>
              <w:jc w:val="center"/>
              <w:rPr>
                <w:rFonts w:cs="Arial"/>
                <w:b/>
                <w:sz w:val="20"/>
                <w:lang w:val="pl-PL" w:eastAsia="pl-PL"/>
              </w:rPr>
            </w:pPr>
          </w:p>
        </w:tc>
      </w:tr>
      <w:tr w:rsidR="0090140E" w:rsidRPr="001B6667" w:rsidTr="009337D1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Podział całkowitego kosztu utrzymania trwałości projektu na poszczególna lata (netto oraz brutto)</w:t>
            </w:r>
          </w:p>
        </w:tc>
        <w:tc>
          <w:tcPr>
            <w:tcW w:w="850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548 228,00 zł. koszt 2022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rPr>
                <w:rFonts w:cs="Arial"/>
                <w:sz w:val="20"/>
                <w:lang w:val="pl-PL" w:eastAsia="pl-PL"/>
              </w:rPr>
            </w:pPr>
            <w:r w:rsidRPr="0090140E">
              <w:rPr>
                <w:rFonts w:cs="Arial"/>
                <w:sz w:val="20"/>
                <w:lang w:val="pl-PL" w:eastAsia="pl-PL"/>
              </w:rPr>
              <w:t>środki własne</w:t>
            </w:r>
          </w:p>
        </w:tc>
      </w:tr>
      <w:tr w:rsidR="0090140E" w:rsidRPr="0090140E" w:rsidTr="009337D1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548 228,00 zł. koszt 2023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jw.</w:t>
            </w:r>
          </w:p>
        </w:tc>
      </w:tr>
      <w:tr w:rsidR="0090140E" w:rsidRPr="0090140E" w:rsidTr="009337D1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 </w:t>
            </w:r>
            <w:r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548 228,00 zł. koszt 2024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jw.</w:t>
            </w:r>
          </w:p>
        </w:tc>
      </w:tr>
      <w:tr w:rsidR="0090140E" w:rsidRPr="005D3974" w:rsidTr="009337D1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548 228,00 zł. koszt 2025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jw.</w:t>
            </w:r>
          </w:p>
        </w:tc>
      </w:tr>
      <w:tr w:rsidR="0090140E" w:rsidRPr="001B6667" w:rsidTr="009337D1">
        <w:trPr>
          <w:trHeight w:val="227"/>
        </w:trPr>
        <w:tc>
          <w:tcPr>
            <w:tcW w:w="2268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90140E" w:rsidRPr="001B6667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548 228,00 zł. koszt 2026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jw.</w:t>
            </w:r>
          </w:p>
        </w:tc>
      </w:tr>
      <w:tr w:rsidR="0090140E" w:rsidRPr="001B6667" w:rsidTr="009337D1">
        <w:trPr>
          <w:trHeight w:val="227"/>
        </w:trPr>
        <w:tc>
          <w:tcPr>
            <w:tcW w:w="2268" w:type="dxa"/>
            <w:vMerge/>
            <w:shd w:val="clear" w:color="auto" w:fill="E7E6E6"/>
          </w:tcPr>
          <w:p w:rsidR="0090140E" w:rsidRPr="001B6667" w:rsidRDefault="0090140E" w:rsidP="009337D1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90140E" w:rsidRDefault="0090140E" w:rsidP="009337D1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 rok</w:t>
            </w:r>
          </w:p>
        </w:tc>
        <w:tc>
          <w:tcPr>
            <w:tcW w:w="4111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548 228,00 zł. koszt 2027 r.</w:t>
            </w:r>
          </w:p>
        </w:tc>
        <w:tc>
          <w:tcPr>
            <w:tcW w:w="2410" w:type="dxa"/>
            <w:shd w:val="clear" w:color="auto" w:fill="FFFFFF"/>
          </w:tcPr>
          <w:p w:rsidR="0090140E" w:rsidRPr="0090140E" w:rsidRDefault="0090140E" w:rsidP="009337D1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90140E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>jw.</w:t>
            </w:r>
          </w:p>
        </w:tc>
      </w:tr>
    </w:tbl>
    <w:p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10" w:name="_Toc462924071"/>
    </w:p>
    <w:p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>(w przypadku projektu współfinansowanego – wkład krajowy z budżetu państwa) oraz koszty utrzymania projektu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:rsidR="005D3974" w:rsidRPr="00037D99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:rsidR="00644137" w:rsidRPr="00FC767C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trike/>
          <w:szCs w:val="20"/>
          <w:lang w:val="pl-PL"/>
        </w:rPr>
      </w:pPr>
      <w:r w:rsidRPr="00FC767C">
        <w:rPr>
          <w:rFonts w:eastAsia="Cambria" w:cs="Arial"/>
          <w:b w:val="0"/>
          <w:caps w:val="0"/>
          <w:strike/>
          <w:szCs w:val="20"/>
          <w:lang w:val="pl-PL"/>
        </w:rPr>
        <w:t>będą powodować konieczność przyznania</w:t>
      </w:r>
      <w:r w:rsidR="005D3974" w:rsidRPr="00FC767C">
        <w:rPr>
          <w:rFonts w:eastAsia="Cambria" w:cs="Arial"/>
          <w:b w:val="0"/>
          <w:caps w:val="0"/>
          <w:strike/>
          <w:szCs w:val="20"/>
          <w:lang w:val="pl-PL"/>
        </w:rPr>
        <w:t xml:space="preserve"> dodatkowych kwot.</w:t>
      </w:r>
      <w:r w:rsidR="005D3974" w:rsidRPr="00FC767C">
        <w:rPr>
          <w:rStyle w:val="Odwoanieprzypisudolnego"/>
          <w:rFonts w:eastAsia="Cambria"/>
          <w:b w:val="0"/>
          <w:caps w:val="0"/>
          <w:strike/>
          <w:szCs w:val="20"/>
          <w:lang w:val="pl-PL"/>
        </w:rPr>
        <w:footnoteReference w:id="1"/>
      </w:r>
    </w:p>
    <w:p w:rsidR="00644137" w:rsidRPr="005D3974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:rsidR="009F7CDA" w:rsidRDefault="009F7CDA" w:rsidP="009431B0">
      <w:pPr>
        <w:pStyle w:val="Nagwek1"/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10"/>
      <w:r w:rsidR="009C7AD9">
        <w:rPr>
          <w:rFonts w:cs="Arial"/>
          <w:caps w:val="0"/>
          <w:lang w:val="pl-PL" w:eastAsia="pl-PL"/>
        </w:rPr>
        <w:t xml:space="preserve"> </w:t>
      </w:r>
    </w:p>
    <w:p w:rsidR="009F722B" w:rsidRPr="009F722B" w:rsidRDefault="009F722B" w:rsidP="009F722B">
      <w:pPr>
        <w:pStyle w:val="Tekstpodstawowy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F722B">
        <w:rPr>
          <w:rFonts w:asciiTheme="minorHAnsi" w:hAnsiTheme="minorHAnsi" w:cstheme="minorHAnsi"/>
          <w:sz w:val="18"/>
          <w:szCs w:val="18"/>
          <w:lang w:val="pl-PL"/>
        </w:rPr>
        <w:t xml:space="preserve">Na obecnym etapie, </w:t>
      </w:r>
      <w:r>
        <w:rPr>
          <w:rFonts w:asciiTheme="minorHAnsi" w:hAnsiTheme="minorHAnsi" w:cstheme="minorHAnsi"/>
          <w:sz w:val="18"/>
          <w:szCs w:val="18"/>
          <w:lang w:val="pl-PL"/>
        </w:rPr>
        <w:t>NIZP-PZH</w:t>
      </w:r>
      <w:r w:rsidRPr="009F722B">
        <w:rPr>
          <w:rFonts w:asciiTheme="minorHAnsi" w:hAnsiTheme="minorHAnsi" w:cstheme="minorHAnsi"/>
          <w:sz w:val="18"/>
          <w:szCs w:val="18"/>
          <w:lang w:val="pl-PL"/>
        </w:rPr>
        <w:t xml:space="preserve"> nie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diagnozuje ryzyka nieterminowej realizacji zadań, biorąc pod uwagę tak duży zakres informatyzacji. NIZP-PZH realizuje obecnie dwa duże projekty w ramach </w:t>
      </w:r>
      <w:r w:rsidRPr="009F722B">
        <w:rPr>
          <w:rFonts w:asciiTheme="minorHAnsi" w:hAnsiTheme="minorHAnsi" w:cstheme="minorHAnsi"/>
          <w:sz w:val="18"/>
          <w:szCs w:val="18"/>
          <w:lang w:val="pl-PL"/>
        </w:rPr>
        <w:t>Programu Operacyjnego Polska Cyfrowa, Poddziałanie 2.3.1 „Cyfrowe udostępnienie informacji sektora publicznego ze źródeł administracyjnych i zasobów nauki”(typ projektu: cyfrowe udostępnienie ISP ze źródeł administracyjnych)</w:t>
      </w:r>
      <w:r>
        <w:rPr>
          <w:rFonts w:asciiTheme="minorHAnsi" w:hAnsiTheme="minorHAnsi" w:cstheme="minorHAnsi"/>
          <w:sz w:val="18"/>
          <w:szCs w:val="18"/>
          <w:lang w:val="pl-PL"/>
        </w:rPr>
        <w:t>, a doświadczenie zdobyte podczas ich realizacji przełoży się na realizację przedmiotowego projektu.</w:t>
      </w:r>
    </w:p>
    <w:p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1" w:name="_Toc462924072"/>
      <w:r w:rsidRPr="001B6667">
        <w:rPr>
          <w:lang w:val="pl-PL" w:eastAsia="pl-PL"/>
        </w:rPr>
        <w:t>Ryzyka wpływające na realizację projektu</w:t>
      </w:r>
      <w:bookmarkEnd w:id="11"/>
      <w:r w:rsidR="00A44CAE" w:rsidRPr="001B6667">
        <w:rPr>
          <w:lang w:val="pl-PL" w:eastAsia="pl-PL"/>
        </w:rPr>
        <w:t xml:space="preserve"> </w:t>
      </w:r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356E05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356E05" w:rsidRPr="00356E05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356E05">
              <w:rPr>
                <w:rFonts w:asciiTheme="minorHAnsi" w:hAnsiTheme="minorHAnsi" w:cstheme="minorHAnsi"/>
                <w:sz w:val="18"/>
                <w:szCs w:val="18"/>
              </w:rPr>
              <w:t>Wzrost kosztów inwestycyjnych</w:t>
            </w:r>
          </w:p>
        </w:tc>
        <w:tc>
          <w:tcPr>
            <w:tcW w:w="1937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średnia </w:t>
            </w:r>
          </w:p>
        </w:tc>
        <w:tc>
          <w:tcPr>
            <w:tcW w:w="1701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356E05" w:rsidRPr="007466A7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Budżet projektu przewiduje rezerwę na nieprzewidziane wydatki, która</w:t>
            </w:r>
            <w:r w:rsidRP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="007466A7" w:rsidRPr="007466A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w konsekwencji w sytuacji wystąpienia ryzyka pozwoli na jego zminimalizowanie. </w:t>
            </w:r>
          </w:p>
        </w:tc>
      </w:tr>
      <w:tr w:rsidR="00356E05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356E05" w:rsidRPr="009E3030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9E303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Problemy z wyłonieniem wykonawców, dostawców zamówień zakładanych w projekcie (w aspekcie stosowania przepisów o zamówieniach publicznych)</w:t>
            </w:r>
          </w:p>
        </w:tc>
        <w:tc>
          <w:tcPr>
            <w:tcW w:w="1937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Sposobem minimalizującym to 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ryzyko będzie takie przygotowanie SIWZ, aby możliwe było wyłonienie potencjalnych wykonawców, odpowied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nio wcześniejsze zaplanowanie i ogłoszenie informacji o 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planowanych zamówieniach publicznych oraz terminowa realizacja p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rocedur przetargowych zgodnie z obowiązującym przepisami w 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zakresie zamówień publicznych przez wykwalifikowane służby NIZP-PZH</w:t>
            </w:r>
          </w:p>
        </w:tc>
      </w:tr>
      <w:tr w:rsidR="00356E05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356E05" w:rsidRPr="009E3030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9E303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Niedotrzymanie warunków umowy w zakresie terminowości realizacji Projektu</w:t>
            </w:r>
          </w:p>
        </w:tc>
        <w:tc>
          <w:tcPr>
            <w:tcW w:w="1937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średnia</w:t>
            </w:r>
          </w:p>
        </w:tc>
        <w:tc>
          <w:tcPr>
            <w:tcW w:w="1701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NIZP-PZH liczy się z możliwością pewnego przedłużenia prac, zwłaszcza gdyby dotrzymanie terminu wiązało się z obniżeniem jakości prac. Skutki takiego zdarzenia regulow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ane będą w 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finansowych warunkach umów. Przyjęte w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="007466A7" w:rsidRP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harmonogramie terminy zakończenia części projektu zostawiają margines czasowy w stosunku do terminu zakończenia wydatkowania środków w projekcie</w:t>
            </w:r>
          </w:p>
        </w:tc>
      </w:tr>
      <w:tr w:rsidR="00356E05" w:rsidRPr="00C73D50" w:rsidTr="009E3030">
        <w:trPr>
          <w:trHeight w:val="7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05" w:rsidRPr="009E3030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9E303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 wywiązanie się wykonawców, dostawców z postanowień zawartych w umowach również tych w zakresie jakości prac i usług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duże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05" w:rsidRPr="00356E05" w:rsidRDefault="00356E05" w:rsidP="007466A7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Sposobem zapobiegnięcia wystąpienia tego ryzyka będzie bieżące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monitorowanie wdrażania projektu pod kątem realizacji przyjętego harmonogramu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przez Komitet Sterujący oraz Kierownika Projektu, a także bieżące kontrolowanie jakości przekazywanego sprzętu i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oprogramowania, jak również postępu prac w zakresie digitalizacji zasobów danych naukowych oraz ich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udostępniania. W przypadku stwierdzenia rozbieżności, będą podejmowane działania zaradcze mające na celu wyeliminowanie ryzyka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związanego z niewywiązan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iem się wykonawców, dostawców z postanowień zawartych w umowach, również tych w </w:t>
            </w: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zakresie jakości prac i usług</w:t>
            </w:r>
          </w:p>
        </w:tc>
      </w:tr>
      <w:tr w:rsidR="00356E05" w:rsidRPr="00402AAE" w:rsidTr="009E3030">
        <w:trPr>
          <w:trHeight w:val="7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9E3030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9E303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Ryzyko związane z nieterminowym podpisaniem umowy o dofinansowanie projektu pomiędzy Wnioskodawcą a Instytucją Pośredniczącą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wysokie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Przesunięcie terminu podpisania umowy o dofinansowanie projektu może spowodować czasowe wstrzymanie realizacji projektu do momentu zawarcia umowy. Ponadto opóźnienie może powodować wydłużenie okresu realizacji inwestycji</w:t>
            </w:r>
          </w:p>
        </w:tc>
      </w:tr>
      <w:tr w:rsidR="00356E05" w:rsidRPr="00C73D50" w:rsidTr="009E3030">
        <w:trPr>
          <w:trHeight w:val="7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6E05">
              <w:rPr>
                <w:rFonts w:asciiTheme="minorHAnsi" w:hAnsiTheme="minorHAnsi" w:cstheme="minorHAnsi"/>
                <w:sz w:val="18"/>
                <w:szCs w:val="18"/>
              </w:rPr>
              <w:t>Brak dostępności wykwalifikowanej kadry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duże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356E05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średnie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05" w:rsidRPr="00356E05" w:rsidRDefault="00356E05" w:rsidP="007466A7">
            <w:pPr>
              <w:pStyle w:val="Legenda"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356E05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Działaniem minimalizującym to ryzyko będzie zatrudnienie nowych pracowników o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 odpowiednich </w:t>
            </w:r>
            <w:r w:rsidR="007466A7" w:rsidRP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kwalifikacjach</w:t>
            </w:r>
            <w:r w:rsidR="007466A7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, gwarantujących powodzenie realizacji Projektu</w:t>
            </w:r>
          </w:p>
        </w:tc>
      </w:tr>
    </w:tbl>
    <w:p w:rsidR="00D90F1A" w:rsidRPr="001B6667" w:rsidRDefault="00A44CAE" w:rsidP="008149AF">
      <w:pPr>
        <w:pStyle w:val="Nagwek2"/>
        <w:tabs>
          <w:tab w:val="num" w:pos="1276"/>
        </w:tabs>
        <w:spacing w:after="0"/>
        <w:ind w:left="788"/>
        <w:rPr>
          <w:lang w:val="pl-PL" w:eastAsia="pl-PL"/>
        </w:rPr>
      </w:pPr>
      <w:bookmarkStart w:id="12" w:name="_Toc462924073"/>
      <w:r w:rsidRPr="001B6667">
        <w:rPr>
          <w:lang w:val="pl-PL" w:eastAsia="pl-PL"/>
        </w:rPr>
        <w:t>Ryzyka wpływające na utrzymanie efektów</w:t>
      </w:r>
      <w:bookmarkEnd w:id="12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FE74B3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FE74B3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0C7B" w:rsidRPr="001B6667" w:rsidRDefault="00E40C7B" w:rsidP="00FE74B3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FE74B3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FF6D68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Brak wystarczających środków finansowych na pokrycie kosztów utrzymania trwałości projektu</w:t>
            </w:r>
          </w:p>
        </w:tc>
        <w:tc>
          <w:tcPr>
            <w:tcW w:w="1985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średnia </w:t>
            </w:r>
          </w:p>
        </w:tc>
        <w:tc>
          <w:tcPr>
            <w:tcW w:w="1701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7466A7" w:rsidRPr="007466A7" w:rsidRDefault="007466A7" w:rsidP="007466A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Sposobem na minimalizacje ryzyka będzie odpowiednio wcześniejsze planowanie budżetu na pokrycie kosztów utrzymania trwałości projektu, jak również poszukiwanie alternatywnych źródeł ich finansowania np. z budżetu państwa w ramach środków przeznac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zonych na utrzymanie potencjału</w:t>
            </w:r>
          </w:p>
          <w:p w:rsidR="00FF6D68" w:rsidRPr="00FF6D68" w:rsidRDefault="007466A7" w:rsidP="007466A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naukowego instytutów badawczych</w:t>
            </w:r>
          </w:p>
        </w:tc>
      </w:tr>
      <w:tr w:rsidR="00FF6D68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Zmiana regulacji prawnych w zakresie udostępniania danych medycznych</w:t>
            </w:r>
          </w:p>
        </w:tc>
        <w:tc>
          <w:tcPr>
            <w:tcW w:w="1985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duża</w:t>
            </w:r>
          </w:p>
        </w:tc>
        <w:tc>
          <w:tcPr>
            <w:tcW w:w="1701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Bieżące monitorowanie inicjatyw legislacyjnych w zakresie dokumentacji medycznej, a mogących mieć potencjalny wpływ na proces związany z udostępnianiem danych medycznych na platformie P1, co pozwoli na wprowadzenie odpowiednio wcześniej działań zaradczych w zakresie funkcjonowania i użyteczności systemu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wewnętrznego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</w:tc>
      </w:tr>
      <w:tr w:rsidR="00FF6D68" w:rsidRPr="00C73D50" w:rsidTr="007466A7">
        <w:trPr>
          <w:trHeight w:val="446"/>
        </w:trPr>
        <w:tc>
          <w:tcPr>
            <w:tcW w:w="3685" w:type="dxa"/>
            <w:shd w:val="clear" w:color="auto" w:fill="auto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Pozi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om nowoczesności świadczonych 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usług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wewnętrznych </w:t>
            </w:r>
          </w:p>
        </w:tc>
        <w:tc>
          <w:tcPr>
            <w:tcW w:w="1985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średnia</w:t>
            </w:r>
          </w:p>
        </w:tc>
        <w:tc>
          <w:tcPr>
            <w:tcW w:w="1701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:rsidR="00FF6D68" w:rsidRPr="007466A7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System będzie projektowany zgodnie z aktualnymi trendami technologicznymi, tak aby uniknąć zastosowania przestarzałych lub wygasających technologii, co zminimalizuje ryzyko nieutrzymania efektów projektu w związku z pojawieniem się bardziej zaawansowanych technologicznie rozwiązań.</w:t>
            </w:r>
          </w:p>
        </w:tc>
      </w:tr>
      <w:tr w:rsidR="00FF6D68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Utrata potencjału</w:t>
            </w:r>
          </w:p>
        </w:tc>
        <w:tc>
          <w:tcPr>
            <w:tcW w:w="1985" w:type="dxa"/>
            <w:shd w:val="clear" w:color="auto" w:fill="FFFFFF"/>
          </w:tcPr>
          <w:p w:rsidR="00FF6D68" w:rsidRPr="00FF6D68" w:rsidRDefault="007466A7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1701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FF6D68" w:rsidRPr="00FF6D68" w:rsidRDefault="007466A7" w:rsidP="007466A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Przeciwdziałaniem dla wystąpienia tego ryzyka będzie stałe podnoszenie kompetencji pracowników, poprzez w szczególności: 1) motywowanie pracowników do 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prowadzenia działalności naukowej i B+R z wykorzystaniem usług wewnętrznych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; 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) kształcenie kad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ry i zatrudnianie pracowników; 3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) dbałość o efekt prowadzonej działalności 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 wykorzystaniem usług wewnętrznych</w:t>
            </w:r>
            <w:r w:rsidRP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</w:tc>
      </w:tr>
      <w:tr w:rsidR="00FF6D68" w:rsidRPr="00C73D50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Brak dostępności wykwalifikowanej kadry</w:t>
            </w:r>
          </w:p>
        </w:tc>
        <w:tc>
          <w:tcPr>
            <w:tcW w:w="1985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duże</w:t>
            </w:r>
          </w:p>
        </w:tc>
        <w:tc>
          <w:tcPr>
            <w:tcW w:w="1701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FF6D68" w:rsidRPr="00FF6D68" w:rsidRDefault="00FF6D68" w:rsidP="006A17A8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FF6D6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Działaniem minimalizującym to ryzyko będzie zatrudnienie nowych pracowników o</w:t>
            </w:r>
            <w:r w:rsidR="007466A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odpowiednich kwalifikacjach</w:t>
            </w:r>
          </w:p>
        </w:tc>
      </w:tr>
    </w:tbl>
    <w:p w:rsidR="0089729F" w:rsidRPr="0089729F" w:rsidRDefault="0089729F" w:rsidP="00D93C42">
      <w:pPr>
        <w:pStyle w:val="Tekstpodstawowy"/>
        <w:ind w:left="0"/>
        <w:rPr>
          <w:lang w:val="pl-PL" w:eastAsia="pl-PL"/>
        </w:rPr>
      </w:pPr>
    </w:p>
    <w:p w:rsidR="0056584B" w:rsidRPr="00F8445B" w:rsidRDefault="002F7D84" w:rsidP="00885C3A">
      <w:pPr>
        <w:pStyle w:val="Nagwek1"/>
        <w:rPr>
          <w:rFonts w:cs="Arial"/>
          <w:lang w:val="pl-PL" w:eastAsia="pl-PL"/>
        </w:rPr>
      </w:pPr>
      <w:r w:rsidRPr="00F8445B">
        <w:rPr>
          <w:rFonts w:cs="Arial"/>
          <w:lang w:val="pl-PL" w:eastAsia="pl-PL"/>
        </w:rPr>
        <w:t>OTOCZENIE PRAWNE</w:t>
      </w:r>
      <w:r w:rsidR="00E01872" w:rsidRPr="00F8445B">
        <w:rPr>
          <w:rFonts w:cs="Arial"/>
          <w:lang w:val="pl-PL" w:eastAsia="pl-PL"/>
        </w:rPr>
        <w:t xml:space="preserve"> </w:t>
      </w:r>
    </w:p>
    <w:p w:rsidR="00201810" w:rsidRPr="00201810" w:rsidRDefault="00201810" w:rsidP="00201810">
      <w:pPr>
        <w:pStyle w:val="Tekstpodstawowy2"/>
        <w:spacing w:after="0"/>
        <w:ind w:left="0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84"/>
        <w:gridCol w:w="4063"/>
        <w:gridCol w:w="1276"/>
        <w:gridCol w:w="2192"/>
        <w:gridCol w:w="1584"/>
      </w:tblGrid>
      <w:tr w:rsidR="0078552C" w:rsidRPr="00C73D50" w:rsidTr="001A0930">
        <w:tc>
          <w:tcPr>
            <w:tcW w:w="484" w:type="dxa"/>
            <w:shd w:val="clear" w:color="auto" w:fill="D9D9D9" w:themeFill="background1" w:themeFillShade="D9"/>
          </w:tcPr>
          <w:p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192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1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1A0930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Ustawa o ochronie danych osobowych</w:t>
            </w:r>
            <w:r w:rsid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2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1A0930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Ustawa </w:t>
            </w:r>
            <w:r w:rsidRPr="001A0930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o informatyzacji działalności podmiotów realizujących zadania Publiczne</w:t>
            </w:r>
            <w:r w:rsid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3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1A0930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Ustawa </w:t>
            </w:r>
            <w:r w:rsidRPr="001A0930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o dostępie do informacji publicznej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4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1A0930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Ustawa </w:t>
            </w:r>
            <w:r w:rsidRPr="001A0930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o informatyzacji działalności podmiotów realizujących zadania publiczne</w:t>
            </w:r>
            <w:r w:rsid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5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4E1F32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</w:t>
            </w:r>
            <w:r w:rsidR="0089729F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porządzenie o ochronie danych).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6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DA3792" w:rsidP="004E1F32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Rozporządzenie </w:t>
            </w:r>
            <w:r w:rsidR="004E1F32" w:rsidRP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w sprawie z</w:t>
            </w:r>
            <w:r w:rsid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akresu i warunków korzystania z </w:t>
            </w:r>
            <w:r w:rsidR="004E1F32" w:rsidRPr="004E1F32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elektronicznej platformy usług administracji publicznej</w:t>
            </w:r>
            <w:r w:rsidR="0089729F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7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493B31" w:rsidP="00493B31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 xml:space="preserve">Rozporządzenie </w:t>
            </w:r>
            <w:r w:rsidRPr="00493B31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w sprawie szczegółowych warunków organizacyjnych i technicznych, które powinien spełniać system teleinformatyczny służący do uwierzytelniania użytkowników</w:t>
            </w:r>
            <w:r w:rsidR="0089729F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8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89729F" w:rsidP="0089729F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89729F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Program Operacyjny Polska Cyfrowa 2014-2020, przyjęty decyzją Komisji Europejskiej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  <w:tr w:rsidR="003C7909" w:rsidRPr="00F75B35" w:rsidTr="001A0930">
        <w:tc>
          <w:tcPr>
            <w:tcW w:w="484" w:type="dxa"/>
            <w:shd w:val="clear" w:color="auto" w:fill="auto"/>
          </w:tcPr>
          <w:p w:rsidR="003C7909" w:rsidRPr="001A0930" w:rsidRDefault="001A0930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A0930">
              <w:rPr>
                <w:rFonts w:eastAsia="MS MinNew Roman" w:cs="Arial"/>
                <w:b/>
                <w:bCs/>
                <w:sz w:val="20"/>
                <w:lang w:val="pl-PL"/>
              </w:rPr>
              <w:t>9</w:t>
            </w:r>
          </w:p>
        </w:tc>
        <w:tc>
          <w:tcPr>
            <w:tcW w:w="4063" w:type="dxa"/>
            <w:shd w:val="clear" w:color="auto" w:fill="auto"/>
          </w:tcPr>
          <w:p w:rsidR="003C7909" w:rsidRPr="001A0930" w:rsidRDefault="0089729F" w:rsidP="0089729F">
            <w:pPr>
              <w:pStyle w:val="Legenda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89729F"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Plan finansowy NIZP-PZH ustalany przez Dyrektora, będący podstawą gospodarki jednostki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C7909" w:rsidRPr="001A0930" w:rsidRDefault="004E1F32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 w:rsidRPr="001A0930">
              <w:rPr>
                <w:rFonts w:cstheme="minorHAnsi"/>
                <w:strike/>
                <w:sz w:val="18"/>
                <w:szCs w:val="18"/>
              </w:rPr>
              <w:t>TAK</w:t>
            </w:r>
            <w:r w:rsidRPr="001A0930">
              <w:rPr>
                <w:rFonts w:cstheme="minorHAnsi"/>
                <w:sz w:val="18"/>
                <w:szCs w:val="18"/>
              </w:rPr>
              <w:t>/NIE</w:t>
            </w:r>
          </w:p>
        </w:tc>
        <w:tc>
          <w:tcPr>
            <w:tcW w:w="2192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584" w:type="dxa"/>
            <w:shd w:val="clear" w:color="auto" w:fill="auto"/>
          </w:tcPr>
          <w:p w:rsidR="003C7909" w:rsidRPr="001A0930" w:rsidRDefault="001A0930" w:rsidP="00B3193E">
            <w:pPr>
              <w:pStyle w:val="Legenda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18"/>
                <w:szCs w:val="18"/>
              </w:rPr>
              <w:t>Nie dotyczy</w:t>
            </w:r>
          </w:p>
        </w:tc>
      </w:tr>
    </w:tbl>
    <w:p w:rsidR="00661C7C" w:rsidRDefault="00661C7C" w:rsidP="00534314">
      <w:pPr>
        <w:pStyle w:val="Tekstpodstawowy2"/>
        <w:ind w:left="0"/>
        <w:rPr>
          <w:lang w:val="pl-PL" w:eastAsia="pl-PL"/>
        </w:rPr>
      </w:pPr>
    </w:p>
    <w:p w:rsidR="00486746" w:rsidRPr="001A0930" w:rsidRDefault="00486746" w:rsidP="00534314">
      <w:pPr>
        <w:pStyle w:val="Tekstpodstawowy2"/>
        <w:ind w:left="0"/>
        <w:rPr>
          <w:sz w:val="18"/>
          <w:szCs w:val="18"/>
          <w:lang w:val="pl-PL" w:eastAsia="pl-PL"/>
        </w:rPr>
      </w:pPr>
    </w:p>
    <w:p w:rsidR="00486746" w:rsidRDefault="00486746" w:rsidP="00534314">
      <w:pPr>
        <w:pStyle w:val="Tekstpodstawowy2"/>
        <w:ind w:left="0"/>
        <w:rPr>
          <w:lang w:val="pl-PL" w:eastAsia="pl-PL"/>
        </w:rPr>
      </w:pPr>
    </w:p>
    <w:p w:rsidR="00486746" w:rsidRDefault="00486746" w:rsidP="00534314">
      <w:pPr>
        <w:pStyle w:val="Tekstpodstawowy2"/>
        <w:ind w:left="0"/>
        <w:rPr>
          <w:lang w:val="pl-PL" w:eastAsia="pl-PL"/>
        </w:rPr>
      </w:pPr>
    </w:p>
    <w:p w:rsidR="00212B59" w:rsidRDefault="00212B59" w:rsidP="00534314">
      <w:pPr>
        <w:pStyle w:val="Tekstpodstawowy2"/>
        <w:ind w:left="0"/>
        <w:rPr>
          <w:lang w:val="pl-PL" w:eastAsia="pl-PL"/>
        </w:rPr>
      </w:pPr>
    </w:p>
    <w:p w:rsidR="00212B59" w:rsidRDefault="00212B59" w:rsidP="00534314">
      <w:pPr>
        <w:pStyle w:val="Tekstpodstawowy2"/>
        <w:ind w:left="0"/>
        <w:rPr>
          <w:lang w:val="pl-PL" w:eastAsia="pl-PL"/>
        </w:rPr>
      </w:pPr>
    </w:p>
    <w:p w:rsidR="00212B59" w:rsidRDefault="00212B59" w:rsidP="00534314">
      <w:pPr>
        <w:pStyle w:val="Tekstpodstawowy2"/>
        <w:ind w:left="0"/>
        <w:rPr>
          <w:lang w:val="pl-PL" w:eastAsia="pl-PL"/>
        </w:rPr>
      </w:pPr>
    </w:p>
    <w:p w:rsidR="00F8445B" w:rsidRDefault="00F8445B" w:rsidP="00534314">
      <w:pPr>
        <w:pStyle w:val="Tekstpodstawowy2"/>
        <w:ind w:left="0"/>
        <w:rPr>
          <w:lang w:val="pl-PL" w:eastAsia="pl-PL"/>
        </w:rPr>
      </w:pPr>
    </w:p>
    <w:p w:rsidR="00F8445B" w:rsidRDefault="00F8445B" w:rsidP="00534314">
      <w:pPr>
        <w:pStyle w:val="Tekstpodstawowy2"/>
        <w:ind w:left="0"/>
        <w:rPr>
          <w:lang w:val="pl-PL" w:eastAsia="pl-PL"/>
        </w:rPr>
      </w:pPr>
    </w:p>
    <w:p w:rsidR="00F8445B" w:rsidRDefault="00F8445B" w:rsidP="00534314">
      <w:pPr>
        <w:pStyle w:val="Tekstpodstawowy2"/>
        <w:ind w:left="0"/>
        <w:rPr>
          <w:lang w:val="pl-PL" w:eastAsia="pl-PL"/>
        </w:rPr>
      </w:pPr>
    </w:p>
    <w:p w:rsidR="00F8445B" w:rsidRDefault="00F8445B" w:rsidP="00534314">
      <w:pPr>
        <w:pStyle w:val="Tekstpodstawowy2"/>
        <w:ind w:left="0"/>
        <w:rPr>
          <w:lang w:val="pl-PL" w:eastAsia="pl-PL"/>
        </w:rPr>
      </w:pPr>
    </w:p>
    <w:p w:rsidR="00F8445B" w:rsidRDefault="00F8445B" w:rsidP="00534314">
      <w:pPr>
        <w:pStyle w:val="Tekstpodstawowy2"/>
        <w:ind w:left="0"/>
        <w:rPr>
          <w:lang w:val="pl-PL" w:eastAsia="pl-PL"/>
        </w:rPr>
      </w:pPr>
    </w:p>
    <w:p w:rsidR="00212B59" w:rsidRDefault="00212B59" w:rsidP="00534314">
      <w:pPr>
        <w:pStyle w:val="Tekstpodstawowy2"/>
        <w:ind w:left="0"/>
        <w:rPr>
          <w:lang w:val="pl-PL" w:eastAsia="pl-PL"/>
        </w:rPr>
      </w:pPr>
    </w:p>
    <w:p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t>ARCHITEKTURA</w:t>
      </w:r>
    </w:p>
    <w:p w:rsidR="00B528BB" w:rsidRDefault="00B528BB" w:rsidP="00B528BB">
      <w:pPr>
        <w:pStyle w:val="Nagwek2"/>
        <w:keepNext/>
        <w:numPr>
          <w:ilvl w:val="0"/>
          <w:numId w:val="0"/>
        </w:numPr>
        <w:ind w:left="858"/>
        <w:rPr>
          <w:lang w:val="pl-PL" w:eastAsia="pl-PL"/>
        </w:rPr>
      </w:pPr>
    </w:p>
    <w:p w:rsidR="007573B2" w:rsidRDefault="00AC7F32" w:rsidP="007573B2">
      <w:pPr>
        <w:pStyle w:val="Nagwek2"/>
        <w:keepNext/>
        <w:rPr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235414DA" wp14:editId="6BB0AB36">
            <wp:simplePos x="0" y="0"/>
            <wp:positionH relativeFrom="column">
              <wp:posOffset>547456</wp:posOffset>
            </wp:positionH>
            <wp:positionV relativeFrom="paragraph">
              <wp:posOffset>-292</wp:posOffset>
            </wp:positionV>
            <wp:extent cx="3921211" cy="5572247"/>
            <wp:effectExtent l="0" t="0" r="3175" b="952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hitektura 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211" cy="5572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B2">
        <w:rPr>
          <w:lang w:val="pl-PL" w:eastAsia="pl-PL"/>
        </w:rPr>
        <w:t>Widok kooperacji aplikacji</w:t>
      </w:r>
    </w:p>
    <w:p w:rsidR="007573B2" w:rsidRDefault="007573B2" w:rsidP="007573B2">
      <w:pPr>
        <w:pStyle w:val="Tekstpodstawowy3"/>
        <w:ind w:left="851"/>
        <w:rPr>
          <w:lang w:val="pl-PL" w:eastAsia="pl-PL"/>
        </w:rPr>
      </w:pPr>
    </w:p>
    <w:p w:rsidR="00C24030" w:rsidRDefault="006C5AFB" w:rsidP="007573B2">
      <w:pPr>
        <w:pStyle w:val="Tekstpodstawowy3"/>
        <w:ind w:left="851"/>
        <w:rPr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73A52369" wp14:editId="214C6975">
            <wp:simplePos x="0" y="0"/>
            <wp:positionH relativeFrom="column">
              <wp:posOffset>514401</wp:posOffset>
            </wp:positionH>
            <wp:positionV relativeFrom="paragraph">
              <wp:posOffset>215660</wp:posOffset>
            </wp:positionV>
            <wp:extent cx="5585254" cy="7894524"/>
            <wp:effectExtent l="0" t="0" r="0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ooperacj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254" cy="789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030" w:rsidRPr="007D5D41" w:rsidRDefault="00C24030" w:rsidP="007573B2">
      <w:pPr>
        <w:pStyle w:val="Tekstpodstawowy3"/>
        <w:ind w:left="851"/>
        <w:rPr>
          <w:lang w:val="pl-PL" w:eastAsia="pl-PL"/>
        </w:rPr>
      </w:pPr>
    </w:p>
    <w:p w:rsidR="007573B2" w:rsidRDefault="007609C7" w:rsidP="007573B2">
      <w:pPr>
        <w:pStyle w:val="Tekstpodstawowy2"/>
        <w:spacing w:after="0"/>
        <w:ind w:left="708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 </w:t>
      </w: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:rsidR="0032240B" w:rsidRPr="00321C0D" w:rsidRDefault="0032240B" w:rsidP="00FE74B3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:rsidR="0032240B" w:rsidRPr="00321C0D" w:rsidRDefault="0032240B" w:rsidP="00FE74B3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C73D50" w:rsidTr="00402AAE">
        <w:trPr>
          <w:cantSplit/>
        </w:trPr>
        <w:tc>
          <w:tcPr>
            <w:tcW w:w="2061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C73D50" w:rsidTr="00402AAE">
        <w:trPr>
          <w:cantSplit/>
        </w:trPr>
        <w:tc>
          <w:tcPr>
            <w:tcW w:w="2061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modyfikowany, rozszerzany na potrzeby projektu.</w:t>
            </w:r>
          </w:p>
        </w:tc>
      </w:tr>
      <w:tr w:rsidR="0032240B" w:rsidRPr="00C73D50" w:rsidTr="00402AAE">
        <w:trPr>
          <w:cantSplit/>
        </w:trPr>
        <w:tc>
          <w:tcPr>
            <w:tcW w:w="2061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:rsidR="0032240B" w:rsidRPr="00321C0D" w:rsidRDefault="0032240B" w:rsidP="00FE74B3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  <w:tr w:rsidR="00F9691E" w:rsidRPr="00C73D50" w:rsidTr="00402AAE">
        <w:trPr>
          <w:cantSplit/>
        </w:trPr>
        <w:tc>
          <w:tcPr>
            <w:tcW w:w="2061" w:type="dxa"/>
          </w:tcPr>
          <w:p w:rsidR="00F9691E" w:rsidRPr="00321C0D" w:rsidRDefault="00F9691E" w:rsidP="00FE74B3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W budowie</w:t>
            </w:r>
          </w:p>
        </w:tc>
        <w:tc>
          <w:tcPr>
            <w:tcW w:w="7434" w:type="dxa"/>
          </w:tcPr>
          <w:p w:rsidR="00F9691E" w:rsidRPr="00321C0D" w:rsidRDefault="00F9691E" w:rsidP="00FE74B3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budowany w innym projekcie NIZP-PZH</w:t>
            </w:r>
          </w:p>
        </w:tc>
      </w:tr>
    </w:tbl>
    <w:p w:rsidR="0032240B" w:rsidRDefault="0032240B" w:rsidP="007573B2">
      <w:pPr>
        <w:pStyle w:val="Tekstpodstawowy2"/>
        <w:ind w:left="851"/>
        <w:jc w:val="both"/>
        <w:rPr>
          <w:lang w:val="pl-PL"/>
        </w:rPr>
      </w:pPr>
    </w:p>
    <w:p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projekcie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7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608"/>
        <w:gridCol w:w="1417"/>
        <w:gridCol w:w="1843"/>
        <w:gridCol w:w="1559"/>
        <w:gridCol w:w="1628"/>
      </w:tblGrid>
      <w:tr w:rsidR="000279A8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FF6D68" w:rsidRDefault="00793C21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Pr="00FF6D68" w:rsidRDefault="00793C21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Obiegu Próbek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obsługujący badania diagnostyczne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Budowa nowego systemu od podstaw na bazie istniejącego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793C21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793C21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biblioteczny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793C21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do obsługi Biblioteki naukowej w tym czytelników, publikacji,</w:t>
            </w:r>
            <w:r w:rsidR="000279A8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prenumeratorów</w:t>
            </w: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, katalogu zbiorów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</w:t>
            </w:r>
            <w:r w:rsidR="000279A8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1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Wymiana danych pracowniczych i naukowych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Rejestr Ognisk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Rejestr gromadzenia danych dotyczących ognisk zatruć i itp. zdarzeń epidemiologicznych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</w:t>
            </w:r>
            <w:r w:rsidR="000279A8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Dostosowanie zarządzania użytkownikami wymiany danych statystycznych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ProfiBaza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57" w:rsidRPr="00FF6D68" w:rsidRDefault="004C7A57" w:rsidP="004C7A5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Cyfrowe udostępnienie informacji publicznej </w:t>
            </w:r>
          </w:p>
          <w:p w:rsidR="004C7A57" w:rsidRPr="00FF6D68" w:rsidRDefault="004C7A57" w:rsidP="004C7A5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na temat sytuacji zdrowotnej ludności </w:t>
            </w:r>
          </w:p>
          <w:p w:rsidR="000279A8" w:rsidRPr="00FF6D68" w:rsidRDefault="004C7A57" w:rsidP="004C7A5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oraz realizacji programów zdrowotnych dla potrzeb profilaktyki chorób i promocji zdrowia w Polsce</w:t>
            </w:r>
            <w:r w:rsidR="000279A8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budowany w innym projekcie NIZP-PZH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Dostosowanie zarządzania użytkownikami wymiany danych statystycznych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Meldunki Epidemiologiczne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Rejestr gromadzenia danych dotyczących zdarzeń epidemiologicznych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 budowany w innym projekcie NIZP-PZH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Dostosowanie zarządzania użytkownikami wymiany danych statystycznych</w:t>
            </w:r>
          </w:p>
        </w:tc>
      </w:tr>
      <w:tr w:rsidR="000279A8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0279A8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LDAP, </w:t>
            </w:r>
            <w:r w:rsidR="00FD47E6" w:rsidRPr="00FF6D6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Open AM</w:t>
            </w:r>
            <w:r w:rsidRPr="00FF6D6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Active Directory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NIZP-PZH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Systemy zarządzania użytkownikami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A8" w:rsidRPr="00FF6D68" w:rsidRDefault="00FD47E6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dostosowanie interfejsów do planowanego systemu</w:t>
            </w:r>
          </w:p>
        </w:tc>
      </w:tr>
      <w:tr w:rsidR="001C176D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POL-on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Skarb Państwa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5" w:rsidRPr="00FF6D68" w:rsidRDefault="007252F5" w:rsidP="007252F5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Zintegrowany System Informacji </w:t>
            </w:r>
          </w:p>
          <w:p w:rsidR="007252F5" w:rsidRPr="00FF6D68" w:rsidRDefault="007252F5" w:rsidP="007252F5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o Nauce </w:t>
            </w:r>
          </w:p>
          <w:p w:rsidR="00FB39B4" w:rsidRPr="00FF6D68" w:rsidRDefault="007252F5" w:rsidP="007252F5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 Szkolnictwie Wyższym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7252F5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</w:t>
            </w:r>
            <w:r w:rsidR="00D9749D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rzesyłanie</w:t>
            </w:r>
            <w:r w:rsidR="00FB39B4"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danych dot. pracowników naukowych</w:t>
            </w: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i działalności naukowej</w:t>
            </w:r>
          </w:p>
        </w:tc>
      </w:tr>
      <w:tr w:rsidR="00FB39B4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e-PUAP, Profil zaufany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Skarb Państwa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Elektroniczna Platforma Usług Administracji Publiczne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4" w:rsidRPr="00FF6D68" w:rsidRDefault="00FB39B4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Umożliwienie komunikacji z i do podmiotów zewnętrznych i osób fizycznych </w:t>
            </w:r>
          </w:p>
        </w:tc>
      </w:tr>
      <w:tr w:rsidR="001C176D" w:rsidRPr="00C73D50" w:rsidTr="00FF6D6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9C4B5B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Platforma P1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Skarb Państwa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Elektroniczna Dokumentacja Medyczna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D" w:rsidRPr="00FF6D68" w:rsidRDefault="001C176D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F6D6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Przesyłanie danych dokumentacji medycznej – badania diagnostyczne</w:t>
            </w:r>
          </w:p>
        </w:tc>
      </w:tr>
    </w:tbl>
    <w:p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618"/>
        <w:gridCol w:w="1275"/>
        <w:gridCol w:w="1418"/>
        <w:gridCol w:w="1418"/>
        <w:gridCol w:w="1984"/>
      </w:tblGrid>
      <w:tr w:rsidR="00D0302D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1C176D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1C176D" w:rsidP="00480C5A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1C176D">
              <w:rPr>
                <w:sz w:val="20"/>
                <w:szCs w:val="24"/>
                <w:lang w:val="pl-PL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9412BE" w:rsidP="00480C5A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System planowany/System obiegu próbek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Platforma P1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Dane pacjenta i wyniku badania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powstanie po uruchomieniu platformy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1C176D" w:rsidRDefault="00C63FD9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zgodny z udostępnionym API</w:t>
            </w:r>
          </w:p>
        </w:tc>
      </w:tr>
      <w:tr w:rsidR="001C176D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9412BE" w:rsidP="00480C5A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9412BE" w:rsidP="00480C5A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POL-on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7252F5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 w:eastAsia="pl-PL"/>
              </w:rPr>
              <w:t>P</w:t>
            </w:r>
            <w:r w:rsidRPr="00F671C7">
              <w:rPr>
                <w:sz w:val="20"/>
                <w:lang w:val="pl-PL" w:eastAsia="pl-PL"/>
              </w:rPr>
              <w:t>rzesyłanie danych dot. pracowników naukowych</w:t>
            </w:r>
            <w:r>
              <w:rPr>
                <w:sz w:val="20"/>
                <w:lang w:val="pl-PL" w:eastAsia="pl-PL"/>
              </w:rPr>
              <w:t xml:space="preserve"> i działalności naukowej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kopiuj/wklej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9412BE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powstanie po zbudowaniu systemu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6D" w:rsidRPr="009412BE" w:rsidRDefault="00C63FD9" w:rsidP="00480C5A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zgodny z udostępnionym API</w:t>
            </w:r>
          </w:p>
        </w:tc>
      </w:tr>
      <w:tr w:rsidR="009412BE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ProfiBaza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Dane użytkowników i dane statystyczne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C33EE6">
              <w:rPr>
                <w:sz w:val="20"/>
                <w:lang w:val="pl-PL"/>
              </w:rPr>
              <w:t>do zaprojektowania</w:t>
            </w:r>
          </w:p>
        </w:tc>
      </w:tr>
      <w:tr w:rsidR="009412BE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683C19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Meldunki epidemiologiczne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69258E">
              <w:rPr>
                <w:sz w:val="20"/>
                <w:lang w:val="pl-PL"/>
              </w:rPr>
              <w:t>Dane użytkowników i dane statystyczne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C33EE6">
              <w:rPr>
                <w:sz w:val="20"/>
                <w:lang w:val="pl-PL"/>
              </w:rPr>
              <w:t>do zaprojektowania</w:t>
            </w:r>
          </w:p>
        </w:tc>
      </w:tr>
      <w:tr w:rsidR="009412BE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683C19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Rejestr ognisk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69258E">
              <w:rPr>
                <w:sz w:val="20"/>
                <w:lang w:val="pl-PL"/>
              </w:rPr>
              <w:t>Dane użytkowników i dane statystyczne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BE" w:rsidRPr="009412BE" w:rsidRDefault="009412BE" w:rsidP="009412BE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C33EE6">
              <w:rPr>
                <w:sz w:val="20"/>
                <w:lang w:val="pl-PL"/>
              </w:rPr>
              <w:t>do zaprojektowania</w:t>
            </w:r>
          </w:p>
        </w:tc>
      </w:tr>
      <w:tr w:rsidR="00683C19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 w:rsidRPr="009412BE"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System biblioteczny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Dane użytkowników, publikacje naukowe pracowników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C33EE6">
              <w:rPr>
                <w:sz w:val="20"/>
                <w:lang w:val="pl-PL"/>
              </w:rPr>
              <w:t>do zaprojektowania</w:t>
            </w:r>
          </w:p>
        </w:tc>
      </w:tr>
      <w:tr w:rsidR="00683C19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 xml:space="preserve">System planowany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AC, LDAP, OpenAM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Dane użytkowników wewnętrznych i zewnętrznych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szyna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C33EE6">
              <w:rPr>
                <w:sz w:val="20"/>
                <w:lang w:val="pl-PL"/>
              </w:rPr>
              <w:t>do zaprojektowania</w:t>
            </w:r>
          </w:p>
        </w:tc>
      </w:tr>
      <w:tr w:rsidR="00683C19" w:rsidRPr="009412BE" w:rsidTr="001C17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System planowany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e-PUAP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Dane uwierzytelniające (Profil zaufany, podpis elektroniczny), korespondencja i wymiana danych z pomiędzy podmiotami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683C1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 w:rsidRPr="009412BE">
              <w:rPr>
                <w:sz w:val="20"/>
                <w:lang w:val="pl-PL" w:eastAsia="pl-PL"/>
              </w:rPr>
              <w:t>krytyczny dla sukcesu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19" w:rsidRPr="009412BE" w:rsidRDefault="00C63FD9" w:rsidP="00683C19">
            <w:pPr>
              <w:spacing w:line="256" w:lineRule="auto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zgodny z udostępnionym API</w:t>
            </w:r>
          </w:p>
        </w:tc>
      </w:tr>
    </w:tbl>
    <w:p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:rsidR="007573B2" w:rsidRPr="00E63915" w:rsidRDefault="007573B2" w:rsidP="007573B2">
      <w:pPr>
        <w:pStyle w:val="Nagwek2"/>
        <w:keepNext/>
        <w:rPr>
          <w:lang w:val="pl-PL"/>
        </w:rPr>
      </w:pPr>
      <w:bookmarkStart w:id="13" w:name="_Hlk508868570"/>
      <w:r w:rsidRPr="00E63915">
        <w:rPr>
          <w:lang w:val="pl-PL"/>
        </w:rPr>
        <w:t xml:space="preserve">Kluczowe komponenty architektury rozwiązania </w:t>
      </w:r>
    </w:p>
    <w:bookmarkEnd w:id="13"/>
    <w:p w:rsidR="00245D3A" w:rsidRPr="006E08FF" w:rsidRDefault="00245D3A" w:rsidP="004A0BB2">
      <w:pPr>
        <w:pStyle w:val="Tekstpodstawowy2"/>
        <w:rPr>
          <w:rFonts w:cs="Arial"/>
          <w:color w:val="FF0000"/>
          <w:sz w:val="22"/>
          <w:lang w:val="pl-PL" w:eastAsia="pl-PL"/>
        </w:rPr>
      </w:pPr>
      <w:r>
        <w:rPr>
          <w:rFonts w:cs="Arial"/>
          <w:noProof/>
          <w:color w:val="FF0000"/>
          <w:sz w:val="22"/>
          <w:lang w:val="pl-PL" w:eastAsia="pl-PL"/>
        </w:rPr>
        <w:drawing>
          <wp:inline distT="0" distB="0" distL="0" distR="0" wp14:anchorId="0B768027" wp14:editId="5C1F190E">
            <wp:extent cx="5581276" cy="3945924"/>
            <wp:effectExtent l="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dok modułów do KRMC 10.09.201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055" cy="395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9B" w:rsidRDefault="00E01872" w:rsidP="00E01872">
      <w:pPr>
        <w:pStyle w:val="Tekstpodstawowy3"/>
        <w:ind w:left="851"/>
        <w:rPr>
          <w:lang w:val="pl-PL" w:eastAsia="pl-PL"/>
        </w:rPr>
      </w:pPr>
      <w:bookmarkStart w:id="14" w:name="_Hlk508868657"/>
      <w:r>
        <w:rPr>
          <w:lang w:val="pl-PL" w:eastAsia="pl-PL"/>
        </w:rPr>
        <w:tab/>
      </w:r>
    </w:p>
    <w:p w:rsidR="00C24030" w:rsidRPr="00E01872" w:rsidRDefault="00C24030" w:rsidP="00E01872">
      <w:pPr>
        <w:pStyle w:val="Tekstpodstawowy3"/>
        <w:ind w:left="851"/>
        <w:rPr>
          <w:color w:val="0070C0"/>
          <w:szCs w:val="20"/>
          <w:lang w:val="pl-PL" w:eastAsia="pl-PL"/>
        </w:rPr>
      </w:pPr>
    </w:p>
    <w:p w:rsidR="008565B8" w:rsidRPr="008565B8" w:rsidRDefault="008565B8" w:rsidP="008565B8">
      <w:pPr>
        <w:pStyle w:val="Nagwek2"/>
        <w:keepNext/>
        <w:numPr>
          <w:ilvl w:val="0"/>
          <w:numId w:val="0"/>
        </w:numPr>
        <w:ind w:left="792"/>
        <w:rPr>
          <w:b w:val="0"/>
          <w:color w:val="7F7F7F" w:themeColor="text1" w:themeTint="80"/>
          <w:sz w:val="20"/>
          <w:szCs w:val="20"/>
          <w:lang w:val="pl-PL" w:eastAsia="pl-PL"/>
        </w:rPr>
      </w:pPr>
    </w:p>
    <w:p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4"/>
    <w:p w:rsidR="007573B2" w:rsidRDefault="007573B2" w:rsidP="007573B2">
      <w:pPr>
        <w:ind w:left="851" w:firstLine="66"/>
        <w:jc w:val="both"/>
        <w:rPr>
          <w:rFonts w:cs="Arial"/>
          <w:color w:val="0070C0"/>
          <w:sz w:val="22"/>
          <w:szCs w:val="24"/>
          <w:lang w:val="pl-PL" w:eastAsia="pl-PL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:rsidTr="00321C0D">
        <w:tc>
          <w:tcPr>
            <w:tcW w:w="567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126" w:type="dxa"/>
            <w:shd w:val="clear" w:color="auto" w:fill="E7E6E6"/>
          </w:tcPr>
          <w:p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Standardy wymiany danych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:rsidR="00F90F03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  <w:tr w:rsidR="006142D8" w:rsidRPr="00AF4C6E" w:rsidTr="00F90F03">
        <w:tc>
          <w:tcPr>
            <w:tcW w:w="567" w:type="dxa"/>
          </w:tcPr>
          <w:p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:rsidR="006142D8" w:rsidRPr="009431B0" w:rsidRDefault="00491957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-</w:t>
            </w:r>
          </w:p>
        </w:tc>
      </w:tr>
    </w:tbl>
    <w:p w:rsidR="007573B2" w:rsidRDefault="007573B2" w:rsidP="007573B2">
      <w:pPr>
        <w:pStyle w:val="Tekstpodstawowy2"/>
        <w:rPr>
          <w:lang w:val="pl-PL" w:eastAsia="pl-PL"/>
        </w:rPr>
      </w:pPr>
    </w:p>
    <w:p w:rsidR="00E96E19" w:rsidRDefault="00E96E19" w:rsidP="007573B2">
      <w:pPr>
        <w:pStyle w:val="Tekstpodstawowy2"/>
        <w:rPr>
          <w:lang w:val="pl-PL" w:eastAsia="pl-PL"/>
        </w:rPr>
      </w:pPr>
    </w:p>
    <w:p w:rsidR="00E96E19" w:rsidRDefault="00E96E19" w:rsidP="007573B2">
      <w:pPr>
        <w:pStyle w:val="Tekstpodstawowy2"/>
        <w:rPr>
          <w:lang w:val="pl-PL" w:eastAsia="pl-PL"/>
        </w:rPr>
      </w:pPr>
    </w:p>
    <w:p w:rsidR="00E96E19" w:rsidRDefault="00E96E19" w:rsidP="007573B2">
      <w:pPr>
        <w:pStyle w:val="Tekstpodstawowy2"/>
        <w:rPr>
          <w:lang w:val="pl-PL" w:eastAsia="pl-PL"/>
        </w:rPr>
      </w:pPr>
    </w:p>
    <w:p w:rsidR="00E96E19" w:rsidRPr="00AE0FE1" w:rsidRDefault="00E96E19" w:rsidP="007573B2">
      <w:pPr>
        <w:pStyle w:val="Tekstpodstawowy2"/>
        <w:rPr>
          <w:lang w:val="pl-PL" w:eastAsia="pl-PL"/>
        </w:rPr>
      </w:pPr>
    </w:p>
    <w:p w:rsidR="00FF6D68" w:rsidRPr="00FF6D68" w:rsidRDefault="007573B2" w:rsidP="004A0BB2">
      <w:pPr>
        <w:pStyle w:val="Nagwek2"/>
        <w:keepNext/>
        <w:rPr>
          <w:b w:val="0"/>
          <w:color w:val="FF0000"/>
          <w:sz w:val="20"/>
          <w:szCs w:val="20"/>
          <w:lang w:val="pl-PL" w:eastAsia="pl-PL"/>
        </w:rPr>
      </w:pPr>
      <w:bookmarkStart w:id="15" w:name="_Hlk508868684"/>
      <w:r>
        <w:rPr>
          <w:lang w:val="pl-PL" w:eastAsia="pl-PL"/>
        </w:rPr>
        <w:t>Opis zasobów danych przetwarzanych w planowanym rozwiązaniu</w:t>
      </w:r>
      <w:bookmarkEnd w:id="15"/>
      <w:r w:rsidR="00E01872">
        <w:rPr>
          <w:lang w:val="pl-PL" w:eastAsia="pl-PL"/>
        </w:rPr>
        <w:t xml:space="preserve"> </w:t>
      </w:r>
    </w:p>
    <w:p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 w:rsidRPr="00C63FD9">
        <w:rPr>
          <w:rFonts w:eastAsiaTheme="minorHAnsi"/>
          <w:strike/>
          <w:lang w:val="pl-PL" w:eastAsia="pl-PL"/>
        </w:rPr>
        <w:t>TAK</w:t>
      </w:r>
      <w:r>
        <w:rPr>
          <w:rFonts w:eastAsiaTheme="minorHAnsi"/>
          <w:lang w:val="pl-PL" w:eastAsia="pl-PL"/>
        </w:rPr>
        <w:t>/</w:t>
      </w:r>
      <w:r w:rsidRPr="00C63FD9">
        <w:rPr>
          <w:rFonts w:eastAsiaTheme="minorHAnsi"/>
          <w:lang w:val="pl-PL" w:eastAsia="pl-PL"/>
        </w:rPr>
        <w:t>NIE</w:t>
      </w:r>
      <w:r>
        <w:rPr>
          <w:rFonts w:eastAsiaTheme="minorHAnsi"/>
          <w:lang w:val="pl-PL" w:eastAsia="pl-PL"/>
        </w:rPr>
        <w:t xml:space="preserve"> </w:t>
      </w:r>
      <w:r>
        <w:rPr>
          <w:rStyle w:val="Odwoanieprzypisudolnego"/>
          <w:rFonts w:eastAsiaTheme="minorHAnsi"/>
          <w:lang w:val="pl-PL" w:eastAsia="pl-PL"/>
        </w:rPr>
        <w:footnoteReference w:id="2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3"/>
        <w:gridCol w:w="5367"/>
      </w:tblGrid>
      <w:tr w:rsidR="007573B2" w:rsidTr="00C63FD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:rsidRPr="00EF22F7" w:rsidTr="00C63FD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Pr="00FF6D68" w:rsidRDefault="007573B2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Pr="00FF6D68" w:rsidRDefault="007573B2" w:rsidP="00683C1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Pr="00FF6D68" w:rsidRDefault="007573B2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</w:tbl>
    <w:p w:rsidR="007573B2" w:rsidRDefault="007573B2" w:rsidP="007573B2">
      <w:pPr>
        <w:rPr>
          <w:lang w:val="pl-PL"/>
        </w:rPr>
      </w:pPr>
    </w:p>
    <w:p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 w:rsidRPr="00683C19">
        <w:rPr>
          <w:rFonts w:eastAsiaTheme="minorHAnsi"/>
          <w:lang w:val="pl-PL" w:eastAsia="pl-PL"/>
        </w:rPr>
        <w:t>TAK</w:t>
      </w:r>
      <w:r>
        <w:rPr>
          <w:rFonts w:eastAsiaTheme="minorHAnsi"/>
          <w:lang w:val="pl-PL" w:eastAsia="pl-PL"/>
        </w:rPr>
        <w:t>/</w:t>
      </w:r>
      <w:r w:rsidRPr="00683C19">
        <w:rPr>
          <w:rFonts w:eastAsiaTheme="minorHAnsi"/>
          <w:strike/>
          <w:lang w:val="pl-PL" w:eastAsia="pl-PL"/>
        </w:rPr>
        <w:t>NIE</w:t>
      </w:r>
      <w:r>
        <w:rPr>
          <w:rFonts w:eastAsiaTheme="minorHAnsi"/>
          <w:lang w:val="pl-PL" w:eastAsia="pl-PL"/>
        </w:rPr>
        <w:t xml:space="preserve"> </w:t>
      </w:r>
      <w:r>
        <w:rPr>
          <w:rStyle w:val="Odwoanieprzypisudolnego"/>
          <w:rFonts w:eastAsiaTheme="minorHAnsi"/>
          <w:lang w:val="pl-PL" w:eastAsia="pl-PL"/>
        </w:rPr>
        <w:footnoteReference w:id="3"/>
      </w:r>
    </w:p>
    <w:tbl>
      <w:tblPr>
        <w:tblW w:w="861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49"/>
        <w:gridCol w:w="3785"/>
        <w:gridCol w:w="2268"/>
      </w:tblGrid>
      <w:tr w:rsidR="007573B2" w:rsidTr="000D48D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:rsidTr="000D48D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Pr="000D48D8" w:rsidRDefault="002457D2" w:rsidP="00480C5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Pr="000D48D8" w:rsidRDefault="002457D2" w:rsidP="002457D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POL-on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D2" w:rsidRPr="000D48D8" w:rsidRDefault="002457D2" w:rsidP="002457D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Zintegrowany System Informacji </w:t>
            </w:r>
          </w:p>
          <w:p w:rsidR="002457D2" w:rsidRPr="000D48D8" w:rsidRDefault="002457D2" w:rsidP="002457D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o Nauce </w:t>
            </w:r>
          </w:p>
          <w:p w:rsidR="007573B2" w:rsidRPr="000D48D8" w:rsidRDefault="002457D2" w:rsidP="002457D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i Szkolnictwie Wyższym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Pr="000D48D8" w:rsidRDefault="002457D2" w:rsidP="00480C5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0D48D8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użycie, zmiana</w:t>
            </w:r>
          </w:p>
        </w:tc>
      </w:tr>
    </w:tbl>
    <w:p w:rsidR="00C63FD9" w:rsidRPr="00C63FD9" w:rsidRDefault="00C63FD9" w:rsidP="00C63FD9">
      <w:pPr>
        <w:pStyle w:val="Tekstpodstawowy2"/>
        <w:ind w:left="780"/>
        <w:rPr>
          <w:lang w:val="pl-PL" w:eastAsia="pl-PL"/>
        </w:rPr>
      </w:pPr>
      <w:r>
        <w:rPr>
          <w:rFonts w:cs="Arial"/>
          <w:iCs/>
          <w:sz w:val="20"/>
          <w:szCs w:val="20"/>
          <w:lang w:val="pl-PL" w:eastAsia="pl-PL"/>
        </w:rPr>
        <w:t>W przypadku systemu POL-on dane wprowadzane do Zintegrowanego</w:t>
      </w:r>
      <w:r w:rsidRPr="00C63FD9">
        <w:rPr>
          <w:rFonts w:cs="Arial"/>
          <w:iCs/>
          <w:sz w:val="20"/>
          <w:szCs w:val="20"/>
          <w:lang w:val="pl-PL" w:eastAsia="pl-PL"/>
        </w:rPr>
        <w:t xml:space="preserve"> System</w:t>
      </w:r>
      <w:r>
        <w:rPr>
          <w:rFonts w:cs="Arial"/>
          <w:iCs/>
          <w:sz w:val="20"/>
          <w:szCs w:val="20"/>
          <w:lang w:val="pl-PL" w:eastAsia="pl-PL"/>
        </w:rPr>
        <w:t>u</w:t>
      </w:r>
      <w:r w:rsidRPr="00C63FD9">
        <w:rPr>
          <w:rFonts w:cs="Arial"/>
          <w:iCs/>
          <w:sz w:val="20"/>
          <w:szCs w:val="20"/>
          <w:lang w:val="pl-PL" w:eastAsia="pl-PL"/>
        </w:rPr>
        <w:t xml:space="preserve"> Informacji o Nauce </w:t>
      </w:r>
      <w:r>
        <w:rPr>
          <w:rFonts w:cs="Arial"/>
          <w:iCs/>
          <w:sz w:val="20"/>
          <w:szCs w:val="20"/>
          <w:lang w:val="pl-PL" w:eastAsia="pl-PL"/>
        </w:rPr>
        <w:br/>
      </w:r>
      <w:r w:rsidRPr="00C63FD9">
        <w:rPr>
          <w:rFonts w:cs="Arial"/>
          <w:iCs/>
          <w:sz w:val="20"/>
          <w:szCs w:val="20"/>
          <w:lang w:val="pl-PL" w:eastAsia="pl-PL"/>
        </w:rPr>
        <w:t>i Szkolnictwie Wyższym</w:t>
      </w:r>
      <w:r>
        <w:rPr>
          <w:rFonts w:cs="Arial"/>
          <w:iCs/>
          <w:sz w:val="20"/>
          <w:szCs w:val="20"/>
          <w:lang w:val="pl-PL" w:eastAsia="pl-PL"/>
        </w:rPr>
        <w:t xml:space="preserve"> są wprowadzane, zmieniane i przetwarzane przez pracownika NIZP-PZH. To pracownik NIZP-PZH poprzez zmianę danych wpływa na zawartość wskazanego powyżej rejestru.</w:t>
      </w:r>
    </w:p>
    <w:p w:rsidR="00C63FD9" w:rsidRPr="00C63FD9" w:rsidRDefault="00C63FD9" w:rsidP="00C63FD9">
      <w:pPr>
        <w:pStyle w:val="Tekstpodstawowy2"/>
        <w:rPr>
          <w:lang w:val="pl-PL" w:eastAsia="pl-PL"/>
        </w:rPr>
      </w:pPr>
    </w:p>
    <w:p w:rsidR="00BD4EE3" w:rsidRPr="003269DF" w:rsidRDefault="00B871EA" w:rsidP="00B871EA">
      <w:pPr>
        <w:pStyle w:val="Nagwek2"/>
        <w:keepNext/>
        <w:rPr>
          <w:b w:val="0"/>
          <w:sz w:val="20"/>
          <w:szCs w:val="20"/>
          <w:lang w:val="pl-PL" w:eastAsia="pl-PL"/>
        </w:rPr>
      </w:pPr>
      <w:r>
        <w:rPr>
          <w:szCs w:val="20"/>
          <w:lang w:val="pl-PL" w:eastAsia="pl-PL"/>
        </w:rPr>
        <w:t xml:space="preserve"> </w:t>
      </w:r>
      <w:r w:rsidR="00BD4EE3" w:rsidRPr="00110D64">
        <w:rPr>
          <w:szCs w:val="20"/>
          <w:lang w:val="pl-PL" w:eastAsia="pl-PL"/>
        </w:rPr>
        <w:t>Bezpieczeństwo</w:t>
      </w:r>
      <w:r w:rsidR="00BD4EE3" w:rsidRPr="00A03B75">
        <w:rPr>
          <w:sz w:val="20"/>
          <w:szCs w:val="20"/>
          <w:lang w:val="pl-PL" w:eastAsia="pl-PL"/>
        </w:rPr>
        <w:t xml:space="preserve"> </w:t>
      </w:r>
    </w:p>
    <w:p w:rsidR="00BD4EE3" w:rsidRPr="008565B8" w:rsidRDefault="00BD4EE3" w:rsidP="00402AAE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(w rozumieniu przepisów §20 rozporządzenia Rady Ministrów z dnia 12 kwietnia 2012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r. w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s</w:t>
      </w:r>
      <w:r w:rsidR="00321C0D" w:rsidRPr="008565B8">
        <w:rPr>
          <w:rFonts w:cs="Arial"/>
          <w:sz w:val="22"/>
          <w:szCs w:val="24"/>
          <w:lang w:val="pl-PL" w:eastAsia="pl-PL"/>
        </w:rPr>
        <w:t>prawie</w:t>
      </w:r>
      <w:r w:rsidRPr="008565B8">
        <w:rPr>
          <w:rFonts w:cs="Arial"/>
          <w:sz w:val="22"/>
          <w:szCs w:val="24"/>
          <w:lang w:val="pl-PL" w:eastAsia="pl-PL"/>
        </w:rPr>
        <w:t xml:space="preserve"> Krajowych Ram Interoperacyjności […] </w:t>
      </w:r>
      <w:r w:rsidR="00580089">
        <w:rPr>
          <w:rFonts w:cs="Arial"/>
          <w:sz w:val="22"/>
          <w:szCs w:val="24"/>
          <w:lang w:val="pl-PL" w:eastAsia="pl-PL"/>
        </w:rPr>
        <w:t xml:space="preserve">(Dz. U. 2012, poz. 526 z późn. zm.)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:rsidR="00BD4EE3" w:rsidRPr="006C5AFB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  <w:strike/>
        </w:rPr>
      </w:pPr>
      <w:r w:rsidRPr="006C5AFB">
        <w:rPr>
          <w:rFonts w:cs="Arial"/>
          <w:strike/>
        </w:rPr>
        <w:t>s</w:t>
      </w:r>
      <w:r w:rsidR="004B504D" w:rsidRPr="006C5AFB">
        <w:rPr>
          <w:rFonts w:cs="Arial"/>
          <w:strike/>
        </w:rPr>
        <w:t xml:space="preserve">ystem nie podlega rygorom KRI – </w:t>
      </w:r>
      <w:r w:rsidRPr="006C5AFB">
        <w:rPr>
          <w:rFonts w:cs="Arial"/>
          <w:strike/>
        </w:rPr>
        <w:t xml:space="preserve">należy </w:t>
      </w:r>
      <w:r w:rsidR="004B504D" w:rsidRPr="006C5AFB">
        <w:rPr>
          <w:rFonts w:cs="Arial"/>
          <w:strike/>
        </w:rPr>
        <w:t>wyjaś</w:t>
      </w:r>
      <w:r w:rsidRPr="006C5AFB">
        <w:rPr>
          <w:rFonts w:cs="Arial"/>
          <w:strike/>
        </w:rPr>
        <w:t>nić</w:t>
      </w:r>
      <w:r w:rsidR="004B504D" w:rsidRPr="006C5AFB">
        <w:rPr>
          <w:rFonts w:cs="Arial"/>
          <w:strike/>
        </w:rPr>
        <w:t xml:space="preserve"> czy istnieją inne normy bezpieczeństwa, które będą spełnione </w:t>
      </w:r>
      <w:r w:rsidRPr="006C5AFB">
        <w:rPr>
          <w:rFonts w:cs="Arial"/>
          <w:strike/>
        </w:rPr>
        <w:t>przez system</w:t>
      </w:r>
      <w:r w:rsidR="004B504D" w:rsidRPr="006C5AFB">
        <w:rPr>
          <w:rFonts w:cs="Arial"/>
          <w:strike/>
        </w:rPr>
        <w:t xml:space="preserve"> </w:t>
      </w:r>
      <w:r w:rsidRPr="006C5AFB">
        <w:rPr>
          <w:rFonts w:cs="Arial"/>
          <w:strike/>
        </w:rPr>
        <w:t>z</w:t>
      </w:r>
      <w:r w:rsidR="00BD4EE3" w:rsidRPr="006C5AFB">
        <w:rPr>
          <w:rFonts w:cs="Arial"/>
          <w:strike/>
        </w:rPr>
        <w:t>godnie z wymogami KRI</w:t>
      </w:r>
      <w:r w:rsidR="008565B8" w:rsidRPr="006C5AFB">
        <w:rPr>
          <w:rFonts w:cs="Arial"/>
          <w:strike/>
        </w:rPr>
        <w:t>,</w:t>
      </w:r>
    </w:p>
    <w:p w:rsidR="00BD4EE3" w:rsidRPr="006C5AFB" w:rsidRDefault="00245488" w:rsidP="00505D03">
      <w:pPr>
        <w:pStyle w:val="Akapitzlist"/>
        <w:numPr>
          <w:ilvl w:val="0"/>
          <w:numId w:val="14"/>
        </w:numPr>
        <w:rPr>
          <w:rFonts w:cs="Arial"/>
          <w:strike/>
        </w:rPr>
      </w:pPr>
      <w:r w:rsidRPr="006C5AFB">
        <w:rPr>
          <w:rFonts w:cs="Arial"/>
          <w:strike/>
        </w:rPr>
        <w:t>d</w:t>
      </w:r>
      <w:r w:rsidR="00BD4EE3" w:rsidRPr="006C5AFB">
        <w:rPr>
          <w:rFonts w:cs="Arial"/>
          <w:strike/>
        </w:rPr>
        <w:t xml:space="preserve">odatkowe zabezpieczenia powyżej wymogów KRI: </w:t>
      </w:r>
      <w:r w:rsidRPr="006C5AFB">
        <w:rPr>
          <w:rFonts w:cs="Arial"/>
          <w:strike/>
        </w:rPr>
        <w:t>należy wskazać</w:t>
      </w:r>
      <w:r w:rsidR="00BD4EE3" w:rsidRPr="006C5AFB">
        <w:rPr>
          <w:rFonts w:cs="Arial"/>
          <w:strike/>
        </w:rPr>
        <w:t xml:space="preserve"> uzasadnienie&gt;&gt;</w:t>
      </w:r>
      <w:r w:rsidRPr="006C5AFB">
        <w:rPr>
          <w:rFonts w:cs="Arial"/>
          <w:strike/>
          <w:vertAlign w:val="superscript"/>
        </w:rPr>
        <w:footnoteReference w:id="4"/>
      </w:r>
    </w:p>
    <w:p w:rsidR="00BD4EE3" w:rsidRPr="00402AAE" w:rsidRDefault="00BD4EE3" w:rsidP="00BD4EE3">
      <w:pPr>
        <w:pStyle w:val="Nagwek2"/>
        <w:keepNext/>
        <w:numPr>
          <w:ilvl w:val="0"/>
          <w:numId w:val="0"/>
        </w:numPr>
        <w:ind w:left="792"/>
        <w:rPr>
          <w:b w:val="0"/>
          <w:sz w:val="20"/>
          <w:szCs w:val="20"/>
          <w:lang w:val="pl-PL" w:eastAsia="pl-PL"/>
        </w:rPr>
      </w:pPr>
    </w:p>
    <w:p w:rsidR="002A3291" w:rsidRPr="002A3291" w:rsidRDefault="002A3291" w:rsidP="002A3291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2A3291">
        <w:rPr>
          <w:rFonts w:cs="Arial"/>
          <w:sz w:val="22"/>
          <w:szCs w:val="24"/>
          <w:lang w:val="pl-PL" w:eastAsia="pl-PL"/>
        </w:rPr>
        <w:t>W związku z wejściem w życie Rozporządzenia Parlamentu Europejskiego i Rady (UE) Nr 2016/679 z 27 kwietnia 2016 r. w sprawie ochrony osób fizycznych w związku z przetwarzaniem danych osobowych i w sprawie swobodnego przepływu takich danych oraz uchylenia dyrektywy 95/46/WE (Dz. Urz. UE L Nr 119 z 4 maja 2016 r. NIZP-PZH wdrożył i stosuje Politykę bezpieczeństwa danych osobowych, Regulamin ochrony danych, Instrukcję zarządzania systemami informatycznymi wraz z wykazem zabezpieczeń oraz wiele innych procedur takich jak Procedura zarządzania systemami informatycznymi, Procedura audytu czy Plan ciągłości działania. Ze względu na charakter systemu, jego dostępność i narażanie na zewnętrzne ataki, wszystkie procedury muszą spełnić wymóg wysokiego poziomu bezpieczeństwa przetwarzania danych osobowych w systemie informatycznym.</w:t>
      </w:r>
      <w:r w:rsidR="000A19D8">
        <w:rPr>
          <w:rFonts w:cs="Arial"/>
          <w:sz w:val="22"/>
          <w:szCs w:val="24"/>
          <w:lang w:val="pl-PL" w:eastAsia="pl-PL"/>
        </w:rPr>
        <w:t xml:space="preserve"> NIZP-PZH przeprowadza ocenę ryzyka przed przystąpieniem do przetwarzania danych osobowych oraz w zakresie danych szczególnej kategorii wykonuje analizę wpływu przetwarzania tych danych na prawa osób, których dane dotyczą. W wyniku analiz i oceny stosuje, w ramach posiadanych zasobów i środków, adekwatne sposoby zabezpieczeń.</w:t>
      </w:r>
    </w:p>
    <w:p w:rsidR="007573B2" w:rsidRPr="002A3291" w:rsidRDefault="002A3291" w:rsidP="002A3291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2A3291">
        <w:rPr>
          <w:rFonts w:cs="Arial"/>
          <w:sz w:val="22"/>
          <w:szCs w:val="24"/>
          <w:lang w:val="pl-PL" w:eastAsia="pl-PL"/>
        </w:rPr>
        <w:t>Projektowany system uwzględnia zapisy ustawy o informatyzacji działalności podmiotów realizujących zadania Publiczne Podstawa prawna: Dz.U. 2005 r. Nr 64 poz. 565 ze zm. Ustawa o informatyzacji działalności podmiotów realizujących zadania publiczne. Projektowane rozwiązania są zgodne z dotychczas ustalonymi w ustawie minimalnymi wymogami dla systemów teleinformatycznych oraz minimalnymi wymogami dla wymiany informacji w postaci elektronicznej pomiędzy podmiotami publicznymi. W szczególności uwzględnione zostały zasady określone w projekcie rozporządzenia Rady Ministrów w sprawie Krajowych Ram Interoperacyjności, minimalnych wymagań dla rejestrów publicznych i wymiany informacji w formie elektronicznej oraz minimalnych wymagań dla systemów teleinformatycznych (w brzmieniu skierowanym do Ministra Gospodarki w celu przeprowadzenia procedury notyfikacji). Wszędzie tam, gdzie w ramach projektu następuje wymiana dokumentów drogą elektroniczną spełnione są standardy określone w ustawie oraz w rozporządzeniu o doręczaniu dokumentów.</w:t>
      </w:r>
    </w:p>
    <w:p w:rsidR="007573B2" w:rsidRPr="006F3224" w:rsidRDefault="007573B2" w:rsidP="007573B2">
      <w:pPr>
        <w:pStyle w:val="Tekstpodstawowy2"/>
        <w:rPr>
          <w:lang w:val="pl-PL" w:eastAsia="pl-PL"/>
        </w:rPr>
      </w:pPr>
    </w:p>
    <w:p w:rsidR="007573B2" w:rsidRPr="00D67679" w:rsidRDefault="007573B2" w:rsidP="007573B2">
      <w:pPr>
        <w:rPr>
          <w:lang w:val="pl-PL"/>
        </w:rPr>
      </w:pPr>
    </w:p>
    <w:p w:rsidR="007573B2" w:rsidRPr="001B6667" w:rsidRDefault="007573B2" w:rsidP="00534314">
      <w:pPr>
        <w:pStyle w:val="Tekstpodstawowy2"/>
        <w:ind w:left="0"/>
        <w:rPr>
          <w:lang w:val="pl-PL" w:eastAsia="pl-PL"/>
        </w:rPr>
      </w:pPr>
    </w:p>
    <w:sectPr w:rsidR="007573B2" w:rsidRPr="001B6667" w:rsidSect="00AB138D">
      <w:headerReference w:type="default" r:id="rId14"/>
      <w:footerReference w:type="default" r:id="rId15"/>
      <w:pgSz w:w="12240" w:h="15840"/>
      <w:pgMar w:top="1440" w:right="1080" w:bottom="1440" w:left="993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B505F" w16cid:durableId="1E666D4F"/>
  <w16cid:commentId w16cid:paraId="706F5F0E" w16cid:durableId="1E666D50"/>
  <w16cid:commentId w16cid:paraId="74302C03" w16cid:durableId="1E666D51"/>
  <w16cid:commentId w16cid:paraId="2EDE2563" w16cid:durableId="1E666D52"/>
  <w16cid:commentId w16cid:paraId="68DCB636" w16cid:durableId="1E666D53"/>
  <w16cid:commentId w16cid:paraId="2CED5D58" w16cid:durableId="1E666D54"/>
  <w16cid:commentId w16cid:paraId="1AD23F71" w16cid:durableId="1E666D55"/>
  <w16cid:commentId w16cid:paraId="0386C6DD" w16cid:durableId="1E666D56"/>
  <w16cid:commentId w16cid:paraId="2D4ACC1D" w16cid:durableId="1E66A9AC"/>
  <w16cid:commentId w16cid:paraId="36733824" w16cid:durableId="1E666D57"/>
  <w16cid:commentId w16cid:paraId="151E942E" w16cid:durableId="1E666D58"/>
  <w16cid:commentId w16cid:paraId="08634D26" w16cid:durableId="1E666D59"/>
  <w16cid:commentId w16cid:paraId="6811F1E4" w16cid:durableId="1E666D5A"/>
  <w16cid:commentId w16cid:paraId="413FFF5C" w16cid:durableId="1E666D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7F" w:rsidRDefault="0034597F" w:rsidP="00AC47BE">
      <w:r>
        <w:separator/>
      </w:r>
    </w:p>
  </w:endnote>
  <w:endnote w:type="continuationSeparator" w:id="0">
    <w:p w:rsidR="0034597F" w:rsidRDefault="0034597F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:rsidR="009337D1" w:rsidRPr="00534314" w:rsidRDefault="009337D1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7B2030" w:rsidRPr="007B2030">
          <w:rPr>
            <w:noProof/>
            <w:color w:val="000000" w:themeColor="text1"/>
            <w:sz w:val="20"/>
            <w:lang w:val="pl-PL"/>
          </w:rPr>
          <w:t>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7F" w:rsidRDefault="0034597F" w:rsidP="00AC47BE">
      <w:r>
        <w:separator/>
      </w:r>
    </w:p>
  </w:footnote>
  <w:footnote w:type="continuationSeparator" w:id="0">
    <w:p w:rsidR="0034597F" w:rsidRDefault="0034597F" w:rsidP="00AC47BE">
      <w:r>
        <w:continuationSeparator/>
      </w:r>
    </w:p>
  </w:footnote>
  <w:footnote w:id="1">
    <w:p w:rsidR="009337D1" w:rsidRPr="005D3974" w:rsidRDefault="009337D1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5D397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3974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</w:p>
  </w:footnote>
  <w:footnote w:id="2">
    <w:p w:rsidR="009337D1" w:rsidRPr="00E11921" w:rsidRDefault="009337D1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3">
    <w:p w:rsidR="009337D1" w:rsidRPr="00E11921" w:rsidRDefault="009337D1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:rsidR="009337D1" w:rsidRPr="00245488" w:rsidRDefault="009337D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45488">
        <w:rPr>
          <w:rFonts w:ascii="Arial" w:hAnsi="Arial" w:cs="Arial"/>
          <w:sz w:val="18"/>
          <w:szCs w:val="18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D1" w:rsidRPr="00BE221C" w:rsidRDefault="009337D1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:rsidR="009337D1" w:rsidRPr="00800406" w:rsidRDefault="009337D1" w:rsidP="00AB1B53">
    <w:pPr>
      <w:spacing w:line="264" w:lineRule="auto"/>
      <w:jc w:val="center"/>
      <w:rPr>
        <w:sz w:val="20"/>
        <w:szCs w:val="18"/>
        <w:lang w:val="pl-PL"/>
      </w:rPr>
    </w:pPr>
    <w:r w:rsidRPr="00800406">
      <w:rPr>
        <w:rFonts w:cs="Arial"/>
        <w:iCs/>
        <w:sz w:val="20"/>
        <w:szCs w:val="18"/>
        <w:lang w:val="pl-PL"/>
      </w:rPr>
      <w:t>Rozwój nowoczesnych wewnętrznych technologii informacyjno-komunikacyjnych dla usług świadczonych drogą elektroniczną w Narodowym Instytucie Zdrowia Publicznego - Państwowym Zakładzie Higieny (NIZP-PZH)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40D"/>
    <w:multiLevelType w:val="hybridMultilevel"/>
    <w:tmpl w:val="DDC803A2"/>
    <w:lvl w:ilvl="0" w:tplc="748CC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A280A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12295C61"/>
    <w:multiLevelType w:val="hybridMultilevel"/>
    <w:tmpl w:val="900A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9500BC"/>
    <w:multiLevelType w:val="hybridMultilevel"/>
    <w:tmpl w:val="F8ECF7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E7E04"/>
    <w:multiLevelType w:val="hybridMultilevel"/>
    <w:tmpl w:val="8660948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0" w15:restartNumberingAfterBreak="0">
    <w:nsid w:val="30D81469"/>
    <w:multiLevelType w:val="hybridMultilevel"/>
    <w:tmpl w:val="59FA3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4BEF5703"/>
    <w:multiLevelType w:val="hybridMultilevel"/>
    <w:tmpl w:val="69CC13A0"/>
    <w:lvl w:ilvl="0" w:tplc="E42AC5B0">
      <w:start w:val="1"/>
      <w:numFmt w:val="decimal"/>
      <w:lvlText w:val="%1."/>
      <w:lvlJc w:val="left"/>
      <w:pPr>
        <w:ind w:left="1152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661D61"/>
    <w:multiLevelType w:val="multilevel"/>
    <w:tmpl w:val="83CCA0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6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DD70B4"/>
    <w:multiLevelType w:val="hybridMultilevel"/>
    <w:tmpl w:val="CCB01C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5"/>
  </w:num>
  <w:num w:numId="5">
    <w:abstractNumId w:val="19"/>
  </w:num>
  <w:num w:numId="6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>
    <w:abstractNumId w:val="9"/>
  </w:num>
  <w:num w:numId="8">
    <w:abstractNumId w:val="16"/>
  </w:num>
  <w:num w:numId="9">
    <w:abstractNumId w:val="3"/>
  </w:num>
  <w:num w:numId="1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12"/>
  </w:num>
  <w:num w:numId="16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17">
    <w:abstractNumId w:val="7"/>
  </w:num>
  <w:num w:numId="18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19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20">
    <w:abstractNumId w:val="4"/>
  </w:num>
  <w:num w:numId="21">
    <w:abstractNumId w:val="15"/>
  </w:num>
  <w:num w:numId="22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23">
    <w:abstractNumId w:val="8"/>
  </w:num>
  <w:num w:numId="24">
    <w:abstractNumId w:val="0"/>
  </w:num>
  <w:num w:numId="25">
    <w:abstractNumId w:val="18"/>
  </w:num>
  <w:num w:numId="2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E"/>
    <w:rsid w:val="00002935"/>
    <w:rsid w:val="000056D4"/>
    <w:rsid w:val="0000682A"/>
    <w:rsid w:val="00011F32"/>
    <w:rsid w:val="00014F83"/>
    <w:rsid w:val="000217ED"/>
    <w:rsid w:val="00022C90"/>
    <w:rsid w:val="00026C72"/>
    <w:rsid w:val="000279A8"/>
    <w:rsid w:val="000323F6"/>
    <w:rsid w:val="00037D99"/>
    <w:rsid w:val="00040E45"/>
    <w:rsid w:val="000543F4"/>
    <w:rsid w:val="000660A3"/>
    <w:rsid w:val="00067405"/>
    <w:rsid w:val="00071375"/>
    <w:rsid w:val="0007406C"/>
    <w:rsid w:val="000758B8"/>
    <w:rsid w:val="000841DA"/>
    <w:rsid w:val="00087B92"/>
    <w:rsid w:val="00090364"/>
    <w:rsid w:val="00095340"/>
    <w:rsid w:val="000A0D13"/>
    <w:rsid w:val="000A19D8"/>
    <w:rsid w:val="000A5C7B"/>
    <w:rsid w:val="000B14DE"/>
    <w:rsid w:val="000B1668"/>
    <w:rsid w:val="000B27E6"/>
    <w:rsid w:val="000B7ABC"/>
    <w:rsid w:val="000C3D6D"/>
    <w:rsid w:val="000C7C7E"/>
    <w:rsid w:val="000D03E5"/>
    <w:rsid w:val="000D1112"/>
    <w:rsid w:val="000D48D8"/>
    <w:rsid w:val="000E0521"/>
    <w:rsid w:val="000E39DC"/>
    <w:rsid w:val="000E7344"/>
    <w:rsid w:val="000F313A"/>
    <w:rsid w:val="000F5993"/>
    <w:rsid w:val="000F667D"/>
    <w:rsid w:val="00101561"/>
    <w:rsid w:val="001027BE"/>
    <w:rsid w:val="00102BEC"/>
    <w:rsid w:val="0010362E"/>
    <w:rsid w:val="00107EC9"/>
    <w:rsid w:val="00110D64"/>
    <w:rsid w:val="001110DC"/>
    <w:rsid w:val="00112AF0"/>
    <w:rsid w:val="00121B8A"/>
    <w:rsid w:val="001235FB"/>
    <w:rsid w:val="00126E2F"/>
    <w:rsid w:val="001318C7"/>
    <w:rsid w:val="00136BA5"/>
    <w:rsid w:val="001373F1"/>
    <w:rsid w:val="00137E28"/>
    <w:rsid w:val="00143B0D"/>
    <w:rsid w:val="001503B4"/>
    <w:rsid w:val="00162DA3"/>
    <w:rsid w:val="00162DC4"/>
    <w:rsid w:val="00167D0B"/>
    <w:rsid w:val="001769CB"/>
    <w:rsid w:val="00177C0F"/>
    <w:rsid w:val="001808DB"/>
    <w:rsid w:val="00183078"/>
    <w:rsid w:val="0018433C"/>
    <w:rsid w:val="00187F2B"/>
    <w:rsid w:val="00192895"/>
    <w:rsid w:val="00193CC4"/>
    <w:rsid w:val="001A0930"/>
    <w:rsid w:val="001A38D5"/>
    <w:rsid w:val="001A3DAF"/>
    <w:rsid w:val="001A5C11"/>
    <w:rsid w:val="001B2D7A"/>
    <w:rsid w:val="001B6667"/>
    <w:rsid w:val="001B6BD4"/>
    <w:rsid w:val="001C176D"/>
    <w:rsid w:val="001C2A37"/>
    <w:rsid w:val="001C5C6A"/>
    <w:rsid w:val="001C67F2"/>
    <w:rsid w:val="001C7FA0"/>
    <w:rsid w:val="001C7FEF"/>
    <w:rsid w:val="001D0647"/>
    <w:rsid w:val="001D2181"/>
    <w:rsid w:val="001D383B"/>
    <w:rsid w:val="001D4CEC"/>
    <w:rsid w:val="001D59BE"/>
    <w:rsid w:val="001D7AAC"/>
    <w:rsid w:val="001E6DE7"/>
    <w:rsid w:val="001F573E"/>
    <w:rsid w:val="00201810"/>
    <w:rsid w:val="0020199F"/>
    <w:rsid w:val="00204E63"/>
    <w:rsid w:val="00205B72"/>
    <w:rsid w:val="0020760A"/>
    <w:rsid w:val="00207B9C"/>
    <w:rsid w:val="00212B59"/>
    <w:rsid w:val="00214477"/>
    <w:rsid w:val="00214A4B"/>
    <w:rsid w:val="00220D38"/>
    <w:rsid w:val="00221961"/>
    <w:rsid w:val="00223036"/>
    <w:rsid w:val="00224757"/>
    <w:rsid w:val="002315AD"/>
    <w:rsid w:val="00231DE6"/>
    <w:rsid w:val="002358BC"/>
    <w:rsid w:val="00241005"/>
    <w:rsid w:val="00242436"/>
    <w:rsid w:val="00245488"/>
    <w:rsid w:val="002457D2"/>
    <w:rsid w:val="00245D3A"/>
    <w:rsid w:val="00246AD0"/>
    <w:rsid w:val="00251394"/>
    <w:rsid w:val="00252D90"/>
    <w:rsid w:val="00255CAA"/>
    <w:rsid w:val="002563CD"/>
    <w:rsid w:val="00260D2B"/>
    <w:rsid w:val="00263270"/>
    <w:rsid w:val="00263B5A"/>
    <w:rsid w:val="00263F69"/>
    <w:rsid w:val="00271514"/>
    <w:rsid w:val="002749DC"/>
    <w:rsid w:val="00275C7D"/>
    <w:rsid w:val="00277E2C"/>
    <w:rsid w:val="00281680"/>
    <w:rsid w:val="00292C9C"/>
    <w:rsid w:val="002A3291"/>
    <w:rsid w:val="002A4787"/>
    <w:rsid w:val="002A55DC"/>
    <w:rsid w:val="002A5F65"/>
    <w:rsid w:val="002A649D"/>
    <w:rsid w:val="002A6E14"/>
    <w:rsid w:val="002B15AB"/>
    <w:rsid w:val="002B1D14"/>
    <w:rsid w:val="002B53DF"/>
    <w:rsid w:val="002B6352"/>
    <w:rsid w:val="002B65EF"/>
    <w:rsid w:val="002B7531"/>
    <w:rsid w:val="002B7799"/>
    <w:rsid w:val="002C2724"/>
    <w:rsid w:val="002C2F49"/>
    <w:rsid w:val="002C5F06"/>
    <w:rsid w:val="002C610D"/>
    <w:rsid w:val="002D16EC"/>
    <w:rsid w:val="002D31F3"/>
    <w:rsid w:val="002D47E3"/>
    <w:rsid w:val="002D6588"/>
    <w:rsid w:val="002E1743"/>
    <w:rsid w:val="002E1E0E"/>
    <w:rsid w:val="002E24A8"/>
    <w:rsid w:val="002E4D6E"/>
    <w:rsid w:val="002E522E"/>
    <w:rsid w:val="002F0B67"/>
    <w:rsid w:val="002F0DEF"/>
    <w:rsid w:val="002F208E"/>
    <w:rsid w:val="002F425A"/>
    <w:rsid w:val="002F455B"/>
    <w:rsid w:val="002F4A29"/>
    <w:rsid w:val="002F4FB4"/>
    <w:rsid w:val="002F56B5"/>
    <w:rsid w:val="002F7D84"/>
    <w:rsid w:val="00302027"/>
    <w:rsid w:val="003051B7"/>
    <w:rsid w:val="00307FB8"/>
    <w:rsid w:val="003174A1"/>
    <w:rsid w:val="00321C0D"/>
    <w:rsid w:val="0032240B"/>
    <w:rsid w:val="003269DF"/>
    <w:rsid w:val="0034029A"/>
    <w:rsid w:val="00340462"/>
    <w:rsid w:val="0034246F"/>
    <w:rsid w:val="003446B3"/>
    <w:rsid w:val="003454D5"/>
    <w:rsid w:val="00345665"/>
    <w:rsid w:val="0034597F"/>
    <w:rsid w:val="003459D7"/>
    <w:rsid w:val="00345F87"/>
    <w:rsid w:val="00347522"/>
    <w:rsid w:val="00351FDA"/>
    <w:rsid w:val="00356E05"/>
    <w:rsid w:val="00362841"/>
    <w:rsid w:val="00363F9D"/>
    <w:rsid w:val="00370059"/>
    <w:rsid w:val="00372BE7"/>
    <w:rsid w:val="00373E0A"/>
    <w:rsid w:val="00375094"/>
    <w:rsid w:val="00375847"/>
    <w:rsid w:val="00376D20"/>
    <w:rsid w:val="003953F5"/>
    <w:rsid w:val="003963EF"/>
    <w:rsid w:val="003A01FB"/>
    <w:rsid w:val="003A108D"/>
    <w:rsid w:val="003A1EB8"/>
    <w:rsid w:val="003A416B"/>
    <w:rsid w:val="003A5180"/>
    <w:rsid w:val="003B1758"/>
    <w:rsid w:val="003B442E"/>
    <w:rsid w:val="003C213E"/>
    <w:rsid w:val="003C7909"/>
    <w:rsid w:val="003D02F1"/>
    <w:rsid w:val="003D2CEB"/>
    <w:rsid w:val="003D4170"/>
    <w:rsid w:val="003D5B13"/>
    <w:rsid w:val="003E0D81"/>
    <w:rsid w:val="003E641F"/>
    <w:rsid w:val="003E79AB"/>
    <w:rsid w:val="003F2463"/>
    <w:rsid w:val="003F2AF6"/>
    <w:rsid w:val="003F5ECF"/>
    <w:rsid w:val="003F78DC"/>
    <w:rsid w:val="00401BDB"/>
    <w:rsid w:val="0040202B"/>
    <w:rsid w:val="00402AAE"/>
    <w:rsid w:val="00404A35"/>
    <w:rsid w:val="00415DA6"/>
    <w:rsid w:val="00416FF0"/>
    <w:rsid w:val="00417A40"/>
    <w:rsid w:val="004232DF"/>
    <w:rsid w:val="00425154"/>
    <w:rsid w:val="00426522"/>
    <w:rsid w:val="00431B1C"/>
    <w:rsid w:val="004320C8"/>
    <w:rsid w:val="00437F67"/>
    <w:rsid w:val="00440618"/>
    <w:rsid w:val="00444DEC"/>
    <w:rsid w:val="00447EC1"/>
    <w:rsid w:val="0045294A"/>
    <w:rsid w:val="00453CE7"/>
    <w:rsid w:val="004578C3"/>
    <w:rsid w:val="00461041"/>
    <w:rsid w:val="00461D35"/>
    <w:rsid w:val="004642C6"/>
    <w:rsid w:val="0047093E"/>
    <w:rsid w:val="00476D20"/>
    <w:rsid w:val="00480C5A"/>
    <w:rsid w:val="00481813"/>
    <w:rsid w:val="00482DA4"/>
    <w:rsid w:val="00483264"/>
    <w:rsid w:val="00486746"/>
    <w:rsid w:val="00486BC5"/>
    <w:rsid w:val="004911B9"/>
    <w:rsid w:val="00491957"/>
    <w:rsid w:val="00493B31"/>
    <w:rsid w:val="0049780D"/>
    <w:rsid w:val="004A0BB2"/>
    <w:rsid w:val="004A3BAC"/>
    <w:rsid w:val="004B0235"/>
    <w:rsid w:val="004B504D"/>
    <w:rsid w:val="004B7C7E"/>
    <w:rsid w:val="004C1DEF"/>
    <w:rsid w:val="004C7A57"/>
    <w:rsid w:val="004D0638"/>
    <w:rsid w:val="004D61C8"/>
    <w:rsid w:val="004E1F32"/>
    <w:rsid w:val="004E2207"/>
    <w:rsid w:val="004E7753"/>
    <w:rsid w:val="004F5268"/>
    <w:rsid w:val="004F6B58"/>
    <w:rsid w:val="00500D99"/>
    <w:rsid w:val="005023EF"/>
    <w:rsid w:val="00502AC8"/>
    <w:rsid w:val="00505D03"/>
    <w:rsid w:val="00512266"/>
    <w:rsid w:val="00513E17"/>
    <w:rsid w:val="0052377C"/>
    <w:rsid w:val="005334A7"/>
    <w:rsid w:val="00534314"/>
    <w:rsid w:val="005349BA"/>
    <w:rsid w:val="005363C8"/>
    <w:rsid w:val="00542C53"/>
    <w:rsid w:val="00544F1E"/>
    <w:rsid w:val="00546C2E"/>
    <w:rsid w:val="00551BE7"/>
    <w:rsid w:val="00553E21"/>
    <w:rsid w:val="005573B6"/>
    <w:rsid w:val="00561B52"/>
    <w:rsid w:val="00564CBF"/>
    <w:rsid w:val="0056584B"/>
    <w:rsid w:val="00565F93"/>
    <w:rsid w:val="00566116"/>
    <w:rsid w:val="00571299"/>
    <w:rsid w:val="00574840"/>
    <w:rsid w:val="00576581"/>
    <w:rsid w:val="00580089"/>
    <w:rsid w:val="00581C50"/>
    <w:rsid w:val="00584347"/>
    <w:rsid w:val="005A0E0F"/>
    <w:rsid w:val="005B39F2"/>
    <w:rsid w:val="005B6286"/>
    <w:rsid w:val="005C0634"/>
    <w:rsid w:val="005D0467"/>
    <w:rsid w:val="005D2015"/>
    <w:rsid w:val="005D26B3"/>
    <w:rsid w:val="005D3067"/>
    <w:rsid w:val="005D3775"/>
    <w:rsid w:val="005D3974"/>
    <w:rsid w:val="005D54B2"/>
    <w:rsid w:val="005D6314"/>
    <w:rsid w:val="005E0220"/>
    <w:rsid w:val="005E044D"/>
    <w:rsid w:val="005E0C6D"/>
    <w:rsid w:val="005E1CC2"/>
    <w:rsid w:val="005E3CF2"/>
    <w:rsid w:val="005F05E7"/>
    <w:rsid w:val="005F2D7E"/>
    <w:rsid w:val="005F301D"/>
    <w:rsid w:val="005F3F12"/>
    <w:rsid w:val="006142D8"/>
    <w:rsid w:val="006147DB"/>
    <w:rsid w:val="0061601F"/>
    <w:rsid w:val="00621BDB"/>
    <w:rsid w:val="00623253"/>
    <w:rsid w:val="00627AB5"/>
    <w:rsid w:val="00632A09"/>
    <w:rsid w:val="00632F56"/>
    <w:rsid w:val="0063457E"/>
    <w:rsid w:val="0063545E"/>
    <w:rsid w:val="00637D74"/>
    <w:rsid w:val="00642102"/>
    <w:rsid w:val="00644137"/>
    <w:rsid w:val="00647A0A"/>
    <w:rsid w:val="00652B57"/>
    <w:rsid w:val="006561FC"/>
    <w:rsid w:val="00661C7C"/>
    <w:rsid w:val="0066233F"/>
    <w:rsid w:val="00664C17"/>
    <w:rsid w:val="00672203"/>
    <w:rsid w:val="00681F82"/>
    <w:rsid w:val="00682330"/>
    <w:rsid w:val="00683C19"/>
    <w:rsid w:val="00684BC3"/>
    <w:rsid w:val="006952A5"/>
    <w:rsid w:val="006A05D6"/>
    <w:rsid w:val="006A17A8"/>
    <w:rsid w:val="006A280B"/>
    <w:rsid w:val="006A3863"/>
    <w:rsid w:val="006B1441"/>
    <w:rsid w:val="006B1EC0"/>
    <w:rsid w:val="006C1881"/>
    <w:rsid w:val="006C4029"/>
    <w:rsid w:val="006C485E"/>
    <w:rsid w:val="006C5A7C"/>
    <w:rsid w:val="006C5AFB"/>
    <w:rsid w:val="006C7D6B"/>
    <w:rsid w:val="006D2A4D"/>
    <w:rsid w:val="006E08FF"/>
    <w:rsid w:val="006F10A3"/>
    <w:rsid w:val="006F1CF6"/>
    <w:rsid w:val="007006FE"/>
    <w:rsid w:val="0070195C"/>
    <w:rsid w:val="0070232D"/>
    <w:rsid w:val="007063B2"/>
    <w:rsid w:val="00707F94"/>
    <w:rsid w:val="00714DC5"/>
    <w:rsid w:val="00716097"/>
    <w:rsid w:val="00724205"/>
    <w:rsid w:val="007252F5"/>
    <w:rsid w:val="00725515"/>
    <w:rsid w:val="007338C5"/>
    <w:rsid w:val="00734933"/>
    <w:rsid w:val="0074013B"/>
    <w:rsid w:val="00741175"/>
    <w:rsid w:val="007450DA"/>
    <w:rsid w:val="007466A7"/>
    <w:rsid w:val="00751CD7"/>
    <w:rsid w:val="007543C5"/>
    <w:rsid w:val="00757151"/>
    <w:rsid w:val="007573B2"/>
    <w:rsid w:val="007609C7"/>
    <w:rsid w:val="00763157"/>
    <w:rsid w:val="0076409C"/>
    <w:rsid w:val="007641AD"/>
    <w:rsid w:val="00765EA1"/>
    <w:rsid w:val="00777AF9"/>
    <w:rsid w:val="00781656"/>
    <w:rsid w:val="007824E5"/>
    <w:rsid w:val="0078552C"/>
    <w:rsid w:val="007904DF"/>
    <w:rsid w:val="0079184B"/>
    <w:rsid w:val="00793C21"/>
    <w:rsid w:val="007947BE"/>
    <w:rsid w:val="007A23E9"/>
    <w:rsid w:val="007A3FF2"/>
    <w:rsid w:val="007B0A82"/>
    <w:rsid w:val="007B2030"/>
    <w:rsid w:val="007B49A2"/>
    <w:rsid w:val="007B4A45"/>
    <w:rsid w:val="007B4EBF"/>
    <w:rsid w:val="007B58D7"/>
    <w:rsid w:val="007B6927"/>
    <w:rsid w:val="007B70F4"/>
    <w:rsid w:val="007C22B3"/>
    <w:rsid w:val="007C3603"/>
    <w:rsid w:val="007D1B4F"/>
    <w:rsid w:val="007D413C"/>
    <w:rsid w:val="007D5379"/>
    <w:rsid w:val="007D6C03"/>
    <w:rsid w:val="007D7759"/>
    <w:rsid w:val="007E120E"/>
    <w:rsid w:val="007E16EC"/>
    <w:rsid w:val="007E2895"/>
    <w:rsid w:val="007E3C15"/>
    <w:rsid w:val="007E6977"/>
    <w:rsid w:val="007F3EBD"/>
    <w:rsid w:val="007F6350"/>
    <w:rsid w:val="00800406"/>
    <w:rsid w:val="0080425C"/>
    <w:rsid w:val="00807527"/>
    <w:rsid w:val="00807757"/>
    <w:rsid w:val="00807B13"/>
    <w:rsid w:val="008125EE"/>
    <w:rsid w:val="008131CA"/>
    <w:rsid w:val="00813C17"/>
    <w:rsid w:val="00814825"/>
    <w:rsid w:val="008149AF"/>
    <w:rsid w:val="008219EF"/>
    <w:rsid w:val="008250DA"/>
    <w:rsid w:val="00825F7E"/>
    <w:rsid w:val="008267E2"/>
    <w:rsid w:val="00832DED"/>
    <w:rsid w:val="00833056"/>
    <w:rsid w:val="00835F47"/>
    <w:rsid w:val="00841F6B"/>
    <w:rsid w:val="00842876"/>
    <w:rsid w:val="00842AC9"/>
    <w:rsid w:val="00846CEC"/>
    <w:rsid w:val="0085154C"/>
    <w:rsid w:val="00851A3F"/>
    <w:rsid w:val="008565B8"/>
    <w:rsid w:val="008615CB"/>
    <w:rsid w:val="0086459D"/>
    <w:rsid w:val="00865CFF"/>
    <w:rsid w:val="00866FA0"/>
    <w:rsid w:val="0087221F"/>
    <w:rsid w:val="00874A8F"/>
    <w:rsid w:val="00874E69"/>
    <w:rsid w:val="00876EDE"/>
    <w:rsid w:val="008805B6"/>
    <w:rsid w:val="00881863"/>
    <w:rsid w:val="00881E32"/>
    <w:rsid w:val="00885C3A"/>
    <w:rsid w:val="0089026B"/>
    <w:rsid w:val="00896D73"/>
    <w:rsid w:val="0089729F"/>
    <w:rsid w:val="008A0850"/>
    <w:rsid w:val="008B3343"/>
    <w:rsid w:val="008B5E40"/>
    <w:rsid w:val="008C789D"/>
    <w:rsid w:val="008C7A6D"/>
    <w:rsid w:val="008D5933"/>
    <w:rsid w:val="008E1926"/>
    <w:rsid w:val="008E29CA"/>
    <w:rsid w:val="008E3030"/>
    <w:rsid w:val="008E323E"/>
    <w:rsid w:val="008E40E2"/>
    <w:rsid w:val="008E7CD1"/>
    <w:rsid w:val="008F198C"/>
    <w:rsid w:val="008F376B"/>
    <w:rsid w:val="008F6471"/>
    <w:rsid w:val="008F699C"/>
    <w:rsid w:val="0090140E"/>
    <w:rsid w:val="00901507"/>
    <w:rsid w:val="009018DA"/>
    <w:rsid w:val="00902D0D"/>
    <w:rsid w:val="0090563D"/>
    <w:rsid w:val="009166A3"/>
    <w:rsid w:val="009317C8"/>
    <w:rsid w:val="00932008"/>
    <w:rsid w:val="00932701"/>
    <w:rsid w:val="009337D1"/>
    <w:rsid w:val="009350A5"/>
    <w:rsid w:val="009354FA"/>
    <w:rsid w:val="009412BE"/>
    <w:rsid w:val="009431B0"/>
    <w:rsid w:val="00944A1B"/>
    <w:rsid w:val="009474E0"/>
    <w:rsid w:val="00953347"/>
    <w:rsid w:val="00955EC2"/>
    <w:rsid w:val="0096065B"/>
    <w:rsid w:val="0096100F"/>
    <w:rsid w:val="00962163"/>
    <w:rsid w:val="00964DC5"/>
    <w:rsid w:val="009666D1"/>
    <w:rsid w:val="009702B0"/>
    <w:rsid w:val="009708B1"/>
    <w:rsid w:val="00970BFB"/>
    <w:rsid w:val="009718C9"/>
    <w:rsid w:val="00972003"/>
    <w:rsid w:val="00974E51"/>
    <w:rsid w:val="00986C59"/>
    <w:rsid w:val="00990CD6"/>
    <w:rsid w:val="00990D9D"/>
    <w:rsid w:val="009916BB"/>
    <w:rsid w:val="00992AB4"/>
    <w:rsid w:val="009A0027"/>
    <w:rsid w:val="009A271A"/>
    <w:rsid w:val="009A327F"/>
    <w:rsid w:val="009A3678"/>
    <w:rsid w:val="009A4FBA"/>
    <w:rsid w:val="009A5766"/>
    <w:rsid w:val="009A5C50"/>
    <w:rsid w:val="009B272F"/>
    <w:rsid w:val="009C2FF8"/>
    <w:rsid w:val="009C39A8"/>
    <w:rsid w:val="009C4535"/>
    <w:rsid w:val="009C4B5B"/>
    <w:rsid w:val="009C4BDB"/>
    <w:rsid w:val="009C7AD9"/>
    <w:rsid w:val="009D0C5D"/>
    <w:rsid w:val="009D2A74"/>
    <w:rsid w:val="009D3F55"/>
    <w:rsid w:val="009D6D03"/>
    <w:rsid w:val="009E16DD"/>
    <w:rsid w:val="009E3030"/>
    <w:rsid w:val="009F0ACA"/>
    <w:rsid w:val="009F53D6"/>
    <w:rsid w:val="009F6195"/>
    <w:rsid w:val="009F722B"/>
    <w:rsid w:val="009F7CDA"/>
    <w:rsid w:val="00A0263F"/>
    <w:rsid w:val="00A03483"/>
    <w:rsid w:val="00A03B75"/>
    <w:rsid w:val="00A04B61"/>
    <w:rsid w:val="00A07662"/>
    <w:rsid w:val="00A10E9C"/>
    <w:rsid w:val="00A10F87"/>
    <w:rsid w:val="00A11177"/>
    <w:rsid w:val="00A11E7A"/>
    <w:rsid w:val="00A142CA"/>
    <w:rsid w:val="00A17973"/>
    <w:rsid w:val="00A17EAF"/>
    <w:rsid w:val="00A2118E"/>
    <w:rsid w:val="00A236E6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54B"/>
    <w:rsid w:val="00A45670"/>
    <w:rsid w:val="00A535CF"/>
    <w:rsid w:val="00A61A9C"/>
    <w:rsid w:val="00A66F61"/>
    <w:rsid w:val="00A7064C"/>
    <w:rsid w:val="00A76B97"/>
    <w:rsid w:val="00A82825"/>
    <w:rsid w:val="00A83217"/>
    <w:rsid w:val="00A83607"/>
    <w:rsid w:val="00A84B2B"/>
    <w:rsid w:val="00A860F7"/>
    <w:rsid w:val="00A87B14"/>
    <w:rsid w:val="00A90BB6"/>
    <w:rsid w:val="00A95056"/>
    <w:rsid w:val="00A964F0"/>
    <w:rsid w:val="00A96770"/>
    <w:rsid w:val="00A96AEA"/>
    <w:rsid w:val="00AA1A4E"/>
    <w:rsid w:val="00AA3FDC"/>
    <w:rsid w:val="00AB138D"/>
    <w:rsid w:val="00AB1B53"/>
    <w:rsid w:val="00AB29F0"/>
    <w:rsid w:val="00AB4172"/>
    <w:rsid w:val="00AB62BD"/>
    <w:rsid w:val="00AC151C"/>
    <w:rsid w:val="00AC26F5"/>
    <w:rsid w:val="00AC3046"/>
    <w:rsid w:val="00AC47BE"/>
    <w:rsid w:val="00AC7992"/>
    <w:rsid w:val="00AC7F32"/>
    <w:rsid w:val="00AD07F5"/>
    <w:rsid w:val="00AD549B"/>
    <w:rsid w:val="00AD6032"/>
    <w:rsid w:val="00AD74A5"/>
    <w:rsid w:val="00AE0EDC"/>
    <w:rsid w:val="00AE26D5"/>
    <w:rsid w:val="00AE35AC"/>
    <w:rsid w:val="00AF2DE5"/>
    <w:rsid w:val="00AF7328"/>
    <w:rsid w:val="00AF7C27"/>
    <w:rsid w:val="00B01E96"/>
    <w:rsid w:val="00B0318E"/>
    <w:rsid w:val="00B052AF"/>
    <w:rsid w:val="00B07F04"/>
    <w:rsid w:val="00B119A3"/>
    <w:rsid w:val="00B15800"/>
    <w:rsid w:val="00B2388D"/>
    <w:rsid w:val="00B251C5"/>
    <w:rsid w:val="00B26AB3"/>
    <w:rsid w:val="00B30B52"/>
    <w:rsid w:val="00B3193E"/>
    <w:rsid w:val="00B3311B"/>
    <w:rsid w:val="00B3510C"/>
    <w:rsid w:val="00B44297"/>
    <w:rsid w:val="00B45705"/>
    <w:rsid w:val="00B4791B"/>
    <w:rsid w:val="00B47993"/>
    <w:rsid w:val="00B47E65"/>
    <w:rsid w:val="00B528BB"/>
    <w:rsid w:val="00B52ED2"/>
    <w:rsid w:val="00B55490"/>
    <w:rsid w:val="00B55A31"/>
    <w:rsid w:val="00B614D2"/>
    <w:rsid w:val="00B62D9E"/>
    <w:rsid w:val="00B63E81"/>
    <w:rsid w:val="00B67DE4"/>
    <w:rsid w:val="00B73C22"/>
    <w:rsid w:val="00B85CBE"/>
    <w:rsid w:val="00B871EA"/>
    <w:rsid w:val="00B87F0D"/>
    <w:rsid w:val="00B9058A"/>
    <w:rsid w:val="00B92491"/>
    <w:rsid w:val="00B97091"/>
    <w:rsid w:val="00BA515C"/>
    <w:rsid w:val="00BA79BD"/>
    <w:rsid w:val="00BB3769"/>
    <w:rsid w:val="00BB379C"/>
    <w:rsid w:val="00BC50BB"/>
    <w:rsid w:val="00BD45C1"/>
    <w:rsid w:val="00BD4D37"/>
    <w:rsid w:val="00BD4EE3"/>
    <w:rsid w:val="00BE221C"/>
    <w:rsid w:val="00BE64E8"/>
    <w:rsid w:val="00BE75A7"/>
    <w:rsid w:val="00C0139C"/>
    <w:rsid w:val="00C038BC"/>
    <w:rsid w:val="00C06874"/>
    <w:rsid w:val="00C103D5"/>
    <w:rsid w:val="00C14607"/>
    <w:rsid w:val="00C1592D"/>
    <w:rsid w:val="00C173EF"/>
    <w:rsid w:val="00C20522"/>
    <w:rsid w:val="00C24030"/>
    <w:rsid w:val="00C33A5A"/>
    <w:rsid w:val="00C44475"/>
    <w:rsid w:val="00C524AA"/>
    <w:rsid w:val="00C61451"/>
    <w:rsid w:val="00C61823"/>
    <w:rsid w:val="00C63FD9"/>
    <w:rsid w:val="00C67590"/>
    <w:rsid w:val="00C73D50"/>
    <w:rsid w:val="00C765E7"/>
    <w:rsid w:val="00C901EC"/>
    <w:rsid w:val="00C943E2"/>
    <w:rsid w:val="00C95D96"/>
    <w:rsid w:val="00CA2C27"/>
    <w:rsid w:val="00CA7A8F"/>
    <w:rsid w:val="00CA7C5B"/>
    <w:rsid w:val="00CB2DF6"/>
    <w:rsid w:val="00CB3C73"/>
    <w:rsid w:val="00CC018C"/>
    <w:rsid w:val="00CC4D49"/>
    <w:rsid w:val="00CC50BC"/>
    <w:rsid w:val="00CD38DD"/>
    <w:rsid w:val="00CD4C00"/>
    <w:rsid w:val="00CE100D"/>
    <w:rsid w:val="00CE165C"/>
    <w:rsid w:val="00CE2297"/>
    <w:rsid w:val="00CE2715"/>
    <w:rsid w:val="00CF7F2E"/>
    <w:rsid w:val="00D0150D"/>
    <w:rsid w:val="00D02430"/>
    <w:rsid w:val="00D0302D"/>
    <w:rsid w:val="00D07C8D"/>
    <w:rsid w:val="00D15424"/>
    <w:rsid w:val="00D16BEE"/>
    <w:rsid w:val="00D17C22"/>
    <w:rsid w:val="00D279AB"/>
    <w:rsid w:val="00D31FB2"/>
    <w:rsid w:val="00D32BC5"/>
    <w:rsid w:val="00D35879"/>
    <w:rsid w:val="00D41B90"/>
    <w:rsid w:val="00D434A7"/>
    <w:rsid w:val="00D4418B"/>
    <w:rsid w:val="00D45295"/>
    <w:rsid w:val="00D455D8"/>
    <w:rsid w:val="00D47007"/>
    <w:rsid w:val="00D5326A"/>
    <w:rsid w:val="00D53C80"/>
    <w:rsid w:val="00D57BF5"/>
    <w:rsid w:val="00D67E87"/>
    <w:rsid w:val="00D70EE3"/>
    <w:rsid w:val="00D73D82"/>
    <w:rsid w:val="00D77FF4"/>
    <w:rsid w:val="00D81888"/>
    <w:rsid w:val="00D83767"/>
    <w:rsid w:val="00D90F1A"/>
    <w:rsid w:val="00D916A6"/>
    <w:rsid w:val="00D9223C"/>
    <w:rsid w:val="00D93C42"/>
    <w:rsid w:val="00D94004"/>
    <w:rsid w:val="00D94E88"/>
    <w:rsid w:val="00D96A3E"/>
    <w:rsid w:val="00D9749D"/>
    <w:rsid w:val="00DA3792"/>
    <w:rsid w:val="00DA4F6E"/>
    <w:rsid w:val="00DA5B95"/>
    <w:rsid w:val="00DA69B3"/>
    <w:rsid w:val="00DA6ACF"/>
    <w:rsid w:val="00DA6BB0"/>
    <w:rsid w:val="00DB0A54"/>
    <w:rsid w:val="00DB5034"/>
    <w:rsid w:val="00DB6644"/>
    <w:rsid w:val="00DB6859"/>
    <w:rsid w:val="00DC0528"/>
    <w:rsid w:val="00DC38AC"/>
    <w:rsid w:val="00DC4406"/>
    <w:rsid w:val="00DC5CBA"/>
    <w:rsid w:val="00DC62C2"/>
    <w:rsid w:val="00DC7E41"/>
    <w:rsid w:val="00DD14BE"/>
    <w:rsid w:val="00DD73E3"/>
    <w:rsid w:val="00DE1841"/>
    <w:rsid w:val="00DE569D"/>
    <w:rsid w:val="00DF37FE"/>
    <w:rsid w:val="00DF5EE2"/>
    <w:rsid w:val="00E00A0A"/>
    <w:rsid w:val="00E01872"/>
    <w:rsid w:val="00E04C49"/>
    <w:rsid w:val="00E11921"/>
    <w:rsid w:val="00E1229B"/>
    <w:rsid w:val="00E139B6"/>
    <w:rsid w:val="00E15E4A"/>
    <w:rsid w:val="00E177E3"/>
    <w:rsid w:val="00E21BF1"/>
    <w:rsid w:val="00E30E03"/>
    <w:rsid w:val="00E40C7B"/>
    <w:rsid w:val="00E422FF"/>
    <w:rsid w:val="00E44335"/>
    <w:rsid w:val="00E4477E"/>
    <w:rsid w:val="00E47439"/>
    <w:rsid w:val="00E47BCF"/>
    <w:rsid w:val="00E50D51"/>
    <w:rsid w:val="00E533D1"/>
    <w:rsid w:val="00E57428"/>
    <w:rsid w:val="00E651EF"/>
    <w:rsid w:val="00E7495D"/>
    <w:rsid w:val="00E80EEA"/>
    <w:rsid w:val="00E832AB"/>
    <w:rsid w:val="00E860D5"/>
    <w:rsid w:val="00E92229"/>
    <w:rsid w:val="00E92823"/>
    <w:rsid w:val="00E92910"/>
    <w:rsid w:val="00E934FD"/>
    <w:rsid w:val="00E93D62"/>
    <w:rsid w:val="00E95DB9"/>
    <w:rsid w:val="00E96E19"/>
    <w:rsid w:val="00E9745E"/>
    <w:rsid w:val="00EA0BCC"/>
    <w:rsid w:val="00EA58D9"/>
    <w:rsid w:val="00EA6C53"/>
    <w:rsid w:val="00EB22CA"/>
    <w:rsid w:val="00EC0615"/>
    <w:rsid w:val="00EC44C5"/>
    <w:rsid w:val="00EC6021"/>
    <w:rsid w:val="00ED2A08"/>
    <w:rsid w:val="00ED7F80"/>
    <w:rsid w:val="00EE1853"/>
    <w:rsid w:val="00EE4066"/>
    <w:rsid w:val="00EE48A3"/>
    <w:rsid w:val="00EE7340"/>
    <w:rsid w:val="00EF0924"/>
    <w:rsid w:val="00EF22F7"/>
    <w:rsid w:val="00EF2718"/>
    <w:rsid w:val="00EF2C95"/>
    <w:rsid w:val="00EF368F"/>
    <w:rsid w:val="00F01073"/>
    <w:rsid w:val="00F046EC"/>
    <w:rsid w:val="00F051E7"/>
    <w:rsid w:val="00F0574F"/>
    <w:rsid w:val="00F05A02"/>
    <w:rsid w:val="00F06A02"/>
    <w:rsid w:val="00F079C4"/>
    <w:rsid w:val="00F13BFC"/>
    <w:rsid w:val="00F142A5"/>
    <w:rsid w:val="00F15B60"/>
    <w:rsid w:val="00F20400"/>
    <w:rsid w:val="00F20533"/>
    <w:rsid w:val="00F215AA"/>
    <w:rsid w:val="00F26E20"/>
    <w:rsid w:val="00F35205"/>
    <w:rsid w:val="00F353AE"/>
    <w:rsid w:val="00F35CDC"/>
    <w:rsid w:val="00F378C9"/>
    <w:rsid w:val="00F37A5C"/>
    <w:rsid w:val="00F43508"/>
    <w:rsid w:val="00F440F9"/>
    <w:rsid w:val="00F509D6"/>
    <w:rsid w:val="00F606E6"/>
    <w:rsid w:val="00F60C69"/>
    <w:rsid w:val="00F61B1F"/>
    <w:rsid w:val="00F62316"/>
    <w:rsid w:val="00F63354"/>
    <w:rsid w:val="00F65649"/>
    <w:rsid w:val="00F671C7"/>
    <w:rsid w:val="00F67697"/>
    <w:rsid w:val="00F67C48"/>
    <w:rsid w:val="00F708B7"/>
    <w:rsid w:val="00F710D4"/>
    <w:rsid w:val="00F71D06"/>
    <w:rsid w:val="00F73E16"/>
    <w:rsid w:val="00F75B35"/>
    <w:rsid w:val="00F76FA8"/>
    <w:rsid w:val="00F83399"/>
    <w:rsid w:val="00F8445B"/>
    <w:rsid w:val="00F85CE8"/>
    <w:rsid w:val="00F90F03"/>
    <w:rsid w:val="00F93551"/>
    <w:rsid w:val="00F95C38"/>
    <w:rsid w:val="00F9691E"/>
    <w:rsid w:val="00FA4D19"/>
    <w:rsid w:val="00FA56EF"/>
    <w:rsid w:val="00FB114B"/>
    <w:rsid w:val="00FB21DD"/>
    <w:rsid w:val="00FB3074"/>
    <w:rsid w:val="00FB39B4"/>
    <w:rsid w:val="00FB42B3"/>
    <w:rsid w:val="00FC5026"/>
    <w:rsid w:val="00FC5772"/>
    <w:rsid w:val="00FC5BD8"/>
    <w:rsid w:val="00FC5CC0"/>
    <w:rsid w:val="00FC767C"/>
    <w:rsid w:val="00FC7703"/>
    <w:rsid w:val="00FD344B"/>
    <w:rsid w:val="00FD47E6"/>
    <w:rsid w:val="00FD4CF3"/>
    <w:rsid w:val="00FE0654"/>
    <w:rsid w:val="00FE5E45"/>
    <w:rsid w:val="00FE74B3"/>
    <w:rsid w:val="00FF27B3"/>
    <w:rsid w:val="00FF3DE9"/>
    <w:rsid w:val="00FF6B70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1223864-4630-480B-B1D0-14AAAEA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List Paragraph,Normalny PDST,lp1,Preambuła,HŁ_Bullet1,Akapit z listą BS,Akapit z listą1,List Paragraph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,Akapit z listą BS Znak,Akapit z listą1 Znak,List Paragraph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CA7A8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2BE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4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42041-EEB5-4119-A919-7964EDCC78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40EEF8-46D4-4692-9ED4-6D9F9D02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4686</Words>
  <Characters>28119</Characters>
  <Application>Microsoft Office Word</Application>
  <DocSecurity>4</DocSecurity>
  <Lines>234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32740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creator>Szymanek Violetta</dc:creator>
  <cp:lastModifiedBy>Romańczyk Anna</cp:lastModifiedBy>
  <cp:revision>2</cp:revision>
  <cp:lastPrinted>2018-10-05T12:43:00Z</cp:lastPrinted>
  <dcterms:created xsi:type="dcterms:W3CDTF">2018-12-18T11:13:00Z</dcterms:created>
  <dcterms:modified xsi:type="dcterms:W3CDTF">2018-12-18T11:13:00Z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