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4340" w:right="0" w:firstLine="0"/>
        <w:jc w:val="left"/>
      </w:pPr>
      <w:r>
        <w:rPr>
          <w:rStyle w:val="CharStyle3"/>
        </w:rPr>
        <w:t>Czerwionka-Leszczyny, 5 lutego 2026r.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Adresat: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Rzecznik Praw Obywatelskich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left"/>
      </w:pPr>
      <w:r>
        <w:rPr>
          <w:rStyle w:val="CharStyle3"/>
        </w:rPr>
        <w:t>Prezes Urzędu Ochrony Danych Osobowych Ministerstwo Klimatu i Środowiska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rStyle w:val="CharStyle5"/>
          <w:b/>
          <w:bCs/>
        </w:rPr>
        <w:t>Petycja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rStyle w:val="CharStyle3"/>
          <w:u w:val="single"/>
        </w:rPr>
        <w:t>Wnoszący petycję</w:t>
      </w:r>
      <w:r>
        <w:rPr>
          <w:rStyle w:val="CharStyle3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3"/>
        </w:rPr>
        <w:t>reprezentujący: własny interes / interes publiczny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3"/>
          <w:u w:val="single"/>
        </w:rPr>
        <w:t>Podstawa prawna</w:t>
      </w:r>
      <w:r>
        <w:rPr>
          <w:rStyle w:val="CharStyle3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3"/>
        </w:rPr>
        <w:t>Działając na podstawie art. 2 ust. 1 ustawy z dnia 11 lipca 2014 r. o petycjach, wnoszę petycję o podjęcie inicjatywy legislacyjnej zmierzającej do rozwiązania systemowych problemów w egzekwowaniu obowiązku selektywnej zbiórki odpadów komunalnych w zabudowie wielolokalowej, w kontekście ograniczeń wynikających z prawa do prywatności i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Z obowiązujących przepisów wynika, że: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obowiązek prawidłowej segregacji odpadów spoczywa na mieszkańcach i wynika wprost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z ustawy o utrzymaniu czystości i porządku w gminach;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gmina odpowiada za organizację systemu gospodarki odpadami, w tym osiąganie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wymaganych poziomów recyklingu i ponownego użycia;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gminy ponoszą konsekwencje finansowe w przypadku nieosiągnięcia wymaganych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poziomów recyklingu;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wyrok Naczelnego Sądu Administracyjnego z dnia 14 stycznia 2026 r., sygn. akt III OSK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147/23, wskazał, że stosowanie monitoringu w altanach i wiatach śmietnikowych w celu identyfikacji osób nieprawidłowo segregujących odpady może naruszać przepisy RODO oraz prawo do prywatności, jeśli nie spełnione są przesłanki niezbędności i proporcjonalności.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W praktyce wyrok ten oznacza, że gminy i zarządcy nieruchomości: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nie dysponują obecnie skutecznymi narzędziami pozwalającymi na indywidualizację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odpowiedzialności mieszkańców za naruszenia obowiązku segregacji;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zmuszeni są do stosowania odpowiedzialności zbiorowej, co wywołuje sprzeciw społeczny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i poczucie niesprawiedliwości;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ryzykują nieosiągnięcie ustawowych poziomów recyklingu, mimo prowadzenia działań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rStyle w:val="CharStyle3"/>
        </w:rPr>
        <w:t>edukacyjnych i organizacyjnych.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  <w:u w:val="single"/>
        </w:rPr>
        <w:t>Treść petycji - problemy praktyczne jednostek samorządu terytorialnego</w:t>
      </w:r>
      <w:r>
        <w:rPr>
          <w:rStyle w:val="CharStyle3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W kontekście powyższego należy zwrócić uwagę, że problem nieprawidłowej segregacji ma wymiar systemowy i ogólnokrajowy: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Wielkość i struktura odpadów: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9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według danych GUS, przeciętny mieszkaniec Polski wytwarza rocznie ok. 376 kg odpadów komunalnych, z czego większość trafia do odpadów zmieszanych (GUS, 2024);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9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rosnąca ilość odpadów generuje dodatkową presję na systemy selektywnej zbiórki.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Niska jakość segregacji: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9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analizy Instytutu Spraw Publicznych wskazują, że tylko ok. 44 % odpadów jest segregowanych prawidłowo, przy czym najgorzej sytuacja wygląda w zabudowie wielolokalowej;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9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problem dotyczy głównie frakcji zmieszanych, co ogranicza efektywność systemu recyklingu.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Konsekwencje dla państwa i gmin: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99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Najwyższa Izba Kontroli alarmuje, że obecny system może nie pozwolić na osiągnięcie wymaganych unijnych poziomów recyklingu (55 % w 2025 r., 60 % w 2030 r.), co wiąże się z potencjalnymi konsekwencjami finansowymi i prawnymi dla państwa i gmin;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95" w:val="left"/>
        </w:tabs>
        <w:bidi w:val="0"/>
        <w:spacing w:before="0" w:after="600" w:line="276" w:lineRule="auto"/>
        <w:ind w:left="0" w:right="0" w:firstLine="0"/>
        <w:jc w:val="both"/>
      </w:pPr>
      <w:r>
        <w:rPr>
          <w:rStyle w:val="CharStyle3"/>
        </w:rPr>
        <w:t>brak skutecznych narzędzi nadzoru ogranicza zdolność gmin do wywiązania się z ustawowych obowiązków.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3"/>
          <w:b/>
          <w:bCs/>
        </w:rPr>
        <w:t>Postulowane kierunki zmian legislacyjnych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3"/>
        </w:rPr>
        <w:t>W związku z przedstawionymi problemami systemowymi wnoszę o podjęcie działań legislacyjnych zmierzających do stworzenia spójnych i proporcjonalnych instrumentów prawnych, które umożliwią skuteczne egzekwowanie obowiązku selektywnej zbiórki odpadów komunalnych w zabudowie wielolokalowej, przy jednoczesnym poszanowaniu prawa do prywatności i ochrony danych osobowych.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W szczególności zasadne wydaje się uzupełnienie ustawy o utrzymaniu czystości i porządku w gminach o przepisy szczególne (lex specialis) wobec ogólnych regulacji RODO, które jednoznacznie określą dopuszczalne podstawy i warunki przetwarzania danych osobowych w celu realizacji ustawowych obowiązków gminy w zakresie gospodarki odpadami. Przepisy te powinny jasno przesądzać, że przetwarzanie danych odbywa się w interesie publicznym, z zachowaniem zasad niezbędności, proporcjonalności i minimalizacji danych.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Rozważenia wymaga wprowadzenie możliwości stosowania czasowego i incydentalnego monitoringu wizyjnego miejsc gromadzenia odpadów komunalnych wyłącznie w sytuacjach, gdy występują powtarzające się i udokumentowane naruszenia zasad selektywnej zbiórki, a wcześniejsze środki organizacyjne i edukacyjne okazały się nieskuteczne. Monitoring ten nie powinien mieć charakteru stałego ani powszechnego, lecz stanowić środek ostateczny, stosowany wyłącznie w zakresie niezbędnym do przywrócenia prawidłowego funkcjonowania systemu.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Ewentualne rozwiązania prawne powinny wprowadzać jednoznaczne gwarancje ochrony prywatności, w szczególności poprzez ograniczenie monitoringu wyłącznie do przestrzeni przeznaczonej do gromadzenia odpadów, wyłączenie rejestracji dźwięku oraz stosowania narzędzi biometrycznych, ścisłe określenie maksymalnego czasu prowadzenia monitoringu oraz krótkich okresów przechowywania nagrań, z możliwością ich wykorzystania wyłącznie w przypadkach uzasadnionych przepisami prawa.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3"/>
        </w:rPr>
        <w:t>Konieczne jest również jednoznaczne uregulowanie zasad dostępu do nagrań oraz ich wykorzystania, poprzez ograniczenie dostępu do upoważnionych podmiotów oraz możliwość przekazania materiałów wyłącznie właściwym organom w przypadku podejrzenia wykroczenia lub przestępstwa, przy jednoczesnym zapewnieniu mechanizmów kontroli i rozliczalności przetwarzania danych.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Projektowane regulacje powinny w sposób wyraźny uwzględniać specyfikę zabudowy wielolokalowej, w której brak indywidualnych punktów gromadzenia odpadów uniemożliwia skuteczną indywidualizację odpowiedzialności, co w obecnym stanie prawnym prowadzi do stosowania odpowiedzialności zbiorowej i podważa społeczne poczucie sprawiedliwości.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Celem postulowanych zmian powinno być wyważenie konstytucyjnie chronionych wartości, w szczególności prawa do prywatności i ochrony danych osobowych (art. 47 Konstytucji RP) z obowiązkiem ochrony środowiska (art. 74 Konstytucji RP) oraz zasadą sprawiedliwości społecznej, tak aby obowiązek selektywnej zbiórki odpadów mógł być skutecznie egzekwowany w sposób zgodny z prawem i akceptowalny społecznie.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3"/>
        </w:rPr>
        <w:t>Jako mieszkaniec i radny miejski deklaruję gotowość do udziału w dialogu oraz pracach nad rozwiązaniami, które pozwolą pogodzić ochronę prywatności mieszkańców z realną skutecznością systemu gospodarki odpadami. Potwierdzam oczywiście, że ochrona prawo do prywatności i danych osobowych jest wartością fundamentalną. Jednocześnie wymaga ona wyważenia z innymi konstytucyjnie chronionymi wartościami, w tym ochroną środowiska, zasadą sprawiedliwości społecznej oraz możliwością skutecznego wykonywania ustawowych obowiązków przez gminy.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 wyrazami szacunku,</w:t>
      </w:r>
    </w:p>
    <w:sectPr>
      <w:footnotePr>
        <w:pos w:val="pageBottom"/>
        <w:numFmt w:val="decimal"/>
        <w:numRestart w:val="continuous"/>
      </w:footnotePr>
      <w:pgSz w:w="12240" w:h="15840"/>
      <w:pgMar w:top="1440" w:right="1774" w:bottom="1494" w:left="1769" w:header="1012" w:footer="106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300" w:line="271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spacing w:after="320"/>
      <w:ind w:left="434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python-docx</dc:creator>
  <cp:keywords/>
</cp:coreProperties>
</file>