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00E6" w14:textId="1969B48F" w:rsidR="00D71BD3" w:rsidRDefault="00D71BD3" w:rsidP="00D71BD3">
      <w:pPr>
        <w:pStyle w:val="Tytu"/>
        <w:spacing w:before="160" w:after="40"/>
        <w:rPr>
          <w:lang w:val="pl-PL"/>
        </w:rPr>
      </w:pPr>
      <w:r>
        <w:rPr>
          <w:lang w:val="pl-PL"/>
        </w:rPr>
        <w:t>OPZ</w:t>
      </w:r>
    </w:p>
    <w:p w14:paraId="3B4F67B9" w14:textId="77777777" w:rsidR="00D71BD3" w:rsidRDefault="00D71BD3" w:rsidP="00D71BD3">
      <w:pPr>
        <w:pStyle w:val="Podtytu"/>
        <w:spacing w:after="160"/>
        <w:rPr>
          <w:lang w:val="pl-PL"/>
        </w:rPr>
      </w:pPr>
      <w:r>
        <w:rPr>
          <w:lang w:val="pl-PL"/>
        </w:rPr>
        <w:t xml:space="preserve">Opis przedmiotu zamówienia na szkolenie z pomocy publicznej i pomocy de </w:t>
      </w:r>
      <w:proofErr w:type="spellStart"/>
      <w:r>
        <w:rPr>
          <w:lang w:val="pl-PL"/>
        </w:rPr>
        <w:t>minimis</w:t>
      </w:r>
      <w:proofErr w:type="spellEnd"/>
      <w:r>
        <w:rPr>
          <w:lang w:val="pl-PL"/>
        </w:rPr>
        <w:t xml:space="preserve"> dla Departamentu Innowacyjności i Polityki Kosmicznej MRiT</w:t>
      </w:r>
    </w:p>
    <w:p w14:paraId="704AFAD2" w14:textId="77777777" w:rsidR="00D71BD3" w:rsidRDefault="00D71BD3" w:rsidP="00D71BD3">
      <w:pPr>
        <w:pStyle w:val="Nagwek1"/>
        <w:spacing w:before="160" w:after="80"/>
        <w:rPr>
          <w:lang w:val="pl-PL"/>
        </w:rPr>
      </w:pPr>
      <w:r>
        <w:rPr>
          <w:lang w:val="pl-PL"/>
        </w:rPr>
        <w:t>1. Przedmiot zamówienia</w:t>
      </w:r>
    </w:p>
    <w:p w14:paraId="07854999" w14:textId="77777777" w:rsidR="00D71BD3" w:rsidRDefault="00D71BD3" w:rsidP="00D71BD3">
      <w:pPr>
        <w:spacing w:after="80" w:line="269" w:lineRule="auto"/>
        <w:rPr>
          <w:lang w:val="pl-PL"/>
        </w:rPr>
      </w:pPr>
      <w:r>
        <w:rPr>
          <w:lang w:val="pl-PL"/>
        </w:rPr>
        <w:t xml:space="preserve">Przedmiotem zamówienia jest przygotowanie i przeprowadzenie dwóch edycji specjalistycznego szkolenia stacjonarnego z zakresu pomocy publicznej i pomocy de </w:t>
      </w:r>
      <w:proofErr w:type="spellStart"/>
      <w:r>
        <w:rPr>
          <w:lang w:val="pl-PL"/>
        </w:rPr>
        <w:t>minimis</w:t>
      </w:r>
      <w:proofErr w:type="spellEnd"/>
      <w:r>
        <w:rPr>
          <w:lang w:val="pl-PL"/>
        </w:rPr>
        <w:t xml:space="preserve"> dla pracowników Departamentu Innowacyjności i Polityki Kosmicznej MRiT, wraz z opracowaniem materiałów szkoleniowych oraz </w:t>
      </w:r>
      <w:proofErr w:type="spellStart"/>
      <w:r>
        <w:rPr>
          <w:lang w:val="pl-PL"/>
        </w:rPr>
        <w:t>case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studies</w:t>
      </w:r>
      <w:proofErr w:type="spellEnd"/>
      <w:r>
        <w:rPr>
          <w:lang w:val="pl-PL"/>
        </w:rPr>
        <w:t xml:space="preserve"> dostosowanych do praktyki Departamentu.</w:t>
      </w:r>
    </w:p>
    <w:p w14:paraId="1F651713" w14:textId="77777777" w:rsidR="00D71BD3" w:rsidRDefault="00D71BD3" w:rsidP="00D71BD3">
      <w:pPr>
        <w:spacing w:after="80" w:line="269" w:lineRule="auto"/>
        <w:rPr>
          <w:lang w:val="pl-PL"/>
        </w:rPr>
      </w:pPr>
    </w:p>
    <w:tbl>
      <w:tblPr>
        <w:tblStyle w:val="Tabela-Siatka"/>
        <w:tblW w:w="0" w:type="auto"/>
        <w:jc w:val="center"/>
        <w:tblBorders>
          <w:top w:val="single" w:sz="8" w:space="0" w:color="C7D2E2"/>
          <w:left w:val="single" w:sz="8" w:space="0" w:color="C7D2E2"/>
          <w:bottom w:val="single" w:sz="8" w:space="0" w:color="C7D2E2"/>
          <w:right w:val="single" w:sz="8" w:space="0" w:color="C7D2E2"/>
          <w:insideH w:val="single" w:sz="8" w:space="0" w:color="C7D2E2"/>
          <w:insideV w:val="single" w:sz="8" w:space="0" w:color="C7D2E2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6576"/>
      </w:tblGrid>
      <w:tr w:rsidR="00D71BD3" w:rsidRPr="00A13FB6" w14:paraId="77A10956" w14:textId="77777777" w:rsidTr="00FC1D31">
        <w:trPr>
          <w:jc w:val="center"/>
        </w:trPr>
        <w:tc>
          <w:tcPr>
            <w:tcW w:w="2381" w:type="dxa"/>
            <w:shd w:val="clear" w:color="auto" w:fill="F4F6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432F8FD" w14:textId="77777777" w:rsidR="00D71BD3" w:rsidRDefault="00D71BD3" w:rsidP="00FC1D31">
            <w:pPr>
              <w:spacing w:line="259" w:lineRule="auto"/>
            </w:pPr>
            <w:proofErr w:type="spellStart"/>
            <w:r>
              <w:rPr>
                <w:b/>
                <w:color w:val="00397A"/>
                <w:sz w:val="19"/>
              </w:rPr>
              <w:t>Liczba</w:t>
            </w:r>
            <w:proofErr w:type="spellEnd"/>
            <w:r>
              <w:rPr>
                <w:b/>
                <w:color w:val="00397A"/>
                <w:sz w:val="19"/>
              </w:rPr>
              <w:t xml:space="preserve"> </w:t>
            </w:r>
            <w:proofErr w:type="spellStart"/>
            <w:r>
              <w:rPr>
                <w:b/>
                <w:color w:val="00397A"/>
                <w:sz w:val="19"/>
              </w:rPr>
              <w:t>edycji</w:t>
            </w:r>
            <w:proofErr w:type="spellEnd"/>
          </w:p>
        </w:tc>
        <w:tc>
          <w:tcPr>
            <w:tcW w:w="657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286C785" w14:textId="77777777" w:rsidR="00D71BD3" w:rsidRDefault="00D71BD3" w:rsidP="00FC1D31">
            <w:pPr>
              <w:spacing w:line="259" w:lineRule="auto"/>
              <w:rPr>
                <w:lang w:val="pl-PL"/>
              </w:rPr>
            </w:pPr>
            <w:r>
              <w:rPr>
                <w:sz w:val="19"/>
                <w:lang w:val="pl-PL"/>
              </w:rPr>
              <w:t>2 merytorycznie identyczne dwudniowe edycje szkolenia</w:t>
            </w:r>
          </w:p>
        </w:tc>
      </w:tr>
      <w:tr w:rsidR="00D71BD3" w:rsidRPr="00A13FB6" w14:paraId="7D37B0C3" w14:textId="77777777" w:rsidTr="00FC1D31">
        <w:trPr>
          <w:jc w:val="center"/>
        </w:trPr>
        <w:tc>
          <w:tcPr>
            <w:tcW w:w="2381" w:type="dxa"/>
            <w:shd w:val="clear" w:color="auto" w:fill="F4F6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7F02824" w14:textId="77777777" w:rsidR="00D71BD3" w:rsidRDefault="00D71BD3" w:rsidP="00FC1D31">
            <w:pPr>
              <w:spacing w:line="259" w:lineRule="auto"/>
            </w:pPr>
            <w:proofErr w:type="spellStart"/>
            <w:r>
              <w:rPr>
                <w:b/>
                <w:color w:val="00397A"/>
                <w:sz w:val="19"/>
              </w:rPr>
              <w:t>Liczba</w:t>
            </w:r>
            <w:proofErr w:type="spellEnd"/>
            <w:r>
              <w:rPr>
                <w:b/>
                <w:color w:val="00397A"/>
                <w:sz w:val="19"/>
              </w:rPr>
              <w:t xml:space="preserve"> </w:t>
            </w:r>
            <w:proofErr w:type="spellStart"/>
            <w:r>
              <w:rPr>
                <w:b/>
                <w:color w:val="00397A"/>
                <w:sz w:val="19"/>
              </w:rPr>
              <w:t>uczestników</w:t>
            </w:r>
            <w:proofErr w:type="spellEnd"/>
          </w:p>
        </w:tc>
        <w:tc>
          <w:tcPr>
            <w:tcW w:w="657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340EFAD" w14:textId="4BA2C23F" w:rsidR="00D71BD3" w:rsidRDefault="0021528C" w:rsidP="00FC1D31">
            <w:pPr>
              <w:spacing w:line="259" w:lineRule="auto"/>
              <w:rPr>
                <w:lang w:val="pl-PL"/>
              </w:rPr>
            </w:pPr>
            <w:r>
              <w:rPr>
                <w:sz w:val="19"/>
                <w:lang w:val="pl-PL"/>
              </w:rPr>
              <w:t>maksymalnie</w:t>
            </w:r>
            <w:r w:rsidR="00D71BD3">
              <w:rPr>
                <w:sz w:val="19"/>
                <w:lang w:val="pl-PL"/>
              </w:rPr>
              <w:t xml:space="preserve"> </w:t>
            </w:r>
            <w:r>
              <w:rPr>
                <w:sz w:val="19"/>
                <w:lang w:val="pl-PL"/>
              </w:rPr>
              <w:t>48</w:t>
            </w:r>
            <w:r w:rsidR="00D71BD3">
              <w:rPr>
                <w:sz w:val="19"/>
                <w:lang w:val="pl-PL"/>
              </w:rPr>
              <w:t xml:space="preserve"> osób łącznie, maksymalnie 2</w:t>
            </w:r>
            <w:r>
              <w:rPr>
                <w:sz w:val="19"/>
                <w:lang w:val="pl-PL"/>
              </w:rPr>
              <w:t>4</w:t>
            </w:r>
            <w:r w:rsidR="00D71BD3">
              <w:rPr>
                <w:sz w:val="19"/>
                <w:lang w:val="pl-PL"/>
              </w:rPr>
              <w:t xml:space="preserve"> osób na jedną edycję</w:t>
            </w:r>
          </w:p>
        </w:tc>
      </w:tr>
      <w:tr w:rsidR="00D71BD3" w:rsidRPr="00A13FB6" w14:paraId="1C3AFA3C" w14:textId="77777777" w:rsidTr="00FC1D31">
        <w:trPr>
          <w:jc w:val="center"/>
        </w:trPr>
        <w:tc>
          <w:tcPr>
            <w:tcW w:w="2381" w:type="dxa"/>
            <w:shd w:val="clear" w:color="auto" w:fill="F4F6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C851EC7" w14:textId="77777777" w:rsidR="00D71BD3" w:rsidRDefault="00D71BD3" w:rsidP="00FC1D31">
            <w:pPr>
              <w:spacing w:line="259" w:lineRule="auto"/>
            </w:pPr>
            <w:r>
              <w:rPr>
                <w:b/>
                <w:color w:val="00397A"/>
                <w:sz w:val="19"/>
              </w:rPr>
              <w:t>Forma</w:t>
            </w:r>
          </w:p>
        </w:tc>
        <w:tc>
          <w:tcPr>
            <w:tcW w:w="657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9FA8E88" w14:textId="77777777" w:rsidR="00D71BD3" w:rsidRDefault="00D71BD3" w:rsidP="00FC1D31">
            <w:pPr>
              <w:spacing w:line="259" w:lineRule="auto"/>
              <w:rPr>
                <w:lang w:val="pl-PL"/>
              </w:rPr>
            </w:pPr>
            <w:r>
              <w:rPr>
                <w:sz w:val="19"/>
                <w:lang w:val="pl-PL"/>
              </w:rPr>
              <w:t>stacjonarna, szkolenie w siedzibie MRiT</w:t>
            </w:r>
          </w:p>
        </w:tc>
      </w:tr>
      <w:tr w:rsidR="00D71BD3" w:rsidRPr="00A13FB6" w14:paraId="2A55BC87" w14:textId="77777777" w:rsidTr="00FC1D31">
        <w:trPr>
          <w:jc w:val="center"/>
        </w:trPr>
        <w:tc>
          <w:tcPr>
            <w:tcW w:w="2381" w:type="dxa"/>
            <w:shd w:val="clear" w:color="auto" w:fill="F4F6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D9E88F8" w14:textId="77777777" w:rsidR="00D71BD3" w:rsidRDefault="00D71BD3" w:rsidP="00FC1D31">
            <w:pPr>
              <w:spacing w:line="259" w:lineRule="auto"/>
            </w:pPr>
            <w:r>
              <w:rPr>
                <w:b/>
                <w:color w:val="00397A"/>
                <w:sz w:val="19"/>
              </w:rPr>
              <w:t>Termin</w:t>
            </w:r>
          </w:p>
        </w:tc>
        <w:tc>
          <w:tcPr>
            <w:tcW w:w="657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5F95C45" w14:textId="77777777" w:rsidR="00D71BD3" w:rsidRPr="00F112FD" w:rsidRDefault="00D71BD3" w:rsidP="00FC1D31">
            <w:pPr>
              <w:spacing w:line="259" w:lineRule="auto"/>
              <w:rPr>
                <w:lang w:val="pl-PL"/>
              </w:rPr>
            </w:pPr>
            <w:r w:rsidRPr="00F112FD">
              <w:rPr>
                <w:sz w:val="19"/>
                <w:lang w:val="pl-PL"/>
              </w:rPr>
              <w:t>realizacja obu edycji najpóźniej do 15 czerwca 2026 r., preferowane terminy z buforem przed sezonem urlopowym</w:t>
            </w:r>
          </w:p>
        </w:tc>
      </w:tr>
      <w:tr w:rsidR="00D71BD3" w:rsidRPr="00A13FB6" w14:paraId="2F72C1B3" w14:textId="77777777" w:rsidTr="00FC1D31">
        <w:trPr>
          <w:jc w:val="center"/>
        </w:trPr>
        <w:tc>
          <w:tcPr>
            <w:tcW w:w="2381" w:type="dxa"/>
            <w:shd w:val="clear" w:color="auto" w:fill="F4F6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62E4B61" w14:textId="77777777" w:rsidR="00D71BD3" w:rsidRDefault="00D71BD3" w:rsidP="00FC1D31">
            <w:pPr>
              <w:spacing w:line="259" w:lineRule="auto"/>
            </w:pPr>
            <w:proofErr w:type="spellStart"/>
            <w:r>
              <w:rPr>
                <w:b/>
                <w:color w:val="00397A"/>
                <w:sz w:val="19"/>
              </w:rPr>
              <w:t>Czas</w:t>
            </w:r>
            <w:proofErr w:type="spellEnd"/>
            <w:r>
              <w:rPr>
                <w:b/>
                <w:color w:val="00397A"/>
                <w:sz w:val="19"/>
              </w:rPr>
              <w:t xml:space="preserve"> </w:t>
            </w:r>
            <w:proofErr w:type="spellStart"/>
            <w:r>
              <w:rPr>
                <w:b/>
                <w:color w:val="00397A"/>
                <w:sz w:val="19"/>
              </w:rPr>
              <w:t>trwania</w:t>
            </w:r>
            <w:proofErr w:type="spellEnd"/>
          </w:p>
        </w:tc>
        <w:tc>
          <w:tcPr>
            <w:tcW w:w="657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90E94E4" w14:textId="77777777" w:rsidR="00D71BD3" w:rsidRDefault="00D71BD3" w:rsidP="00FC1D31">
            <w:pPr>
              <w:spacing w:line="259" w:lineRule="auto"/>
              <w:rPr>
                <w:lang w:val="pl-PL"/>
              </w:rPr>
            </w:pPr>
            <w:r>
              <w:rPr>
                <w:sz w:val="19"/>
                <w:lang w:val="pl-PL"/>
              </w:rPr>
              <w:t>minimum 8 godzin dydaktycznych na każdą edycję, plus przerwy (5 godzin dydaktycznych pierwszego dnia szkolenia oraz 3 godziny dydaktyczne drugiego dnia szkolenia, zorganizowanego w odstępie około tygodnia po pierwszym)</w:t>
            </w:r>
          </w:p>
        </w:tc>
      </w:tr>
      <w:tr w:rsidR="00D71BD3" w14:paraId="26689C16" w14:textId="77777777" w:rsidTr="00FC1D31">
        <w:trPr>
          <w:jc w:val="center"/>
        </w:trPr>
        <w:tc>
          <w:tcPr>
            <w:tcW w:w="2381" w:type="dxa"/>
            <w:shd w:val="clear" w:color="auto" w:fill="F4F6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07DC5D2" w14:textId="77777777" w:rsidR="00D71BD3" w:rsidRDefault="00D71BD3" w:rsidP="00FC1D31">
            <w:pPr>
              <w:spacing w:line="259" w:lineRule="auto"/>
            </w:pPr>
            <w:proofErr w:type="spellStart"/>
            <w:r>
              <w:rPr>
                <w:b/>
                <w:color w:val="00397A"/>
                <w:sz w:val="19"/>
              </w:rPr>
              <w:t>Język</w:t>
            </w:r>
            <w:proofErr w:type="spellEnd"/>
          </w:p>
        </w:tc>
        <w:tc>
          <w:tcPr>
            <w:tcW w:w="657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41AE24E" w14:textId="77777777" w:rsidR="00D71BD3" w:rsidRDefault="00D71BD3" w:rsidP="00FC1D31">
            <w:pPr>
              <w:spacing w:line="259" w:lineRule="auto"/>
            </w:pPr>
            <w:proofErr w:type="spellStart"/>
            <w:r>
              <w:rPr>
                <w:sz w:val="19"/>
              </w:rPr>
              <w:t>polski</w:t>
            </w:r>
            <w:proofErr w:type="spellEnd"/>
          </w:p>
        </w:tc>
      </w:tr>
      <w:tr w:rsidR="00D71BD3" w:rsidRPr="00A13FB6" w14:paraId="5F60C294" w14:textId="77777777" w:rsidTr="00FC1D31">
        <w:trPr>
          <w:jc w:val="center"/>
        </w:trPr>
        <w:tc>
          <w:tcPr>
            <w:tcW w:w="2381" w:type="dxa"/>
            <w:shd w:val="clear" w:color="auto" w:fill="F4F6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638B1FD" w14:textId="77777777" w:rsidR="00D71BD3" w:rsidRDefault="00D71BD3" w:rsidP="00FC1D31">
            <w:pPr>
              <w:spacing w:line="259" w:lineRule="auto"/>
            </w:pPr>
            <w:proofErr w:type="spellStart"/>
            <w:r>
              <w:rPr>
                <w:b/>
                <w:color w:val="00397A"/>
                <w:sz w:val="19"/>
              </w:rPr>
              <w:t>Produkty</w:t>
            </w:r>
            <w:proofErr w:type="spellEnd"/>
            <w:r>
              <w:rPr>
                <w:b/>
                <w:color w:val="00397A"/>
                <w:sz w:val="19"/>
              </w:rPr>
              <w:t xml:space="preserve"> </w:t>
            </w:r>
            <w:proofErr w:type="spellStart"/>
            <w:r>
              <w:rPr>
                <w:b/>
                <w:color w:val="00397A"/>
                <w:sz w:val="19"/>
              </w:rPr>
              <w:t>wykonawcy</w:t>
            </w:r>
            <w:proofErr w:type="spellEnd"/>
          </w:p>
        </w:tc>
        <w:tc>
          <w:tcPr>
            <w:tcW w:w="657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8110104" w14:textId="77777777" w:rsidR="00D71BD3" w:rsidRPr="00F112FD" w:rsidRDefault="00D71BD3" w:rsidP="00FC1D31">
            <w:pPr>
              <w:spacing w:line="259" w:lineRule="auto"/>
              <w:rPr>
                <w:lang w:val="pl-PL"/>
              </w:rPr>
            </w:pPr>
            <w:r w:rsidRPr="00F112FD">
              <w:rPr>
                <w:sz w:val="19"/>
                <w:lang w:val="pl-PL"/>
              </w:rPr>
              <w:t xml:space="preserve">program szczegółowy, prezentacja, materiały dla uczestników (w tym 10 fizycznych egzemplarzy monografii z zakresu pomocy publicznej, wskazanej przez wykonawcę i zaakceptowanej przez zamawiającego), co najmniej 5 </w:t>
            </w:r>
            <w:proofErr w:type="spellStart"/>
            <w:r w:rsidRPr="00F112FD">
              <w:rPr>
                <w:sz w:val="19"/>
                <w:lang w:val="pl-PL"/>
              </w:rPr>
              <w:t>case</w:t>
            </w:r>
            <w:proofErr w:type="spellEnd"/>
            <w:r w:rsidRPr="00F112FD">
              <w:rPr>
                <w:sz w:val="19"/>
                <w:lang w:val="pl-PL"/>
              </w:rPr>
              <w:t xml:space="preserve"> </w:t>
            </w:r>
            <w:proofErr w:type="spellStart"/>
            <w:r w:rsidRPr="00F112FD">
              <w:rPr>
                <w:sz w:val="19"/>
                <w:lang w:val="pl-PL"/>
              </w:rPr>
              <w:t>studies</w:t>
            </w:r>
            <w:proofErr w:type="spellEnd"/>
            <w:r w:rsidRPr="00F112FD">
              <w:rPr>
                <w:sz w:val="19"/>
                <w:lang w:val="pl-PL"/>
              </w:rPr>
              <w:t xml:space="preserve">, krótka </w:t>
            </w:r>
            <w:proofErr w:type="spellStart"/>
            <w:r w:rsidRPr="00F112FD">
              <w:rPr>
                <w:sz w:val="19"/>
                <w:lang w:val="pl-PL"/>
              </w:rPr>
              <w:t>checklista</w:t>
            </w:r>
            <w:proofErr w:type="spellEnd"/>
            <w:r w:rsidRPr="00F112FD">
              <w:rPr>
                <w:sz w:val="19"/>
                <w:lang w:val="pl-PL"/>
              </w:rPr>
              <w:t xml:space="preserve"> poszkoleniowa, ankieta ewaluacyjna, wsparcie Q&amp;A</w:t>
            </w:r>
          </w:p>
        </w:tc>
      </w:tr>
    </w:tbl>
    <w:p w14:paraId="1E159696" w14:textId="77777777" w:rsidR="00D71BD3" w:rsidRDefault="00D71BD3" w:rsidP="00D71BD3">
      <w:pPr>
        <w:rPr>
          <w:lang w:val="pl-PL"/>
        </w:rPr>
      </w:pPr>
    </w:p>
    <w:p w14:paraId="3D3EC4C5" w14:textId="77777777" w:rsidR="00D71BD3" w:rsidRDefault="00D71BD3" w:rsidP="00D71BD3">
      <w:pPr>
        <w:pStyle w:val="Nagwek1"/>
        <w:spacing w:before="160" w:after="80"/>
        <w:rPr>
          <w:lang w:val="pl-PL"/>
        </w:rPr>
      </w:pPr>
      <w:r>
        <w:rPr>
          <w:lang w:val="pl-PL"/>
        </w:rPr>
        <w:t>2. Cel szkolenia</w:t>
      </w:r>
    </w:p>
    <w:p w14:paraId="2C0F8FF6" w14:textId="77777777" w:rsidR="00D71BD3" w:rsidRDefault="00D71BD3" w:rsidP="00D71BD3">
      <w:pPr>
        <w:spacing w:after="80" w:line="269" w:lineRule="auto"/>
        <w:rPr>
          <w:lang w:val="pl-PL"/>
        </w:rPr>
      </w:pPr>
      <w:r w:rsidRPr="00F112FD">
        <w:rPr>
          <w:lang w:val="pl-PL"/>
        </w:rPr>
        <w:t xml:space="preserve">Celem szkolenia jest ujednolicenie i podniesienie kompetencji pracowników Departamentu w zakresie rozpoznawania pomocy publicznej, prawidłowego stosowania pomocy de </w:t>
      </w:r>
      <w:proofErr w:type="spellStart"/>
      <w:r w:rsidRPr="00F112FD">
        <w:rPr>
          <w:lang w:val="pl-PL"/>
        </w:rPr>
        <w:t>minimis</w:t>
      </w:r>
      <w:proofErr w:type="spellEnd"/>
      <w:r w:rsidRPr="00F112FD">
        <w:rPr>
          <w:lang w:val="pl-PL"/>
        </w:rPr>
        <w:t xml:space="preserve">, kwalifikowania przypadków granicznych, tj. sytuacji, w których nie jest oczywiste, czy wsparcie stanowi pomoc publiczną, pomoc de </w:t>
      </w:r>
      <w:proofErr w:type="spellStart"/>
      <w:r w:rsidRPr="00F112FD">
        <w:rPr>
          <w:lang w:val="pl-PL"/>
        </w:rPr>
        <w:t>minimis</w:t>
      </w:r>
      <w:proofErr w:type="spellEnd"/>
      <w:r w:rsidRPr="00F112FD">
        <w:rPr>
          <w:lang w:val="pl-PL"/>
        </w:rPr>
        <w:t xml:space="preserve"> czy brak pomocy, oraz dokumentowania i uzasadniania rozstrzygnięć w obszarach związanych z innowacyjnością, polityką technologiczną i polityką kosmiczną.</w:t>
      </w:r>
    </w:p>
    <w:p w14:paraId="6C129466" w14:textId="77777777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 xml:space="preserve">• umożliwienie szybszego odróżniania sytuacji: pomoc publiczna – brak pomocy – de </w:t>
      </w:r>
      <w:proofErr w:type="spellStart"/>
      <w:r w:rsidRPr="00F112FD">
        <w:rPr>
          <w:lang w:val="pl-PL"/>
        </w:rPr>
        <w:t>minimis</w:t>
      </w:r>
      <w:proofErr w:type="spellEnd"/>
      <w:r w:rsidRPr="00F112FD">
        <w:rPr>
          <w:lang w:val="pl-PL"/>
        </w:rPr>
        <w:t xml:space="preserve"> – inna pomoc;</w:t>
      </w:r>
    </w:p>
    <w:p w14:paraId="1FD40A90" w14:textId="77777777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>• uporządkowanie najczęstszych pojęć problemowych: przedsiębiorstwo, działalność gospodarcza, jedno przedsiębiorstwo, selektywność, korzyść, wpływ na wymianę handlową;</w:t>
      </w:r>
    </w:p>
    <w:p w14:paraId="24A5F362" w14:textId="77777777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 xml:space="preserve">• praktyczne zastosowanie reguł de </w:t>
      </w:r>
      <w:proofErr w:type="spellStart"/>
      <w:r w:rsidRPr="00F112FD">
        <w:rPr>
          <w:lang w:val="pl-PL"/>
        </w:rPr>
        <w:t>minimis</w:t>
      </w:r>
      <w:proofErr w:type="spellEnd"/>
      <w:r w:rsidRPr="00F112FD">
        <w:rPr>
          <w:lang w:val="pl-PL"/>
        </w:rPr>
        <w:t xml:space="preserve"> do instrumentów i procesów pojawiających się w obszarach innowacji, startupów, klastrów, Europejskich </w:t>
      </w:r>
      <w:proofErr w:type="spellStart"/>
      <w:r w:rsidRPr="00F112FD">
        <w:rPr>
          <w:lang w:val="pl-PL"/>
        </w:rPr>
        <w:t>Hubów</w:t>
      </w:r>
      <w:proofErr w:type="spellEnd"/>
      <w:r w:rsidRPr="00F112FD">
        <w:rPr>
          <w:lang w:val="pl-PL"/>
        </w:rPr>
        <w:t xml:space="preserve"> Innowacji Cyfrowych (EDIH), projektów w ramach Strategic Technologies for Europe Platform (STEP), półprzewodników i polityki kosmicznej;</w:t>
      </w:r>
    </w:p>
    <w:p w14:paraId="0D76AB81" w14:textId="77777777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 xml:space="preserve">• ułożenie wspólnej </w:t>
      </w:r>
      <w:proofErr w:type="spellStart"/>
      <w:r w:rsidRPr="00F112FD">
        <w:rPr>
          <w:lang w:val="pl-PL"/>
        </w:rPr>
        <w:t>check</w:t>
      </w:r>
      <w:proofErr w:type="spellEnd"/>
      <w:r w:rsidRPr="00F112FD">
        <w:rPr>
          <w:lang w:val="pl-PL"/>
        </w:rPr>
        <w:t>-listy dokumentacyjnej dla zespołów pracujących nad wsparciem, opiniami i projektami finansowanymi z FE 2021–2027.</w:t>
      </w:r>
    </w:p>
    <w:p w14:paraId="1C9E307C" w14:textId="77777777" w:rsidR="00D71BD3" w:rsidRDefault="00D71BD3" w:rsidP="00D71BD3">
      <w:pPr>
        <w:pStyle w:val="Nagwek1"/>
        <w:spacing w:before="160" w:after="80"/>
        <w:rPr>
          <w:lang w:val="pl-PL"/>
        </w:rPr>
      </w:pPr>
      <w:r>
        <w:rPr>
          <w:lang w:val="pl-PL"/>
        </w:rPr>
        <w:t>3. Profil uczestników i kontekst Departamentu</w:t>
      </w:r>
    </w:p>
    <w:p w14:paraId="7BB6B67F" w14:textId="77777777" w:rsidR="00D71BD3" w:rsidRDefault="00D71BD3" w:rsidP="00D71BD3">
      <w:pPr>
        <w:spacing w:after="80" w:line="269" w:lineRule="auto"/>
        <w:rPr>
          <w:lang w:val="pl-PL"/>
        </w:rPr>
      </w:pPr>
      <w:r w:rsidRPr="00F112FD">
        <w:rPr>
          <w:lang w:val="pl-PL"/>
        </w:rPr>
        <w:t xml:space="preserve">Szkolenie ma być dopasowane do zadań Departamentu Innowacyjności i Polityki Kosmicznej, który odpowiada m.in. za politykę innowacyjności i technologiczną, ośrodki innowacji, klastry, Krajowe Inteligentne Specjalizacje, startupy, transformację cyfrową przemysłu, projekty w ramach programu Fundusze Europejskie dla Nowoczesnej </w:t>
      </w:r>
      <w:r w:rsidRPr="00F112FD">
        <w:rPr>
          <w:lang w:val="pl-PL"/>
        </w:rPr>
        <w:lastRenderedPageBreak/>
        <w:t xml:space="preserve">Gospodarki 2021–2027 (FENG) i programu Pomoc Techniczna dla Funduszy Europejskich 2021–2027 (PT FE), wdrażanie Strategic Technologies for Europe Platform (STEP), działania związane z aktem w sprawie </w:t>
      </w:r>
      <w:proofErr w:type="spellStart"/>
      <w:r w:rsidRPr="00F112FD">
        <w:rPr>
          <w:lang w:val="pl-PL"/>
        </w:rPr>
        <w:t>czipów</w:t>
      </w:r>
      <w:proofErr w:type="spellEnd"/>
      <w:r w:rsidRPr="00F112FD">
        <w:rPr>
          <w:lang w:val="pl-PL"/>
        </w:rPr>
        <w:t xml:space="preserve"> (</w:t>
      </w:r>
      <w:proofErr w:type="spellStart"/>
      <w:r w:rsidRPr="00F112FD">
        <w:rPr>
          <w:lang w:val="pl-PL"/>
        </w:rPr>
        <w:t>European</w:t>
      </w:r>
      <w:proofErr w:type="spellEnd"/>
      <w:r w:rsidRPr="00F112FD">
        <w:rPr>
          <w:lang w:val="pl-PL"/>
        </w:rPr>
        <w:t xml:space="preserve"> Chips </w:t>
      </w:r>
      <w:proofErr w:type="spellStart"/>
      <w:r w:rsidRPr="00F112FD">
        <w:rPr>
          <w:lang w:val="pl-PL"/>
        </w:rPr>
        <w:t>Act</w:t>
      </w:r>
      <w:proofErr w:type="spellEnd"/>
      <w:r w:rsidRPr="00F112FD">
        <w:rPr>
          <w:lang w:val="pl-PL"/>
        </w:rPr>
        <w:t>), opiniowanie projektów inwestycyjnych oraz politykę kosmiczną, w tym współpracę z Europejską Agencją Kosmiczną (ESA) i nadzór merytoryczny nad Polską Agencją Kosmiczną (POLSA).</w:t>
      </w:r>
    </w:p>
    <w:p w14:paraId="2B8421D8" w14:textId="77777777" w:rsidR="00D71BD3" w:rsidRDefault="00D71BD3" w:rsidP="00D71BD3">
      <w:pPr>
        <w:rPr>
          <w:lang w:val="pl-PL"/>
        </w:rPr>
      </w:pPr>
      <w:r w:rsidRPr="00F112FD">
        <w:rPr>
          <w:lang w:val="pl-PL"/>
        </w:rPr>
        <w:t xml:space="preserve">Pomocniczo wykonawca może odwołać się do </w:t>
      </w:r>
      <w:hyperlink r:id="rId8">
        <w:r w:rsidRPr="00F112FD">
          <w:rPr>
            <w:color w:val="0563C1"/>
            <w:u w:val="single"/>
            <w:lang w:val="pl-PL"/>
          </w:rPr>
          <w:t>opisu zadań Departamentu na portalu gov.pl</w:t>
        </w:r>
      </w:hyperlink>
      <w:r w:rsidRPr="00F112FD">
        <w:rPr>
          <w:lang w:val="pl-PL"/>
        </w:rPr>
        <w:t>.</w:t>
      </w:r>
    </w:p>
    <w:p w14:paraId="0713311E" w14:textId="77777777" w:rsidR="00D71BD3" w:rsidRDefault="00D71BD3" w:rsidP="00D71BD3">
      <w:pPr>
        <w:pStyle w:val="Nagwek1"/>
        <w:spacing w:before="160" w:after="80"/>
        <w:rPr>
          <w:lang w:val="pl-PL"/>
        </w:rPr>
      </w:pPr>
      <w:r>
        <w:rPr>
          <w:lang w:val="pl-PL"/>
        </w:rPr>
        <w:t>4. Minimalny zakres usługi</w:t>
      </w:r>
    </w:p>
    <w:p w14:paraId="064FF09E" w14:textId="77777777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>
        <w:rPr>
          <w:color w:val="00397A"/>
          <w:sz w:val="20"/>
          <w:lang w:val="pl-PL"/>
        </w:rPr>
        <w:t xml:space="preserve">• </w:t>
      </w:r>
      <w:r w:rsidRPr="00F112FD">
        <w:rPr>
          <w:lang w:val="pl-PL"/>
        </w:rPr>
        <w:t xml:space="preserve">przeprowadzenie dwóch edycji szkolenia przez trenera lub zespół trenerów o potwierdzonym doświadczeniu w pomocy publicznej i de </w:t>
      </w:r>
      <w:proofErr w:type="spellStart"/>
      <w:r w:rsidRPr="00F112FD">
        <w:rPr>
          <w:lang w:val="pl-PL"/>
        </w:rPr>
        <w:t>minimis</w:t>
      </w:r>
      <w:proofErr w:type="spellEnd"/>
      <w:r w:rsidRPr="00F112FD">
        <w:rPr>
          <w:lang w:val="pl-PL"/>
        </w:rPr>
        <w:t>;</w:t>
      </w:r>
    </w:p>
    <w:p w14:paraId="43CE9106" w14:textId="77777777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>• wykonanie krótkiego rozpoznania potrzeb szkoleniowych na podstawie materiałów przekazanych przez MRiT;</w:t>
      </w:r>
    </w:p>
    <w:p w14:paraId="669E72C9" w14:textId="77777777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>• przygotowanie programu szczegółowego i materiałów szkoleniowych w wersji elektronicznej;</w:t>
      </w:r>
    </w:p>
    <w:p w14:paraId="67A68087" w14:textId="77777777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 xml:space="preserve">• opracowanie co najmniej pięciu </w:t>
      </w:r>
      <w:proofErr w:type="spellStart"/>
      <w:r w:rsidRPr="00F112FD">
        <w:rPr>
          <w:lang w:val="pl-PL"/>
        </w:rPr>
        <w:t>case</w:t>
      </w:r>
      <w:proofErr w:type="spellEnd"/>
      <w:r w:rsidRPr="00F112FD">
        <w:rPr>
          <w:lang w:val="pl-PL"/>
        </w:rPr>
        <w:t xml:space="preserve"> </w:t>
      </w:r>
      <w:proofErr w:type="spellStart"/>
      <w:r w:rsidRPr="00F112FD">
        <w:rPr>
          <w:lang w:val="pl-PL"/>
        </w:rPr>
        <w:t>studies</w:t>
      </w:r>
      <w:proofErr w:type="spellEnd"/>
      <w:r w:rsidRPr="00F112FD">
        <w:rPr>
          <w:lang w:val="pl-PL"/>
        </w:rPr>
        <w:t xml:space="preserve"> odnoszących się do realnych lub realistycznych sytuacji Departamentu, w tym co najmniej jednego </w:t>
      </w:r>
      <w:proofErr w:type="spellStart"/>
      <w:r w:rsidRPr="00F112FD">
        <w:rPr>
          <w:lang w:val="pl-PL"/>
        </w:rPr>
        <w:t>case</w:t>
      </w:r>
      <w:proofErr w:type="spellEnd"/>
      <w:r w:rsidRPr="00F112FD">
        <w:rPr>
          <w:lang w:val="pl-PL"/>
        </w:rPr>
        <w:t xml:space="preserve"> </w:t>
      </w:r>
      <w:proofErr w:type="spellStart"/>
      <w:r w:rsidRPr="00F112FD">
        <w:rPr>
          <w:lang w:val="pl-PL"/>
        </w:rPr>
        <w:t>study</w:t>
      </w:r>
      <w:proofErr w:type="spellEnd"/>
      <w:r w:rsidRPr="00F112FD">
        <w:rPr>
          <w:lang w:val="pl-PL"/>
        </w:rPr>
        <w:t xml:space="preserve"> albo ćwiczenia dotyczącego najczęstszych błędów identyfikowanych w toku kontroli lub audytu;</w:t>
      </w:r>
    </w:p>
    <w:p w14:paraId="799DB061" w14:textId="77777777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>• umożliwienie zadawania pytań uczestników podczas szkolenia oraz przekazanie odpowiedzi na pytania nierozstrzygnięte na sali w uzgodnionej formie po szkoleniu;</w:t>
      </w:r>
    </w:p>
    <w:p w14:paraId="31846450" w14:textId="77777777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 xml:space="preserve">• zapewnienie materiału poszkoleniowego o charakterze praktycznym, np. </w:t>
      </w:r>
      <w:proofErr w:type="spellStart"/>
      <w:r w:rsidRPr="00F112FD">
        <w:rPr>
          <w:lang w:val="pl-PL"/>
        </w:rPr>
        <w:t>checklisty</w:t>
      </w:r>
      <w:proofErr w:type="spellEnd"/>
      <w:r w:rsidRPr="00F112FD">
        <w:rPr>
          <w:lang w:val="pl-PL"/>
        </w:rPr>
        <w:t xml:space="preserve">, mapy </w:t>
      </w:r>
      <w:proofErr w:type="spellStart"/>
      <w:r w:rsidRPr="00F112FD">
        <w:rPr>
          <w:lang w:val="pl-PL"/>
        </w:rPr>
        <w:t>ryzyk</w:t>
      </w:r>
      <w:proofErr w:type="spellEnd"/>
      <w:r w:rsidRPr="00F112FD">
        <w:rPr>
          <w:lang w:val="pl-PL"/>
        </w:rPr>
        <w:t>, katalogu najczęstszych błędów albo drzewa kwalifikowania przypadków.</w:t>
      </w:r>
    </w:p>
    <w:p w14:paraId="3F091A45" w14:textId="77777777" w:rsidR="00D71BD3" w:rsidRDefault="00D71BD3" w:rsidP="00D71BD3">
      <w:pPr>
        <w:pStyle w:val="Nagwek1"/>
        <w:spacing w:before="160" w:after="80"/>
      </w:pPr>
      <w:r>
        <w:t xml:space="preserve">5. </w:t>
      </w:r>
      <w:proofErr w:type="spellStart"/>
      <w:r>
        <w:t>Wymagany</w:t>
      </w:r>
      <w:proofErr w:type="spellEnd"/>
      <w:r>
        <w:t xml:space="preserve"> </w:t>
      </w:r>
      <w:proofErr w:type="spellStart"/>
      <w:r>
        <w:t>sylabus</w:t>
      </w:r>
      <w:proofErr w:type="spellEnd"/>
    </w:p>
    <w:tbl>
      <w:tblPr>
        <w:tblStyle w:val="Tabela-Siatka"/>
        <w:tblW w:w="0" w:type="auto"/>
        <w:jc w:val="center"/>
        <w:tblBorders>
          <w:top w:val="single" w:sz="8" w:space="0" w:color="C7D2E2"/>
          <w:left w:val="single" w:sz="8" w:space="0" w:color="C7D2E2"/>
          <w:bottom w:val="single" w:sz="8" w:space="0" w:color="C7D2E2"/>
          <w:right w:val="single" w:sz="8" w:space="0" w:color="C7D2E2"/>
          <w:insideH w:val="single" w:sz="8" w:space="0" w:color="C7D2E2"/>
          <w:insideV w:val="single" w:sz="8" w:space="0" w:color="C7D2E2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2665"/>
        <w:gridCol w:w="2381"/>
        <w:gridCol w:w="2041"/>
      </w:tblGrid>
      <w:tr w:rsidR="00D71BD3" w14:paraId="7BB40B5E" w14:textId="77777777" w:rsidTr="00FC1D31">
        <w:trPr>
          <w:jc w:val="center"/>
        </w:trPr>
        <w:tc>
          <w:tcPr>
            <w:tcW w:w="1871" w:type="dxa"/>
            <w:shd w:val="clear" w:color="auto" w:fill="D9E8F5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B418E4C" w14:textId="77777777" w:rsidR="00D71BD3" w:rsidRDefault="00D71BD3" w:rsidP="00FC1D31">
            <w:pPr>
              <w:spacing w:line="245" w:lineRule="auto"/>
            </w:pPr>
            <w:proofErr w:type="spellStart"/>
            <w:r>
              <w:rPr>
                <w:b/>
                <w:color w:val="00397A"/>
                <w:sz w:val="17"/>
              </w:rPr>
              <w:t>Moduł</w:t>
            </w:r>
            <w:proofErr w:type="spellEnd"/>
          </w:p>
        </w:tc>
        <w:tc>
          <w:tcPr>
            <w:tcW w:w="2665" w:type="dxa"/>
            <w:shd w:val="clear" w:color="auto" w:fill="D9E8F5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FCF384" w14:textId="77777777" w:rsidR="00D71BD3" w:rsidRDefault="00D71BD3" w:rsidP="00FC1D31">
            <w:pPr>
              <w:spacing w:line="245" w:lineRule="auto"/>
            </w:pPr>
            <w:proofErr w:type="spellStart"/>
            <w:r>
              <w:rPr>
                <w:b/>
                <w:color w:val="00397A"/>
                <w:sz w:val="17"/>
              </w:rPr>
              <w:t>Zakres</w:t>
            </w:r>
            <w:proofErr w:type="spellEnd"/>
          </w:p>
        </w:tc>
        <w:tc>
          <w:tcPr>
            <w:tcW w:w="2381" w:type="dxa"/>
            <w:shd w:val="clear" w:color="auto" w:fill="D9E8F5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F16FD1A" w14:textId="77777777" w:rsidR="00D71BD3" w:rsidRDefault="00D71BD3" w:rsidP="00FC1D31">
            <w:pPr>
              <w:spacing w:line="245" w:lineRule="auto"/>
            </w:pPr>
            <w:proofErr w:type="spellStart"/>
            <w:r>
              <w:rPr>
                <w:b/>
                <w:color w:val="00397A"/>
                <w:sz w:val="17"/>
              </w:rPr>
              <w:t>Rezultat</w:t>
            </w:r>
            <w:proofErr w:type="spellEnd"/>
            <w:r>
              <w:rPr>
                <w:b/>
                <w:color w:val="00397A"/>
                <w:sz w:val="17"/>
              </w:rPr>
              <w:t xml:space="preserve"> </w:t>
            </w:r>
            <w:proofErr w:type="spellStart"/>
            <w:r>
              <w:rPr>
                <w:b/>
                <w:color w:val="00397A"/>
                <w:sz w:val="17"/>
              </w:rPr>
              <w:t>dla</w:t>
            </w:r>
            <w:proofErr w:type="spellEnd"/>
            <w:r>
              <w:rPr>
                <w:b/>
                <w:color w:val="00397A"/>
                <w:sz w:val="17"/>
              </w:rPr>
              <w:t xml:space="preserve"> </w:t>
            </w:r>
            <w:proofErr w:type="spellStart"/>
            <w:r>
              <w:rPr>
                <w:b/>
                <w:color w:val="00397A"/>
                <w:sz w:val="17"/>
              </w:rPr>
              <w:t>uczestnika</w:t>
            </w:r>
            <w:proofErr w:type="spellEnd"/>
          </w:p>
        </w:tc>
        <w:tc>
          <w:tcPr>
            <w:tcW w:w="2041" w:type="dxa"/>
            <w:shd w:val="clear" w:color="auto" w:fill="D9E8F5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FF88284" w14:textId="77777777" w:rsidR="00D71BD3" w:rsidRDefault="00D71BD3" w:rsidP="00FC1D31">
            <w:pPr>
              <w:spacing w:line="245" w:lineRule="auto"/>
            </w:pPr>
            <w:proofErr w:type="spellStart"/>
            <w:r>
              <w:rPr>
                <w:b/>
                <w:color w:val="00397A"/>
                <w:sz w:val="17"/>
              </w:rPr>
              <w:t>Akcent</w:t>
            </w:r>
            <w:proofErr w:type="spellEnd"/>
            <w:r>
              <w:rPr>
                <w:b/>
                <w:color w:val="00397A"/>
                <w:sz w:val="17"/>
              </w:rPr>
              <w:t xml:space="preserve"> </w:t>
            </w:r>
            <w:proofErr w:type="spellStart"/>
            <w:r>
              <w:rPr>
                <w:b/>
                <w:color w:val="00397A"/>
                <w:sz w:val="17"/>
              </w:rPr>
              <w:t>dla</w:t>
            </w:r>
            <w:proofErr w:type="spellEnd"/>
            <w:r>
              <w:rPr>
                <w:b/>
                <w:color w:val="00397A"/>
                <w:sz w:val="17"/>
              </w:rPr>
              <w:t xml:space="preserve"> DIN</w:t>
            </w:r>
          </w:p>
        </w:tc>
      </w:tr>
      <w:tr w:rsidR="00D71BD3" w:rsidRPr="00A13FB6" w14:paraId="0D77788C" w14:textId="77777777" w:rsidTr="00FC1D31">
        <w:trPr>
          <w:jc w:val="center"/>
        </w:trPr>
        <w:tc>
          <w:tcPr>
            <w:tcW w:w="1871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5251A72" w14:textId="77777777" w:rsidR="00D71BD3" w:rsidRDefault="00D71BD3" w:rsidP="00FC1D31">
            <w:pPr>
              <w:spacing w:line="245" w:lineRule="auto"/>
            </w:pPr>
            <w:proofErr w:type="spellStart"/>
            <w:r>
              <w:rPr>
                <w:sz w:val="17"/>
              </w:rPr>
              <w:t>Moduł</w:t>
            </w:r>
            <w:proofErr w:type="spellEnd"/>
            <w:r>
              <w:rPr>
                <w:sz w:val="17"/>
              </w:rPr>
              <w:t xml:space="preserve"> 1. </w:t>
            </w:r>
            <w:proofErr w:type="spellStart"/>
            <w:r>
              <w:rPr>
                <w:sz w:val="17"/>
              </w:rPr>
              <w:t>Konstrukcja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pomocy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publicznej</w:t>
            </w:r>
            <w:proofErr w:type="spellEnd"/>
          </w:p>
        </w:tc>
        <w:tc>
          <w:tcPr>
            <w:tcW w:w="2665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B7466A6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7"/>
                <w:lang w:val="pl-PL"/>
              </w:rPr>
              <w:t>cztery przesłanki pomocy, logika oceny, różnica między wsparciem publicznym a pomocą publiczną, najczęstsze błędy w kwalifikacji</w:t>
            </w:r>
          </w:p>
        </w:tc>
        <w:tc>
          <w:tcPr>
            <w:tcW w:w="2381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B92C2F8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7"/>
                <w:lang w:val="pl-PL"/>
              </w:rPr>
              <w:t>uczestnik potrafi zidentyfikować, czy w ogóle pojawia się zagadnienie pomocy publicznej</w:t>
            </w:r>
          </w:p>
        </w:tc>
        <w:tc>
          <w:tcPr>
            <w:tcW w:w="2041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84EAE09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7"/>
                <w:lang w:val="pl-PL"/>
              </w:rPr>
              <w:t>duży nacisk na przypadki graniczne związane z polityką innowacyjności i zadaniami publicznymi</w:t>
            </w:r>
          </w:p>
        </w:tc>
      </w:tr>
      <w:tr w:rsidR="00D71BD3" w:rsidRPr="00A13FB6" w14:paraId="556AAABA" w14:textId="77777777" w:rsidTr="00FC1D31">
        <w:trPr>
          <w:jc w:val="center"/>
        </w:trPr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B584E34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7"/>
                <w:lang w:val="pl-PL"/>
              </w:rPr>
              <w:t>Moduł 2. Przedsiębiorstwo, działalność gospodarcza, jedno przedsiębiorstwo</w:t>
            </w:r>
          </w:p>
        </w:tc>
        <w:tc>
          <w:tcPr>
            <w:tcW w:w="266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5BCF556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7"/>
                <w:lang w:val="pl-PL"/>
              </w:rPr>
              <w:t>pojęcie przedsiębiorstwa, działalności gospodarczej i niegospodarczej, powiązania podmiotów, grupy kapitałowe, działalność mieszana</w:t>
            </w:r>
          </w:p>
        </w:tc>
        <w:tc>
          <w:tcPr>
            <w:tcW w:w="238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D1CB2EA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7"/>
                <w:lang w:val="pl-PL"/>
              </w:rPr>
              <w:t>uczestnik umie poprawnie ustalić beneficjenta i ryzyko kumulacji</w:t>
            </w:r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108B092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7"/>
                <w:lang w:val="pl-PL"/>
              </w:rPr>
              <w:t>szczególnie ważne przy startupach, EDIH, klastrach, instytucjach otoczenia biznesu i obszarze kosmicznym</w:t>
            </w:r>
          </w:p>
        </w:tc>
      </w:tr>
      <w:tr w:rsidR="00D71BD3" w:rsidRPr="00A13FB6" w14:paraId="6A014762" w14:textId="77777777" w:rsidTr="00FC1D31">
        <w:trPr>
          <w:jc w:val="center"/>
        </w:trPr>
        <w:tc>
          <w:tcPr>
            <w:tcW w:w="1871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8248BAA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7"/>
                <w:lang w:val="pl-PL"/>
              </w:rPr>
              <w:t xml:space="preserve">Moduł 3. Pomoc de </w:t>
            </w:r>
            <w:proofErr w:type="spellStart"/>
            <w:r>
              <w:rPr>
                <w:sz w:val="17"/>
                <w:lang w:val="pl-PL"/>
              </w:rPr>
              <w:t>minimis</w:t>
            </w:r>
            <w:proofErr w:type="spellEnd"/>
            <w:r>
              <w:rPr>
                <w:sz w:val="17"/>
                <w:lang w:val="pl-PL"/>
              </w:rPr>
              <w:t xml:space="preserve"> – aktualny stan</w:t>
            </w:r>
          </w:p>
        </w:tc>
        <w:tc>
          <w:tcPr>
            <w:tcW w:w="2665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0F00C1" w14:textId="77777777" w:rsidR="00D71BD3" w:rsidRPr="00F112FD" w:rsidRDefault="00D71BD3" w:rsidP="00FC1D31">
            <w:pPr>
              <w:rPr>
                <w:lang w:val="pl-PL"/>
              </w:rPr>
            </w:pPr>
            <w:r w:rsidRPr="00F112FD">
              <w:rPr>
                <w:sz w:val="17"/>
                <w:lang w:val="pl-PL"/>
              </w:rPr>
              <w:t>rozporządzenie 2023/2831, limit 300 000 EUR, trzy minione lata, zasada jednego przedsiębiorstwa, badanie powiązań, prawidłowe wyliczanie wartości pomocy, kumulacja, aktualne formularze i zaświadczenia, weryfikacja danych</w:t>
            </w:r>
          </w:p>
        </w:tc>
        <w:tc>
          <w:tcPr>
            <w:tcW w:w="2381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39CB9AA" w14:textId="77777777" w:rsidR="00D71BD3" w:rsidRPr="00F112FD" w:rsidRDefault="00D71BD3" w:rsidP="00FC1D31">
            <w:pPr>
              <w:rPr>
                <w:lang w:val="pl-PL"/>
              </w:rPr>
            </w:pPr>
            <w:r w:rsidRPr="00F112FD">
              <w:rPr>
                <w:sz w:val="17"/>
                <w:lang w:val="pl-PL"/>
              </w:rPr>
              <w:t xml:space="preserve">uczestnik umie prawidłowo zidentyfikować pomoc de </w:t>
            </w:r>
            <w:proofErr w:type="spellStart"/>
            <w:r w:rsidRPr="00F112FD">
              <w:rPr>
                <w:sz w:val="17"/>
                <w:lang w:val="pl-PL"/>
              </w:rPr>
              <w:t>minimis</w:t>
            </w:r>
            <w:proofErr w:type="spellEnd"/>
            <w:r w:rsidRPr="00F112FD">
              <w:rPr>
                <w:sz w:val="17"/>
                <w:lang w:val="pl-PL"/>
              </w:rPr>
              <w:t>, ustalić jedno przedsiębiorstwo i prawidłowo wyliczyć wartość pomocy</w:t>
            </w:r>
          </w:p>
        </w:tc>
        <w:tc>
          <w:tcPr>
            <w:tcW w:w="2041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E8B8886" w14:textId="77777777" w:rsidR="00D71BD3" w:rsidRPr="00F112FD" w:rsidRDefault="00D71BD3" w:rsidP="00FC1D31">
            <w:pPr>
              <w:rPr>
                <w:lang w:val="pl-PL"/>
              </w:rPr>
            </w:pPr>
            <w:r w:rsidRPr="00F112FD">
              <w:rPr>
                <w:sz w:val="17"/>
                <w:lang w:val="pl-PL"/>
              </w:rPr>
              <w:t>moduł obowiązkowo z przykładami, aktualnymi formularzami krajowymi i ćwiczeniem z wyliczania</w:t>
            </w:r>
          </w:p>
        </w:tc>
      </w:tr>
      <w:tr w:rsidR="00D71BD3" w:rsidRPr="00A13FB6" w14:paraId="6ED7EF08" w14:textId="77777777" w:rsidTr="00FC1D31">
        <w:trPr>
          <w:jc w:val="center"/>
        </w:trPr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1C581D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7"/>
                <w:lang w:val="pl-PL"/>
              </w:rPr>
              <w:t>Moduł 4. Podstawy zgodności właściwe dla innowacji</w:t>
            </w:r>
          </w:p>
        </w:tc>
        <w:tc>
          <w:tcPr>
            <w:tcW w:w="266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06D1E63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7"/>
                <w:lang w:val="pl-PL"/>
              </w:rPr>
              <w:t>najważniejsze ścieżki prawne dla B+R, innowacji, startupów, klastrów, infrastruktury, technologii strategicznych i inwestycji innowacyjnych</w:t>
            </w:r>
          </w:p>
        </w:tc>
        <w:tc>
          <w:tcPr>
            <w:tcW w:w="238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5338B3D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7"/>
                <w:lang w:val="pl-PL"/>
              </w:rPr>
              <w:t xml:space="preserve">uczestnik rozumie, kiedy pomoc de </w:t>
            </w:r>
            <w:proofErr w:type="spellStart"/>
            <w:r>
              <w:rPr>
                <w:sz w:val="17"/>
                <w:lang w:val="pl-PL"/>
              </w:rPr>
              <w:t>minimis</w:t>
            </w:r>
            <w:proofErr w:type="spellEnd"/>
            <w:r>
              <w:rPr>
                <w:sz w:val="17"/>
                <w:lang w:val="pl-PL"/>
              </w:rPr>
              <w:t xml:space="preserve"> nie wystarcza i trzeba sięgnąć po inną podstawę prawną</w:t>
            </w:r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57183BF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7"/>
                <w:lang w:val="pl-PL"/>
              </w:rPr>
              <w:t>wykonawca ma pokazać praktyczne różnice między typowymi podstawami prawnymi</w:t>
            </w:r>
          </w:p>
        </w:tc>
      </w:tr>
      <w:tr w:rsidR="00D71BD3" w:rsidRPr="00A13FB6" w14:paraId="1156853E" w14:textId="77777777" w:rsidTr="00FC1D31">
        <w:trPr>
          <w:jc w:val="center"/>
        </w:trPr>
        <w:tc>
          <w:tcPr>
            <w:tcW w:w="1871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CF9EC08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7"/>
                <w:lang w:val="pl-PL"/>
              </w:rPr>
              <w:t>Moduł 5. Dokumentacja, efekt zachęty, koszty, kumulacja</w:t>
            </w:r>
          </w:p>
        </w:tc>
        <w:tc>
          <w:tcPr>
            <w:tcW w:w="2665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AE0DEEC" w14:textId="77777777" w:rsidR="00D71BD3" w:rsidRPr="00F112FD" w:rsidRDefault="00D71BD3" w:rsidP="00FC1D31">
            <w:pPr>
              <w:rPr>
                <w:lang w:val="pl-PL"/>
              </w:rPr>
            </w:pPr>
            <w:r w:rsidRPr="00F112FD">
              <w:rPr>
                <w:sz w:val="17"/>
                <w:lang w:val="pl-PL"/>
              </w:rPr>
              <w:t>dokumentacja sprawy, efekt zachęty, kumulacja, koszty kwalifikowalne oraz najczęstsze błędy kwestionowane w toku kontroli</w:t>
            </w:r>
          </w:p>
        </w:tc>
        <w:tc>
          <w:tcPr>
            <w:tcW w:w="2381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FD4F2DB" w14:textId="77777777" w:rsidR="00D71BD3" w:rsidRPr="00F112FD" w:rsidRDefault="00D71BD3" w:rsidP="00FC1D31">
            <w:pPr>
              <w:rPr>
                <w:lang w:val="pl-PL"/>
              </w:rPr>
            </w:pPr>
            <w:r w:rsidRPr="00F112FD">
              <w:rPr>
                <w:sz w:val="17"/>
                <w:lang w:val="pl-PL"/>
              </w:rPr>
              <w:t>uczestnik potrafi zbudować ślad audytowy i rozpoznać ryzyka kontrolne</w:t>
            </w:r>
          </w:p>
        </w:tc>
        <w:tc>
          <w:tcPr>
            <w:tcW w:w="2041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757D59" w14:textId="77777777" w:rsidR="00D71BD3" w:rsidRPr="00F112FD" w:rsidRDefault="00D71BD3" w:rsidP="00FC1D31">
            <w:pPr>
              <w:rPr>
                <w:lang w:val="pl-PL"/>
              </w:rPr>
            </w:pPr>
            <w:proofErr w:type="spellStart"/>
            <w:r w:rsidRPr="00F112FD">
              <w:rPr>
                <w:sz w:val="17"/>
                <w:lang w:val="pl-PL"/>
              </w:rPr>
              <w:t>checklista</w:t>
            </w:r>
            <w:proofErr w:type="spellEnd"/>
            <w:r w:rsidRPr="00F112FD">
              <w:rPr>
                <w:sz w:val="17"/>
                <w:lang w:val="pl-PL"/>
              </w:rPr>
              <w:t xml:space="preserve"> dla pracowników DIN i omówienie błędów kontrolnych</w:t>
            </w:r>
          </w:p>
        </w:tc>
      </w:tr>
      <w:tr w:rsidR="00D71BD3" w:rsidRPr="00A13FB6" w14:paraId="10B04D5F" w14:textId="77777777" w:rsidTr="00FC1D31">
        <w:trPr>
          <w:jc w:val="center"/>
        </w:trPr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F42610F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7"/>
                <w:lang w:val="pl-PL"/>
              </w:rPr>
              <w:t>Moduł 6. Systemy, rejestry i sprawozdawczość</w:t>
            </w:r>
          </w:p>
        </w:tc>
        <w:tc>
          <w:tcPr>
            <w:tcW w:w="2665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0924580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7"/>
                <w:lang w:val="pl-PL"/>
              </w:rPr>
              <w:t>SUDOP, SHRIMP, zakres danych od przedsiębiorcy, zasady weryfikacji, najczęstsze niezgodności między dokumentami</w:t>
            </w:r>
          </w:p>
        </w:tc>
        <w:tc>
          <w:tcPr>
            <w:tcW w:w="238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6814386" w14:textId="77777777" w:rsidR="00D71BD3" w:rsidRPr="00F112FD" w:rsidRDefault="00D71BD3" w:rsidP="00FC1D31">
            <w:pPr>
              <w:rPr>
                <w:lang w:val="pl-PL"/>
              </w:rPr>
            </w:pPr>
            <w:r w:rsidRPr="00F112FD">
              <w:rPr>
                <w:sz w:val="17"/>
                <w:lang w:val="pl-PL"/>
              </w:rPr>
              <w:t>uczestnik wie, gdzie i jak weryfikować dane o pomocy oraz odnotować przypadki jej udzielenia</w:t>
            </w:r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808479F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7"/>
                <w:lang w:val="pl-PL"/>
              </w:rPr>
              <w:t>moduł powinien kończyć się krótkim schematem działania „krok po kroku”</w:t>
            </w:r>
          </w:p>
        </w:tc>
      </w:tr>
      <w:tr w:rsidR="00D71BD3" w:rsidRPr="00A13FB6" w14:paraId="4D7BE68F" w14:textId="77777777" w:rsidTr="00FC1D31">
        <w:trPr>
          <w:jc w:val="center"/>
        </w:trPr>
        <w:tc>
          <w:tcPr>
            <w:tcW w:w="1871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694E83D" w14:textId="77777777" w:rsidR="00D71BD3" w:rsidRDefault="00D71BD3" w:rsidP="00FC1D31">
            <w:pPr>
              <w:spacing w:line="245" w:lineRule="auto"/>
            </w:pPr>
            <w:proofErr w:type="spellStart"/>
            <w:r>
              <w:rPr>
                <w:sz w:val="17"/>
              </w:rPr>
              <w:t>Moduł</w:t>
            </w:r>
            <w:proofErr w:type="spellEnd"/>
            <w:r>
              <w:rPr>
                <w:sz w:val="17"/>
              </w:rPr>
              <w:t xml:space="preserve"> 7. </w:t>
            </w:r>
            <w:proofErr w:type="spellStart"/>
            <w:r>
              <w:rPr>
                <w:sz w:val="17"/>
              </w:rPr>
              <w:t>Warsztat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dedykowany</w:t>
            </w:r>
            <w:proofErr w:type="spellEnd"/>
            <w:r>
              <w:rPr>
                <w:sz w:val="17"/>
              </w:rPr>
              <w:t xml:space="preserve"> DIN</w:t>
            </w:r>
          </w:p>
        </w:tc>
        <w:tc>
          <w:tcPr>
            <w:tcW w:w="2665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99E44E0" w14:textId="77777777" w:rsidR="00D71BD3" w:rsidRPr="00F112FD" w:rsidRDefault="00D71BD3" w:rsidP="00FC1D31">
            <w:pPr>
              <w:rPr>
                <w:lang w:val="pl-PL"/>
              </w:rPr>
            </w:pPr>
            <w:r w:rsidRPr="00F112FD">
              <w:rPr>
                <w:sz w:val="17"/>
                <w:lang w:val="pl-PL"/>
              </w:rPr>
              <w:t xml:space="preserve">minimum 5 </w:t>
            </w:r>
            <w:proofErr w:type="spellStart"/>
            <w:r w:rsidRPr="00F112FD">
              <w:rPr>
                <w:sz w:val="17"/>
                <w:lang w:val="pl-PL"/>
              </w:rPr>
              <w:t>case</w:t>
            </w:r>
            <w:proofErr w:type="spellEnd"/>
            <w:r w:rsidRPr="00F112FD">
              <w:rPr>
                <w:sz w:val="17"/>
                <w:lang w:val="pl-PL"/>
              </w:rPr>
              <w:t xml:space="preserve"> </w:t>
            </w:r>
            <w:proofErr w:type="spellStart"/>
            <w:r w:rsidRPr="00F112FD">
              <w:rPr>
                <w:sz w:val="17"/>
                <w:lang w:val="pl-PL"/>
              </w:rPr>
              <w:t>studies</w:t>
            </w:r>
            <w:proofErr w:type="spellEnd"/>
            <w:r w:rsidRPr="00F112FD">
              <w:rPr>
                <w:sz w:val="17"/>
                <w:lang w:val="pl-PL"/>
              </w:rPr>
              <w:t xml:space="preserve"> dotyczących m.in. startupów, ośrodków innowacji, EDIH, </w:t>
            </w:r>
            <w:r w:rsidRPr="00F112FD">
              <w:rPr>
                <w:sz w:val="17"/>
                <w:lang w:val="pl-PL"/>
              </w:rPr>
              <w:lastRenderedPageBreak/>
              <w:t>klastrów, FENG/PT FE, STEP/półprzewodników i polityki kosmicznej, w tym błędów kontrolnych</w:t>
            </w:r>
          </w:p>
        </w:tc>
        <w:tc>
          <w:tcPr>
            <w:tcW w:w="2381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7C5219D" w14:textId="77777777" w:rsidR="00D71BD3" w:rsidRPr="00F112FD" w:rsidRDefault="00D71BD3" w:rsidP="00FC1D31">
            <w:pPr>
              <w:rPr>
                <w:lang w:val="pl-PL"/>
              </w:rPr>
            </w:pPr>
            <w:r w:rsidRPr="00F112FD">
              <w:rPr>
                <w:sz w:val="17"/>
                <w:lang w:val="pl-PL"/>
              </w:rPr>
              <w:lastRenderedPageBreak/>
              <w:t xml:space="preserve">uczestnik ćwiczy kwalifikowanie trudnych przypadków i rozpoznawanie </w:t>
            </w:r>
            <w:r w:rsidRPr="00F112FD">
              <w:rPr>
                <w:sz w:val="17"/>
                <w:lang w:val="pl-PL"/>
              </w:rPr>
              <w:lastRenderedPageBreak/>
              <w:t>błędów na materiale podobnym do własnej pracy</w:t>
            </w:r>
          </w:p>
        </w:tc>
        <w:tc>
          <w:tcPr>
            <w:tcW w:w="2041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0A74E84" w14:textId="77777777" w:rsidR="00D71BD3" w:rsidRPr="00F112FD" w:rsidRDefault="00D71BD3" w:rsidP="00FC1D31">
            <w:pPr>
              <w:rPr>
                <w:lang w:val="pl-PL"/>
              </w:rPr>
            </w:pPr>
            <w:r w:rsidRPr="00F112FD">
              <w:rPr>
                <w:sz w:val="17"/>
                <w:lang w:val="pl-PL"/>
              </w:rPr>
              <w:lastRenderedPageBreak/>
              <w:t xml:space="preserve">moduł ma być interaktywny i obejmować nie mniej niż </w:t>
            </w:r>
            <w:r w:rsidRPr="00F112FD">
              <w:rPr>
                <w:sz w:val="17"/>
                <w:lang w:val="pl-PL"/>
              </w:rPr>
              <w:lastRenderedPageBreak/>
              <w:t>30% czasu szkolenia</w:t>
            </w:r>
          </w:p>
        </w:tc>
      </w:tr>
    </w:tbl>
    <w:p w14:paraId="2548D62A" w14:textId="77777777" w:rsidR="00D71BD3" w:rsidRDefault="00D71BD3" w:rsidP="00D71BD3">
      <w:pPr>
        <w:rPr>
          <w:lang w:val="pl-PL"/>
        </w:rPr>
      </w:pPr>
    </w:p>
    <w:p w14:paraId="764CD768" w14:textId="77777777" w:rsidR="00D71BD3" w:rsidRPr="00D71BD3" w:rsidRDefault="00D71BD3" w:rsidP="00D71BD3">
      <w:pPr>
        <w:pStyle w:val="Nagwek1"/>
        <w:spacing w:before="160" w:after="80"/>
        <w:rPr>
          <w:lang w:val="pl-PL"/>
        </w:rPr>
      </w:pPr>
      <w:r w:rsidRPr="00D71BD3">
        <w:rPr>
          <w:lang w:val="pl-PL"/>
        </w:rPr>
        <w:t>6. Wymagania wobec wykonawcy</w:t>
      </w:r>
    </w:p>
    <w:p w14:paraId="7CF09BED" w14:textId="77777777" w:rsidR="00D71BD3" w:rsidRPr="009174F1" w:rsidRDefault="00D71BD3" w:rsidP="00D71BD3">
      <w:pPr>
        <w:spacing w:after="40" w:line="259" w:lineRule="auto"/>
        <w:ind w:left="283" w:hanging="198"/>
        <w:rPr>
          <w:lang w:val="pl-PL"/>
        </w:rPr>
      </w:pPr>
      <w:r w:rsidRPr="009174F1">
        <w:rPr>
          <w:lang w:val="pl-PL"/>
        </w:rPr>
        <w:t>• udokumentowane przeprowadzenie co najmniej 5 szkoleń dla administracji publicznej, instytucji zarządzających / pośredniczących albo podmiotów obsługujących instrumenty wsparcia i projekty UE;</w:t>
      </w:r>
    </w:p>
    <w:p w14:paraId="359AC9B6" w14:textId="77777777" w:rsidR="00D71BD3" w:rsidRPr="009174F1" w:rsidRDefault="00D71BD3" w:rsidP="00D71BD3">
      <w:pPr>
        <w:spacing w:after="40" w:line="259" w:lineRule="auto"/>
        <w:ind w:left="283" w:hanging="198"/>
        <w:rPr>
          <w:lang w:val="pl-PL"/>
        </w:rPr>
      </w:pPr>
      <w:r w:rsidRPr="009174F1">
        <w:rPr>
          <w:lang w:val="pl-PL"/>
        </w:rPr>
        <w:t xml:space="preserve">• zapewnienie metodyki warsztatowej szkolenia, w ramach której nie mniej niż 30% czasu szkolenia stanowią </w:t>
      </w:r>
      <w:proofErr w:type="spellStart"/>
      <w:r w:rsidRPr="009174F1">
        <w:rPr>
          <w:lang w:val="pl-PL"/>
        </w:rPr>
        <w:t>case</w:t>
      </w:r>
      <w:proofErr w:type="spellEnd"/>
      <w:r w:rsidRPr="009174F1">
        <w:rPr>
          <w:lang w:val="pl-PL"/>
        </w:rPr>
        <w:t xml:space="preserve"> </w:t>
      </w:r>
      <w:proofErr w:type="spellStart"/>
      <w:r w:rsidRPr="009174F1">
        <w:rPr>
          <w:lang w:val="pl-PL"/>
        </w:rPr>
        <w:t>studies</w:t>
      </w:r>
      <w:proofErr w:type="spellEnd"/>
      <w:r w:rsidRPr="009174F1">
        <w:rPr>
          <w:lang w:val="pl-PL"/>
        </w:rPr>
        <w:t>, dyskusja oraz analiza i ocena stanów faktycznych;</w:t>
      </w:r>
    </w:p>
    <w:p w14:paraId="0E391347" w14:textId="77777777" w:rsidR="00D71BD3" w:rsidRPr="009174F1" w:rsidRDefault="00D71BD3" w:rsidP="00D71BD3">
      <w:pPr>
        <w:spacing w:after="40" w:line="259" w:lineRule="auto"/>
        <w:ind w:left="283" w:hanging="198"/>
        <w:rPr>
          <w:lang w:val="pl-PL"/>
        </w:rPr>
      </w:pPr>
      <w:r w:rsidRPr="009174F1">
        <w:rPr>
          <w:lang w:val="pl-PL"/>
        </w:rPr>
        <w:t>• uwzględnienie, bez dodatkowego wynagrodzenia, uwag zamawiającego do programu szczegółowego zgłoszonych po analizie materiałów przekazanych przez wydziały;</w:t>
      </w:r>
    </w:p>
    <w:p w14:paraId="3EA53B32" w14:textId="77777777" w:rsidR="00D71BD3" w:rsidRPr="00D71BD3" w:rsidRDefault="00D71BD3" w:rsidP="00D71BD3">
      <w:pPr>
        <w:pStyle w:val="Nagwek1"/>
        <w:spacing w:before="160" w:after="80"/>
        <w:rPr>
          <w:lang w:val="pl-PL"/>
        </w:rPr>
      </w:pPr>
      <w:r w:rsidRPr="00D71BD3">
        <w:rPr>
          <w:lang w:val="pl-PL"/>
        </w:rPr>
        <w:t>7. Wymagania wobec trenera</w:t>
      </w:r>
    </w:p>
    <w:p w14:paraId="63DCD40A" w14:textId="77777777" w:rsidR="00D71BD3" w:rsidRPr="009174F1" w:rsidRDefault="00D71BD3" w:rsidP="00D71BD3">
      <w:pPr>
        <w:spacing w:after="40" w:line="259" w:lineRule="auto"/>
        <w:ind w:left="283" w:hanging="198"/>
        <w:rPr>
          <w:lang w:val="pl-PL"/>
        </w:rPr>
      </w:pPr>
      <w:r w:rsidRPr="009174F1">
        <w:rPr>
          <w:lang w:val="pl-PL"/>
        </w:rPr>
        <w:t xml:space="preserve">• co najmniej 5 lat doświadczenia w prowadzeniu szkoleń z zakresu udzielania, kwalifikowania, weryfikacji lub kontroli pomocy publicznej i pomocy de </w:t>
      </w:r>
      <w:proofErr w:type="spellStart"/>
      <w:r w:rsidRPr="009174F1">
        <w:rPr>
          <w:lang w:val="pl-PL"/>
        </w:rPr>
        <w:t>minimis</w:t>
      </w:r>
      <w:proofErr w:type="spellEnd"/>
      <w:r w:rsidRPr="009174F1">
        <w:rPr>
          <w:lang w:val="pl-PL"/>
        </w:rPr>
        <w:t>;</w:t>
      </w:r>
    </w:p>
    <w:p w14:paraId="29BF6C89" w14:textId="77777777" w:rsidR="00D71BD3" w:rsidRPr="009174F1" w:rsidRDefault="00D71BD3" w:rsidP="00D71BD3">
      <w:pPr>
        <w:spacing w:after="40" w:line="259" w:lineRule="auto"/>
        <w:ind w:left="283" w:hanging="198"/>
        <w:rPr>
          <w:lang w:val="pl-PL"/>
        </w:rPr>
      </w:pPr>
      <w:r w:rsidRPr="009174F1">
        <w:rPr>
          <w:lang w:val="pl-PL"/>
        </w:rPr>
        <w:t xml:space="preserve">• </w:t>
      </w:r>
      <w:r>
        <w:rPr>
          <w:lang w:val="pl-PL"/>
        </w:rPr>
        <w:t xml:space="preserve">status adwokata albo radcy prawnego oraz </w:t>
      </w:r>
      <w:r w:rsidRPr="009174F1">
        <w:rPr>
          <w:lang w:val="pl-PL"/>
        </w:rPr>
        <w:t xml:space="preserve">doświadczenie praktyczne w stosowaniu przepisów dotyczących pomocy publicznej i pomocy de </w:t>
      </w:r>
      <w:proofErr w:type="spellStart"/>
      <w:r w:rsidRPr="009174F1">
        <w:rPr>
          <w:lang w:val="pl-PL"/>
        </w:rPr>
        <w:t>minimis</w:t>
      </w:r>
      <w:proofErr w:type="spellEnd"/>
      <w:r w:rsidRPr="009174F1">
        <w:rPr>
          <w:lang w:val="pl-PL"/>
        </w:rPr>
        <w:t>, w szczególności przy przygotowywaniu opinii, projektowaniu lub opiniowaniu instrumentów wsparcia, realizacji projektów, kontrolach, audytach lub sprawach związanych z udzielaniem pomocy;</w:t>
      </w:r>
    </w:p>
    <w:p w14:paraId="2FB382A3" w14:textId="578CC1A9" w:rsidR="00D71BD3" w:rsidRDefault="00D71BD3" w:rsidP="00D71BD3">
      <w:pPr>
        <w:pStyle w:val="Nagwek1"/>
        <w:spacing w:before="160" w:after="80"/>
      </w:pPr>
      <w:r>
        <w:t xml:space="preserve">8. </w:t>
      </w:r>
      <w:proofErr w:type="spellStart"/>
      <w:r>
        <w:t>Produkty</w:t>
      </w:r>
      <w:proofErr w:type="spellEnd"/>
      <w:r>
        <w:t xml:space="preserve"> i </w:t>
      </w:r>
      <w:proofErr w:type="spellStart"/>
      <w:r w:rsidR="007A40C9">
        <w:t>warunki</w:t>
      </w:r>
      <w:proofErr w:type="spellEnd"/>
      <w:r>
        <w:t xml:space="preserve"> </w:t>
      </w:r>
      <w:proofErr w:type="spellStart"/>
      <w:r>
        <w:t>odbioru</w:t>
      </w:r>
      <w:proofErr w:type="spellEnd"/>
    </w:p>
    <w:tbl>
      <w:tblPr>
        <w:tblStyle w:val="Tabela-Siatka"/>
        <w:tblW w:w="0" w:type="auto"/>
        <w:jc w:val="center"/>
        <w:tblBorders>
          <w:top w:val="single" w:sz="8" w:space="0" w:color="C7D2E2"/>
          <w:left w:val="single" w:sz="8" w:space="0" w:color="C7D2E2"/>
          <w:bottom w:val="single" w:sz="8" w:space="0" w:color="C7D2E2"/>
          <w:right w:val="single" w:sz="8" w:space="0" w:color="C7D2E2"/>
          <w:insideH w:val="single" w:sz="8" w:space="0" w:color="C7D2E2"/>
          <w:insideV w:val="single" w:sz="8" w:space="0" w:color="C7D2E2"/>
        </w:tblBorders>
        <w:tblLayout w:type="fixed"/>
        <w:tblLook w:val="04A0" w:firstRow="1" w:lastRow="0" w:firstColumn="1" w:lastColumn="0" w:noHBand="0" w:noVBand="1"/>
      </w:tblPr>
      <w:tblGrid>
        <w:gridCol w:w="2714"/>
        <w:gridCol w:w="6180"/>
      </w:tblGrid>
      <w:tr w:rsidR="00D71BD3" w14:paraId="2C1466A7" w14:textId="77777777" w:rsidTr="00FC1D31">
        <w:trPr>
          <w:jc w:val="center"/>
        </w:trPr>
        <w:tc>
          <w:tcPr>
            <w:tcW w:w="2714" w:type="dxa"/>
            <w:shd w:val="clear" w:color="auto" w:fill="D9E8F5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4A769E7" w14:textId="77777777" w:rsidR="00D71BD3" w:rsidRDefault="00D71BD3" w:rsidP="00FC1D31">
            <w:pPr>
              <w:spacing w:line="245" w:lineRule="auto"/>
            </w:pPr>
            <w:proofErr w:type="spellStart"/>
            <w:r>
              <w:rPr>
                <w:b/>
                <w:color w:val="00397A"/>
                <w:sz w:val="18"/>
              </w:rPr>
              <w:t>Produkt</w:t>
            </w:r>
            <w:proofErr w:type="spellEnd"/>
          </w:p>
        </w:tc>
        <w:tc>
          <w:tcPr>
            <w:tcW w:w="6180" w:type="dxa"/>
            <w:shd w:val="clear" w:color="auto" w:fill="D9E8F5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5968FB7" w14:textId="77777777" w:rsidR="00D71BD3" w:rsidRDefault="00D71BD3" w:rsidP="00FC1D31">
            <w:pPr>
              <w:spacing w:line="245" w:lineRule="auto"/>
            </w:pPr>
            <w:r>
              <w:rPr>
                <w:b/>
                <w:color w:val="00397A"/>
                <w:sz w:val="18"/>
              </w:rPr>
              <w:t xml:space="preserve">Warunek </w:t>
            </w:r>
            <w:proofErr w:type="spellStart"/>
            <w:r>
              <w:rPr>
                <w:b/>
                <w:color w:val="00397A"/>
                <w:sz w:val="18"/>
              </w:rPr>
              <w:t>odbioru</w:t>
            </w:r>
            <w:proofErr w:type="spellEnd"/>
          </w:p>
        </w:tc>
      </w:tr>
      <w:tr w:rsidR="00D71BD3" w:rsidRPr="00A13FB6" w14:paraId="6149F4E0" w14:textId="77777777" w:rsidTr="00FC1D31">
        <w:trPr>
          <w:jc w:val="center"/>
        </w:trPr>
        <w:tc>
          <w:tcPr>
            <w:tcW w:w="2714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5B2E238" w14:textId="77777777" w:rsidR="00D71BD3" w:rsidRDefault="00D71BD3" w:rsidP="00FC1D31">
            <w:pPr>
              <w:spacing w:line="245" w:lineRule="auto"/>
            </w:pPr>
            <w:r>
              <w:rPr>
                <w:sz w:val="18"/>
              </w:rPr>
              <w:t xml:space="preserve">Program </w:t>
            </w:r>
            <w:proofErr w:type="spellStart"/>
            <w:r>
              <w:rPr>
                <w:sz w:val="18"/>
              </w:rPr>
              <w:t>szczegółowy</w:t>
            </w:r>
            <w:proofErr w:type="spellEnd"/>
          </w:p>
        </w:tc>
        <w:tc>
          <w:tcPr>
            <w:tcW w:w="6180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A9D581B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8"/>
                <w:lang w:val="pl-PL"/>
              </w:rPr>
              <w:t>przekazany do akceptacji przed szkoleniem, spójny z niniejszym OPZ i zebranym wkładem wydziałów</w:t>
            </w:r>
          </w:p>
        </w:tc>
      </w:tr>
      <w:tr w:rsidR="00D71BD3" w:rsidRPr="00A13FB6" w14:paraId="68035EC6" w14:textId="77777777" w:rsidTr="00FC1D31">
        <w:trPr>
          <w:jc w:val="center"/>
        </w:trPr>
        <w:tc>
          <w:tcPr>
            <w:tcW w:w="271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D4412E2" w14:textId="77777777" w:rsidR="00D71BD3" w:rsidRDefault="00D71BD3" w:rsidP="00FC1D31">
            <w:pPr>
              <w:spacing w:line="245" w:lineRule="auto"/>
            </w:pPr>
            <w:proofErr w:type="spellStart"/>
            <w:r>
              <w:rPr>
                <w:sz w:val="18"/>
              </w:rPr>
              <w:t>Materiały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szkoleniowe</w:t>
            </w:r>
            <w:proofErr w:type="spellEnd"/>
          </w:p>
        </w:tc>
        <w:tc>
          <w:tcPr>
            <w:tcW w:w="61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955C50" w14:textId="406AD3D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8"/>
                <w:lang w:val="pl-PL"/>
              </w:rPr>
              <w:t xml:space="preserve">elektroniczne, czytelne, możliwe do wykorzystania po szkoleniu, opatrzone wymaganymi oznaczeniami </w:t>
            </w:r>
          </w:p>
        </w:tc>
      </w:tr>
      <w:tr w:rsidR="00D71BD3" w:rsidRPr="00A13FB6" w14:paraId="2DCB8D8B" w14:textId="77777777" w:rsidTr="00FC1D31">
        <w:trPr>
          <w:jc w:val="center"/>
        </w:trPr>
        <w:tc>
          <w:tcPr>
            <w:tcW w:w="2714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457B97B" w14:textId="77777777" w:rsidR="00D71BD3" w:rsidRDefault="00D71BD3" w:rsidP="00FC1D31">
            <w:pPr>
              <w:spacing w:line="245" w:lineRule="auto"/>
            </w:pPr>
            <w:r>
              <w:rPr>
                <w:sz w:val="18"/>
              </w:rPr>
              <w:t>Case studies</w:t>
            </w:r>
          </w:p>
        </w:tc>
        <w:tc>
          <w:tcPr>
            <w:tcW w:w="6180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4737E93" w14:textId="77777777" w:rsidR="00D71BD3" w:rsidRPr="00F112FD" w:rsidRDefault="00D71BD3" w:rsidP="00FC1D31">
            <w:pPr>
              <w:rPr>
                <w:lang w:val="pl-PL"/>
              </w:rPr>
            </w:pPr>
            <w:r w:rsidRPr="00F112FD">
              <w:rPr>
                <w:sz w:val="18"/>
                <w:lang w:val="pl-PL"/>
              </w:rPr>
              <w:t>co najmniej 5, osadzone w praktyce DIN, w tym co najmniej 1 dotyczące najczęstszych błędów identyfikowanych w toku kontroli lub audytu</w:t>
            </w:r>
          </w:p>
        </w:tc>
      </w:tr>
      <w:tr w:rsidR="00D71BD3" w:rsidRPr="00A13FB6" w14:paraId="2AAA7A6A" w14:textId="77777777" w:rsidTr="00FC1D31">
        <w:trPr>
          <w:jc w:val="center"/>
        </w:trPr>
        <w:tc>
          <w:tcPr>
            <w:tcW w:w="271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501D38D" w14:textId="77777777" w:rsidR="00D71BD3" w:rsidRDefault="00D71BD3" w:rsidP="00FC1D31">
            <w:pPr>
              <w:spacing w:line="245" w:lineRule="auto"/>
            </w:pPr>
            <w:proofErr w:type="spellStart"/>
            <w:r>
              <w:rPr>
                <w:sz w:val="18"/>
              </w:rPr>
              <w:t>Przeprowadzenie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szkolenia</w:t>
            </w:r>
            <w:proofErr w:type="spellEnd"/>
          </w:p>
        </w:tc>
        <w:tc>
          <w:tcPr>
            <w:tcW w:w="61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21DC20E" w14:textId="7777777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8"/>
                <w:lang w:val="pl-PL"/>
              </w:rPr>
              <w:t>dwie edycje w uzgodnionych terminach, z aktywnym udziałem uczestników i czasem na pytania</w:t>
            </w:r>
          </w:p>
        </w:tc>
      </w:tr>
      <w:tr w:rsidR="00D71BD3" w:rsidRPr="00A13FB6" w14:paraId="0599E8BB" w14:textId="77777777" w:rsidTr="00FC1D31">
        <w:trPr>
          <w:jc w:val="center"/>
        </w:trPr>
        <w:tc>
          <w:tcPr>
            <w:tcW w:w="2714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926FA7D" w14:textId="77777777" w:rsidR="00D71BD3" w:rsidRDefault="00D71BD3" w:rsidP="00FC1D31">
            <w:pPr>
              <w:spacing w:line="245" w:lineRule="auto"/>
            </w:pPr>
            <w:proofErr w:type="spellStart"/>
            <w:r>
              <w:rPr>
                <w:sz w:val="18"/>
              </w:rPr>
              <w:t>Materiał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poszkoleniowy</w:t>
            </w:r>
            <w:proofErr w:type="spellEnd"/>
          </w:p>
        </w:tc>
        <w:tc>
          <w:tcPr>
            <w:tcW w:w="6180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648047" w14:textId="77777777" w:rsidR="00D71BD3" w:rsidRPr="00F112FD" w:rsidRDefault="00D71BD3" w:rsidP="00FC1D31">
            <w:pPr>
              <w:rPr>
                <w:lang w:val="pl-PL"/>
              </w:rPr>
            </w:pPr>
            <w:r w:rsidRPr="00F112FD">
              <w:rPr>
                <w:sz w:val="18"/>
                <w:lang w:val="pl-PL"/>
              </w:rPr>
              <w:t xml:space="preserve">krótka </w:t>
            </w:r>
            <w:proofErr w:type="spellStart"/>
            <w:r w:rsidRPr="00F112FD">
              <w:rPr>
                <w:sz w:val="18"/>
                <w:lang w:val="pl-PL"/>
              </w:rPr>
              <w:t>checklista</w:t>
            </w:r>
            <w:proofErr w:type="spellEnd"/>
            <w:r w:rsidRPr="00F112FD">
              <w:rPr>
                <w:sz w:val="18"/>
                <w:lang w:val="pl-PL"/>
              </w:rPr>
              <w:t xml:space="preserve"> / drzewko decyzyjne, katalog najczęstszych błędów lub analogiczne narzędzie praktyczne</w:t>
            </w:r>
          </w:p>
        </w:tc>
      </w:tr>
      <w:tr w:rsidR="00D71BD3" w:rsidRPr="00A13FB6" w14:paraId="4CB05757" w14:textId="77777777" w:rsidTr="00FC1D31">
        <w:trPr>
          <w:jc w:val="center"/>
        </w:trPr>
        <w:tc>
          <w:tcPr>
            <w:tcW w:w="271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82059A" w14:textId="77777777" w:rsidR="00D71BD3" w:rsidRDefault="00D71BD3" w:rsidP="00FC1D31">
            <w:pPr>
              <w:spacing w:line="245" w:lineRule="auto"/>
            </w:pPr>
            <w:proofErr w:type="spellStart"/>
            <w:r>
              <w:rPr>
                <w:sz w:val="18"/>
              </w:rPr>
              <w:t>Dokumentacja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odbiorowa</w:t>
            </w:r>
            <w:proofErr w:type="spellEnd"/>
          </w:p>
        </w:tc>
        <w:tc>
          <w:tcPr>
            <w:tcW w:w="61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31DE394" w14:textId="734A3767" w:rsidR="00D71BD3" w:rsidRDefault="00D71BD3" w:rsidP="00FC1D31">
            <w:pPr>
              <w:spacing w:line="245" w:lineRule="auto"/>
              <w:rPr>
                <w:lang w:val="pl-PL"/>
              </w:rPr>
            </w:pPr>
            <w:r>
              <w:rPr>
                <w:sz w:val="18"/>
                <w:lang w:val="pl-PL"/>
              </w:rPr>
              <w:t>lista obecności, ankieta ewaluacyjna, protokół odbioru lub inny dowód należytego wykonania zgodny z wymaganiami MRiT</w:t>
            </w:r>
          </w:p>
        </w:tc>
      </w:tr>
    </w:tbl>
    <w:p w14:paraId="241395C0" w14:textId="77777777" w:rsidR="00D71BD3" w:rsidRDefault="00D71BD3" w:rsidP="00D71BD3">
      <w:pPr>
        <w:pStyle w:val="Nagwek1"/>
        <w:spacing w:before="160" w:after="80"/>
        <w:rPr>
          <w:lang w:val="pl-PL"/>
        </w:rPr>
      </w:pPr>
      <w:r>
        <w:rPr>
          <w:lang w:val="pl-PL"/>
        </w:rPr>
        <w:t>9. Dostępność i oznaczenia</w:t>
      </w:r>
    </w:p>
    <w:p w14:paraId="1E64A4DE" w14:textId="2E42F757" w:rsidR="00D71BD3" w:rsidRDefault="00D71BD3" w:rsidP="00D71BD3">
      <w:pPr>
        <w:spacing w:after="80" w:line="269" w:lineRule="auto"/>
        <w:rPr>
          <w:lang w:val="pl-PL"/>
        </w:rPr>
      </w:pPr>
      <w:r>
        <w:rPr>
          <w:lang w:val="pl-PL"/>
        </w:rPr>
        <w:t>Wykonawca musi uwzględnić zasady dostępności i równego traktowania oraz stosować oznaczenia wymagane dla finansowania z Funduszy Europejskich. Materiały powinny być przygotowane w czytelnej formie, z odpowiednim kontrastem, logiczną strukturą i możliwością wygodnego wykorzystania w formie elektronicznej.</w:t>
      </w:r>
    </w:p>
    <w:p w14:paraId="1615A261" w14:textId="013C5E90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>• na materiałach, programie szkolenia i – jeżeli będą przygotowywane – formularzach / listach obecności należy stosować uzgodnione oznaczenia FE / RP / UE oraz programowe;</w:t>
      </w:r>
    </w:p>
    <w:p w14:paraId="570332E3" w14:textId="1738A1EC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>• należy sprawdzić z opiekunem FE, czy poza standardowym zestawieniem znaków wymagane są dodatkowe formuły informacyjne lub wzory dokumentów;</w:t>
      </w:r>
    </w:p>
    <w:p w14:paraId="30C40B87" w14:textId="77777777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>• w przypadku przetwarzania danych uczestników zakres danych i ewentualną potrzebę zawarcia umowy powierzenia należy uzgodnić z IOD.</w:t>
      </w:r>
    </w:p>
    <w:p w14:paraId="6BFB0472" w14:textId="77777777" w:rsidR="00D71BD3" w:rsidRDefault="00D71BD3" w:rsidP="00D71BD3">
      <w:pPr>
        <w:pStyle w:val="Nagwek1"/>
        <w:spacing w:before="160" w:after="80"/>
        <w:rPr>
          <w:lang w:val="pl-PL"/>
        </w:rPr>
      </w:pPr>
      <w:r>
        <w:rPr>
          <w:lang w:val="pl-PL"/>
        </w:rPr>
        <w:lastRenderedPageBreak/>
        <w:t>10. Informacje wymagane w ofercie / odpowiedzi wykonawcy</w:t>
      </w:r>
    </w:p>
    <w:p w14:paraId="17E6716B" w14:textId="77777777" w:rsidR="00D71BD3" w:rsidRPr="00F112FD" w:rsidRDefault="00D71BD3" w:rsidP="00D71BD3">
      <w:pPr>
        <w:rPr>
          <w:lang w:val="pl-PL"/>
        </w:rPr>
      </w:pPr>
      <w:r w:rsidRPr="00F112FD">
        <w:rPr>
          <w:lang w:val="pl-PL"/>
        </w:rPr>
        <w:t xml:space="preserve">Poniższe informacje </w:t>
      </w:r>
      <w:r>
        <w:rPr>
          <w:lang w:val="pl-PL"/>
        </w:rPr>
        <w:t>powinny</w:t>
      </w:r>
      <w:r w:rsidRPr="00F112FD">
        <w:rPr>
          <w:lang w:val="pl-PL"/>
        </w:rPr>
        <w:t xml:space="preserve"> zostać przedstawione w formularzu oferty albo w załączniku do oferty, zgodnie z dokumentacją postępowania.</w:t>
      </w:r>
    </w:p>
    <w:p w14:paraId="7E99CDD7" w14:textId="0B290D8F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>• cena netto i brutto za całość zamówienia</w:t>
      </w:r>
      <w:r w:rsidR="007A40C9">
        <w:rPr>
          <w:rStyle w:val="Odwoanieprzypisudolnego"/>
          <w:lang w:val="pl-PL"/>
        </w:rPr>
        <w:footnoteReference w:id="1"/>
      </w:r>
      <w:r w:rsidRPr="00F112FD">
        <w:rPr>
          <w:lang w:val="pl-PL"/>
        </w:rPr>
        <w:t xml:space="preserve"> oraz – pomocniczo – za jedną edycję szkolenia;</w:t>
      </w:r>
    </w:p>
    <w:p w14:paraId="6D7AA53E" w14:textId="77777777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>• proponowany harmonogram i dostępność terminów do 15 czerwca 2026 r.;</w:t>
      </w:r>
    </w:p>
    <w:p w14:paraId="15222A58" w14:textId="77777777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 xml:space="preserve">• opis doświadczenia trenera/trenerów, w tym wykaz przeprowadzonych szkoleń oraz doświadczenia praktycznego w stosowaniu przepisów dotyczących pomocy publicznej i pomocy de </w:t>
      </w:r>
      <w:proofErr w:type="spellStart"/>
      <w:r w:rsidRPr="00F112FD">
        <w:rPr>
          <w:lang w:val="pl-PL"/>
        </w:rPr>
        <w:t>minimis</w:t>
      </w:r>
      <w:proofErr w:type="spellEnd"/>
      <w:r w:rsidRPr="00F112FD">
        <w:rPr>
          <w:lang w:val="pl-PL"/>
        </w:rPr>
        <w:t>, wraz z referencjami lub innym potwierdzeniem;</w:t>
      </w:r>
    </w:p>
    <w:p w14:paraId="5ABF3E52" w14:textId="77777777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 xml:space="preserve">• opis wstępnej koncepcji programu i proponowanych obszarów </w:t>
      </w:r>
      <w:proofErr w:type="spellStart"/>
      <w:r w:rsidRPr="00F112FD">
        <w:rPr>
          <w:lang w:val="pl-PL"/>
        </w:rPr>
        <w:t>case</w:t>
      </w:r>
      <w:proofErr w:type="spellEnd"/>
      <w:r w:rsidRPr="00F112FD">
        <w:rPr>
          <w:lang w:val="pl-PL"/>
        </w:rPr>
        <w:t xml:space="preserve"> </w:t>
      </w:r>
      <w:proofErr w:type="spellStart"/>
      <w:r w:rsidRPr="00F112FD">
        <w:rPr>
          <w:lang w:val="pl-PL"/>
        </w:rPr>
        <w:t>studies</w:t>
      </w:r>
      <w:proofErr w:type="spellEnd"/>
      <w:r w:rsidRPr="00F112FD">
        <w:rPr>
          <w:lang w:val="pl-PL"/>
        </w:rPr>
        <w:t xml:space="preserve"> odnoszących się do zakresu działania DIN wskazanego w OPZ;</w:t>
      </w:r>
    </w:p>
    <w:p w14:paraId="75C6AD26" w14:textId="77777777" w:rsidR="00D71BD3" w:rsidRDefault="00D71BD3" w:rsidP="00D71BD3">
      <w:pPr>
        <w:spacing w:after="40" w:line="259" w:lineRule="auto"/>
        <w:ind w:left="283" w:hanging="198"/>
        <w:rPr>
          <w:lang w:val="pl-PL"/>
        </w:rPr>
      </w:pPr>
      <w:r w:rsidRPr="00F112FD">
        <w:rPr>
          <w:lang w:val="pl-PL"/>
        </w:rPr>
        <w:t xml:space="preserve">• opis metodyki przygotowania programu szczegółowego, </w:t>
      </w:r>
      <w:proofErr w:type="spellStart"/>
      <w:r w:rsidRPr="00F112FD">
        <w:rPr>
          <w:lang w:val="pl-PL"/>
        </w:rPr>
        <w:t>case</w:t>
      </w:r>
      <w:proofErr w:type="spellEnd"/>
      <w:r w:rsidRPr="00F112FD">
        <w:rPr>
          <w:lang w:val="pl-PL"/>
        </w:rPr>
        <w:t xml:space="preserve"> </w:t>
      </w:r>
      <w:proofErr w:type="spellStart"/>
      <w:r w:rsidRPr="00F112FD">
        <w:rPr>
          <w:lang w:val="pl-PL"/>
        </w:rPr>
        <w:t>studies</w:t>
      </w:r>
      <w:proofErr w:type="spellEnd"/>
      <w:r w:rsidRPr="00F112FD">
        <w:rPr>
          <w:lang w:val="pl-PL"/>
        </w:rPr>
        <w:t xml:space="preserve"> i materiału poszkoleniowego po analizie materiałów przekazanych przez zamawiającego;</w:t>
      </w:r>
    </w:p>
    <w:p w14:paraId="61ED7114" w14:textId="77777777" w:rsidR="00D71BD3" w:rsidRDefault="00D71BD3" w:rsidP="00D71BD3">
      <w:pPr>
        <w:pStyle w:val="Nagwek1"/>
        <w:spacing w:before="160" w:after="80"/>
      </w:pPr>
      <w:r>
        <w:t xml:space="preserve">11. </w:t>
      </w:r>
      <w:proofErr w:type="spellStart"/>
      <w:r>
        <w:t>Kryteria</w:t>
      </w:r>
      <w:proofErr w:type="spellEnd"/>
      <w:r>
        <w:t xml:space="preserve"> </w:t>
      </w:r>
      <w:proofErr w:type="spellStart"/>
      <w:r>
        <w:t>oceny</w:t>
      </w:r>
      <w:proofErr w:type="spellEnd"/>
    </w:p>
    <w:tbl>
      <w:tblPr>
        <w:tblStyle w:val="Tabela-Siatka"/>
        <w:tblW w:w="0" w:type="auto"/>
        <w:jc w:val="center"/>
        <w:tblBorders>
          <w:top w:val="single" w:sz="8" w:space="0" w:color="C7D2E2"/>
          <w:left w:val="single" w:sz="8" w:space="0" w:color="C7D2E2"/>
          <w:bottom w:val="single" w:sz="8" w:space="0" w:color="C7D2E2"/>
          <w:right w:val="single" w:sz="8" w:space="0" w:color="C7D2E2"/>
          <w:insideH w:val="single" w:sz="8" w:space="0" w:color="C7D2E2"/>
          <w:insideV w:val="single" w:sz="8" w:space="0" w:color="C7D2E2"/>
        </w:tblBorders>
        <w:tblLayout w:type="fixed"/>
        <w:tblLook w:val="04A0" w:firstRow="1" w:lastRow="0" w:firstColumn="1" w:lastColumn="0" w:noHBand="0" w:noVBand="1"/>
      </w:tblPr>
      <w:tblGrid>
        <w:gridCol w:w="7257"/>
        <w:gridCol w:w="1701"/>
      </w:tblGrid>
      <w:tr w:rsidR="00D71BD3" w14:paraId="7832865F" w14:textId="77777777" w:rsidTr="00FC1D31">
        <w:trPr>
          <w:jc w:val="center"/>
        </w:trPr>
        <w:tc>
          <w:tcPr>
            <w:tcW w:w="7257" w:type="dxa"/>
            <w:shd w:val="clear" w:color="auto" w:fill="D9E8F5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D180A38" w14:textId="77777777" w:rsidR="00D71BD3" w:rsidRDefault="00D71BD3" w:rsidP="00FC1D31">
            <w:pPr>
              <w:spacing w:line="245" w:lineRule="auto"/>
            </w:pPr>
            <w:proofErr w:type="spellStart"/>
            <w:r>
              <w:rPr>
                <w:b/>
                <w:color w:val="00397A"/>
                <w:sz w:val="18"/>
              </w:rPr>
              <w:t>Kryterium</w:t>
            </w:r>
            <w:proofErr w:type="spellEnd"/>
          </w:p>
        </w:tc>
        <w:tc>
          <w:tcPr>
            <w:tcW w:w="1701" w:type="dxa"/>
            <w:shd w:val="clear" w:color="auto" w:fill="D9E8F5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4CED25" w14:textId="77777777" w:rsidR="00D71BD3" w:rsidRDefault="00D71BD3" w:rsidP="00FC1D31">
            <w:pPr>
              <w:spacing w:line="245" w:lineRule="auto"/>
            </w:pPr>
            <w:r>
              <w:rPr>
                <w:b/>
                <w:color w:val="00397A"/>
                <w:sz w:val="18"/>
              </w:rPr>
              <w:t>Waga</w:t>
            </w:r>
          </w:p>
        </w:tc>
      </w:tr>
      <w:tr w:rsidR="00D71BD3" w14:paraId="7B6188A5" w14:textId="77777777" w:rsidTr="00FC1D31">
        <w:trPr>
          <w:jc w:val="center"/>
        </w:trPr>
        <w:tc>
          <w:tcPr>
            <w:tcW w:w="7257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559D3DC" w14:textId="77777777" w:rsidR="00D71BD3" w:rsidRDefault="00D71BD3" w:rsidP="00FC1D31">
            <w:pPr>
              <w:spacing w:line="245" w:lineRule="auto"/>
            </w:pPr>
            <w:r>
              <w:rPr>
                <w:sz w:val="18"/>
              </w:rPr>
              <w:t xml:space="preserve">Cena </w:t>
            </w:r>
            <w:proofErr w:type="spellStart"/>
            <w:r>
              <w:rPr>
                <w:sz w:val="18"/>
              </w:rPr>
              <w:t>brutto</w:t>
            </w:r>
            <w:proofErr w:type="spellEnd"/>
          </w:p>
        </w:tc>
        <w:tc>
          <w:tcPr>
            <w:tcW w:w="1701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22187C0" w14:textId="77777777" w:rsidR="00D71BD3" w:rsidRDefault="00D71BD3" w:rsidP="00FC1D31">
            <w:r>
              <w:t>30%</w:t>
            </w:r>
          </w:p>
        </w:tc>
      </w:tr>
      <w:tr w:rsidR="00D71BD3" w:rsidRPr="00685CC6" w14:paraId="64C97C91" w14:textId="77777777" w:rsidTr="00FC1D31">
        <w:trPr>
          <w:jc w:val="center"/>
        </w:trPr>
        <w:tc>
          <w:tcPr>
            <w:tcW w:w="725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C40F1C" w14:textId="77777777" w:rsidR="00D71BD3" w:rsidRPr="00685CC6" w:rsidRDefault="00D71BD3" w:rsidP="00FC1D31">
            <w:pPr>
              <w:spacing w:line="245" w:lineRule="auto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D</w:t>
            </w:r>
            <w:r w:rsidRPr="00685CC6">
              <w:rPr>
                <w:sz w:val="18"/>
                <w:lang w:val="pl-PL"/>
              </w:rPr>
              <w:t xml:space="preserve">oświadczenie </w:t>
            </w:r>
            <w:r>
              <w:rPr>
                <w:sz w:val="18"/>
                <w:lang w:val="pl-PL"/>
              </w:rPr>
              <w:t xml:space="preserve">wykonawcy </w:t>
            </w:r>
            <w:r w:rsidRPr="00685CC6">
              <w:rPr>
                <w:sz w:val="18"/>
                <w:lang w:val="pl-PL"/>
              </w:rPr>
              <w:t>w realizacji szkoleń dla administracji publicznej lub instytucji realizujących instrumenty wsparcia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849809" w14:textId="77777777" w:rsidR="00D71BD3" w:rsidRPr="00685CC6" w:rsidRDefault="00D71BD3" w:rsidP="00FC1D31">
            <w:pPr>
              <w:rPr>
                <w:lang w:val="pl-PL"/>
              </w:rPr>
            </w:pPr>
            <w:r>
              <w:rPr>
                <w:lang w:val="pl-PL"/>
              </w:rPr>
              <w:t>15%</w:t>
            </w:r>
          </w:p>
        </w:tc>
      </w:tr>
      <w:tr w:rsidR="00D71BD3" w14:paraId="42533264" w14:textId="77777777" w:rsidTr="00FC1D31">
        <w:trPr>
          <w:jc w:val="center"/>
        </w:trPr>
        <w:tc>
          <w:tcPr>
            <w:tcW w:w="725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0BCA4B7" w14:textId="77777777" w:rsidR="00D71BD3" w:rsidRPr="00F112FD" w:rsidRDefault="00D71BD3" w:rsidP="00FC1D31">
            <w:pPr>
              <w:spacing w:line="245" w:lineRule="auto"/>
              <w:rPr>
                <w:lang w:val="pl-PL"/>
              </w:rPr>
            </w:pPr>
            <w:r w:rsidRPr="00685CC6">
              <w:rPr>
                <w:sz w:val="18"/>
                <w:lang w:val="pl-PL"/>
              </w:rPr>
              <w:t xml:space="preserve">Doświadczenie trenera w prowadzeniu szkoleń oraz praktycznym stosowaniu przepisów dotyczących pomocy publicznej / de </w:t>
            </w:r>
            <w:proofErr w:type="spellStart"/>
            <w:r w:rsidRPr="00685CC6">
              <w:rPr>
                <w:sz w:val="18"/>
                <w:lang w:val="pl-PL"/>
              </w:rPr>
              <w:t>minimis</w:t>
            </w:r>
            <w:proofErr w:type="spellEnd"/>
            <w:r w:rsidRPr="00685CC6">
              <w:rPr>
                <w:sz w:val="18"/>
                <w:lang w:val="pl-PL"/>
              </w:rPr>
              <w:t xml:space="preserve"> dla administracji lub instytucji realizujących instrumenty wsparcia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007B263" w14:textId="77777777" w:rsidR="00D71BD3" w:rsidRDefault="00D71BD3" w:rsidP="00FC1D31">
            <w:r>
              <w:t>15%</w:t>
            </w:r>
          </w:p>
        </w:tc>
      </w:tr>
      <w:tr w:rsidR="00D71BD3" w14:paraId="27FF4A6F" w14:textId="77777777" w:rsidTr="00FC1D31">
        <w:trPr>
          <w:jc w:val="center"/>
        </w:trPr>
        <w:tc>
          <w:tcPr>
            <w:tcW w:w="7257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CC1098A" w14:textId="77777777" w:rsidR="00D71BD3" w:rsidRPr="00F112FD" w:rsidRDefault="00D71BD3" w:rsidP="00FC1D31">
            <w:pPr>
              <w:spacing w:line="245" w:lineRule="auto"/>
              <w:rPr>
                <w:lang w:val="pl-PL"/>
              </w:rPr>
            </w:pPr>
            <w:r w:rsidRPr="00D71BD3">
              <w:rPr>
                <w:sz w:val="18"/>
                <w:lang w:val="pl-PL"/>
              </w:rPr>
              <w:t xml:space="preserve">Koncepcja dostosowania programu i obszarów </w:t>
            </w:r>
            <w:proofErr w:type="spellStart"/>
            <w:r w:rsidRPr="00D71BD3">
              <w:rPr>
                <w:sz w:val="18"/>
                <w:lang w:val="pl-PL"/>
              </w:rPr>
              <w:t>case</w:t>
            </w:r>
            <w:proofErr w:type="spellEnd"/>
            <w:r w:rsidRPr="00D71BD3">
              <w:rPr>
                <w:sz w:val="18"/>
                <w:lang w:val="pl-PL"/>
              </w:rPr>
              <w:t xml:space="preserve"> </w:t>
            </w:r>
            <w:proofErr w:type="spellStart"/>
            <w:r w:rsidRPr="00D71BD3">
              <w:rPr>
                <w:sz w:val="18"/>
                <w:lang w:val="pl-PL"/>
              </w:rPr>
              <w:t>studies</w:t>
            </w:r>
            <w:proofErr w:type="spellEnd"/>
            <w:r w:rsidRPr="00D71BD3">
              <w:rPr>
                <w:sz w:val="18"/>
                <w:lang w:val="pl-PL"/>
              </w:rPr>
              <w:t xml:space="preserve"> do zakresu działania DIN</w:t>
            </w:r>
          </w:p>
        </w:tc>
        <w:tc>
          <w:tcPr>
            <w:tcW w:w="1701" w:type="dxa"/>
            <w:shd w:val="clear" w:color="auto" w:fill="FAFCFE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497A0C3" w14:textId="77777777" w:rsidR="00D71BD3" w:rsidRDefault="00D71BD3" w:rsidP="00FC1D31">
            <w:r>
              <w:t>30%</w:t>
            </w:r>
          </w:p>
        </w:tc>
      </w:tr>
      <w:tr w:rsidR="00D71BD3" w14:paraId="00AA7948" w14:textId="77777777" w:rsidTr="00FC1D31">
        <w:trPr>
          <w:jc w:val="center"/>
        </w:trPr>
        <w:tc>
          <w:tcPr>
            <w:tcW w:w="725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7D745E4" w14:textId="77777777" w:rsidR="00D71BD3" w:rsidRPr="00F112FD" w:rsidRDefault="00D71BD3" w:rsidP="00FC1D31">
            <w:pPr>
              <w:spacing w:line="245" w:lineRule="auto"/>
              <w:rPr>
                <w:lang w:val="pl-PL"/>
              </w:rPr>
            </w:pPr>
            <w:r w:rsidRPr="00D71BD3">
              <w:rPr>
                <w:sz w:val="18"/>
                <w:lang w:val="pl-PL"/>
              </w:rPr>
              <w:t>Metodyka przygotowania materiałów i narzędzia poszkoleniowego</w:t>
            </w:r>
          </w:p>
        </w:tc>
        <w:tc>
          <w:tcPr>
            <w:tcW w:w="170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8A0ECD4" w14:textId="77777777" w:rsidR="00D71BD3" w:rsidRDefault="00D71BD3" w:rsidP="00FC1D31">
            <w:r>
              <w:t>10%</w:t>
            </w:r>
          </w:p>
        </w:tc>
      </w:tr>
    </w:tbl>
    <w:p w14:paraId="26FB60BA" w14:textId="77777777" w:rsidR="00D71BD3" w:rsidRDefault="00D71BD3" w:rsidP="00D71BD3"/>
    <w:p w14:paraId="1E2B3E1E" w14:textId="77777777" w:rsidR="00FD01AB" w:rsidRPr="00D71BD3" w:rsidRDefault="00FD01AB" w:rsidP="00D71BD3"/>
    <w:sectPr w:rsidR="00FD01AB" w:rsidRPr="00D71BD3" w:rsidSect="00034616">
      <w:headerReference w:type="default" r:id="rId9"/>
      <w:footerReference w:type="default" r:id="rId10"/>
      <w:pgSz w:w="11906" w:h="16838"/>
      <w:pgMar w:top="1134" w:right="1134" w:bottom="1020" w:left="1134" w:header="255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79BC" w14:textId="77777777" w:rsidR="007035B6" w:rsidRDefault="007035B6">
      <w:pPr>
        <w:spacing w:after="0" w:line="240" w:lineRule="auto"/>
      </w:pPr>
      <w:r>
        <w:separator/>
      </w:r>
    </w:p>
  </w:endnote>
  <w:endnote w:type="continuationSeparator" w:id="0">
    <w:p w14:paraId="70F94DED" w14:textId="77777777" w:rsidR="007035B6" w:rsidRDefault="0070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1B21" w14:textId="4F03C6ED" w:rsidR="00FD01AB" w:rsidRPr="00AB67CB" w:rsidRDefault="00FD01AB">
    <w:pPr>
      <w:pStyle w:val="Stopka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2878" w14:textId="77777777" w:rsidR="007035B6" w:rsidRDefault="007035B6">
      <w:pPr>
        <w:spacing w:after="0" w:line="240" w:lineRule="auto"/>
      </w:pPr>
      <w:r>
        <w:separator/>
      </w:r>
    </w:p>
  </w:footnote>
  <w:footnote w:type="continuationSeparator" w:id="0">
    <w:p w14:paraId="4DE003EC" w14:textId="77777777" w:rsidR="007035B6" w:rsidRDefault="007035B6">
      <w:pPr>
        <w:spacing w:after="0" w:line="240" w:lineRule="auto"/>
      </w:pPr>
      <w:r>
        <w:continuationSeparator/>
      </w:r>
    </w:p>
  </w:footnote>
  <w:footnote w:id="1">
    <w:p w14:paraId="40F9F061" w14:textId="20C01273" w:rsidR="007A40C9" w:rsidRPr="007A40C9" w:rsidRDefault="007A40C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A40C9">
        <w:rPr>
          <w:lang w:val="pl-PL"/>
        </w:rPr>
        <w:t xml:space="preserve"> </w:t>
      </w:r>
      <w:r>
        <w:rPr>
          <w:lang w:val="pl-PL"/>
        </w:rPr>
        <w:t>C</w:t>
      </w:r>
      <w:r w:rsidRPr="007A40C9">
        <w:rPr>
          <w:lang w:val="pl-PL"/>
        </w:rPr>
        <w:t xml:space="preserve">ena </w:t>
      </w:r>
      <w:r>
        <w:rPr>
          <w:lang w:val="pl-PL"/>
        </w:rPr>
        <w:t xml:space="preserve">za całość zamówienia </w:t>
      </w:r>
      <w:r w:rsidRPr="007A40C9">
        <w:rPr>
          <w:lang w:val="pl-PL"/>
        </w:rPr>
        <w:t>powinna uwzględniać wszystkie koszty związane z przygotowanie</w:t>
      </w:r>
      <w:r>
        <w:rPr>
          <w:lang w:val="pl-PL"/>
        </w:rPr>
        <w:t>m</w:t>
      </w:r>
      <w:r w:rsidRPr="007A40C9">
        <w:rPr>
          <w:lang w:val="pl-PL"/>
        </w:rPr>
        <w:t xml:space="preserve"> i przeprowadzeniem przedmiotowych szkoleń w tym kosztów związanych z dojazdem trenerów do miejsca przewidzianego na szkolenia plus </w:t>
      </w:r>
      <w:r>
        <w:rPr>
          <w:lang w:val="pl-PL"/>
        </w:rPr>
        <w:t xml:space="preserve">ich ewentualne </w:t>
      </w:r>
      <w:r w:rsidRPr="007A40C9">
        <w:rPr>
          <w:lang w:val="pl-PL"/>
        </w:rPr>
        <w:t>noclegi</w:t>
      </w:r>
      <w:r>
        <w:rPr>
          <w:lang w:val="pl-PL"/>
        </w:rPr>
        <w:t xml:space="preserve">, </w:t>
      </w:r>
      <w:r w:rsidRPr="007A40C9">
        <w:rPr>
          <w:lang w:val="pl-PL"/>
        </w:rPr>
        <w:t>wyżywienie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8915" w14:textId="63F6C70F" w:rsidR="00FD01AB" w:rsidRDefault="00A13FB6" w:rsidP="00B2383D">
    <w:pPr>
      <w:pStyle w:val="Nagwek"/>
    </w:pPr>
    <w:r>
      <w:rPr>
        <w:noProof/>
      </w:rPr>
      <w:drawing>
        <wp:inline distT="0" distB="0" distL="0" distR="0" wp14:anchorId="0D3F65CA" wp14:editId="2C6D35AF">
          <wp:extent cx="6120130" cy="5594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fe_banner.png"/>
                  <pic:cNvPicPr/>
                </pic:nvPicPr>
                <pic:blipFill rotWithShape="1">
                  <a:blip r:embed="rId1"/>
                  <a:srcRect t="-25740" b="25740"/>
                  <a:stretch>
                    <a:fillRect/>
                  </a:stretch>
                </pic:blipFill>
                <pic:spPr>
                  <a:xfrm>
                    <a:off x="0" y="0"/>
                    <a:ext cx="6120130" cy="55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3301202">
    <w:abstractNumId w:val="8"/>
  </w:num>
  <w:num w:numId="2" w16cid:durableId="901407066">
    <w:abstractNumId w:val="6"/>
  </w:num>
  <w:num w:numId="3" w16cid:durableId="1537541120">
    <w:abstractNumId w:val="5"/>
  </w:num>
  <w:num w:numId="4" w16cid:durableId="835657479">
    <w:abstractNumId w:val="4"/>
  </w:num>
  <w:num w:numId="5" w16cid:durableId="548304733">
    <w:abstractNumId w:val="7"/>
  </w:num>
  <w:num w:numId="6" w16cid:durableId="290131978">
    <w:abstractNumId w:val="3"/>
  </w:num>
  <w:num w:numId="7" w16cid:durableId="1503423742">
    <w:abstractNumId w:val="2"/>
  </w:num>
  <w:num w:numId="8" w16cid:durableId="548996936">
    <w:abstractNumId w:val="1"/>
  </w:num>
  <w:num w:numId="9" w16cid:durableId="198508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82F"/>
    <w:rsid w:val="00023170"/>
    <w:rsid w:val="00034616"/>
    <w:rsid w:val="0006063C"/>
    <w:rsid w:val="00124C61"/>
    <w:rsid w:val="0015074B"/>
    <w:rsid w:val="001D70A8"/>
    <w:rsid w:val="00213392"/>
    <w:rsid w:val="0021528C"/>
    <w:rsid w:val="00245153"/>
    <w:rsid w:val="002949C9"/>
    <w:rsid w:val="0029639D"/>
    <w:rsid w:val="00314C53"/>
    <w:rsid w:val="00326F90"/>
    <w:rsid w:val="003966CD"/>
    <w:rsid w:val="003E5D14"/>
    <w:rsid w:val="0056146E"/>
    <w:rsid w:val="00617E7D"/>
    <w:rsid w:val="0068622A"/>
    <w:rsid w:val="007035B6"/>
    <w:rsid w:val="007A1FE1"/>
    <w:rsid w:val="007A40C9"/>
    <w:rsid w:val="007B27EC"/>
    <w:rsid w:val="008047E8"/>
    <w:rsid w:val="008A6DF9"/>
    <w:rsid w:val="008C0D85"/>
    <w:rsid w:val="009970FF"/>
    <w:rsid w:val="00A13FB6"/>
    <w:rsid w:val="00AA1D8D"/>
    <w:rsid w:val="00AB67CB"/>
    <w:rsid w:val="00B2383D"/>
    <w:rsid w:val="00B34ADD"/>
    <w:rsid w:val="00B47730"/>
    <w:rsid w:val="00C85FFF"/>
    <w:rsid w:val="00CB0664"/>
    <w:rsid w:val="00D71BD3"/>
    <w:rsid w:val="00E013EE"/>
    <w:rsid w:val="00E07F63"/>
    <w:rsid w:val="00E73DEF"/>
    <w:rsid w:val="00EF3915"/>
    <w:rsid w:val="00FC693F"/>
    <w:rsid w:val="00FC695E"/>
    <w:rsid w:val="00FD01AB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43AB5"/>
  <w14:defaultImageDpi w14:val="300"/>
  <w15:docId w15:val="{EF0CE203-248D-47C5-8D6D-C84E884C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  <w:color w:val="202020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97A"/>
      <w:sz w:val="27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97A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397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397A"/>
      <w:spacing w:val="5"/>
      <w:kern w:val="28"/>
      <w:sz w:val="4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6B727E"/>
      <w:spacing w:val="15"/>
      <w:sz w:val="2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047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7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7E8"/>
    <w:rPr>
      <w:rFonts w:ascii="Calibri" w:eastAsia="Calibri" w:hAnsi="Calibri"/>
      <w:color w:val="20202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7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7E8"/>
    <w:rPr>
      <w:rFonts w:ascii="Calibri" w:eastAsia="Calibri" w:hAnsi="Calibri"/>
      <w:b/>
      <w:bCs/>
      <w:color w:val="20202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40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40C9"/>
    <w:rPr>
      <w:rFonts w:ascii="Calibri" w:eastAsia="Calibri" w:hAnsi="Calibri"/>
      <w:color w:val="20202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40C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40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40C9"/>
    <w:rPr>
      <w:rFonts w:ascii="Calibri" w:eastAsia="Calibri" w:hAnsi="Calibri"/>
      <w:color w:val="20202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4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departament-innowacyjnosci-i-polityki-kosmiczn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1602</Words>
  <Characters>9618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Pytko Tomasz</cp:lastModifiedBy>
  <cp:revision>14</cp:revision>
  <dcterms:created xsi:type="dcterms:W3CDTF">2013-12-23T23:15:00Z</dcterms:created>
  <dcterms:modified xsi:type="dcterms:W3CDTF">2026-04-10T11:44:00Z</dcterms:modified>
  <cp:category/>
</cp:coreProperties>
</file>