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E617F" w14:textId="77777777" w:rsidR="00C61EE3" w:rsidRDefault="00C61EE3">
      <w:pPr>
        <w:rPr>
          <w:rFonts w:ascii="Arial" w:hAnsi="Arial" w:cs="Arial"/>
        </w:rPr>
      </w:pPr>
    </w:p>
    <w:p w14:paraId="0E2F348F" w14:textId="77777777" w:rsidR="00C61EE3" w:rsidRDefault="00C61EE3">
      <w:pPr>
        <w:rPr>
          <w:rFonts w:ascii="Arial" w:hAnsi="Arial" w:cs="Arial"/>
        </w:rPr>
      </w:pPr>
    </w:p>
    <w:p w14:paraId="4400093F" w14:textId="77777777" w:rsidR="00C61EE3" w:rsidRDefault="00C61EE3">
      <w:pPr>
        <w:rPr>
          <w:rFonts w:ascii="Arial" w:hAnsi="Arial" w:cs="Arial"/>
        </w:rPr>
      </w:pPr>
    </w:p>
    <w:p w14:paraId="506F91AC" w14:textId="4F9F6E5A" w:rsidR="00C61EE3" w:rsidRPr="00886F21" w:rsidRDefault="00B51A6E">
      <w:pPr>
        <w:rPr>
          <w:rFonts w:ascii="Arial" w:hAnsi="Arial" w:cs="Arial"/>
          <w:b/>
          <w:color w:val="E31837"/>
          <w:sz w:val="40"/>
          <w:szCs w:val="40"/>
        </w:rPr>
      </w:pP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INFORMACJA KWARTALNA O STANIE FINANSÓW PUBLICZNYCH W </w:t>
      </w:r>
      <w:r w:rsidR="0079724D">
        <w:rPr>
          <w:rFonts w:ascii="Arial" w:hAnsi="Arial" w:cs="Arial"/>
          <w:b/>
          <w:color w:val="E31837"/>
          <w:sz w:val="40"/>
          <w:szCs w:val="40"/>
        </w:rPr>
        <w:t>I</w:t>
      </w:r>
      <w:r w:rsidR="002910FD" w:rsidRPr="00886F21">
        <w:rPr>
          <w:rFonts w:ascii="Arial" w:hAnsi="Arial" w:cs="Arial"/>
          <w:b/>
          <w:color w:val="E31837"/>
          <w:sz w:val="40"/>
          <w:szCs w:val="40"/>
        </w:rPr>
        <w:t>I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KWARTALE 202</w:t>
      </w:r>
      <w:r w:rsidR="004E178F" w:rsidRPr="00886F21">
        <w:rPr>
          <w:rFonts w:ascii="Arial" w:hAnsi="Arial" w:cs="Arial"/>
          <w:b/>
          <w:color w:val="E31837"/>
          <w:sz w:val="40"/>
          <w:szCs w:val="40"/>
        </w:rPr>
        <w:t>1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r. </w:t>
      </w:r>
    </w:p>
    <w:p w14:paraId="633460E1" w14:textId="402B0B6E" w:rsidR="00C61EE3" w:rsidRPr="00886F21" w:rsidRDefault="00B51A6E">
      <w:pPr>
        <w:rPr>
          <w:rFonts w:ascii="Arial" w:hAnsi="Arial" w:cs="Arial"/>
          <w:b/>
          <w:color w:val="A6A6A6"/>
          <w:sz w:val="28"/>
          <w:szCs w:val="28"/>
        </w:rPr>
      </w:pP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79724D">
        <w:rPr>
          <w:rFonts w:ascii="Arial" w:hAnsi="Arial" w:cs="Arial"/>
          <w:b/>
          <w:color w:val="A6A6A6"/>
          <w:sz w:val="28"/>
          <w:szCs w:val="28"/>
        </w:rPr>
        <w:t>4</w:t>
      </w: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 / 202</w:t>
      </w:r>
      <w:r w:rsidR="00143CBD" w:rsidRPr="00886F21">
        <w:rPr>
          <w:rFonts w:ascii="Arial" w:hAnsi="Arial" w:cs="Arial"/>
          <w:b/>
          <w:color w:val="A6A6A6"/>
          <w:sz w:val="28"/>
          <w:szCs w:val="28"/>
        </w:rPr>
        <w:t>1</w:t>
      </w:r>
    </w:p>
    <w:p w14:paraId="6B757911" w14:textId="77777777" w:rsidR="00C61EE3" w:rsidRPr="00886F21" w:rsidRDefault="00B51A6E">
      <w:pPr>
        <w:spacing w:after="120" w:line="360" w:lineRule="auto"/>
        <w:rPr>
          <w:rFonts w:ascii="Arial" w:hAnsi="Arial" w:cs="Arial"/>
          <w:color w:val="ADAFB2"/>
          <w:sz w:val="24"/>
          <w:szCs w:val="24"/>
        </w:rPr>
      </w:pPr>
      <w:r w:rsidRPr="00886F21">
        <w:rPr>
          <w:rFonts w:ascii="Arial" w:hAnsi="Arial" w:cs="Arial"/>
          <w:color w:val="ADAFB2"/>
          <w:sz w:val="40"/>
          <w:szCs w:val="40"/>
        </w:rPr>
        <w:br/>
      </w:r>
    </w:p>
    <w:p w14:paraId="14B27F82" w14:textId="77777777" w:rsidR="00C61EE3" w:rsidRPr="00886F21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886F21">
        <w:rPr>
          <w:rFonts w:ascii="Arial" w:hAnsi="Arial" w:cs="Arial"/>
          <w:b/>
          <w:i/>
          <w:color w:val="ADAFB2"/>
          <w:sz w:val="24"/>
          <w:szCs w:val="24"/>
        </w:rPr>
        <w:t>Informacji kwartalnej</w:t>
      </w:r>
      <w:r w:rsidRPr="00886F21">
        <w:rPr>
          <w:rFonts w:ascii="Arial" w:hAnsi="Arial" w:cs="Arial"/>
          <w:b/>
          <w:color w:val="ADAFB2"/>
          <w:sz w:val="24"/>
          <w:szCs w:val="24"/>
        </w:rPr>
        <w:t xml:space="preserve"> jest zaprezentowanie dostępnych informacji na temat sektora finansów publicznych:</w:t>
      </w:r>
    </w:p>
    <w:p w14:paraId="1ED25B4C" w14:textId="77777777" w:rsidR="00C61EE3" w:rsidRPr="00886F21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>według obowiązującego w Unii Europejskiej standardu ESA2010 (dane kwartalne obejmujące cały sektor instytucji rządowych i samorządowych),</w:t>
      </w:r>
    </w:p>
    <w:p w14:paraId="07052783" w14:textId="77777777" w:rsidR="00C61EE3" w:rsidRPr="00886F21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>według standardu Międzynarodowego Funduszu Walutowego GFSM2001 (dane miesięczne obejmujące szczebel centralny, natomiast dane roczne obejmujące cały sektor instytucji rządowych i samorządowych),</w:t>
      </w:r>
    </w:p>
    <w:p w14:paraId="6BC98934" w14:textId="77777777" w:rsidR="00C61EE3" w:rsidRPr="00886F21" w:rsidRDefault="00B51A6E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 xml:space="preserve">według przepisów krajowych (dane miesięczne o budżecie </w:t>
      </w: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państwa, Funduszu Ubezpieczeń Społecznych, Funduszu </w:t>
      </w:r>
      <w:r w:rsidRPr="00886F21">
        <w:rPr>
          <w:rFonts w:ascii="Arial" w:hAnsi="Arial" w:cs="Arial"/>
          <w:b/>
          <w:color w:val="ADAFB2"/>
          <w:sz w:val="24"/>
          <w:szCs w:val="24"/>
        </w:rPr>
        <w:t>Emerytalno-Rentowym, Funduszu Pracy, Narodowym Funduszu Zdrowia).</w:t>
      </w:r>
    </w:p>
    <w:p w14:paraId="2DA18E12" w14:textId="77777777" w:rsidR="00C61EE3" w:rsidRPr="00F04B0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9D41DE2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t>Departament Polityki Makroekonomicznej</w:t>
      </w:r>
    </w:p>
    <w:p w14:paraId="498B3CAB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  <w:sectPr w:rsidR="00C61EE3" w:rsidRPr="00F04B0A">
          <w:footerReference w:type="default" r:id="rId11"/>
          <w:headerReference w:type="first" r:id="rId12"/>
          <w:pgSz w:w="11907" w:h="16839"/>
          <w:pgMar w:top="1418" w:right="992" w:bottom="1134" w:left="3686" w:header="709" w:footer="975" w:gutter="0"/>
          <w:cols w:space="708"/>
          <w:titlePg/>
        </w:sectPr>
      </w:pP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Departament Długu Publicznego </w:t>
      </w:r>
    </w:p>
    <w:p w14:paraId="7DA35697" w14:textId="4E6242F7" w:rsidR="00C61EE3" w:rsidRPr="00E5572E" w:rsidRDefault="00B51A6E">
      <w:pPr>
        <w:spacing w:after="120" w:line="360" w:lineRule="auto"/>
        <w:jc w:val="both"/>
        <w:rPr>
          <w:rFonts w:ascii="Arial" w:hAnsi="Arial" w:cs="Arial"/>
          <w:b/>
          <w:color w:val="A6A6A6" w:themeColor="background1" w:themeShade="A6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="0079724D">
        <w:rPr>
          <w:rFonts w:ascii="Arial" w:hAnsi="Arial" w:cs="Arial"/>
          <w:b/>
          <w:color w:val="ADAFB2"/>
          <w:sz w:val="24"/>
          <w:szCs w:val="24"/>
        </w:rPr>
        <w:t>I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>I kwartału 202</w:t>
      </w:r>
      <w:r w:rsidR="004E178F"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>1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 xml:space="preserve"> r. </w:t>
      </w:r>
    </w:p>
    <w:p w14:paraId="7E3DE353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2746ECC0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66F5567E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6D040A52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4F0CD0DE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39B5AFD6" w14:textId="205D7B59" w:rsidR="00C61EE3" w:rsidRPr="00F04B0A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F04B0A">
        <w:rPr>
          <w:rFonts w:ascii="Arial" w:hAnsi="Arial" w:cs="Arial"/>
          <w:b/>
          <w:color w:val="E31837"/>
          <w:sz w:val="28"/>
          <w:szCs w:val="28"/>
        </w:rPr>
        <w:t xml:space="preserve">Podstawowe wskaźniki stanu sektora instytucji rządowych i samorządowych wg ESA2010 w </w:t>
      </w:r>
      <w:r w:rsidR="0079724D">
        <w:rPr>
          <w:rFonts w:ascii="Arial" w:hAnsi="Arial" w:cs="Arial"/>
          <w:b/>
          <w:color w:val="E31837"/>
          <w:sz w:val="28"/>
          <w:szCs w:val="28"/>
        </w:rPr>
        <w:t>I</w:t>
      </w:r>
      <w:r w:rsidRPr="00F04B0A">
        <w:rPr>
          <w:rFonts w:ascii="Arial" w:hAnsi="Arial" w:cs="Arial"/>
          <w:b/>
          <w:color w:val="E31837"/>
          <w:sz w:val="28"/>
          <w:szCs w:val="28"/>
        </w:rPr>
        <w:t>I</w:t>
      </w:r>
      <w:r w:rsidR="00F04B0A" w:rsidRPr="00F04B0A">
        <w:rPr>
          <w:rFonts w:ascii="Arial" w:hAnsi="Arial" w:cs="Arial"/>
          <w:b/>
          <w:color w:val="E31837"/>
          <w:sz w:val="28"/>
          <w:szCs w:val="28"/>
        </w:rPr>
        <w:t xml:space="preserve"> kw. 2021</w:t>
      </w:r>
      <w:r w:rsidRPr="00F04B0A">
        <w:rPr>
          <w:rFonts w:ascii="Arial" w:hAnsi="Arial" w:cs="Arial"/>
          <w:b/>
          <w:color w:val="E31837"/>
          <w:sz w:val="28"/>
          <w:szCs w:val="28"/>
        </w:rPr>
        <w:t> r.</w:t>
      </w:r>
    </w:p>
    <w:p w14:paraId="0A2780C2" w14:textId="74D41C3F" w:rsidR="00C61EE3" w:rsidRPr="00994D79" w:rsidRDefault="00B51A6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994D79">
        <w:rPr>
          <w:rFonts w:ascii="Arial" w:hAnsi="Arial" w:cs="Arial"/>
          <w:b/>
          <w:color w:val="ADAFB2"/>
          <w:sz w:val="24"/>
          <w:szCs w:val="24"/>
        </w:rPr>
        <w:t xml:space="preserve">Wynik w </w:t>
      </w:r>
      <w:r w:rsidR="0079724D">
        <w:rPr>
          <w:rFonts w:ascii="Arial" w:hAnsi="Arial" w:cs="Arial"/>
          <w:b/>
          <w:color w:val="ADAFB2"/>
          <w:sz w:val="24"/>
          <w:szCs w:val="24"/>
        </w:rPr>
        <w:t>I</w:t>
      </w:r>
      <w:r w:rsidR="002910FD" w:rsidRPr="00994D79">
        <w:rPr>
          <w:rFonts w:ascii="Arial" w:hAnsi="Arial" w:cs="Arial"/>
          <w:b/>
          <w:color w:val="ADAFB2"/>
          <w:sz w:val="24"/>
          <w:szCs w:val="24"/>
        </w:rPr>
        <w:t>I</w:t>
      </w:r>
      <w:r w:rsidRPr="00994D79">
        <w:rPr>
          <w:rFonts w:ascii="Arial" w:hAnsi="Arial" w:cs="Arial"/>
          <w:b/>
          <w:color w:val="ADAFB2"/>
          <w:sz w:val="24"/>
          <w:szCs w:val="24"/>
        </w:rPr>
        <w:t xml:space="preserve"> kw. wyniósł </w:t>
      </w:r>
      <w:r w:rsidR="00275418" w:rsidRPr="00994D79">
        <w:rPr>
          <w:rFonts w:ascii="Arial" w:hAnsi="Arial" w:cs="Arial"/>
          <w:b/>
          <w:color w:val="E31837"/>
          <w:sz w:val="24"/>
          <w:szCs w:val="24"/>
        </w:rPr>
        <w:t>–</w:t>
      </w:r>
      <w:r w:rsidRPr="00994D79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79724D">
        <w:rPr>
          <w:rFonts w:ascii="Arial" w:hAnsi="Arial" w:cs="Arial"/>
          <w:b/>
          <w:color w:val="E31837"/>
          <w:sz w:val="24"/>
          <w:szCs w:val="24"/>
        </w:rPr>
        <w:t>1,5</w:t>
      </w:r>
      <w:r w:rsidR="00275418" w:rsidRPr="00994D79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Pr="00994D79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4E178F" w:rsidRPr="00994D79">
        <w:rPr>
          <w:rFonts w:ascii="Arial" w:hAnsi="Arial" w:cs="Arial"/>
          <w:b/>
          <w:color w:val="E31837"/>
          <w:sz w:val="24"/>
          <w:szCs w:val="24"/>
        </w:rPr>
        <w:t>(-0,</w:t>
      </w:r>
      <w:r w:rsidR="0079724D">
        <w:rPr>
          <w:rFonts w:ascii="Arial" w:hAnsi="Arial" w:cs="Arial"/>
          <w:b/>
          <w:color w:val="E31837"/>
          <w:sz w:val="24"/>
          <w:szCs w:val="24"/>
        </w:rPr>
        <w:t>2</w:t>
      </w:r>
      <w:r w:rsidR="00275418" w:rsidRPr="00994D79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Pr="00994D79"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2883480D" w14:textId="002D46D5" w:rsidR="00C61EE3" w:rsidRPr="00994D79" w:rsidRDefault="00B51A6E" w:rsidP="00626CD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994D79">
        <w:rPr>
          <w:rFonts w:ascii="Arial" w:hAnsi="Arial" w:cs="Arial"/>
          <w:b/>
          <w:color w:val="ADAFB2"/>
          <w:sz w:val="24"/>
          <w:szCs w:val="24"/>
        </w:rPr>
        <w:t xml:space="preserve">Dług EDP na koniec </w:t>
      </w:r>
      <w:r w:rsidR="0079724D">
        <w:rPr>
          <w:rFonts w:ascii="Arial" w:hAnsi="Arial" w:cs="Arial"/>
          <w:b/>
          <w:color w:val="ADAFB2"/>
          <w:sz w:val="24"/>
          <w:szCs w:val="24"/>
        </w:rPr>
        <w:t>I</w:t>
      </w:r>
      <w:r w:rsidRPr="00994D79">
        <w:rPr>
          <w:rFonts w:ascii="Arial" w:hAnsi="Arial" w:cs="Arial"/>
          <w:b/>
          <w:color w:val="ADAFB2"/>
          <w:sz w:val="24"/>
          <w:szCs w:val="24"/>
        </w:rPr>
        <w:t>I kw. 202</w:t>
      </w:r>
      <w:r w:rsidR="004E178F" w:rsidRPr="00994D79">
        <w:rPr>
          <w:rFonts w:ascii="Arial" w:hAnsi="Arial" w:cs="Arial"/>
          <w:b/>
          <w:color w:val="ADAFB2"/>
          <w:sz w:val="24"/>
          <w:szCs w:val="24"/>
        </w:rPr>
        <w:t>1</w:t>
      </w:r>
      <w:r w:rsidRPr="00994D79">
        <w:rPr>
          <w:rFonts w:ascii="Arial" w:hAnsi="Arial" w:cs="Arial"/>
          <w:b/>
          <w:color w:val="ADAFB2"/>
          <w:sz w:val="24"/>
          <w:szCs w:val="24"/>
        </w:rPr>
        <w:t xml:space="preserve"> r. wyniósł </w:t>
      </w:r>
      <w:r w:rsidR="00626CD8" w:rsidRPr="00F600C4">
        <w:rPr>
          <w:rFonts w:ascii="Arial" w:hAnsi="Arial" w:cs="Arial"/>
          <w:b/>
          <w:color w:val="E31837"/>
          <w:sz w:val="24"/>
          <w:szCs w:val="24"/>
        </w:rPr>
        <w:t xml:space="preserve">1.402,0 </w:t>
      </w:r>
      <w:r w:rsidR="009B273E" w:rsidRPr="00994D79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9D13AE">
        <w:rPr>
          <w:rFonts w:ascii="Arial" w:hAnsi="Arial" w:cs="Arial"/>
          <w:b/>
          <w:color w:val="E31837"/>
          <w:sz w:val="24"/>
          <w:szCs w:val="24"/>
        </w:rPr>
        <w:t>(</w:t>
      </w:r>
      <w:r w:rsidR="00A433C6">
        <w:rPr>
          <w:rFonts w:ascii="Arial" w:hAnsi="Arial" w:cs="Arial"/>
          <w:b/>
          <w:color w:val="E31837"/>
          <w:sz w:val="24"/>
          <w:szCs w:val="24"/>
        </w:rPr>
        <w:t>57,5</w:t>
      </w:r>
      <w:r w:rsidR="009D13AE"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4F6FEFB1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144B3265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23D8FF0C" w14:textId="77777777" w:rsidR="00C61EE3" w:rsidRPr="00F04B0A" w:rsidRDefault="00B51A6E">
      <w:pPr>
        <w:spacing w:after="280" w:line="360" w:lineRule="auto"/>
        <w:jc w:val="both"/>
        <w:rPr>
          <w:rFonts w:ascii="Arial" w:hAnsi="Arial" w:cs="Arial"/>
          <w:b/>
          <w:color w:val="ADAFB2"/>
        </w:rPr>
        <w:sectPr w:rsidR="00C61EE3" w:rsidRPr="00F04B0A">
          <w:footerReference w:type="first" r:id="rId13"/>
          <w:pgSz w:w="11907" w:h="16839"/>
          <w:pgMar w:top="1418" w:right="992" w:bottom="1135" w:left="3686" w:header="709" w:footer="976" w:gutter="0"/>
          <w:cols w:space="708"/>
          <w:titlePg/>
        </w:sectPr>
      </w:pPr>
      <w:r w:rsidRPr="00F04B0A">
        <w:rPr>
          <w:rFonts w:ascii="Arial" w:hAnsi="Arial" w:cs="Arial"/>
          <w:b/>
          <w:color w:val="ADAFB2"/>
          <w:sz w:val="20"/>
          <w:szCs w:val="20"/>
        </w:rPr>
        <w:t xml:space="preserve">Niniejszy materiał został opracowany wyłącznie w celach informacyjnych i nie może być traktowany jako oferta lub rekomendacja do zawierania jakichkolwiek transakcji. Informacje zawarte w materiale pochodzą z 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 </w:t>
      </w:r>
    </w:p>
    <w:p w14:paraId="56BD253B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314A3947" w14:textId="77777777" w:rsidR="00C61EE3" w:rsidRPr="001B227C" w:rsidRDefault="00C61EE3">
      <w:pPr>
        <w:spacing w:after="280" w:line="360" w:lineRule="auto"/>
        <w:rPr>
          <w:rFonts w:ascii="Arial" w:hAnsi="Arial" w:cs="Arial"/>
          <w:b/>
          <w:color w:val="ADAFB2"/>
        </w:rPr>
      </w:pPr>
    </w:p>
    <w:p w14:paraId="07842167" w14:textId="77777777" w:rsidR="00C61EE3" w:rsidRPr="001B227C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1B227C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14:paraId="73022044" w14:textId="77777777" w:rsidR="00C61EE3" w:rsidRPr="001B227C" w:rsidRDefault="00C61EE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</w:p>
    <w:p w14:paraId="295D9481" w14:textId="77777777" w:rsidR="00F85B26" w:rsidRPr="00F85B26" w:rsidRDefault="00B51A6E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C83795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C83795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C83795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86306138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II kw. 2021 r.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_Toc86306138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616F2DB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39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_Toc86306139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396F74CE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40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_Toc86306140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3E0D3FD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41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_Toc86306141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3313985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42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_Toc86306142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72788E63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43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_Toc86306143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5FB5B76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44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i ich finansowanie w II kwartale 2021 r.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_Toc86306144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6F07C21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45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_Toc86306145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32D6FC05" w14:textId="77777777" w:rsidR="00F85B26" w:rsidRPr="00F85B26" w:rsidRDefault="00751799" w:rsidP="00F85B2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86306146" w:history="1">
        <w:r w:rsidR="00F85B26" w:rsidRPr="00F85B26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_Toc86306146 \h </w:instrTex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1E7F9F">
          <w:rPr>
            <w:rStyle w:val="Hipercze"/>
            <w:rFonts w:ascii="Arial" w:hAnsi="Arial" w:cs="Arial"/>
            <w:b/>
            <w:noProof/>
            <w:webHidden/>
            <w:color w:val="ADAFB2"/>
          </w:rPr>
          <w:t>10</w:t>
        </w:r>
        <w:r w:rsidR="00F85B26" w:rsidRPr="00F85B2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C1E6198" w14:textId="77777777" w:rsidR="00C61EE3" w:rsidRPr="00C83795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C83795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14:paraId="0492C184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0D168866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347B614F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C50ECA3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47931A5B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166F9AF" w14:textId="77777777" w:rsidR="00C61EE3" w:rsidRPr="00886F21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C61EE3" w:rsidRPr="00886F21">
          <w:pgSz w:w="11907" w:h="16839"/>
          <w:pgMar w:top="1418" w:right="992" w:bottom="1135" w:left="3686" w:header="709" w:footer="976" w:gutter="0"/>
          <w:cols w:space="708"/>
          <w:titlePg/>
        </w:sectPr>
      </w:pPr>
    </w:p>
    <w:p w14:paraId="1685AC9B" w14:textId="037705D4" w:rsidR="00C61EE3" w:rsidRPr="00FE39E1" w:rsidRDefault="00B51A6E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0" w:name="_Toc86306138"/>
      <w:r w:rsidRPr="00FE39E1">
        <w:rPr>
          <w:rFonts w:ascii="Arial" w:hAnsi="Arial" w:cs="Arial"/>
          <w:color w:val="ADAFB2"/>
          <w:sz w:val="28"/>
          <w:szCs w:val="28"/>
        </w:rPr>
        <w:t xml:space="preserve">1. Wynik, dochody </w:t>
      </w:r>
      <w:r w:rsidR="00D5510D" w:rsidRPr="00FE39E1">
        <w:rPr>
          <w:rFonts w:ascii="Arial" w:hAnsi="Arial" w:cs="Arial"/>
          <w:color w:val="ADAFB2"/>
          <w:sz w:val="28"/>
          <w:szCs w:val="28"/>
        </w:rPr>
        <w:t xml:space="preserve">oraz wydatki w </w:t>
      </w:r>
      <w:r w:rsidR="00346FCD" w:rsidRPr="00FE39E1">
        <w:rPr>
          <w:rFonts w:ascii="Arial" w:hAnsi="Arial" w:cs="Arial"/>
          <w:color w:val="ADAFB2"/>
          <w:sz w:val="28"/>
          <w:szCs w:val="28"/>
        </w:rPr>
        <w:t>I</w:t>
      </w:r>
      <w:r w:rsidR="00D5510D" w:rsidRPr="00FE39E1">
        <w:rPr>
          <w:rFonts w:ascii="Arial" w:hAnsi="Arial" w:cs="Arial"/>
          <w:color w:val="ADAFB2"/>
          <w:sz w:val="28"/>
          <w:szCs w:val="28"/>
        </w:rPr>
        <w:t>I</w:t>
      </w:r>
      <w:r w:rsidRPr="00FE39E1">
        <w:rPr>
          <w:rFonts w:ascii="Arial" w:hAnsi="Arial" w:cs="Arial"/>
          <w:color w:val="ADAFB2"/>
          <w:sz w:val="28"/>
          <w:szCs w:val="28"/>
        </w:rPr>
        <w:t xml:space="preserve"> kw. 202</w:t>
      </w:r>
      <w:r w:rsidR="004E178F" w:rsidRPr="00FE39E1">
        <w:rPr>
          <w:rFonts w:ascii="Arial" w:hAnsi="Arial" w:cs="Arial"/>
          <w:color w:val="ADAFB2"/>
          <w:sz w:val="28"/>
          <w:szCs w:val="28"/>
        </w:rPr>
        <w:t>1</w:t>
      </w:r>
      <w:r w:rsidRPr="00FE39E1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0"/>
    </w:p>
    <w:p w14:paraId="213B7DDE" w14:textId="24C8E2C5" w:rsidR="00C61EE3" w:rsidRPr="00FE39E1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FE39E1">
        <w:rPr>
          <w:rFonts w:ascii="Times New Roman" w:hAnsi="Times New Roman"/>
          <w:bCs/>
          <w:sz w:val="20"/>
          <w:szCs w:val="20"/>
        </w:rPr>
        <w:t>Poniżej przedstawione zostały podstawowe informacje na temat sytuacji finans</w:t>
      </w:r>
      <w:r w:rsidR="00686575" w:rsidRPr="00FE39E1">
        <w:rPr>
          <w:rFonts w:ascii="Times New Roman" w:hAnsi="Times New Roman"/>
          <w:bCs/>
          <w:sz w:val="20"/>
          <w:szCs w:val="20"/>
        </w:rPr>
        <w:t>ów</w:t>
      </w:r>
      <w:r w:rsidRPr="00FE39E1">
        <w:rPr>
          <w:rFonts w:ascii="Times New Roman" w:hAnsi="Times New Roman"/>
          <w:bCs/>
          <w:sz w:val="20"/>
          <w:szCs w:val="20"/>
        </w:rPr>
        <w:t xml:space="preserve"> publicznych w </w:t>
      </w:r>
      <w:r w:rsidR="00346FCD" w:rsidRPr="00FE39E1">
        <w:rPr>
          <w:rFonts w:ascii="Times New Roman" w:hAnsi="Times New Roman"/>
          <w:bCs/>
          <w:sz w:val="20"/>
          <w:szCs w:val="20"/>
        </w:rPr>
        <w:t>I</w:t>
      </w:r>
      <w:r w:rsidRPr="00FE39E1">
        <w:rPr>
          <w:rFonts w:ascii="Times New Roman" w:hAnsi="Times New Roman"/>
          <w:bCs/>
          <w:sz w:val="20"/>
          <w:szCs w:val="20"/>
        </w:rPr>
        <w:t>I</w:t>
      </w:r>
      <w:r w:rsidR="001B227C" w:rsidRPr="00FE39E1">
        <w:rPr>
          <w:rFonts w:ascii="Times New Roman" w:hAnsi="Times New Roman"/>
          <w:bCs/>
          <w:sz w:val="20"/>
          <w:szCs w:val="20"/>
        </w:rPr>
        <w:t> kw. 2021</w:t>
      </w:r>
      <w:r w:rsidRPr="00FE39E1">
        <w:rPr>
          <w:rFonts w:ascii="Times New Roman" w:hAnsi="Times New Roman"/>
          <w:bCs/>
          <w:sz w:val="20"/>
          <w:szCs w:val="20"/>
        </w:rPr>
        <w:t> r.</w:t>
      </w:r>
    </w:p>
    <w:p w14:paraId="02587309" w14:textId="77777777" w:rsidR="00C61EE3" w:rsidRPr="00246ADD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" w:name="_Toc86306139"/>
      <w:r w:rsidRPr="00246ADD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1"/>
      <w:r w:rsidRPr="00246ADD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1641DB64" w14:textId="7E493AA9" w:rsidR="00C61EE3" w:rsidRPr="00246ADD" w:rsidRDefault="00B51A6E">
      <w:pPr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246ADD">
        <w:rPr>
          <w:rFonts w:ascii="Times New Roman" w:hAnsi="Times New Roman" w:cs="Arial"/>
          <w:sz w:val="20"/>
          <w:szCs w:val="20"/>
        </w:rPr>
        <w:t xml:space="preserve">Według danych GUS </w:t>
      </w:r>
      <w:r w:rsidR="00027B0D" w:rsidRPr="00246ADD">
        <w:rPr>
          <w:rFonts w:ascii="Times New Roman" w:hAnsi="Times New Roman" w:cs="Arial"/>
          <w:sz w:val="20"/>
          <w:szCs w:val="20"/>
        </w:rPr>
        <w:t>deficyt</w:t>
      </w:r>
      <w:r w:rsidRPr="00246ADD">
        <w:rPr>
          <w:rFonts w:ascii="Times New Roman" w:hAnsi="Times New Roman" w:cs="Arial"/>
          <w:sz w:val="20"/>
          <w:szCs w:val="20"/>
        </w:rPr>
        <w:t xml:space="preserve"> sektora instytuc</w:t>
      </w:r>
      <w:r w:rsidR="001B227C" w:rsidRPr="00246ADD">
        <w:rPr>
          <w:rFonts w:ascii="Times New Roman" w:hAnsi="Times New Roman" w:cs="Arial"/>
          <w:sz w:val="20"/>
          <w:szCs w:val="20"/>
        </w:rPr>
        <w:t xml:space="preserve">ji rządowych i samorządowych w </w:t>
      </w:r>
      <w:r w:rsidR="0056060C" w:rsidRPr="00246ADD">
        <w:rPr>
          <w:rFonts w:ascii="Times New Roman" w:hAnsi="Times New Roman" w:cs="Arial"/>
          <w:sz w:val="20"/>
          <w:szCs w:val="20"/>
        </w:rPr>
        <w:t>I</w:t>
      </w:r>
      <w:r w:rsidR="00FE39E1" w:rsidRPr="00246ADD">
        <w:rPr>
          <w:rFonts w:ascii="Times New Roman" w:hAnsi="Times New Roman" w:cs="Arial"/>
          <w:sz w:val="20"/>
          <w:szCs w:val="20"/>
        </w:rPr>
        <w:t>I</w:t>
      </w:r>
      <w:r w:rsidR="00027B0D" w:rsidRPr="00246ADD">
        <w:rPr>
          <w:rFonts w:ascii="Times New Roman" w:hAnsi="Times New Roman" w:cs="Arial"/>
          <w:sz w:val="20"/>
          <w:szCs w:val="20"/>
        </w:rPr>
        <w:t> </w:t>
      </w:r>
      <w:r w:rsidR="0056060C" w:rsidRPr="00246ADD">
        <w:rPr>
          <w:rFonts w:ascii="Times New Roman" w:hAnsi="Times New Roman" w:cs="Arial"/>
          <w:sz w:val="20"/>
          <w:szCs w:val="20"/>
        </w:rPr>
        <w:t>kw.</w:t>
      </w:r>
      <w:r w:rsidR="00027B0D" w:rsidRPr="00246ADD">
        <w:rPr>
          <w:rFonts w:ascii="Times New Roman" w:hAnsi="Times New Roman" w:cs="Arial"/>
          <w:sz w:val="20"/>
          <w:szCs w:val="20"/>
        </w:rPr>
        <w:t> </w:t>
      </w:r>
      <w:r w:rsidR="001B227C" w:rsidRPr="00246ADD">
        <w:rPr>
          <w:rFonts w:ascii="Times New Roman" w:hAnsi="Times New Roman" w:cs="Arial"/>
          <w:sz w:val="20"/>
          <w:szCs w:val="20"/>
        </w:rPr>
        <w:t>2021</w:t>
      </w:r>
      <w:r w:rsidR="00027B0D" w:rsidRPr="00246ADD">
        <w:rPr>
          <w:rFonts w:ascii="Times New Roman" w:hAnsi="Times New Roman" w:cs="Arial"/>
          <w:sz w:val="20"/>
          <w:szCs w:val="20"/>
        </w:rPr>
        <w:t> </w:t>
      </w:r>
      <w:r w:rsidR="0056060C" w:rsidRPr="00246ADD">
        <w:rPr>
          <w:rFonts w:ascii="Times New Roman" w:hAnsi="Times New Roman" w:cs="Arial"/>
          <w:sz w:val="20"/>
          <w:szCs w:val="20"/>
        </w:rPr>
        <w:t xml:space="preserve">r. wyniósł </w:t>
      </w:r>
      <w:r w:rsidR="00FE39E1" w:rsidRPr="00246ADD">
        <w:rPr>
          <w:rFonts w:ascii="Times New Roman" w:hAnsi="Times New Roman" w:cs="Arial"/>
          <w:sz w:val="20"/>
          <w:szCs w:val="20"/>
        </w:rPr>
        <w:t>1,5</w:t>
      </w:r>
      <w:r w:rsidR="001B227C" w:rsidRPr="00246ADD">
        <w:rPr>
          <w:rFonts w:ascii="Times New Roman" w:hAnsi="Times New Roman" w:cs="Arial"/>
          <w:sz w:val="20"/>
          <w:szCs w:val="20"/>
        </w:rPr>
        <w:t> </w:t>
      </w:r>
      <w:r w:rsidRPr="00246ADD">
        <w:rPr>
          <w:rFonts w:ascii="Times New Roman" w:hAnsi="Times New Roman" w:cs="Arial"/>
          <w:sz w:val="20"/>
          <w:szCs w:val="20"/>
        </w:rPr>
        <w:t>mld</w:t>
      </w:r>
      <w:r w:rsidR="00027B0D" w:rsidRPr="00246ADD">
        <w:rPr>
          <w:rFonts w:ascii="Times New Roman" w:hAnsi="Times New Roman" w:cs="Arial"/>
          <w:sz w:val="20"/>
          <w:szCs w:val="20"/>
        </w:rPr>
        <w:t xml:space="preserve"> zł (tj. </w:t>
      </w:r>
      <w:r w:rsidR="00FE39E1" w:rsidRPr="00246ADD">
        <w:rPr>
          <w:rFonts w:ascii="Times New Roman" w:hAnsi="Times New Roman" w:cs="Arial"/>
          <w:sz w:val="20"/>
          <w:szCs w:val="20"/>
        </w:rPr>
        <w:t>0,2</w:t>
      </w:r>
      <w:r w:rsidR="001B227C" w:rsidRPr="00246ADD">
        <w:rPr>
          <w:rFonts w:ascii="Times New Roman" w:hAnsi="Times New Roman" w:cs="Arial"/>
          <w:sz w:val="20"/>
          <w:szCs w:val="20"/>
        </w:rPr>
        <w:t xml:space="preserve"> % PKB) i w stosunku do </w:t>
      </w:r>
      <w:r w:rsidR="00AF687C" w:rsidRPr="00246ADD">
        <w:rPr>
          <w:rFonts w:ascii="Times New Roman" w:hAnsi="Times New Roman" w:cs="Arial"/>
          <w:sz w:val="20"/>
          <w:szCs w:val="20"/>
        </w:rPr>
        <w:t>I</w:t>
      </w:r>
      <w:r w:rsidR="00FE39E1" w:rsidRPr="00246ADD">
        <w:rPr>
          <w:rFonts w:ascii="Times New Roman" w:hAnsi="Times New Roman" w:cs="Arial"/>
          <w:sz w:val="20"/>
          <w:szCs w:val="20"/>
        </w:rPr>
        <w:t>I</w:t>
      </w:r>
      <w:r w:rsidRPr="00246ADD">
        <w:rPr>
          <w:rFonts w:ascii="Times New Roman" w:hAnsi="Times New Roman" w:cs="Arial"/>
          <w:sz w:val="20"/>
          <w:szCs w:val="20"/>
        </w:rPr>
        <w:t> kw. roku poprz</w:t>
      </w:r>
      <w:r w:rsidR="00B9045B" w:rsidRPr="00246ADD">
        <w:rPr>
          <w:rFonts w:ascii="Times New Roman" w:hAnsi="Times New Roman" w:cs="Arial"/>
          <w:sz w:val="20"/>
          <w:szCs w:val="20"/>
        </w:rPr>
        <w:t xml:space="preserve">edniego poprawił </w:t>
      </w:r>
      <w:r w:rsidR="007911A8" w:rsidRPr="00246ADD">
        <w:rPr>
          <w:rFonts w:ascii="Times New Roman" w:hAnsi="Times New Roman" w:cs="Arial"/>
          <w:sz w:val="20"/>
          <w:szCs w:val="20"/>
        </w:rPr>
        <w:t>się o ok.</w:t>
      </w:r>
      <w:r w:rsidR="00027B0D" w:rsidRPr="00246ADD">
        <w:rPr>
          <w:rFonts w:ascii="Times New Roman" w:hAnsi="Times New Roman" w:cs="Arial"/>
          <w:sz w:val="20"/>
          <w:szCs w:val="20"/>
        </w:rPr>
        <w:t> </w:t>
      </w:r>
      <w:r w:rsidR="00FE39E1" w:rsidRPr="00246ADD">
        <w:rPr>
          <w:rFonts w:ascii="Times New Roman" w:hAnsi="Times New Roman" w:cs="Arial"/>
          <w:sz w:val="20"/>
          <w:szCs w:val="20"/>
        </w:rPr>
        <w:t>89,8</w:t>
      </w:r>
      <w:r w:rsidRPr="00246ADD">
        <w:rPr>
          <w:rFonts w:ascii="Times New Roman" w:hAnsi="Times New Roman" w:cs="Arial"/>
          <w:sz w:val="20"/>
          <w:szCs w:val="20"/>
        </w:rPr>
        <w:t> m</w:t>
      </w:r>
      <w:r w:rsidR="00AF687C" w:rsidRPr="00246ADD">
        <w:rPr>
          <w:rFonts w:ascii="Times New Roman" w:hAnsi="Times New Roman" w:cs="Arial"/>
          <w:sz w:val="20"/>
          <w:szCs w:val="20"/>
        </w:rPr>
        <w:t>ld zł (</w:t>
      </w:r>
      <w:r w:rsidR="00B9045B" w:rsidRPr="00246ADD">
        <w:rPr>
          <w:rFonts w:ascii="Times New Roman" w:hAnsi="Times New Roman" w:cs="Arial"/>
          <w:sz w:val="20"/>
          <w:szCs w:val="20"/>
        </w:rPr>
        <w:t>poprawa w</w:t>
      </w:r>
      <w:r w:rsidR="00686575" w:rsidRPr="00246ADD">
        <w:rPr>
          <w:rFonts w:ascii="Times New Roman" w:hAnsi="Times New Roman" w:cs="Arial"/>
          <w:sz w:val="20"/>
          <w:szCs w:val="20"/>
        </w:rPr>
        <w:t> </w:t>
      </w:r>
      <w:r w:rsidR="00FE39E1" w:rsidRPr="00246ADD">
        <w:rPr>
          <w:rFonts w:ascii="Times New Roman" w:hAnsi="Times New Roman" w:cs="Arial"/>
          <w:sz w:val="20"/>
          <w:szCs w:val="20"/>
        </w:rPr>
        <w:t>relacji o 17,0</w:t>
      </w:r>
      <w:r w:rsidRPr="00246ADD">
        <w:rPr>
          <w:rFonts w:ascii="Times New Roman" w:hAnsi="Times New Roman" w:cs="Arial"/>
          <w:sz w:val="20"/>
          <w:szCs w:val="20"/>
        </w:rPr>
        <w:t xml:space="preserve"> 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896223" w14:paraId="0F6718B1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778A4ADE" w14:textId="77777777" w:rsidR="00276689" w:rsidRPr="00896223" w:rsidRDefault="00B51A6E" w:rsidP="007820F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  <w:highlight w:val="yellow"/>
              </w:rPr>
            </w:pPr>
            <w:r w:rsidRPr="00F600C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1. Wynik sektora instytucji rządowych i samorządowych ( w % PKB).</w:t>
            </w:r>
          </w:p>
        </w:tc>
      </w:tr>
      <w:tr w:rsidR="00C61EE3" w:rsidRPr="00896223" w14:paraId="6A309271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012B0377" w14:textId="5D2B45CB" w:rsidR="00C61EE3" w:rsidRPr="00896223" w:rsidRDefault="00F600C4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highlight w:val="yellow"/>
                <w:lang w:eastAsia="pl-PL"/>
              </w:rPr>
            </w:pPr>
            <w:r w:rsidRPr="00F600C4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7402C091" wp14:editId="47F27B17">
                  <wp:extent cx="2838450" cy="2051685"/>
                  <wp:effectExtent l="0" t="0" r="0" b="5715"/>
                  <wp:docPr id="1" name="Obraz 1" descr="Wykres prezentuje wynik sektora instytucji rządowych i samorządowych w % PKB: wynik, wynik pierwotny i wynik w ujęciu roku płynnego w okresie od III kwartału 2018 do II kwartału 2021 roku. Dane szczegółowe dostępne w Aneksie statystycznym, na końcu opracowania." title="Wykres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896223" w14:paraId="0E4667CF" w14:textId="77777777">
        <w:tc>
          <w:tcPr>
            <w:tcW w:w="4680" w:type="dxa"/>
          </w:tcPr>
          <w:p w14:paraId="646EEB51" w14:textId="77777777" w:rsidR="00C61EE3" w:rsidRPr="00896223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highlight w:val="yellow"/>
                <w:lang w:eastAsia="pl-PL"/>
              </w:rPr>
            </w:pPr>
            <w:r w:rsidRPr="0065761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</w:p>
        </w:tc>
      </w:tr>
    </w:tbl>
    <w:p w14:paraId="3E091A76" w14:textId="77777777" w:rsidR="00C61EE3" w:rsidRPr="00246ADD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86306140"/>
      <w:r w:rsidRPr="00246ADD">
        <w:rPr>
          <w:rFonts w:ascii="Arial" w:hAnsi="Arial" w:cs="Arial"/>
          <w:i w:val="0"/>
          <w:color w:val="E31837"/>
          <w:sz w:val="20"/>
          <w:szCs w:val="20"/>
        </w:rPr>
        <w:t>1.2. Dochody</w:t>
      </w:r>
      <w:bookmarkEnd w:id="2"/>
    </w:p>
    <w:p w14:paraId="7E48E56C" w14:textId="5833E291" w:rsidR="00C61EE3" w:rsidRPr="00ED2F68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D2F68">
        <w:rPr>
          <w:rFonts w:ascii="Times New Roman" w:hAnsi="Times New Roman"/>
          <w:bCs/>
          <w:sz w:val="20"/>
          <w:szCs w:val="20"/>
        </w:rPr>
        <w:t>W I</w:t>
      </w:r>
      <w:r w:rsidR="00246ADD" w:rsidRPr="00ED2F68">
        <w:rPr>
          <w:rFonts w:ascii="Times New Roman" w:hAnsi="Times New Roman"/>
          <w:bCs/>
          <w:sz w:val="20"/>
          <w:szCs w:val="20"/>
        </w:rPr>
        <w:t>I</w:t>
      </w:r>
      <w:r w:rsidR="008079E8" w:rsidRPr="00ED2F68">
        <w:rPr>
          <w:rFonts w:ascii="Times New Roman" w:hAnsi="Times New Roman"/>
          <w:bCs/>
          <w:sz w:val="20"/>
          <w:szCs w:val="20"/>
        </w:rPr>
        <w:t xml:space="preserve"> kw. 2021</w:t>
      </w:r>
      <w:r w:rsidRPr="00ED2F68">
        <w:rPr>
          <w:rFonts w:ascii="Times New Roman" w:hAnsi="Times New Roman"/>
          <w:bCs/>
          <w:sz w:val="20"/>
          <w:szCs w:val="20"/>
        </w:rPr>
        <w:t xml:space="preserve"> r. dochody sektora instytucji rządowych i samorz</w:t>
      </w:r>
      <w:r w:rsidR="00246ADD" w:rsidRPr="00ED2F68">
        <w:rPr>
          <w:rFonts w:ascii="Times New Roman" w:hAnsi="Times New Roman"/>
          <w:bCs/>
          <w:sz w:val="20"/>
          <w:szCs w:val="20"/>
        </w:rPr>
        <w:t>ądowych (ESA2010) wyniosły 270,3</w:t>
      </w:r>
      <w:r w:rsidR="00CD7981" w:rsidRPr="00ED2F68">
        <w:rPr>
          <w:rFonts w:ascii="Times New Roman" w:hAnsi="Times New Roman"/>
          <w:bCs/>
          <w:sz w:val="20"/>
          <w:szCs w:val="20"/>
        </w:rPr>
        <w:t xml:space="preserve"> </w:t>
      </w:r>
      <w:r w:rsidR="00855B0A" w:rsidRPr="00ED2F68">
        <w:rPr>
          <w:rFonts w:ascii="Times New Roman" w:hAnsi="Times New Roman"/>
          <w:bCs/>
          <w:sz w:val="20"/>
          <w:szCs w:val="20"/>
        </w:rPr>
        <w:t> </w:t>
      </w:r>
      <w:r w:rsidR="00EB7384" w:rsidRPr="00ED2F68">
        <w:rPr>
          <w:rFonts w:ascii="Times New Roman" w:hAnsi="Times New Roman"/>
          <w:bCs/>
          <w:sz w:val="20"/>
          <w:szCs w:val="20"/>
        </w:rPr>
        <w:t>mld</w:t>
      </w:r>
      <w:r w:rsidR="00855B0A" w:rsidRPr="00ED2F68">
        <w:rPr>
          <w:rFonts w:ascii="Times New Roman" w:hAnsi="Times New Roman"/>
          <w:bCs/>
          <w:sz w:val="20"/>
          <w:szCs w:val="20"/>
        </w:rPr>
        <w:t> </w:t>
      </w:r>
      <w:r w:rsidR="00EB7384" w:rsidRPr="00ED2F68">
        <w:rPr>
          <w:rFonts w:ascii="Times New Roman" w:hAnsi="Times New Roman"/>
          <w:bCs/>
          <w:sz w:val="20"/>
          <w:szCs w:val="20"/>
        </w:rPr>
        <w:t>z</w:t>
      </w:r>
      <w:r w:rsidR="002E2F22" w:rsidRPr="00ED2F68">
        <w:rPr>
          <w:rFonts w:ascii="Times New Roman" w:hAnsi="Times New Roman"/>
          <w:bCs/>
          <w:sz w:val="20"/>
          <w:szCs w:val="20"/>
        </w:rPr>
        <w:t>ł</w:t>
      </w:r>
      <w:r w:rsidR="00246ADD" w:rsidRPr="00ED2F68">
        <w:rPr>
          <w:rFonts w:ascii="Times New Roman" w:hAnsi="Times New Roman"/>
          <w:bCs/>
          <w:sz w:val="20"/>
          <w:szCs w:val="20"/>
        </w:rPr>
        <w:t xml:space="preserve"> i były nominalnie wyższe o 14,7% r/r, odnotowując spadek</w:t>
      </w:r>
      <w:r w:rsidR="00EB7384" w:rsidRPr="00ED2F68">
        <w:rPr>
          <w:rFonts w:ascii="Times New Roman" w:hAnsi="Times New Roman"/>
          <w:bCs/>
          <w:sz w:val="20"/>
          <w:szCs w:val="20"/>
        </w:rPr>
        <w:t xml:space="preserve"> </w:t>
      </w:r>
      <w:r w:rsidR="00855B0A" w:rsidRPr="00ED2F68">
        <w:rPr>
          <w:rFonts w:ascii="Times New Roman" w:hAnsi="Times New Roman"/>
          <w:bCs/>
          <w:sz w:val="20"/>
          <w:szCs w:val="20"/>
        </w:rPr>
        <w:t xml:space="preserve">r/r </w:t>
      </w:r>
      <w:r w:rsidR="002E2F22" w:rsidRPr="00ED2F68">
        <w:rPr>
          <w:rFonts w:ascii="Times New Roman" w:hAnsi="Times New Roman"/>
          <w:bCs/>
          <w:sz w:val="20"/>
          <w:szCs w:val="20"/>
        </w:rPr>
        <w:t xml:space="preserve">relacji do PKB </w:t>
      </w:r>
      <w:r w:rsidR="00246ADD" w:rsidRPr="00ED2F68">
        <w:rPr>
          <w:rFonts w:ascii="Times New Roman" w:hAnsi="Times New Roman"/>
          <w:bCs/>
          <w:sz w:val="20"/>
          <w:szCs w:val="20"/>
        </w:rPr>
        <w:t>o 0,6</w:t>
      </w:r>
      <w:r w:rsidRPr="00ED2F68">
        <w:rPr>
          <w:rFonts w:ascii="Times New Roman" w:hAnsi="Times New Roman"/>
          <w:bCs/>
          <w:sz w:val="20"/>
          <w:szCs w:val="20"/>
        </w:rPr>
        <w:t xml:space="preserve"> pkt. proc. </w:t>
      </w:r>
      <w:r w:rsidR="00EB7384" w:rsidRPr="00ED2F68">
        <w:rPr>
          <w:rFonts w:ascii="Times New Roman" w:hAnsi="Times New Roman"/>
          <w:bCs/>
          <w:sz w:val="20"/>
          <w:szCs w:val="20"/>
        </w:rPr>
        <w:t>Dochody podatkowe (ESA2010), mające największy udział w</w:t>
      </w:r>
      <w:r w:rsidR="00855B0A" w:rsidRPr="00ED2F68">
        <w:rPr>
          <w:rFonts w:ascii="Times New Roman" w:hAnsi="Times New Roman"/>
          <w:bCs/>
          <w:sz w:val="20"/>
          <w:szCs w:val="20"/>
        </w:rPr>
        <w:t> </w:t>
      </w:r>
      <w:r w:rsidR="00EB7384" w:rsidRPr="00ED2F68">
        <w:rPr>
          <w:rFonts w:ascii="Times New Roman" w:hAnsi="Times New Roman"/>
          <w:bCs/>
          <w:sz w:val="20"/>
          <w:szCs w:val="20"/>
        </w:rPr>
        <w:t xml:space="preserve">omawianej kategorii, </w:t>
      </w:r>
      <w:r w:rsidR="00246ADD" w:rsidRPr="00ED2F68">
        <w:rPr>
          <w:rFonts w:ascii="Times New Roman" w:hAnsi="Times New Roman"/>
          <w:bCs/>
          <w:sz w:val="20"/>
          <w:szCs w:val="20"/>
        </w:rPr>
        <w:t>nominalnie wzrosły o 19,3</w:t>
      </w:r>
      <w:r w:rsidRPr="00ED2F68">
        <w:rPr>
          <w:rFonts w:ascii="Times New Roman" w:hAnsi="Times New Roman"/>
          <w:bCs/>
          <w:sz w:val="20"/>
          <w:szCs w:val="20"/>
        </w:rPr>
        <w:t>% r/r</w:t>
      </w:r>
      <w:r w:rsidR="00D27CBA" w:rsidRPr="00ED2F68">
        <w:rPr>
          <w:rFonts w:ascii="Times New Roman" w:hAnsi="Times New Roman"/>
          <w:bCs/>
          <w:sz w:val="20"/>
          <w:szCs w:val="20"/>
        </w:rPr>
        <w:t xml:space="preserve">, </w:t>
      </w:r>
      <w:r w:rsidR="00AF687C" w:rsidRPr="00ED2F68">
        <w:rPr>
          <w:rFonts w:ascii="Times New Roman" w:hAnsi="Times New Roman"/>
          <w:bCs/>
          <w:sz w:val="20"/>
          <w:szCs w:val="20"/>
        </w:rPr>
        <w:t xml:space="preserve">na co złożył się wzrost wpływów z </w:t>
      </w:r>
      <w:r w:rsidR="00E77147" w:rsidRPr="00ED2F68">
        <w:rPr>
          <w:rFonts w:ascii="Times New Roman" w:hAnsi="Times New Roman"/>
          <w:bCs/>
          <w:sz w:val="20"/>
          <w:szCs w:val="20"/>
        </w:rPr>
        <w:t xml:space="preserve">podatków </w:t>
      </w:r>
      <w:r w:rsidR="00AF687C" w:rsidRPr="00ED2F68">
        <w:rPr>
          <w:rFonts w:ascii="Times New Roman" w:hAnsi="Times New Roman"/>
          <w:bCs/>
          <w:sz w:val="20"/>
          <w:szCs w:val="20"/>
        </w:rPr>
        <w:t>o</w:t>
      </w:r>
      <w:r w:rsidR="00ED2F68" w:rsidRPr="00ED2F68">
        <w:rPr>
          <w:rFonts w:ascii="Times New Roman" w:hAnsi="Times New Roman"/>
          <w:bCs/>
          <w:sz w:val="20"/>
          <w:szCs w:val="20"/>
        </w:rPr>
        <w:t>d produkcji i importu o ok. 23,1</w:t>
      </w:r>
      <w:r w:rsidR="00AF687C" w:rsidRPr="00ED2F68">
        <w:rPr>
          <w:rFonts w:ascii="Times New Roman" w:hAnsi="Times New Roman"/>
          <w:bCs/>
          <w:sz w:val="20"/>
          <w:szCs w:val="20"/>
        </w:rPr>
        <w:t>% r/r</w:t>
      </w:r>
      <w:r w:rsidR="00E77147" w:rsidRPr="00ED2F68">
        <w:rPr>
          <w:rFonts w:ascii="Times New Roman" w:hAnsi="Times New Roman"/>
          <w:bCs/>
          <w:sz w:val="20"/>
          <w:szCs w:val="20"/>
        </w:rPr>
        <w:t xml:space="preserve"> </w:t>
      </w:r>
      <w:r w:rsidR="00AF687C" w:rsidRPr="00ED2F68">
        <w:rPr>
          <w:rFonts w:ascii="Times New Roman" w:hAnsi="Times New Roman"/>
          <w:bCs/>
          <w:sz w:val="20"/>
          <w:szCs w:val="20"/>
        </w:rPr>
        <w:t>oraz</w:t>
      </w:r>
      <w:r w:rsidR="00E77147" w:rsidRPr="00ED2F68">
        <w:rPr>
          <w:rFonts w:ascii="Times New Roman" w:hAnsi="Times New Roman"/>
          <w:bCs/>
          <w:sz w:val="20"/>
          <w:szCs w:val="20"/>
        </w:rPr>
        <w:t xml:space="preserve"> podatków od dochodu i majątku o</w:t>
      </w:r>
      <w:r w:rsidR="00ED2F68" w:rsidRPr="00ED2F68">
        <w:rPr>
          <w:rFonts w:ascii="Times New Roman" w:hAnsi="Times New Roman"/>
          <w:bCs/>
          <w:sz w:val="20"/>
          <w:szCs w:val="20"/>
        </w:rPr>
        <w:t> 13,3</w:t>
      </w:r>
      <w:r w:rsidR="00D27CBA" w:rsidRPr="00ED2F68">
        <w:rPr>
          <w:rFonts w:ascii="Times New Roman" w:hAnsi="Times New Roman"/>
          <w:bCs/>
          <w:sz w:val="20"/>
          <w:szCs w:val="20"/>
        </w:rPr>
        <w:t>% r/r.</w:t>
      </w:r>
    </w:p>
    <w:p w14:paraId="4D966827" w14:textId="30341540" w:rsidR="00C61EE3" w:rsidRPr="0089622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657619">
        <w:rPr>
          <w:rFonts w:ascii="Times New Roman" w:hAnsi="Times New Roman"/>
          <w:bCs/>
          <w:sz w:val="20"/>
          <w:szCs w:val="20"/>
        </w:rPr>
        <w:t>Dochody z tytułu składek na ubezpieczenie społeczne w</w:t>
      </w:r>
      <w:r w:rsidR="00855B0A" w:rsidRPr="00657619">
        <w:rPr>
          <w:rFonts w:ascii="Times New Roman" w:hAnsi="Times New Roman"/>
          <w:bCs/>
          <w:sz w:val="20"/>
          <w:szCs w:val="20"/>
        </w:rPr>
        <w:t> </w:t>
      </w:r>
      <w:r w:rsidRPr="00657619">
        <w:rPr>
          <w:rFonts w:ascii="Times New Roman" w:hAnsi="Times New Roman"/>
          <w:bCs/>
          <w:sz w:val="20"/>
          <w:szCs w:val="20"/>
        </w:rPr>
        <w:t xml:space="preserve">podsektorze ubezpieczeń społecznych wg zasad ESA2010 w </w:t>
      </w:r>
      <w:r w:rsidR="00A86D29" w:rsidRPr="00657619">
        <w:rPr>
          <w:rFonts w:ascii="Times New Roman" w:hAnsi="Times New Roman"/>
          <w:bCs/>
          <w:sz w:val="20"/>
          <w:szCs w:val="20"/>
        </w:rPr>
        <w:t>I</w:t>
      </w:r>
      <w:r w:rsidR="00A73C96" w:rsidRPr="00657619">
        <w:rPr>
          <w:rFonts w:ascii="Times New Roman" w:hAnsi="Times New Roman"/>
          <w:bCs/>
          <w:sz w:val="20"/>
          <w:szCs w:val="20"/>
        </w:rPr>
        <w:t>I kw. 2021 r. były wyższe o 10,1</w:t>
      </w:r>
      <w:r w:rsidR="00A86D29" w:rsidRPr="00657619">
        <w:rPr>
          <w:rFonts w:ascii="Times New Roman" w:hAnsi="Times New Roman"/>
          <w:bCs/>
          <w:sz w:val="20"/>
          <w:szCs w:val="20"/>
        </w:rPr>
        <w:t xml:space="preserve">% r/r. (spadek w </w:t>
      </w:r>
      <w:r w:rsidRPr="00657619">
        <w:rPr>
          <w:rFonts w:ascii="Times New Roman" w:hAnsi="Times New Roman"/>
          <w:bCs/>
          <w:sz w:val="20"/>
          <w:szCs w:val="20"/>
        </w:rPr>
        <w:t xml:space="preserve">relacji </w:t>
      </w:r>
      <w:r w:rsidR="00A73C96" w:rsidRPr="00657619">
        <w:rPr>
          <w:rFonts w:ascii="Times New Roman" w:hAnsi="Times New Roman"/>
          <w:bCs/>
          <w:sz w:val="20"/>
          <w:szCs w:val="20"/>
        </w:rPr>
        <w:t>r/r o 0,8</w:t>
      </w:r>
      <w:r w:rsidR="0013066C" w:rsidRPr="00657619">
        <w:rPr>
          <w:rFonts w:ascii="Times New Roman" w:hAnsi="Times New Roman"/>
          <w:bCs/>
          <w:sz w:val="20"/>
          <w:szCs w:val="20"/>
        </w:rPr>
        <w:t xml:space="preserve"> pkt. proc. PKB),</w:t>
      </w:r>
      <w:r w:rsidR="00855B0A" w:rsidRPr="00657619">
        <w:rPr>
          <w:rFonts w:ascii="Times New Roman" w:hAnsi="Times New Roman"/>
          <w:bCs/>
          <w:sz w:val="20"/>
          <w:szCs w:val="20"/>
        </w:rPr>
        <w:t xml:space="preserve"> </w:t>
      </w:r>
      <w:r w:rsidR="00C55E58" w:rsidRPr="00657619">
        <w:rPr>
          <w:rFonts w:ascii="Times New Roman" w:hAnsi="Times New Roman"/>
          <w:bCs/>
          <w:sz w:val="20"/>
          <w:szCs w:val="20"/>
        </w:rPr>
        <w:t xml:space="preserve">tj. </w:t>
      </w:r>
      <w:r w:rsidR="008915CA" w:rsidRPr="00657619">
        <w:rPr>
          <w:rFonts w:ascii="Times New Roman" w:hAnsi="Times New Roman"/>
          <w:bCs/>
          <w:sz w:val="20"/>
          <w:szCs w:val="20"/>
        </w:rPr>
        <w:t>poniżej</w:t>
      </w:r>
      <w:r w:rsidR="00855B0A" w:rsidRPr="00657619">
        <w:rPr>
          <w:rFonts w:ascii="Times New Roman" w:hAnsi="Times New Roman"/>
          <w:bCs/>
          <w:sz w:val="20"/>
          <w:szCs w:val="20"/>
        </w:rPr>
        <w:t xml:space="preserve"> tempa</w:t>
      </w:r>
      <w:r w:rsidRPr="00657619">
        <w:rPr>
          <w:rFonts w:ascii="Times New Roman" w:hAnsi="Times New Roman"/>
          <w:bCs/>
          <w:sz w:val="20"/>
          <w:szCs w:val="20"/>
        </w:rPr>
        <w:t xml:space="preserve"> wzrostu funduszu wynagrodzeń w gospodarce </w:t>
      </w:r>
      <w:r w:rsidRPr="008A696A">
        <w:rPr>
          <w:rFonts w:ascii="Times New Roman" w:hAnsi="Times New Roman"/>
          <w:bCs/>
          <w:sz w:val="20"/>
          <w:szCs w:val="20"/>
        </w:rPr>
        <w:t>narodowej (bez tzw. jedno</w:t>
      </w:r>
      <w:r w:rsidR="00C45A3C" w:rsidRPr="008A696A">
        <w:rPr>
          <w:rFonts w:ascii="Times New Roman" w:hAnsi="Times New Roman"/>
          <w:bCs/>
          <w:sz w:val="20"/>
          <w:szCs w:val="20"/>
        </w:rPr>
        <w:t xml:space="preserve">stek małych), które wyniosło </w:t>
      </w:r>
      <w:r w:rsidR="008A696A" w:rsidRPr="008A696A">
        <w:rPr>
          <w:rFonts w:ascii="Times New Roman" w:hAnsi="Times New Roman"/>
          <w:bCs/>
          <w:sz w:val="20"/>
          <w:szCs w:val="20"/>
        </w:rPr>
        <w:t>11,1</w:t>
      </w:r>
      <w:r w:rsidR="001A255B" w:rsidRPr="008A696A">
        <w:rPr>
          <w:rFonts w:ascii="Times New Roman" w:hAnsi="Times New Roman"/>
          <w:bCs/>
          <w:sz w:val="20"/>
          <w:szCs w:val="20"/>
        </w:rPr>
        <w:t xml:space="preserve">% r/r. </w:t>
      </w:r>
    </w:p>
    <w:tbl>
      <w:tblPr>
        <w:tblW w:w="4886" w:type="dxa"/>
        <w:tblInd w:w="10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98"/>
        <w:gridCol w:w="4680"/>
        <w:gridCol w:w="108"/>
      </w:tblGrid>
      <w:tr w:rsidR="00C61EE3" w:rsidRPr="00F600C4" w14:paraId="48034F4A" w14:textId="77777777" w:rsidTr="009D6D32">
        <w:trPr>
          <w:gridBefore w:val="1"/>
          <w:gridAfter w:val="1"/>
          <w:wBefore w:w="98" w:type="dxa"/>
          <w:wAfter w:w="108" w:type="dxa"/>
          <w:cantSplit/>
        </w:trPr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E268D31" w14:textId="25BACC6C" w:rsidR="00C61EE3" w:rsidRPr="00F600C4" w:rsidRDefault="00B51A6E" w:rsidP="004148B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2. Struktura dochodów sektora instytuc</w:t>
            </w:r>
            <w:r w:rsidR="004148BD"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ji rządowych i samorządowych w </w:t>
            </w:r>
            <w:r w:rsidR="00945BEE"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F600C4"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kw. 202</w:t>
            </w:r>
            <w:r w:rsidR="004148BD"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1</w:t>
            </w:r>
            <w:r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61EE3" w:rsidRPr="00F600C4" w14:paraId="7035618B" w14:textId="77777777" w:rsidTr="009D6D32">
        <w:trPr>
          <w:gridBefore w:val="1"/>
          <w:gridAfter w:val="1"/>
          <w:wBefore w:w="98" w:type="dxa"/>
          <w:wAfter w:w="108" w:type="dxa"/>
          <w:cantSplit/>
        </w:trPr>
        <w:tc>
          <w:tcPr>
            <w:tcW w:w="4680" w:type="dxa"/>
            <w:tcBorders>
              <w:top w:val="single" w:sz="8" w:space="0" w:color="ADAFB2"/>
              <w:bottom w:val="single" w:sz="8" w:space="0" w:color="ADAFB2"/>
            </w:tcBorders>
          </w:tcPr>
          <w:p w14:paraId="4205B674" w14:textId="32B246E1" w:rsidR="00C61EE3" w:rsidRPr="00F600C4" w:rsidRDefault="00F600C4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F600C4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1C77EDA" wp14:editId="4769B413">
                  <wp:extent cx="2957830" cy="1804670"/>
                  <wp:effectExtent l="0" t="0" r="0" b="5080"/>
                  <wp:docPr id="9" name="Obraz 9" descr="Wykres przedstawia strukturę dochodów sektora instytucji rządowych i samorządowych w II kwartale 2021 roku w podziale na: składki na ubezpieczenia społeczne 33,9%, VAT 19,0%; pozostałe podatki 20,2%, podatki dochodowe 15,1%, inne 11,8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F600C4" w14:paraId="5E3348FA" w14:textId="77777777" w:rsidTr="009D6D32">
        <w:trPr>
          <w:gridBefore w:val="1"/>
          <w:gridAfter w:val="1"/>
          <w:wBefore w:w="98" w:type="dxa"/>
          <w:wAfter w:w="108" w:type="dxa"/>
          <w:cantSplit/>
        </w:trPr>
        <w:tc>
          <w:tcPr>
            <w:tcW w:w="4680" w:type="dxa"/>
            <w:tcBorders>
              <w:top w:val="single" w:sz="8" w:space="0" w:color="ADAFB2"/>
              <w:bottom w:val="nil"/>
            </w:tcBorders>
          </w:tcPr>
          <w:p w14:paraId="4AEC16CB" w14:textId="77777777" w:rsidR="00C61EE3" w:rsidRPr="00F600C4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F600C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  <w:r w:rsidRPr="00F600C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  <w:tr w:rsidR="009D6D32" w:rsidRPr="00F600C4" w14:paraId="08AB44E2" w14:textId="77777777" w:rsidTr="009D6D32">
        <w:trPr>
          <w:gridBefore w:val="1"/>
          <w:gridAfter w:val="1"/>
          <w:wBefore w:w="98" w:type="dxa"/>
          <w:wAfter w:w="108" w:type="dxa"/>
        </w:trPr>
        <w:tc>
          <w:tcPr>
            <w:tcW w:w="4680" w:type="dxa"/>
            <w:tcBorders>
              <w:top w:val="nil"/>
              <w:bottom w:val="nil"/>
            </w:tcBorders>
          </w:tcPr>
          <w:p w14:paraId="31F46AA0" w14:textId="26D37A0E" w:rsidR="009D6D32" w:rsidRPr="00F600C4" w:rsidRDefault="009D6D32" w:rsidP="009D6D32">
            <w:pPr>
              <w:keepNext/>
              <w:spacing w:before="120" w:after="60" w:line="288" w:lineRule="auto"/>
              <w:jc w:val="both"/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</w:pPr>
            <w:r w:rsidRPr="009D6D32">
              <w:rPr>
                <w:rFonts w:ascii="Times New Roman" w:hAnsi="Times New Roman" w:cs="Arial"/>
                <w:bCs/>
                <w:sz w:val="20"/>
                <w:szCs w:val="20"/>
              </w:rPr>
              <w:t>Dochody sektora instytucji rządowych i samorządowych z PIT (wg zasad ESA2010), w II kw. 2021 r. były nominalnie wyższe o 5,1% r/r. Dochody podatkowe ze skali podatkowej wzrosły o 11,4%, zaś od działalności gospodarczej w przypadku podatników rozliczających się stawką liniową 19% zmalały o 6,4% r/r. Dynamiczny wzrost wpływów ze skali wynikał z poprawy sytuacji społeczno-gospodarczej. Nominalne tempo wzrostu przeciętnego funduszu wynagrodzeń w gospodarce narodowej (bez małych podmiotów) w II kw. 2021 r. kształtowało się na poziomie 11,1% r/r. Spadek wpływów w przypadku podatników rozliczających się stawką liniową wynikał po części z efektu wysokiej bazy. W 2020 r. termin rozliczenia rocznego został przesunięty na koniec maja, co skutkowało kumulacją kwot do zapłaty w II kw. 2020 r. Znaczenie mogła mieć też wprowadzona w 2021 r. zmiana systemowa zwiększająca limit przychodów dla osób rozliczających się ryczałtem z 250 tys. do 2 mln euro, czego konsekwencją mógł być odpływ osób z liniowej formy opodatkowania do ryczałtowej. Wpływy z ryczałtu od przychodów ewidencjonowanych wzrosły w II kw. 2021 r. o 31,8% r/r., kontynuując dynamiczny trend z poprzedniego kwartału, czego przyczyną była opisana wyżej zmiana systemowa. Wpływy z ryczałtu od odsetek zmalały w omawianym okresie o 58,1%, co miało związek z utrzymywaniem się na niskim poziomie stóp procentowych. Dochody sektora instytucji rządowych i samorządowych z CIT (wg zasad ESA2010) w II kw. 2021 r. były wyższe o 30,5% r/r. Wpływy od pozostałych przedsiębiorstw wzrosły o 52,1% r/r. W II kw. 2021 r. wynik finansowy brutto przedsiębiorstw niefinansowych wzrósł o 71,8% r/r, a zysk brutto tych podmiotów wzrósł  o 49,6% r/r. Wynik finansowy brutto banków w II kw. 2021 r. wzrósł o 65,6% r/r.</w:t>
            </w:r>
          </w:p>
        </w:tc>
      </w:tr>
      <w:tr w:rsidR="00EC0BB2" w:rsidRPr="00C335F6" w14:paraId="0B17D31A" w14:textId="77777777" w:rsidTr="009D6D32">
        <w:trPr>
          <w:gridBefore w:val="1"/>
          <w:gridAfter w:val="1"/>
          <w:wBefore w:w="98" w:type="dxa"/>
          <w:wAfter w:w="108" w:type="dxa"/>
          <w:cantSplit/>
        </w:trPr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4A4A342" w14:textId="77777777" w:rsidR="00EC0BB2" w:rsidRPr="00C335F6" w:rsidRDefault="00EC0BB2" w:rsidP="000C5EE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C335F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3. Dynamika memoriałowych wpływów z podatku VAT (r/r).</w:t>
            </w:r>
          </w:p>
        </w:tc>
      </w:tr>
      <w:tr w:rsidR="009D6D32" w:rsidRPr="00C335F6" w14:paraId="658BA65E" w14:textId="77777777" w:rsidTr="009D6D32">
        <w:trPr>
          <w:gridBefore w:val="1"/>
          <w:gridAfter w:val="1"/>
          <w:wBefore w:w="98" w:type="dxa"/>
          <w:wAfter w:w="108" w:type="dxa"/>
        </w:trPr>
        <w:tc>
          <w:tcPr>
            <w:tcW w:w="4680" w:type="dxa"/>
            <w:tcBorders>
              <w:top w:val="single" w:sz="8" w:space="0" w:color="ADAFB2"/>
              <w:bottom w:val="nil"/>
            </w:tcBorders>
            <w:shd w:val="clear" w:color="auto" w:fill="auto"/>
          </w:tcPr>
          <w:p w14:paraId="70CC37F5" w14:textId="77777777" w:rsidR="009D6D32" w:rsidRPr="00C335F6" w:rsidRDefault="009D6D32" w:rsidP="00C335F6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35C7B" w:rsidRPr="00C335F6" w14:paraId="2609C647" w14:textId="77777777" w:rsidTr="009D6D32">
        <w:trPr>
          <w:gridBefore w:val="1"/>
          <w:gridAfter w:val="1"/>
          <w:wBefore w:w="98" w:type="dxa"/>
          <w:wAfter w:w="108" w:type="dxa"/>
        </w:trPr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2D977254" w14:textId="5674858A" w:rsidR="00C35C7B" w:rsidRPr="00C335F6" w:rsidRDefault="00C35C7B" w:rsidP="00C335F6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35F6">
              <w:rPr>
                <w:noProof/>
                <w:lang w:eastAsia="pl-PL"/>
              </w:rPr>
              <w:drawing>
                <wp:inline distT="0" distB="0" distL="0" distR="0" wp14:anchorId="4F33D3CD" wp14:editId="10BC9E2F">
                  <wp:extent cx="2852738" cy="2052638"/>
                  <wp:effectExtent l="0" t="0" r="5080" b="0"/>
                  <wp:docPr id="7" name="Wykres 7" descr="Wykres prezentuje dynamikę memoriałowych wpływów z podatku VAT r/r  w okresie od III kwartału 2018 do II kwartału 2021 roku. Dane szczegółowe dostępne w Aneksie statystycznym, na końcu opracowania." title="Wykres 3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9D6D32" w:rsidRPr="00C335F6" w14:paraId="4648B047" w14:textId="77777777" w:rsidTr="009D6D32">
        <w:trPr>
          <w:trHeight w:val="456"/>
        </w:trPr>
        <w:tc>
          <w:tcPr>
            <w:tcW w:w="4886" w:type="dxa"/>
            <w:gridSpan w:val="3"/>
            <w:tcBorders>
              <w:top w:val="single" w:sz="8" w:space="0" w:color="ADAFB2"/>
              <w:bottom w:val="nil"/>
            </w:tcBorders>
          </w:tcPr>
          <w:p w14:paraId="0D065071" w14:textId="77777777" w:rsidR="009D6D32" w:rsidRPr="00C335F6" w:rsidRDefault="009D6D32" w:rsidP="000C5EE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C335F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  <w:tr w:rsidR="00EC0BB2" w:rsidRPr="00C335F6" w14:paraId="370C02B7" w14:textId="77777777" w:rsidTr="00A56892">
        <w:trPr>
          <w:gridBefore w:val="1"/>
          <w:gridAfter w:val="1"/>
          <w:wBefore w:w="98" w:type="dxa"/>
          <w:wAfter w:w="108" w:type="dxa"/>
        </w:trPr>
        <w:tc>
          <w:tcPr>
            <w:tcW w:w="4680" w:type="dxa"/>
            <w:tcBorders>
              <w:top w:val="nil"/>
              <w:bottom w:val="nil"/>
            </w:tcBorders>
            <w:shd w:val="clear" w:color="auto" w:fill="auto"/>
          </w:tcPr>
          <w:p w14:paraId="1A2EFB27" w14:textId="77777777" w:rsidR="00EC0BB2" w:rsidRDefault="00EC0BB2" w:rsidP="000C5EEE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35F6">
              <w:rPr>
                <w:rFonts w:ascii="Times New Roman" w:hAnsi="Times New Roman"/>
                <w:bCs/>
                <w:sz w:val="20"/>
                <w:szCs w:val="20"/>
              </w:rPr>
              <w:t>Według danych GUS dochody z tytułu podatku VAT (wg zasad ESA2010), w II kw. 2021 r. były nominalnie wyższe o 23,9% r/r. Wysokie tempo wzrostu jest przede wszystkim efektem bazy. W I półroczu 2020 r. wystąpiły duże spadki dochodów spowodowane pandemią. Dodatkowo na wysoką dynamikę dochodów z VAT wpływ miały dobre wyniki produkcji przemysłowej i wszystkim sprzedaży detalicznej.  W II kwartale 2021 r. wzrost sprzedaży detalicznej w cenach stałych wyniósł 14,4% r/r, natomiast produkcja sprzedana przemysłu wzrosła w  cenach stałych o 30,2% r/r.</w:t>
            </w:r>
          </w:p>
          <w:p w14:paraId="4C186980" w14:textId="1EA80C50" w:rsidR="00A56892" w:rsidRDefault="00A56892" w:rsidP="000C5EEE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35F6">
              <w:rPr>
                <w:rFonts w:ascii="Times New Roman" w:hAnsi="Times New Roman"/>
                <w:bCs/>
                <w:sz w:val="20"/>
                <w:szCs w:val="20"/>
              </w:rPr>
              <w:t xml:space="preserve">Dochody z akcyzy (wg zasad ESA2010) w II kw. </w:t>
            </w:r>
            <w:r w:rsidRPr="00C335F6"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2021 r. były wyższe o 14,9% r/r. Dochody od paliw silnikowych wzrosły o 17,2% r/r, od wyrobów alkoholowych wzrosły o 8,4% r/r, od wyrobów tytoniowych wzrosły o 13,6% r/r, od samochodów osobowych wzrosły o 41,4% r/r, od energii elektrycznej wzrosły o 14,6% r/r, od gazu LPG wzrosły o 9,7% r/r, od wina wzrosły o 20,7% r/r, od piwa spadły 7,0% r/r. </w:t>
            </w:r>
          </w:p>
          <w:p w14:paraId="5B992EDF" w14:textId="77777777" w:rsidR="00A56892" w:rsidRDefault="00A56892" w:rsidP="000C5EEE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E09D5A6" w14:textId="77777777" w:rsidR="00A56892" w:rsidRDefault="00A56892" w:rsidP="000C5EEE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C3D97D5" w14:textId="77777777" w:rsidR="00A56892" w:rsidRDefault="00A56892" w:rsidP="000C5EEE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B6C4DEE" w14:textId="77777777" w:rsidR="00A56892" w:rsidRDefault="00A56892" w:rsidP="000C5EEE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8ACBC10" w14:textId="77777777" w:rsidR="00A56892" w:rsidRDefault="00A56892" w:rsidP="000C5EEE">
            <w:pPr>
              <w:spacing w:before="120" w:after="0" w:line="288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765CA3B" w14:textId="77777777" w:rsidR="00EC0BB2" w:rsidRPr="00C335F6" w:rsidRDefault="00EC0BB2" w:rsidP="000C5EE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C335F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4. Wpływy z podatku VAT (memoriałowe) w relacji do PKB.</w:t>
            </w:r>
          </w:p>
        </w:tc>
      </w:tr>
      <w:tr w:rsidR="00EC0BB2" w:rsidRPr="00C335F6" w14:paraId="04FAF301" w14:textId="77777777" w:rsidTr="009D6D3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98" w:type="dxa"/>
          <w:wAfter w:w="108" w:type="dxa"/>
        </w:trPr>
        <w:tc>
          <w:tcPr>
            <w:tcW w:w="4680" w:type="dxa"/>
            <w:tcBorders>
              <w:top w:val="single" w:sz="8" w:space="0" w:color="ADAFB2"/>
            </w:tcBorders>
          </w:tcPr>
          <w:p w14:paraId="62D0F2AE" w14:textId="77777777" w:rsidR="00EC0BB2" w:rsidRPr="00C335F6" w:rsidRDefault="00EC0BB2" w:rsidP="000C5EE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335F6">
              <w:rPr>
                <w:noProof/>
                <w:lang w:eastAsia="pl-PL"/>
              </w:rPr>
              <w:drawing>
                <wp:inline distT="0" distB="0" distL="0" distR="0" wp14:anchorId="62099220" wp14:editId="23535CA3">
                  <wp:extent cx="2852738" cy="2052638"/>
                  <wp:effectExtent l="0" t="0" r="5080" b="0"/>
                  <wp:docPr id="8" name="Wykres 8" descr="Wykres przedstawia wpływy z podatku VAT (memoriałowe) w relacji do PKB w okresie od II kwartału 2018 do II kwartału 2021 roku. Dane szczegółowe dostępne w Aneksie statystycznym, na końcu opracowania." title="Wykres 4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EC0BB2" w:rsidRPr="00C335F6" w14:paraId="4FD7484C" w14:textId="77777777" w:rsidTr="009D6D32">
        <w:trPr>
          <w:gridBefore w:val="1"/>
          <w:gridAfter w:val="1"/>
          <w:wBefore w:w="98" w:type="dxa"/>
          <w:wAfter w:w="108" w:type="dxa"/>
        </w:trPr>
        <w:tc>
          <w:tcPr>
            <w:tcW w:w="4680" w:type="dxa"/>
          </w:tcPr>
          <w:p w14:paraId="2A490F28" w14:textId="77777777" w:rsidR="00EC0BB2" w:rsidRPr="00C335F6" w:rsidRDefault="00EC0BB2" w:rsidP="000C5EE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C335F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7449FB3D" w14:textId="4C9EEF34" w:rsidR="00C61EE3" w:rsidRPr="00657619" w:rsidRDefault="00B51A6E" w:rsidP="001B6E19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57619">
        <w:rPr>
          <w:rFonts w:ascii="Times New Roman" w:hAnsi="Times New Roman"/>
          <w:bCs/>
          <w:sz w:val="20"/>
          <w:szCs w:val="20"/>
        </w:rPr>
        <w:t>Pozostałe dochody sektora instytuc</w:t>
      </w:r>
      <w:r w:rsidR="00DC68E4" w:rsidRPr="00657619">
        <w:rPr>
          <w:rFonts w:ascii="Times New Roman" w:hAnsi="Times New Roman"/>
          <w:bCs/>
          <w:sz w:val="20"/>
          <w:szCs w:val="20"/>
        </w:rPr>
        <w:t xml:space="preserve">ji rządowych i samorządowych w </w:t>
      </w:r>
      <w:r w:rsidR="002747EF" w:rsidRPr="00657619">
        <w:rPr>
          <w:rFonts w:ascii="Times New Roman" w:hAnsi="Times New Roman"/>
          <w:bCs/>
          <w:sz w:val="20"/>
          <w:szCs w:val="20"/>
        </w:rPr>
        <w:t>I</w:t>
      </w:r>
      <w:r w:rsidR="00657619" w:rsidRPr="00657619">
        <w:rPr>
          <w:rFonts w:ascii="Times New Roman" w:hAnsi="Times New Roman"/>
          <w:bCs/>
          <w:sz w:val="20"/>
          <w:szCs w:val="20"/>
        </w:rPr>
        <w:t>I</w:t>
      </w:r>
      <w:r w:rsidR="00DC68E4" w:rsidRPr="00657619">
        <w:rPr>
          <w:rFonts w:ascii="Times New Roman" w:hAnsi="Times New Roman"/>
          <w:bCs/>
          <w:sz w:val="20"/>
          <w:szCs w:val="20"/>
        </w:rPr>
        <w:t xml:space="preserve"> kw. 2021</w:t>
      </w:r>
      <w:r w:rsidRPr="00657619">
        <w:rPr>
          <w:rFonts w:ascii="Times New Roman" w:hAnsi="Times New Roman"/>
          <w:bCs/>
          <w:sz w:val="20"/>
          <w:szCs w:val="20"/>
        </w:rPr>
        <w:t xml:space="preserve"> r. </w:t>
      </w:r>
      <w:r w:rsidR="00DC68E4" w:rsidRPr="00657619">
        <w:rPr>
          <w:rFonts w:ascii="Times New Roman" w:hAnsi="Times New Roman"/>
          <w:bCs/>
          <w:sz w:val="20"/>
          <w:szCs w:val="20"/>
        </w:rPr>
        <w:t xml:space="preserve">wzrosły nominalnie </w:t>
      </w:r>
      <w:r w:rsidR="002747EF" w:rsidRPr="00657619">
        <w:rPr>
          <w:rFonts w:ascii="Times New Roman" w:hAnsi="Times New Roman"/>
          <w:bCs/>
          <w:sz w:val="20"/>
          <w:szCs w:val="20"/>
        </w:rPr>
        <w:t>o </w:t>
      </w:r>
      <w:r w:rsidR="00657619" w:rsidRPr="00657619">
        <w:rPr>
          <w:rFonts w:ascii="Times New Roman" w:hAnsi="Times New Roman"/>
          <w:bCs/>
          <w:sz w:val="20"/>
          <w:szCs w:val="20"/>
        </w:rPr>
        <w:t>9,2</w:t>
      </w:r>
      <w:r w:rsidRPr="00657619">
        <w:rPr>
          <w:rFonts w:ascii="Times New Roman" w:hAnsi="Times New Roman"/>
          <w:bCs/>
          <w:sz w:val="20"/>
          <w:szCs w:val="20"/>
        </w:rPr>
        <w:t>% r/r</w:t>
      </w:r>
      <w:r w:rsidR="00DC68E4" w:rsidRPr="00657619">
        <w:rPr>
          <w:rFonts w:ascii="Times New Roman" w:hAnsi="Times New Roman"/>
          <w:bCs/>
          <w:sz w:val="20"/>
          <w:szCs w:val="20"/>
        </w:rPr>
        <w:t>, w tym</w:t>
      </w:r>
      <w:r w:rsidR="00D43D86" w:rsidRPr="00657619">
        <w:rPr>
          <w:rFonts w:ascii="Times New Roman" w:hAnsi="Times New Roman"/>
          <w:bCs/>
          <w:sz w:val="20"/>
          <w:szCs w:val="20"/>
        </w:rPr>
        <w:t xml:space="preserve"> dochody z tytułu własności o</w:t>
      </w:r>
      <w:r w:rsidR="00404509" w:rsidRPr="00657619">
        <w:rPr>
          <w:rFonts w:ascii="Times New Roman" w:hAnsi="Times New Roman"/>
          <w:bCs/>
          <w:sz w:val="20"/>
          <w:szCs w:val="20"/>
        </w:rPr>
        <w:t> </w:t>
      </w:r>
      <w:r w:rsidR="00657619" w:rsidRPr="00657619">
        <w:rPr>
          <w:rFonts w:ascii="Times New Roman" w:hAnsi="Times New Roman"/>
          <w:bCs/>
          <w:sz w:val="20"/>
          <w:szCs w:val="20"/>
        </w:rPr>
        <w:t>38,1</w:t>
      </w:r>
      <w:r w:rsidR="00D43D86" w:rsidRPr="00657619">
        <w:rPr>
          <w:rFonts w:ascii="Times New Roman" w:hAnsi="Times New Roman"/>
          <w:bCs/>
          <w:sz w:val="20"/>
          <w:szCs w:val="20"/>
        </w:rPr>
        <w:t>% r/r.</w:t>
      </w:r>
    </w:p>
    <w:p w14:paraId="55384F17" w14:textId="77777777" w:rsidR="00C61EE3" w:rsidRPr="006F20EE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86306141"/>
      <w:r w:rsidRPr="006F20EE">
        <w:rPr>
          <w:rFonts w:ascii="Arial" w:hAnsi="Arial" w:cs="Arial"/>
          <w:i w:val="0"/>
          <w:color w:val="E31837"/>
          <w:sz w:val="20"/>
          <w:szCs w:val="20"/>
        </w:rPr>
        <w:t>1.3. Wydatki</w:t>
      </w:r>
      <w:bookmarkEnd w:id="3"/>
    </w:p>
    <w:p w14:paraId="6C3F0FFA" w14:textId="3DBC9CDB" w:rsidR="00C61EE3" w:rsidRPr="006F20EE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F20EE">
        <w:rPr>
          <w:rFonts w:ascii="Times New Roman" w:hAnsi="Times New Roman"/>
          <w:bCs/>
          <w:sz w:val="20"/>
          <w:szCs w:val="20"/>
        </w:rPr>
        <w:t xml:space="preserve">W </w:t>
      </w:r>
      <w:r w:rsidR="00EE6B06" w:rsidRPr="006F20EE">
        <w:rPr>
          <w:rFonts w:ascii="Times New Roman" w:hAnsi="Times New Roman"/>
          <w:bCs/>
          <w:sz w:val="20"/>
          <w:szCs w:val="20"/>
        </w:rPr>
        <w:t>I</w:t>
      </w:r>
      <w:r w:rsidR="006F20EE">
        <w:rPr>
          <w:rFonts w:ascii="Times New Roman" w:hAnsi="Times New Roman"/>
          <w:bCs/>
          <w:sz w:val="20"/>
          <w:szCs w:val="20"/>
        </w:rPr>
        <w:t>I</w:t>
      </w:r>
      <w:r w:rsidR="004C002F" w:rsidRPr="006F20EE">
        <w:rPr>
          <w:rFonts w:ascii="Times New Roman" w:hAnsi="Times New Roman"/>
          <w:bCs/>
          <w:sz w:val="20"/>
          <w:szCs w:val="20"/>
        </w:rPr>
        <w:t xml:space="preserve"> kw. 2021</w:t>
      </w:r>
      <w:r w:rsidRPr="006F20EE">
        <w:rPr>
          <w:rFonts w:ascii="Times New Roman" w:hAnsi="Times New Roman"/>
          <w:bCs/>
          <w:sz w:val="20"/>
          <w:szCs w:val="20"/>
        </w:rPr>
        <w:t xml:space="preserve"> r. wydatki sektora instytucji rządowych i samorz</w:t>
      </w:r>
      <w:r w:rsidR="00A6661D" w:rsidRPr="006F20EE">
        <w:rPr>
          <w:rFonts w:ascii="Times New Roman" w:hAnsi="Times New Roman"/>
          <w:bCs/>
          <w:sz w:val="20"/>
          <w:szCs w:val="20"/>
        </w:rPr>
        <w:t xml:space="preserve">ądowych (ESA2010) </w:t>
      </w:r>
      <w:r w:rsidR="006F20EE" w:rsidRPr="006F20EE">
        <w:rPr>
          <w:rFonts w:ascii="Times New Roman" w:hAnsi="Times New Roman"/>
          <w:bCs/>
          <w:sz w:val="20"/>
          <w:szCs w:val="20"/>
        </w:rPr>
        <w:t>wyniosły 271,8</w:t>
      </w:r>
      <w:r w:rsidRPr="006F20EE">
        <w:rPr>
          <w:rFonts w:ascii="Times New Roman" w:hAnsi="Times New Roman"/>
          <w:bCs/>
          <w:sz w:val="20"/>
          <w:szCs w:val="20"/>
        </w:rPr>
        <w:t> mld zł</w:t>
      </w:r>
      <w:r w:rsidR="0079656D" w:rsidRPr="006F20EE">
        <w:rPr>
          <w:rFonts w:ascii="Times New Roman" w:hAnsi="Times New Roman"/>
          <w:bCs/>
          <w:sz w:val="20"/>
          <w:szCs w:val="20"/>
        </w:rPr>
        <w:t xml:space="preserve"> i były nominalnie </w:t>
      </w:r>
      <w:r w:rsidR="006F20EE" w:rsidRPr="006F20EE">
        <w:rPr>
          <w:rFonts w:ascii="Times New Roman" w:hAnsi="Times New Roman"/>
          <w:bCs/>
          <w:sz w:val="20"/>
          <w:szCs w:val="20"/>
        </w:rPr>
        <w:t>niższe</w:t>
      </w:r>
      <w:r w:rsidR="0079656D" w:rsidRPr="006F20EE">
        <w:rPr>
          <w:rFonts w:ascii="Times New Roman" w:hAnsi="Times New Roman"/>
          <w:bCs/>
          <w:sz w:val="20"/>
          <w:szCs w:val="20"/>
        </w:rPr>
        <w:t xml:space="preserve"> o</w:t>
      </w:r>
      <w:r w:rsidR="00B049D4" w:rsidRPr="006F20EE">
        <w:rPr>
          <w:rFonts w:ascii="Times New Roman" w:hAnsi="Times New Roman"/>
          <w:bCs/>
          <w:sz w:val="20"/>
          <w:szCs w:val="20"/>
        </w:rPr>
        <w:t xml:space="preserve"> </w:t>
      </w:r>
      <w:r w:rsidR="006F20EE" w:rsidRPr="006F20EE">
        <w:rPr>
          <w:rFonts w:ascii="Times New Roman" w:hAnsi="Times New Roman"/>
          <w:bCs/>
          <w:sz w:val="20"/>
          <w:szCs w:val="20"/>
        </w:rPr>
        <w:t>16,9</w:t>
      </w:r>
      <w:r w:rsidR="006F20EE" w:rsidRPr="00782359">
        <w:rPr>
          <w:rFonts w:ascii="Times New Roman" w:hAnsi="Times New Roman"/>
          <w:bCs/>
          <w:sz w:val="20"/>
          <w:szCs w:val="20"/>
        </w:rPr>
        <w:t>% r/r (</w:t>
      </w:r>
      <w:r w:rsidR="00A2508A" w:rsidRPr="00782359">
        <w:rPr>
          <w:rFonts w:ascii="Times New Roman" w:hAnsi="Times New Roman"/>
          <w:bCs/>
          <w:sz w:val="20"/>
          <w:szCs w:val="20"/>
        </w:rPr>
        <w:t>spadek</w:t>
      </w:r>
      <w:r w:rsidR="006F20EE" w:rsidRPr="006F20EE">
        <w:rPr>
          <w:rFonts w:ascii="Times New Roman" w:hAnsi="Times New Roman"/>
          <w:bCs/>
          <w:sz w:val="20"/>
          <w:szCs w:val="20"/>
        </w:rPr>
        <w:t xml:space="preserve"> relacji r/r o 17,6</w:t>
      </w:r>
      <w:r w:rsidRPr="006F20EE">
        <w:rPr>
          <w:rFonts w:ascii="Times New Roman" w:hAnsi="Times New Roman"/>
          <w:bCs/>
          <w:sz w:val="20"/>
          <w:szCs w:val="20"/>
        </w:rPr>
        <w:t> pkt. proc. PKB)</w:t>
      </w:r>
    </w:p>
    <w:p w14:paraId="4A54D5DE" w14:textId="439F7CD6" w:rsidR="00A6661D" w:rsidRPr="00440B31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F20EE">
        <w:rPr>
          <w:rFonts w:ascii="Times New Roman" w:hAnsi="Times New Roman"/>
          <w:bCs/>
          <w:sz w:val="20"/>
          <w:szCs w:val="20"/>
        </w:rPr>
        <w:t>Największy udział w</w:t>
      </w:r>
      <w:r w:rsidR="006F20EE" w:rsidRPr="006F20EE">
        <w:rPr>
          <w:rFonts w:ascii="Times New Roman" w:hAnsi="Times New Roman"/>
          <w:bCs/>
          <w:sz w:val="20"/>
          <w:szCs w:val="20"/>
        </w:rPr>
        <w:t xml:space="preserve"> spadku</w:t>
      </w:r>
      <w:r w:rsidR="00A6661D" w:rsidRPr="006F20EE">
        <w:rPr>
          <w:rFonts w:ascii="Times New Roman" w:hAnsi="Times New Roman"/>
          <w:bCs/>
          <w:sz w:val="20"/>
          <w:szCs w:val="20"/>
        </w:rPr>
        <w:t xml:space="preserve"> wydatków miała kat</w:t>
      </w:r>
      <w:r w:rsidR="00B049D4" w:rsidRPr="006F20EE">
        <w:rPr>
          <w:rFonts w:ascii="Times New Roman" w:hAnsi="Times New Roman"/>
          <w:bCs/>
          <w:sz w:val="20"/>
          <w:szCs w:val="20"/>
        </w:rPr>
        <w:t xml:space="preserve">egoria dotacji – </w:t>
      </w:r>
      <w:r w:rsidR="006F20EE" w:rsidRPr="006F20EE">
        <w:rPr>
          <w:rFonts w:ascii="Times New Roman" w:hAnsi="Times New Roman"/>
          <w:bCs/>
          <w:sz w:val="20"/>
          <w:szCs w:val="20"/>
        </w:rPr>
        <w:t>spadek</w:t>
      </w:r>
      <w:r w:rsidR="00B049D4" w:rsidRPr="006F20EE">
        <w:rPr>
          <w:rFonts w:ascii="Times New Roman" w:hAnsi="Times New Roman"/>
          <w:bCs/>
          <w:sz w:val="20"/>
          <w:szCs w:val="20"/>
        </w:rPr>
        <w:t xml:space="preserve"> o </w:t>
      </w:r>
      <w:r w:rsidR="006F20EE" w:rsidRPr="006F20EE">
        <w:rPr>
          <w:rFonts w:ascii="Times New Roman" w:hAnsi="Times New Roman"/>
          <w:bCs/>
          <w:sz w:val="20"/>
          <w:szCs w:val="20"/>
        </w:rPr>
        <w:t>84,9</w:t>
      </w:r>
      <w:r w:rsidR="00A6661D" w:rsidRPr="006F20EE">
        <w:rPr>
          <w:rFonts w:ascii="Times New Roman" w:hAnsi="Times New Roman"/>
          <w:bCs/>
          <w:sz w:val="20"/>
          <w:szCs w:val="20"/>
        </w:rPr>
        <w:t>% r/r</w:t>
      </w:r>
      <w:r w:rsidR="00E531D7" w:rsidRPr="006F20EE">
        <w:rPr>
          <w:rFonts w:ascii="Times New Roman" w:hAnsi="Times New Roman"/>
          <w:bCs/>
          <w:sz w:val="20"/>
          <w:szCs w:val="20"/>
        </w:rPr>
        <w:t>,</w:t>
      </w:r>
      <w:r w:rsidR="00A6661D" w:rsidRPr="006F20EE">
        <w:rPr>
          <w:rFonts w:ascii="Times New Roman" w:hAnsi="Times New Roman"/>
          <w:bCs/>
          <w:sz w:val="20"/>
          <w:szCs w:val="20"/>
        </w:rPr>
        <w:t xml:space="preserve"> tj. o </w:t>
      </w:r>
      <w:r w:rsidR="006F20EE" w:rsidRPr="006F20EE">
        <w:rPr>
          <w:rFonts w:ascii="Times New Roman" w:hAnsi="Times New Roman"/>
          <w:bCs/>
          <w:sz w:val="20"/>
          <w:szCs w:val="20"/>
        </w:rPr>
        <w:t>ok. 52,0</w:t>
      </w:r>
      <w:r w:rsidR="00045DC9" w:rsidRPr="006F20EE">
        <w:rPr>
          <w:rFonts w:ascii="Times New Roman" w:hAnsi="Times New Roman"/>
          <w:bCs/>
          <w:sz w:val="20"/>
          <w:szCs w:val="20"/>
        </w:rPr>
        <w:t> mld </w:t>
      </w:r>
      <w:r w:rsidR="00A6661D" w:rsidRPr="006F20EE">
        <w:rPr>
          <w:rFonts w:ascii="Times New Roman" w:hAnsi="Times New Roman"/>
          <w:bCs/>
          <w:sz w:val="20"/>
          <w:szCs w:val="20"/>
        </w:rPr>
        <w:t xml:space="preserve">zł r/r. </w:t>
      </w:r>
      <w:r w:rsidR="005C3E0D" w:rsidRPr="006F20EE">
        <w:rPr>
          <w:rFonts w:ascii="Times New Roman" w:hAnsi="Times New Roman"/>
          <w:bCs/>
          <w:sz w:val="20"/>
          <w:szCs w:val="20"/>
        </w:rPr>
        <w:t>Tak wysoki</w:t>
      </w:r>
      <w:r w:rsidR="00B36289" w:rsidRPr="006F20EE">
        <w:rPr>
          <w:rFonts w:ascii="Times New Roman" w:hAnsi="Times New Roman"/>
          <w:bCs/>
          <w:sz w:val="20"/>
          <w:szCs w:val="20"/>
        </w:rPr>
        <w:t xml:space="preserve"> </w:t>
      </w:r>
      <w:r w:rsidR="006F20EE" w:rsidRPr="006F20EE">
        <w:rPr>
          <w:rFonts w:ascii="Times New Roman" w:hAnsi="Times New Roman"/>
          <w:bCs/>
          <w:sz w:val="20"/>
          <w:szCs w:val="20"/>
        </w:rPr>
        <w:t>spadek</w:t>
      </w:r>
      <w:r w:rsidR="00B36289" w:rsidRPr="006F20EE">
        <w:rPr>
          <w:rFonts w:ascii="Times New Roman" w:hAnsi="Times New Roman"/>
          <w:bCs/>
          <w:sz w:val="20"/>
          <w:szCs w:val="20"/>
        </w:rPr>
        <w:t xml:space="preserve"> wydatków na subsydia dla przedsiębiorców</w:t>
      </w:r>
      <w:r w:rsidR="005C3E0D" w:rsidRPr="006F20EE">
        <w:rPr>
          <w:rFonts w:ascii="Times New Roman" w:hAnsi="Times New Roman"/>
          <w:bCs/>
          <w:sz w:val="20"/>
          <w:szCs w:val="20"/>
        </w:rPr>
        <w:t>,</w:t>
      </w:r>
      <w:r w:rsidR="00B36289" w:rsidRPr="006F20EE">
        <w:rPr>
          <w:rFonts w:ascii="Times New Roman" w:hAnsi="Times New Roman"/>
          <w:bCs/>
          <w:sz w:val="20"/>
          <w:szCs w:val="20"/>
        </w:rPr>
        <w:t xml:space="preserve"> związany był z </w:t>
      </w:r>
      <w:r w:rsidR="006F20EE" w:rsidRPr="006F20EE">
        <w:rPr>
          <w:rFonts w:ascii="Times New Roman" w:hAnsi="Times New Roman"/>
          <w:bCs/>
          <w:sz w:val="20"/>
          <w:szCs w:val="20"/>
        </w:rPr>
        <w:t>wygaszaniem pomocy udzielonej</w:t>
      </w:r>
      <w:r w:rsidR="00B36289" w:rsidRPr="006F20EE">
        <w:rPr>
          <w:rFonts w:ascii="Times New Roman" w:hAnsi="Times New Roman"/>
          <w:bCs/>
          <w:sz w:val="20"/>
          <w:szCs w:val="20"/>
        </w:rPr>
        <w:t xml:space="preserve"> przez państwo w ramach walki z epidemią COVI</w:t>
      </w:r>
      <w:r w:rsidR="005C3E0D" w:rsidRPr="006F20EE">
        <w:rPr>
          <w:rFonts w:ascii="Times New Roman" w:hAnsi="Times New Roman"/>
          <w:bCs/>
          <w:sz w:val="20"/>
          <w:szCs w:val="20"/>
        </w:rPr>
        <w:t>D-19. W pozycji tej uwzględnia się</w:t>
      </w:r>
      <w:r w:rsidR="00B36289" w:rsidRPr="006F20EE">
        <w:rPr>
          <w:rFonts w:ascii="Times New Roman" w:hAnsi="Times New Roman"/>
          <w:bCs/>
          <w:sz w:val="20"/>
          <w:szCs w:val="20"/>
        </w:rPr>
        <w:t>, zarówno wydatki związane z wykonaniem programów rządowych realizowanych przez PFR w ramach Tarczy Finansowej jak i znaczącą część wydatków finansowanych z</w:t>
      </w:r>
      <w:r w:rsidR="00D27CBA" w:rsidRPr="006F20EE">
        <w:rPr>
          <w:rFonts w:ascii="Times New Roman" w:hAnsi="Times New Roman"/>
          <w:bCs/>
          <w:sz w:val="20"/>
          <w:szCs w:val="20"/>
        </w:rPr>
        <w:t> </w:t>
      </w:r>
      <w:r w:rsidR="00B36289" w:rsidRPr="006F20EE">
        <w:rPr>
          <w:rFonts w:ascii="Times New Roman" w:hAnsi="Times New Roman"/>
          <w:bCs/>
          <w:sz w:val="20"/>
          <w:szCs w:val="20"/>
        </w:rPr>
        <w:t>Funduszu Przeciwdziałania COVID-</w:t>
      </w:r>
      <w:r w:rsidR="00B36289" w:rsidRPr="00440B31">
        <w:rPr>
          <w:rFonts w:ascii="Times New Roman" w:hAnsi="Times New Roman"/>
          <w:bCs/>
          <w:sz w:val="20"/>
          <w:szCs w:val="20"/>
        </w:rPr>
        <w:t>19 w celu utrzymania stabilnej sytuacji na rynku pracy</w:t>
      </w:r>
      <w:r w:rsidR="005C7E6E" w:rsidRPr="00440B31">
        <w:rPr>
          <w:rFonts w:ascii="Times New Roman" w:hAnsi="Times New Roman"/>
          <w:bCs/>
          <w:sz w:val="20"/>
          <w:szCs w:val="20"/>
        </w:rPr>
        <w:t>.</w:t>
      </w:r>
    </w:p>
    <w:p w14:paraId="339D7CCB" w14:textId="324C048E" w:rsidR="00A66CB7" w:rsidRPr="00896223" w:rsidRDefault="00B51A6E" w:rsidP="00A66CB7">
      <w:pPr>
        <w:spacing w:before="12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440B31">
        <w:rPr>
          <w:rFonts w:ascii="Times New Roman" w:hAnsi="Times New Roman"/>
          <w:bCs/>
          <w:sz w:val="20"/>
          <w:szCs w:val="20"/>
        </w:rPr>
        <w:t xml:space="preserve">W </w:t>
      </w:r>
      <w:r w:rsidR="001E5740" w:rsidRPr="00440B31">
        <w:rPr>
          <w:rFonts w:ascii="Times New Roman" w:hAnsi="Times New Roman"/>
          <w:bCs/>
          <w:sz w:val="20"/>
          <w:szCs w:val="20"/>
        </w:rPr>
        <w:t>I</w:t>
      </w:r>
      <w:r w:rsidRPr="00440B31">
        <w:rPr>
          <w:rFonts w:ascii="Times New Roman" w:hAnsi="Times New Roman"/>
          <w:bCs/>
          <w:sz w:val="20"/>
          <w:szCs w:val="20"/>
        </w:rPr>
        <w:t>I kw. 2</w:t>
      </w:r>
      <w:r w:rsidR="00C073FC" w:rsidRPr="00440B31">
        <w:rPr>
          <w:rFonts w:ascii="Times New Roman" w:hAnsi="Times New Roman"/>
          <w:bCs/>
          <w:sz w:val="20"/>
          <w:szCs w:val="20"/>
        </w:rPr>
        <w:t>021</w:t>
      </w:r>
      <w:r w:rsidRPr="00440B31">
        <w:rPr>
          <w:rFonts w:ascii="Times New Roman" w:hAnsi="Times New Roman"/>
          <w:bCs/>
          <w:sz w:val="20"/>
          <w:szCs w:val="20"/>
        </w:rPr>
        <w:t xml:space="preserve"> r. świadczeni</w:t>
      </w:r>
      <w:r w:rsidR="00394083" w:rsidRPr="00440B31">
        <w:rPr>
          <w:rFonts w:ascii="Times New Roman" w:hAnsi="Times New Roman"/>
          <w:bCs/>
          <w:sz w:val="20"/>
          <w:szCs w:val="20"/>
        </w:rPr>
        <w:t>a soc</w:t>
      </w:r>
      <w:r w:rsidR="00C073FC" w:rsidRPr="00440B31">
        <w:rPr>
          <w:rFonts w:ascii="Times New Roman" w:hAnsi="Times New Roman"/>
          <w:bCs/>
          <w:sz w:val="20"/>
          <w:szCs w:val="20"/>
        </w:rPr>
        <w:t xml:space="preserve">jalne wzrosły nominalnie o </w:t>
      </w:r>
      <w:r w:rsidR="00440B31" w:rsidRPr="00440B31">
        <w:rPr>
          <w:rFonts w:ascii="Times New Roman" w:hAnsi="Times New Roman"/>
          <w:bCs/>
          <w:sz w:val="20"/>
          <w:szCs w:val="20"/>
        </w:rPr>
        <w:t>3,9</w:t>
      </w:r>
      <w:r w:rsidR="00C073FC" w:rsidRPr="00440B31">
        <w:rPr>
          <w:rFonts w:ascii="Times New Roman" w:hAnsi="Times New Roman"/>
          <w:bCs/>
          <w:sz w:val="20"/>
          <w:szCs w:val="20"/>
        </w:rPr>
        <w:t>% r/r</w:t>
      </w:r>
      <w:r w:rsidR="00E531D7" w:rsidRPr="00440B31">
        <w:rPr>
          <w:rFonts w:ascii="Times New Roman" w:hAnsi="Times New Roman"/>
          <w:bCs/>
          <w:sz w:val="20"/>
          <w:szCs w:val="20"/>
        </w:rPr>
        <w:t>,</w:t>
      </w:r>
      <w:r w:rsidR="00C073FC" w:rsidRPr="00440B31">
        <w:rPr>
          <w:rFonts w:ascii="Times New Roman" w:hAnsi="Times New Roman"/>
          <w:bCs/>
          <w:sz w:val="20"/>
          <w:szCs w:val="20"/>
        </w:rPr>
        <w:t xml:space="preserve"> tj. </w:t>
      </w:r>
      <w:r w:rsidR="00440B31" w:rsidRPr="00440B31">
        <w:rPr>
          <w:rFonts w:ascii="Times New Roman" w:hAnsi="Times New Roman"/>
          <w:bCs/>
          <w:sz w:val="20"/>
          <w:szCs w:val="20"/>
        </w:rPr>
        <w:t>poniżej tempa wzrostu</w:t>
      </w:r>
      <w:r w:rsidR="005C3E0D" w:rsidRPr="00440B31">
        <w:rPr>
          <w:rFonts w:ascii="Times New Roman" w:hAnsi="Times New Roman"/>
          <w:bCs/>
          <w:sz w:val="20"/>
          <w:szCs w:val="20"/>
        </w:rPr>
        <w:t xml:space="preserve"> </w:t>
      </w:r>
      <w:r w:rsidR="005C3E0D" w:rsidRPr="00766571">
        <w:rPr>
          <w:rFonts w:ascii="Times New Roman" w:hAnsi="Times New Roman"/>
          <w:bCs/>
          <w:sz w:val="20"/>
          <w:szCs w:val="20"/>
        </w:rPr>
        <w:t>funduszu eme</w:t>
      </w:r>
      <w:r w:rsidR="00C073FC" w:rsidRPr="00766571">
        <w:rPr>
          <w:rFonts w:ascii="Times New Roman" w:hAnsi="Times New Roman"/>
          <w:bCs/>
          <w:sz w:val="20"/>
          <w:szCs w:val="20"/>
        </w:rPr>
        <w:t xml:space="preserve">rytur i rent, które wyniosło </w:t>
      </w:r>
      <w:r w:rsidR="001601FC" w:rsidRPr="00766571">
        <w:rPr>
          <w:rFonts w:ascii="Times New Roman" w:hAnsi="Times New Roman"/>
          <w:bCs/>
          <w:sz w:val="20"/>
          <w:szCs w:val="20"/>
        </w:rPr>
        <w:t xml:space="preserve">także </w:t>
      </w:r>
      <w:r w:rsidR="00440B31" w:rsidRPr="00766571">
        <w:rPr>
          <w:rFonts w:ascii="Times New Roman" w:hAnsi="Times New Roman"/>
          <w:bCs/>
          <w:sz w:val="20"/>
          <w:szCs w:val="20"/>
        </w:rPr>
        <w:t>6,1</w:t>
      </w:r>
      <w:r w:rsidR="005C3E0D" w:rsidRPr="00766571">
        <w:rPr>
          <w:rFonts w:ascii="Times New Roman" w:hAnsi="Times New Roman"/>
          <w:bCs/>
          <w:sz w:val="20"/>
          <w:szCs w:val="20"/>
        </w:rPr>
        <w:t xml:space="preserve">% r/r. </w:t>
      </w:r>
      <w:r w:rsidR="00782359" w:rsidRPr="00766571">
        <w:rPr>
          <w:rFonts w:ascii="Times New Roman" w:hAnsi="Times New Roman"/>
          <w:bCs/>
          <w:sz w:val="20"/>
          <w:szCs w:val="20"/>
        </w:rPr>
        <w:t xml:space="preserve">Wydatki na świadczenia społeczne realizowane przez FUS inne niż renty i emerytury spadły o 9,6% r/r. Kategoria ta obejmuje wypłatę zasiłków opiekuńczych, które były silnie skorelowane z </w:t>
      </w:r>
      <w:r w:rsidR="0033126C">
        <w:rPr>
          <w:rFonts w:ascii="Times New Roman" w:hAnsi="Times New Roman"/>
          <w:bCs/>
          <w:sz w:val="20"/>
          <w:szCs w:val="20"/>
        </w:rPr>
        <w:t>działaniami</w:t>
      </w:r>
      <w:r w:rsidR="00782359" w:rsidRPr="00766571">
        <w:rPr>
          <w:rFonts w:ascii="Times New Roman" w:hAnsi="Times New Roman"/>
          <w:bCs/>
          <w:sz w:val="20"/>
          <w:szCs w:val="20"/>
        </w:rPr>
        <w:t xml:space="preserve"> związanymi z przeciwdziałaniem pandemii Covid-19.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896223" w14:paraId="5D2619BE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0F90AF5" w14:textId="35819716" w:rsidR="00C61EE3" w:rsidRPr="00F600C4" w:rsidRDefault="00B51A6E" w:rsidP="00AA2F88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F600C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5. Struktura wydatków sektora instytucji rządowych i samorządowych w </w:t>
            </w:r>
            <w:r w:rsidR="00F600C4" w:rsidRPr="00F600C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="00222F1F" w:rsidRPr="00F600C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Pr="00F600C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kw. 202</w:t>
            </w:r>
            <w:r w:rsidR="00AA2F88" w:rsidRPr="00F600C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F600C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61EE3" w:rsidRPr="00896223" w14:paraId="055F5F19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19B66578" w14:textId="2D656039" w:rsidR="00C61EE3" w:rsidRPr="00F600C4" w:rsidRDefault="00F600C4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F600C4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13725E5" wp14:editId="208F82F7">
                  <wp:extent cx="2957830" cy="1820545"/>
                  <wp:effectExtent l="0" t="0" r="0" b="8255"/>
                  <wp:docPr id="10" name="Obraz 10" descr="Wykres przedstawia strukturę wydatków sektora instytucji rządowych i samorządowych w II kwartale 2021 roku w podziale na: świadczenia socjale 43,9%, koszty pracy 23,1%, zużycie pośrednie 12,9%, inwestycje 7,7%, odsetki 2,8% i pozostałe 9,6%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896223" w14:paraId="657EE46D" w14:textId="77777777">
        <w:tc>
          <w:tcPr>
            <w:tcW w:w="4680" w:type="dxa"/>
          </w:tcPr>
          <w:p w14:paraId="36D005E5" w14:textId="77777777" w:rsidR="00C61EE3" w:rsidRPr="00F600C4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F600C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500E1951" w14:textId="3B5D6537" w:rsidR="00C61EE3" w:rsidRPr="00133084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33084">
        <w:rPr>
          <w:rFonts w:ascii="Times New Roman" w:hAnsi="Times New Roman"/>
          <w:bCs/>
          <w:sz w:val="20"/>
          <w:szCs w:val="20"/>
        </w:rPr>
        <w:t xml:space="preserve">W </w:t>
      </w:r>
      <w:r w:rsidR="00440B31" w:rsidRPr="00133084">
        <w:rPr>
          <w:rFonts w:ascii="Times New Roman" w:hAnsi="Times New Roman"/>
          <w:bCs/>
          <w:sz w:val="20"/>
          <w:szCs w:val="20"/>
        </w:rPr>
        <w:t>I</w:t>
      </w:r>
      <w:r w:rsidRPr="00133084">
        <w:rPr>
          <w:rFonts w:ascii="Times New Roman" w:hAnsi="Times New Roman"/>
          <w:bCs/>
          <w:sz w:val="20"/>
          <w:szCs w:val="20"/>
        </w:rPr>
        <w:t>I</w:t>
      </w:r>
      <w:r w:rsidR="00B8744C" w:rsidRPr="00133084">
        <w:rPr>
          <w:rFonts w:ascii="Times New Roman" w:hAnsi="Times New Roman"/>
          <w:bCs/>
          <w:sz w:val="20"/>
          <w:szCs w:val="20"/>
        </w:rPr>
        <w:t xml:space="preserve"> kw. 2021</w:t>
      </w:r>
      <w:r w:rsidRPr="00133084">
        <w:rPr>
          <w:rFonts w:ascii="Times New Roman" w:hAnsi="Times New Roman"/>
          <w:bCs/>
          <w:sz w:val="20"/>
          <w:szCs w:val="20"/>
        </w:rPr>
        <w:t xml:space="preserve"> r. odnotowano </w:t>
      </w:r>
      <w:r w:rsidR="00440B31" w:rsidRPr="00133084">
        <w:rPr>
          <w:rFonts w:ascii="Times New Roman" w:hAnsi="Times New Roman"/>
          <w:bCs/>
          <w:sz w:val="20"/>
          <w:szCs w:val="20"/>
        </w:rPr>
        <w:t>znaczący</w:t>
      </w:r>
      <w:r w:rsidR="001601FC" w:rsidRPr="00133084">
        <w:rPr>
          <w:rFonts w:ascii="Times New Roman" w:hAnsi="Times New Roman"/>
          <w:bCs/>
          <w:sz w:val="20"/>
          <w:szCs w:val="20"/>
        </w:rPr>
        <w:t xml:space="preserve"> nominalny </w:t>
      </w:r>
      <w:r w:rsidRPr="00133084">
        <w:rPr>
          <w:rFonts w:ascii="Times New Roman" w:hAnsi="Times New Roman"/>
          <w:bCs/>
          <w:sz w:val="20"/>
          <w:szCs w:val="20"/>
        </w:rPr>
        <w:t>wzrost wy</w:t>
      </w:r>
      <w:r w:rsidR="00B8744C" w:rsidRPr="00133084">
        <w:rPr>
          <w:rFonts w:ascii="Times New Roman" w:hAnsi="Times New Roman"/>
          <w:bCs/>
          <w:sz w:val="20"/>
          <w:szCs w:val="20"/>
        </w:rPr>
        <w:t>datków na</w:t>
      </w:r>
      <w:r w:rsidR="00133084" w:rsidRPr="00133084">
        <w:rPr>
          <w:rFonts w:ascii="Times New Roman" w:hAnsi="Times New Roman"/>
          <w:bCs/>
          <w:sz w:val="20"/>
          <w:szCs w:val="20"/>
        </w:rPr>
        <w:t xml:space="preserve"> zużycie pośrednie (15,0% r/r) oraz kosztów pracy (5,7</w:t>
      </w:r>
      <w:r w:rsidRPr="00133084">
        <w:rPr>
          <w:rFonts w:ascii="Times New Roman" w:hAnsi="Times New Roman"/>
          <w:bCs/>
          <w:sz w:val="20"/>
          <w:szCs w:val="20"/>
        </w:rPr>
        <w:t>% r/r) któr</w:t>
      </w:r>
      <w:r w:rsidR="001601FC" w:rsidRPr="00133084">
        <w:rPr>
          <w:rFonts w:ascii="Times New Roman" w:hAnsi="Times New Roman"/>
          <w:bCs/>
          <w:sz w:val="20"/>
          <w:szCs w:val="20"/>
        </w:rPr>
        <w:t>e</w:t>
      </w:r>
      <w:r w:rsidRPr="00133084">
        <w:rPr>
          <w:rFonts w:ascii="Times New Roman" w:hAnsi="Times New Roman"/>
          <w:bCs/>
          <w:sz w:val="20"/>
          <w:szCs w:val="20"/>
        </w:rPr>
        <w:t xml:space="preserve"> przyczynił</w:t>
      </w:r>
      <w:r w:rsidR="001601FC" w:rsidRPr="00133084">
        <w:rPr>
          <w:rFonts w:ascii="Times New Roman" w:hAnsi="Times New Roman"/>
          <w:bCs/>
          <w:sz w:val="20"/>
          <w:szCs w:val="20"/>
        </w:rPr>
        <w:t>y</w:t>
      </w:r>
      <w:r w:rsidRPr="00133084">
        <w:rPr>
          <w:rFonts w:ascii="Times New Roman" w:hAnsi="Times New Roman"/>
          <w:bCs/>
          <w:sz w:val="20"/>
          <w:szCs w:val="20"/>
        </w:rPr>
        <w:t xml:space="preserve"> się do wz</w:t>
      </w:r>
      <w:r w:rsidR="00133084" w:rsidRPr="00133084">
        <w:rPr>
          <w:rFonts w:ascii="Times New Roman" w:hAnsi="Times New Roman"/>
          <w:bCs/>
          <w:sz w:val="20"/>
          <w:szCs w:val="20"/>
        </w:rPr>
        <w:t>rostu spożycia publicznego o 8,6</w:t>
      </w:r>
      <w:r w:rsidRPr="00133084">
        <w:rPr>
          <w:rFonts w:ascii="Times New Roman" w:hAnsi="Times New Roman"/>
          <w:bCs/>
          <w:sz w:val="20"/>
          <w:szCs w:val="20"/>
        </w:rPr>
        <w:t xml:space="preserve">% r/r. </w:t>
      </w:r>
    </w:p>
    <w:p w14:paraId="47EE0B99" w14:textId="339A76DC" w:rsidR="00C61EE3" w:rsidRPr="00943D16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43D16">
        <w:rPr>
          <w:rFonts w:ascii="Times New Roman" w:hAnsi="Times New Roman"/>
          <w:bCs/>
          <w:sz w:val="20"/>
          <w:szCs w:val="20"/>
        </w:rPr>
        <w:t xml:space="preserve">W </w:t>
      </w:r>
      <w:r w:rsidR="00D31A44" w:rsidRPr="00943D16">
        <w:rPr>
          <w:rFonts w:ascii="Times New Roman" w:hAnsi="Times New Roman"/>
          <w:bCs/>
          <w:sz w:val="20"/>
          <w:szCs w:val="20"/>
        </w:rPr>
        <w:t>I</w:t>
      </w:r>
      <w:r w:rsidR="00133084" w:rsidRPr="00943D16">
        <w:rPr>
          <w:rFonts w:ascii="Times New Roman" w:hAnsi="Times New Roman"/>
          <w:bCs/>
          <w:sz w:val="20"/>
          <w:szCs w:val="20"/>
        </w:rPr>
        <w:t>I</w:t>
      </w:r>
      <w:r w:rsidRPr="00943D16">
        <w:rPr>
          <w:rFonts w:ascii="Times New Roman" w:hAnsi="Times New Roman"/>
          <w:bCs/>
          <w:sz w:val="20"/>
          <w:szCs w:val="20"/>
        </w:rPr>
        <w:t xml:space="preserve"> kw. br., </w:t>
      </w:r>
      <w:r w:rsidR="00133084" w:rsidRPr="00943D16">
        <w:rPr>
          <w:rFonts w:ascii="Times New Roman" w:hAnsi="Times New Roman"/>
          <w:bCs/>
          <w:sz w:val="20"/>
          <w:szCs w:val="20"/>
        </w:rPr>
        <w:t xml:space="preserve">miał miejsce </w:t>
      </w:r>
      <w:r w:rsidR="00242C04" w:rsidRPr="00943D16">
        <w:rPr>
          <w:rFonts w:ascii="Times New Roman" w:hAnsi="Times New Roman"/>
          <w:bCs/>
          <w:sz w:val="20"/>
          <w:szCs w:val="20"/>
        </w:rPr>
        <w:t>spadek</w:t>
      </w:r>
      <w:r w:rsidRPr="00943D16">
        <w:rPr>
          <w:rFonts w:ascii="Times New Roman" w:hAnsi="Times New Roman"/>
          <w:bCs/>
          <w:sz w:val="20"/>
          <w:szCs w:val="20"/>
        </w:rPr>
        <w:t xml:space="preserve"> wydatków inwestycyjnych sektora instytucji rządowych i</w:t>
      </w:r>
      <w:r w:rsidR="00242C04" w:rsidRPr="00943D16">
        <w:rPr>
          <w:rFonts w:ascii="Times New Roman" w:hAnsi="Times New Roman"/>
          <w:bCs/>
          <w:sz w:val="20"/>
          <w:szCs w:val="20"/>
        </w:rPr>
        <w:t> samorządowych</w:t>
      </w:r>
      <w:r w:rsidR="00326C0B" w:rsidRPr="00943D16">
        <w:rPr>
          <w:rFonts w:ascii="Times New Roman" w:hAnsi="Times New Roman"/>
          <w:bCs/>
          <w:sz w:val="20"/>
          <w:szCs w:val="20"/>
        </w:rPr>
        <w:t xml:space="preserve"> </w:t>
      </w:r>
      <w:r w:rsidR="00242C04" w:rsidRPr="00943D16">
        <w:rPr>
          <w:rFonts w:ascii="Times New Roman" w:hAnsi="Times New Roman"/>
          <w:bCs/>
          <w:sz w:val="20"/>
          <w:szCs w:val="20"/>
        </w:rPr>
        <w:t>o</w:t>
      </w:r>
      <w:r w:rsidR="001601FC" w:rsidRPr="00943D16">
        <w:rPr>
          <w:rFonts w:ascii="Times New Roman" w:hAnsi="Times New Roman"/>
          <w:bCs/>
          <w:sz w:val="20"/>
          <w:szCs w:val="20"/>
        </w:rPr>
        <w:t> </w:t>
      </w:r>
      <w:r w:rsidR="00133084" w:rsidRPr="00943D16">
        <w:rPr>
          <w:rFonts w:ascii="Times New Roman" w:hAnsi="Times New Roman"/>
          <w:bCs/>
          <w:sz w:val="20"/>
          <w:szCs w:val="20"/>
        </w:rPr>
        <w:t>11,3</w:t>
      </w:r>
      <w:r w:rsidR="00242C04" w:rsidRPr="00943D16">
        <w:rPr>
          <w:rFonts w:ascii="Times New Roman" w:hAnsi="Times New Roman"/>
          <w:bCs/>
          <w:sz w:val="20"/>
          <w:szCs w:val="20"/>
        </w:rPr>
        <w:t>% </w:t>
      </w:r>
      <w:r w:rsidR="00C24958" w:rsidRPr="00943D16">
        <w:rPr>
          <w:rFonts w:ascii="Times New Roman" w:hAnsi="Times New Roman"/>
          <w:bCs/>
          <w:sz w:val="20"/>
          <w:szCs w:val="20"/>
        </w:rPr>
        <w:t>r/r).</w:t>
      </w:r>
      <w:r w:rsidR="00242C04" w:rsidRPr="00943D16">
        <w:rPr>
          <w:rFonts w:ascii="Times New Roman" w:hAnsi="Times New Roman"/>
          <w:bCs/>
          <w:sz w:val="20"/>
          <w:szCs w:val="20"/>
        </w:rPr>
        <w:t xml:space="preserve"> Na spadek </w:t>
      </w:r>
      <w:r w:rsidR="001601FC" w:rsidRPr="00943D16">
        <w:rPr>
          <w:rFonts w:ascii="Times New Roman" w:hAnsi="Times New Roman"/>
          <w:bCs/>
          <w:sz w:val="20"/>
          <w:szCs w:val="20"/>
        </w:rPr>
        <w:t xml:space="preserve">nominalny </w:t>
      </w:r>
      <w:r w:rsidR="00242C04" w:rsidRPr="00943D16">
        <w:rPr>
          <w:rFonts w:ascii="Times New Roman" w:hAnsi="Times New Roman"/>
          <w:bCs/>
          <w:sz w:val="20"/>
          <w:szCs w:val="20"/>
        </w:rPr>
        <w:t xml:space="preserve">wydatków </w:t>
      </w:r>
      <w:r w:rsidR="00CB689E" w:rsidRPr="00943D16">
        <w:rPr>
          <w:rFonts w:ascii="Times New Roman" w:hAnsi="Times New Roman"/>
          <w:bCs/>
          <w:sz w:val="20"/>
          <w:szCs w:val="20"/>
        </w:rPr>
        <w:t>w</w:t>
      </w:r>
      <w:r w:rsidR="001601FC" w:rsidRPr="00943D16">
        <w:rPr>
          <w:rFonts w:ascii="Times New Roman" w:hAnsi="Times New Roman"/>
          <w:bCs/>
          <w:sz w:val="20"/>
          <w:szCs w:val="20"/>
        </w:rPr>
        <w:t> </w:t>
      </w:r>
      <w:r w:rsidR="00242C04" w:rsidRPr="00943D16">
        <w:rPr>
          <w:rFonts w:ascii="Times New Roman" w:hAnsi="Times New Roman"/>
          <w:bCs/>
          <w:sz w:val="20"/>
          <w:szCs w:val="20"/>
        </w:rPr>
        <w:t xml:space="preserve">omawianej kategorii wpływ </w:t>
      </w:r>
      <w:r w:rsidR="00CB689E" w:rsidRPr="00943D16">
        <w:rPr>
          <w:rFonts w:ascii="Times New Roman" w:hAnsi="Times New Roman"/>
          <w:bCs/>
          <w:sz w:val="20"/>
          <w:szCs w:val="20"/>
        </w:rPr>
        <w:t>miał</w:t>
      </w:r>
      <w:r w:rsidR="001601FC" w:rsidRPr="00943D16">
        <w:rPr>
          <w:rFonts w:ascii="Times New Roman" w:hAnsi="Times New Roman"/>
          <w:bCs/>
          <w:sz w:val="20"/>
          <w:szCs w:val="20"/>
        </w:rPr>
        <w:t xml:space="preserve">y przede wszystkich </w:t>
      </w:r>
      <w:r w:rsidR="000D6A91" w:rsidRPr="00943D16">
        <w:rPr>
          <w:rFonts w:ascii="Times New Roman" w:hAnsi="Times New Roman"/>
          <w:bCs/>
          <w:sz w:val="20"/>
          <w:szCs w:val="20"/>
        </w:rPr>
        <w:t xml:space="preserve">wydatki inwestycyjne </w:t>
      </w:r>
      <w:r w:rsidR="001601FC" w:rsidRPr="00943D16">
        <w:rPr>
          <w:rFonts w:ascii="Times New Roman" w:hAnsi="Times New Roman"/>
          <w:bCs/>
          <w:sz w:val="20"/>
          <w:szCs w:val="20"/>
        </w:rPr>
        <w:t>realizowane przez samorządy</w:t>
      </w:r>
      <w:r w:rsidR="000D6A91" w:rsidRPr="00943D16">
        <w:rPr>
          <w:rFonts w:ascii="Times New Roman" w:hAnsi="Times New Roman"/>
          <w:bCs/>
          <w:sz w:val="20"/>
          <w:szCs w:val="20"/>
        </w:rPr>
        <w:t>, które w ujęciu</w:t>
      </w:r>
      <w:r w:rsidR="009D2F65" w:rsidRPr="00943D16">
        <w:rPr>
          <w:rFonts w:ascii="Times New Roman" w:hAnsi="Times New Roman"/>
          <w:bCs/>
          <w:sz w:val="20"/>
          <w:szCs w:val="20"/>
        </w:rPr>
        <w:t xml:space="preserve"> kasowym spadły nominalnie w I</w:t>
      </w:r>
      <w:r w:rsidR="00943D16" w:rsidRPr="00943D16">
        <w:rPr>
          <w:rFonts w:ascii="Times New Roman" w:hAnsi="Times New Roman"/>
          <w:bCs/>
          <w:sz w:val="20"/>
          <w:szCs w:val="20"/>
        </w:rPr>
        <w:t>I</w:t>
      </w:r>
      <w:r w:rsidR="009D2F65" w:rsidRPr="00943D16">
        <w:rPr>
          <w:rFonts w:ascii="Times New Roman" w:hAnsi="Times New Roman"/>
          <w:bCs/>
          <w:sz w:val="20"/>
          <w:szCs w:val="20"/>
        </w:rPr>
        <w:t xml:space="preserve"> kw. o ok. </w:t>
      </w:r>
      <w:r w:rsidR="00943D16" w:rsidRPr="00943D16">
        <w:rPr>
          <w:rFonts w:ascii="Times New Roman" w:hAnsi="Times New Roman"/>
          <w:bCs/>
          <w:sz w:val="20"/>
          <w:szCs w:val="20"/>
        </w:rPr>
        <w:t>11,3</w:t>
      </w:r>
      <w:r w:rsidR="000D6A91" w:rsidRPr="00943D16">
        <w:rPr>
          <w:rFonts w:ascii="Times New Roman" w:hAnsi="Times New Roman"/>
          <w:bCs/>
          <w:sz w:val="20"/>
          <w:szCs w:val="20"/>
        </w:rPr>
        <w:t>% r/r.</w:t>
      </w:r>
    </w:p>
    <w:p w14:paraId="123FB7E3" w14:textId="77777777" w:rsidR="00C61EE3" w:rsidRPr="00896223" w:rsidRDefault="00B51A6E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896223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14:paraId="317E47FF" w14:textId="77777777" w:rsidR="00A5676D" w:rsidRPr="00626CD8" w:rsidRDefault="00A5676D" w:rsidP="00A5676D">
      <w:pPr>
        <w:keepNext/>
        <w:spacing w:before="120" w:after="60" w:line="288" w:lineRule="auto"/>
        <w:outlineLvl w:val="0"/>
        <w:rPr>
          <w:rFonts w:ascii="Cambria" w:hAnsi="Cambria"/>
          <w:b/>
          <w:bCs/>
          <w:sz w:val="32"/>
          <w:szCs w:val="32"/>
        </w:rPr>
      </w:pPr>
      <w:bookmarkStart w:id="4" w:name="_Toc378241155"/>
      <w:bookmarkStart w:id="5" w:name="_Toc472594681"/>
      <w:bookmarkStart w:id="6" w:name="_Toc536019015"/>
      <w:bookmarkStart w:id="7" w:name="_Toc86306142"/>
      <w:r w:rsidRPr="00626CD8">
        <w:rPr>
          <w:rFonts w:ascii="Arial" w:hAnsi="Arial" w:cs="Arial"/>
          <w:b/>
          <w:bCs/>
          <w:color w:val="ADAFB2"/>
          <w:sz w:val="28"/>
          <w:szCs w:val="28"/>
        </w:rPr>
        <w:t xml:space="preserve">2. </w:t>
      </w:r>
      <w:bookmarkEnd w:id="4"/>
      <w:r w:rsidRPr="00626CD8">
        <w:rPr>
          <w:rFonts w:ascii="Arial" w:hAnsi="Arial" w:cs="Arial"/>
          <w:b/>
          <w:bCs/>
          <w:color w:val="ADAFB2"/>
          <w:sz w:val="28"/>
          <w:szCs w:val="28"/>
        </w:rPr>
        <w:t>Dług publiczny oraz potrzeby pożyczkowe</w:t>
      </w:r>
      <w:bookmarkEnd w:id="5"/>
      <w:bookmarkEnd w:id="6"/>
      <w:bookmarkEnd w:id="7"/>
    </w:p>
    <w:p w14:paraId="549CD4E2" w14:textId="77777777" w:rsidR="00A5676D" w:rsidRPr="00626CD8" w:rsidRDefault="00A5676D" w:rsidP="00A5676D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8" w:name="_Toc472594682"/>
      <w:bookmarkStart w:id="9" w:name="_Toc536019016"/>
      <w:bookmarkStart w:id="10" w:name="_Toc86306143"/>
      <w:r w:rsidRPr="00626CD8">
        <w:rPr>
          <w:rFonts w:ascii="Arial" w:hAnsi="Arial" w:cs="Arial"/>
          <w:b/>
          <w:bCs/>
          <w:iCs/>
          <w:color w:val="E31837"/>
          <w:sz w:val="20"/>
          <w:szCs w:val="20"/>
        </w:rPr>
        <w:t>2.1. Dług sektora instytucji rządowych i samorządowych (wg definicji UE)</w:t>
      </w:r>
      <w:bookmarkEnd w:id="8"/>
      <w:bookmarkEnd w:id="9"/>
      <w:bookmarkEnd w:id="10"/>
    </w:p>
    <w:p w14:paraId="3157AE1D" w14:textId="77777777" w:rsidR="00626CD8" w:rsidRPr="00A256F7" w:rsidRDefault="00626CD8" w:rsidP="00626CD8">
      <w:pPr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A256F7">
        <w:rPr>
          <w:rFonts w:ascii="Times New Roman" w:hAnsi="Times New Roman" w:cs="Arial"/>
          <w:sz w:val="20"/>
          <w:szCs w:val="20"/>
        </w:rPr>
        <w:t>Na koniec I</w:t>
      </w:r>
      <w:r>
        <w:rPr>
          <w:rFonts w:ascii="Times New Roman" w:hAnsi="Times New Roman" w:cs="Arial"/>
          <w:sz w:val="20"/>
          <w:szCs w:val="20"/>
        </w:rPr>
        <w:t>I</w:t>
      </w:r>
      <w:r w:rsidRPr="00A256F7">
        <w:rPr>
          <w:rFonts w:ascii="Times New Roman" w:hAnsi="Times New Roman" w:cs="Arial"/>
          <w:sz w:val="20"/>
          <w:szCs w:val="20"/>
        </w:rPr>
        <w:t xml:space="preserve"> kwartału 2021 r. dług sektora instytucji rządowych i samorządowych (dług EDP) stanowiący jeden z elementów kryterium fiskalnego z </w:t>
      </w:r>
      <w:r>
        <w:rPr>
          <w:rFonts w:ascii="Times New Roman" w:hAnsi="Times New Roman" w:cs="Arial"/>
          <w:sz w:val="20"/>
          <w:szCs w:val="20"/>
        </w:rPr>
        <w:t>Maastricht wyniósł 1.402,0</w:t>
      </w:r>
      <w:r w:rsidRPr="00A256F7">
        <w:rPr>
          <w:rFonts w:ascii="Times New Roman" w:hAnsi="Times New Roman" w:cs="Arial"/>
          <w:sz w:val="20"/>
          <w:szCs w:val="20"/>
        </w:rPr>
        <w:t xml:space="preserve"> ml</w:t>
      </w:r>
      <w:r>
        <w:rPr>
          <w:rFonts w:ascii="Times New Roman" w:hAnsi="Times New Roman" w:cs="Arial"/>
          <w:sz w:val="20"/>
          <w:szCs w:val="20"/>
        </w:rPr>
        <w:t>d zł, co oznaczało wzrost o 12,1 mld zł (+</w:t>
      </w:r>
      <w:r w:rsidRPr="00A256F7">
        <w:rPr>
          <w:rFonts w:ascii="Times New Roman" w:hAnsi="Times New Roman" w:cs="Arial"/>
          <w:sz w:val="20"/>
          <w:szCs w:val="20"/>
        </w:rPr>
        <w:t>0</w:t>
      </w:r>
      <w:r>
        <w:rPr>
          <w:rFonts w:ascii="Times New Roman" w:hAnsi="Times New Roman" w:cs="Arial"/>
          <w:sz w:val="20"/>
          <w:szCs w:val="20"/>
        </w:rPr>
        <w:t>,9</w:t>
      </w:r>
      <w:r w:rsidRPr="00A256F7">
        <w:rPr>
          <w:rFonts w:ascii="Times New Roman" w:hAnsi="Times New Roman" w:cs="Arial"/>
          <w:sz w:val="20"/>
          <w:szCs w:val="20"/>
        </w:rPr>
        <w:t xml:space="preserve">%) w porównaniu z </w:t>
      </w:r>
      <w:r>
        <w:rPr>
          <w:rFonts w:ascii="Times New Roman" w:hAnsi="Times New Roman" w:cs="Arial"/>
          <w:sz w:val="20"/>
          <w:szCs w:val="20"/>
        </w:rPr>
        <w:t>I kwartałem</w:t>
      </w:r>
      <w:r w:rsidRPr="00A256F7">
        <w:rPr>
          <w:rFonts w:ascii="Times New Roman" w:hAnsi="Times New Roman" w:cs="Arial"/>
          <w:sz w:val="20"/>
          <w:szCs w:val="20"/>
        </w:rPr>
        <w:t xml:space="preserve"> 202</w:t>
      </w:r>
      <w:r>
        <w:rPr>
          <w:rFonts w:ascii="Times New Roman" w:hAnsi="Times New Roman" w:cs="Arial"/>
          <w:sz w:val="20"/>
          <w:szCs w:val="20"/>
        </w:rPr>
        <w:t>1</w:t>
      </w:r>
      <w:r w:rsidRPr="00A256F7">
        <w:rPr>
          <w:rFonts w:ascii="Times New Roman" w:hAnsi="Times New Roman" w:cs="Arial"/>
          <w:sz w:val="20"/>
          <w:szCs w:val="20"/>
        </w:rPr>
        <w:t xml:space="preserve">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626CD8" w:rsidRPr="00A256F7" w14:paraId="46F4B4FD" w14:textId="77777777" w:rsidTr="000C5EEE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0BBF5A37" w14:textId="77777777" w:rsidR="00626CD8" w:rsidRPr="00A256F7" w:rsidRDefault="00626CD8" w:rsidP="000C5EE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A256F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626CD8" w:rsidRPr="00A256F7" w14:paraId="323E0F27" w14:textId="77777777" w:rsidTr="000C5EEE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14:paraId="34D032EA" w14:textId="6017A38E" w:rsidR="00626CD8" w:rsidRPr="00A256F7" w:rsidRDefault="001E7F9F" w:rsidP="000C5EEE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1E7F9F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4BE5C2C" wp14:editId="365A0056">
                  <wp:extent cx="2854325" cy="2051685"/>
                  <wp:effectExtent l="0" t="0" r="0" b="0"/>
                  <wp:docPr id="2" name="Obraz 2" descr="Wykres prezentuje poziom długu sektora instytucji rządowych i samorządowych EDP w mld zł i w relacji do PKB w latach 2009- 2020 i na koniec marca i czerwca 2021. Dane szczegółowe dostępne w Aneksie statystycznym, na końcu opracowania." title="Wykres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CD8" w:rsidRPr="00A256F7" w14:paraId="2BF6B090" w14:textId="77777777" w:rsidTr="000C5EEE">
        <w:tc>
          <w:tcPr>
            <w:tcW w:w="4680" w:type="dxa"/>
          </w:tcPr>
          <w:p w14:paraId="11D82456" w14:textId="77777777" w:rsidR="00626CD8" w:rsidRPr="00A256F7" w:rsidRDefault="00626CD8" w:rsidP="000C5EE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256F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31E05C6E" w14:textId="77777777" w:rsidR="00626CD8" w:rsidRPr="00A5676D" w:rsidRDefault="00626CD8" w:rsidP="00626CD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Na dług EDP złożyło</w:t>
      </w:r>
      <w:r w:rsidRPr="00A5676D">
        <w:rPr>
          <w:rFonts w:ascii="Times New Roman" w:hAnsi="Times New Roman"/>
          <w:sz w:val="20"/>
          <w:szCs w:val="20"/>
        </w:rPr>
        <w:t xml:space="preserve"> się zadłużenie podsektorów:</w:t>
      </w:r>
    </w:p>
    <w:p w14:paraId="0746B2D1" w14:textId="77777777" w:rsidR="00626CD8" w:rsidRPr="00A5676D" w:rsidRDefault="00626CD8" w:rsidP="00626CD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rządowego 1.307,0 mld zł  (wzrost o 13,3</w:t>
      </w:r>
      <w:r w:rsidRPr="00A5676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 kwartale 2021</w:t>
      </w:r>
      <w:r w:rsidRPr="00A5676D">
        <w:rPr>
          <w:rFonts w:ascii="Times New Roman" w:hAnsi="Times New Roman"/>
          <w:sz w:val="20"/>
          <w:szCs w:val="20"/>
        </w:rPr>
        <w:t xml:space="preserve"> r.),</w:t>
      </w:r>
    </w:p>
    <w:p w14:paraId="3E46C103" w14:textId="77777777" w:rsidR="00626CD8" w:rsidRPr="00A5676D" w:rsidRDefault="00626CD8" w:rsidP="00626CD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samorządowego 95,0 mld zł, (spadek o 1,1</w:t>
      </w:r>
      <w:r w:rsidRPr="00A5676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 kwartale 2021</w:t>
      </w:r>
      <w:r w:rsidRPr="00A5676D">
        <w:rPr>
          <w:rFonts w:ascii="Times New Roman" w:hAnsi="Times New Roman"/>
          <w:sz w:val="20"/>
          <w:szCs w:val="20"/>
        </w:rPr>
        <w:t xml:space="preserve"> r.),</w:t>
      </w:r>
    </w:p>
    <w:p w14:paraId="3B6755B3" w14:textId="77777777" w:rsidR="00626CD8" w:rsidRPr="00A5676D" w:rsidRDefault="00626CD8" w:rsidP="00626CD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14:paraId="064F840E" w14:textId="77777777" w:rsidR="00626CD8" w:rsidRPr="00A5676D" w:rsidRDefault="00626CD8" w:rsidP="00626CD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Zmiana długu EDP w I</w:t>
      </w:r>
      <w:r>
        <w:rPr>
          <w:rFonts w:ascii="Times New Roman" w:hAnsi="Times New Roman"/>
          <w:sz w:val="20"/>
          <w:szCs w:val="20"/>
        </w:rPr>
        <w:t>I kwartale 2021</w:t>
      </w:r>
      <w:r w:rsidRPr="00A5676D">
        <w:rPr>
          <w:rFonts w:ascii="Times New Roman" w:hAnsi="Times New Roman"/>
          <w:sz w:val="20"/>
          <w:szCs w:val="20"/>
        </w:rPr>
        <w:t xml:space="preserve"> r. wynikała głównie ze zmian zadłużenia SP. Ponadto innymi znaczącymi czynnikami były:</w:t>
      </w:r>
    </w:p>
    <w:p w14:paraId="3389C043" w14:textId="77777777" w:rsidR="00626CD8" w:rsidRPr="00221997" w:rsidRDefault="00626CD8" w:rsidP="00626CD8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21997">
        <w:rPr>
          <w:rFonts w:ascii="Times New Roman" w:hAnsi="Times New Roman"/>
          <w:sz w:val="20"/>
          <w:szCs w:val="20"/>
        </w:rPr>
        <w:t>wzrost skonsolidowanego zadłużenia Funduszu Prze</w:t>
      </w:r>
      <w:r>
        <w:rPr>
          <w:rFonts w:ascii="Times New Roman" w:hAnsi="Times New Roman"/>
          <w:sz w:val="20"/>
          <w:szCs w:val="20"/>
        </w:rPr>
        <w:t>ciwdziałania COVID19 o 16,</w:t>
      </w:r>
      <w:r w:rsidRPr="00221997">
        <w:rPr>
          <w:rFonts w:ascii="Times New Roman" w:hAnsi="Times New Roman"/>
          <w:sz w:val="20"/>
          <w:szCs w:val="20"/>
        </w:rPr>
        <w:t>9 ml</w:t>
      </w:r>
      <w:r>
        <w:rPr>
          <w:rFonts w:ascii="Times New Roman" w:hAnsi="Times New Roman"/>
          <w:sz w:val="20"/>
          <w:szCs w:val="20"/>
        </w:rPr>
        <w:t>d</w:t>
      </w:r>
      <w:r w:rsidRPr="00221997">
        <w:rPr>
          <w:rFonts w:ascii="Times New Roman" w:hAnsi="Times New Roman"/>
          <w:sz w:val="20"/>
          <w:szCs w:val="20"/>
        </w:rPr>
        <w:t xml:space="preserve"> zł,</w:t>
      </w:r>
    </w:p>
    <w:p w14:paraId="46A1A680" w14:textId="77777777" w:rsidR="00626CD8" w:rsidRPr="00221997" w:rsidRDefault="00626CD8" w:rsidP="00626CD8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21997">
        <w:rPr>
          <w:rFonts w:ascii="Times New Roman" w:hAnsi="Times New Roman"/>
          <w:sz w:val="20"/>
          <w:szCs w:val="20"/>
        </w:rPr>
        <w:t>spadek wpływu zaliczenia przedsiębiorstw do sektora instytucji rządowych i samorządowych o 3</w:t>
      </w:r>
      <w:r>
        <w:rPr>
          <w:rFonts w:ascii="Times New Roman" w:hAnsi="Times New Roman"/>
          <w:sz w:val="20"/>
          <w:szCs w:val="20"/>
        </w:rPr>
        <w:t>,5</w:t>
      </w:r>
      <w:r w:rsidRPr="00221997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</w:t>
      </w:r>
      <w:r w:rsidRPr="00221997">
        <w:rPr>
          <w:rFonts w:ascii="Times New Roman" w:hAnsi="Times New Roman"/>
          <w:sz w:val="20"/>
          <w:szCs w:val="20"/>
        </w:rPr>
        <w:t xml:space="preserve"> zł, w tym spadek zadłużenia o </w:t>
      </w:r>
      <w:r>
        <w:rPr>
          <w:rFonts w:ascii="Times New Roman" w:hAnsi="Times New Roman"/>
          <w:sz w:val="20"/>
          <w:szCs w:val="20"/>
        </w:rPr>
        <w:t>0,</w:t>
      </w:r>
      <w:r w:rsidRPr="00221997">
        <w:rPr>
          <w:rFonts w:ascii="Times New Roman" w:hAnsi="Times New Roman"/>
          <w:sz w:val="20"/>
          <w:szCs w:val="20"/>
        </w:rPr>
        <w:t>6 ml</w:t>
      </w:r>
      <w:r>
        <w:rPr>
          <w:rFonts w:ascii="Times New Roman" w:hAnsi="Times New Roman"/>
          <w:sz w:val="20"/>
          <w:szCs w:val="20"/>
        </w:rPr>
        <w:t>d</w:t>
      </w:r>
      <w:r w:rsidRPr="00221997">
        <w:rPr>
          <w:rFonts w:ascii="Times New Roman" w:hAnsi="Times New Roman"/>
          <w:sz w:val="20"/>
          <w:szCs w:val="20"/>
        </w:rPr>
        <w:t xml:space="preserve"> zł i wzrost posiadanych przez te jednostki skarbowych papierów wartościowych o 2</w:t>
      </w:r>
      <w:r>
        <w:rPr>
          <w:rFonts w:ascii="Times New Roman" w:hAnsi="Times New Roman"/>
          <w:sz w:val="20"/>
          <w:szCs w:val="20"/>
        </w:rPr>
        <w:t>,</w:t>
      </w:r>
      <w:r w:rsidRPr="00221997">
        <w:rPr>
          <w:rFonts w:ascii="Times New Roman" w:hAnsi="Times New Roman"/>
          <w:sz w:val="20"/>
          <w:szCs w:val="20"/>
        </w:rPr>
        <w:t>9 ml</w:t>
      </w:r>
      <w:r>
        <w:rPr>
          <w:rFonts w:ascii="Times New Roman" w:hAnsi="Times New Roman"/>
          <w:sz w:val="20"/>
          <w:szCs w:val="20"/>
        </w:rPr>
        <w:t>d</w:t>
      </w:r>
      <w:r w:rsidRPr="00221997">
        <w:rPr>
          <w:rFonts w:ascii="Times New Roman" w:hAnsi="Times New Roman"/>
          <w:sz w:val="20"/>
          <w:szCs w:val="20"/>
        </w:rPr>
        <w:t xml:space="preserve"> zł,</w:t>
      </w:r>
    </w:p>
    <w:p w14:paraId="427D6660" w14:textId="77777777" w:rsidR="00626CD8" w:rsidRPr="00221997" w:rsidRDefault="00626CD8" w:rsidP="00626CD8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21997">
        <w:rPr>
          <w:rFonts w:ascii="Times New Roman" w:hAnsi="Times New Roman"/>
          <w:sz w:val="20"/>
          <w:szCs w:val="20"/>
        </w:rPr>
        <w:t>spadek zadłużenia Krajowego Funduszu Drogowego o 1</w:t>
      </w:r>
      <w:r>
        <w:rPr>
          <w:rFonts w:ascii="Times New Roman" w:hAnsi="Times New Roman"/>
          <w:sz w:val="20"/>
          <w:szCs w:val="20"/>
        </w:rPr>
        <w:t>,</w:t>
      </w:r>
      <w:r w:rsidRPr="00221997">
        <w:rPr>
          <w:rFonts w:ascii="Times New Roman" w:hAnsi="Times New Roman"/>
          <w:sz w:val="20"/>
          <w:szCs w:val="20"/>
        </w:rPr>
        <w:t>0 ml</w:t>
      </w:r>
      <w:r>
        <w:rPr>
          <w:rFonts w:ascii="Times New Roman" w:hAnsi="Times New Roman"/>
          <w:sz w:val="20"/>
          <w:szCs w:val="20"/>
        </w:rPr>
        <w:t>d</w:t>
      </w:r>
      <w:r w:rsidRPr="00221997">
        <w:rPr>
          <w:rFonts w:ascii="Times New Roman" w:hAnsi="Times New Roman"/>
          <w:sz w:val="20"/>
          <w:szCs w:val="20"/>
        </w:rPr>
        <w:t xml:space="preserve"> zł.</w:t>
      </w:r>
    </w:p>
    <w:p w14:paraId="5FCD3D9A" w14:textId="77777777" w:rsidR="00626CD8" w:rsidRPr="00A5676D" w:rsidRDefault="00626CD8" w:rsidP="00626CD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Największy udział w </w:t>
      </w:r>
      <w:r w:rsidRPr="00A5676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A5676D">
        <w:rPr>
          <w:rFonts w:ascii="Times New Roman" w:hAnsi="Times New Roman"/>
          <w:sz w:val="20"/>
          <w:szCs w:val="20"/>
        </w:rPr>
        <w:t>dług Skarbu Państwa (SP).</w:t>
      </w:r>
    </w:p>
    <w:p w14:paraId="5FC116C8" w14:textId="77777777" w:rsidR="00626CD8" w:rsidRPr="00A5676D" w:rsidRDefault="00626CD8" w:rsidP="00626CD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II</w:t>
      </w:r>
      <w:r w:rsidRPr="00A5676D">
        <w:rPr>
          <w:rFonts w:ascii="Times New Roman" w:hAnsi="Times New Roman"/>
          <w:sz w:val="20"/>
          <w:szCs w:val="20"/>
        </w:rPr>
        <w:t xml:space="preserve"> k</w:t>
      </w:r>
      <w:r>
        <w:rPr>
          <w:rFonts w:ascii="Times New Roman" w:hAnsi="Times New Roman"/>
          <w:sz w:val="20"/>
          <w:szCs w:val="20"/>
        </w:rPr>
        <w:t>w. 2021 r. dług SP wyniósł 1.133,</w:t>
      </w:r>
      <w:r w:rsidRPr="00F30DC2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676D">
        <w:rPr>
          <w:rFonts w:ascii="Times New Roman" w:hAnsi="Times New Roman"/>
          <w:sz w:val="20"/>
          <w:szCs w:val="20"/>
        </w:rPr>
        <w:t>ml</w:t>
      </w:r>
      <w:r>
        <w:rPr>
          <w:rFonts w:ascii="Times New Roman" w:hAnsi="Times New Roman"/>
          <w:sz w:val="20"/>
          <w:szCs w:val="20"/>
        </w:rPr>
        <w:t>d zł, co oznaczało wzrost o 1,9 mld zł (0,2</w:t>
      </w:r>
      <w:r w:rsidRPr="00A5676D">
        <w:rPr>
          <w:rFonts w:ascii="Times New Roman" w:hAnsi="Times New Roman"/>
          <w:sz w:val="20"/>
          <w:szCs w:val="20"/>
        </w:rPr>
        <w:t>%) względem poprzedniego kwartału.</w:t>
      </w:r>
    </w:p>
    <w:p w14:paraId="0D93EEB2" w14:textId="77777777" w:rsidR="00626CD8" w:rsidRPr="00A5676D" w:rsidRDefault="00626CD8" w:rsidP="00626CD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długu SP w II kw. 2021</w:t>
      </w:r>
      <w:r w:rsidRPr="00A5676D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14:paraId="7F38D5B0" w14:textId="77777777" w:rsidR="00626CD8" w:rsidRPr="00AC591D" w:rsidRDefault="00626CD8" w:rsidP="00626CD8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C591D">
        <w:rPr>
          <w:rFonts w:ascii="Times New Roman" w:hAnsi="Times New Roman"/>
          <w:sz w:val="20"/>
          <w:szCs w:val="20"/>
        </w:rPr>
        <w:t>potrzeb pożyczkowych netto budżetu państwa (</w:t>
      </w:r>
      <w:r w:rsidRPr="00AC591D">
        <w:rPr>
          <w:rFonts w:ascii="Times New Roman" w:hAnsi="Times New Roman"/>
          <w:sz w:val="20"/>
          <w:szCs w:val="20"/>
        </w:rPr>
        <w:noBreakHyphen/>
        <w:t>30,7 mld zł),</w:t>
      </w:r>
    </w:p>
    <w:p w14:paraId="426AB587" w14:textId="77777777" w:rsidR="00626CD8" w:rsidRPr="00AC591D" w:rsidRDefault="00626CD8" w:rsidP="00626CD8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C591D">
        <w:rPr>
          <w:rFonts w:ascii="Times New Roman" w:hAnsi="Times New Roman"/>
          <w:sz w:val="20"/>
          <w:szCs w:val="20"/>
        </w:rPr>
        <w:t>zwiększenia stanu środków na rachunkach budżetowych (+35,2 mld zł),</w:t>
      </w:r>
    </w:p>
    <w:p w14:paraId="12C2C7CC" w14:textId="77777777" w:rsidR="00626CD8" w:rsidRPr="00AC591D" w:rsidRDefault="00626CD8" w:rsidP="00626CD8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C591D">
        <w:rPr>
          <w:rFonts w:ascii="Times New Roman" w:hAnsi="Times New Roman"/>
          <w:sz w:val="20"/>
          <w:szCs w:val="20"/>
        </w:rPr>
        <w:t>różnic kursowych (-9,0 mld zł),</w:t>
      </w:r>
    </w:p>
    <w:p w14:paraId="5577A916" w14:textId="77777777" w:rsidR="00626CD8" w:rsidRPr="00AC591D" w:rsidRDefault="00626CD8" w:rsidP="00626CD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426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AC591D">
        <w:rPr>
          <w:rFonts w:ascii="Times New Roman" w:hAnsi="Times New Roman"/>
          <w:sz w:val="20"/>
          <w:szCs w:val="20"/>
        </w:rPr>
        <w:t>obligacji przekazanych na podstawie innych ustaw niż ustawa budżetowa (+3,1</w:t>
      </w:r>
      <w:r>
        <w:rPr>
          <w:rFonts w:ascii="Times New Roman" w:hAnsi="Times New Roman"/>
          <w:sz w:val="20"/>
          <w:szCs w:val="20"/>
        </w:rPr>
        <w:t xml:space="preserve"> mld zł).</w:t>
      </w:r>
    </w:p>
    <w:p w14:paraId="6A9E91DF" w14:textId="77777777" w:rsidR="00626CD8" w:rsidRPr="00A5676D" w:rsidRDefault="00626CD8" w:rsidP="00626CD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II kw. 2021</w:t>
      </w:r>
      <w:r w:rsidRPr="00A5676D">
        <w:rPr>
          <w:rFonts w:ascii="Times New Roman" w:hAnsi="Times New Roman"/>
          <w:sz w:val="20"/>
          <w:szCs w:val="20"/>
        </w:rPr>
        <w:t xml:space="preserve"> r. udział długu w walutach obcy</w:t>
      </w:r>
      <w:r>
        <w:rPr>
          <w:rFonts w:ascii="Times New Roman" w:hAnsi="Times New Roman"/>
          <w:sz w:val="20"/>
          <w:szCs w:val="20"/>
        </w:rPr>
        <w:t>ch w całym długu SP wyniósł 24,2</w:t>
      </w:r>
      <w:r w:rsidRPr="00A5676D">
        <w:rPr>
          <w:rFonts w:ascii="Times New Roman" w:hAnsi="Times New Roman"/>
          <w:sz w:val="20"/>
          <w:szCs w:val="20"/>
        </w:rPr>
        <w:t xml:space="preserve">%, tj. </w:t>
      </w:r>
      <w:r>
        <w:rPr>
          <w:rFonts w:ascii="Times New Roman" w:hAnsi="Times New Roman"/>
          <w:sz w:val="20"/>
          <w:szCs w:val="20"/>
        </w:rPr>
        <w:t>spadł o </w:t>
      </w:r>
      <w:r w:rsidRPr="00A5676D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,9</w:t>
      </w:r>
      <w:r w:rsidRPr="00A5676D">
        <w:rPr>
          <w:rFonts w:ascii="Times New Roman" w:hAnsi="Times New Roman"/>
          <w:sz w:val="20"/>
          <w:szCs w:val="20"/>
        </w:rPr>
        <w:t> pp. w stosunku do poprzedniego kwartału.</w:t>
      </w:r>
    </w:p>
    <w:p w14:paraId="36EE2436" w14:textId="088E1F68" w:rsidR="00C61EE3" w:rsidRDefault="00626CD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Udział długu wobec nierezydentów w długu ogółem n</w:t>
      </w:r>
      <w:r>
        <w:rPr>
          <w:rFonts w:ascii="Times New Roman" w:hAnsi="Times New Roman"/>
          <w:sz w:val="20"/>
          <w:szCs w:val="20"/>
        </w:rPr>
        <w:t>a koniec II kw. 2021 r. wyniósł 32,9% wobec 34,6</w:t>
      </w:r>
      <w:r w:rsidRPr="00A5676D">
        <w:rPr>
          <w:rFonts w:ascii="Times New Roman" w:hAnsi="Times New Roman"/>
          <w:sz w:val="20"/>
          <w:szCs w:val="20"/>
        </w:rPr>
        <w:t>% na</w:t>
      </w:r>
      <w:r w:rsidRPr="00A5676D">
        <w:t xml:space="preserve"> </w:t>
      </w:r>
      <w:r w:rsidRPr="00A5676D">
        <w:rPr>
          <w:rFonts w:ascii="Times New Roman" w:hAnsi="Times New Roman"/>
          <w:sz w:val="20"/>
          <w:szCs w:val="20"/>
        </w:rPr>
        <w:t>koniec poprzedniego kwartału.</w:t>
      </w:r>
    </w:p>
    <w:p w14:paraId="775810EC" w14:textId="77777777" w:rsidR="00690405" w:rsidRPr="00896223" w:rsidRDefault="00690405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8F00528" w14:textId="01A5DFAF" w:rsidR="00A5676D" w:rsidRPr="00896223" w:rsidRDefault="00A5676D" w:rsidP="00C83795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11" w:name="_Toc86306144"/>
      <w:r w:rsidRPr="00896223">
        <w:rPr>
          <w:rFonts w:ascii="Arial" w:hAnsi="Arial" w:cs="Arial"/>
          <w:b/>
          <w:bCs/>
          <w:iCs/>
          <w:color w:val="E31837"/>
          <w:sz w:val="20"/>
          <w:szCs w:val="20"/>
        </w:rPr>
        <w:t>2.2. Potrzeby pożyczkowe budżetu państwa</w:t>
      </w:r>
      <w:r w:rsidRPr="00896223">
        <w:rPr>
          <w:rFonts w:ascii="Arial" w:hAnsi="Arial" w:cs="Arial"/>
          <w:b/>
          <w:bCs/>
          <w:iCs/>
          <w:color w:val="E31837"/>
          <w:sz w:val="20"/>
          <w:szCs w:val="20"/>
        </w:rPr>
        <w:br/>
        <w:t>i ich finansowanie w I</w:t>
      </w:r>
      <w:r w:rsidR="00896223" w:rsidRPr="00896223">
        <w:rPr>
          <w:rFonts w:ascii="Arial" w:hAnsi="Arial" w:cs="Arial"/>
          <w:b/>
          <w:bCs/>
          <w:iCs/>
          <w:color w:val="E31837"/>
          <w:sz w:val="20"/>
          <w:szCs w:val="20"/>
        </w:rPr>
        <w:t>I</w:t>
      </w:r>
      <w:r w:rsidRPr="00896223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 kwartale 202</w:t>
      </w:r>
      <w:r w:rsidR="004E178F" w:rsidRPr="00896223">
        <w:rPr>
          <w:rFonts w:ascii="Arial" w:hAnsi="Arial" w:cs="Arial"/>
          <w:b/>
          <w:bCs/>
          <w:iCs/>
          <w:color w:val="E31837"/>
          <w:sz w:val="20"/>
          <w:szCs w:val="20"/>
        </w:rPr>
        <w:t>1</w:t>
      </w:r>
      <w:r w:rsidRPr="00896223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 r.</w:t>
      </w:r>
      <w:bookmarkEnd w:id="11"/>
    </w:p>
    <w:p w14:paraId="3963AE05" w14:textId="77777777" w:rsidR="00896223" w:rsidRPr="00896223" w:rsidRDefault="00896223" w:rsidP="00690405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Saldo potrzeb pożyczkowych netto budżetu państwa było ujemne (czyli zwiększało stan środków) i ukształtowało się na poziomie 30,7 mld zł. Potrzeby pożyczkowe były generowane w następujących pozycjach:</w:t>
      </w:r>
    </w:p>
    <w:p w14:paraId="4017B894" w14:textId="77777777" w:rsidR="00896223" w:rsidRPr="00896223" w:rsidRDefault="00896223" w:rsidP="001F07B4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zarządzanie płynnością sektora finansów publicznych: 6,5 mld zł,</w:t>
      </w:r>
    </w:p>
    <w:p w14:paraId="6910D989" w14:textId="77777777" w:rsidR="00896223" w:rsidRPr="00896223" w:rsidRDefault="00896223" w:rsidP="001F07B4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płatności związane z udziałami Skarbu Państwa w międzynarodowych instytucjach finansowych: 0,7 mld zł.</w:t>
      </w:r>
    </w:p>
    <w:p w14:paraId="46763975" w14:textId="77777777" w:rsidR="00896223" w:rsidRPr="00896223" w:rsidRDefault="00896223" w:rsidP="00690405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 xml:space="preserve">Pozostałe pozycje wpływały na pomniejszenie potrzeb w wysokości 37,9 mld zł, z czego 31,4 mld z tytułu nadwyżki budżetu państwa, 6,0 mld zł z tytułu zarządzania środkami europejskimi oraz 0,5 mld zł z pozostałych przychodów i rozchodów. </w:t>
      </w:r>
    </w:p>
    <w:p w14:paraId="40870B6E" w14:textId="77777777" w:rsidR="00896223" w:rsidRPr="00896223" w:rsidRDefault="00896223" w:rsidP="00690405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52,2 mld zł, w tym krajowego 44,3 mld zł, a zagranicznego 7,9 mld zł. </w:t>
      </w:r>
      <w:r w:rsidRPr="00896223">
        <w:rPr>
          <w:rFonts w:ascii="Times New Roman" w:hAnsi="Times New Roman"/>
          <w:b/>
          <w:sz w:val="20"/>
          <w:szCs w:val="20"/>
        </w:rPr>
        <w:t>Potrzeby pożyczkowe brutto</w:t>
      </w:r>
      <w:r w:rsidRPr="00896223">
        <w:rPr>
          <w:rFonts w:ascii="Times New Roman" w:hAnsi="Times New Roman"/>
          <w:sz w:val="20"/>
          <w:szCs w:val="20"/>
        </w:rPr>
        <w:t>, tj. suma potrzeb netto i długu przypadającego do wykupu, wyniosły 21,5 mld zł. Po uwzględnieniu przedterminowych odkupów, wykup długu wyniósł 41,0 mld zł (w tym krajowego 33,2 mld zł  i zagranicznego 7,9 mld zł).</w:t>
      </w:r>
    </w:p>
    <w:p w14:paraId="17CE5135" w14:textId="77777777" w:rsidR="00896223" w:rsidRPr="00896223" w:rsidRDefault="00896223" w:rsidP="00690405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14:paraId="610E145A" w14:textId="77777777" w:rsidR="00896223" w:rsidRPr="00896223" w:rsidRDefault="00896223" w:rsidP="0069040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na rynku krajowym środki pozyskano z emisji:</w:t>
      </w:r>
    </w:p>
    <w:p w14:paraId="742FA013" w14:textId="77777777" w:rsidR="00896223" w:rsidRPr="00896223" w:rsidRDefault="00896223" w:rsidP="001F07B4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 xml:space="preserve">obligacji hurtowych: 32,3 mld zł, </w:t>
      </w:r>
    </w:p>
    <w:p w14:paraId="621D01DF" w14:textId="77777777" w:rsidR="00896223" w:rsidRPr="00896223" w:rsidRDefault="00896223" w:rsidP="001F07B4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obligacji detalicznych: 5,6 mld zł (bez obligacji sprzedanych i wykupionych w 2021 r.),</w:t>
      </w:r>
    </w:p>
    <w:p w14:paraId="0DDDA35A" w14:textId="77777777" w:rsidR="00896223" w:rsidRPr="00896223" w:rsidRDefault="00896223" w:rsidP="0069040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/>
        <w:jc w:val="both"/>
        <w:rPr>
          <w:rFonts w:ascii="Times New Roman" w:hAnsi="Times New Roman" w:cs="Arial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n</w:t>
      </w:r>
      <w:r w:rsidRPr="00896223">
        <w:rPr>
          <w:rFonts w:ascii="Times New Roman" w:hAnsi="Times New Roman" w:cs="Arial"/>
          <w:sz w:val="20"/>
          <w:szCs w:val="20"/>
        </w:rPr>
        <w:t xml:space="preserve">a rynkach </w:t>
      </w:r>
      <w:r w:rsidRPr="00896223">
        <w:rPr>
          <w:rFonts w:ascii="Times New Roman" w:hAnsi="Times New Roman"/>
          <w:sz w:val="20"/>
          <w:szCs w:val="20"/>
        </w:rPr>
        <w:t>zagranicznych</w:t>
      </w:r>
      <w:r w:rsidRPr="00896223">
        <w:rPr>
          <w:rFonts w:ascii="Times New Roman" w:hAnsi="Times New Roman" w:cs="Arial"/>
          <w:sz w:val="20"/>
          <w:szCs w:val="20"/>
        </w:rPr>
        <w:t xml:space="preserve"> środki pozyskano z:</w:t>
      </w:r>
    </w:p>
    <w:p w14:paraId="0AD07749" w14:textId="77777777" w:rsidR="00896223" w:rsidRPr="00896223" w:rsidRDefault="00896223" w:rsidP="001F07B4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896223">
        <w:rPr>
          <w:rFonts w:ascii="Times New Roman" w:hAnsi="Times New Roman" w:cs="Arial"/>
          <w:sz w:val="20"/>
          <w:szCs w:val="20"/>
        </w:rPr>
        <w:t>: 0,14 mld zł (0,03 mld EUR)</w:t>
      </w:r>
      <w:r w:rsidRPr="00896223">
        <w:rPr>
          <w:rFonts w:ascii="Times New Roman" w:hAnsi="Times New Roman"/>
          <w:sz w:val="20"/>
          <w:szCs w:val="20"/>
        </w:rPr>
        <w:t>,</w:t>
      </w:r>
    </w:p>
    <w:p w14:paraId="6732F052" w14:textId="2BB08133" w:rsidR="00690405" w:rsidRPr="00560EBA" w:rsidRDefault="00896223" w:rsidP="001F07B4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560EBA">
        <w:rPr>
          <w:rFonts w:ascii="Times New Roman" w:hAnsi="Times New Roman"/>
          <w:sz w:val="20"/>
          <w:szCs w:val="20"/>
        </w:rPr>
        <w:t>pożyczki z europejskiego instrumentu tymczasowego wsparcia w c</w:t>
      </w:r>
      <w:bookmarkStart w:id="12" w:name="_GoBack"/>
      <w:bookmarkEnd w:id="12"/>
      <w:r w:rsidRPr="00560EBA">
        <w:rPr>
          <w:rFonts w:ascii="Times New Roman" w:hAnsi="Times New Roman"/>
          <w:sz w:val="20"/>
          <w:szCs w:val="20"/>
        </w:rPr>
        <w:t>elu zmniejszenia zagrożeń związanych z bezrobociem (SURE): 7,0 mld zł (1,6 mld EUR)</w:t>
      </w:r>
      <w:r w:rsidRPr="00896223"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Y="37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560EBA" w:rsidRPr="00896223" w14:paraId="2689B2A2" w14:textId="77777777" w:rsidTr="00560EBA">
        <w:trPr>
          <w:gridAfter w:val="1"/>
          <w:wAfter w:w="38" w:type="dxa"/>
          <w:trHeight w:val="611"/>
        </w:trPr>
        <w:tc>
          <w:tcPr>
            <w:tcW w:w="4515" w:type="dxa"/>
          </w:tcPr>
          <w:p w14:paraId="4CE5CA2B" w14:textId="73ABAFE2" w:rsidR="00560EBA" w:rsidRPr="00896223" w:rsidRDefault="00560EBA" w:rsidP="00560EBA">
            <w:pPr>
              <w:keepNext/>
              <w:spacing w:before="120" w:after="0" w:line="288" w:lineRule="auto"/>
              <w:rPr>
                <w:rFonts w:ascii="Times New Roman" w:hAnsi="Times New Roman"/>
                <w:bCs/>
                <w:sz w:val="18"/>
                <w:szCs w:val="18"/>
                <w:lang w:eastAsia="pl-PL"/>
              </w:rPr>
            </w:pPr>
            <w:r w:rsidRPr="00560EBA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7. Rentowności SPW – rynek wtórny</w:t>
            </w:r>
          </w:p>
        </w:tc>
      </w:tr>
      <w:tr w:rsidR="00560EBA" w:rsidRPr="00896223" w14:paraId="2F0266FB" w14:textId="77777777" w:rsidTr="00560EBA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14:paraId="0B96B09E" w14:textId="77777777" w:rsidR="00560EBA" w:rsidRPr="00896223" w:rsidRDefault="00560EBA" w:rsidP="00560EBA">
            <w:pPr>
              <w:keepNext/>
              <w:spacing w:before="60" w:after="60" w:line="288" w:lineRule="auto"/>
              <w:ind w:left="-108"/>
              <w:jc w:val="center"/>
              <w:rPr>
                <w:rFonts w:ascii="Times New Roman" w:hAnsi="Times New Roman"/>
                <w:b/>
                <w:highlight w:val="yellow"/>
                <w:lang w:eastAsia="pl-PL"/>
              </w:rPr>
            </w:pPr>
            <w:r w:rsidRPr="00896223">
              <w:rPr>
                <w:rFonts w:ascii="Times New Roman" w:hAnsi="Times New Roman"/>
                <w:noProof/>
                <w:lang w:eastAsia="pl-PL"/>
              </w:rPr>
              <w:t xml:space="preserve"> </w:t>
            </w:r>
            <w:r w:rsidRPr="00896223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 wp14:anchorId="0A356CE6" wp14:editId="15972DDB">
                  <wp:extent cx="2802255" cy="2017395"/>
                  <wp:effectExtent l="0" t="0" r="0" b="1905"/>
                  <wp:docPr id="4" name="Obraz 4" descr="Wykres przedstawia rentowności skarbowych papierów wartościowych na rynku wtórnym w podziale na 2-letnie, 5-letnie i 10-letnie, w okresie od lipca 2019 do czerwca 2021 roku. Dane szczegółowe dostępne w Aneksie statystycznym, na końcu opracowania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255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97F8EA" w14:textId="77777777" w:rsidR="00896223" w:rsidRPr="00896223" w:rsidRDefault="00896223" w:rsidP="00690405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W II kw. 2021 r. nastąpił:</w:t>
      </w:r>
    </w:p>
    <w:p w14:paraId="3B34FB0E" w14:textId="77777777" w:rsidR="00896223" w:rsidRPr="00896223" w:rsidRDefault="00896223" w:rsidP="00690405">
      <w:pPr>
        <w:numPr>
          <w:ilvl w:val="0"/>
          <w:numId w:val="14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7A901DF3" w14:textId="77777777" w:rsidR="00896223" w:rsidRPr="00896223" w:rsidRDefault="00896223" w:rsidP="001F07B4">
      <w:pPr>
        <w:spacing w:after="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 xml:space="preserve">wzrost środków na rachunkach budżetowych o 34,2 mld zł do 146,3 mld zł, </w:t>
      </w:r>
    </w:p>
    <w:p w14:paraId="05D9F9A1" w14:textId="77777777" w:rsidR="00896223" w:rsidRPr="00896223" w:rsidRDefault="00896223" w:rsidP="00690405">
      <w:pPr>
        <w:numPr>
          <w:ilvl w:val="0"/>
          <w:numId w:val="14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164A3CD4" w14:textId="77777777" w:rsidR="00896223" w:rsidRPr="00896223" w:rsidRDefault="00896223" w:rsidP="001F07B4">
      <w:pPr>
        <w:spacing w:after="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wzrost zadłużenia wobec banków o 21,1 mld zł oraz spadek zadłużenia wobec nierezydentów o 11,3 mld zł, jak i krajowego sektora pozabankowego o 1,0 mld zł,</w:t>
      </w:r>
    </w:p>
    <w:p w14:paraId="390C525B" w14:textId="77777777" w:rsidR="00896223" w:rsidRPr="00896223" w:rsidRDefault="00896223" w:rsidP="00690405">
      <w:pPr>
        <w:numPr>
          <w:ilvl w:val="0"/>
          <w:numId w:val="14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na rynku polskich obligacji:</w:t>
      </w:r>
    </w:p>
    <w:p w14:paraId="28C02F86" w14:textId="77777777" w:rsidR="00896223" w:rsidRPr="00896223" w:rsidRDefault="00896223" w:rsidP="001F07B4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na rynku krajowym: wzrost rentowności obligacji wzdłuż całej krzywej - na koniec kwartału rentowności</w:t>
      </w:r>
      <w:r w:rsidRPr="00896223" w:rsidDel="0064738C">
        <w:rPr>
          <w:rFonts w:ascii="Times New Roman" w:hAnsi="Times New Roman"/>
          <w:sz w:val="20"/>
          <w:szCs w:val="20"/>
        </w:rPr>
        <w:t xml:space="preserve"> </w:t>
      </w:r>
      <w:r w:rsidRPr="00896223">
        <w:rPr>
          <w:rFonts w:ascii="Times New Roman" w:hAnsi="Times New Roman"/>
          <w:sz w:val="20"/>
          <w:szCs w:val="20"/>
        </w:rPr>
        <w:t>obligacji 2-, 5- i 10-letnich wyniosły odpowiednio 0,4% (+0,3 p.p.), 1,3% (+0,4 p.p.) oraz 1,7% (+0,1 p.p.),</w:t>
      </w:r>
    </w:p>
    <w:p w14:paraId="6FEBDF93" w14:textId="77777777" w:rsidR="00896223" w:rsidRPr="00896223" w:rsidRDefault="00896223" w:rsidP="00690405">
      <w:pPr>
        <w:widowControl w:val="0"/>
        <w:numPr>
          <w:ilvl w:val="0"/>
          <w:numId w:val="12"/>
        </w:numPr>
        <w:tabs>
          <w:tab w:val="clear" w:pos="360"/>
        </w:tabs>
        <w:spacing w:before="120"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96223">
        <w:rPr>
          <w:rFonts w:ascii="Times New Roman" w:hAnsi="Times New Roman"/>
          <w:sz w:val="20"/>
          <w:szCs w:val="20"/>
        </w:rPr>
        <w:t>na rynku obligacji w euro: wzrost rentowności obligacji krótko- oraz średnioterminowych, stabilizacja rentowności obligacji długoterminowych: na koniec kwartału rentowności obligacji 2</w:t>
      </w:r>
      <w:r w:rsidRPr="00896223">
        <w:rPr>
          <w:rFonts w:ascii="Times New Roman" w:hAnsi="Times New Roman"/>
          <w:sz w:val="20"/>
          <w:szCs w:val="20"/>
        </w:rPr>
        <w:noBreakHyphen/>
        <w:t>, 5- i 10</w:t>
      </w:r>
      <w:r w:rsidRPr="00896223">
        <w:rPr>
          <w:rFonts w:ascii="Times New Roman" w:hAnsi="Times New Roman"/>
          <w:sz w:val="20"/>
          <w:szCs w:val="20"/>
        </w:rPr>
        <w:noBreakHyphen/>
        <w:t>letnich wyniosły odpowie</w:t>
      </w:r>
      <w:r w:rsidRPr="00896223">
        <w:rPr>
          <w:rFonts w:ascii="Times New Roman" w:hAnsi="Times New Roman"/>
          <w:sz w:val="20"/>
          <w:szCs w:val="20"/>
        </w:rPr>
        <w:softHyphen/>
        <w:t xml:space="preserve">dnio -0,3% (+0,1 p.p.), </w:t>
      </w:r>
      <w:r w:rsidRPr="00896223">
        <w:rPr>
          <w:rFonts w:ascii="Times New Roman" w:hAnsi="Times New Roman"/>
          <w:sz w:val="20"/>
          <w:szCs w:val="20"/>
        </w:rPr>
        <w:noBreakHyphen/>
        <w:t xml:space="preserve">0,1% (+0,1 p.p.) oraz 0,0% (bez zmian). </w:t>
      </w:r>
    </w:p>
    <w:p w14:paraId="62A33388" w14:textId="77777777" w:rsidR="00C61EE3" w:rsidRPr="00896223" w:rsidRDefault="00C61EE3">
      <w:pPr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9FCC8B1" w14:textId="77777777" w:rsidR="00C61EE3" w:rsidRPr="00886F21" w:rsidRDefault="00C61EE3">
      <w:pPr>
        <w:spacing w:after="0" w:line="288" w:lineRule="auto"/>
        <w:jc w:val="both"/>
        <w:rPr>
          <w:rFonts w:ascii="Arial" w:hAnsi="Arial" w:cs="Arial"/>
          <w:sz w:val="18"/>
          <w:szCs w:val="18"/>
          <w:highlight w:val="yellow"/>
        </w:rPr>
        <w:sectPr w:rsidR="00C61EE3" w:rsidRPr="00886F21">
          <w:headerReference w:type="first" r:id="rId21"/>
          <w:pgSz w:w="11907" w:h="16839"/>
          <w:pgMar w:top="1701" w:right="992" w:bottom="1418" w:left="1134" w:header="709" w:footer="975" w:gutter="0"/>
          <w:cols w:num="2" w:space="709"/>
          <w:titlePg/>
        </w:sectPr>
      </w:pPr>
    </w:p>
    <w:p w14:paraId="61ABF16F" w14:textId="77777777" w:rsidR="00C61EE3" w:rsidRPr="0072542A" w:rsidRDefault="00B51A6E">
      <w:pPr>
        <w:pStyle w:val="Nagwek1"/>
        <w:spacing w:after="240"/>
        <w:rPr>
          <w:rFonts w:ascii="Arial" w:hAnsi="Arial" w:cs="Arial"/>
          <w:bCs w:val="0"/>
          <w:color w:val="E31837"/>
          <w:sz w:val="28"/>
          <w:szCs w:val="28"/>
        </w:rPr>
      </w:pPr>
      <w:bookmarkStart w:id="13" w:name="_Toc86306145"/>
      <w:r w:rsidRPr="0072542A">
        <w:rPr>
          <w:rFonts w:ascii="Arial" w:hAnsi="Arial" w:cs="Arial"/>
          <w:bCs w:val="0"/>
          <w:color w:val="E31837"/>
          <w:sz w:val="28"/>
          <w:szCs w:val="28"/>
        </w:rPr>
        <w:t>NOTA METODYCZNA</w:t>
      </w:r>
      <w:bookmarkEnd w:id="13"/>
    </w:p>
    <w:p w14:paraId="1C5A25F0" w14:textId="77777777" w:rsidR="00C61EE3" w:rsidRPr="0072542A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72542A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14:paraId="496E3045" w14:textId="77777777" w:rsidR="00C61EE3" w:rsidRPr="0072542A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metodologią, tj. w układzie kasowym (z pewnymi wyjątkami) i  zgodnie z definicjami przejętymi w Ustawie z dnia 27 sierpnia 2009 r. o finansach publicznych (tekst jednolity Dz.U. z 2013 poz. 885 z późn. zm.):</w:t>
      </w:r>
    </w:p>
    <w:p w14:paraId="233E96DE" w14:textId="77777777" w:rsidR="00C61EE3" w:rsidRPr="0072542A" w:rsidRDefault="00751799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2" w:history="1">
        <w:r w:rsidR="00B51A6E" w:rsidRPr="0072542A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14:paraId="332E8749" w14:textId="77777777" w:rsidR="00C61EE3" w:rsidRPr="0072542A" w:rsidRDefault="00B51A6E">
      <w:pPr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72542A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14:paraId="1B08BDAF" w14:textId="77777777" w:rsidR="00C61EE3" w:rsidRPr="0072542A" w:rsidRDefault="00B51A6E">
      <w:pPr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 xml:space="preserve"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 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 szczeblu centralnym prezentowane są w ujęciu kasowym oraz po eliminacji wewnętrznych przepływów.  </w:t>
      </w:r>
    </w:p>
    <w:p w14:paraId="3961A4F6" w14:textId="77777777" w:rsidR="00C61EE3" w:rsidRPr="0072542A" w:rsidRDefault="00B51A6E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 xml:space="preserve">Więcej na: </w:t>
      </w:r>
      <w:r w:rsidRPr="0072542A">
        <w:rPr>
          <w:rStyle w:val="Hipercze"/>
          <w:rFonts w:ascii="Arial" w:hAnsi="Arial" w:cs="Arial"/>
          <w:b/>
          <w:sz w:val="20"/>
          <w:szCs w:val="20"/>
        </w:rPr>
        <w:t>https://www.gov.pl/web/finanse/dane-fiskalne-na-potrzeby-nadzoru-budzetowego-ue</w:t>
      </w:r>
    </w:p>
    <w:p w14:paraId="720248A8" w14:textId="77777777" w:rsidR="00C61EE3" w:rsidRPr="0072542A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72542A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14:paraId="5CAA4652" w14:textId="77777777" w:rsidR="00C61EE3" w:rsidRPr="0072542A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 zgodnie z Rozporządzeniem PE i 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są prezentowane, podobnie jak w GFSM2001, po eliminacji wewnętrznych przepływów, jednak różnią się od danych GFSM2001 odmienną koncepcją rachunkową (są to dane memoriałowe, z pewnymi dostosowaniami) oraz odmienną klasyfikacją niektórych transakcji. Deficyt sektora instytucji rządowych i samorządowych obliczony według zasad ESA2010 stanowi jeden z elementów kryterium fiskalnego z Maastricht (drugim jest dług tego sektora).</w:t>
      </w:r>
    </w:p>
    <w:p w14:paraId="0B58AA35" w14:textId="77777777" w:rsidR="00C61EE3" w:rsidRPr="0072542A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2542A">
        <w:rPr>
          <w:rFonts w:ascii="Arial" w:hAnsi="Arial" w:cs="Arial"/>
          <w:b/>
          <w:color w:val="ADAFB2"/>
          <w:sz w:val="24"/>
          <w:szCs w:val="24"/>
        </w:rPr>
        <w:t xml:space="preserve">: </w:t>
      </w:r>
      <w:hyperlink r:id="rId23" w:history="1">
        <w:r w:rsidRPr="0072542A">
          <w:rPr>
            <w:rStyle w:val="Hipercze"/>
            <w:rFonts w:ascii="Arial" w:hAnsi="Arial" w:cs="Arial"/>
            <w:b/>
            <w:sz w:val="20"/>
            <w:szCs w:val="20"/>
          </w:rPr>
          <w:t>https://stat.gov.pl/obszary-tematyczne/rachunki-narodowe/europejski-system-rachunkow-narodowych-i-regionalnych-esa-2010/rozporzadzenie-parlamentu-europejskiego-i-rady-ue-nr-5492013-z-dnia-21-maja-2013-r-,1,1.html</w:t>
        </w:r>
      </w:hyperlink>
      <w:r w:rsidRPr="0072542A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638674BD" w14:textId="77777777" w:rsidR="00C61EE3" w:rsidRPr="0072542A" w:rsidRDefault="00C61EE3">
      <w:pPr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14:paraId="38396D6C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0E279E41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0EEEB2C" w14:textId="77777777" w:rsidR="00C61EE3" w:rsidRPr="0072542A" w:rsidRDefault="00B51A6E">
      <w:pPr>
        <w:spacing w:after="280" w:line="360" w:lineRule="auto"/>
        <w:rPr>
          <w:rFonts w:ascii="Arial" w:hAnsi="Arial" w:cs="Arial"/>
          <w:sz w:val="18"/>
          <w:szCs w:val="18"/>
        </w:rPr>
      </w:pPr>
      <w:r w:rsidRPr="0072542A">
        <w:rPr>
          <w:rFonts w:ascii="Arial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 wp14:anchorId="1E19CFBC" wp14:editId="5F4316AB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34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0BC5F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650743A1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62BA5D64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29DA05E" w14:textId="77777777" w:rsidR="00C61EE3" w:rsidRPr="0072542A" w:rsidRDefault="00B51A6E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4" w:name="_Toc86306146"/>
      <w:r w:rsidRPr="0072542A">
        <w:rPr>
          <w:rFonts w:ascii="Arial" w:hAnsi="Arial" w:cs="Arial"/>
          <w:color w:val="E31837"/>
          <w:sz w:val="40"/>
          <w:szCs w:val="40"/>
        </w:rPr>
        <w:t>ANEKS  STATYSTYCZNY</w:t>
      </w:r>
      <w:bookmarkEnd w:id="14"/>
      <w:r w:rsidRPr="0072542A">
        <w:rPr>
          <w:rFonts w:ascii="Arial" w:hAnsi="Arial" w:cs="Arial"/>
          <w:color w:val="E31837"/>
          <w:sz w:val="40"/>
          <w:szCs w:val="40"/>
        </w:rPr>
        <w:t xml:space="preserve"> </w:t>
      </w:r>
      <w:r w:rsidRPr="0072542A">
        <w:rPr>
          <w:rFonts w:ascii="Arial" w:hAnsi="Arial" w:cs="Arial"/>
          <w:color w:val="E31837"/>
          <w:sz w:val="40"/>
          <w:szCs w:val="40"/>
        </w:rPr>
        <w:br/>
      </w:r>
    </w:p>
    <w:p w14:paraId="141E043A" w14:textId="77777777" w:rsidR="00C61EE3" w:rsidRPr="0072542A" w:rsidRDefault="00C61EE3"/>
    <w:p w14:paraId="5E94E2E2" w14:textId="77777777" w:rsidR="00C61EE3" w:rsidRPr="0072542A" w:rsidRDefault="00C61EE3"/>
    <w:p w14:paraId="10D0F2B0" w14:textId="77777777" w:rsidR="00C61EE3" w:rsidRPr="0072542A" w:rsidRDefault="00C61EE3"/>
    <w:p w14:paraId="3AFB03B5" w14:textId="77777777" w:rsidR="00C61EE3" w:rsidRPr="0072542A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72542A">
        <w:rPr>
          <w:rFonts w:ascii="Arial" w:hAnsi="Arial" w:cs="Arial"/>
          <w:b/>
          <w:color w:val="E31837"/>
          <w:sz w:val="28"/>
          <w:szCs w:val="28"/>
        </w:rPr>
        <w:t>SPIS TABLIC</w:t>
      </w:r>
    </w:p>
    <w:p w14:paraId="4ACA1251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Podstawowe wskaźniki makroekonomiczne</w:t>
      </w:r>
    </w:p>
    <w:p w14:paraId="452D85EB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2- 5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ESA 2010) sektor instytucji rządowych i samorządowych</w:t>
      </w:r>
    </w:p>
    <w:p w14:paraId="7E774FB3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6- 9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sprawozdawczości krajowej) budżet państwa</w:t>
      </w:r>
    </w:p>
    <w:p w14:paraId="4239833C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10- 12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14:paraId="336C5C5B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13- 19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- Państwowe fundusze celowe </w:t>
      </w:r>
    </w:p>
    <w:p w14:paraId="5F1FD471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20- 22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metodologii GFSM2001) </w:t>
      </w:r>
    </w:p>
    <w:p w14:paraId="6325D488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23- 24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Zadłużenie sektora instytucji rządowych i samorządowych (wg. ESA 2010)</w:t>
      </w:r>
    </w:p>
    <w:p w14:paraId="3D574B4F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25- 26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Państwowy Dług Publiczny</w:t>
      </w:r>
    </w:p>
    <w:p w14:paraId="58F0F0BC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27- 28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Zadłużenie Skarbu Państwa</w:t>
      </w:r>
    </w:p>
    <w:sectPr w:rsidR="00C61EE3">
      <w:pgSz w:w="11907" w:h="16839"/>
      <w:pgMar w:top="1701" w:right="992" w:bottom="1418" w:left="1134" w:header="709" w:footer="975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07DEC" w14:textId="77777777" w:rsidR="000C5EEE" w:rsidRDefault="000C5EEE">
      <w:pPr>
        <w:spacing w:after="0" w:line="240" w:lineRule="auto"/>
      </w:pPr>
      <w:r>
        <w:separator/>
      </w:r>
    </w:p>
  </w:endnote>
  <w:endnote w:type="continuationSeparator" w:id="0">
    <w:p w14:paraId="329DE657" w14:textId="77777777" w:rsidR="000C5EEE" w:rsidRDefault="000C5EEE">
      <w:pPr>
        <w:spacing w:after="0" w:line="240" w:lineRule="auto"/>
      </w:pPr>
      <w:r>
        <w:continuationSeparator/>
      </w:r>
    </w:p>
  </w:endnote>
  <w:endnote w:type="continuationNotice" w:id="1">
    <w:p w14:paraId="186F6064" w14:textId="77777777" w:rsidR="009D3E96" w:rsidRDefault="009D3E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0D1A1" w14:textId="77777777" w:rsidR="000C5EEE" w:rsidRDefault="000C5EEE">
    <w:pPr>
      <w:pStyle w:val="Stopka"/>
      <w:rPr>
        <w:color w:val="ADAFB2"/>
      </w:rPr>
    </w:pPr>
  </w:p>
  <w:p w14:paraId="43687CAA" w14:textId="77777777" w:rsidR="000C5EEE" w:rsidRDefault="000C5EEE">
    <w:pPr>
      <w:pStyle w:val="Stopka"/>
      <w:rPr>
        <w:color w:val="ADAFB2"/>
      </w:rPr>
    </w:pPr>
    <w:r>
      <w:rPr>
        <w:color w:val="ADAFB2"/>
      </w:rPr>
      <w:t xml:space="preserve">Informacja kwartalna 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751799">
      <w:rPr>
        <w:noProof/>
      </w:rPr>
      <w:t>8</w:t>
    </w:r>
    <w:r>
      <w:fldChar w:fldCharType="end"/>
    </w:r>
  </w:p>
  <w:p w14:paraId="1A835CE7" w14:textId="209A53EB" w:rsidR="000C5EEE" w:rsidRDefault="000C5EEE">
    <w:pPr>
      <w:pStyle w:val="Stopka"/>
      <w:rPr>
        <w:color w:val="ADAFB2"/>
      </w:rPr>
    </w:pPr>
    <w:r>
      <w:rPr>
        <w:color w:val="ADAFB2"/>
      </w:rPr>
      <w:t>Nr 4 / 2021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DA053" w14:textId="77777777" w:rsidR="000C5EEE" w:rsidRDefault="000C5EEE">
    <w:pPr>
      <w:pStyle w:val="Stopka"/>
      <w:rPr>
        <w:color w:val="ADAFB2"/>
      </w:rPr>
    </w:pPr>
  </w:p>
  <w:p w14:paraId="07CC6919" w14:textId="77777777" w:rsidR="000C5EEE" w:rsidRDefault="000C5EEE">
    <w:pPr>
      <w:pStyle w:val="Stopka"/>
      <w:rPr>
        <w:color w:val="ADAFB2"/>
      </w:rPr>
    </w:pPr>
    <w:r>
      <w:rPr>
        <w:color w:val="ADAFB2"/>
      </w:rPr>
      <w:t>Informacja kwartalna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751799">
      <w:rPr>
        <w:noProof/>
      </w:rPr>
      <w:t>3</w:t>
    </w:r>
    <w:r>
      <w:fldChar w:fldCharType="end"/>
    </w:r>
  </w:p>
  <w:p w14:paraId="47E8887F" w14:textId="10AEC5C9" w:rsidR="000C5EEE" w:rsidRDefault="000C5EEE">
    <w:pPr>
      <w:pStyle w:val="Stopka"/>
      <w:rPr>
        <w:color w:val="ADAFB2"/>
      </w:rPr>
    </w:pPr>
    <w:r>
      <w:rPr>
        <w:color w:val="ADAFB2"/>
      </w:rPr>
      <w:t>Nr 4 /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20410" w14:textId="77777777" w:rsidR="000C5EEE" w:rsidRDefault="000C5EEE">
      <w:pPr>
        <w:spacing w:after="0" w:line="240" w:lineRule="auto"/>
      </w:pPr>
      <w:r>
        <w:separator/>
      </w:r>
    </w:p>
  </w:footnote>
  <w:footnote w:type="continuationSeparator" w:id="0">
    <w:p w14:paraId="030C98D2" w14:textId="77777777" w:rsidR="000C5EEE" w:rsidRDefault="000C5EEE">
      <w:pPr>
        <w:spacing w:after="0" w:line="240" w:lineRule="auto"/>
      </w:pPr>
      <w:r>
        <w:continuationSeparator/>
      </w:r>
    </w:p>
  </w:footnote>
  <w:footnote w:type="continuationNotice" w:id="1">
    <w:p w14:paraId="7E058EE9" w14:textId="77777777" w:rsidR="009D3E96" w:rsidRDefault="009D3E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EACF0" w14:textId="77777777" w:rsidR="000C5EEE" w:rsidRDefault="000C5E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E4C059" wp14:editId="3AB3E5E8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3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167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CfCNMlvgEAAGM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2" behindDoc="1" locked="0" layoutInCell="1" allowOverlap="1" wp14:anchorId="2287CB60" wp14:editId="4E91F066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6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FC060AE" wp14:editId="2249D512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FCF8F" w14:textId="77777777" w:rsidR="000C5EEE" w:rsidRDefault="000C5EE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134A6763" w14:textId="77777777" w:rsidR="000C5EEE" w:rsidRDefault="000C5EE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22 694 36 30</w:t>
                          </w:r>
                        </w:p>
                        <w:p w14:paraId="286CEA8D" w14:textId="77777777" w:rsidR="000C5EEE" w:rsidRDefault="000C5EE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14:paraId="756EF5CA" w14:textId="77777777" w:rsidR="000C5EEE" w:rsidRDefault="000C5EEE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060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" filled="f" stroked="f">
              <v:textbox inset="0,0,0,0">
                <w:txbxContent>
                  <w:p w14:paraId="057FCF8F" w14:textId="77777777" w:rsidR="000C5EEE" w:rsidRDefault="000C5EE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134A6763" w14:textId="77777777" w:rsidR="000C5EEE" w:rsidRDefault="000C5EE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22 694 36 30</w:t>
                    </w:r>
                  </w:p>
                  <w:p w14:paraId="286CEA8D" w14:textId="77777777" w:rsidR="000C5EEE" w:rsidRDefault="000C5EE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14:paraId="756EF5CA" w14:textId="77777777" w:rsidR="000C5EEE" w:rsidRDefault="000C5EEE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FFB21" w14:textId="77777777" w:rsidR="000C5EEE" w:rsidRDefault="000C5E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6379"/>
    <w:multiLevelType w:val="hybridMultilevel"/>
    <w:tmpl w:val="DD5EF754"/>
    <w:lvl w:ilvl="0" w:tplc="F684E9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D4CACBA" w:tentative="1">
      <w:start w:val="1"/>
      <w:numFmt w:val="lowerLetter"/>
      <w:lvlText w:val="%2."/>
      <w:lvlJc w:val="left"/>
      <w:pPr>
        <w:ind w:left="2160" w:hanging="360"/>
      </w:pPr>
    </w:lvl>
    <w:lvl w:ilvl="2" w:tplc="F5B82D82" w:tentative="1">
      <w:start w:val="1"/>
      <w:numFmt w:val="lowerRoman"/>
      <w:lvlText w:val="%3."/>
      <w:lvlJc w:val="right"/>
      <w:pPr>
        <w:ind w:left="2880" w:hanging="180"/>
      </w:pPr>
    </w:lvl>
    <w:lvl w:ilvl="3" w:tplc="292C0652" w:tentative="1">
      <w:start w:val="1"/>
      <w:numFmt w:val="decimal"/>
      <w:lvlText w:val="%4."/>
      <w:lvlJc w:val="left"/>
      <w:pPr>
        <w:ind w:left="3600" w:hanging="360"/>
      </w:pPr>
    </w:lvl>
    <w:lvl w:ilvl="4" w:tplc="C1E8537C" w:tentative="1">
      <w:start w:val="1"/>
      <w:numFmt w:val="lowerLetter"/>
      <w:lvlText w:val="%5."/>
      <w:lvlJc w:val="left"/>
      <w:pPr>
        <w:ind w:left="4320" w:hanging="360"/>
      </w:pPr>
    </w:lvl>
    <w:lvl w:ilvl="5" w:tplc="2C841B40" w:tentative="1">
      <w:start w:val="1"/>
      <w:numFmt w:val="lowerRoman"/>
      <w:lvlText w:val="%6."/>
      <w:lvlJc w:val="right"/>
      <w:pPr>
        <w:ind w:left="5040" w:hanging="180"/>
      </w:pPr>
    </w:lvl>
    <w:lvl w:ilvl="6" w:tplc="DC0675B4" w:tentative="1">
      <w:start w:val="1"/>
      <w:numFmt w:val="decimal"/>
      <w:lvlText w:val="%7."/>
      <w:lvlJc w:val="left"/>
      <w:pPr>
        <w:ind w:left="5760" w:hanging="360"/>
      </w:pPr>
    </w:lvl>
    <w:lvl w:ilvl="7" w:tplc="F6A49A56" w:tentative="1">
      <w:start w:val="1"/>
      <w:numFmt w:val="lowerLetter"/>
      <w:lvlText w:val="%8."/>
      <w:lvlJc w:val="left"/>
      <w:pPr>
        <w:ind w:left="6480" w:hanging="360"/>
      </w:pPr>
    </w:lvl>
    <w:lvl w:ilvl="8" w:tplc="83E8E3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A40ABB"/>
    <w:multiLevelType w:val="hybridMultilevel"/>
    <w:tmpl w:val="B3E27444"/>
    <w:lvl w:ilvl="0" w:tplc="F8DE25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BCB9B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FE278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94E0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6ACF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CCFE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9261D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8ED0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EC617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9095A"/>
    <w:multiLevelType w:val="hybridMultilevel"/>
    <w:tmpl w:val="E0EC790A"/>
    <w:lvl w:ilvl="0" w:tplc="DC0EB0D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2185E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7525C3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65A6F36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ADE77F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F74D04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4FACDF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45AC1D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664CD7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0F2169"/>
    <w:multiLevelType w:val="hybridMultilevel"/>
    <w:tmpl w:val="CC1E2930"/>
    <w:lvl w:ilvl="0" w:tplc="91C486F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2DE9C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E8D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A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0E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AA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6B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E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551110"/>
    <w:multiLevelType w:val="hybridMultilevel"/>
    <w:tmpl w:val="93385A44"/>
    <w:lvl w:ilvl="0" w:tplc="51F6A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0AF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E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AE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296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CA8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E0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84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C0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C40F0"/>
    <w:multiLevelType w:val="hybridMultilevel"/>
    <w:tmpl w:val="E9AE3F76"/>
    <w:lvl w:ilvl="0" w:tplc="050606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5EC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A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D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C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EC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9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0A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CF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A1CA9"/>
    <w:multiLevelType w:val="hybridMultilevel"/>
    <w:tmpl w:val="5A46961E"/>
    <w:lvl w:ilvl="0" w:tplc="9D0AEFA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F645D6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9EE0D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9D32F3CA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51CF01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758E3C1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21E425A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6A2C35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41E53E4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B354AA"/>
    <w:multiLevelType w:val="hybridMultilevel"/>
    <w:tmpl w:val="877C07C2"/>
    <w:lvl w:ilvl="0" w:tplc="F6A82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23C16" w:tentative="1">
      <w:start w:val="1"/>
      <w:numFmt w:val="lowerLetter"/>
      <w:lvlText w:val="%2."/>
      <w:lvlJc w:val="left"/>
      <w:pPr>
        <w:ind w:left="1440" w:hanging="360"/>
      </w:pPr>
    </w:lvl>
    <w:lvl w:ilvl="2" w:tplc="6B5C0F28" w:tentative="1">
      <w:start w:val="1"/>
      <w:numFmt w:val="lowerRoman"/>
      <w:lvlText w:val="%3."/>
      <w:lvlJc w:val="right"/>
      <w:pPr>
        <w:ind w:left="2160" w:hanging="180"/>
      </w:pPr>
    </w:lvl>
    <w:lvl w:ilvl="3" w:tplc="C9685004" w:tentative="1">
      <w:start w:val="1"/>
      <w:numFmt w:val="decimal"/>
      <w:lvlText w:val="%4."/>
      <w:lvlJc w:val="left"/>
      <w:pPr>
        <w:ind w:left="2880" w:hanging="360"/>
      </w:pPr>
    </w:lvl>
    <w:lvl w:ilvl="4" w:tplc="07D842D6" w:tentative="1">
      <w:start w:val="1"/>
      <w:numFmt w:val="lowerLetter"/>
      <w:lvlText w:val="%5."/>
      <w:lvlJc w:val="left"/>
      <w:pPr>
        <w:ind w:left="3600" w:hanging="360"/>
      </w:pPr>
    </w:lvl>
    <w:lvl w:ilvl="5" w:tplc="83F23FA8" w:tentative="1">
      <w:start w:val="1"/>
      <w:numFmt w:val="lowerRoman"/>
      <w:lvlText w:val="%6."/>
      <w:lvlJc w:val="right"/>
      <w:pPr>
        <w:ind w:left="4320" w:hanging="180"/>
      </w:pPr>
    </w:lvl>
    <w:lvl w:ilvl="6" w:tplc="7952A650" w:tentative="1">
      <w:start w:val="1"/>
      <w:numFmt w:val="decimal"/>
      <w:lvlText w:val="%7."/>
      <w:lvlJc w:val="left"/>
      <w:pPr>
        <w:ind w:left="5040" w:hanging="360"/>
      </w:pPr>
    </w:lvl>
    <w:lvl w:ilvl="7" w:tplc="E354D414" w:tentative="1">
      <w:start w:val="1"/>
      <w:numFmt w:val="lowerLetter"/>
      <w:lvlText w:val="%8."/>
      <w:lvlJc w:val="left"/>
      <w:pPr>
        <w:ind w:left="5760" w:hanging="360"/>
      </w:pPr>
    </w:lvl>
    <w:lvl w:ilvl="8" w:tplc="AB0C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5DDC"/>
    <w:multiLevelType w:val="multilevel"/>
    <w:tmpl w:val="2B3619E0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69C85E70"/>
    <w:multiLevelType w:val="hybridMultilevel"/>
    <w:tmpl w:val="778E2014"/>
    <w:lvl w:ilvl="0" w:tplc="11BE06E8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7BA3F36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6D8CF7FE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85EA06BA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C6E9E76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C4D24E16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3564CD14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F2427A2A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ADE19A6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765E3D1E"/>
    <w:multiLevelType w:val="hybridMultilevel"/>
    <w:tmpl w:val="F5C89ADA"/>
    <w:lvl w:ilvl="0" w:tplc="0AE679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8B678B8" w:tentative="1">
      <w:start w:val="1"/>
      <w:numFmt w:val="lowerLetter"/>
      <w:lvlText w:val="%2."/>
      <w:lvlJc w:val="left"/>
      <w:pPr>
        <w:ind w:left="2160" w:hanging="360"/>
      </w:pPr>
    </w:lvl>
    <w:lvl w:ilvl="2" w:tplc="CE949290" w:tentative="1">
      <w:start w:val="1"/>
      <w:numFmt w:val="lowerRoman"/>
      <w:lvlText w:val="%3."/>
      <w:lvlJc w:val="right"/>
      <w:pPr>
        <w:ind w:left="2880" w:hanging="180"/>
      </w:pPr>
    </w:lvl>
    <w:lvl w:ilvl="3" w:tplc="326A612C" w:tentative="1">
      <w:start w:val="1"/>
      <w:numFmt w:val="decimal"/>
      <w:lvlText w:val="%4."/>
      <w:lvlJc w:val="left"/>
      <w:pPr>
        <w:ind w:left="3600" w:hanging="360"/>
      </w:pPr>
    </w:lvl>
    <w:lvl w:ilvl="4" w:tplc="57C6B05A" w:tentative="1">
      <w:start w:val="1"/>
      <w:numFmt w:val="lowerLetter"/>
      <w:lvlText w:val="%5."/>
      <w:lvlJc w:val="left"/>
      <w:pPr>
        <w:ind w:left="4320" w:hanging="360"/>
      </w:pPr>
    </w:lvl>
    <w:lvl w:ilvl="5" w:tplc="F648C1B8" w:tentative="1">
      <w:start w:val="1"/>
      <w:numFmt w:val="lowerRoman"/>
      <w:lvlText w:val="%6."/>
      <w:lvlJc w:val="right"/>
      <w:pPr>
        <w:ind w:left="5040" w:hanging="180"/>
      </w:pPr>
    </w:lvl>
    <w:lvl w:ilvl="6" w:tplc="3D5C454C" w:tentative="1">
      <w:start w:val="1"/>
      <w:numFmt w:val="decimal"/>
      <w:lvlText w:val="%7."/>
      <w:lvlJc w:val="left"/>
      <w:pPr>
        <w:ind w:left="5760" w:hanging="360"/>
      </w:pPr>
    </w:lvl>
    <w:lvl w:ilvl="7" w:tplc="C206FF94" w:tentative="1">
      <w:start w:val="1"/>
      <w:numFmt w:val="lowerLetter"/>
      <w:lvlText w:val="%8."/>
      <w:lvlJc w:val="left"/>
      <w:pPr>
        <w:ind w:left="6480" w:hanging="360"/>
      </w:pPr>
    </w:lvl>
    <w:lvl w:ilvl="8" w:tplc="5D1A114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0"/>
  </w:num>
  <w:num w:numId="8">
    <w:abstractNumId w:val="13"/>
  </w:num>
  <w:num w:numId="9">
    <w:abstractNumId w:val="8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1"/>
    <w:rsid w:val="00000507"/>
    <w:rsid w:val="00000BC6"/>
    <w:rsid w:val="000025B8"/>
    <w:rsid w:val="000034E3"/>
    <w:rsid w:val="0000421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27B0D"/>
    <w:rsid w:val="00030A43"/>
    <w:rsid w:val="0003235C"/>
    <w:rsid w:val="000404D4"/>
    <w:rsid w:val="000406B8"/>
    <w:rsid w:val="00041977"/>
    <w:rsid w:val="00042F8F"/>
    <w:rsid w:val="0004308B"/>
    <w:rsid w:val="00044E4A"/>
    <w:rsid w:val="0004545E"/>
    <w:rsid w:val="00045CA7"/>
    <w:rsid w:val="00045DC9"/>
    <w:rsid w:val="00050E88"/>
    <w:rsid w:val="00051473"/>
    <w:rsid w:val="00051F46"/>
    <w:rsid w:val="00052018"/>
    <w:rsid w:val="00054C08"/>
    <w:rsid w:val="00054DD0"/>
    <w:rsid w:val="00057BAA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76385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3EAC"/>
    <w:rsid w:val="000B4812"/>
    <w:rsid w:val="000B534A"/>
    <w:rsid w:val="000B570F"/>
    <w:rsid w:val="000C081C"/>
    <w:rsid w:val="000C08CF"/>
    <w:rsid w:val="000C1CCE"/>
    <w:rsid w:val="000C4EF4"/>
    <w:rsid w:val="000C5EEE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A91"/>
    <w:rsid w:val="000D6B6F"/>
    <w:rsid w:val="000E0F93"/>
    <w:rsid w:val="000E16EF"/>
    <w:rsid w:val="000E2D52"/>
    <w:rsid w:val="000E4111"/>
    <w:rsid w:val="000E691C"/>
    <w:rsid w:val="000E6C86"/>
    <w:rsid w:val="000F07EE"/>
    <w:rsid w:val="000F1059"/>
    <w:rsid w:val="000F1858"/>
    <w:rsid w:val="000F194D"/>
    <w:rsid w:val="000F1AC9"/>
    <w:rsid w:val="000F1B21"/>
    <w:rsid w:val="000F2977"/>
    <w:rsid w:val="000F7C0A"/>
    <w:rsid w:val="00100151"/>
    <w:rsid w:val="001003EA"/>
    <w:rsid w:val="00100B5D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66C"/>
    <w:rsid w:val="00130D8A"/>
    <w:rsid w:val="00130EB1"/>
    <w:rsid w:val="00131D09"/>
    <w:rsid w:val="0013243B"/>
    <w:rsid w:val="00132CD4"/>
    <w:rsid w:val="00133084"/>
    <w:rsid w:val="00133097"/>
    <w:rsid w:val="00135D04"/>
    <w:rsid w:val="00136E7A"/>
    <w:rsid w:val="001379B8"/>
    <w:rsid w:val="00140651"/>
    <w:rsid w:val="00140996"/>
    <w:rsid w:val="0014184F"/>
    <w:rsid w:val="00142BDE"/>
    <w:rsid w:val="00143CBD"/>
    <w:rsid w:val="00144B16"/>
    <w:rsid w:val="00147391"/>
    <w:rsid w:val="00147DCE"/>
    <w:rsid w:val="0015152D"/>
    <w:rsid w:val="0015295C"/>
    <w:rsid w:val="0015452B"/>
    <w:rsid w:val="00155BEC"/>
    <w:rsid w:val="00157279"/>
    <w:rsid w:val="001601FC"/>
    <w:rsid w:val="00161044"/>
    <w:rsid w:val="00161969"/>
    <w:rsid w:val="00162265"/>
    <w:rsid w:val="00162356"/>
    <w:rsid w:val="00162480"/>
    <w:rsid w:val="001642FC"/>
    <w:rsid w:val="0016502F"/>
    <w:rsid w:val="00165075"/>
    <w:rsid w:val="001676EF"/>
    <w:rsid w:val="00176E8C"/>
    <w:rsid w:val="00184FD0"/>
    <w:rsid w:val="001865F1"/>
    <w:rsid w:val="0018746D"/>
    <w:rsid w:val="001900F6"/>
    <w:rsid w:val="00190B87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255B"/>
    <w:rsid w:val="001A38F9"/>
    <w:rsid w:val="001A4160"/>
    <w:rsid w:val="001A41AF"/>
    <w:rsid w:val="001A422F"/>
    <w:rsid w:val="001A4D91"/>
    <w:rsid w:val="001A4F79"/>
    <w:rsid w:val="001A55F7"/>
    <w:rsid w:val="001B1928"/>
    <w:rsid w:val="001B227C"/>
    <w:rsid w:val="001B2886"/>
    <w:rsid w:val="001B31A2"/>
    <w:rsid w:val="001B3346"/>
    <w:rsid w:val="001B37FA"/>
    <w:rsid w:val="001B5157"/>
    <w:rsid w:val="001B6E19"/>
    <w:rsid w:val="001C0E44"/>
    <w:rsid w:val="001C13AB"/>
    <w:rsid w:val="001C2702"/>
    <w:rsid w:val="001C3478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37FD"/>
    <w:rsid w:val="001D4DA9"/>
    <w:rsid w:val="001D71D6"/>
    <w:rsid w:val="001E29EE"/>
    <w:rsid w:val="001E2E27"/>
    <w:rsid w:val="001E45F8"/>
    <w:rsid w:val="001E5740"/>
    <w:rsid w:val="001E6DAF"/>
    <w:rsid w:val="001E72B9"/>
    <w:rsid w:val="001E7F9F"/>
    <w:rsid w:val="001F07B4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058"/>
    <w:rsid w:val="00216C9E"/>
    <w:rsid w:val="002170A8"/>
    <w:rsid w:val="00217D67"/>
    <w:rsid w:val="00217DDE"/>
    <w:rsid w:val="002209A3"/>
    <w:rsid w:val="00222F1F"/>
    <w:rsid w:val="00224510"/>
    <w:rsid w:val="00224B34"/>
    <w:rsid w:val="00224FBD"/>
    <w:rsid w:val="0022526B"/>
    <w:rsid w:val="00225E4E"/>
    <w:rsid w:val="00227E8B"/>
    <w:rsid w:val="00230793"/>
    <w:rsid w:val="00231000"/>
    <w:rsid w:val="002312B6"/>
    <w:rsid w:val="00232120"/>
    <w:rsid w:val="00235554"/>
    <w:rsid w:val="00236D89"/>
    <w:rsid w:val="00241B7D"/>
    <w:rsid w:val="00241D40"/>
    <w:rsid w:val="00241E37"/>
    <w:rsid w:val="00242355"/>
    <w:rsid w:val="0024278D"/>
    <w:rsid w:val="00242C04"/>
    <w:rsid w:val="002444E6"/>
    <w:rsid w:val="00244B6B"/>
    <w:rsid w:val="0024526D"/>
    <w:rsid w:val="002460E7"/>
    <w:rsid w:val="00246ADD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3AA3"/>
    <w:rsid w:val="00266236"/>
    <w:rsid w:val="00266998"/>
    <w:rsid w:val="00270342"/>
    <w:rsid w:val="00270388"/>
    <w:rsid w:val="00272CC6"/>
    <w:rsid w:val="002747EF"/>
    <w:rsid w:val="00275418"/>
    <w:rsid w:val="00276689"/>
    <w:rsid w:val="00276799"/>
    <w:rsid w:val="00280EF7"/>
    <w:rsid w:val="00281853"/>
    <w:rsid w:val="0028194A"/>
    <w:rsid w:val="002826C7"/>
    <w:rsid w:val="002863AE"/>
    <w:rsid w:val="002874B7"/>
    <w:rsid w:val="002903F3"/>
    <w:rsid w:val="002910FD"/>
    <w:rsid w:val="00292DA1"/>
    <w:rsid w:val="00293690"/>
    <w:rsid w:val="00294612"/>
    <w:rsid w:val="002A17A6"/>
    <w:rsid w:val="002A1BD0"/>
    <w:rsid w:val="002A1FE9"/>
    <w:rsid w:val="002A20F0"/>
    <w:rsid w:val="002A414D"/>
    <w:rsid w:val="002A4951"/>
    <w:rsid w:val="002A5133"/>
    <w:rsid w:val="002A5765"/>
    <w:rsid w:val="002B0128"/>
    <w:rsid w:val="002B447C"/>
    <w:rsid w:val="002B4E81"/>
    <w:rsid w:val="002C1E7F"/>
    <w:rsid w:val="002C5142"/>
    <w:rsid w:val="002D0B26"/>
    <w:rsid w:val="002D2C1E"/>
    <w:rsid w:val="002D3ED6"/>
    <w:rsid w:val="002D42B8"/>
    <w:rsid w:val="002D5475"/>
    <w:rsid w:val="002D5495"/>
    <w:rsid w:val="002D591E"/>
    <w:rsid w:val="002D6C49"/>
    <w:rsid w:val="002E066A"/>
    <w:rsid w:val="002E22EC"/>
    <w:rsid w:val="002E28B5"/>
    <w:rsid w:val="002E2F22"/>
    <w:rsid w:val="002E3D92"/>
    <w:rsid w:val="002E4402"/>
    <w:rsid w:val="002E5227"/>
    <w:rsid w:val="002E559D"/>
    <w:rsid w:val="002F0668"/>
    <w:rsid w:val="002F06D1"/>
    <w:rsid w:val="002F2D38"/>
    <w:rsid w:val="002F5252"/>
    <w:rsid w:val="002F6658"/>
    <w:rsid w:val="002F699C"/>
    <w:rsid w:val="002F7C5D"/>
    <w:rsid w:val="00300147"/>
    <w:rsid w:val="0030155A"/>
    <w:rsid w:val="00304AEF"/>
    <w:rsid w:val="00305BC7"/>
    <w:rsid w:val="00306D0A"/>
    <w:rsid w:val="00306F00"/>
    <w:rsid w:val="003101BB"/>
    <w:rsid w:val="0031062E"/>
    <w:rsid w:val="00310ED7"/>
    <w:rsid w:val="00311967"/>
    <w:rsid w:val="00311BD1"/>
    <w:rsid w:val="00313D06"/>
    <w:rsid w:val="00314CB3"/>
    <w:rsid w:val="00314F49"/>
    <w:rsid w:val="003154A4"/>
    <w:rsid w:val="00317766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6C0B"/>
    <w:rsid w:val="003278BA"/>
    <w:rsid w:val="00327D95"/>
    <w:rsid w:val="0033126C"/>
    <w:rsid w:val="003344E6"/>
    <w:rsid w:val="00334B4F"/>
    <w:rsid w:val="00335D57"/>
    <w:rsid w:val="00336117"/>
    <w:rsid w:val="00345BEA"/>
    <w:rsid w:val="00346FCD"/>
    <w:rsid w:val="003474DF"/>
    <w:rsid w:val="003476B9"/>
    <w:rsid w:val="00350D21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2D5B"/>
    <w:rsid w:val="0039302F"/>
    <w:rsid w:val="00393A9E"/>
    <w:rsid w:val="0039404A"/>
    <w:rsid w:val="00394083"/>
    <w:rsid w:val="00394091"/>
    <w:rsid w:val="00396DDA"/>
    <w:rsid w:val="003A416F"/>
    <w:rsid w:val="003A4E3C"/>
    <w:rsid w:val="003A5078"/>
    <w:rsid w:val="003A5602"/>
    <w:rsid w:val="003A6FCB"/>
    <w:rsid w:val="003B049F"/>
    <w:rsid w:val="003B07BD"/>
    <w:rsid w:val="003B09B7"/>
    <w:rsid w:val="003B0D6A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C5485"/>
    <w:rsid w:val="003D5AAE"/>
    <w:rsid w:val="003D73E7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024"/>
    <w:rsid w:val="003F0628"/>
    <w:rsid w:val="003F2A06"/>
    <w:rsid w:val="003F5300"/>
    <w:rsid w:val="003F653D"/>
    <w:rsid w:val="003F67E7"/>
    <w:rsid w:val="003F6C6C"/>
    <w:rsid w:val="003F70BA"/>
    <w:rsid w:val="003F725B"/>
    <w:rsid w:val="003F7B72"/>
    <w:rsid w:val="004014E6"/>
    <w:rsid w:val="00402A9D"/>
    <w:rsid w:val="00404343"/>
    <w:rsid w:val="00404509"/>
    <w:rsid w:val="004047C7"/>
    <w:rsid w:val="004102FE"/>
    <w:rsid w:val="00410A00"/>
    <w:rsid w:val="00410E10"/>
    <w:rsid w:val="004123BE"/>
    <w:rsid w:val="004133A0"/>
    <w:rsid w:val="004140D1"/>
    <w:rsid w:val="004148BD"/>
    <w:rsid w:val="00415A43"/>
    <w:rsid w:val="00416147"/>
    <w:rsid w:val="00416174"/>
    <w:rsid w:val="00417276"/>
    <w:rsid w:val="00421EA8"/>
    <w:rsid w:val="00424B41"/>
    <w:rsid w:val="00424BBE"/>
    <w:rsid w:val="00424C36"/>
    <w:rsid w:val="00424EBB"/>
    <w:rsid w:val="00425373"/>
    <w:rsid w:val="00425741"/>
    <w:rsid w:val="00425D5D"/>
    <w:rsid w:val="004270E2"/>
    <w:rsid w:val="0042725C"/>
    <w:rsid w:val="00427386"/>
    <w:rsid w:val="004300E2"/>
    <w:rsid w:val="00432960"/>
    <w:rsid w:val="00432B4F"/>
    <w:rsid w:val="00433755"/>
    <w:rsid w:val="0043411D"/>
    <w:rsid w:val="0043694A"/>
    <w:rsid w:val="0043791B"/>
    <w:rsid w:val="00437D9D"/>
    <w:rsid w:val="00440B31"/>
    <w:rsid w:val="00440FE9"/>
    <w:rsid w:val="0044114E"/>
    <w:rsid w:val="00442FB0"/>
    <w:rsid w:val="00443694"/>
    <w:rsid w:val="004440B1"/>
    <w:rsid w:val="00444EA8"/>
    <w:rsid w:val="0044556D"/>
    <w:rsid w:val="00445E65"/>
    <w:rsid w:val="00447068"/>
    <w:rsid w:val="0045022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3B5E"/>
    <w:rsid w:val="004B5AE8"/>
    <w:rsid w:val="004B6E66"/>
    <w:rsid w:val="004C002F"/>
    <w:rsid w:val="004C0C17"/>
    <w:rsid w:val="004C28BC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178F"/>
    <w:rsid w:val="004E21DA"/>
    <w:rsid w:val="004E295E"/>
    <w:rsid w:val="004E489A"/>
    <w:rsid w:val="004E5617"/>
    <w:rsid w:val="004E6583"/>
    <w:rsid w:val="004E691F"/>
    <w:rsid w:val="004E73FD"/>
    <w:rsid w:val="004F0702"/>
    <w:rsid w:val="004F083F"/>
    <w:rsid w:val="004F0998"/>
    <w:rsid w:val="004F2624"/>
    <w:rsid w:val="004F2B88"/>
    <w:rsid w:val="004F39F6"/>
    <w:rsid w:val="004F479F"/>
    <w:rsid w:val="004F731B"/>
    <w:rsid w:val="0050039A"/>
    <w:rsid w:val="005004B1"/>
    <w:rsid w:val="005004E9"/>
    <w:rsid w:val="00500B30"/>
    <w:rsid w:val="00500EB3"/>
    <w:rsid w:val="00500EF4"/>
    <w:rsid w:val="005010AD"/>
    <w:rsid w:val="0050312A"/>
    <w:rsid w:val="00503CFD"/>
    <w:rsid w:val="00506046"/>
    <w:rsid w:val="0050706F"/>
    <w:rsid w:val="0050739B"/>
    <w:rsid w:val="00507ADE"/>
    <w:rsid w:val="00507B62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7CE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0F03"/>
    <w:rsid w:val="005524C0"/>
    <w:rsid w:val="00552E5D"/>
    <w:rsid w:val="00553638"/>
    <w:rsid w:val="00557D81"/>
    <w:rsid w:val="00560286"/>
    <w:rsid w:val="0056060C"/>
    <w:rsid w:val="00560EBA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E0D"/>
    <w:rsid w:val="005C3F4C"/>
    <w:rsid w:val="005C5661"/>
    <w:rsid w:val="005C5E3A"/>
    <w:rsid w:val="005C68EB"/>
    <w:rsid w:val="005C6992"/>
    <w:rsid w:val="005C6B6D"/>
    <w:rsid w:val="005C7E6E"/>
    <w:rsid w:val="005D1A4A"/>
    <w:rsid w:val="005D5990"/>
    <w:rsid w:val="005D673D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5F7E83"/>
    <w:rsid w:val="006005ED"/>
    <w:rsid w:val="006011F8"/>
    <w:rsid w:val="006069CE"/>
    <w:rsid w:val="00607060"/>
    <w:rsid w:val="00607B5E"/>
    <w:rsid w:val="00610049"/>
    <w:rsid w:val="00610ECB"/>
    <w:rsid w:val="00612DF6"/>
    <w:rsid w:val="00614E93"/>
    <w:rsid w:val="0061552C"/>
    <w:rsid w:val="00620756"/>
    <w:rsid w:val="0062300C"/>
    <w:rsid w:val="0062692F"/>
    <w:rsid w:val="00626CD8"/>
    <w:rsid w:val="0062777B"/>
    <w:rsid w:val="00631761"/>
    <w:rsid w:val="00631CD6"/>
    <w:rsid w:val="00631D74"/>
    <w:rsid w:val="00633D6F"/>
    <w:rsid w:val="006361DB"/>
    <w:rsid w:val="00641436"/>
    <w:rsid w:val="00641571"/>
    <w:rsid w:val="00643AF9"/>
    <w:rsid w:val="00644A61"/>
    <w:rsid w:val="006464BC"/>
    <w:rsid w:val="00646BFA"/>
    <w:rsid w:val="00651167"/>
    <w:rsid w:val="00651D03"/>
    <w:rsid w:val="0065293D"/>
    <w:rsid w:val="00653269"/>
    <w:rsid w:val="00654326"/>
    <w:rsid w:val="006544F1"/>
    <w:rsid w:val="0065494E"/>
    <w:rsid w:val="00654E61"/>
    <w:rsid w:val="00656A63"/>
    <w:rsid w:val="00657619"/>
    <w:rsid w:val="006611F2"/>
    <w:rsid w:val="00662E32"/>
    <w:rsid w:val="00663859"/>
    <w:rsid w:val="006642F6"/>
    <w:rsid w:val="006652AF"/>
    <w:rsid w:val="006652E2"/>
    <w:rsid w:val="00665B00"/>
    <w:rsid w:val="006670F5"/>
    <w:rsid w:val="006678BB"/>
    <w:rsid w:val="006723E1"/>
    <w:rsid w:val="00673265"/>
    <w:rsid w:val="0067387A"/>
    <w:rsid w:val="006759B5"/>
    <w:rsid w:val="00675FFE"/>
    <w:rsid w:val="00677B76"/>
    <w:rsid w:val="00680242"/>
    <w:rsid w:val="00682D29"/>
    <w:rsid w:val="00683539"/>
    <w:rsid w:val="0068356D"/>
    <w:rsid w:val="00683E79"/>
    <w:rsid w:val="00685736"/>
    <w:rsid w:val="00686575"/>
    <w:rsid w:val="00690405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5B7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912"/>
    <w:rsid w:val="006D7D89"/>
    <w:rsid w:val="006D7FF1"/>
    <w:rsid w:val="006E2E0C"/>
    <w:rsid w:val="006E543B"/>
    <w:rsid w:val="006E5A35"/>
    <w:rsid w:val="006E6B0B"/>
    <w:rsid w:val="006F06DD"/>
    <w:rsid w:val="006F20EE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056BA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1917"/>
    <w:rsid w:val="00722913"/>
    <w:rsid w:val="0072464B"/>
    <w:rsid w:val="0072542A"/>
    <w:rsid w:val="007260DD"/>
    <w:rsid w:val="00726233"/>
    <w:rsid w:val="007262FB"/>
    <w:rsid w:val="00726EA5"/>
    <w:rsid w:val="00730D3C"/>
    <w:rsid w:val="00732846"/>
    <w:rsid w:val="007332A3"/>
    <w:rsid w:val="00734133"/>
    <w:rsid w:val="00734EC9"/>
    <w:rsid w:val="00736726"/>
    <w:rsid w:val="00737ED4"/>
    <w:rsid w:val="00740A4E"/>
    <w:rsid w:val="00740BD1"/>
    <w:rsid w:val="007451A1"/>
    <w:rsid w:val="0074640B"/>
    <w:rsid w:val="00747E6D"/>
    <w:rsid w:val="00750FC7"/>
    <w:rsid w:val="0075115D"/>
    <w:rsid w:val="00751799"/>
    <w:rsid w:val="0075285E"/>
    <w:rsid w:val="00753A40"/>
    <w:rsid w:val="007541BF"/>
    <w:rsid w:val="00754C8F"/>
    <w:rsid w:val="00755FDE"/>
    <w:rsid w:val="007560A0"/>
    <w:rsid w:val="00756139"/>
    <w:rsid w:val="00757169"/>
    <w:rsid w:val="007611F3"/>
    <w:rsid w:val="007629A8"/>
    <w:rsid w:val="00764406"/>
    <w:rsid w:val="00764CCF"/>
    <w:rsid w:val="00764F60"/>
    <w:rsid w:val="007663DE"/>
    <w:rsid w:val="00766571"/>
    <w:rsid w:val="00767277"/>
    <w:rsid w:val="007705EA"/>
    <w:rsid w:val="00771493"/>
    <w:rsid w:val="00771D7B"/>
    <w:rsid w:val="007732CA"/>
    <w:rsid w:val="007732CE"/>
    <w:rsid w:val="00775296"/>
    <w:rsid w:val="00775A72"/>
    <w:rsid w:val="007767BA"/>
    <w:rsid w:val="00776A04"/>
    <w:rsid w:val="00780DBC"/>
    <w:rsid w:val="00781699"/>
    <w:rsid w:val="007820FA"/>
    <w:rsid w:val="00782359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11A8"/>
    <w:rsid w:val="007941D0"/>
    <w:rsid w:val="00794873"/>
    <w:rsid w:val="007959AC"/>
    <w:rsid w:val="00796336"/>
    <w:rsid w:val="0079656D"/>
    <w:rsid w:val="0079724D"/>
    <w:rsid w:val="007A1D9D"/>
    <w:rsid w:val="007A2F53"/>
    <w:rsid w:val="007A50E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1A15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1E04"/>
    <w:rsid w:val="008047C8"/>
    <w:rsid w:val="00804B52"/>
    <w:rsid w:val="00804DD1"/>
    <w:rsid w:val="00805778"/>
    <w:rsid w:val="008067D3"/>
    <w:rsid w:val="00807122"/>
    <w:rsid w:val="008079E8"/>
    <w:rsid w:val="008101FD"/>
    <w:rsid w:val="00810AB0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3A16"/>
    <w:rsid w:val="00844B6E"/>
    <w:rsid w:val="008458A2"/>
    <w:rsid w:val="00845F88"/>
    <w:rsid w:val="00850195"/>
    <w:rsid w:val="0085121C"/>
    <w:rsid w:val="0085259E"/>
    <w:rsid w:val="008534B5"/>
    <w:rsid w:val="00853AF1"/>
    <w:rsid w:val="008549D1"/>
    <w:rsid w:val="00854F51"/>
    <w:rsid w:val="00854FE4"/>
    <w:rsid w:val="00855988"/>
    <w:rsid w:val="00855B0A"/>
    <w:rsid w:val="00855BA9"/>
    <w:rsid w:val="00855D53"/>
    <w:rsid w:val="00855F2C"/>
    <w:rsid w:val="0085795C"/>
    <w:rsid w:val="00860700"/>
    <w:rsid w:val="008617C4"/>
    <w:rsid w:val="00862AC4"/>
    <w:rsid w:val="00863181"/>
    <w:rsid w:val="00863193"/>
    <w:rsid w:val="0086438F"/>
    <w:rsid w:val="008652A0"/>
    <w:rsid w:val="00865EB2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6F21"/>
    <w:rsid w:val="00887427"/>
    <w:rsid w:val="00887A20"/>
    <w:rsid w:val="00890205"/>
    <w:rsid w:val="0089065F"/>
    <w:rsid w:val="008911F5"/>
    <w:rsid w:val="008915CA"/>
    <w:rsid w:val="00892A6C"/>
    <w:rsid w:val="00892ABA"/>
    <w:rsid w:val="0089478B"/>
    <w:rsid w:val="00896223"/>
    <w:rsid w:val="00896847"/>
    <w:rsid w:val="008A0C1C"/>
    <w:rsid w:val="008A0FB4"/>
    <w:rsid w:val="008A1B00"/>
    <w:rsid w:val="008A29E8"/>
    <w:rsid w:val="008A4EBA"/>
    <w:rsid w:val="008A58E9"/>
    <w:rsid w:val="008A696A"/>
    <w:rsid w:val="008B2226"/>
    <w:rsid w:val="008B32C9"/>
    <w:rsid w:val="008B3B46"/>
    <w:rsid w:val="008B591C"/>
    <w:rsid w:val="008B6A98"/>
    <w:rsid w:val="008B6DA0"/>
    <w:rsid w:val="008C05BF"/>
    <w:rsid w:val="008C1902"/>
    <w:rsid w:val="008C4018"/>
    <w:rsid w:val="008C5034"/>
    <w:rsid w:val="008C59F4"/>
    <w:rsid w:val="008C63BB"/>
    <w:rsid w:val="008C66B7"/>
    <w:rsid w:val="008C68B0"/>
    <w:rsid w:val="008C6D2E"/>
    <w:rsid w:val="008D3305"/>
    <w:rsid w:val="008D3C3A"/>
    <w:rsid w:val="008D4E78"/>
    <w:rsid w:val="008D766C"/>
    <w:rsid w:val="008E0B97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078CD"/>
    <w:rsid w:val="00911000"/>
    <w:rsid w:val="00912D67"/>
    <w:rsid w:val="009133B7"/>
    <w:rsid w:val="009166CE"/>
    <w:rsid w:val="00916915"/>
    <w:rsid w:val="00921E5F"/>
    <w:rsid w:val="00925C6C"/>
    <w:rsid w:val="00930A3C"/>
    <w:rsid w:val="00932B10"/>
    <w:rsid w:val="00937FFB"/>
    <w:rsid w:val="009436BE"/>
    <w:rsid w:val="00943D16"/>
    <w:rsid w:val="00944C34"/>
    <w:rsid w:val="00945BEE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CB2"/>
    <w:rsid w:val="00973D15"/>
    <w:rsid w:val="00974A86"/>
    <w:rsid w:val="00975613"/>
    <w:rsid w:val="00977680"/>
    <w:rsid w:val="00980A25"/>
    <w:rsid w:val="00981401"/>
    <w:rsid w:val="009846E2"/>
    <w:rsid w:val="00985984"/>
    <w:rsid w:val="00991E4A"/>
    <w:rsid w:val="009921A2"/>
    <w:rsid w:val="00992378"/>
    <w:rsid w:val="00993436"/>
    <w:rsid w:val="00993608"/>
    <w:rsid w:val="00994606"/>
    <w:rsid w:val="00994D79"/>
    <w:rsid w:val="009963D1"/>
    <w:rsid w:val="009969E2"/>
    <w:rsid w:val="00996FFA"/>
    <w:rsid w:val="0099783D"/>
    <w:rsid w:val="009A0522"/>
    <w:rsid w:val="009A2407"/>
    <w:rsid w:val="009A4B72"/>
    <w:rsid w:val="009A53CF"/>
    <w:rsid w:val="009A5F05"/>
    <w:rsid w:val="009A6A74"/>
    <w:rsid w:val="009B0357"/>
    <w:rsid w:val="009B1ACF"/>
    <w:rsid w:val="009B273E"/>
    <w:rsid w:val="009B354F"/>
    <w:rsid w:val="009B5309"/>
    <w:rsid w:val="009C1604"/>
    <w:rsid w:val="009C3AFB"/>
    <w:rsid w:val="009C5D91"/>
    <w:rsid w:val="009C7706"/>
    <w:rsid w:val="009C7A74"/>
    <w:rsid w:val="009D0144"/>
    <w:rsid w:val="009D070C"/>
    <w:rsid w:val="009D076A"/>
    <w:rsid w:val="009D0BFE"/>
    <w:rsid w:val="009D13AE"/>
    <w:rsid w:val="009D1E5A"/>
    <w:rsid w:val="009D1EEB"/>
    <w:rsid w:val="009D282C"/>
    <w:rsid w:val="009D2F37"/>
    <w:rsid w:val="009D2F65"/>
    <w:rsid w:val="009D3974"/>
    <w:rsid w:val="009D3D43"/>
    <w:rsid w:val="009D3E96"/>
    <w:rsid w:val="009D4908"/>
    <w:rsid w:val="009D4A35"/>
    <w:rsid w:val="009D4E91"/>
    <w:rsid w:val="009D57DB"/>
    <w:rsid w:val="009D6445"/>
    <w:rsid w:val="009D6D32"/>
    <w:rsid w:val="009D6FCC"/>
    <w:rsid w:val="009D7690"/>
    <w:rsid w:val="009D7E4F"/>
    <w:rsid w:val="009E157D"/>
    <w:rsid w:val="009E2726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31D4"/>
    <w:rsid w:val="00A240EA"/>
    <w:rsid w:val="00A2480F"/>
    <w:rsid w:val="00A2508A"/>
    <w:rsid w:val="00A25459"/>
    <w:rsid w:val="00A256F7"/>
    <w:rsid w:val="00A25CC8"/>
    <w:rsid w:val="00A3142C"/>
    <w:rsid w:val="00A35169"/>
    <w:rsid w:val="00A3524C"/>
    <w:rsid w:val="00A3593D"/>
    <w:rsid w:val="00A3676D"/>
    <w:rsid w:val="00A371AB"/>
    <w:rsid w:val="00A37669"/>
    <w:rsid w:val="00A37E24"/>
    <w:rsid w:val="00A40153"/>
    <w:rsid w:val="00A424A3"/>
    <w:rsid w:val="00A433C6"/>
    <w:rsid w:val="00A43C11"/>
    <w:rsid w:val="00A45DCC"/>
    <w:rsid w:val="00A46899"/>
    <w:rsid w:val="00A501E6"/>
    <w:rsid w:val="00A5223F"/>
    <w:rsid w:val="00A52E00"/>
    <w:rsid w:val="00A536EE"/>
    <w:rsid w:val="00A5676D"/>
    <w:rsid w:val="00A56892"/>
    <w:rsid w:val="00A569F6"/>
    <w:rsid w:val="00A65128"/>
    <w:rsid w:val="00A6661D"/>
    <w:rsid w:val="00A66CB7"/>
    <w:rsid w:val="00A670FA"/>
    <w:rsid w:val="00A67D59"/>
    <w:rsid w:val="00A70075"/>
    <w:rsid w:val="00A700BC"/>
    <w:rsid w:val="00A707CD"/>
    <w:rsid w:val="00A70EE2"/>
    <w:rsid w:val="00A715D0"/>
    <w:rsid w:val="00A7194A"/>
    <w:rsid w:val="00A73257"/>
    <w:rsid w:val="00A73C96"/>
    <w:rsid w:val="00A74A01"/>
    <w:rsid w:val="00A75E13"/>
    <w:rsid w:val="00A76649"/>
    <w:rsid w:val="00A76F55"/>
    <w:rsid w:val="00A77051"/>
    <w:rsid w:val="00A824B9"/>
    <w:rsid w:val="00A82C2A"/>
    <w:rsid w:val="00A83592"/>
    <w:rsid w:val="00A84924"/>
    <w:rsid w:val="00A8587F"/>
    <w:rsid w:val="00A86D29"/>
    <w:rsid w:val="00A90534"/>
    <w:rsid w:val="00A90E62"/>
    <w:rsid w:val="00A92EB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2F8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526E"/>
    <w:rsid w:val="00AC6BC5"/>
    <w:rsid w:val="00AC6BFF"/>
    <w:rsid w:val="00AC70AF"/>
    <w:rsid w:val="00AC7548"/>
    <w:rsid w:val="00AD1EC0"/>
    <w:rsid w:val="00AD1FD7"/>
    <w:rsid w:val="00AD3640"/>
    <w:rsid w:val="00AD411F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47B7"/>
    <w:rsid w:val="00AE56DD"/>
    <w:rsid w:val="00AE5D48"/>
    <w:rsid w:val="00AE6020"/>
    <w:rsid w:val="00AE637C"/>
    <w:rsid w:val="00AE73ED"/>
    <w:rsid w:val="00AF066D"/>
    <w:rsid w:val="00AF4E30"/>
    <w:rsid w:val="00AF5A1C"/>
    <w:rsid w:val="00AF6608"/>
    <w:rsid w:val="00AF687C"/>
    <w:rsid w:val="00AF6F0F"/>
    <w:rsid w:val="00AF78B3"/>
    <w:rsid w:val="00B0044B"/>
    <w:rsid w:val="00B01B95"/>
    <w:rsid w:val="00B0297B"/>
    <w:rsid w:val="00B0329E"/>
    <w:rsid w:val="00B03A5A"/>
    <w:rsid w:val="00B03B2E"/>
    <w:rsid w:val="00B049D4"/>
    <w:rsid w:val="00B0737B"/>
    <w:rsid w:val="00B07BA5"/>
    <w:rsid w:val="00B11803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244B"/>
    <w:rsid w:val="00B33F99"/>
    <w:rsid w:val="00B346FD"/>
    <w:rsid w:val="00B3471B"/>
    <w:rsid w:val="00B355FA"/>
    <w:rsid w:val="00B36289"/>
    <w:rsid w:val="00B3757A"/>
    <w:rsid w:val="00B426D0"/>
    <w:rsid w:val="00B43A47"/>
    <w:rsid w:val="00B46E4D"/>
    <w:rsid w:val="00B51A6E"/>
    <w:rsid w:val="00B52806"/>
    <w:rsid w:val="00B53616"/>
    <w:rsid w:val="00B53FB7"/>
    <w:rsid w:val="00B56D8F"/>
    <w:rsid w:val="00B61E9E"/>
    <w:rsid w:val="00B63E77"/>
    <w:rsid w:val="00B646BD"/>
    <w:rsid w:val="00B652B6"/>
    <w:rsid w:val="00B65A41"/>
    <w:rsid w:val="00B6680F"/>
    <w:rsid w:val="00B66C99"/>
    <w:rsid w:val="00B67867"/>
    <w:rsid w:val="00B70CC9"/>
    <w:rsid w:val="00B74521"/>
    <w:rsid w:val="00B74F34"/>
    <w:rsid w:val="00B7510E"/>
    <w:rsid w:val="00B80E07"/>
    <w:rsid w:val="00B81609"/>
    <w:rsid w:val="00B8175F"/>
    <w:rsid w:val="00B83D13"/>
    <w:rsid w:val="00B84874"/>
    <w:rsid w:val="00B84B57"/>
    <w:rsid w:val="00B84FA1"/>
    <w:rsid w:val="00B8744C"/>
    <w:rsid w:val="00B877E6"/>
    <w:rsid w:val="00B87801"/>
    <w:rsid w:val="00B87984"/>
    <w:rsid w:val="00B87F47"/>
    <w:rsid w:val="00B9045B"/>
    <w:rsid w:val="00B91BF1"/>
    <w:rsid w:val="00B91E57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7C1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0E2"/>
    <w:rsid w:val="00BD00E4"/>
    <w:rsid w:val="00BD09D4"/>
    <w:rsid w:val="00BD0D82"/>
    <w:rsid w:val="00BD0FEE"/>
    <w:rsid w:val="00BD129A"/>
    <w:rsid w:val="00BD1ABC"/>
    <w:rsid w:val="00BD3CB9"/>
    <w:rsid w:val="00BD4B23"/>
    <w:rsid w:val="00BD567B"/>
    <w:rsid w:val="00BD7445"/>
    <w:rsid w:val="00BE1DBD"/>
    <w:rsid w:val="00BE2444"/>
    <w:rsid w:val="00BE533F"/>
    <w:rsid w:val="00BE6EC1"/>
    <w:rsid w:val="00BE7486"/>
    <w:rsid w:val="00BE77B2"/>
    <w:rsid w:val="00BF2A24"/>
    <w:rsid w:val="00BF2C0F"/>
    <w:rsid w:val="00BF2C94"/>
    <w:rsid w:val="00BF3921"/>
    <w:rsid w:val="00BF5EC6"/>
    <w:rsid w:val="00BF62BE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073FC"/>
    <w:rsid w:val="00C102A9"/>
    <w:rsid w:val="00C11498"/>
    <w:rsid w:val="00C1170E"/>
    <w:rsid w:val="00C13281"/>
    <w:rsid w:val="00C13459"/>
    <w:rsid w:val="00C135CF"/>
    <w:rsid w:val="00C13F17"/>
    <w:rsid w:val="00C14905"/>
    <w:rsid w:val="00C1521E"/>
    <w:rsid w:val="00C1541D"/>
    <w:rsid w:val="00C1617A"/>
    <w:rsid w:val="00C169CF"/>
    <w:rsid w:val="00C17DC6"/>
    <w:rsid w:val="00C20AB2"/>
    <w:rsid w:val="00C219F2"/>
    <w:rsid w:val="00C2261E"/>
    <w:rsid w:val="00C23366"/>
    <w:rsid w:val="00C23751"/>
    <w:rsid w:val="00C24958"/>
    <w:rsid w:val="00C2516C"/>
    <w:rsid w:val="00C2517F"/>
    <w:rsid w:val="00C251D0"/>
    <w:rsid w:val="00C254EE"/>
    <w:rsid w:val="00C27B22"/>
    <w:rsid w:val="00C32080"/>
    <w:rsid w:val="00C335F6"/>
    <w:rsid w:val="00C3419F"/>
    <w:rsid w:val="00C342F9"/>
    <w:rsid w:val="00C35C7B"/>
    <w:rsid w:val="00C36052"/>
    <w:rsid w:val="00C36B9D"/>
    <w:rsid w:val="00C3704D"/>
    <w:rsid w:val="00C400D6"/>
    <w:rsid w:val="00C40135"/>
    <w:rsid w:val="00C416D9"/>
    <w:rsid w:val="00C41924"/>
    <w:rsid w:val="00C42F96"/>
    <w:rsid w:val="00C43A87"/>
    <w:rsid w:val="00C44D15"/>
    <w:rsid w:val="00C44D44"/>
    <w:rsid w:val="00C45A3C"/>
    <w:rsid w:val="00C462DF"/>
    <w:rsid w:val="00C47439"/>
    <w:rsid w:val="00C50DB3"/>
    <w:rsid w:val="00C53F72"/>
    <w:rsid w:val="00C54FF3"/>
    <w:rsid w:val="00C55E58"/>
    <w:rsid w:val="00C56083"/>
    <w:rsid w:val="00C56BD7"/>
    <w:rsid w:val="00C56DD6"/>
    <w:rsid w:val="00C571CA"/>
    <w:rsid w:val="00C61121"/>
    <w:rsid w:val="00C61B95"/>
    <w:rsid w:val="00C61EE3"/>
    <w:rsid w:val="00C61FAD"/>
    <w:rsid w:val="00C62B0C"/>
    <w:rsid w:val="00C6613C"/>
    <w:rsid w:val="00C6686F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05E"/>
    <w:rsid w:val="00C73890"/>
    <w:rsid w:val="00C7404B"/>
    <w:rsid w:val="00C77036"/>
    <w:rsid w:val="00C8256B"/>
    <w:rsid w:val="00C83795"/>
    <w:rsid w:val="00C83D04"/>
    <w:rsid w:val="00C83F98"/>
    <w:rsid w:val="00C842B8"/>
    <w:rsid w:val="00C87D16"/>
    <w:rsid w:val="00C91F52"/>
    <w:rsid w:val="00C9308B"/>
    <w:rsid w:val="00C93C20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1F85"/>
    <w:rsid w:val="00CA33F5"/>
    <w:rsid w:val="00CA4029"/>
    <w:rsid w:val="00CA6080"/>
    <w:rsid w:val="00CA6500"/>
    <w:rsid w:val="00CA659E"/>
    <w:rsid w:val="00CA6BE3"/>
    <w:rsid w:val="00CA70DD"/>
    <w:rsid w:val="00CA71EE"/>
    <w:rsid w:val="00CA781A"/>
    <w:rsid w:val="00CB00FD"/>
    <w:rsid w:val="00CB46DF"/>
    <w:rsid w:val="00CB6175"/>
    <w:rsid w:val="00CB689E"/>
    <w:rsid w:val="00CB70EE"/>
    <w:rsid w:val="00CB78F0"/>
    <w:rsid w:val="00CC11D9"/>
    <w:rsid w:val="00CC190C"/>
    <w:rsid w:val="00CC227E"/>
    <w:rsid w:val="00CC2821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D7981"/>
    <w:rsid w:val="00CE0C4C"/>
    <w:rsid w:val="00CE10D4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3F53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53EC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CBA"/>
    <w:rsid w:val="00D27E95"/>
    <w:rsid w:val="00D30AC9"/>
    <w:rsid w:val="00D312CA"/>
    <w:rsid w:val="00D31A44"/>
    <w:rsid w:val="00D31A84"/>
    <w:rsid w:val="00D321D9"/>
    <w:rsid w:val="00D32822"/>
    <w:rsid w:val="00D33E09"/>
    <w:rsid w:val="00D37B5A"/>
    <w:rsid w:val="00D400CC"/>
    <w:rsid w:val="00D42C00"/>
    <w:rsid w:val="00D4337F"/>
    <w:rsid w:val="00D43CC5"/>
    <w:rsid w:val="00D43D86"/>
    <w:rsid w:val="00D44B43"/>
    <w:rsid w:val="00D46960"/>
    <w:rsid w:val="00D474DD"/>
    <w:rsid w:val="00D47819"/>
    <w:rsid w:val="00D52942"/>
    <w:rsid w:val="00D5306A"/>
    <w:rsid w:val="00D5510D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6B5C"/>
    <w:rsid w:val="00D77324"/>
    <w:rsid w:val="00D77A4A"/>
    <w:rsid w:val="00D80F1C"/>
    <w:rsid w:val="00D8162F"/>
    <w:rsid w:val="00D81996"/>
    <w:rsid w:val="00D820D9"/>
    <w:rsid w:val="00D8216D"/>
    <w:rsid w:val="00D82E6E"/>
    <w:rsid w:val="00D833B2"/>
    <w:rsid w:val="00D84F5D"/>
    <w:rsid w:val="00D86E1F"/>
    <w:rsid w:val="00D903E7"/>
    <w:rsid w:val="00D90AA3"/>
    <w:rsid w:val="00D91A53"/>
    <w:rsid w:val="00D95ADB"/>
    <w:rsid w:val="00D95E7C"/>
    <w:rsid w:val="00DA017E"/>
    <w:rsid w:val="00DA07F9"/>
    <w:rsid w:val="00DA28B2"/>
    <w:rsid w:val="00DA4637"/>
    <w:rsid w:val="00DA5168"/>
    <w:rsid w:val="00DA52B8"/>
    <w:rsid w:val="00DA6577"/>
    <w:rsid w:val="00DA6BB2"/>
    <w:rsid w:val="00DB1992"/>
    <w:rsid w:val="00DB2008"/>
    <w:rsid w:val="00DB3193"/>
    <w:rsid w:val="00DB7B31"/>
    <w:rsid w:val="00DC22C5"/>
    <w:rsid w:val="00DC247F"/>
    <w:rsid w:val="00DC346E"/>
    <w:rsid w:val="00DC4030"/>
    <w:rsid w:val="00DC53D0"/>
    <w:rsid w:val="00DC5F86"/>
    <w:rsid w:val="00DC68E4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6CD1"/>
    <w:rsid w:val="00DE715B"/>
    <w:rsid w:val="00DF0CD2"/>
    <w:rsid w:val="00DF1062"/>
    <w:rsid w:val="00DF31AE"/>
    <w:rsid w:val="00DF3655"/>
    <w:rsid w:val="00E02682"/>
    <w:rsid w:val="00E0439F"/>
    <w:rsid w:val="00E04D15"/>
    <w:rsid w:val="00E05345"/>
    <w:rsid w:val="00E0691F"/>
    <w:rsid w:val="00E0710D"/>
    <w:rsid w:val="00E07464"/>
    <w:rsid w:val="00E1196E"/>
    <w:rsid w:val="00E11A3C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376E"/>
    <w:rsid w:val="00E25091"/>
    <w:rsid w:val="00E2609F"/>
    <w:rsid w:val="00E30E0B"/>
    <w:rsid w:val="00E31053"/>
    <w:rsid w:val="00E361C1"/>
    <w:rsid w:val="00E3721F"/>
    <w:rsid w:val="00E3781F"/>
    <w:rsid w:val="00E4081B"/>
    <w:rsid w:val="00E41826"/>
    <w:rsid w:val="00E42F73"/>
    <w:rsid w:val="00E4455D"/>
    <w:rsid w:val="00E449F8"/>
    <w:rsid w:val="00E44C8F"/>
    <w:rsid w:val="00E451E9"/>
    <w:rsid w:val="00E452DB"/>
    <w:rsid w:val="00E45DA5"/>
    <w:rsid w:val="00E531D7"/>
    <w:rsid w:val="00E54688"/>
    <w:rsid w:val="00E5572E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147"/>
    <w:rsid w:val="00E775B6"/>
    <w:rsid w:val="00E81997"/>
    <w:rsid w:val="00E81E8E"/>
    <w:rsid w:val="00E82C40"/>
    <w:rsid w:val="00E8424E"/>
    <w:rsid w:val="00E846A5"/>
    <w:rsid w:val="00E84D42"/>
    <w:rsid w:val="00E86C32"/>
    <w:rsid w:val="00E873CB"/>
    <w:rsid w:val="00E877D1"/>
    <w:rsid w:val="00E87CA4"/>
    <w:rsid w:val="00E913BC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156F"/>
    <w:rsid w:val="00EB485D"/>
    <w:rsid w:val="00EB54A5"/>
    <w:rsid w:val="00EB6D6D"/>
    <w:rsid w:val="00EB7384"/>
    <w:rsid w:val="00EC0826"/>
    <w:rsid w:val="00EC0BB2"/>
    <w:rsid w:val="00EC1BF4"/>
    <w:rsid w:val="00EC3BAA"/>
    <w:rsid w:val="00EC4394"/>
    <w:rsid w:val="00EC4A71"/>
    <w:rsid w:val="00EC7E27"/>
    <w:rsid w:val="00ED0B82"/>
    <w:rsid w:val="00ED152E"/>
    <w:rsid w:val="00ED2F68"/>
    <w:rsid w:val="00EE0F3D"/>
    <w:rsid w:val="00EE2D24"/>
    <w:rsid w:val="00EE2E25"/>
    <w:rsid w:val="00EE3B03"/>
    <w:rsid w:val="00EE6B06"/>
    <w:rsid w:val="00EF223A"/>
    <w:rsid w:val="00EF3946"/>
    <w:rsid w:val="00EF4CFA"/>
    <w:rsid w:val="00EF6620"/>
    <w:rsid w:val="00F0001C"/>
    <w:rsid w:val="00F0195E"/>
    <w:rsid w:val="00F04B0A"/>
    <w:rsid w:val="00F064B4"/>
    <w:rsid w:val="00F06B6B"/>
    <w:rsid w:val="00F07090"/>
    <w:rsid w:val="00F07B35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24F"/>
    <w:rsid w:val="00F22D1C"/>
    <w:rsid w:val="00F23F20"/>
    <w:rsid w:val="00F2547F"/>
    <w:rsid w:val="00F26E02"/>
    <w:rsid w:val="00F277BE"/>
    <w:rsid w:val="00F278FC"/>
    <w:rsid w:val="00F30E4D"/>
    <w:rsid w:val="00F31AC4"/>
    <w:rsid w:val="00F32849"/>
    <w:rsid w:val="00F337B3"/>
    <w:rsid w:val="00F358FC"/>
    <w:rsid w:val="00F35EA0"/>
    <w:rsid w:val="00F37888"/>
    <w:rsid w:val="00F400FA"/>
    <w:rsid w:val="00F41130"/>
    <w:rsid w:val="00F413DD"/>
    <w:rsid w:val="00F43FB5"/>
    <w:rsid w:val="00F4547B"/>
    <w:rsid w:val="00F47859"/>
    <w:rsid w:val="00F51545"/>
    <w:rsid w:val="00F522D2"/>
    <w:rsid w:val="00F54E40"/>
    <w:rsid w:val="00F558B4"/>
    <w:rsid w:val="00F55A59"/>
    <w:rsid w:val="00F600C4"/>
    <w:rsid w:val="00F60497"/>
    <w:rsid w:val="00F60B82"/>
    <w:rsid w:val="00F60D96"/>
    <w:rsid w:val="00F61920"/>
    <w:rsid w:val="00F62A4E"/>
    <w:rsid w:val="00F6492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2DB2"/>
    <w:rsid w:val="00F830B1"/>
    <w:rsid w:val="00F84B6D"/>
    <w:rsid w:val="00F85B26"/>
    <w:rsid w:val="00F86A5E"/>
    <w:rsid w:val="00F875B7"/>
    <w:rsid w:val="00F8772D"/>
    <w:rsid w:val="00F930FF"/>
    <w:rsid w:val="00F93774"/>
    <w:rsid w:val="00F956D6"/>
    <w:rsid w:val="00F95D71"/>
    <w:rsid w:val="00F96F48"/>
    <w:rsid w:val="00F97FF8"/>
    <w:rsid w:val="00FA071F"/>
    <w:rsid w:val="00FA202B"/>
    <w:rsid w:val="00FA2435"/>
    <w:rsid w:val="00FA3283"/>
    <w:rsid w:val="00FA516F"/>
    <w:rsid w:val="00FA5CDC"/>
    <w:rsid w:val="00FA7074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8D7"/>
    <w:rsid w:val="00FD5526"/>
    <w:rsid w:val="00FD5FE0"/>
    <w:rsid w:val="00FE0E08"/>
    <w:rsid w:val="00FE19F1"/>
    <w:rsid w:val="00FE2512"/>
    <w:rsid w:val="00FE2837"/>
    <w:rsid w:val="00FE3448"/>
    <w:rsid w:val="00FE3620"/>
    <w:rsid w:val="00FE39E1"/>
    <w:rsid w:val="00FE435B"/>
    <w:rsid w:val="00FE5161"/>
    <w:rsid w:val="00FE55F2"/>
    <w:rsid w:val="00FE6AA0"/>
    <w:rsid w:val="00FF103C"/>
    <w:rsid w:val="00FF133B"/>
    <w:rsid w:val="00FF1D27"/>
    <w:rsid w:val="00FF40BB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172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uiPriority w:val="99"/>
  </w:style>
  <w:style w:type="table" w:styleId="Tabela-Siatka">
    <w:name w:val="Table Grid"/>
    <w:basedOn w:val="Standardowy"/>
    <w:uiPriority w:val="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Calibri" w:hAnsi="Calibri"/>
      <w:lang w:val="pl-PL" w:eastAsia="en-US" w:bidi="ar-SA"/>
    </w:rPr>
  </w:style>
  <w:style w:type="paragraph" w:styleId="Tekstpodstawowy">
    <w:name w:val="Body Text"/>
    <w:basedOn w:val="Normalny"/>
    <w:link w:val="TekstpodstawowyZnak"/>
    <w:uiPriority w:val="99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uiPriority w:val="99"/>
    <w:pPr>
      <w:spacing w:after="120" w:line="480" w:lineRule="auto"/>
    </w:pPr>
  </w:style>
  <w:style w:type="paragraph" w:customStyle="1" w:styleId="Akapit">
    <w:name w:val="Akapit"/>
    <w:basedOn w:val="Normalny"/>
    <w:uiPriority w:val="99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Lines/>
      <w:spacing w:before="480" w:after="0"/>
    </w:pPr>
    <w:rPr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uiPriority w:val="39"/>
    <w:unhideWhenUsed/>
  </w:style>
  <w:style w:type="paragraph" w:styleId="Spistreci2">
    <w:name w:val="toc 2"/>
    <w:basedOn w:val="Normalny"/>
    <w:next w:val="Normalny"/>
    <w:uiPriority w:val="39"/>
    <w:unhideWhenUsed/>
    <w:pPr>
      <w:ind w:left="220"/>
    </w:p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rFonts w:eastAsia="Times New Roman"/>
      <w:b/>
      <w:bCs/>
      <w:lang w:eastAsia="en-US"/>
    </w:rPr>
  </w:style>
  <w:style w:type="paragraph" w:styleId="Bezodstpw">
    <w:name w:val="No Spacing"/>
    <w:uiPriority w:val="1"/>
    <w:qFormat/>
  </w:style>
  <w:style w:type="character" w:customStyle="1" w:styleId="Heading1Char">
    <w:name w:val="Heading 1 Char"/>
    <w:basedOn w:val="Domylnaczcionkaakapitu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7.jpeg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hyperlink" Target="http://isap.sejm.gov.pl/DetailsServlet?id=WDU200915712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https://dysk.mf.gov.pl/PM/Docs/PM9/KWARTALNA/2%20kw%202021/PM9%20dochody%20II%20kw%202021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https://dysk.mf.gov.pl/PM/Docs/PM9/KWARTALNA/2%20kw%202021/PM9%20dochody%20II%20kw%202021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'[PM9 dochody II kw 2021.xls]baza VAT'!$C$96:$D$109</c:f>
              <c:multiLvlStrCache>
                <c:ptCount val="14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'[PM9 dochody II kw 2021.xls]baza VAT'!$AC$96:$AC$109</c:f>
              <c:numCache>
                <c:formatCode>0.0%</c:formatCode>
                <c:ptCount val="14"/>
                <c:pt idx="0">
                  <c:v>1.0887216032227633</c:v>
                </c:pt>
                <c:pt idx="1">
                  <c:v>1.0534075737989788</c:v>
                </c:pt>
                <c:pt idx="2">
                  <c:v>1.1171950900886047</c:v>
                </c:pt>
                <c:pt idx="3">
                  <c:v>1.1765944951424541</c:v>
                </c:pt>
                <c:pt idx="4">
                  <c:v>1.0671358231412797</c:v>
                </c:pt>
                <c:pt idx="5">
                  <c:v>1.17782404683233</c:v>
                </c:pt>
                <c:pt idx="6">
                  <c:v>1.0499881931956478</c:v>
                </c:pt>
                <c:pt idx="7">
                  <c:v>0.96899082028084349</c:v>
                </c:pt>
                <c:pt idx="8">
                  <c:v>0.93973226532067811</c:v>
                </c:pt>
                <c:pt idx="9">
                  <c:v>0.88390016866286647</c:v>
                </c:pt>
                <c:pt idx="10">
                  <c:v>1.1352391661620966</c:v>
                </c:pt>
                <c:pt idx="11">
                  <c:v>1.0988025090287017</c:v>
                </c:pt>
                <c:pt idx="12">
                  <c:v>1.3561024024287007</c:v>
                </c:pt>
                <c:pt idx="13">
                  <c:v>1.2392212748484337</c:v>
                </c:pt>
              </c:numCache>
            </c:numRef>
          </c:val>
          <c:smooth val="0"/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'[PM9 dochody II kw 2021.xls]baza VAT'!$C$96:$D$109</c:f>
              <c:multiLvlStrCache>
                <c:ptCount val="14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'[PM9 dochody II kw 2021.xls]baza VAT'!$AD$96:$AD$109</c:f>
              <c:numCache>
                <c:formatCode>0.0%</c:formatCode>
                <c:ptCount val="14"/>
                <c:pt idx="0">
                  <c:v>1.1176540724990276</c:v>
                </c:pt>
                <c:pt idx="1">
                  <c:v>1.0985389318560794</c:v>
                </c:pt>
                <c:pt idx="2">
                  <c:v>1.091226376391252</c:v>
                </c:pt>
                <c:pt idx="3">
                  <c:v>1.1135718672225994</c:v>
                </c:pt>
                <c:pt idx="4">
                  <c:v>1.1084501532904747</c:v>
                </c:pt>
                <c:pt idx="5">
                  <c:v>1.1387755102040817</c:v>
                </c:pt>
                <c:pt idx="6">
                  <c:v>1.120132151154891</c:v>
                </c:pt>
                <c:pt idx="7">
                  <c:v>1.0573712441369061</c:v>
                </c:pt>
                <c:pt idx="8">
                  <c:v>1.0308929899276684</c:v>
                </c:pt>
                <c:pt idx="9">
                  <c:v>0.96081572876578081</c:v>
                </c:pt>
                <c:pt idx="10">
                  <c:v>0.98332921722498867</c:v>
                </c:pt>
                <c:pt idx="11">
                  <c:v>1.0209556017941552</c:v>
                </c:pt>
                <c:pt idx="12">
                  <c:v>1.1012114476243402</c:v>
                </c:pt>
                <c:pt idx="13">
                  <c:v>1.192279040982855</c:v>
                </c:pt>
              </c:numCache>
            </c:numRef>
          </c:val>
          <c:smooth val="0"/>
        </c:ser>
        <c:ser>
          <c:idx val="0"/>
          <c:order val="2"/>
          <c:spPr>
            <a:ln w="2540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'[PM9 dochody II kw 2021.xls]baza VAT'!$C$96:$D$109</c:f>
              <c:multiLvlStrCache>
                <c:ptCount val="14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'[PM9 dochody II kw 2021.xls]baza VAT'!$AE$78:$AE$91</c:f>
              <c:numCache>
                <c:formatCode>0.0%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441048"/>
        <c:axId val="466435952"/>
      </c:lineChart>
      <c:catAx>
        <c:axId val="466441048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466435952"/>
        <c:crosses val="autoZero"/>
        <c:auto val="1"/>
        <c:lblAlgn val="ctr"/>
        <c:lblOffset val="0"/>
        <c:tickLblSkip val="2"/>
        <c:tickMarkSkip val="1"/>
        <c:noMultiLvlLbl val="0"/>
      </c:catAx>
      <c:valAx>
        <c:axId val="466435952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466441048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8.5602323101525629E-2"/>
          <c:y val="6.2269138542694814E-2"/>
          <c:w val="0.5035152194137702"/>
          <c:h val="0.15276147084873221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535" b="0" i="0" u="none" strike="noStrike" baseline="0">
              <a:solidFill>
                <a:srgbClr val="000000"/>
              </a:solidFill>
              <a:latin typeface="Arial Narrow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Garamond"/>
          <a:ea typeface="Garamond"/>
          <a:cs typeface="Garamond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relacja VAT do PKB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'[PM9 dochody II kw 2021.xls]baza VAT'!$C$96:$D$109</c:f>
              <c:multiLvlStrCache>
                <c:ptCount val="14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'[PM9 dochody II kw 2021.xls]baza VAT'!$AG$96:$AG$109</c:f>
              <c:numCache>
                <c:formatCode>0.0%</c:formatCode>
                <c:ptCount val="14"/>
                <c:pt idx="0">
                  <c:v>6.9968252667800004E-2</c:v>
                </c:pt>
                <c:pt idx="1">
                  <c:v>7.8127566276232505E-2</c:v>
                </c:pt>
                <c:pt idx="2">
                  <c:v>8.364121015626988E-2</c:v>
                </c:pt>
                <c:pt idx="3">
                  <c:v>9.0829094700242044E-2</c:v>
                </c:pt>
                <c:pt idx="4">
                  <c:v>6.9076047699498919E-2</c:v>
                </c:pt>
                <c:pt idx="5">
                  <c:v>8.4359984201076432E-2</c:v>
                </c:pt>
                <c:pt idx="6">
                  <c:v>8.1148275116587912E-2</c:v>
                </c:pt>
                <c:pt idx="7">
                  <c:v>8.215639854832564E-2</c:v>
                </c:pt>
                <c:pt idx="8">
                  <c:v>6.1362715500332635E-2</c:v>
                </c:pt>
                <c:pt idx="9">
                  <c:v>7.7971318171228779E-2</c:v>
                </c:pt>
                <c:pt idx="10">
                  <c:v>9.0067616764675409E-2</c:v>
                </c:pt>
                <c:pt idx="11">
                  <c:v>8.8698232832554305E-2</c:v>
                </c:pt>
                <c:pt idx="12">
                  <c:v>7.9382899458010428E-2</c:v>
                </c:pt>
                <c:pt idx="13">
                  <c:v>8.3022165405138626E-2</c:v>
                </c:pt>
              </c:numCache>
            </c:numRef>
          </c:val>
          <c:smooth val="0"/>
        </c:ser>
        <c:ser>
          <c:idx val="0"/>
          <c:order val="1"/>
          <c:tx>
            <c:v>relacja VAT do PKB w ujęciu roku płynnego</c:v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'[PM9 dochody II kw 2021.xls]baza VAT'!$C$96:$D$109</c:f>
              <c:multiLvlStrCache>
                <c:ptCount val="14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  <c:pt idx="13">
                    <c:v>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'[PM9 dochody II kw 2021.xls]baza VAT'!$AH$96:$AH$109</c:f>
              <c:numCache>
                <c:formatCode>0.0%</c:formatCode>
                <c:ptCount val="14"/>
                <c:pt idx="0">
                  <c:v>7.7994130981116488E-2</c:v>
                </c:pt>
                <c:pt idx="1">
                  <c:v>7.7832018988289647E-2</c:v>
                </c:pt>
                <c:pt idx="2">
                  <c:v>7.8735800733945871E-2</c:v>
                </c:pt>
                <c:pt idx="3">
                  <c:v>8.119704650598264E-2</c:v>
                </c:pt>
                <c:pt idx="4">
                  <c:v>8.0773889802894142E-2</c:v>
                </c:pt>
                <c:pt idx="5">
                  <c:v>8.2286197982959969E-2</c:v>
                </c:pt>
                <c:pt idx="6">
                  <c:v>8.1681037633272224E-2</c:v>
                </c:pt>
                <c:pt idx="7">
                  <c:v>7.9429206174971373E-2</c:v>
                </c:pt>
                <c:pt idx="8">
                  <c:v>7.7440060123954865E-2</c:v>
                </c:pt>
                <c:pt idx="9">
                  <c:v>7.5891864877585716E-2</c:v>
                </c:pt>
                <c:pt idx="10">
                  <c:v>7.8169584746729831E-2</c:v>
                </c:pt>
                <c:pt idx="11">
                  <c:v>8.0023788018119865E-2</c:v>
                </c:pt>
                <c:pt idx="12">
                  <c:v>8.4295891113954025E-2</c:v>
                </c:pt>
                <c:pt idx="13">
                  <c:v>8.5350567939982441E-2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437520"/>
        <c:axId val="466438696"/>
      </c:lineChart>
      <c:catAx>
        <c:axId val="466437520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466438696"/>
        <c:crosses val="autoZero"/>
        <c:auto val="1"/>
        <c:lblAlgn val="ctr"/>
        <c:lblOffset val="0"/>
        <c:tickLblSkip val="2"/>
        <c:tickMarkSkip val="1"/>
        <c:noMultiLvlLbl val="0"/>
      </c:catAx>
      <c:valAx>
        <c:axId val="466438696"/>
        <c:scaling>
          <c:orientation val="minMax"/>
          <c:max val="9.5000000000000029E-2"/>
          <c:min val="5.5000000000000007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466437520"/>
        <c:crosses val="autoZero"/>
        <c:crossBetween val="between"/>
        <c:majorUnit val="1.0000000000000002E-2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21477366656173821"/>
          <c:y val="0.56961626940551624"/>
          <c:w val="0.59850957220747214"/>
          <c:h val="0.1568596118750602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535" b="0" i="0" u="none" strike="noStrike" baseline="0">
              <a:solidFill>
                <a:srgbClr val="000000"/>
              </a:solidFill>
              <a:latin typeface="Arial Narrow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Garamond"/>
          <a:ea typeface="Garamond"/>
          <a:cs typeface="Garamond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Arab" typeface="Times New Roman"/>
      <a:font script="Beng" typeface="Vrinda"/>
      <a:font script="Cher" typeface="Plantagenet Cherokee"/>
      <a:font script="Deva" typeface="Mangal"/>
      <a:font script="Ethi" typeface="Nyala"/>
      <a:font script="Geor" typeface="Sylfaen"/>
      <a:font script="Gujr" typeface="Shruti"/>
      <a:font script="Guru" typeface="Raavi"/>
      <a:font script="Hang" typeface="맑은 고딕"/>
      <a:font script="Hebr" typeface="Times New Roman"/>
      <a:font script="Knda" typeface="Tunga"/>
      <a:font script="Khmr" typeface="MoolBoran"/>
      <a:font script="Laoo" typeface="DokChampa"/>
      <a:font script="Mlym" typeface="Kartika"/>
      <a:font script="Mong" typeface="Mongolian Baiti"/>
      <a:font script="Orya" typeface="Kalinga"/>
      <a:font script="Sinh" typeface="Iskoola Pota"/>
      <a:font script="Syrc" typeface="Estrangelo Edessa"/>
      <a:font script="Taml" typeface="Latha"/>
      <a:font script="Telu" typeface="Gautami"/>
      <a:font script="Thaa" typeface="MV Boli"/>
      <a:font script="Thai" typeface="Angsana New"/>
      <a:font script="Tibt" typeface="Microsoft Himalaya"/>
      <a:font script="Cans" typeface="Euphemia"/>
      <a:font script="Yiii" typeface="Microsoft Yi Baiti"/>
      <a:font script="Hans" typeface="宋体"/>
      <a:font script="Hant" typeface="新細明體"/>
      <a:font script="Jpan" typeface="ＭＳ ゴシック"/>
    </a:majorFont>
    <a:minorFont>
      <a:latin typeface="Calibri"/>
      <a:ea typeface=""/>
      <a:cs typeface=""/>
      <a:font script="Arab" typeface="Arial"/>
      <a:font script="Beng" typeface="Vrinda"/>
      <a:font script="Cher" typeface="Plantagenet Cherokee"/>
      <a:font script="Deva" typeface="Mangal"/>
      <a:font script="Ethi" typeface="Nyala"/>
      <a:font script="Geor" typeface="Sylfaen"/>
      <a:font script="Gujr" typeface="Shruti"/>
      <a:font script="Guru" typeface="Raavi"/>
      <a:font script="Hang" typeface="맑은 고딕"/>
      <a:font script="Hebr" typeface="Arial"/>
      <a:font script="Knda" typeface="Tunga"/>
      <a:font script="Khmr" typeface="DaunPenh"/>
      <a:font script="Laoo" typeface="DokChampa"/>
      <a:font script="Mlym" typeface="Kartika"/>
      <a:font script="Mong" typeface="Mongolian Baiti"/>
      <a:font script="Orya" typeface="Kalinga"/>
      <a:font script="Sinh" typeface="Iskoola Pota"/>
      <a:font script="Syrc" typeface="Estrangelo Edessa"/>
      <a:font script="Taml" typeface="Latha"/>
      <a:font script="Telu" typeface="Gautami"/>
      <a:font script="Thaa" typeface="MV Boli"/>
      <a:font script="Thai" typeface="Cordia New"/>
      <a:font script="Tibt" typeface="Microsoft Himalaya"/>
      <a:font script="Cans" typeface="Euphemia"/>
      <a:font script="Yiii" typeface="Microsoft Yi Baiti"/>
      <a:font script="Hans" typeface="宋体"/>
      <a:font script="Hant" typeface="新細明體"/>
      <a:font script="Jpan" typeface="ＭＳ 明朝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Arab" typeface="Times New Roman"/>
      <a:font script="Beng" typeface="Vrinda"/>
      <a:font script="Cher" typeface="Plantagenet Cherokee"/>
      <a:font script="Deva" typeface="Mangal"/>
      <a:font script="Ethi" typeface="Nyala"/>
      <a:font script="Geor" typeface="Sylfaen"/>
      <a:font script="Gujr" typeface="Shruti"/>
      <a:font script="Guru" typeface="Raavi"/>
      <a:font script="Hang" typeface="맑은 고딕"/>
      <a:font script="Hebr" typeface="Times New Roman"/>
      <a:font script="Knda" typeface="Tunga"/>
      <a:font script="Khmr" typeface="MoolBoran"/>
      <a:font script="Laoo" typeface="DokChampa"/>
      <a:font script="Mlym" typeface="Kartika"/>
      <a:font script="Mong" typeface="Mongolian Baiti"/>
      <a:font script="Orya" typeface="Kalinga"/>
      <a:font script="Sinh" typeface="Iskoola Pota"/>
      <a:font script="Syrc" typeface="Estrangelo Edessa"/>
      <a:font script="Taml" typeface="Latha"/>
      <a:font script="Telu" typeface="Gautami"/>
      <a:font script="Thaa" typeface="MV Boli"/>
      <a:font script="Thai" typeface="Angsana New"/>
      <a:font script="Tibt" typeface="Microsoft Himalaya"/>
      <a:font script="Cans" typeface="Euphemia"/>
      <a:font script="Yiii" typeface="Microsoft Yi Baiti"/>
      <a:font script="Hans" typeface="宋体"/>
      <a:font script="Hant" typeface="新細明體"/>
      <a:font script="Jpan" typeface="ＭＳ ゴシック"/>
    </a:majorFont>
    <a:minorFont>
      <a:latin typeface="Calibri"/>
      <a:ea typeface=""/>
      <a:cs typeface=""/>
      <a:font script="Arab" typeface="Arial"/>
      <a:font script="Beng" typeface="Vrinda"/>
      <a:font script="Cher" typeface="Plantagenet Cherokee"/>
      <a:font script="Deva" typeface="Mangal"/>
      <a:font script="Ethi" typeface="Nyala"/>
      <a:font script="Geor" typeface="Sylfaen"/>
      <a:font script="Gujr" typeface="Shruti"/>
      <a:font script="Guru" typeface="Raavi"/>
      <a:font script="Hang" typeface="맑은 고딕"/>
      <a:font script="Hebr" typeface="Arial"/>
      <a:font script="Knda" typeface="Tunga"/>
      <a:font script="Khmr" typeface="DaunPenh"/>
      <a:font script="Laoo" typeface="DokChampa"/>
      <a:font script="Mlym" typeface="Kartika"/>
      <a:font script="Mong" typeface="Mongolian Baiti"/>
      <a:font script="Orya" typeface="Kalinga"/>
      <a:font script="Sinh" typeface="Iskoola Pota"/>
      <a:font script="Syrc" typeface="Estrangelo Edessa"/>
      <a:font script="Taml" typeface="Latha"/>
      <a:font script="Telu" typeface="Gautami"/>
      <a:font script="Thaa" typeface="MV Boli"/>
      <a:font script="Thai" typeface="Cordia New"/>
      <a:font script="Tibt" typeface="Microsoft Himalaya"/>
      <a:font script="Cans" typeface="Euphemia"/>
      <a:font script="Yiii" typeface="Microsoft Yi Baiti"/>
      <a:font script="Hans" typeface="宋体"/>
      <a:font script="Hant" typeface="新細明體"/>
      <a:font script="Jpan" typeface="ＭＳ 明朝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569C-BA95-43FB-8207-557025EAB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7F1D1-AEC9-47C9-B05C-219BBBF8CE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345975-755E-42BC-8BCF-8F757D396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5A789B-A1A5-4AF6-9E38-933BFE07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17129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2021-10-26T14:18:00Z</dcterms:created>
  <dcterms:modified xsi:type="dcterms:W3CDTF">2021-10-29T07:01:00Z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