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AC80" w14:textId="65338E0B" w:rsidR="004F4A6C" w:rsidRPr="00865323" w:rsidRDefault="004F4A6C" w:rsidP="00865323">
      <w:pPr>
        <w:pStyle w:val="Nagwek1"/>
        <w:spacing w:line="720" w:lineRule="auto"/>
        <w:rPr>
          <w:color w:val="auto"/>
          <w:sz w:val="24"/>
          <w:szCs w:val="24"/>
        </w:rPr>
      </w:pPr>
      <w:r w:rsidRPr="00865323">
        <w:rPr>
          <w:color w:val="auto"/>
          <w:sz w:val="24"/>
          <w:szCs w:val="24"/>
        </w:rPr>
        <w:t>PROGRAM PRIORYTETOWY</w:t>
      </w:r>
    </w:p>
    <w:p w14:paraId="33822C9C" w14:textId="77777777" w:rsidR="008C48C8" w:rsidRPr="00865323" w:rsidRDefault="00AF29C2" w:rsidP="00865323">
      <w:pPr>
        <w:pStyle w:val="Nagwek1"/>
        <w:spacing w:line="360" w:lineRule="auto"/>
        <w:rPr>
          <w:color w:val="auto"/>
          <w:sz w:val="24"/>
          <w:szCs w:val="24"/>
        </w:rPr>
      </w:pPr>
      <w:r w:rsidRPr="00865323">
        <w:rPr>
          <w:color w:val="auto"/>
          <w:sz w:val="24"/>
          <w:szCs w:val="24"/>
        </w:rPr>
        <w:t xml:space="preserve">Tytuł programu: </w:t>
      </w:r>
    </w:p>
    <w:p w14:paraId="22676339" w14:textId="39E8D00C" w:rsidR="00AF29C2" w:rsidRPr="00865323" w:rsidRDefault="00DC4A8D" w:rsidP="00865323">
      <w:pPr>
        <w:pStyle w:val="Nagwek1"/>
        <w:spacing w:line="360" w:lineRule="auto"/>
        <w:rPr>
          <w:color w:val="auto"/>
          <w:sz w:val="24"/>
          <w:szCs w:val="24"/>
        </w:rPr>
      </w:pPr>
      <w:r w:rsidRPr="00865323">
        <w:rPr>
          <w:color w:val="auto"/>
          <w:sz w:val="24"/>
          <w:szCs w:val="24"/>
        </w:rPr>
        <w:t>Poprawa efektywności budynków mieszkalnych wielorodzinnych na</w:t>
      </w:r>
      <w:r w:rsidR="00E03AAA" w:rsidRPr="00865323">
        <w:rPr>
          <w:color w:val="auto"/>
          <w:sz w:val="24"/>
          <w:szCs w:val="24"/>
        </w:rPr>
        <w:t xml:space="preserve"> </w:t>
      </w:r>
      <w:r w:rsidR="00D56D95" w:rsidRPr="00865323">
        <w:rPr>
          <w:color w:val="auto"/>
          <w:sz w:val="24"/>
          <w:szCs w:val="24"/>
        </w:rPr>
        <w:t>terenach</w:t>
      </w:r>
      <w:r w:rsidRPr="00865323">
        <w:rPr>
          <w:color w:val="auto"/>
          <w:sz w:val="24"/>
          <w:szCs w:val="24"/>
        </w:rPr>
        <w:t xml:space="preserve"> wiejskich</w:t>
      </w:r>
    </w:p>
    <w:p w14:paraId="6AB4C7A5" w14:textId="77777777" w:rsidR="00947C03" w:rsidRPr="0059150B" w:rsidRDefault="00AF29C2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Cel programu </w:t>
      </w:r>
    </w:p>
    <w:p w14:paraId="06D6A282" w14:textId="69C0A959" w:rsidR="00947C03" w:rsidRPr="0059150B" w:rsidRDefault="00947C03" w:rsidP="00865323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Celem programu jest poprawa efektywności energetycznej </w:t>
      </w:r>
      <w:r w:rsidR="00DC4A8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wielorodzinnych</w:t>
      </w:r>
      <w:r w:rsidR="00C745D4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613C2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budynków</w:t>
      </w:r>
      <w:r w:rsidR="00DC4A8D" w:rsidRPr="0059150B">
        <w:rPr>
          <w:rFonts w:asciiTheme="minorHAnsi" w:hAnsiTheme="minorHAnsi" w:cstheme="minorHAnsi"/>
          <w:sz w:val="22"/>
          <w:szCs w:val="22"/>
        </w:rPr>
        <w:t xml:space="preserve"> mieszkalnych</w:t>
      </w:r>
      <w:r w:rsidR="001975A2" w:rsidRPr="0059150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D56D95"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="00DC4A8D" w:rsidRPr="0059150B">
        <w:rPr>
          <w:rFonts w:asciiTheme="minorHAnsi" w:hAnsiTheme="minorHAnsi" w:cstheme="minorHAnsi"/>
          <w:sz w:val="22"/>
          <w:szCs w:val="22"/>
        </w:rPr>
        <w:t>na teren</w:t>
      </w:r>
      <w:r w:rsidR="00611B7D" w:rsidRPr="0059150B">
        <w:rPr>
          <w:rFonts w:asciiTheme="minorHAnsi" w:hAnsiTheme="minorHAnsi" w:cstheme="minorHAnsi"/>
          <w:sz w:val="22"/>
          <w:szCs w:val="22"/>
        </w:rPr>
        <w:t>ach</w:t>
      </w:r>
      <w:r w:rsidR="00DC4A8D"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="00611B7D" w:rsidRPr="0059150B">
        <w:rPr>
          <w:rFonts w:asciiTheme="minorHAnsi" w:hAnsiTheme="minorHAnsi" w:cstheme="minorHAnsi"/>
          <w:sz w:val="22"/>
          <w:szCs w:val="22"/>
        </w:rPr>
        <w:t>wiejskich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 dotkniętych ubóstwem energetycznym w związku z transformacją ustrojową</w:t>
      </w:r>
      <w:r w:rsidR="00611B7D" w:rsidRPr="0059150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E03AAA" w:rsidRPr="0059150B">
        <w:rPr>
          <w:rFonts w:asciiTheme="minorHAnsi" w:hAnsiTheme="minorHAnsi" w:cstheme="minorHAnsi"/>
          <w:sz w:val="22"/>
          <w:szCs w:val="22"/>
        </w:rPr>
        <w:t>,</w:t>
      </w:r>
      <w:r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poprzez zmniejszenie zapotrzebowania budynków na energię w szczególności poprzez zastosowanie odnawialnych źródeł energii. </w:t>
      </w:r>
    </w:p>
    <w:p w14:paraId="23EBF2A1" w14:textId="54E6D3AF" w:rsidR="0012195E" w:rsidRPr="0059150B" w:rsidRDefault="00947C03" w:rsidP="00865323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Jednocześnie program wpłynie na </w:t>
      </w:r>
      <w:r w:rsidR="007B44F0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</w:t>
      </w:r>
      <w:r w:rsidR="00680F62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praw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ę</w:t>
      </w:r>
      <w:r w:rsidR="007B44F0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stanu </w:t>
      </w:r>
      <w:r w:rsidR="00524DAF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infrastruktury </w:t>
      </w:r>
      <w:r w:rsidR="00680F62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budynków mieszkalnych </w:t>
      </w:r>
      <w:r w:rsidR="00E03AA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poprawiając 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jakość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powietrza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</w:t>
      </w:r>
      <w:r w:rsidR="00E03AA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komfort 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cieplny użytkowników</w:t>
      </w:r>
      <w:r w:rsidR="00E03AA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poprzez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między innymi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likwidację źródeł ciepła </w:t>
      </w:r>
      <w:r w:rsid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na</w:t>
      </w:r>
      <w:r w:rsid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stałe paliwa</w:t>
      </w:r>
      <w:r w:rsidR="00AE21F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kopalne,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C23C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także 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przyczyni się do 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likwidacj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ubóstwa energetycznego na terenach wiejskich.</w:t>
      </w:r>
    </w:p>
    <w:p w14:paraId="4375FE2E" w14:textId="20A9E666" w:rsidR="00644FE6" w:rsidRPr="0059150B" w:rsidRDefault="00644FE6" w:rsidP="00865323">
      <w:pPr>
        <w:tabs>
          <w:tab w:val="left" w:pos="284"/>
        </w:tabs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Program jest zgodny z legislacją Unii Europejskiej, w tym z art. 10d dyrektywy 2003/87/WE Parlamentu Europejskiego i Rady z dnia 13 października 2003 r. ustanawiającego system handlu przydziałami emisji gazów cieplarnianych w Unii oraz zmieniających dyrektywę Rady 96/61/WE oraz rozporządzeniem wykonawczym Komisji (UE) 2020/87/WE Parlamentu Europejskiego i Rady w odniesieniu </w:t>
      </w:r>
      <w:r w:rsid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funkcjonowania Funduszu Modernizacyjnego wspierającego inwestycje w modernizację systemów energetycznych oraz poprawę efektywności energetycznej niektórych państw członkowskich. Program przyczyni się do osiągnięcia celów ramowych dotyczących klimatu i energetyki określonych </w:t>
      </w:r>
      <w:r w:rsid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na poziomie krajowym oraz celów długoterminowych określonych w Porozumieniu Paryskim.</w:t>
      </w:r>
    </w:p>
    <w:p w14:paraId="5459E678" w14:textId="0E2660D2" w:rsidR="00D56D95" w:rsidRPr="0059150B" w:rsidRDefault="00AF29C2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Wskaźnik osiągnięcia celu programu </w:t>
      </w:r>
    </w:p>
    <w:p w14:paraId="24712685" w14:textId="77777777" w:rsidR="00D56D95" w:rsidRPr="0059150B" w:rsidRDefault="00AF29C2" w:rsidP="00865323">
      <w:pPr>
        <w:spacing w:before="120" w:after="12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>Stopień realizacji celu programu mierzony jest za pomocą wskaźnika osiągnięcia celu pn.</w:t>
      </w:r>
      <w:r w:rsidR="00BF4385" w:rsidRPr="0059150B">
        <w:rPr>
          <w:rFonts w:asciiTheme="minorHAnsi" w:hAnsiTheme="minorHAnsi" w:cstheme="minorHAnsi"/>
          <w:bCs/>
          <w:sz w:val="22"/>
          <w:szCs w:val="22"/>
        </w:rPr>
        <w:t>: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E0039E7" w14:textId="77777777" w:rsidR="00AE21FA" w:rsidRPr="0059150B" w:rsidRDefault="00AE21FA" w:rsidP="00865323">
      <w:pPr>
        <w:spacing w:after="120"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3FF2D79" w14:textId="6B5C4642" w:rsidR="00C16E56" w:rsidRPr="0059150B" w:rsidRDefault="00C16E56" w:rsidP="00865323">
      <w:pPr>
        <w:spacing w:after="12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Liczba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9150B">
        <w:rPr>
          <w:rFonts w:asciiTheme="minorHAnsi" w:hAnsiTheme="minorHAnsi" w:cstheme="minorHAnsi"/>
          <w:b/>
          <w:sz w:val="22"/>
          <w:szCs w:val="22"/>
        </w:rPr>
        <w:t>wymienionych nieefektywnych źródeł ciepła (spełniających zasadę DNSH)</w:t>
      </w:r>
    </w:p>
    <w:p w14:paraId="75F7E449" w14:textId="234E0EF3" w:rsidR="00AE21FA" w:rsidRPr="0059150B" w:rsidRDefault="00C16E56" w:rsidP="00865323">
      <w:pPr>
        <w:spacing w:before="120" w:after="12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lastRenderedPageBreak/>
        <w:t>Planowana wartość wskaźnika osiągnięcia celu wynosi</w:t>
      </w:r>
      <w:r w:rsidR="00DB4ED3">
        <w:rPr>
          <w:rFonts w:asciiTheme="minorHAnsi" w:hAnsiTheme="minorHAnsi" w:cstheme="minorHAnsi"/>
          <w:bCs/>
          <w:sz w:val="22"/>
          <w:szCs w:val="22"/>
        </w:rPr>
        <w:t xml:space="preserve"> co najmniej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 xml:space="preserve"> 1350</w:t>
      </w:r>
      <w:r w:rsidR="00DB4ED3">
        <w:rPr>
          <w:rFonts w:asciiTheme="minorHAnsi" w:hAnsiTheme="minorHAnsi" w:cstheme="minorHAnsi"/>
          <w:bCs/>
          <w:sz w:val="22"/>
          <w:szCs w:val="22"/>
        </w:rPr>
        <w:t xml:space="preserve"> sztuk.</w:t>
      </w:r>
    </w:p>
    <w:p w14:paraId="4F8DD6A3" w14:textId="2782CE6F" w:rsidR="00AF29C2" w:rsidRPr="0059150B" w:rsidRDefault="00AF29C2" w:rsidP="00865323">
      <w:pPr>
        <w:spacing w:before="120" w:after="120"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Liczba </w:t>
      </w:r>
      <w:r w:rsidR="001F0277" w:rsidRPr="0059150B">
        <w:rPr>
          <w:rFonts w:asciiTheme="minorHAnsi" w:hAnsiTheme="minorHAnsi" w:cstheme="minorHAnsi"/>
          <w:b/>
          <w:sz w:val="22"/>
          <w:szCs w:val="22"/>
        </w:rPr>
        <w:t>budynków objętych termomodernizacją</w:t>
      </w:r>
    </w:p>
    <w:p w14:paraId="727D76F6" w14:textId="725FC2C6" w:rsidR="00AE21FA" w:rsidRPr="0059150B" w:rsidRDefault="00AF29C2" w:rsidP="00865323">
      <w:pPr>
        <w:spacing w:before="120" w:after="12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 xml:space="preserve">Planowana wartość wskaźnika osiągnięcia celu wynosi co najmniej 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380 sztuk.</w:t>
      </w:r>
    </w:p>
    <w:p w14:paraId="7536D696" w14:textId="1B3DB1FF" w:rsidR="00524DAF" w:rsidRPr="0059150B" w:rsidRDefault="00524DAF" w:rsidP="00865323">
      <w:pPr>
        <w:spacing w:before="120" w:after="120"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Zmniejszenie emisji CO</w:t>
      </w:r>
      <w:r w:rsidRPr="00D26912">
        <w:rPr>
          <w:rFonts w:asciiTheme="minorHAnsi" w:hAnsiTheme="minorHAnsi" w:cstheme="minorHAnsi"/>
          <w:b/>
          <w:sz w:val="22"/>
          <w:szCs w:val="22"/>
          <w:vertAlign w:val="subscript"/>
        </w:rPr>
        <w:t>2</w:t>
      </w:r>
    </w:p>
    <w:p w14:paraId="6E29EA56" w14:textId="5EC01E0A" w:rsidR="00AE21FA" w:rsidRPr="0059150B" w:rsidRDefault="00524DAF" w:rsidP="00865323">
      <w:pPr>
        <w:spacing w:before="120" w:after="12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>Planowana wartość wskaźnika osiągnięc</w:t>
      </w:r>
      <w:r w:rsidR="007C77BD" w:rsidRPr="0059150B">
        <w:rPr>
          <w:rFonts w:asciiTheme="minorHAnsi" w:hAnsiTheme="minorHAnsi" w:cstheme="minorHAnsi"/>
          <w:bCs/>
          <w:sz w:val="22"/>
          <w:szCs w:val="22"/>
        </w:rPr>
        <w:t xml:space="preserve">ia celu 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wynosi co najmniej </w:t>
      </w:r>
      <w:r w:rsidR="00CF3E9A" w:rsidRPr="0059150B">
        <w:rPr>
          <w:rFonts w:asciiTheme="minorHAnsi" w:hAnsiTheme="minorHAnsi" w:cstheme="minorHAnsi"/>
          <w:bCs/>
          <w:sz w:val="22"/>
          <w:szCs w:val="22"/>
        </w:rPr>
        <w:t>5 000 MgCO</w:t>
      </w:r>
      <w:r w:rsidR="00CF3E9A" w:rsidRPr="00D26912">
        <w:rPr>
          <w:rFonts w:asciiTheme="minorHAnsi" w:hAnsiTheme="minorHAnsi" w:cstheme="minorHAnsi"/>
          <w:bCs/>
          <w:sz w:val="22"/>
          <w:szCs w:val="22"/>
          <w:vertAlign w:val="subscript"/>
        </w:rPr>
        <w:t>2</w:t>
      </w:r>
      <w:r w:rsidR="00CF3E9A" w:rsidRPr="0059150B">
        <w:rPr>
          <w:rFonts w:asciiTheme="minorHAnsi" w:hAnsiTheme="minorHAnsi" w:cstheme="minorHAnsi"/>
          <w:bCs/>
          <w:sz w:val="22"/>
          <w:szCs w:val="22"/>
        </w:rPr>
        <w:t>/rok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3C97E754" w14:textId="28E25443" w:rsidR="006C0A15" w:rsidRPr="0059150B" w:rsidRDefault="006C0A15" w:rsidP="00865323">
      <w:pPr>
        <w:spacing w:after="120"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Zmniejszenie zużycia </w:t>
      </w:r>
      <w:r w:rsidR="00BD0848" w:rsidRPr="0059150B">
        <w:rPr>
          <w:rFonts w:asciiTheme="minorHAnsi" w:hAnsiTheme="minorHAnsi" w:cstheme="minorHAnsi"/>
          <w:b/>
          <w:sz w:val="22"/>
          <w:szCs w:val="22"/>
        </w:rPr>
        <w:t xml:space="preserve">nieodnawialnej </w:t>
      </w:r>
      <w:r w:rsidRPr="0059150B">
        <w:rPr>
          <w:rFonts w:asciiTheme="minorHAnsi" w:hAnsiTheme="minorHAnsi" w:cstheme="minorHAnsi"/>
          <w:b/>
          <w:sz w:val="22"/>
          <w:szCs w:val="22"/>
        </w:rPr>
        <w:t>energii pierwotnej</w:t>
      </w:r>
    </w:p>
    <w:p w14:paraId="51BCB9EB" w14:textId="0B4D4612" w:rsidR="00AE21FA" w:rsidRPr="0059150B" w:rsidRDefault="006C0A15" w:rsidP="00865323">
      <w:pPr>
        <w:spacing w:after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Planowana wartość wskaźnika osiągnięcia celu wynosi co najmniej 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36 </w:t>
      </w:r>
      <w:r w:rsidR="00CF3E9A" w:rsidRPr="0059150B">
        <w:rPr>
          <w:rFonts w:asciiTheme="minorHAnsi" w:hAnsiTheme="minorHAnsi" w:cstheme="minorHAnsi"/>
          <w:sz w:val="22"/>
          <w:szCs w:val="22"/>
        </w:rPr>
        <w:t>000 GJ/rok</w:t>
      </w:r>
      <w:r w:rsidR="00FC23CB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59662BB8" w14:textId="0DC752E7" w:rsidR="00CF3E9A" w:rsidRPr="0059150B" w:rsidRDefault="00CF3E9A" w:rsidP="00865323">
      <w:pPr>
        <w:spacing w:before="100" w:beforeAutospacing="1" w:after="120"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Dodatkowa zdolność wytwarzania energii ze źródeł odnawialnych</w:t>
      </w:r>
    </w:p>
    <w:p w14:paraId="2C0E6A98" w14:textId="1570A970" w:rsidR="00CF3E9A" w:rsidRPr="0059150B" w:rsidRDefault="00CF3E9A" w:rsidP="00865323">
      <w:pPr>
        <w:spacing w:after="12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9150B">
        <w:rPr>
          <w:rFonts w:asciiTheme="minorHAnsi" w:hAnsiTheme="minorHAnsi" w:cstheme="minorHAnsi"/>
          <w:bCs/>
          <w:sz w:val="22"/>
          <w:szCs w:val="22"/>
        </w:rPr>
        <w:t xml:space="preserve">Planowana wartość wskaźnika osiągnięcia celu wynosi co najmniej 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5</w:t>
      </w:r>
      <w:r w:rsidRPr="0059150B">
        <w:rPr>
          <w:rFonts w:asciiTheme="minorHAnsi" w:hAnsiTheme="minorHAnsi" w:cstheme="minorHAnsi"/>
          <w:bCs/>
          <w:sz w:val="22"/>
          <w:szCs w:val="22"/>
        </w:rPr>
        <w:t xml:space="preserve"> MW</w:t>
      </w:r>
      <w:r w:rsidR="00FC23CB" w:rsidRPr="005915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CCF7AD" w14:textId="77777777" w:rsidR="00EB167C" w:rsidRPr="0059150B" w:rsidRDefault="00AF29C2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Budżet </w:t>
      </w:r>
    </w:p>
    <w:p w14:paraId="13F31F75" w14:textId="0E4D6CF9" w:rsidR="00AF29C2" w:rsidRPr="0059150B" w:rsidRDefault="00451E54" w:rsidP="00865323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Budżet na realizację celu programu</w:t>
      </w:r>
      <w:r w:rsidR="007A066F" w:rsidRPr="0059150B">
        <w:rPr>
          <w:rFonts w:asciiTheme="minorHAnsi" w:hAnsiTheme="minorHAnsi" w:cstheme="minorHAnsi"/>
          <w:sz w:val="22"/>
          <w:szCs w:val="22"/>
        </w:rPr>
        <w:t xml:space="preserve"> ze środków NFOŚiGW</w:t>
      </w:r>
      <w:r w:rsidRPr="0059150B">
        <w:rPr>
          <w:rFonts w:asciiTheme="minorHAnsi" w:hAnsiTheme="minorHAnsi" w:cstheme="minorHAnsi"/>
          <w:sz w:val="22"/>
          <w:szCs w:val="22"/>
        </w:rPr>
        <w:t xml:space="preserve"> wynosi dla bezzwrotnych form dofinansowania –</w:t>
      </w:r>
      <w:r w:rsidR="00680F62" w:rsidRPr="0059150B">
        <w:rPr>
          <w:rFonts w:asciiTheme="minorHAnsi" w:hAnsiTheme="minorHAnsi" w:cstheme="minorHAnsi"/>
          <w:sz w:val="22"/>
          <w:szCs w:val="22"/>
        </w:rPr>
        <w:t xml:space="preserve"> 500</w:t>
      </w:r>
      <w:r w:rsidR="008C48C8">
        <w:rPr>
          <w:rFonts w:asciiTheme="minorHAnsi" w:hAnsiTheme="minorHAnsi" w:cstheme="minorHAnsi"/>
          <w:sz w:val="22"/>
          <w:szCs w:val="22"/>
        </w:rPr>
        <w:t> 000 000,00</w:t>
      </w:r>
      <w:r w:rsidRPr="0059150B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710A8B6A" w14:textId="11036631" w:rsidR="00AF29C2" w:rsidRPr="0059150B" w:rsidRDefault="00AF29C2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Okres wdrażania </w:t>
      </w:r>
    </w:p>
    <w:p w14:paraId="5BA42F75" w14:textId="0CD7AE65" w:rsidR="00451E54" w:rsidRPr="0059150B" w:rsidRDefault="00451E54" w:rsidP="00865323">
      <w:pPr>
        <w:keepNext/>
        <w:keepLines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Program realizowany będzie w </w:t>
      </w:r>
      <w:r w:rsidR="008F61CF" w:rsidRPr="0059150B">
        <w:rPr>
          <w:rFonts w:asciiTheme="minorHAnsi" w:hAnsiTheme="minorHAnsi" w:cstheme="minorHAnsi"/>
          <w:sz w:val="22"/>
          <w:szCs w:val="22"/>
        </w:rPr>
        <w:t xml:space="preserve">latach </w:t>
      </w:r>
      <w:r w:rsidRPr="0059150B">
        <w:rPr>
          <w:rFonts w:asciiTheme="minorHAnsi" w:hAnsiTheme="minorHAnsi" w:cstheme="minorHAnsi"/>
          <w:sz w:val="22"/>
          <w:szCs w:val="22"/>
        </w:rPr>
        <w:t>202</w:t>
      </w:r>
      <w:r w:rsidR="00680F62" w:rsidRPr="0059150B">
        <w:rPr>
          <w:rFonts w:asciiTheme="minorHAnsi" w:hAnsiTheme="minorHAnsi" w:cstheme="minorHAnsi"/>
          <w:sz w:val="22"/>
          <w:szCs w:val="22"/>
        </w:rPr>
        <w:t>6</w:t>
      </w:r>
      <w:r w:rsidR="008F61CF" w:rsidRPr="0059150B">
        <w:rPr>
          <w:rFonts w:asciiTheme="minorHAnsi" w:hAnsiTheme="minorHAnsi" w:cstheme="minorHAnsi"/>
          <w:sz w:val="22"/>
          <w:szCs w:val="22"/>
        </w:rPr>
        <w:t xml:space="preserve"> - 20</w:t>
      </w:r>
      <w:r w:rsidR="00416E4E" w:rsidRPr="0059150B">
        <w:rPr>
          <w:rFonts w:asciiTheme="minorHAnsi" w:hAnsiTheme="minorHAnsi" w:cstheme="minorHAnsi"/>
          <w:sz w:val="22"/>
          <w:szCs w:val="22"/>
        </w:rPr>
        <w:t>30</w:t>
      </w:r>
      <w:r w:rsidRPr="0059150B">
        <w:rPr>
          <w:rFonts w:asciiTheme="minorHAnsi" w:hAnsiTheme="minorHAnsi" w:cstheme="minorHAnsi"/>
          <w:sz w:val="22"/>
          <w:szCs w:val="22"/>
        </w:rPr>
        <w:t>, przy czym:</w:t>
      </w:r>
    </w:p>
    <w:p w14:paraId="44BD9124" w14:textId="6646038C" w:rsidR="00451E54" w:rsidRPr="0059150B" w:rsidRDefault="00451E54" w:rsidP="008653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zobowiązania (rozumiane jako podpisywanie umów z </w:t>
      </w:r>
      <w:r w:rsidR="00D11CF5" w:rsidRPr="0059150B">
        <w:rPr>
          <w:rFonts w:asciiTheme="minorHAnsi" w:hAnsiTheme="minorHAnsi" w:cstheme="minorHAnsi"/>
          <w:sz w:val="22"/>
          <w:szCs w:val="22"/>
        </w:rPr>
        <w:t>beneficjentami</w:t>
      </w:r>
      <w:r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="007C6AB3" w:rsidRPr="0059150B">
        <w:rPr>
          <w:rFonts w:asciiTheme="minorHAnsi" w:hAnsiTheme="minorHAnsi" w:cstheme="minorHAnsi"/>
          <w:sz w:val="22"/>
          <w:szCs w:val="22"/>
        </w:rPr>
        <w:t xml:space="preserve">końcowymi </w:t>
      </w:r>
      <w:r w:rsidRPr="0059150B">
        <w:rPr>
          <w:rFonts w:asciiTheme="minorHAnsi" w:hAnsiTheme="minorHAnsi" w:cstheme="minorHAnsi"/>
          <w:sz w:val="22"/>
          <w:szCs w:val="22"/>
        </w:rPr>
        <w:t xml:space="preserve">wskazanymi </w:t>
      </w:r>
      <w:r w:rsidR="007C6AB3" w:rsidRPr="0059150B">
        <w:rPr>
          <w:rFonts w:asciiTheme="minorHAnsi" w:hAnsiTheme="minorHAnsi" w:cstheme="minorHAnsi"/>
          <w:sz w:val="22"/>
          <w:szCs w:val="22"/>
        </w:rPr>
        <w:br/>
      </w:r>
      <w:r w:rsidRPr="0059150B">
        <w:rPr>
          <w:rFonts w:asciiTheme="minorHAnsi" w:hAnsiTheme="minorHAnsi" w:cstheme="minorHAnsi"/>
          <w:sz w:val="22"/>
          <w:szCs w:val="22"/>
        </w:rPr>
        <w:t>w pkt 7.4.</w:t>
      </w:r>
      <w:r w:rsidR="007C6AB3" w:rsidRPr="0059150B">
        <w:rPr>
          <w:rFonts w:asciiTheme="minorHAnsi" w:hAnsiTheme="minorHAnsi" w:cstheme="minorHAnsi"/>
          <w:sz w:val="22"/>
          <w:szCs w:val="22"/>
        </w:rPr>
        <w:t>2</w:t>
      </w:r>
      <w:r w:rsidR="00AD6139">
        <w:rPr>
          <w:rFonts w:asciiTheme="minorHAnsi" w:hAnsiTheme="minorHAnsi" w:cstheme="minorHAnsi"/>
          <w:sz w:val="22"/>
          <w:szCs w:val="22"/>
        </w:rPr>
        <w:t>)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podejmowane będą do 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dnia 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12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55015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r.,</w:t>
      </w:r>
    </w:p>
    <w:p w14:paraId="54289E05" w14:textId="1CA0B008" w:rsidR="00AF29C2" w:rsidRPr="0059150B" w:rsidRDefault="00451E54" w:rsidP="0086532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środki wydatkowane przez </w:t>
      </w:r>
      <w:r w:rsidR="007E7915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beneficjenta,</w:t>
      </w:r>
      <w:r w:rsidR="00D11CF5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czyli wojewódzkie fundusze ochrony </w:t>
      </w:r>
      <w:r w:rsidR="004A5A1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środowiska i 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gospodarki wodnej (dalej: wfośigw)</w:t>
      </w:r>
      <w:r w:rsidR="00BE381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będą do dnia 3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12195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55015A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.20</w:t>
      </w:r>
      <w:r w:rsidR="00416E4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30</w:t>
      </w:r>
      <w:r w:rsidR="008757DB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</w:t>
      </w:r>
    </w:p>
    <w:p w14:paraId="3542F996" w14:textId="77777777" w:rsidR="00AF29C2" w:rsidRPr="0059150B" w:rsidRDefault="00AF29C2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Terminy i sposób składania wniosków</w:t>
      </w:r>
    </w:p>
    <w:p w14:paraId="403ECEA3" w14:textId="77777777" w:rsidR="00AF29C2" w:rsidRPr="0059150B" w:rsidRDefault="00AF29C2" w:rsidP="00865323">
      <w:pPr>
        <w:pStyle w:val="Default"/>
        <w:numPr>
          <w:ilvl w:val="0"/>
          <w:numId w:val="4"/>
        </w:numPr>
        <w:spacing w:before="120" w:line="360" w:lineRule="auto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Nabór wniosków prowadzony jest w trybie ciągłym. </w:t>
      </w:r>
    </w:p>
    <w:p w14:paraId="448A1975" w14:textId="2488E326" w:rsidR="00AF29C2" w:rsidRPr="0059150B" w:rsidRDefault="00AF29C2" w:rsidP="00865323">
      <w:pPr>
        <w:pStyle w:val="Default"/>
        <w:numPr>
          <w:ilvl w:val="0"/>
          <w:numId w:val="4"/>
        </w:numPr>
        <w:spacing w:line="360" w:lineRule="auto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Wnioski </w:t>
      </w:r>
      <w:r w:rsidR="00D11CF5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beneficjentów </w:t>
      </w:r>
      <w:r w:rsidR="007C6AB3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końcowych </w:t>
      </w:r>
      <w:r w:rsidR="00451E54" w:rsidRPr="0059150B">
        <w:rPr>
          <w:rFonts w:asciiTheme="minorHAnsi" w:hAnsiTheme="minorHAnsi" w:cstheme="minorHAnsi"/>
          <w:color w:val="auto"/>
          <w:sz w:val="22"/>
          <w:szCs w:val="22"/>
        </w:rPr>
        <w:t>wskazanych w pkt. 7.4</w:t>
      </w:r>
      <w:r w:rsidR="007C6AB3" w:rsidRPr="0059150B">
        <w:rPr>
          <w:rFonts w:asciiTheme="minorHAnsi" w:hAnsiTheme="minorHAnsi" w:cstheme="minorHAnsi"/>
          <w:color w:val="auto"/>
          <w:sz w:val="22"/>
          <w:szCs w:val="22"/>
        </w:rPr>
        <w:t>.2</w:t>
      </w:r>
      <w:r w:rsidR="00977D57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F61CF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będą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przyjmowane </w:t>
      </w:r>
      <w:r w:rsidR="00977D57" w:rsidRPr="0059150B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i obsługiwane przez</w:t>
      </w:r>
      <w:r w:rsidR="008757DB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wfośigw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, które zawrą z NFOŚiGW umowę udostępnienia środków. </w:t>
      </w:r>
    </w:p>
    <w:p w14:paraId="00FF79F8" w14:textId="5BD21B50" w:rsidR="00AF29C2" w:rsidRPr="0059150B" w:rsidRDefault="00AF29C2" w:rsidP="00865323">
      <w:pPr>
        <w:pStyle w:val="Default"/>
        <w:numPr>
          <w:ilvl w:val="0"/>
          <w:numId w:val="4"/>
        </w:numPr>
        <w:spacing w:line="360" w:lineRule="auto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>Terminy, sposób składania wniosków i ich rozpatrywania określone zostaną w ogłoszeniu o naborze, które zamieszczone będzie na stronie internetowej właściwego</w:t>
      </w:r>
      <w:r w:rsidR="008757DB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wfośigw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28DBB1" w14:textId="77777777" w:rsidR="004913FC" w:rsidRPr="0059150B" w:rsidRDefault="004913FC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Koszty kwalifikowane </w:t>
      </w:r>
    </w:p>
    <w:p w14:paraId="5680FA74" w14:textId="1AD97D45" w:rsidR="004913FC" w:rsidRPr="0059150B" w:rsidRDefault="004913FC" w:rsidP="00865323">
      <w:pPr>
        <w:pStyle w:val="Default"/>
        <w:numPr>
          <w:ilvl w:val="0"/>
          <w:numId w:val="5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>Okres kwalifikowalności kosztów rozumiany jako data wystawienia faktury dla beneficjenta końcowego wskazanego w pkt. 7.4.2: od dnia 0</w:t>
      </w:r>
      <w:r w:rsidR="00680F62" w:rsidRPr="0059150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80F62" w:rsidRPr="0059150B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680F62" w:rsidRPr="0059150B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r. do dnia 3</w:t>
      </w:r>
      <w:r w:rsidR="000F4443" w:rsidRPr="0059150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12195E" w:rsidRPr="0059150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F4443" w:rsidRPr="0059150B">
        <w:rPr>
          <w:rFonts w:asciiTheme="minorHAnsi" w:hAnsiTheme="minorHAnsi" w:cstheme="minorHAnsi"/>
          <w:color w:val="auto"/>
          <w:sz w:val="22"/>
          <w:szCs w:val="22"/>
        </w:rPr>
        <w:t>08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416E4E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30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r., z zastrzeżeniem, że </w:t>
      </w:r>
      <w:r w:rsidR="00C16E56" w:rsidRPr="0059150B">
        <w:rPr>
          <w:rFonts w:asciiTheme="minorHAnsi" w:hAnsiTheme="minorHAnsi" w:cstheme="minorHAnsi"/>
          <w:color w:val="auto"/>
          <w:sz w:val="22"/>
          <w:szCs w:val="22"/>
        </w:rPr>
        <w:t>inwestycja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nie </w:t>
      </w:r>
      <w:r w:rsidR="00BF4385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może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zosta</w:t>
      </w:r>
      <w:r w:rsidR="00BF4385" w:rsidRPr="0059150B">
        <w:rPr>
          <w:rFonts w:asciiTheme="minorHAnsi" w:hAnsiTheme="minorHAnsi" w:cstheme="minorHAnsi"/>
          <w:color w:val="auto"/>
          <w:sz w:val="22"/>
          <w:szCs w:val="22"/>
        </w:rPr>
        <w:t>ć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zakończone </w:t>
      </w:r>
      <w:r w:rsidR="009D6EA7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przed dniem 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>złożenia wniosku o dofinansowanie.</w:t>
      </w:r>
      <w:r w:rsidR="00DC7B4D"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26F1E6" w14:textId="41D18DE2" w:rsidR="00C16E56" w:rsidRPr="00FC7665" w:rsidRDefault="005E549C" w:rsidP="00865323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Do kosztów kwalifikowanych zalicza się wszystkie prace i elementy robót termomodernizacyjnych wskazane 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w „Wytycznych w zakresie kosztów kwalifikowanych" z uwzględnieniem „Ramowego Katalogu Kosztów Kwalifikowanych” </w:t>
      </w:r>
      <w:r w:rsidR="00FC4EC8" w:rsidRPr="0059150B">
        <w:rPr>
          <w:rFonts w:asciiTheme="minorHAnsi" w:hAnsiTheme="minorHAnsi" w:cstheme="minorHAnsi"/>
          <w:sz w:val="22"/>
          <w:szCs w:val="22"/>
        </w:rPr>
        <w:t>i wyszczególnione w audycie energetycznym dla budynku</w:t>
      </w:r>
      <w:bookmarkStart w:id="0" w:name="_Hlk219114998"/>
      <w:r w:rsidR="00DB4ED3">
        <w:rPr>
          <w:rFonts w:asciiTheme="minorHAnsi" w:hAnsiTheme="minorHAnsi"/>
          <w:sz w:val="22"/>
        </w:rPr>
        <w:t xml:space="preserve">, </w:t>
      </w:r>
      <w:r w:rsidR="0032500C">
        <w:rPr>
          <w:rFonts w:asciiTheme="minorHAnsi" w:hAnsiTheme="minorHAnsi"/>
          <w:sz w:val="22"/>
        </w:rPr>
        <w:br/>
      </w:r>
      <w:r w:rsidR="00DB4ED3" w:rsidRPr="00FC7665">
        <w:rPr>
          <w:rFonts w:asciiTheme="minorHAnsi" w:hAnsiTheme="minorHAnsi"/>
          <w:sz w:val="22"/>
        </w:rPr>
        <w:t>za wyjątkiem kosztów opisanych w pkt 3</w:t>
      </w:r>
      <w:r w:rsidR="007119ED">
        <w:rPr>
          <w:rFonts w:asciiTheme="minorHAnsi" w:hAnsiTheme="minorHAnsi"/>
          <w:sz w:val="22"/>
        </w:rPr>
        <w:t xml:space="preserve"> i 4.</w:t>
      </w:r>
    </w:p>
    <w:bookmarkEnd w:id="0"/>
    <w:p w14:paraId="20E1F1DC" w14:textId="6E87D04D" w:rsidR="00C16E56" w:rsidRDefault="00C16E56" w:rsidP="00865323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lastRenderedPageBreak/>
        <w:t>Koszty związane z elementami niewynikającymi z audytów energetycznych, jeżeli realizują szersze cele Europejskiego Zielonego Ładu, w tym strategii na rzecz Fali renowacji, np. zwiększenie powierzchni zielonych (zielone dachy, ściany), rozwój elektromobilności, rozwiązania na rzecz gospodarki o obiegu zamkniętym, infrastruktura związana z dostępnością, montaż urządzeń do magazynowania energii i służących cyfryzacji budynku kwalifikuje się do wysokości nieprzekraczającej 15% kosztów kwalifikowanych przedsięwzięcia.</w:t>
      </w:r>
    </w:p>
    <w:p w14:paraId="0E337AEA" w14:textId="18318413" w:rsidR="001053D4" w:rsidRPr="0059150B" w:rsidRDefault="001053D4" w:rsidP="00865323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053D4">
        <w:rPr>
          <w:rFonts w:asciiTheme="minorHAnsi" w:hAnsiTheme="minorHAnsi" w:cstheme="minorHAnsi"/>
          <w:sz w:val="22"/>
          <w:szCs w:val="22"/>
        </w:rPr>
        <w:t xml:space="preserve">Koszty zarządzania inwestycją są niekwalifikowane za wyjątkiem kosztów wynikających </w:t>
      </w:r>
      <w:r w:rsidR="009C38C4">
        <w:rPr>
          <w:rFonts w:asciiTheme="minorHAnsi" w:hAnsiTheme="minorHAnsi" w:cstheme="minorHAnsi"/>
          <w:sz w:val="22"/>
          <w:szCs w:val="22"/>
        </w:rPr>
        <w:br/>
      </w:r>
      <w:r w:rsidRPr="001053D4">
        <w:rPr>
          <w:rFonts w:asciiTheme="minorHAnsi" w:hAnsiTheme="minorHAnsi" w:cstheme="minorHAnsi"/>
          <w:sz w:val="22"/>
          <w:szCs w:val="22"/>
        </w:rPr>
        <w:t>z obowiązującego prawa (w tym w szczególności kosztów inspektora nadzoru)</w:t>
      </w:r>
      <w:r w:rsidR="00D10FAE">
        <w:rPr>
          <w:rFonts w:asciiTheme="minorHAnsi" w:hAnsiTheme="minorHAnsi" w:cstheme="minorHAnsi"/>
          <w:sz w:val="22"/>
          <w:szCs w:val="22"/>
        </w:rPr>
        <w:t>.</w:t>
      </w:r>
    </w:p>
    <w:p w14:paraId="5386CF49" w14:textId="2A4951B8" w:rsidR="00C16E56" w:rsidRPr="0059150B" w:rsidRDefault="00C16E56" w:rsidP="00865323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Nie kwalifikowane są koszty instalacji lub modernizacji źródeł ciepła na paliwa kopalne.</w:t>
      </w:r>
    </w:p>
    <w:p w14:paraId="29454BE5" w14:textId="43076730" w:rsidR="001852F2" w:rsidRPr="0059150B" w:rsidRDefault="00C81782" w:rsidP="00865323">
      <w:pPr>
        <w:pStyle w:val="Akapitzlist"/>
        <w:numPr>
          <w:ilvl w:val="0"/>
          <w:numId w:val="5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Podatek od towarów i usług (VAT) jest kosztem kwalifikowanym tylko wówczas, gdy jest on faktycznie i ostatecznie ponoszony przez beneficjenta, a beneficjent nie ma prawnej możliwości odliczenia podatku naliczonego od podatku należnego w jakiejkolwiek części, zgodnie z przepisami ustawy z dnia 11 marca 2004 r. o podatku od towarów i usług. Oznacza to, że w przypadkach, gdy beneficjent może odliczyć podatek VAT, ale rezygnuje z tej możliwości, podatek VAT nie jest kosztem kwalifikowanym. </w:t>
      </w:r>
      <w:r w:rsidR="00FC23CB" w:rsidRPr="0059150B">
        <w:rPr>
          <w:rFonts w:asciiTheme="minorHAnsi" w:hAnsiTheme="minorHAnsi" w:cstheme="minorHAnsi"/>
          <w:sz w:val="22"/>
          <w:szCs w:val="22"/>
        </w:rPr>
        <w:t>Zasady kwalifikowalności opisane są szczegółowo w „Wytycznych w</w:t>
      </w:r>
      <w:r w:rsidR="00DB4ED3">
        <w:rPr>
          <w:rFonts w:asciiTheme="minorHAnsi" w:hAnsiTheme="minorHAnsi" w:cstheme="minorHAnsi"/>
          <w:sz w:val="22"/>
          <w:szCs w:val="22"/>
        </w:rPr>
        <w:t> </w:t>
      </w:r>
      <w:r w:rsidR="00FC23CB" w:rsidRPr="0059150B">
        <w:rPr>
          <w:rFonts w:asciiTheme="minorHAnsi" w:hAnsiTheme="minorHAnsi" w:cstheme="minorHAnsi"/>
          <w:sz w:val="22"/>
          <w:szCs w:val="22"/>
        </w:rPr>
        <w:t xml:space="preserve">zakresie kosztów kwalifikowanych”. </w:t>
      </w:r>
    </w:p>
    <w:p w14:paraId="0099D60F" w14:textId="77777777" w:rsidR="00AF29C2" w:rsidRPr="0059150B" w:rsidRDefault="00AF29C2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360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Formy i warunki udzielania dofinansowania </w:t>
      </w:r>
    </w:p>
    <w:p w14:paraId="28B5AEFB" w14:textId="77777777" w:rsidR="00AF29C2" w:rsidRPr="0059150B" w:rsidRDefault="00AF29C2" w:rsidP="00865323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360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Formy dofinansowania</w:t>
      </w:r>
    </w:p>
    <w:p w14:paraId="40627FD5" w14:textId="75401D23" w:rsidR="00A03473" w:rsidRPr="0059150B" w:rsidRDefault="001A5D20" w:rsidP="00865323">
      <w:pPr>
        <w:tabs>
          <w:tab w:val="left" w:pos="426"/>
          <w:tab w:val="left" w:pos="4704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Udostępnienie</w:t>
      </w:r>
      <w:r w:rsidRPr="0059150B">
        <w:rPr>
          <w:rFonts w:asciiTheme="minorHAnsi" w:hAnsiTheme="minorHAnsi" w:cstheme="minorHAnsi"/>
          <w:sz w:val="22"/>
          <w:szCs w:val="22"/>
        </w:rPr>
        <w:t xml:space="preserve"> środków dla wfośigw, z przeznaczeniem na udzielanie dotacji </w:t>
      </w:r>
      <w:r w:rsidR="00470EC4" w:rsidRPr="0059150B">
        <w:rPr>
          <w:rFonts w:asciiTheme="minorHAnsi" w:hAnsiTheme="minorHAnsi" w:cstheme="minorHAnsi"/>
          <w:sz w:val="22"/>
          <w:szCs w:val="22"/>
        </w:rPr>
        <w:t xml:space="preserve">beneficjentom </w:t>
      </w:r>
      <w:r w:rsidR="006737D6" w:rsidRPr="0059150B">
        <w:rPr>
          <w:rFonts w:asciiTheme="minorHAnsi" w:hAnsiTheme="minorHAnsi" w:cstheme="minorHAnsi"/>
          <w:sz w:val="22"/>
          <w:szCs w:val="22"/>
        </w:rPr>
        <w:t>końcowym</w:t>
      </w:r>
      <w:r w:rsidR="00E73B25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2F42EF25" w14:textId="77777777" w:rsidR="00AF29C2" w:rsidRPr="0059150B" w:rsidRDefault="00AF29C2" w:rsidP="00865323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360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Intensywność dofinansowania </w:t>
      </w:r>
    </w:p>
    <w:p w14:paraId="2971BCE3" w14:textId="5BD569AF" w:rsidR="00D75869" w:rsidRDefault="00526B3A" w:rsidP="00865323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Do 100% kosztów kwalifikowanych</w:t>
      </w:r>
      <w:r w:rsidR="00C16E56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0CDDEBB0" w14:textId="6B214B3E" w:rsidR="009C38C4" w:rsidRDefault="009C38C4" w:rsidP="00865323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9C38C4">
        <w:rPr>
          <w:rFonts w:asciiTheme="minorHAnsi" w:hAnsiTheme="minorHAnsi" w:cstheme="minorHAnsi"/>
          <w:sz w:val="22"/>
          <w:szCs w:val="22"/>
        </w:rPr>
        <w:t xml:space="preserve">ednostkowy koszt kwalifikowany wyrażony jako iloraz kosztów kwalifikowanych do powierzchni </w:t>
      </w:r>
      <w:r>
        <w:rPr>
          <w:rFonts w:asciiTheme="minorHAnsi" w:hAnsiTheme="minorHAnsi" w:cstheme="minorHAnsi"/>
          <w:sz w:val="22"/>
          <w:szCs w:val="22"/>
        </w:rPr>
        <w:br/>
      </w:r>
      <w:r w:rsidRPr="009C38C4">
        <w:rPr>
          <w:rFonts w:asciiTheme="minorHAnsi" w:hAnsiTheme="minorHAnsi" w:cstheme="minorHAnsi"/>
          <w:sz w:val="22"/>
          <w:szCs w:val="22"/>
        </w:rPr>
        <w:t>o regulowanej temperaturze powietrza nie może przekraczać wartości 2 000 zł za 1 m</w:t>
      </w:r>
      <w:r w:rsidRPr="0032500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9C38C4">
        <w:rPr>
          <w:rFonts w:asciiTheme="minorHAnsi" w:hAnsiTheme="minorHAnsi" w:cstheme="minorHAnsi"/>
          <w:sz w:val="22"/>
          <w:szCs w:val="22"/>
        </w:rPr>
        <w:t xml:space="preserve"> powierzchni </w:t>
      </w:r>
      <w:r>
        <w:rPr>
          <w:rFonts w:asciiTheme="minorHAnsi" w:hAnsiTheme="minorHAnsi" w:cstheme="minorHAnsi"/>
          <w:sz w:val="22"/>
          <w:szCs w:val="22"/>
        </w:rPr>
        <w:br/>
      </w:r>
      <w:r w:rsidRPr="009C38C4">
        <w:rPr>
          <w:rFonts w:asciiTheme="minorHAnsi" w:hAnsiTheme="minorHAnsi" w:cstheme="minorHAnsi"/>
          <w:sz w:val="22"/>
          <w:szCs w:val="22"/>
        </w:rPr>
        <w:t>o regulowanej temperaturze powietrza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96BB67" w14:textId="638E5248" w:rsidR="009C38C4" w:rsidRPr="0059150B" w:rsidRDefault="009C38C4" w:rsidP="00865323">
      <w:pPr>
        <w:spacing w:before="120" w:after="120" w:line="36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9C38C4">
        <w:rPr>
          <w:rFonts w:asciiTheme="minorHAnsi" w:hAnsiTheme="minorHAnsi" w:cstheme="minorHAnsi"/>
          <w:sz w:val="22"/>
          <w:szCs w:val="22"/>
        </w:rPr>
        <w:t xml:space="preserve">W przypadku, gdy powierzchnia o regulowanej temperaturze powietrza wskazana w audycie ex-post (na podstawie dokumentacji powykonawczej) różni się nie więcej niż o 5% od wartości ww. powierzchni wyliczonej w audycie ex-ante to wyliczenie dofinansowania uznaje się za prawidłowe </w:t>
      </w:r>
      <w:r>
        <w:rPr>
          <w:rFonts w:asciiTheme="minorHAnsi" w:hAnsiTheme="minorHAnsi" w:cstheme="minorHAnsi"/>
          <w:sz w:val="22"/>
          <w:szCs w:val="22"/>
        </w:rPr>
        <w:br/>
      </w:r>
      <w:r w:rsidRPr="009C38C4">
        <w:rPr>
          <w:rFonts w:asciiTheme="minorHAnsi" w:hAnsiTheme="minorHAnsi" w:cstheme="minorHAnsi"/>
          <w:sz w:val="22"/>
          <w:szCs w:val="22"/>
        </w:rPr>
        <w:t>i zgodne z wyliczeniem na podstawie audytu ex-ante. W przypadku przekroczeń 5% różnicy, o której mowa w zdaniu poprzedzającym, NFOŚiGW zachowuje prawo do zmiany kwoty dofinansowania.</w:t>
      </w:r>
    </w:p>
    <w:p w14:paraId="7AFACDAB" w14:textId="2D383425" w:rsidR="00AF29C2" w:rsidRPr="0059150B" w:rsidRDefault="00AF29C2" w:rsidP="00865323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Warunki dofinansowania</w:t>
      </w:r>
      <w:r w:rsidR="00D00461" w:rsidRPr="0059150B">
        <w:rPr>
          <w:rFonts w:asciiTheme="minorHAnsi" w:hAnsiTheme="minorHAnsi" w:cstheme="minorHAnsi"/>
          <w:b/>
          <w:sz w:val="22"/>
          <w:szCs w:val="22"/>
        </w:rPr>
        <w:t xml:space="preserve"> z udziałem środków NFOŚiGW udzielanego przez </w:t>
      </w:r>
      <w:r w:rsidR="00D11CF5" w:rsidRPr="0059150B">
        <w:rPr>
          <w:rFonts w:asciiTheme="minorHAnsi" w:hAnsiTheme="minorHAnsi" w:cstheme="minorHAnsi"/>
          <w:b/>
          <w:sz w:val="22"/>
          <w:szCs w:val="22"/>
        </w:rPr>
        <w:t xml:space="preserve">wfośigw </w:t>
      </w:r>
      <w:r w:rsidR="00470EC4" w:rsidRPr="0059150B">
        <w:rPr>
          <w:rFonts w:asciiTheme="minorHAnsi" w:hAnsiTheme="minorHAnsi" w:cstheme="minorHAnsi"/>
          <w:b/>
          <w:sz w:val="22"/>
          <w:szCs w:val="22"/>
        </w:rPr>
        <w:t xml:space="preserve">beneficjentom </w:t>
      </w:r>
      <w:r w:rsidR="00D00461" w:rsidRPr="0059150B">
        <w:rPr>
          <w:rFonts w:asciiTheme="minorHAnsi" w:hAnsiTheme="minorHAnsi" w:cstheme="minorHAnsi"/>
          <w:b/>
          <w:sz w:val="22"/>
          <w:szCs w:val="22"/>
        </w:rPr>
        <w:t>końcowym</w:t>
      </w:r>
    </w:p>
    <w:p w14:paraId="53745397" w14:textId="7581976E" w:rsidR="00D00461" w:rsidRPr="0059150B" w:rsidRDefault="00163AAE" w:rsidP="00865323">
      <w:pPr>
        <w:pStyle w:val="Akapitzlist"/>
        <w:numPr>
          <w:ilvl w:val="0"/>
          <w:numId w:val="10"/>
        </w:numPr>
        <w:tabs>
          <w:tab w:val="left" w:pos="426"/>
          <w:tab w:val="left" w:pos="4704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lastRenderedPageBreak/>
        <w:t>U</w:t>
      </w:r>
      <w:r w:rsidR="00D00461" w:rsidRPr="0059150B">
        <w:rPr>
          <w:rFonts w:asciiTheme="minorHAnsi" w:hAnsiTheme="minorHAnsi" w:cstheme="minorHAnsi"/>
          <w:sz w:val="22"/>
          <w:szCs w:val="22"/>
        </w:rPr>
        <w:t xml:space="preserve">dzielając dotacji ze środków udostępnionych przez NFOŚiGW, </w:t>
      </w:r>
      <w:r w:rsidR="00D11CF5" w:rsidRPr="0059150B">
        <w:rPr>
          <w:rFonts w:asciiTheme="minorHAnsi" w:hAnsiTheme="minorHAnsi" w:cstheme="minorHAnsi"/>
          <w:sz w:val="22"/>
          <w:szCs w:val="22"/>
        </w:rPr>
        <w:t xml:space="preserve">wfośigw </w:t>
      </w:r>
      <w:r w:rsidR="00D00461" w:rsidRPr="0059150B">
        <w:rPr>
          <w:rFonts w:asciiTheme="minorHAnsi" w:hAnsiTheme="minorHAnsi" w:cstheme="minorHAnsi"/>
          <w:sz w:val="22"/>
          <w:szCs w:val="22"/>
        </w:rPr>
        <w:t>działa we własnym imieniu na rzecz NFOŚiGW</w:t>
      </w:r>
      <w:r w:rsidRPr="0059150B">
        <w:rPr>
          <w:rFonts w:asciiTheme="minorHAnsi" w:hAnsiTheme="minorHAnsi" w:cstheme="minorHAnsi"/>
          <w:sz w:val="22"/>
          <w:szCs w:val="22"/>
        </w:rPr>
        <w:t>.</w:t>
      </w:r>
    </w:p>
    <w:p w14:paraId="09506BD2" w14:textId="3EBA3394" w:rsidR="00163AAE" w:rsidRPr="0059150B" w:rsidRDefault="00163AAE" w:rsidP="00865323">
      <w:pPr>
        <w:pStyle w:val="Akapitzlist"/>
        <w:numPr>
          <w:ilvl w:val="0"/>
          <w:numId w:val="10"/>
        </w:numPr>
        <w:tabs>
          <w:tab w:val="left" w:pos="426"/>
          <w:tab w:val="left" w:pos="4704"/>
        </w:tabs>
        <w:spacing w:before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Dofinansowanie nie będzie udzielane na te same koszty inwestycji, które zostały sfinansowane w</w:t>
      </w:r>
      <w:r w:rsidR="00DB4ED3">
        <w:rPr>
          <w:rFonts w:asciiTheme="minorHAnsi" w:hAnsiTheme="minorHAnsi" w:cstheme="minorHAnsi"/>
          <w:sz w:val="22"/>
          <w:szCs w:val="22"/>
        </w:rPr>
        <w:t> </w:t>
      </w:r>
      <w:r w:rsidRPr="0059150B">
        <w:rPr>
          <w:rFonts w:asciiTheme="minorHAnsi" w:hAnsiTheme="minorHAnsi" w:cstheme="minorHAnsi"/>
          <w:sz w:val="22"/>
          <w:szCs w:val="22"/>
        </w:rPr>
        <w:t>ramach planu rozwojowego lub innych publicznych środków krajowych lub zagranicznych, w</w:t>
      </w:r>
      <w:r w:rsidR="00DB4ED3">
        <w:rPr>
          <w:rFonts w:asciiTheme="minorHAnsi" w:hAnsiTheme="minorHAnsi" w:cstheme="minorHAnsi"/>
          <w:sz w:val="22"/>
          <w:szCs w:val="22"/>
        </w:rPr>
        <w:t> </w:t>
      </w:r>
      <w:r w:rsidRPr="0059150B">
        <w:rPr>
          <w:rFonts w:asciiTheme="minorHAnsi" w:hAnsiTheme="minorHAnsi" w:cstheme="minorHAnsi"/>
          <w:sz w:val="22"/>
          <w:szCs w:val="22"/>
        </w:rPr>
        <w:t>tym ze środków budżetu Unii Europejskiej, dotyczy to również przypadków kiedy umowa dotycząca sfinansowania została rozwiązana na wniosek beneficjenta</w:t>
      </w:r>
    </w:p>
    <w:p w14:paraId="403DAC49" w14:textId="6EB92900" w:rsidR="007A066F" w:rsidRDefault="00163AAE" w:rsidP="00865323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360" w:lineRule="auto"/>
        <w:ind w:left="426" w:hanging="426"/>
        <w:jc w:val="left"/>
        <w:rPr>
          <w:rFonts w:cstheme="minorHAnsi"/>
          <w:szCs w:val="22"/>
        </w:rPr>
      </w:pPr>
      <w:r w:rsidRPr="0059150B">
        <w:rPr>
          <w:rFonts w:cstheme="minorHAnsi"/>
          <w:szCs w:val="22"/>
        </w:rPr>
        <w:t>I</w:t>
      </w:r>
      <w:r w:rsidR="00C16E56" w:rsidRPr="0059150B">
        <w:rPr>
          <w:rFonts w:cstheme="minorHAnsi"/>
          <w:szCs w:val="22"/>
        </w:rPr>
        <w:t>nwestycja</w:t>
      </w:r>
      <w:r w:rsidR="002C060C" w:rsidRPr="0059150B">
        <w:rPr>
          <w:rFonts w:cstheme="minorHAnsi"/>
          <w:szCs w:val="22"/>
        </w:rPr>
        <w:t xml:space="preserve"> nie może </w:t>
      </w:r>
      <w:r w:rsidR="00CA69EC" w:rsidRPr="0059150B">
        <w:rPr>
          <w:rFonts w:cstheme="minorHAnsi"/>
          <w:szCs w:val="22"/>
        </w:rPr>
        <w:t>zostać zakończon</w:t>
      </w:r>
      <w:r w:rsidR="00C16E56" w:rsidRPr="0059150B">
        <w:rPr>
          <w:rFonts w:cstheme="minorHAnsi"/>
          <w:szCs w:val="22"/>
        </w:rPr>
        <w:t>a</w:t>
      </w:r>
      <w:r w:rsidR="00CA69EC" w:rsidRPr="0059150B">
        <w:rPr>
          <w:rFonts w:cstheme="minorHAnsi"/>
          <w:szCs w:val="22"/>
        </w:rPr>
        <w:t xml:space="preserve"> </w:t>
      </w:r>
      <w:r w:rsidR="002C060C" w:rsidRPr="0059150B">
        <w:rPr>
          <w:rFonts w:cstheme="minorHAnsi"/>
          <w:szCs w:val="22"/>
        </w:rPr>
        <w:t>przed dniem złożenia wniosku o dofinansowanie</w:t>
      </w:r>
      <w:r w:rsidRPr="0059150B">
        <w:rPr>
          <w:rFonts w:cstheme="minorHAnsi"/>
          <w:szCs w:val="22"/>
        </w:rPr>
        <w:t>.</w:t>
      </w:r>
    </w:p>
    <w:p w14:paraId="193A3879" w14:textId="1A0309BA" w:rsidR="00757910" w:rsidRPr="0059150B" w:rsidRDefault="00757910" w:rsidP="00865323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360" w:lineRule="auto"/>
        <w:ind w:left="426" w:hanging="426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t>Inwestycja musi prowadzić do</w:t>
      </w:r>
      <w:r w:rsidR="007119ED">
        <w:rPr>
          <w:rFonts w:cstheme="minorHAnsi"/>
          <w:szCs w:val="22"/>
        </w:rPr>
        <w:t xml:space="preserve"> likwidacji</w:t>
      </w:r>
      <w:r>
        <w:rPr>
          <w:rFonts w:cstheme="minorHAnsi"/>
          <w:szCs w:val="22"/>
        </w:rPr>
        <w:t xml:space="preserve"> źródła ciepła na stałe paliwa</w:t>
      </w:r>
      <w:r w:rsidR="007119ED" w:rsidRPr="007119ED">
        <w:t xml:space="preserve"> </w:t>
      </w:r>
      <w:r w:rsidR="007119ED" w:rsidRPr="007119ED">
        <w:rPr>
          <w:rFonts w:cstheme="minorHAnsi"/>
          <w:szCs w:val="22"/>
        </w:rPr>
        <w:t>kopalne</w:t>
      </w:r>
      <w:r>
        <w:rPr>
          <w:rFonts w:cstheme="minorHAnsi"/>
          <w:szCs w:val="22"/>
        </w:rPr>
        <w:t>.</w:t>
      </w:r>
    </w:p>
    <w:p w14:paraId="5EFB9C25" w14:textId="1BC2DEFD" w:rsidR="00CA69EC" w:rsidRPr="0059150B" w:rsidRDefault="00163AAE" w:rsidP="00865323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360" w:lineRule="auto"/>
        <w:ind w:left="426" w:hanging="426"/>
        <w:jc w:val="left"/>
        <w:rPr>
          <w:rFonts w:cstheme="minorHAnsi"/>
          <w:szCs w:val="22"/>
        </w:rPr>
      </w:pPr>
      <w:r w:rsidRPr="0059150B">
        <w:rPr>
          <w:rFonts w:cstheme="minorHAnsi"/>
          <w:szCs w:val="22"/>
        </w:rPr>
        <w:t xml:space="preserve">W </w:t>
      </w:r>
      <w:r w:rsidR="00BD1B0C" w:rsidRPr="0059150B">
        <w:rPr>
          <w:rFonts w:cstheme="minorHAnsi"/>
          <w:szCs w:val="22"/>
        </w:rPr>
        <w:t>umowie o dofinansowanie</w:t>
      </w:r>
      <w:r w:rsidRPr="0059150B">
        <w:rPr>
          <w:rFonts w:cstheme="minorHAnsi"/>
          <w:szCs w:val="22"/>
        </w:rPr>
        <w:t xml:space="preserve"> z beneficjentem końcowym</w:t>
      </w:r>
      <w:r w:rsidR="00BD1B0C" w:rsidRPr="0059150B">
        <w:rPr>
          <w:rFonts w:cstheme="minorHAnsi"/>
          <w:szCs w:val="22"/>
        </w:rPr>
        <w:t xml:space="preserve"> należy wskazać termin zakończenia </w:t>
      </w:r>
      <w:r w:rsidR="00C16E56" w:rsidRPr="0059150B">
        <w:rPr>
          <w:rFonts w:cstheme="minorHAnsi"/>
          <w:szCs w:val="22"/>
        </w:rPr>
        <w:t>inwestycji</w:t>
      </w:r>
      <w:r w:rsidRPr="0059150B">
        <w:rPr>
          <w:rFonts w:cstheme="minorHAnsi"/>
          <w:szCs w:val="22"/>
        </w:rPr>
        <w:t>.</w:t>
      </w:r>
    </w:p>
    <w:p w14:paraId="625D7848" w14:textId="5CDCD5AA" w:rsidR="002C060C" w:rsidRPr="0059150B" w:rsidRDefault="00163AAE" w:rsidP="00865323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360" w:lineRule="auto"/>
        <w:ind w:left="426" w:hanging="426"/>
        <w:jc w:val="left"/>
        <w:rPr>
          <w:rFonts w:cstheme="minorHAnsi"/>
          <w:szCs w:val="22"/>
        </w:rPr>
      </w:pPr>
      <w:r w:rsidRPr="0059150B">
        <w:rPr>
          <w:rFonts w:cstheme="minorHAnsi"/>
          <w:szCs w:val="22"/>
        </w:rPr>
        <w:t>B</w:t>
      </w:r>
      <w:r w:rsidR="00470EC4" w:rsidRPr="0059150B">
        <w:rPr>
          <w:rFonts w:cstheme="minorHAnsi"/>
          <w:szCs w:val="22"/>
        </w:rPr>
        <w:t xml:space="preserve">eneficjent </w:t>
      </w:r>
      <w:r w:rsidR="00F041F3" w:rsidRPr="0059150B">
        <w:rPr>
          <w:rFonts w:cstheme="minorHAnsi"/>
          <w:szCs w:val="22"/>
        </w:rPr>
        <w:t xml:space="preserve">końcowy </w:t>
      </w:r>
      <w:r w:rsidR="002C060C" w:rsidRPr="0059150B">
        <w:rPr>
          <w:rFonts w:cstheme="minorHAnsi"/>
          <w:szCs w:val="22"/>
        </w:rPr>
        <w:t>zobowiązany jest do eksploatacji instalacji</w:t>
      </w:r>
      <w:r w:rsidR="003035CC" w:rsidRPr="0059150B">
        <w:rPr>
          <w:rFonts w:cstheme="minorHAnsi"/>
          <w:szCs w:val="22"/>
        </w:rPr>
        <w:t xml:space="preserve"> i urządzeń</w:t>
      </w:r>
      <w:r w:rsidR="002C060C" w:rsidRPr="0059150B">
        <w:rPr>
          <w:rFonts w:cstheme="minorHAnsi"/>
          <w:szCs w:val="22"/>
        </w:rPr>
        <w:t xml:space="preserve"> (</w:t>
      </w:r>
      <w:r w:rsidR="00EF6DC9" w:rsidRPr="0059150B">
        <w:rPr>
          <w:rFonts w:cstheme="minorHAnsi"/>
          <w:szCs w:val="22"/>
        </w:rPr>
        <w:t xml:space="preserve">we </w:t>
      </w:r>
      <w:r w:rsidR="002C060C" w:rsidRPr="0059150B">
        <w:rPr>
          <w:rFonts w:cstheme="minorHAnsi"/>
          <w:szCs w:val="22"/>
        </w:rPr>
        <w:t>wskazanej we</w:t>
      </w:r>
      <w:r w:rsidR="002A4146" w:rsidRPr="0059150B">
        <w:rPr>
          <w:rFonts w:cstheme="minorHAnsi"/>
          <w:szCs w:val="22"/>
        </w:rPr>
        <w:t> </w:t>
      </w:r>
      <w:r w:rsidR="002C060C" w:rsidRPr="0059150B">
        <w:rPr>
          <w:rFonts w:cstheme="minorHAnsi"/>
          <w:szCs w:val="22"/>
        </w:rPr>
        <w:t xml:space="preserve">wniosku lokalizacji) przez co najmniej </w:t>
      </w:r>
      <w:r w:rsidR="00AF3032" w:rsidRPr="0059150B">
        <w:rPr>
          <w:rFonts w:cstheme="minorHAnsi"/>
          <w:szCs w:val="22"/>
        </w:rPr>
        <w:t>5</w:t>
      </w:r>
      <w:r w:rsidR="002C060C" w:rsidRPr="0059150B">
        <w:rPr>
          <w:rFonts w:cstheme="minorHAnsi"/>
          <w:szCs w:val="22"/>
        </w:rPr>
        <w:t xml:space="preserve"> lat od dnia zakończenia </w:t>
      </w:r>
      <w:r w:rsidR="00C16E56" w:rsidRPr="0059150B">
        <w:rPr>
          <w:rFonts w:cstheme="minorHAnsi"/>
          <w:szCs w:val="22"/>
        </w:rPr>
        <w:t>inwestycji</w:t>
      </w:r>
      <w:r w:rsidR="0059150B" w:rsidRPr="0059150B">
        <w:rPr>
          <w:rFonts w:cstheme="minorHAnsi"/>
          <w:szCs w:val="22"/>
        </w:rPr>
        <w:t>.</w:t>
      </w:r>
    </w:p>
    <w:p w14:paraId="23C10E09" w14:textId="5C81BF28" w:rsidR="00A01828" w:rsidRPr="0059150B" w:rsidRDefault="00163AAE" w:rsidP="00865323">
      <w:pPr>
        <w:pStyle w:val="StylSTYLNUMERPierwszywiersz0cm"/>
        <w:numPr>
          <w:ilvl w:val="0"/>
          <w:numId w:val="10"/>
        </w:numPr>
        <w:tabs>
          <w:tab w:val="left" w:pos="426"/>
        </w:tabs>
        <w:spacing w:before="0" w:line="360" w:lineRule="auto"/>
        <w:ind w:left="426" w:hanging="426"/>
        <w:jc w:val="left"/>
        <w:rPr>
          <w:rFonts w:cstheme="minorHAnsi"/>
          <w:szCs w:val="22"/>
        </w:rPr>
      </w:pPr>
      <w:r w:rsidRPr="0059150B">
        <w:rPr>
          <w:rFonts w:cstheme="minorHAnsi"/>
          <w:szCs w:val="22"/>
        </w:rPr>
        <w:t>W</w:t>
      </w:r>
      <w:r w:rsidR="00A01828" w:rsidRPr="0059150B">
        <w:rPr>
          <w:rFonts w:cstheme="minorHAnsi"/>
          <w:szCs w:val="22"/>
        </w:rPr>
        <w:t xml:space="preserve"> przypadku, w którym na powierzchni przekraczającej 20% części budynku podlegającej </w:t>
      </w:r>
      <w:r w:rsidR="00B63A15" w:rsidRPr="0059150B">
        <w:rPr>
          <w:rFonts w:cstheme="minorHAnsi"/>
          <w:szCs w:val="22"/>
        </w:rPr>
        <w:t>modernizacji energetycznej,</w:t>
      </w:r>
      <w:r w:rsidR="00A01828" w:rsidRPr="0059150B">
        <w:rPr>
          <w:rFonts w:cstheme="minorHAnsi"/>
          <w:szCs w:val="22"/>
        </w:rPr>
        <w:t xml:space="preserve"> w ramach projektu prowadzona będzie działalność gospodarcza (rozumiana zgodnie z unijnym prawem konkurencji</w:t>
      </w:r>
      <w:r w:rsidR="00A01828" w:rsidRPr="0059150B">
        <w:rPr>
          <w:rStyle w:val="Odwoanieprzypisudolnego"/>
          <w:rFonts w:cstheme="minorHAnsi"/>
          <w:szCs w:val="22"/>
        </w:rPr>
        <w:footnoteReference w:id="3"/>
      </w:r>
      <w:r w:rsidR="00A01828" w:rsidRPr="0059150B">
        <w:rPr>
          <w:rFonts w:cstheme="minorHAnsi"/>
          <w:szCs w:val="22"/>
        </w:rPr>
        <w:t xml:space="preserve">), </w:t>
      </w:r>
      <w:r w:rsidR="00C16E56" w:rsidRPr="0059150B">
        <w:rPr>
          <w:rFonts w:cstheme="minorHAnsi"/>
          <w:szCs w:val="22"/>
        </w:rPr>
        <w:t>inwestyc</w:t>
      </w:r>
      <w:r w:rsidR="00416E4E" w:rsidRPr="0059150B">
        <w:rPr>
          <w:rFonts w:cstheme="minorHAnsi"/>
          <w:szCs w:val="22"/>
        </w:rPr>
        <w:t>j</w:t>
      </w:r>
      <w:r w:rsidR="00C16E56" w:rsidRPr="0059150B">
        <w:rPr>
          <w:rFonts w:cstheme="minorHAnsi"/>
          <w:szCs w:val="22"/>
        </w:rPr>
        <w:t>a</w:t>
      </w:r>
      <w:r w:rsidR="00A01828" w:rsidRPr="0059150B">
        <w:rPr>
          <w:rFonts w:cstheme="minorHAnsi"/>
          <w:szCs w:val="22"/>
        </w:rPr>
        <w:t xml:space="preserve"> nie kwalifikuje się do</w:t>
      </w:r>
      <w:r w:rsidR="002A4146" w:rsidRPr="0059150B">
        <w:rPr>
          <w:rFonts w:cstheme="minorHAnsi"/>
          <w:szCs w:val="22"/>
        </w:rPr>
        <w:t> </w:t>
      </w:r>
      <w:r w:rsidR="00A01828" w:rsidRPr="0059150B">
        <w:rPr>
          <w:rFonts w:cstheme="minorHAnsi"/>
          <w:szCs w:val="22"/>
        </w:rPr>
        <w:t>dofinansowania w zakresie tego budynku.</w:t>
      </w:r>
    </w:p>
    <w:p w14:paraId="48759516" w14:textId="77777777" w:rsidR="00AF29C2" w:rsidRPr="0059150B" w:rsidRDefault="00AF29C2" w:rsidP="00865323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240" w:after="120" w:line="360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Beneficjenci </w:t>
      </w:r>
    </w:p>
    <w:p w14:paraId="5420CB5F" w14:textId="1DC8E943" w:rsidR="005E549C" w:rsidRPr="0059150B" w:rsidRDefault="007C6AB3" w:rsidP="0086532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Beneficjentem programu są</w:t>
      </w:r>
      <w:r w:rsidR="008757DB" w:rsidRPr="0059150B">
        <w:rPr>
          <w:rFonts w:asciiTheme="minorHAnsi" w:hAnsiTheme="minorHAnsi" w:cstheme="minorHAnsi"/>
          <w:sz w:val="22"/>
          <w:szCs w:val="22"/>
        </w:rPr>
        <w:t xml:space="preserve"> wfośigw</w:t>
      </w:r>
      <w:r w:rsidR="00A17EA7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775FCD86" w14:textId="75D6A389" w:rsidR="005E549C" w:rsidRPr="0059150B" w:rsidRDefault="007C6AB3" w:rsidP="0086532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>Beneficjentem końcowy</w:t>
      </w:r>
      <w:r w:rsidR="006737D6" w:rsidRPr="0059150B">
        <w:rPr>
          <w:rFonts w:asciiTheme="minorHAnsi" w:hAnsiTheme="minorHAnsi" w:cstheme="minorHAnsi"/>
          <w:sz w:val="22"/>
          <w:szCs w:val="22"/>
        </w:rPr>
        <w:t>m</w:t>
      </w:r>
      <w:r w:rsidRPr="0059150B">
        <w:rPr>
          <w:rFonts w:asciiTheme="minorHAnsi" w:hAnsiTheme="minorHAnsi" w:cstheme="minorHAnsi"/>
          <w:sz w:val="22"/>
          <w:szCs w:val="22"/>
        </w:rPr>
        <w:t xml:space="preserve"> są</w:t>
      </w:r>
      <w:r w:rsidR="00C87DB6" w:rsidRPr="0059150B">
        <w:rPr>
          <w:rFonts w:asciiTheme="minorHAnsi" w:hAnsiTheme="minorHAnsi" w:cstheme="minorHAnsi"/>
          <w:sz w:val="22"/>
          <w:szCs w:val="22"/>
        </w:rPr>
        <w:t xml:space="preserve"> </w:t>
      </w:r>
      <w:r w:rsidR="0021255A">
        <w:rPr>
          <w:rFonts w:asciiTheme="minorHAnsi" w:hAnsiTheme="minorHAnsi" w:cstheme="minorHAnsi"/>
          <w:sz w:val="22"/>
          <w:szCs w:val="22"/>
        </w:rPr>
        <w:t>jednostki samorządu terytorialnego</w:t>
      </w:r>
      <w:r w:rsidR="00286825" w:rsidRPr="0059150B">
        <w:rPr>
          <w:rFonts w:asciiTheme="minorHAnsi" w:hAnsiTheme="minorHAnsi" w:cstheme="minorHAnsi"/>
          <w:sz w:val="22"/>
          <w:szCs w:val="22"/>
        </w:rPr>
        <w:t>.</w:t>
      </w:r>
    </w:p>
    <w:p w14:paraId="337EBC81" w14:textId="315C8D95" w:rsidR="00ED2B5E" w:rsidRPr="0059150B" w:rsidRDefault="00ED2B5E" w:rsidP="00865323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359D0DF" w14:textId="2722AD71" w:rsidR="00AF29C2" w:rsidRPr="0059150B" w:rsidRDefault="00AF29C2" w:rsidP="00865323">
      <w:pPr>
        <w:pStyle w:val="Akapitzlist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auto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Rodzaje </w:t>
      </w:r>
      <w:r w:rsidR="00C16E56" w:rsidRPr="0059150B">
        <w:rPr>
          <w:rFonts w:asciiTheme="minorHAnsi" w:hAnsiTheme="minorHAnsi" w:cstheme="minorHAnsi"/>
          <w:b/>
          <w:sz w:val="22"/>
          <w:szCs w:val="22"/>
        </w:rPr>
        <w:t>inwestycji</w:t>
      </w:r>
      <w:r w:rsidRPr="0059150B">
        <w:rPr>
          <w:rFonts w:asciiTheme="minorHAnsi" w:hAnsiTheme="minorHAnsi" w:cstheme="minorHAnsi"/>
          <w:b/>
          <w:sz w:val="22"/>
          <w:szCs w:val="22"/>
        </w:rPr>
        <w:t>:</w:t>
      </w:r>
    </w:p>
    <w:p w14:paraId="29BF5FEF" w14:textId="4F833F53" w:rsidR="0032500C" w:rsidRDefault="0032500C" w:rsidP="00865323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Inwestycje polegające na poprawie efektywności energetycznej wraz z możliwością zastosowania odnawialnych źródeł energii w </w:t>
      </w:r>
      <w:r w:rsidR="00A453C3" w:rsidRP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wielorodzinnych </w:t>
      </w:r>
      <w:r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budynkach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mieszkalnyc</w:t>
      </w:r>
      <w:r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>h na terenach wiejskich dotkniętych ubóstwem energetycznym w związku z transformacją ustrojową.</w:t>
      </w:r>
    </w:p>
    <w:p w14:paraId="0A9D0C72" w14:textId="19A9FF99" w:rsidR="00ED28E7" w:rsidRPr="0059150B" w:rsidRDefault="00C16E56" w:rsidP="00865323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Inwestycje</w:t>
      </w:r>
      <w:r w:rsidR="0013249F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2C060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polegające na</w:t>
      </w:r>
      <w:r w:rsidR="00ED28E7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2EBB2B36" w14:textId="546511A1" w:rsidR="001663E7" w:rsidRPr="0059150B" w:rsidRDefault="00ED28E7" w:rsidP="00865323">
      <w:pPr>
        <w:pStyle w:val="Akapitzlist"/>
        <w:numPr>
          <w:ilvl w:val="0"/>
          <w:numId w:val="17"/>
        </w:num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termo</w:t>
      </w:r>
      <w:r w:rsidR="00E4518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modernizacji</w:t>
      </w:r>
      <w:r w:rsidR="00A453C3" w:rsidRPr="00A453C3">
        <w:t xml:space="preserve"> </w:t>
      </w:r>
      <w:r w:rsidR="00A453C3" w:rsidRP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wielorodzinnych</w:t>
      </w:r>
      <w:r w:rsidR="00A7678F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</w:t>
      </w:r>
      <w:r w:rsidR="00DC7B4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u/budynków</w:t>
      </w:r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mieszkalnych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terenach </w:t>
      </w:r>
      <w:r w:rsidR="00611B7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wiejskich</w:t>
      </w:r>
      <w:r w:rsid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2500C"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>dotkniętych ubóstwem energetycznym w związku z transformacją ustrojową</w:t>
      </w:r>
      <w:r w:rsidR="00611B7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5BBFC1B3" w14:textId="6F1E79F1" w:rsidR="00ED28E7" w:rsidRPr="0059150B" w:rsidRDefault="00ED28E7" w:rsidP="00865323">
      <w:pPr>
        <w:pStyle w:val="Akapitzlist"/>
        <w:numPr>
          <w:ilvl w:val="0"/>
          <w:numId w:val="17"/>
        </w:num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instalacji OZE 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="00A453C3" w:rsidRPr="00A453C3">
        <w:t xml:space="preserve"> </w:t>
      </w:r>
      <w:r w:rsidR="00A453C3" w:rsidRP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wielorodzinny</w:t>
      </w:r>
      <w:r w:rsidR="0021255A">
        <w:rPr>
          <w:rFonts w:asciiTheme="minorHAnsi" w:eastAsiaTheme="minorHAnsi" w:hAnsiTheme="minorHAnsi" w:cstheme="minorHAnsi"/>
          <w:sz w:val="22"/>
          <w:szCs w:val="22"/>
          <w:lang w:eastAsia="en-US"/>
        </w:rPr>
        <w:t>m/</w:t>
      </w:r>
      <w:r w:rsidR="00A453C3" w:rsidRP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ch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budynku/budynkach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mieszkalnych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</w:t>
      </w:r>
      <w:r w:rsidR="00163AA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terenach </w:t>
      </w:r>
      <w:r w:rsidR="00611B7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wiejskich</w:t>
      </w:r>
      <w:r w:rsidR="0032500C" w:rsidRPr="0032500C">
        <w:t xml:space="preserve"> </w:t>
      </w:r>
      <w:r w:rsidR="0032500C"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>dotkniętych ubóstwem energetycznym w związku z transformacją ustrojową</w:t>
      </w:r>
      <w:r w:rsidR="00611B7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52877CBC" w14:textId="0E63D961" w:rsidR="00123DCD" w:rsidRPr="0059150B" w:rsidRDefault="005B021C" w:rsidP="0086532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w</w:t>
      </w:r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ymianie źródła ciepła w</w:t>
      </w:r>
      <w:r w:rsidR="00A453C3" w:rsidRPr="00A453C3">
        <w:t xml:space="preserve"> </w:t>
      </w:r>
      <w:r w:rsidR="00A453C3" w:rsidRP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wielorodzinny</w:t>
      </w:r>
      <w:r w:rsidR="0021255A">
        <w:rPr>
          <w:rFonts w:asciiTheme="minorHAnsi" w:eastAsiaTheme="minorHAnsi" w:hAnsiTheme="minorHAnsi" w:cstheme="minorHAnsi"/>
          <w:sz w:val="22"/>
          <w:szCs w:val="22"/>
          <w:lang w:eastAsia="en-US"/>
        </w:rPr>
        <w:t>m/</w:t>
      </w:r>
      <w:r w:rsidR="00A453C3" w:rsidRP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ch</w:t>
      </w:r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C7B4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budynku/</w:t>
      </w:r>
      <w:bookmarkStart w:id="1" w:name="_Hlk218882958"/>
      <w:r w:rsidR="00A6403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budynkach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mieszkalnych</w:t>
      </w:r>
      <w:r w:rsidR="005E549C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terenach </w:t>
      </w:r>
      <w:r w:rsidR="00611B7D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wiejskich</w:t>
      </w:r>
      <w:r w:rsidR="0032500C" w:rsidRPr="0032500C">
        <w:t xml:space="preserve"> </w:t>
      </w:r>
      <w:r w:rsidR="0032500C" w:rsidRPr="0032500C">
        <w:rPr>
          <w:rFonts w:asciiTheme="minorHAnsi" w:eastAsiaTheme="minorHAnsi" w:hAnsiTheme="minorHAnsi" w:cstheme="minorHAnsi"/>
          <w:sz w:val="22"/>
          <w:szCs w:val="22"/>
          <w:lang w:eastAsia="en-US"/>
        </w:rPr>
        <w:t>dotkniętych ubóstwem energetycznym w związku z transformacją ustrojową</w:t>
      </w:r>
      <w:r w:rsidR="00163AAE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bookmarkEnd w:id="1"/>
    <w:p w14:paraId="229E3A06" w14:textId="12D8C84C" w:rsidR="000F4443" w:rsidRPr="0059150B" w:rsidRDefault="000F4443" w:rsidP="0086532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wsparcia kwalifikują się budynki, które spełniają łącznie następujące </w:t>
      </w:r>
      <w:r w:rsidR="009672AF"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kryteria kwalifikacji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39CB92D7" w14:textId="26A0232D" w:rsidR="000F4443" w:rsidRPr="007119ED" w:rsidRDefault="000F4443" w:rsidP="0086532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własnościowe –</w:t>
      </w:r>
      <w:r w:rsidR="008C0F99" w:rsidRPr="008C0F99">
        <w:t xml:space="preserve"> </w:t>
      </w:r>
      <w:r w:rsidR="008C0F99" w:rsidRPr="008C0F99">
        <w:rPr>
          <w:rFonts w:asciiTheme="minorHAnsi" w:eastAsiaTheme="minorHAnsi" w:hAnsiTheme="minorHAnsi" w:cstheme="minorHAnsi"/>
          <w:sz w:val="22"/>
          <w:szCs w:val="22"/>
          <w:lang w:eastAsia="en-US"/>
        </w:rPr>
        <w:t>wielorodzinne</w:t>
      </w:r>
      <w:r w:rsidR="00300EBE" w:rsidRPr="00300EB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budynki mieszkalne</w:t>
      </w:r>
      <w:r w:rsidR="008C0F99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00EBE" w:rsidRPr="00300EB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wybudowane i oddane do użytkowania nie później niż do dnia 1 stycznia 1992 r.</w:t>
      </w:r>
      <w:r w:rsidR="00711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300EBE" w:rsidRPr="007119E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związku z wejściem życia ustawy </w:t>
      </w:r>
      <w:r w:rsidR="00DE7891" w:rsidRPr="00DE7891">
        <w:t xml:space="preserve"> </w:t>
      </w:r>
      <w:r w:rsidR="00DE7891" w:rsidRPr="007119ED">
        <w:rPr>
          <w:rFonts w:asciiTheme="minorHAnsi" w:eastAsiaTheme="minorHAnsi" w:hAnsiTheme="minorHAnsi" w:cstheme="minorHAnsi"/>
          <w:sz w:val="22"/>
          <w:szCs w:val="22"/>
          <w:lang w:eastAsia="en-US"/>
        </w:rPr>
        <w:t>z dnia 19 października 1991 r. o gospodarowaniu nieruchomościami rolnymi Skarbu Państwa</w:t>
      </w:r>
      <w:r w:rsidR="00976470">
        <w:rPr>
          <w:rStyle w:val="Odwoanieprzypisudolnego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4"/>
      </w:r>
      <w:r w:rsidR="00976470">
        <w:t>;</w:t>
      </w:r>
    </w:p>
    <w:p w14:paraId="51CD1A98" w14:textId="4A7831C9" w:rsidR="000F4443" w:rsidRPr="0059150B" w:rsidRDefault="000F4443" w:rsidP="0086532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terytorialne – budynki położone na terenie gmin wiejskich i miejsko-wiejskich, na obszarze których działalność prowadziły państwowe gospodarstwa rolne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448226EA" w14:textId="392E8578" w:rsidR="000F4443" w:rsidRPr="0059150B" w:rsidRDefault="000F4443" w:rsidP="0086532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>funkcjonalne – budyn</w:t>
      </w:r>
      <w:r w:rsidR="00DE7891">
        <w:rPr>
          <w:rFonts w:asciiTheme="minorHAnsi" w:eastAsiaTheme="minorHAnsi" w:hAnsiTheme="minorHAnsi" w:cstheme="minorHAnsi"/>
          <w:sz w:val="22"/>
          <w:szCs w:val="22"/>
          <w:lang w:eastAsia="en-US"/>
        </w:rPr>
        <w:t>ki</w:t>
      </w:r>
      <w:r w:rsidR="00300EB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będące</w:t>
      </w:r>
      <w:r w:rsidR="00DE789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przed 1 stycznia 1992 r.,</w:t>
      </w:r>
      <w:r w:rsidRPr="005915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dyspozycji podmiotów prowadzących działalność w zakresie produkcji rolnej lub okołorolnej, w tym budynki po byłych rolniczych spółdzielniach produkcyjnych. </w:t>
      </w:r>
    </w:p>
    <w:p w14:paraId="7C405718" w14:textId="2197166C" w:rsidR="00D53F19" w:rsidRPr="0059150B" w:rsidRDefault="00D53F19" w:rsidP="00865323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Zakres modernizacji energetycznej każdego z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ww.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>budynków musi wynikać z opracowanego audytu energetycznego, wykazującego minimalną redukcję zapotrzebowania na energię pierwotną budynku na poziomie 30% w stosunku do stanu istniejącego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żaden z budynków w standardzie </w:t>
      </w:r>
      <w:r w:rsidR="00A453C3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 modernizacji: nie jest wyposażony w źródła ciepła stanowiące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stałe paliwa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>kopalne, ani nie jest wyposażony w indywidualne źródła ciepła</w:t>
      </w:r>
      <w:r>
        <w:rPr>
          <w:rStyle w:val="Odwoanieprzypisudolnego"/>
          <w:rFonts w:asciiTheme="minorHAnsi" w:eastAsiaTheme="minorHAnsi" w:hAnsiTheme="minorHAnsi" w:cstheme="minorHAnsi"/>
          <w:sz w:val="22"/>
          <w:szCs w:val="22"/>
          <w:lang w:eastAsia="en-US"/>
        </w:rPr>
        <w:footnoteReference w:id="5"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53F19">
        <w:rPr>
          <w:rFonts w:asciiTheme="minorHAnsi" w:eastAsiaTheme="minorHAnsi" w:hAnsiTheme="minorHAnsi" w:cstheme="minorHAnsi"/>
          <w:sz w:val="22"/>
          <w:szCs w:val="22"/>
          <w:lang w:eastAsia="en-US"/>
        </w:rPr>
        <w:t>na paliwa kopalne.</w:t>
      </w:r>
    </w:p>
    <w:p w14:paraId="5EDCF9FC" w14:textId="3F1F7DBC" w:rsidR="00AF29C2" w:rsidRPr="0059150B" w:rsidRDefault="00AF29C2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360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 xml:space="preserve">Szczegółowe kryteria wyboru </w:t>
      </w:r>
      <w:r w:rsidR="00C16E56" w:rsidRPr="0059150B">
        <w:rPr>
          <w:rFonts w:asciiTheme="minorHAnsi" w:hAnsiTheme="minorHAnsi" w:cstheme="minorHAnsi"/>
          <w:b/>
          <w:sz w:val="22"/>
          <w:szCs w:val="22"/>
        </w:rPr>
        <w:t>inwestycji</w:t>
      </w:r>
    </w:p>
    <w:p w14:paraId="12CF189C" w14:textId="77777777" w:rsidR="00A8006C" w:rsidRPr="0059150B" w:rsidRDefault="00A8006C" w:rsidP="00865323">
      <w:pPr>
        <w:spacing w:before="6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KRYTERIA DOSTĘPU</w:t>
      </w:r>
    </w:p>
    <w:p w14:paraId="2DEFD6DD" w14:textId="7EA03CDE" w:rsidR="00A8006C" w:rsidRPr="0059150B" w:rsidRDefault="00A8006C" w:rsidP="00865323">
      <w:pPr>
        <w:spacing w:before="60" w:after="120" w:line="360" w:lineRule="auto"/>
        <w:rPr>
          <w:rFonts w:asciiTheme="minorHAnsi" w:hAnsiTheme="minorHAnsi" w:cstheme="minorHAnsi"/>
          <w:sz w:val="22"/>
          <w:szCs w:val="22"/>
        </w:rPr>
      </w:pPr>
      <w:r w:rsidRPr="0059150B">
        <w:rPr>
          <w:rFonts w:asciiTheme="minorHAnsi" w:hAnsiTheme="minorHAnsi" w:cstheme="minorHAnsi"/>
          <w:sz w:val="22"/>
          <w:szCs w:val="22"/>
        </w:rPr>
        <w:t xml:space="preserve">Kryteria oceny wniosków o udostępnienie środków składanych przez </w:t>
      </w:r>
      <w:r w:rsidR="00450A4E" w:rsidRPr="0059150B">
        <w:rPr>
          <w:rFonts w:asciiTheme="minorHAnsi" w:hAnsiTheme="minorHAnsi" w:cstheme="minorHAnsi"/>
          <w:sz w:val="22"/>
          <w:szCs w:val="22"/>
        </w:rPr>
        <w:t>wfośigw</w:t>
      </w:r>
      <w:r w:rsidRPr="0059150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775"/>
        <w:gridCol w:w="830"/>
        <w:gridCol w:w="765"/>
      </w:tblGrid>
      <w:tr w:rsidR="000016D9" w:rsidRPr="0059150B" w14:paraId="573B3BF4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6512ACFB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8830B14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764CB556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77D5917C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0016D9" w:rsidRPr="0059150B" w14:paraId="30722D7C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7EDDD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ECF22F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4A139FB5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6DE2CA27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16D9" w:rsidRPr="0059150B" w14:paraId="4777A66A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7B681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13F25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4D501E78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15ADCBFF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D9" w:rsidRPr="0059150B" w14:paraId="07A9684D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3813DD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ED995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Wnioskodawca wywiązuje się z zobowiązań cywilnoprawnych na rzecz NFOŚiGW</w:t>
            </w:r>
          </w:p>
        </w:tc>
        <w:tc>
          <w:tcPr>
            <w:tcW w:w="461" w:type="pct"/>
          </w:tcPr>
          <w:p w14:paraId="7FCDE9DD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1991C118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D9" w:rsidRPr="0059150B" w14:paraId="2BA3ED6B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2F664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1872" w14:textId="5A2B15B5" w:rsidR="00A8006C" w:rsidRPr="0059150B" w:rsidRDefault="00A8006C" w:rsidP="00865323">
            <w:pPr>
              <w:tabs>
                <w:tab w:val="num" w:pos="2340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Cel i rodzaj </w:t>
            </w:r>
            <w:r w:rsidR="00C16E56" w:rsidRPr="0059150B">
              <w:rPr>
                <w:rFonts w:asciiTheme="minorHAnsi" w:hAnsiTheme="minorHAnsi" w:cstheme="minorHAnsi"/>
                <w:sz w:val="22"/>
                <w:szCs w:val="22"/>
              </w:rPr>
              <w:t>inwestycji</w:t>
            </w: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 jest zgodny z programem priorytetowym</w:t>
            </w:r>
          </w:p>
        </w:tc>
        <w:tc>
          <w:tcPr>
            <w:tcW w:w="461" w:type="pct"/>
          </w:tcPr>
          <w:p w14:paraId="3B4D9725" w14:textId="77777777" w:rsidR="00A8006C" w:rsidRPr="0059150B" w:rsidRDefault="00A8006C" w:rsidP="00865323">
            <w:pPr>
              <w:tabs>
                <w:tab w:val="num" w:pos="2340"/>
                <w:tab w:val="left" w:pos="4704"/>
              </w:tabs>
              <w:spacing w:before="60" w:after="60" w:line="360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2AAC3618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6D9" w:rsidRPr="0059150B" w14:paraId="2D41BA46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7EC46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0216E" w14:textId="3A65ADA3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Okres realizacji </w:t>
            </w:r>
            <w:r w:rsidR="00C16E56" w:rsidRPr="0059150B">
              <w:rPr>
                <w:rFonts w:asciiTheme="minorHAnsi" w:hAnsiTheme="minorHAnsi" w:cstheme="minorHAnsi"/>
                <w:sz w:val="22"/>
                <w:szCs w:val="22"/>
              </w:rPr>
              <w:t>inwestycji</w:t>
            </w: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2C5F574C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60A4CC62" w14:textId="77777777" w:rsidR="00A8006C" w:rsidRPr="0059150B" w:rsidRDefault="00A8006C" w:rsidP="00865323">
            <w:pPr>
              <w:tabs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06C" w:rsidRPr="0059150B" w14:paraId="3B7BC29C" w14:textId="77777777" w:rsidTr="00452B89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DC5" w14:textId="77777777" w:rsidR="00A8006C" w:rsidRPr="0059150B" w:rsidRDefault="00A8006C" w:rsidP="00865323">
            <w:pPr>
              <w:tabs>
                <w:tab w:val="left" w:pos="176"/>
                <w:tab w:val="left" w:pos="4704"/>
              </w:tabs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DD34" w14:textId="77777777" w:rsidR="00A8006C" w:rsidRPr="0059150B" w:rsidRDefault="00A8006C" w:rsidP="00865323">
            <w:pPr>
              <w:tabs>
                <w:tab w:val="num" w:pos="2340"/>
                <w:tab w:val="left" w:pos="4704"/>
              </w:tabs>
              <w:spacing w:before="60" w:after="60" w:line="360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</w:rPr>
              <w:t xml:space="preserve">Forma i intensywność wnioskowanego dofinansowania jest zgodna </w:t>
            </w:r>
            <w:r w:rsidRPr="0059150B">
              <w:rPr>
                <w:rFonts w:asciiTheme="minorHAnsi" w:hAnsiTheme="minorHAnsi" w:cstheme="minorHAnsi"/>
                <w:sz w:val="22"/>
                <w:szCs w:val="22"/>
              </w:rPr>
              <w:br/>
              <w:t>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72D" w14:textId="77777777" w:rsidR="00A8006C" w:rsidRPr="0059150B" w:rsidRDefault="00A8006C" w:rsidP="00865323">
            <w:pPr>
              <w:tabs>
                <w:tab w:val="num" w:pos="2340"/>
                <w:tab w:val="left" w:pos="4704"/>
              </w:tabs>
              <w:spacing w:before="60" w:after="60" w:line="360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B789" w14:textId="77777777" w:rsidR="00A8006C" w:rsidRPr="0059150B" w:rsidRDefault="00A8006C" w:rsidP="00865323">
            <w:pPr>
              <w:tabs>
                <w:tab w:val="num" w:pos="2340"/>
                <w:tab w:val="left" w:pos="4704"/>
              </w:tabs>
              <w:spacing w:before="60" w:after="60" w:line="360" w:lineRule="auto"/>
              <w:ind w:left="3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E5AB39" w14:textId="7C773884" w:rsidR="00B71310" w:rsidRDefault="00B71310" w:rsidP="00865323">
      <w:pPr>
        <w:spacing w:before="60" w:after="120" w:line="360" w:lineRule="auto"/>
        <w:rPr>
          <w:rFonts w:asciiTheme="minorHAnsi" w:hAnsiTheme="minorHAnsi" w:cstheme="minorHAnsi"/>
          <w:sz w:val="22"/>
          <w:szCs w:val="22"/>
        </w:rPr>
      </w:pPr>
    </w:p>
    <w:p w14:paraId="04C015D2" w14:textId="77777777" w:rsidR="00B71310" w:rsidRDefault="00B71310" w:rsidP="00865323">
      <w:pPr>
        <w:spacing w:after="16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FD51111" w14:textId="77777777" w:rsidR="00286825" w:rsidRPr="0059150B" w:rsidRDefault="00A8006C" w:rsidP="00865323">
      <w:pPr>
        <w:spacing w:before="6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9150B">
        <w:rPr>
          <w:rFonts w:asciiTheme="minorHAnsi" w:hAnsiTheme="minorHAnsi" w:cstheme="minorHAnsi"/>
          <w:b/>
          <w:bCs/>
          <w:sz w:val="22"/>
          <w:szCs w:val="22"/>
        </w:rPr>
        <w:lastRenderedPageBreak/>
        <w:t>Kryteria oceny wniosków składanych przez Beneficjentów końcowych:</w:t>
      </w:r>
    </w:p>
    <w:p w14:paraId="42E493C4" w14:textId="09F38F81" w:rsidR="00D548F1" w:rsidRPr="0059150B" w:rsidRDefault="00D548F1" w:rsidP="00865323">
      <w:pPr>
        <w:spacing w:before="60" w:after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9150B">
        <w:rPr>
          <w:rFonts w:asciiTheme="minorHAnsi" w:hAnsiTheme="minorHAnsi" w:cstheme="minorHAnsi"/>
          <w:b/>
          <w:spacing w:val="-1"/>
          <w:kern w:val="28"/>
          <w:sz w:val="22"/>
          <w:szCs w:val="22"/>
          <w:u w:color="000000"/>
        </w:rPr>
        <w:t>Kryteria</w:t>
      </w:r>
      <w:r w:rsidRPr="0059150B">
        <w:rPr>
          <w:rFonts w:asciiTheme="minorHAnsi" w:hAnsiTheme="minorHAnsi" w:cstheme="minorHAnsi"/>
          <w:b/>
          <w:spacing w:val="-21"/>
          <w:kern w:val="28"/>
          <w:sz w:val="22"/>
          <w:szCs w:val="22"/>
          <w:u w:color="000000"/>
        </w:rPr>
        <w:t xml:space="preserve"> </w:t>
      </w:r>
      <w:r w:rsidRPr="0059150B">
        <w:rPr>
          <w:rFonts w:asciiTheme="minorHAnsi" w:hAnsiTheme="minorHAnsi" w:cstheme="minorHAnsi"/>
          <w:b/>
          <w:spacing w:val="-1"/>
          <w:kern w:val="28"/>
          <w:sz w:val="22"/>
          <w:szCs w:val="22"/>
          <w:u w:color="000000"/>
        </w:rPr>
        <w:t>jakościowe dopuszczające</w:t>
      </w:r>
    </w:p>
    <w:p w14:paraId="56059DF1" w14:textId="77777777" w:rsidR="00D548F1" w:rsidRPr="0059150B" w:rsidRDefault="00D548F1" w:rsidP="00865323">
      <w:pPr>
        <w:spacing w:before="6"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TableNormal"/>
        <w:tblW w:w="9660" w:type="dxa"/>
        <w:tblInd w:w="96" w:type="dxa"/>
        <w:tblLayout w:type="fixed"/>
        <w:tblLook w:val="01E0" w:firstRow="1" w:lastRow="1" w:firstColumn="1" w:lastColumn="1" w:noHBand="0" w:noVBand="0"/>
        <w:tblDescription w:val="Kryteria oceny wniosków składanych przez Beneficjentów końcowych:&#10;Kryteria jakościowe dopuszczające&#10;"/>
      </w:tblPr>
      <w:tblGrid>
        <w:gridCol w:w="681"/>
        <w:gridCol w:w="2004"/>
        <w:gridCol w:w="5394"/>
        <w:gridCol w:w="1581"/>
      </w:tblGrid>
      <w:tr w:rsidR="00D548F1" w:rsidRPr="0059150B" w14:paraId="4963E1E2" w14:textId="77777777" w:rsidTr="00865323">
        <w:trPr>
          <w:trHeight w:hRule="exact" w:val="82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1B4A" w14:textId="77777777" w:rsidR="00D548F1" w:rsidRPr="0059150B" w:rsidRDefault="00D548F1" w:rsidP="00865323">
            <w:pPr>
              <w:spacing w:line="360" w:lineRule="auto"/>
              <w:ind w:left="103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BF93" w14:textId="77777777" w:rsidR="00D548F1" w:rsidRPr="0059150B" w:rsidRDefault="00D548F1" w:rsidP="00865323">
            <w:pPr>
              <w:spacing w:line="360" w:lineRule="auto"/>
              <w:ind w:left="103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Nazwa</w:t>
            </w:r>
            <w:r w:rsidRPr="0059150B">
              <w:rPr>
                <w:rFonts w:asciiTheme="minorHAnsi" w:eastAsia="Calibri" w:hAnsiTheme="minorHAnsi" w:cstheme="minorHAnsi"/>
                <w:b/>
                <w:bCs/>
                <w:spacing w:val="-15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2E22" w14:textId="77777777" w:rsidR="00D548F1" w:rsidRPr="0059150B" w:rsidRDefault="00D548F1" w:rsidP="00865323">
            <w:pPr>
              <w:spacing w:line="360" w:lineRule="auto"/>
              <w:ind w:left="103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Opis</w:t>
            </w:r>
            <w:r w:rsidRPr="0059150B">
              <w:rPr>
                <w:rFonts w:asciiTheme="minorHAnsi" w:eastAsia="Calibri" w:hAnsiTheme="minorHAnsi" w:cstheme="minorHAnsi"/>
                <w:b/>
                <w:bCs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8D658" w14:textId="77777777" w:rsidR="00D548F1" w:rsidRPr="0059150B" w:rsidRDefault="00D548F1" w:rsidP="00865323">
            <w:pPr>
              <w:spacing w:line="360" w:lineRule="auto"/>
              <w:ind w:left="103" w:right="398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Sposób</w:t>
            </w:r>
            <w:r w:rsidRPr="0059150B">
              <w:rPr>
                <w:rFonts w:asciiTheme="minorHAnsi" w:eastAsia="Calibri" w:hAnsiTheme="minorHAnsi" w:cstheme="minorHAnsi"/>
                <w:b/>
                <w:bCs/>
                <w:spacing w:val="20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weryfikacji</w:t>
            </w:r>
          </w:p>
        </w:tc>
      </w:tr>
      <w:tr w:rsidR="00D548F1" w:rsidRPr="0059150B" w14:paraId="44103431" w14:textId="77777777">
        <w:trPr>
          <w:trHeight w:hRule="exact" w:val="313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D74F2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339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ind w:left="7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Brak podwójnego finansowania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4B1A" w14:textId="0D51A451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57" w:right="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Analizowane jest</w:t>
            </w:r>
            <w:r w:rsidR="00A453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,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 czy Wnioskodawca nie otrzymał już finansowania na te same koszty inwestycji w ramach planu rozwojowego lub innych publicznych środków krajowych lub zagranicznych, w tym środków budżetu Unii Europejskiej. </w:t>
            </w:r>
          </w:p>
          <w:p w14:paraId="7F7FCC4E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57" w:right="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Ocena na podstawie co najmniej oświadczenia o braku podwójnego finansowania inwestycji złożone przez Wnioskodawcę.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DBE73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5B824D56" w14:textId="77777777">
        <w:trPr>
          <w:trHeight w:hRule="exact" w:val="265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23A7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78E11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Zachowanie zgodności z zasadą równości szans i niedyskryminacji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F832" w14:textId="101963F0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57" w:right="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Badane będzie</w:t>
            </w:r>
            <w:r w:rsidR="00A453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,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 czy na terenie Wnioskodawcy (</w:t>
            </w:r>
            <w:r w:rsidR="005F48A9"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gmina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) nie obowiązują żadne ustanowione przez jego organy dyskryminujące akty prawa miejscowego lub inne podjęte dyskryminujące uchwały oraz nie podjęto jakichkolwiek działań dyskryminujących, sprzecznych z zasadami, o których mowa w art. 9 ust. 3 rozporządzenia 1060</w:t>
            </w:r>
            <w:r w:rsidR="00605406"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/2021</w:t>
            </w: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.</w:t>
            </w:r>
          </w:p>
          <w:p w14:paraId="3D6B5DB9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57" w:right="96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Ocena na podstawie co najmniej oświadczenia złożonego przez Wnioskodawcę.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4797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187BC3C2" w14:textId="77777777">
        <w:trPr>
          <w:trHeight w:val="2248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DC225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6DE07B" w14:textId="77777777" w:rsidR="00D548F1" w:rsidRPr="0059150B" w:rsidRDefault="00D548F1" w:rsidP="00865323">
            <w:pPr>
              <w:spacing w:before="120" w:line="360" w:lineRule="auto"/>
              <w:ind w:left="102" w:right="10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Właściwie</w:t>
            </w:r>
            <w:r w:rsidRPr="0059150B">
              <w:rPr>
                <w:rFonts w:asciiTheme="minorHAnsi" w:eastAsia="Calibri" w:hAnsiTheme="minorHAnsi" w:cstheme="minorHAnsi"/>
                <w:w w:val="99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określone koszty</w:t>
            </w:r>
            <w:r w:rsidRPr="0059150B">
              <w:rPr>
                <w:rFonts w:asciiTheme="minorHAnsi" w:eastAsia="Calibri" w:hAnsiTheme="minorHAnsi" w:cstheme="minorHAnsi"/>
                <w:spacing w:val="20"/>
                <w:w w:val="99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kwalifikowane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99CC3" w14:textId="391B9D9E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57" w:right="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Ocena polega na sprawdzeniu kwalifikowalności, adekwatności i racjonalności kosztów planowanych do poniesienia w ramach inwestycji. </w:t>
            </w:r>
          </w:p>
          <w:p w14:paraId="230FA2A8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57" w:right="96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Wydatki możliwe do kwalifikowania w ramach inwestycji określone są na zasadach opisanych w RKKK (Ramowy Katalog Kosztów Kwalifikowanych), Wytycznych w zakresie kosztów kwalifikowanych z uwzględnieniem ust. 6 „Koszty kwalifikowane”.</w:t>
            </w:r>
          </w:p>
          <w:p w14:paraId="0BEB14C6" w14:textId="030FE17D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after="240" w:line="360" w:lineRule="auto"/>
              <w:ind w:left="57" w:right="96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88A055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58DA1BEE" w14:textId="77777777">
        <w:trPr>
          <w:trHeight w:val="264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A96AD2" w14:textId="12A5770F" w:rsidR="00D548F1" w:rsidRPr="0059150B" w:rsidRDefault="00D548F1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3EF8E" w14:textId="77777777" w:rsidR="00D548F1" w:rsidRPr="0059150B" w:rsidRDefault="00D548F1" w:rsidP="00865323">
            <w:pPr>
              <w:spacing w:before="120" w:line="360" w:lineRule="auto"/>
              <w:ind w:left="102" w:right="102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Pomoc</w:t>
            </w:r>
            <w:r w:rsidRPr="0059150B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publiczna</w:t>
            </w:r>
          </w:p>
          <w:p w14:paraId="6AB9D853" w14:textId="77777777" w:rsidR="00D548F1" w:rsidRPr="0059150B" w:rsidRDefault="00D548F1" w:rsidP="00865323">
            <w:pPr>
              <w:spacing w:line="360" w:lineRule="auto"/>
              <w:ind w:left="103" w:right="101"/>
              <w:rPr>
                <w:rFonts w:asciiTheme="minorHAnsi" w:eastAsia="Calibri" w:hAnsiTheme="minorHAnsi" w:cstheme="minorHAnsi"/>
                <w:strike/>
                <w:spacing w:val="-1"/>
                <w:sz w:val="22"/>
                <w:szCs w:val="22"/>
                <w:lang w:eastAsia="en-US"/>
              </w:rPr>
            </w:pPr>
          </w:p>
          <w:p w14:paraId="76ACDBC4" w14:textId="77777777" w:rsidR="00D548F1" w:rsidRPr="0059150B" w:rsidRDefault="00D548F1" w:rsidP="00865323">
            <w:pPr>
              <w:spacing w:line="360" w:lineRule="auto"/>
              <w:ind w:left="103" w:right="10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7D275" w14:textId="489A6B06" w:rsidR="00D548F1" w:rsidRPr="0059150B" w:rsidRDefault="00D548F1" w:rsidP="00865323">
            <w:pPr>
              <w:spacing w:before="120" w:after="240" w:line="360" w:lineRule="auto"/>
              <w:ind w:left="102" w:right="102"/>
              <w:rPr>
                <w:rFonts w:asciiTheme="minorHAnsi" w:eastAsia="Calibri" w:hAnsiTheme="minorHAnsi" w:cstheme="minorHAnsi"/>
                <w:spacing w:val="-4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4"/>
                <w:sz w:val="22"/>
                <w:szCs w:val="22"/>
                <w:lang w:val="pl-PL" w:eastAsia="en-US"/>
              </w:rPr>
              <w:lastRenderedPageBreak/>
              <w:t xml:space="preserve">Nie przewiduje się udzielania pomocy publicznej. Weryfikowane jest spełnienie warunku wydajności </w:t>
            </w:r>
            <w:r w:rsidRPr="0059150B">
              <w:rPr>
                <w:rFonts w:asciiTheme="minorHAnsi" w:eastAsia="Calibri" w:hAnsiTheme="minorHAnsi" w:cstheme="minorHAnsi"/>
                <w:spacing w:val="-4"/>
                <w:sz w:val="22"/>
                <w:szCs w:val="22"/>
                <w:lang w:val="pl-PL" w:eastAsia="en-US"/>
              </w:rPr>
              <w:lastRenderedPageBreak/>
              <w:t xml:space="preserve">infrastruktury – nieprzekraczającej 20% całkowitej rocznej wydajności infrastruktury. </w:t>
            </w:r>
          </w:p>
          <w:p w14:paraId="6FD1ADD7" w14:textId="77777777" w:rsidR="00D548F1" w:rsidRPr="0059150B" w:rsidRDefault="00D548F1" w:rsidP="00865323">
            <w:pPr>
              <w:spacing w:before="120" w:after="240" w:line="360" w:lineRule="auto"/>
              <w:ind w:left="102" w:right="102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pl-PL" w:eastAsia="en-US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06FB0E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T/N</w:t>
            </w:r>
          </w:p>
        </w:tc>
      </w:tr>
      <w:tr w:rsidR="00D548F1" w:rsidRPr="0059150B" w14:paraId="3D3A2285" w14:textId="77777777">
        <w:trPr>
          <w:trHeight w:hRule="exact" w:val="88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5D1E" w14:textId="3C9A96EB" w:rsidR="00D548F1" w:rsidRPr="0059150B" w:rsidRDefault="00D548F1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11B5" w14:textId="77777777" w:rsidR="00D548F1" w:rsidRPr="0059150B" w:rsidRDefault="00D548F1" w:rsidP="00865323">
            <w:pPr>
              <w:spacing w:before="120" w:line="360" w:lineRule="auto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Zgodność </w:t>
            </w:r>
            <w:r w:rsidRPr="0059150B">
              <w:rPr>
                <w:rFonts w:asciiTheme="minorHAnsi" w:eastAsia="Calibri" w:hAnsiTheme="minorHAnsi" w:cstheme="minorHAnsi"/>
                <w:spacing w:val="10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z </w:t>
            </w:r>
            <w:r w:rsidRPr="0059150B">
              <w:rPr>
                <w:rFonts w:asciiTheme="minorHAnsi" w:eastAsia="Calibri" w:hAnsiTheme="minorHAnsi" w:cstheme="minorHAnsi"/>
                <w:spacing w:val="10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zasadą</w:t>
            </w:r>
          </w:p>
          <w:p w14:paraId="076EFD03" w14:textId="77777777" w:rsidR="00D548F1" w:rsidRPr="0059150B" w:rsidRDefault="00D548F1" w:rsidP="00865323">
            <w:pPr>
              <w:tabs>
                <w:tab w:val="left" w:pos="1266"/>
              </w:tabs>
              <w:spacing w:line="360" w:lineRule="auto"/>
              <w:ind w:left="103" w:right="101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„niewyrządzania</w:t>
            </w:r>
            <w:r w:rsidRPr="0059150B">
              <w:rPr>
                <w:rFonts w:asciiTheme="minorHAnsi" w:eastAsia="Calibri" w:hAnsiTheme="minorHAnsi" w:cstheme="minorHAnsi"/>
                <w:w w:val="99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w w:val="95"/>
                <w:sz w:val="22"/>
                <w:szCs w:val="22"/>
                <w:lang w:val="pl-PL" w:eastAsia="en-US"/>
              </w:rPr>
              <w:t xml:space="preserve">znaczącej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szkody</w:t>
            </w:r>
            <w:r w:rsidRPr="0059150B">
              <w:rPr>
                <w:rFonts w:asciiTheme="minorHAnsi" w:eastAsia="Calibri" w:hAnsiTheme="minorHAnsi" w:cstheme="minorHAnsi"/>
                <w:spacing w:val="20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środowisku”</w:t>
            </w:r>
            <w:r w:rsidRPr="0059150B">
              <w:rPr>
                <w:rFonts w:asciiTheme="minorHAnsi" w:eastAsia="Calibri" w:hAnsiTheme="minorHAnsi" w:cstheme="minorHAnsi"/>
                <w:spacing w:val="13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(DNSH</w:t>
            </w:r>
          </w:p>
          <w:p w14:paraId="47ED0EAB" w14:textId="77777777" w:rsidR="00D548F1" w:rsidRPr="0059150B" w:rsidRDefault="00D548F1" w:rsidP="00865323">
            <w:pPr>
              <w:spacing w:line="360" w:lineRule="auto"/>
              <w:ind w:left="103" w:right="101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–</w:t>
            </w:r>
            <w:r w:rsidRPr="0059150B">
              <w:rPr>
                <w:rFonts w:asciiTheme="minorHAnsi" w:eastAsia="Calibri" w:hAnsiTheme="minorHAnsi" w:cstheme="minorHAns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„do</w:t>
            </w:r>
            <w:r w:rsidRPr="0059150B">
              <w:rPr>
                <w:rFonts w:asciiTheme="minorHAnsi" w:eastAsia="Calibri" w:hAnsiTheme="minorHAnsi" w:cstheme="minorHAns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no</w:t>
            </w:r>
            <w:r w:rsidRPr="0059150B">
              <w:rPr>
                <w:rFonts w:asciiTheme="minorHAnsi" w:eastAsia="Calibri" w:hAnsiTheme="minorHAnsi" w:cstheme="minorHAns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significant</w:t>
            </w:r>
            <w:r w:rsidRPr="0059150B">
              <w:rPr>
                <w:rFonts w:asciiTheme="minorHAnsi" w:eastAsia="Calibri" w:hAnsiTheme="minorHAnsi" w:cstheme="minorHAnsi"/>
                <w:spacing w:val="22"/>
                <w:sz w:val="22"/>
                <w:szCs w:val="22"/>
                <w:lang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harm”)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880E6" w14:textId="77777777" w:rsidR="00D548F1" w:rsidRPr="0059150B" w:rsidRDefault="00D548F1" w:rsidP="00865323">
            <w:pPr>
              <w:spacing w:before="120" w:after="240" w:line="360" w:lineRule="auto"/>
              <w:ind w:left="102" w:right="97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Weryfikowane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jest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 xml:space="preserve"> zachowanie zgodności z zasadą „niewyrządzania</w:t>
            </w:r>
            <w:r w:rsidRPr="0059150B">
              <w:rPr>
                <w:rFonts w:asciiTheme="minorHAnsi" w:eastAsia="Calibri" w:hAnsiTheme="minorHAnsi" w:cstheme="minorHAnsi"/>
                <w:spacing w:val="23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znaczącej</w:t>
            </w:r>
            <w:r w:rsidRPr="0059150B">
              <w:rPr>
                <w:rFonts w:asciiTheme="minorHAnsi" w:eastAsia="Calibri" w:hAnsiTheme="minorHAnsi" w:cstheme="minorHAnsi"/>
                <w:spacing w:val="24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szkody</w:t>
            </w:r>
            <w:r w:rsidRPr="0059150B">
              <w:rPr>
                <w:rFonts w:asciiTheme="minorHAnsi" w:eastAsia="Calibri" w:hAnsiTheme="minorHAnsi" w:cstheme="minorHAnsi"/>
                <w:spacing w:val="22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środowisku”.</w:t>
            </w:r>
          </w:p>
          <w:p w14:paraId="1A55DC09" w14:textId="77777777" w:rsidR="00D548F1" w:rsidRPr="0059150B" w:rsidRDefault="00D548F1" w:rsidP="00865323">
            <w:pPr>
              <w:spacing w:before="120" w:after="240" w:line="360" w:lineRule="auto"/>
              <w:ind w:left="102" w:right="101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Ocena na podstawie informacji zawartych we wniosku i załącznikach, w szczególności na podstawie oświadczenia że na wszystkich etapach realizacji inwestycji, od etapu przygotowania, poprzez etap realizacji, eksploatacji do etapu  zamknięcia, zobowiązuję się do przestrzegania zasady DNSH wynikającej z rozporządzenia Parlamentu Europejskiego i Rady (UE) 2020/852 z dnia 18 czerwca 2020 r. w sprawie ustanowienia ram ułatwiających zrównoważone inwestycje, zmieniające rozporządzenie (UE) 2019/2088 oraz zobowiązuję się do zawarcia w dokumentacji przetargowej wymogu dla Wykonawcy robót, aby dokumentacja techniczno-budowlana oraz realizacja prac modernizacyjnych były spójne z zasadą DNSH, w szczególności aby były realizowane działania na rzecz maksymalizacji wskaźnika (wagowo) odpadów budowlanych i rozbiórkowych innych niż niebezpieczne wytworzonych na placu budowy, możliwych do ponownego użycia, recyklingu i innego odzysku materiałów, uwzględniając lokalne możliwości w tym zakresie jak również rodzaj i charakter danego projektu oraz aby odpowiednio dobrano technologie, materiały i urządzenia mając na celu zachowanie zasady DNSH i do monitorowania i dokumentowania realizacji inwestycji zgodnie z zasadą DNSH oraz przedstawienia na każde wezwanie NFOŚiGW zgromadzonej dokumentacji (np. instrukcje wewnętrzne, decyzje, sprawozdania, fotografia, zaświadczenia/oświadczenia itp.) potwierdzającej stosowanie zasady DNSH w trakcie przygotowania i realizacji inwestycji.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0F12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6C875ED1" w14:textId="77777777">
        <w:trPr>
          <w:trHeight w:hRule="exact" w:val="370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2141" w14:textId="3CCA6C53" w:rsidR="00D548F1" w:rsidRPr="0059150B" w:rsidRDefault="00D548F1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7ABC2" w14:textId="2702F238" w:rsidR="00D548F1" w:rsidRPr="0059150B" w:rsidRDefault="00D548F1" w:rsidP="00865323">
            <w:pPr>
              <w:spacing w:before="120" w:line="360" w:lineRule="auto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Zwiększenie efektywności energetycznej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EFBD" w14:textId="737A8F69" w:rsidR="00D548F1" w:rsidRPr="0059150B" w:rsidRDefault="00D548F1" w:rsidP="00865323">
            <w:pPr>
              <w:spacing w:before="120" w:after="120" w:line="360" w:lineRule="auto"/>
              <w:ind w:left="102" w:right="96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Inwestycja przyczyni się do zwiększenia j efektywności energetycznej </w:t>
            </w:r>
            <w:r w:rsidR="00087B7C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każdego z</w:t>
            </w:r>
            <w:r w:rsidR="00087B7C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termomodernizowanych budynków o min. 30% w zakresie energii pierwotnej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w stosunku do stanu istniejącego</w:t>
            </w:r>
            <w:r w:rsidR="00087B7C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.</w:t>
            </w:r>
          </w:p>
          <w:p w14:paraId="4BBE23B0" w14:textId="77777777" w:rsidR="00D548F1" w:rsidRPr="0059150B" w:rsidRDefault="00D548F1" w:rsidP="00865323">
            <w:pPr>
              <w:spacing w:before="120" w:after="120" w:line="360" w:lineRule="auto"/>
              <w:ind w:left="102" w:right="96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Powyższa wartość wynika z dokumentacji technicznej (audyt energetyczny – ex ante), z której wynikają również rekomendowane rozwiązania pod względem ekonomiczno-technicznym.</w:t>
            </w:r>
          </w:p>
          <w:p w14:paraId="586C04DB" w14:textId="77777777" w:rsidR="00D548F1" w:rsidRPr="0059150B" w:rsidRDefault="00D548F1" w:rsidP="00865323">
            <w:pPr>
              <w:spacing w:before="120" w:after="120" w:line="360" w:lineRule="auto"/>
              <w:ind w:left="102" w:right="96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3314E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6C878B43" w14:textId="77777777">
        <w:trPr>
          <w:trHeight w:hRule="exact" w:val="342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D5DD5" w14:textId="76A95E82" w:rsidR="00D548F1" w:rsidRPr="0059150B" w:rsidRDefault="00D548F1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5690D" w14:textId="37131873" w:rsidR="00D548F1" w:rsidRPr="0059150B" w:rsidRDefault="00D548F1" w:rsidP="00865323">
            <w:pPr>
              <w:spacing w:before="120" w:line="360" w:lineRule="auto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Obowiązkowy audyt energetyczny – ex ante i audyt energetyczny – ex post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0C28" w14:textId="7244226E" w:rsidR="00D548F1" w:rsidRPr="0059150B" w:rsidRDefault="00D548F1" w:rsidP="00865323">
            <w:pPr>
              <w:spacing w:before="120" w:after="240" w:line="360" w:lineRule="auto"/>
              <w:ind w:left="102" w:right="97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Przedłożono obowiązkowy audyt ex-ante, określający zakres inwestycji. Zgodność wnioskowanego przedsięwzięcia z treścią audytu, wynikającego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z wytycznych dotyczących przygotowania audytu energetycznego. Dokument ten stanowi załącznik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do regulaminu naboru. Wnioskodawca złożył również deklarację o przeprowadzeniu audytu energetycznego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ex-post. Termin przekazania audytu ex-post będzie określony w umowie o dofinansowanie.</w:t>
            </w:r>
          </w:p>
          <w:p w14:paraId="071B6514" w14:textId="77777777" w:rsidR="00D548F1" w:rsidRPr="0059150B" w:rsidRDefault="00D548F1" w:rsidP="00865323">
            <w:pPr>
              <w:spacing w:before="120" w:after="240" w:line="360" w:lineRule="auto"/>
              <w:ind w:left="102" w:right="97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Ocena na podstawie informacji zawartych we wniosku i załącznikach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5E32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3DF0B8EC" w14:textId="77777777">
        <w:trPr>
          <w:trHeight w:hRule="exact" w:val="184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8725" w14:textId="1FA3C9AD" w:rsidR="00D548F1" w:rsidRPr="0059150B" w:rsidRDefault="00D548F1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6F61" w14:textId="77777777" w:rsidR="00D548F1" w:rsidRPr="0059150B" w:rsidRDefault="00D548F1" w:rsidP="00865323">
            <w:pPr>
              <w:spacing w:before="120" w:line="360" w:lineRule="auto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z w:val="22"/>
                <w:szCs w:val="22"/>
                <w:lang w:val="pl-PL" w:eastAsia="en-US"/>
              </w:rPr>
              <w:t>Wymiana lub modernizacja źródła ciepła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CCD60" w14:textId="7719ACAB" w:rsidR="00D548F1" w:rsidRPr="0059150B" w:rsidRDefault="00D548F1" w:rsidP="00865323">
            <w:pPr>
              <w:spacing w:before="120" w:after="240" w:line="360" w:lineRule="auto"/>
              <w:ind w:left="102" w:right="97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Weryfikacja zgodności wymiany lub modernizacji źródła ciepła z RKKK. Źródła wykorzystujące </w:t>
            </w:r>
            <w:r w:rsidR="00087B7C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stałe 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paliwo kopalne są wykluczone w ramach realizacji przedsięwzięcia. </w:t>
            </w:r>
          </w:p>
          <w:p w14:paraId="1ABFE6B8" w14:textId="77777777" w:rsidR="00D548F1" w:rsidRPr="0059150B" w:rsidRDefault="00D548F1" w:rsidP="00865323">
            <w:pPr>
              <w:spacing w:before="120" w:after="240" w:line="360" w:lineRule="auto"/>
              <w:ind w:left="102" w:right="97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EAA6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T/N/nie dotyczy</w:t>
            </w:r>
          </w:p>
        </w:tc>
      </w:tr>
      <w:tr w:rsidR="005F48A9" w:rsidRPr="0059150B" w14:paraId="663F4B0B" w14:textId="77777777">
        <w:trPr>
          <w:trHeight w:hRule="exact" w:val="198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D9D6" w14:textId="5B2CAE08" w:rsidR="005F48A9" w:rsidRPr="0059150B" w:rsidRDefault="005F48A9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hAnsiTheme="minorHAnsi" w:cstheme="minorHAnsi"/>
                <w:spacing w:val="-1"/>
                <w:sz w:val="22"/>
                <w:szCs w:val="22"/>
                <w:lang w:val="pl-PL"/>
              </w:rPr>
              <w:t>9.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8F1F" w14:textId="77777777" w:rsidR="005F48A9" w:rsidRPr="0059150B" w:rsidRDefault="005F48A9" w:rsidP="00865323">
            <w:pPr>
              <w:pStyle w:val="TableParagraph"/>
              <w:spacing w:before="120" w:line="360" w:lineRule="auto"/>
              <w:ind w:left="102"/>
              <w:rPr>
                <w:rFonts w:cstheme="minorHAnsi"/>
                <w:lang w:val="pl-PL"/>
              </w:rPr>
            </w:pPr>
            <w:r w:rsidRPr="0059150B">
              <w:rPr>
                <w:rFonts w:cstheme="minorHAnsi"/>
                <w:lang w:val="pl-PL"/>
              </w:rPr>
              <w:t>Obowiązkowa ekspertyza ornitologiczna/</w:t>
            </w:r>
          </w:p>
          <w:p w14:paraId="3335D9E8" w14:textId="4A8C6E21" w:rsidR="005F48A9" w:rsidRPr="0059150B" w:rsidRDefault="005F48A9" w:rsidP="00865323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chiropterologiczna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C7FA" w14:textId="77777777" w:rsidR="005F48A9" w:rsidRPr="0059150B" w:rsidRDefault="005F48A9" w:rsidP="00865323">
            <w:pPr>
              <w:pStyle w:val="TableParagraph"/>
              <w:spacing w:before="120" w:after="240" w:line="360" w:lineRule="auto"/>
              <w:ind w:left="102" w:right="97"/>
              <w:rPr>
                <w:rFonts w:cstheme="minorHAnsi"/>
                <w:spacing w:val="-1"/>
                <w:lang w:val="pl-PL"/>
              </w:rPr>
            </w:pPr>
            <w:r w:rsidRPr="0059150B">
              <w:rPr>
                <w:rFonts w:cstheme="minorHAnsi"/>
                <w:spacing w:val="-1"/>
                <w:lang w:val="pl-PL"/>
              </w:rPr>
              <w:t>Przedłożono obowiązkową ekspertyzę ornitologiczną/chiropterologiczną lub oświadczenie o dostarczeniu ww. ekspertyzy przed rozpoczęciem prac termomodernizacyjnych.</w:t>
            </w:r>
          </w:p>
          <w:p w14:paraId="33F57A17" w14:textId="5D296915" w:rsidR="005F48A9" w:rsidRPr="0059150B" w:rsidRDefault="005F48A9" w:rsidP="00865323">
            <w:pPr>
              <w:spacing w:before="120" w:after="240" w:line="360" w:lineRule="auto"/>
              <w:ind w:left="102" w:right="97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hAnsiTheme="minorHAnsi" w:cstheme="minorHAnsi"/>
                <w:spacing w:val="-1"/>
                <w:sz w:val="22"/>
                <w:szCs w:val="22"/>
                <w:lang w:val="pl-PL"/>
              </w:rPr>
              <w:t>Ocena na podstawie informacji zawartych we wniosku i 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91E7" w14:textId="18B12B5D" w:rsidR="005F48A9" w:rsidRPr="0059150B" w:rsidRDefault="005F48A9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14075CF1" w14:textId="77777777">
        <w:trPr>
          <w:trHeight w:hRule="exact" w:val="198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92047" w14:textId="4295ECC6" w:rsidR="00D548F1" w:rsidRPr="0059150B" w:rsidRDefault="005F48A9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10</w:t>
            </w:r>
            <w:r w:rsidR="00D548F1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2281" w14:textId="729DBFE7" w:rsidR="00D548F1" w:rsidRPr="0059150B" w:rsidRDefault="00D548F1" w:rsidP="00865323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Udokumentowane prawo do dysponowania gruntami</w:t>
            </w:r>
            <w:r w:rsidR="00A2639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A2639B" w:rsidRPr="0032500C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 obiektami na cele inwestycji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4DF7" w14:textId="351DB9C9" w:rsidR="00C87DB6" w:rsidRPr="0059150B" w:rsidRDefault="00D548F1" w:rsidP="00865323">
            <w:pPr>
              <w:spacing w:before="120" w:after="240" w:line="360" w:lineRule="auto"/>
              <w:ind w:left="102" w:right="97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l-PL"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Wnioskodawca posiada udokumentowane prawo 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br/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do dysponowania gruntami lub obiektami na cele inwestycji dla 100% zakresu rzeczowego inwestycji</w:t>
            </w:r>
            <w:r w:rsidR="00A453C3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,</w:t>
            </w:r>
            <w:r w:rsidR="00163AAE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 bądź posiada zgodę </w:t>
            </w:r>
            <w:r w:rsidR="00A2639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właścicieli nieruchomości</w:t>
            </w:r>
            <w:r w:rsidR="00163AAE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 xml:space="preserve"> na realizację inwestycji</w:t>
            </w:r>
            <w:r w:rsidR="005F48A9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pl-PL" w:eastAsia="en-US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2BCF1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</w:t>
            </w:r>
          </w:p>
        </w:tc>
      </w:tr>
      <w:tr w:rsidR="00D548F1" w:rsidRPr="0059150B" w14:paraId="7B77961F" w14:textId="77777777">
        <w:trPr>
          <w:trHeight w:hRule="exact" w:val="31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58E6" w14:textId="536155D8" w:rsidR="00D548F1" w:rsidRPr="0059150B" w:rsidRDefault="00D548F1" w:rsidP="00865323">
            <w:pPr>
              <w:spacing w:before="120" w:line="360" w:lineRule="auto"/>
              <w:ind w:right="11"/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</w:pP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lastRenderedPageBreak/>
              <w:t>1</w:t>
            </w:r>
            <w:r w:rsidR="005F48A9"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1</w:t>
            </w:r>
            <w:r w:rsidRPr="0059150B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0571C" w14:textId="77777777" w:rsidR="00D548F1" w:rsidRPr="0059150B" w:rsidRDefault="00D548F1" w:rsidP="00865323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Koszt kwalifikowany na jednostkową powierzchnię o regulowanej temperaturze powietrza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81DA" w14:textId="0ADA7DD4" w:rsidR="00D548F1" w:rsidRPr="0059150B" w:rsidRDefault="00D548F1" w:rsidP="00865323">
            <w:pPr>
              <w:autoSpaceDE w:val="0"/>
              <w:autoSpaceDN w:val="0"/>
              <w:adjustRightInd w:val="0"/>
              <w:spacing w:before="120" w:after="240"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Koszt kwalifikowany odniesiony do jednostkowej powierzchni o regulowanej temperaturze nie przekracza 2 </w:t>
            </w:r>
            <w:r w:rsidR="009672AF"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</w:t>
            </w: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 zł za m</w:t>
            </w:r>
            <w:r w:rsidRPr="0059150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powierzchni o regulowanej temperaturze powietrza.</w:t>
            </w:r>
          </w:p>
          <w:p w14:paraId="3C4EBB76" w14:textId="77777777" w:rsidR="00D548F1" w:rsidRPr="0059150B" w:rsidRDefault="00D548F1" w:rsidP="00865323">
            <w:pPr>
              <w:autoSpaceDE w:val="0"/>
              <w:autoSpaceDN w:val="0"/>
              <w:adjustRightInd w:val="0"/>
              <w:spacing w:before="120" w:after="240"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59150B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Ocena na podstawie informacji zawartych we wniosku i załącznikach.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A7216" w14:textId="77777777" w:rsidR="00D548F1" w:rsidRPr="0059150B" w:rsidRDefault="00D548F1" w:rsidP="0086532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915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T/N/nie dotyczy</w:t>
            </w:r>
          </w:p>
        </w:tc>
      </w:tr>
    </w:tbl>
    <w:p w14:paraId="0BAD86C5" w14:textId="55D37AC7" w:rsidR="00A911D9" w:rsidRDefault="00A911D9" w:rsidP="0086532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240" w:after="120" w:line="360" w:lineRule="auto"/>
        <w:ind w:left="0" w:firstLine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9150B">
        <w:rPr>
          <w:rFonts w:asciiTheme="minorHAnsi" w:hAnsiTheme="minorHAnsi" w:cstheme="minorHAnsi"/>
          <w:b/>
          <w:sz w:val="22"/>
          <w:szCs w:val="22"/>
        </w:rPr>
        <w:t>Postanowienia dodatkowe</w:t>
      </w:r>
    </w:p>
    <w:p w14:paraId="1470F11C" w14:textId="28D7EFBD" w:rsidR="000B4656" w:rsidRPr="0059150B" w:rsidRDefault="000B4656" w:rsidP="00865323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Do niniejszego programu priorytetowego mają odpowiednie zastosowanie „Zasady udzielania dofinansowania ze środków Narodowego Funduszu Ochrony Środowiska i Gospodarki Wodnej” oraz „Kryteria wyboru </w:t>
      </w:r>
      <w:r w:rsidR="00A2639B">
        <w:rPr>
          <w:rFonts w:asciiTheme="minorHAnsi" w:hAnsiTheme="minorHAnsi" w:cstheme="minorHAnsi"/>
          <w:color w:val="auto"/>
          <w:sz w:val="22"/>
          <w:szCs w:val="22"/>
        </w:rPr>
        <w:t>przedsięwzięć</w:t>
      </w:r>
      <w:r w:rsidRPr="0059150B">
        <w:rPr>
          <w:rFonts w:asciiTheme="minorHAnsi" w:hAnsiTheme="minorHAnsi" w:cstheme="minorHAnsi"/>
          <w:color w:val="auto"/>
          <w:sz w:val="22"/>
          <w:szCs w:val="22"/>
        </w:rPr>
        <w:t xml:space="preserve"> finansowanych ze środków Narodowego Funduszu Ochrony Środowiska i Gospodarki Wodnej”.</w:t>
      </w:r>
    </w:p>
    <w:p w14:paraId="4BDE6CF4" w14:textId="7F14F202" w:rsidR="000B4656" w:rsidRPr="0059150B" w:rsidRDefault="000B4656" w:rsidP="00865323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150B">
        <w:rPr>
          <w:rFonts w:asciiTheme="minorHAnsi" w:hAnsiTheme="minorHAnsi" w:cstheme="minorHAnsi"/>
          <w:color w:val="auto"/>
          <w:sz w:val="22"/>
          <w:szCs w:val="22"/>
        </w:rPr>
        <w:t>Ilekroć w niniejszym programie priorytetowym jest mowa o inwestycji rozumie się przez to inwestycje, o których mowa w ustawie z dnia 12 czerwca 2015 r. o systemie handlu uprawnieniami do emisji gazów cieplarnianych oraz w art. 401e ust. 2 ustawy z dnia 27 kwietnia 2001 r. – Prawo ochrony środowiska, a także przedsięwzięcia, o których mowa w ustawie z dnia 27 kwietnia 2001 r. – Prawo ochrony środowiska, Zasadach udzielania dofinansowania ze środków NFOŚiGW, Wytycznych w zakresie kosztów kwalifikowanych, Metodyce oceny finansowej wniosku o dofinansowanie, Kryteriach wyboru przedsięwzięć finansowanych ze środków NFOŚIGW oraz innych dokumentach NFOŚiGW.</w:t>
      </w:r>
    </w:p>
    <w:p w14:paraId="335D002D" w14:textId="77777777" w:rsidR="00A911D9" w:rsidRPr="000016D9" w:rsidRDefault="00A911D9" w:rsidP="00865323">
      <w:pPr>
        <w:tabs>
          <w:tab w:val="left" w:pos="284"/>
        </w:tabs>
        <w:spacing w:line="360" w:lineRule="auto"/>
        <w:ind w:left="284" w:hanging="284"/>
        <w:rPr>
          <w:rFonts w:asciiTheme="minorHAnsi" w:eastAsia="Calibri" w:hAnsiTheme="minorHAnsi"/>
          <w:i/>
          <w:sz w:val="18"/>
          <w:szCs w:val="18"/>
          <w:lang w:eastAsia="en-US"/>
        </w:rPr>
      </w:pPr>
    </w:p>
    <w:sectPr w:rsidR="00A911D9" w:rsidRPr="000016D9" w:rsidSect="00B37FB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0715" w14:textId="77777777" w:rsidR="00AC5D87" w:rsidRDefault="00AC5D87">
      <w:r>
        <w:separator/>
      </w:r>
    </w:p>
  </w:endnote>
  <w:endnote w:type="continuationSeparator" w:id="0">
    <w:p w14:paraId="7341CC16" w14:textId="77777777" w:rsidR="00AC5D87" w:rsidRDefault="00AC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F3B5" w14:textId="77777777" w:rsidR="00CE053E" w:rsidRDefault="00163716" w:rsidP="00F5249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98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7114C2" w14:textId="77777777" w:rsidR="00CE053E" w:rsidRDefault="00CE05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822F" w14:textId="3C2945B3" w:rsidR="00CE053E" w:rsidRPr="00933AA1" w:rsidRDefault="00163716" w:rsidP="00F5249F">
    <w:pPr>
      <w:pStyle w:val="Stopka"/>
      <w:jc w:val="center"/>
      <w:rPr>
        <w:sz w:val="20"/>
        <w:szCs w:val="20"/>
      </w:rPr>
    </w:pPr>
    <w:r w:rsidRPr="00933AA1">
      <w:rPr>
        <w:rStyle w:val="Numerstrony"/>
        <w:sz w:val="20"/>
        <w:szCs w:val="20"/>
      </w:rPr>
      <w:fldChar w:fldCharType="begin"/>
    </w:r>
    <w:r w:rsidR="00CC6982" w:rsidRPr="00933AA1">
      <w:rPr>
        <w:rStyle w:val="Numerstrony"/>
        <w:sz w:val="20"/>
        <w:szCs w:val="20"/>
      </w:rPr>
      <w:instrText xml:space="preserve"> PAGE </w:instrText>
    </w:r>
    <w:r w:rsidRPr="00933AA1">
      <w:rPr>
        <w:rStyle w:val="Numerstrony"/>
        <w:sz w:val="20"/>
        <w:szCs w:val="20"/>
      </w:rPr>
      <w:fldChar w:fldCharType="separate"/>
    </w:r>
    <w:r w:rsidR="00922F55">
      <w:rPr>
        <w:rStyle w:val="Numerstrony"/>
        <w:noProof/>
        <w:sz w:val="20"/>
        <w:szCs w:val="20"/>
      </w:rPr>
      <w:t>5</w:t>
    </w:r>
    <w:r w:rsidRPr="00933AA1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BA" w14:textId="77777777" w:rsidR="00AC5D87" w:rsidRDefault="00AC5D87">
      <w:r>
        <w:separator/>
      </w:r>
    </w:p>
  </w:footnote>
  <w:footnote w:type="continuationSeparator" w:id="0">
    <w:p w14:paraId="45EF9344" w14:textId="77777777" w:rsidR="00AC5D87" w:rsidRDefault="00AC5D87">
      <w:r>
        <w:continuationSeparator/>
      </w:r>
    </w:p>
  </w:footnote>
  <w:footnote w:id="1">
    <w:p w14:paraId="28E178C0" w14:textId="42553187" w:rsidR="001975A2" w:rsidRPr="001F7F82" w:rsidRDefault="001975A2">
      <w:pPr>
        <w:pStyle w:val="Tekstprzypisudolnego"/>
        <w:rPr>
          <w:rFonts w:asciiTheme="minorHAnsi" w:hAnsiTheme="minorHAnsi" w:cstheme="minorHAnsi"/>
        </w:rPr>
      </w:pPr>
      <w:r w:rsidRPr="001F7F82">
        <w:rPr>
          <w:rStyle w:val="Odwoanieprzypisudolnego"/>
          <w:rFonts w:asciiTheme="minorHAnsi" w:hAnsiTheme="minorHAnsi" w:cstheme="minorHAnsi"/>
        </w:rPr>
        <w:footnoteRef/>
      </w:r>
      <w:r w:rsidRPr="001F7F82">
        <w:rPr>
          <w:rFonts w:asciiTheme="minorHAnsi" w:hAnsiTheme="minorHAnsi" w:cstheme="minorHAnsi"/>
        </w:rPr>
        <w:t xml:space="preserve"> Wielorodzinne budynki mieszkalne na potrzeby programu to budynki, w których funkcjonuj</w:t>
      </w:r>
      <w:r w:rsidR="00FC23CB">
        <w:rPr>
          <w:rFonts w:asciiTheme="minorHAnsi" w:hAnsiTheme="minorHAnsi" w:cstheme="minorHAnsi"/>
        </w:rPr>
        <w:t>ą</w:t>
      </w:r>
      <w:r w:rsidRPr="001F7F82">
        <w:rPr>
          <w:rFonts w:asciiTheme="minorHAnsi" w:hAnsiTheme="minorHAnsi" w:cstheme="minorHAnsi"/>
        </w:rPr>
        <w:t xml:space="preserve"> wspólnoty mieszkaniowe</w:t>
      </w:r>
      <w:r w:rsidR="00443379" w:rsidRPr="001F7F82">
        <w:rPr>
          <w:rFonts w:asciiTheme="minorHAnsi" w:hAnsiTheme="minorHAnsi" w:cstheme="minorHAnsi"/>
        </w:rPr>
        <w:t xml:space="preserve"> formalne bądź nieformalne</w:t>
      </w:r>
      <w:r w:rsidRPr="001F7F82">
        <w:rPr>
          <w:rFonts w:asciiTheme="minorHAnsi" w:hAnsiTheme="minorHAnsi" w:cstheme="minorHAnsi"/>
        </w:rPr>
        <w:t xml:space="preserve">, pod warunkiem że przed dniem 1 </w:t>
      </w:r>
      <w:r w:rsidR="0032500C">
        <w:rPr>
          <w:rFonts w:asciiTheme="minorHAnsi" w:hAnsiTheme="minorHAnsi" w:cstheme="minorHAnsi"/>
        </w:rPr>
        <w:t>stycznia</w:t>
      </w:r>
      <w:r w:rsidRPr="001F7F82">
        <w:rPr>
          <w:rFonts w:asciiTheme="minorHAnsi" w:hAnsiTheme="minorHAnsi" w:cstheme="minorHAnsi"/>
        </w:rPr>
        <w:t xml:space="preserve"> 19</w:t>
      </w:r>
      <w:r w:rsidR="0032500C">
        <w:rPr>
          <w:rFonts w:asciiTheme="minorHAnsi" w:hAnsiTheme="minorHAnsi" w:cstheme="minorHAnsi"/>
        </w:rPr>
        <w:t>92</w:t>
      </w:r>
      <w:r w:rsidRPr="001F7F82">
        <w:rPr>
          <w:rFonts w:asciiTheme="minorHAnsi" w:hAnsiTheme="minorHAnsi" w:cstheme="minorHAnsi"/>
        </w:rPr>
        <w:t xml:space="preserve"> r. stanowiły one mienie Skarbu Państwa lub własność </w:t>
      </w:r>
      <w:r w:rsidR="00947C03" w:rsidRPr="001F7F82">
        <w:rPr>
          <w:rFonts w:asciiTheme="minorHAnsi" w:hAnsiTheme="minorHAnsi" w:cstheme="minorHAnsi"/>
        </w:rPr>
        <w:t>r</w:t>
      </w:r>
      <w:r w:rsidRPr="001F7F82">
        <w:rPr>
          <w:rFonts w:asciiTheme="minorHAnsi" w:hAnsiTheme="minorHAnsi" w:cstheme="minorHAnsi"/>
        </w:rPr>
        <w:t xml:space="preserve">olniczych </w:t>
      </w:r>
      <w:r w:rsidR="00947C03" w:rsidRPr="001F7F82">
        <w:rPr>
          <w:rFonts w:asciiTheme="minorHAnsi" w:hAnsiTheme="minorHAnsi" w:cstheme="minorHAnsi"/>
        </w:rPr>
        <w:t>s</w:t>
      </w:r>
      <w:r w:rsidRPr="001F7F82">
        <w:rPr>
          <w:rFonts w:asciiTheme="minorHAnsi" w:hAnsiTheme="minorHAnsi" w:cstheme="minorHAnsi"/>
        </w:rPr>
        <w:t xml:space="preserve">półdzielni </w:t>
      </w:r>
      <w:r w:rsidR="00947C03" w:rsidRPr="001F7F82">
        <w:rPr>
          <w:rFonts w:asciiTheme="minorHAnsi" w:hAnsiTheme="minorHAnsi" w:cstheme="minorHAnsi"/>
        </w:rPr>
        <w:t>p</w:t>
      </w:r>
      <w:r w:rsidRPr="001F7F82">
        <w:rPr>
          <w:rFonts w:asciiTheme="minorHAnsi" w:hAnsiTheme="minorHAnsi" w:cstheme="minorHAnsi"/>
        </w:rPr>
        <w:t>rodukcyjnych.</w:t>
      </w:r>
    </w:p>
  </w:footnote>
  <w:footnote w:id="2">
    <w:p w14:paraId="5887F969" w14:textId="5959D691" w:rsidR="00611B7D" w:rsidRDefault="00611B7D">
      <w:pPr>
        <w:pStyle w:val="Tekstprzypisudolnego"/>
      </w:pPr>
      <w:r w:rsidRPr="001F7F82">
        <w:rPr>
          <w:rStyle w:val="Odwoanieprzypisudolnego"/>
          <w:rFonts w:asciiTheme="minorHAnsi" w:hAnsiTheme="minorHAnsi" w:cstheme="minorHAnsi"/>
        </w:rPr>
        <w:footnoteRef/>
      </w:r>
      <w:r w:rsidRPr="001F7F82">
        <w:rPr>
          <w:rFonts w:asciiTheme="minorHAnsi" w:hAnsiTheme="minorHAnsi" w:cstheme="minorHAnsi"/>
        </w:rPr>
        <w:t xml:space="preserve"> </w:t>
      </w:r>
      <w:r w:rsidR="00E03AAA">
        <w:rPr>
          <w:rFonts w:asciiTheme="minorHAnsi" w:hAnsiTheme="minorHAnsi" w:cstheme="minorHAnsi"/>
        </w:rPr>
        <w:t>T</w:t>
      </w:r>
      <w:r w:rsidRPr="001F7F82">
        <w:rPr>
          <w:rFonts w:asciiTheme="minorHAnsi" w:hAnsiTheme="minorHAnsi" w:cstheme="minorHAnsi"/>
        </w:rPr>
        <w:t>ereny wiejskie</w:t>
      </w:r>
      <w:r w:rsidR="00E03AAA">
        <w:rPr>
          <w:rFonts w:asciiTheme="minorHAnsi" w:hAnsiTheme="minorHAnsi" w:cstheme="minorHAnsi"/>
        </w:rPr>
        <w:t xml:space="preserve"> dotknięte ubóstwem </w:t>
      </w:r>
      <w:r w:rsidR="0055015A">
        <w:rPr>
          <w:rFonts w:asciiTheme="minorHAnsi" w:hAnsiTheme="minorHAnsi" w:cstheme="minorHAnsi"/>
        </w:rPr>
        <w:t>energetycznym</w:t>
      </w:r>
      <w:r w:rsidR="00E03AAA">
        <w:rPr>
          <w:rFonts w:asciiTheme="minorHAnsi" w:hAnsiTheme="minorHAnsi" w:cstheme="minorHAnsi"/>
        </w:rPr>
        <w:t xml:space="preserve"> w związku z transformacją </w:t>
      </w:r>
      <w:r w:rsidR="0055015A">
        <w:rPr>
          <w:rFonts w:asciiTheme="minorHAnsi" w:hAnsiTheme="minorHAnsi" w:cstheme="minorHAnsi"/>
        </w:rPr>
        <w:t>ustrojową</w:t>
      </w:r>
      <w:r w:rsidR="00644FE6" w:rsidRPr="001F7F82">
        <w:rPr>
          <w:rFonts w:asciiTheme="minorHAnsi" w:hAnsiTheme="minorHAnsi" w:cstheme="minorHAnsi"/>
        </w:rPr>
        <w:t xml:space="preserve"> </w:t>
      </w:r>
      <w:r w:rsidR="00DB4ED3">
        <w:rPr>
          <w:rFonts w:asciiTheme="minorHAnsi" w:hAnsiTheme="minorHAnsi" w:cstheme="minorHAnsi"/>
        </w:rPr>
        <w:t>na potrzeby niniejszego programu zostały zdefiniowane</w:t>
      </w:r>
      <w:r w:rsidRPr="001F7F82">
        <w:rPr>
          <w:rFonts w:asciiTheme="minorHAnsi" w:hAnsiTheme="minorHAnsi" w:cstheme="minorHAnsi"/>
        </w:rPr>
        <w:t xml:space="preserve"> jako obszary, gdzie znajdowały się zasoby dawnych podmiotów gospodarki uspołecznionej, w tym byłych </w:t>
      </w:r>
      <w:r w:rsidR="00947C03" w:rsidRPr="001F7F82">
        <w:rPr>
          <w:rFonts w:asciiTheme="minorHAnsi" w:hAnsiTheme="minorHAnsi" w:cstheme="minorHAnsi"/>
        </w:rPr>
        <w:t>p</w:t>
      </w:r>
      <w:r w:rsidRPr="001F7F82">
        <w:rPr>
          <w:rFonts w:asciiTheme="minorHAnsi" w:hAnsiTheme="minorHAnsi" w:cstheme="minorHAnsi"/>
        </w:rPr>
        <w:t xml:space="preserve">aństwowych </w:t>
      </w:r>
      <w:r w:rsidR="00947C03" w:rsidRPr="001F7F82">
        <w:rPr>
          <w:rFonts w:asciiTheme="minorHAnsi" w:hAnsiTheme="minorHAnsi" w:cstheme="minorHAnsi"/>
        </w:rPr>
        <w:t>g</w:t>
      </w:r>
      <w:r w:rsidRPr="001F7F82">
        <w:rPr>
          <w:rFonts w:asciiTheme="minorHAnsi" w:hAnsiTheme="minorHAnsi" w:cstheme="minorHAnsi"/>
        </w:rPr>
        <w:t xml:space="preserve">ospodarstw </w:t>
      </w:r>
      <w:r w:rsidR="00947C03" w:rsidRPr="001F7F82">
        <w:rPr>
          <w:rFonts w:asciiTheme="minorHAnsi" w:hAnsiTheme="minorHAnsi" w:cstheme="minorHAnsi"/>
        </w:rPr>
        <w:t>r</w:t>
      </w:r>
      <w:r w:rsidRPr="001F7F82">
        <w:rPr>
          <w:rFonts w:asciiTheme="minorHAnsi" w:hAnsiTheme="minorHAnsi" w:cstheme="minorHAnsi"/>
        </w:rPr>
        <w:t xml:space="preserve">olnych, przedsiębiorstw państwowych </w:t>
      </w:r>
      <w:r w:rsidR="0032500C">
        <w:rPr>
          <w:rFonts w:asciiTheme="minorHAnsi" w:hAnsiTheme="minorHAnsi" w:cstheme="minorHAnsi"/>
        </w:rPr>
        <w:br/>
      </w:r>
      <w:r w:rsidRPr="001F7F82">
        <w:rPr>
          <w:rFonts w:asciiTheme="minorHAnsi" w:hAnsiTheme="minorHAnsi" w:cstheme="minorHAnsi"/>
        </w:rPr>
        <w:t>i rolniczych spółdzielni produkcyjnych</w:t>
      </w:r>
      <w:r w:rsidR="00FC23CB">
        <w:rPr>
          <w:rFonts w:asciiTheme="minorHAnsi" w:hAnsiTheme="minorHAnsi" w:cstheme="minorHAnsi"/>
        </w:rPr>
        <w:t>.</w:t>
      </w:r>
    </w:p>
  </w:footnote>
  <w:footnote w:id="3">
    <w:p w14:paraId="15C9D374" w14:textId="77777777" w:rsidR="00A01828" w:rsidRPr="002A1A03" w:rsidRDefault="00A01828" w:rsidP="00A01828">
      <w:pPr>
        <w:pStyle w:val="Tekstprzypisudolneg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9672AF">
        <w:rPr>
          <w:rStyle w:val="Odwoanieprzypisudolnego"/>
          <w:rFonts w:ascii="Calibri" w:hAnsi="Calibri" w:cs="Calibri"/>
        </w:rPr>
        <w:footnoteRef/>
      </w:r>
      <w:r w:rsidRPr="009672AF">
        <w:rPr>
          <w:rFonts w:ascii="Calibri" w:hAnsi="Calibri" w:cs="Calibri"/>
        </w:rPr>
        <w:t xml:space="preserve"> </w:t>
      </w:r>
      <w:r w:rsidRPr="009672AF">
        <w:rPr>
          <w:rFonts w:ascii="Calibri" w:eastAsiaTheme="minorHAnsi" w:hAnsi="Calibri" w:cs="Calibri"/>
          <w:color w:val="000000"/>
          <w:lang w:eastAsia="en-US"/>
        </w:rPr>
        <w:t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</w:t>
      </w:r>
      <w:r w:rsidRPr="002A1A0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</w:footnote>
  <w:footnote w:id="4">
    <w:p w14:paraId="3738290B" w14:textId="13047DB2" w:rsidR="00976470" w:rsidRDefault="009764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6470">
        <w:rPr>
          <w:rFonts w:ascii="Calibri" w:hAnsi="Calibri" w:cs="Calibri"/>
        </w:rPr>
        <w:t>Ustawa ta utworzyła Zasób Własności Rolnej Skarbu Państwa oraz Krajową Agencję Własności Rolnej, przejmującą mienie byłych Państwowych Gospodarstw Rolnych. Data ta powiązana jest z procesem likwidacji PGR i ostatecznym ukształtowaniem zasad gospodarowania mieniem rolnym Skarbu Państwa.</w:t>
      </w:r>
    </w:p>
  </w:footnote>
  <w:footnote w:id="5">
    <w:p w14:paraId="5CBE1303" w14:textId="75FC275A" w:rsidR="00D53F19" w:rsidRDefault="00D53F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500C">
        <w:rPr>
          <w:rFonts w:asciiTheme="minorHAnsi" w:hAnsiTheme="minorHAnsi" w:cstheme="minorHAnsi"/>
        </w:rPr>
        <w:t>Indywidualne źródła ciepła – urządzenie lub instalacja służąca do wytwarzania energii cieplnej na potrzeby ogrzewania i przygotowania ciepłej wody użytkowej, zlokalizowana w obrębie jednego mieszkania lub lokalu, niezależna od wspólnej instalacji centralnego ogrzewania budynku.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1A86" w14:textId="77777777" w:rsidR="00A67466" w:rsidRDefault="00A67466">
    <w:pPr>
      <w:pStyle w:val="Nagwek"/>
    </w:pPr>
  </w:p>
  <w:p w14:paraId="10C65A14" w14:textId="77777777" w:rsidR="00CE053E" w:rsidRPr="00AE6284" w:rsidRDefault="00CE053E" w:rsidP="00955A1D">
    <w:pPr>
      <w:pStyle w:val="Nagwek"/>
      <w:jc w:val="right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0BEE" w14:textId="77777777" w:rsidR="00CE053E" w:rsidRDefault="00CE053E" w:rsidP="00462E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8D302"/>
    <w:multiLevelType w:val="hybridMultilevel"/>
    <w:tmpl w:val="37E0FF9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3200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B03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A73DC5"/>
    <w:multiLevelType w:val="hybridMultilevel"/>
    <w:tmpl w:val="9FB6B948"/>
    <w:lvl w:ilvl="0" w:tplc="64CEB4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2234"/>
    <w:multiLevelType w:val="multilevel"/>
    <w:tmpl w:val="20BA0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0C5F27"/>
    <w:multiLevelType w:val="hybridMultilevel"/>
    <w:tmpl w:val="7D549B4A"/>
    <w:lvl w:ilvl="0" w:tplc="CD444D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60B1"/>
    <w:multiLevelType w:val="hybridMultilevel"/>
    <w:tmpl w:val="254C5498"/>
    <w:lvl w:ilvl="0" w:tplc="C50601D4">
      <w:start w:val="1"/>
      <w:numFmt w:val="decimal"/>
      <w:lvlText w:val="%1)"/>
      <w:lvlJc w:val="left"/>
      <w:pPr>
        <w:ind w:left="785" w:hanging="360"/>
      </w:pPr>
      <w:rPr>
        <w:rFonts w:eastAsia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9B359C3"/>
    <w:multiLevelType w:val="hybridMultilevel"/>
    <w:tmpl w:val="A4946888"/>
    <w:lvl w:ilvl="0" w:tplc="20804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37CFF"/>
    <w:multiLevelType w:val="hybridMultilevel"/>
    <w:tmpl w:val="0A386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40E39"/>
    <w:multiLevelType w:val="multilevel"/>
    <w:tmpl w:val="1206EA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DBF9D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2E6A9F"/>
    <w:multiLevelType w:val="hybridMultilevel"/>
    <w:tmpl w:val="3D2C12AE"/>
    <w:lvl w:ilvl="0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17DA2F28"/>
    <w:multiLevelType w:val="hybridMultilevel"/>
    <w:tmpl w:val="80B8AED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2D56F02"/>
    <w:multiLevelType w:val="hybridMultilevel"/>
    <w:tmpl w:val="B6E4E392"/>
    <w:lvl w:ilvl="0" w:tplc="1BAE5DE8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83500DA2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191505"/>
    <w:multiLevelType w:val="hybridMultilevel"/>
    <w:tmpl w:val="DD2439B2"/>
    <w:lvl w:ilvl="0" w:tplc="6588846E">
      <w:start w:val="2"/>
      <w:numFmt w:val="decimal"/>
      <w:pStyle w:val="STYLNUMER"/>
      <w:lvlText w:val="%1)"/>
      <w:lvlJc w:val="left"/>
      <w:pPr>
        <w:ind w:left="94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6DC"/>
    <w:multiLevelType w:val="hybridMultilevel"/>
    <w:tmpl w:val="E4B2366C"/>
    <w:lvl w:ilvl="0" w:tplc="06184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170EA"/>
    <w:multiLevelType w:val="multilevel"/>
    <w:tmpl w:val="3F62F0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648"/>
      </w:pPr>
    </w:lvl>
    <w:lvl w:ilvl="4">
      <w:start w:val="1"/>
      <w:numFmt w:val="decimal"/>
      <w:lvlText w:val="%1.%2.%3.%4.%5."/>
      <w:lvlJc w:val="left"/>
      <w:pPr>
        <w:ind w:left="2946" w:hanging="792"/>
      </w:pPr>
    </w:lvl>
    <w:lvl w:ilvl="5">
      <w:start w:val="1"/>
      <w:numFmt w:val="decimal"/>
      <w:lvlText w:val="%1.%2.%3.%4.%5.%6."/>
      <w:lvlJc w:val="left"/>
      <w:pPr>
        <w:ind w:left="3450" w:hanging="936"/>
      </w:pPr>
    </w:lvl>
    <w:lvl w:ilvl="6">
      <w:start w:val="1"/>
      <w:numFmt w:val="decimal"/>
      <w:lvlText w:val="%1.%2.%3.%4.%5.%6.%7."/>
      <w:lvlJc w:val="left"/>
      <w:pPr>
        <w:ind w:left="3954" w:hanging="1080"/>
      </w:pPr>
    </w:lvl>
    <w:lvl w:ilvl="7">
      <w:start w:val="1"/>
      <w:numFmt w:val="decimal"/>
      <w:lvlText w:val="%1.%2.%3.%4.%5.%6.%7.%8."/>
      <w:lvlJc w:val="left"/>
      <w:pPr>
        <w:ind w:left="4458" w:hanging="1224"/>
      </w:pPr>
    </w:lvl>
    <w:lvl w:ilvl="8">
      <w:start w:val="1"/>
      <w:numFmt w:val="decimal"/>
      <w:lvlText w:val="%1.%2.%3.%4.%5.%6.%7.%8.%9."/>
      <w:lvlJc w:val="left"/>
      <w:pPr>
        <w:ind w:left="5034" w:hanging="1440"/>
      </w:pPr>
    </w:lvl>
  </w:abstractNum>
  <w:abstractNum w:abstractNumId="17" w15:restartNumberingAfterBreak="0">
    <w:nsid w:val="4BA53781"/>
    <w:multiLevelType w:val="hybridMultilevel"/>
    <w:tmpl w:val="381270EC"/>
    <w:lvl w:ilvl="0" w:tplc="9F70F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4274F"/>
    <w:multiLevelType w:val="hybridMultilevel"/>
    <w:tmpl w:val="533697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19919E8"/>
    <w:multiLevelType w:val="hybridMultilevel"/>
    <w:tmpl w:val="F0BE6488"/>
    <w:lvl w:ilvl="0" w:tplc="0FE4D98E">
      <w:start w:val="1"/>
      <w:numFmt w:val="decimal"/>
      <w:lvlText w:val="%1)"/>
      <w:lvlJc w:val="left"/>
      <w:pPr>
        <w:ind w:left="927" w:hanging="360"/>
      </w:pPr>
      <w:rPr>
        <w:rFonts w:ascii="Calibri" w:eastAsiaTheme="minorHAnsi" w:hAnsi="Calibri" w:cs="Calibri" w:hint="default"/>
        <w:b w:val="0"/>
        <w:sz w:val="22"/>
        <w:szCs w:val="22"/>
      </w:rPr>
    </w:lvl>
    <w:lvl w:ilvl="1" w:tplc="C50601D4">
      <w:start w:val="1"/>
      <w:numFmt w:val="decimal"/>
      <w:lvlText w:val="%2)"/>
      <w:lvlJc w:val="left"/>
      <w:pPr>
        <w:ind w:left="1647" w:hanging="360"/>
      </w:pPr>
      <w:rPr>
        <w:rFonts w:eastAsiaTheme="minorHAnsi" w:cstheme="minorBidi" w:hint="default"/>
        <w:b w:val="0"/>
      </w:rPr>
    </w:lvl>
    <w:lvl w:ilvl="2" w:tplc="467C4FE6">
      <w:start w:val="2"/>
      <w:numFmt w:val="lowerLetter"/>
      <w:lvlText w:val="%3)"/>
      <w:lvlJc w:val="left"/>
      <w:pPr>
        <w:ind w:left="2547" w:hanging="360"/>
      </w:pPr>
      <w:rPr>
        <w:rFonts w:asciiTheme="minorHAnsi" w:hAnsiTheme="minorHAnsi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CD2652"/>
    <w:multiLevelType w:val="hybridMultilevel"/>
    <w:tmpl w:val="9C6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B7E67"/>
    <w:multiLevelType w:val="hybridMultilevel"/>
    <w:tmpl w:val="7BB8A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02F5B"/>
    <w:multiLevelType w:val="hybridMultilevel"/>
    <w:tmpl w:val="352E6D0C"/>
    <w:lvl w:ilvl="0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63591417"/>
    <w:multiLevelType w:val="hybridMultilevel"/>
    <w:tmpl w:val="7CB6B860"/>
    <w:lvl w:ilvl="0" w:tplc="3ED86D6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90463E"/>
    <w:multiLevelType w:val="hybridMultilevel"/>
    <w:tmpl w:val="EE1651CA"/>
    <w:lvl w:ilvl="0" w:tplc="83500DA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-1107" w:hanging="360"/>
      </w:pPr>
    </w:lvl>
    <w:lvl w:ilvl="2" w:tplc="0415001B">
      <w:start w:val="1"/>
      <w:numFmt w:val="lowerRoman"/>
      <w:lvlText w:val="%3."/>
      <w:lvlJc w:val="right"/>
      <w:pPr>
        <w:ind w:left="-387" w:hanging="180"/>
      </w:pPr>
    </w:lvl>
    <w:lvl w:ilvl="3" w:tplc="0415000F">
      <w:start w:val="1"/>
      <w:numFmt w:val="decimal"/>
      <w:lvlText w:val="%4."/>
      <w:lvlJc w:val="left"/>
      <w:pPr>
        <w:ind w:left="333" w:hanging="360"/>
      </w:pPr>
    </w:lvl>
    <w:lvl w:ilvl="4" w:tplc="04150019">
      <w:start w:val="1"/>
      <w:numFmt w:val="lowerLetter"/>
      <w:lvlText w:val="%5."/>
      <w:lvlJc w:val="left"/>
      <w:pPr>
        <w:ind w:left="1053" w:hanging="360"/>
      </w:pPr>
    </w:lvl>
    <w:lvl w:ilvl="5" w:tplc="0415001B">
      <w:start w:val="1"/>
      <w:numFmt w:val="lowerRoman"/>
      <w:lvlText w:val="%6."/>
      <w:lvlJc w:val="right"/>
      <w:pPr>
        <w:ind w:left="1773" w:hanging="180"/>
      </w:pPr>
    </w:lvl>
    <w:lvl w:ilvl="6" w:tplc="0415000F">
      <w:start w:val="1"/>
      <w:numFmt w:val="decimal"/>
      <w:lvlText w:val="%7."/>
      <w:lvlJc w:val="left"/>
      <w:pPr>
        <w:ind w:left="2493" w:hanging="360"/>
      </w:pPr>
    </w:lvl>
    <w:lvl w:ilvl="7" w:tplc="04150019">
      <w:start w:val="1"/>
      <w:numFmt w:val="lowerLetter"/>
      <w:lvlText w:val="%8."/>
      <w:lvlJc w:val="left"/>
      <w:pPr>
        <w:ind w:left="3213" w:hanging="360"/>
      </w:pPr>
    </w:lvl>
    <w:lvl w:ilvl="8" w:tplc="0415001B">
      <w:start w:val="1"/>
      <w:numFmt w:val="lowerRoman"/>
      <w:lvlText w:val="%9."/>
      <w:lvlJc w:val="right"/>
      <w:pPr>
        <w:ind w:left="3933" w:hanging="180"/>
      </w:pPr>
    </w:lvl>
  </w:abstractNum>
  <w:abstractNum w:abstractNumId="25" w15:restartNumberingAfterBreak="0">
    <w:nsid w:val="63EC49D0"/>
    <w:multiLevelType w:val="hybridMultilevel"/>
    <w:tmpl w:val="33CA2682"/>
    <w:lvl w:ilvl="0" w:tplc="FFFFFFFF">
      <w:start w:val="1"/>
      <w:numFmt w:val="ideographDigital"/>
      <w:lvlText w:val=""/>
      <w:lvlJc w:val="left"/>
    </w:lvl>
    <w:lvl w:ilvl="1" w:tplc="474CB7A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38331F7"/>
    <w:multiLevelType w:val="hybridMultilevel"/>
    <w:tmpl w:val="1A36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77D76"/>
    <w:multiLevelType w:val="hybridMultilevel"/>
    <w:tmpl w:val="C7EE861E"/>
    <w:lvl w:ilvl="0" w:tplc="3ED86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2695184">
    <w:abstractNumId w:val="4"/>
  </w:num>
  <w:num w:numId="2" w16cid:durableId="2043818029">
    <w:abstractNumId w:val="9"/>
  </w:num>
  <w:num w:numId="3" w16cid:durableId="936712414">
    <w:abstractNumId w:val="6"/>
  </w:num>
  <w:num w:numId="4" w16cid:durableId="837844304">
    <w:abstractNumId w:val="16"/>
  </w:num>
  <w:num w:numId="5" w16cid:durableId="874659977">
    <w:abstractNumId w:val="19"/>
  </w:num>
  <w:num w:numId="6" w16cid:durableId="926040078">
    <w:abstractNumId w:val="0"/>
  </w:num>
  <w:num w:numId="7" w16cid:durableId="926110221">
    <w:abstractNumId w:val="25"/>
  </w:num>
  <w:num w:numId="8" w16cid:durableId="1782533613">
    <w:abstractNumId w:val="13"/>
  </w:num>
  <w:num w:numId="9" w16cid:durableId="743258212">
    <w:abstractNumId w:val="22"/>
  </w:num>
  <w:num w:numId="10" w16cid:durableId="1441795962">
    <w:abstractNumId w:val="15"/>
  </w:num>
  <w:num w:numId="11" w16cid:durableId="2048095566">
    <w:abstractNumId w:val="14"/>
  </w:num>
  <w:num w:numId="12" w16cid:durableId="479543411">
    <w:abstractNumId w:val="23"/>
  </w:num>
  <w:num w:numId="13" w16cid:durableId="1910648334">
    <w:abstractNumId w:val="12"/>
  </w:num>
  <w:num w:numId="14" w16cid:durableId="693730550">
    <w:abstractNumId w:val="18"/>
  </w:num>
  <w:num w:numId="15" w16cid:durableId="1929192407">
    <w:abstractNumId w:val="11"/>
  </w:num>
  <w:num w:numId="16" w16cid:durableId="89014746">
    <w:abstractNumId w:val="3"/>
  </w:num>
  <w:num w:numId="17" w16cid:durableId="331108881">
    <w:abstractNumId w:val="26"/>
  </w:num>
  <w:num w:numId="18" w16cid:durableId="2007035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013915">
    <w:abstractNumId w:val="27"/>
  </w:num>
  <w:num w:numId="20" w16cid:durableId="411313147">
    <w:abstractNumId w:val="1"/>
  </w:num>
  <w:num w:numId="21" w16cid:durableId="503328397">
    <w:abstractNumId w:val="2"/>
  </w:num>
  <w:num w:numId="22" w16cid:durableId="1672290645">
    <w:abstractNumId w:val="10"/>
  </w:num>
  <w:num w:numId="23" w16cid:durableId="1554124009">
    <w:abstractNumId w:val="7"/>
  </w:num>
  <w:num w:numId="24" w16cid:durableId="622200503">
    <w:abstractNumId w:val="17"/>
  </w:num>
  <w:num w:numId="25" w16cid:durableId="1342053199">
    <w:abstractNumId w:val="20"/>
  </w:num>
  <w:num w:numId="26" w16cid:durableId="1880626221">
    <w:abstractNumId w:val="21"/>
  </w:num>
  <w:num w:numId="27" w16cid:durableId="1393117462">
    <w:abstractNumId w:val="8"/>
  </w:num>
  <w:num w:numId="28" w16cid:durableId="175920600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A6"/>
    <w:rsid w:val="00000807"/>
    <w:rsid w:val="000016D9"/>
    <w:rsid w:val="0000618A"/>
    <w:rsid w:val="000067C4"/>
    <w:rsid w:val="00007BB2"/>
    <w:rsid w:val="00007E4A"/>
    <w:rsid w:val="0001786D"/>
    <w:rsid w:val="00024547"/>
    <w:rsid w:val="00024B7A"/>
    <w:rsid w:val="00024F55"/>
    <w:rsid w:val="00026ADF"/>
    <w:rsid w:val="00037DE0"/>
    <w:rsid w:val="00041B21"/>
    <w:rsid w:val="00041C1A"/>
    <w:rsid w:val="00045B0D"/>
    <w:rsid w:val="00051576"/>
    <w:rsid w:val="0005268F"/>
    <w:rsid w:val="000566A5"/>
    <w:rsid w:val="00066DED"/>
    <w:rsid w:val="0006729D"/>
    <w:rsid w:val="00083D01"/>
    <w:rsid w:val="00087B7C"/>
    <w:rsid w:val="0009058B"/>
    <w:rsid w:val="000A27FD"/>
    <w:rsid w:val="000B4656"/>
    <w:rsid w:val="000B65CE"/>
    <w:rsid w:val="000B79E5"/>
    <w:rsid w:val="000D5C68"/>
    <w:rsid w:val="000E7E8D"/>
    <w:rsid w:val="000F4443"/>
    <w:rsid w:val="000F60F0"/>
    <w:rsid w:val="000F7BBC"/>
    <w:rsid w:val="001053D4"/>
    <w:rsid w:val="0012195E"/>
    <w:rsid w:val="00121F34"/>
    <w:rsid w:val="00123DCD"/>
    <w:rsid w:val="001306B8"/>
    <w:rsid w:val="001319B3"/>
    <w:rsid w:val="00131AA9"/>
    <w:rsid w:val="0013249F"/>
    <w:rsid w:val="00135A16"/>
    <w:rsid w:val="00135D71"/>
    <w:rsid w:val="00143083"/>
    <w:rsid w:val="0014362A"/>
    <w:rsid w:val="0014418A"/>
    <w:rsid w:val="00152261"/>
    <w:rsid w:val="00156638"/>
    <w:rsid w:val="001573B9"/>
    <w:rsid w:val="0016164E"/>
    <w:rsid w:val="00163716"/>
    <w:rsid w:val="00163AAE"/>
    <w:rsid w:val="00166052"/>
    <w:rsid w:val="001663E7"/>
    <w:rsid w:val="00173157"/>
    <w:rsid w:val="00173D1E"/>
    <w:rsid w:val="0017532A"/>
    <w:rsid w:val="001755A8"/>
    <w:rsid w:val="00182089"/>
    <w:rsid w:val="00183D64"/>
    <w:rsid w:val="00184E48"/>
    <w:rsid w:val="001852F2"/>
    <w:rsid w:val="00194274"/>
    <w:rsid w:val="001975A2"/>
    <w:rsid w:val="001A4AC9"/>
    <w:rsid w:val="001A5D20"/>
    <w:rsid w:val="001A6FF7"/>
    <w:rsid w:val="001B69C7"/>
    <w:rsid w:val="001C2D77"/>
    <w:rsid w:val="001C35F1"/>
    <w:rsid w:val="001D287B"/>
    <w:rsid w:val="001D2A30"/>
    <w:rsid w:val="001D7E46"/>
    <w:rsid w:val="001E5D72"/>
    <w:rsid w:val="001E7C1E"/>
    <w:rsid w:val="001F0277"/>
    <w:rsid w:val="001F0D4A"/>
    <w:rsid w:val="001F6C9A"/>
    <w:rsid w:val="001F7F82"/>
    <w:rsid w:val="002066EF"/>
    <w:rsid w:val="00207DE7"/>
    <w:rsid w:val="00207F5A"/>
    <w:rsid w:val="00210B89"/>
    <w:rsid w:val="0021255A"/>
    <w:rsid w:val="0021408A"/>
    <w:rsid w:val="00215AE9"/>
    <w:rsid w:val="00220915"/>
    <w:rsid w:val="00242C85"/>
    <w:rsid w:val="00255222"/>
    <w:rsid w:val="002618FD"/>
    <w:rsid w:val="00263B20"/>
    <w:rsid w:val="00265121"/>
    <w:rsid w:val="0027411D"/>
    <w:rsid w:val="00275BD2"/>
    <w:rsid w:val="00276122"/>
    <w:rsid w:val="0028444B"/>
    <w:rsid w:val="002846DB"/>
    <w:rsid w:val="00286825"/>
    <w:rsid w:val="002974B5"/>
    <w:rsid w:val="002A2BA4"/>
    <w:rsid w:val="002A3FFD"/>
    <w:rsid w:val="002A4146"/>
    <w:rsid w:val="002C060C"/>
    <w:rsid w:val="002C3BB6"/>
    <w:rsid w:val="002C5324"/>
    <w:rsid w:val="002E1DA3"/>
    <w:rsid w:val="002F1D26"/>
    <w:rsid w:val="002F2E8C"/>
    <w:rsid w:val="002F4EDA"/>
    <w:rsid w:val="00300EBE"/>
    <w:rsid w:val="003023E7"/>
    <w:rsid w:val="003035CC"/>
    <w:rsid w:val="0030393C"/>
    <w:rsid w:val="0031691A"/>
    <w:rsid w:val="0032127A"/>
    <w:rsid w:val="00322A69"/>
    <w:rsid w:val="00324038"/>
    <w:rsid w:val="00324327"/>
    <w:rsid w:val="0032500C"/>
    <w:rsid w:val="00326719"/>
    <w:rsid w:val="0032756F"/>
    <w:rsid w:val="00335A5A"/>
    <w:rsid w:val="00342183"/>
    <w:rsid w:val="003473E0"/>
    <w:rsid w:val="00351DBF"/>
    <w:rsid w:val="00354593"/>
    <w:rsid w:val="0036775E"/>
    <w:rsid w:val="003706A8"/>
    <w:rsid w:val="00372EA5"/>
    <w:rsid w:val="00375C3E"/>
    <w:rsid w:val="00382395"/>
    <w:rsid w:val="00382C27"/>
    <w:rsid w:val="003878B3"/>
    <w:rsid w:val="00390B88"/>
    <w:rsid w:val="003A220C"/>
    <w:rsid w:val="003B0149"/>
    <w:rsid w:val="003B29B5"/>
    <w:rsid w:val="003D752C"/>
    <w:rsid w:val="003E2D9A"/>
    <w:rsid w:val="003E628C"/>
    <w:rsid w:val="003E69C0"/>
    <w:rsid w:val="003F04E6"/>
    <w:rsid w:val="0040513F"/>
    <w:rsid w:val="00406C2B"/>
    <w:rsid w:val="00413583"/>
    <w:rsid w:val="00416E4E"/>
    <w:rsid w:val="004201BE"/>
    <w:rsid w:val="00432EFB"/>
    <w:rsid w:val="00441334"/>
    <w:rsid w:val="00443379"/>
    <w:rsid w:val="00450A4E"/>
    <w:rsid w:val="00451E54"/>
    <w:rsid w:val="00462D70"/>
    <w:rsid w:val="00470EC4"/>
    <w:rsid w:val="00481974"/>
    <w:rsid w:val="00485717"/>
    <w:rsid w:val="00486800"/>
    <w:rsid w:val="00490F23"/>
    <w:rsid w:val="004913FC"/>
    <w:rsid w:val="00494323"/>
    <w:rsid w:val="00495A77"/>
    <w:rsid w:val="004962FD"/>
    <w:rsid w:val="004A5A1B"/>
    <w:rsid w:val="004A638A"/>
    <w:rsid w:val="004C0540"/>
    <w:rsid w:val="004D04BB"/>
    <w:rsid w:val="004D2900"/>
    <w:rsid w:val="004D6389"/>
    <w:rsid w:val="004D68AC"/>
    <w:rsid w:val="004E40BD"/>
    <w:rsid w:val="004E52E2"/>
    <w:rsid w:val="004F2B40"/>
    <w:rsid w:val="004F4A6C"/>
    <w:rsid w:val="004F7E15"/>
    <w:rsid w:val="00503153"/>
    <w:rsid w:val="00507047"/>
    <w:rsid w:val="00510EB7"/>
    <w:rsid w:val="00524DAF"/>
    <w:rsid w:val="00526B3A"/>
    <w:rsid w:val="00537114"/>
    <w:rsid w:val="0055015A"/>
    <w:rsid w:val="0055155F"/>
    <w:rsid w:val="00566FD6"/>
    <w:rsid w:val="00567B6B"/>
    <w:rsid w:val="00572070"/>
    <w:rsid w:val="005731BE"/>
    <w:rsid w:val="00577875"/>
    <w:rsid w:val="0058218E"/>
    <w:rsid w:val="0059150B"/>
    <w:rsid w:val="005946FD"/>
    <w:rsid w:val="005A18D2"/>
    <w:rsid w:val="005B021C"/>
    <w:rsid w:val="005B2234"/>
    <w:rsid w:val="005B6D8A"/>
    <w:rsid w:val="005C025A"/>
    <w:rsid w:val="005C39BE"/>
    <w:rsid w:val="005C3A86"/>
    <w:rsid w:val="005C487A"/>
    <w:rsid w:val="005C4A32"/>
    <w:rsid w:val="005C7374"/>
    <w:rsid w:val="005D028B"/>
    <w:rsid w:val="005D6959"/>
    <w:rsid w:val="005E549C"/>
    <w:rsid w:val="005E6B14"/>
    <w:rsid w:val="005F39BC"/>
    <w:rsid w:val="005F48A9"/>
    <w:rsid w:val="005F7522"/>
    <w:rsid w:val="006021DD"/>
    <w:rsid w:val="00604DBD"/>
    <w:rsid w:val="00605406"/>
    <w:rsid w:val="00611B7D"/>
    <w:rsid w:val="00615607"/>
    <w:rsid w:val="00616C96"/>
    <w:rsid w:val="00620075"/>
    <w:rsid w:val="00624574"/>
    <w:rsid w:val="00625A3D"/>
    <w:rsid w:val="00625F89"/>
    <w:rsid w:val="006405FC"/>
    <w:rsid w:val="00644CC3"/>
    <w:rsid w:val="00644FE6"/>
    <w:rsid w:val="006534F7"/>
    <w:rsid w:val="00653EB3"/>
    <w:rsid w:val="006541FF"/>
    <w:rsid w:val="00655D14"/>
    <w:rsid w:val="006560ED"/>
    <w:rsid w:val="00657076"/>
    <w:rsid w:val="006606A6"/>
    <w:rsid w:val="00671491"/>
    <w:rsid w:val="006737D6"/>
    <w:rsid w:val="00680F62"/>
    <w:rsid w:val="00686D13"/>
    <w:rsid w:val="0069582A"/>
    <w:rsid w:val="006A7F36"/>
    <w:rsid w:val="006B1DFB"/>
    <w:rsid w:val="006B2E7C"/>
    <w:rsid w:val="006B44A9"/>
    <w:rsid w:val="006B6B8D"/>
    <w:rsid w:val="006C0A15"/>
    <w:rsid w:val="006C3E4C"/>
    <w:rsid w:val="006C4FCE"/>
    <w:rsid w:val="006C5147"/>
    <w:rsid w:val="006D1B38"/>
    <w:rsid w:val="006D5C17"/>
    <w:rsid w:val="006E6DD7"/>
    <w:rsid w:val="006F630B"/>
    <w:rsid w:val="006F6C42"/>
    <w:rsid w:val="006F7FC2"/>
    <w:rsid w:val="00700B24"/>
    <w:rsid w:val="00701B6C"/>
    <w:rsid w:val="00704B6D"/>
    <w:rsid w:val="0071070F"/>
    <w:rsid w:val="0071185E"/>
    <w:rsid w:val="007119ED"/>
    <w:rsid w:val="00720A64"/>
    <w:rsid w:val="00732E01"/>
    <w:rsid w:val="00733EA8"/>
    <w:rsid w:val="007426AA"/>
    <w:rsid w:val="00744D03"/>
    <w:rsid w:val="00753D26"/>
    <w:rsid w:val="00757910"/>
    <w:rsid w:val="007628E8"/>
    <w:rsid w:val="007639CD"/>
    <w:rsid w:val="007707BB"/>
    <w:rsid w:val="00770FE1"/>
    <w:rsid w:val="00777AB3"/>
    <w:rsid w:val="00790445"/>
    <w:rsid w:val="007A066F"/>
    <w:rsid w:val="007B1D71"/>
    <w:rsid w:val="007B44F0"/>
    <w:rsid w:val="007B4E8E"/>
    <w:rsid w:val="007B6F49"/>
    <w:rsid w:val="007B7DBE"/>
    <w:rsid w:val="007C3887"/>
    <w:rsid w:val="007C3BB8"/>
    <w:rsid w:val="007C61A8"/>
    <w:rsid w:val="007C6AB3"/>
    <w:rsid w:val="007C77BD"/>
    <w:rsid w:val="007D5759"/>
    <w:rsid w:val="007D6A55"/>
    <w:rsid w:val="007E7915"/>
    <w:rsid w:val="007F323D"/>
    <w:rsid w:val="008015AE"/>
    <w:rsid w:val="0080305E"/>
    <w:rsid w:val="00803079"/>
    <w:rsid w:val="008107A6"/>
    <w:rsid w:val="00812E1D"/>
    <w:rsid w:val="00815CF2"/>
    <w:rsid w:val="00816874"/>
    <w:rsid w:val="00834F07"/>
    <w:rsid w:val="00837519"/>
    <w:rsid w:val="00844891"/>
    <w:rsid w:val="0084637D"/>
    <w:rsid w:val="00846866"/>
    <w:rsid w:val="00852911"/>
    <w:rsid w:val="0085586B"/>
    <w:rsid w:val="00857823"/>
    <w:rsid w:val="008611DF"/>
    <w:rsid w:val="008613C2"/>
    <w:rsid w:val="00865323"/>
    <w:rsid w:val="0087505D"/>
    <w:rsid w:val="0087555E"/>
    <w:rsid w:val="008757DB"/>
    <w:rsid w:val="008763EC"/>
    <w:rsid w:val="008861A1"/>
    <w:rsid w:val="00895A6B"/>
    <w:rsid w:val="008A5EEB"/>
    <w:rsid w:val="008A6992"/>
    <w:rsid w:val="008C0F99"/>
    <w:rsid w:val="008C48C8"/>
    <w:rsid w:val="008C6798"/>
    <w:rsid w:val="008D5EBA"/>
    <w:rsid w:val="008D636B"/>
    <w:rsid w:val="008E380C"/>
    <w:rsid w:val="008F0199"/>
    <w:rsid w:val="008F5E94"/>
    <w:rsid w:val="008F61CF"/>
    <w:rsid w:val="00900445"/>
    <w:rsid w:val="00912676"/>
    <w:rsid w:val="009169CC"/>
    <w:rsid w:val="009207D8"/>
    <w:rsid w:val="00922F55"/>
    <w:rsid w:val="00924BC7"/>
    <w:rsid w:val="009318E7"/>
    <w:rsid w:val="0093634E"/>
    <w:rsid w:val="009367E5"/>
    <w:rsid w:val="00936C32"/>
    <w:rsid w:val="00937B8D"/>
    <w:rsid w:val="009416F7"/>
    <w:rsid w:val="00947C03"/>
    <w:rsid w:val="00951DB2"/>
    <w:rsid w:val="00951EFD"/>
    <w:rsid w:val="00953B68"/>
    <w:rsid w:val="00954CC2"/>
    <w:rsid w:val="00956160"/>
    <w:rsid w:val="00956994"/>
    <w:rsid w:val="009609C2"/>
    <w:rsid w:val="00960D2F"/>
    <w:rsid w:val="009672AF"/>
    <w:rsid w:val="0097285F"/>
    <w:rsid w:val="00973154"/>
    <w:rsid w:val="00976470"/>
    <w:rsid w:val="0097791A"/>
    <w:rsid w:val="00977D57"/>
    <w:rsid w:val="00994869"/>
    <w:rsid w:val="009A2837"/>
    <w:rsid w:val="009A38D0"/>
    <w:rsid w:val="009B16D7"/>
    <w:rsid w:val="009B731B"/>
    <w:rsid w:val="009C38C4"/>
    <w:rsid w:val="009C4834"/>
    <w:rsid w:val="009D6E2D"/>
    <w:rsid w:val="009D6EA7"/>
    <w:rsid w:val="009E1203"/>
    <w:rsid w:val="009E2E1C"/>
    <w:rsid w:val="009E6EC0"/>
    <w:rsid w:val="009F4BF7"/>
    <w:rsid w:val="00A00462"/>
    <w:rsid w:val="00A00684"/>
    <w:rsid w:val="00A01828"/>
    <w:rsid w:val="00A02249"/>
    <w:rsid w:val="00A03473"/>
    <w:rsid w:val="00A04EED"/>
    <w:rsid w:val="00A075AD"/>
    <w:rsid w:val="00A07999"/>
    <w:rsid w:val="00A14620"/>
    <w:rsid w:val="00A17EA7"/>
    <w:rsid w:val="00A2138C"/>
    <w:rsid w:val="00A23AB5"/>
    <w:rsid w:val="00A25804"/>
    <w:rsid w:val="00A2639B"/>
    <w:rsid w:val="00A3013B"/>
    <w:rsid w:val="00A35807"/>
    <w:rsid w:val="00A43052"/>
    <w:rsid w:val="00A453C3"/>
    <w:rsid w:val="00A501CB"/>
    <w:rsid w:val="00A5180B"/>
    <w:rsid w:val="00A51CC3"/>
    <w:rsid w:val="00A5619C"/>
    <w:rsid w:val="00A6403E"/>
    <w:rsid w:val="00A67466"/>
    <w:rsid w:val="00A73275"/>
    <w:rsid w:val="00A7678F"/>
    <w:rsid w:val="00A8006C"/>
    <w:rsid w:val="00A8640F"/>
    <w:rsid w:val="00A911D9"/>
    <w:rsid w:val="00A91DD8"/>
    <w:rsid w:val="00AA63D4"/>
    <w:rsid w:val="00AB0548"/>
    <w:rsid w:val="00AB35AE"/>
    <w:rsid w:val="00AB4035"/>
    <w:rsid w:val="00AB47A5"/>
    <w:rsid w:val="00AB6E0E"/>
    <w:rsid w:val="00AC5D87"/>
    <w:rsid w:val="00AD084E"/>
    <w:rsid w:val="00AD0BFB"/>
    <w:rsid w:val="00AD6139"/>
    <w:rsid w:val="00AD6173"/>
    <w:rsid w:val="00AE21FA"/>
    <w:rsid w:val="00AE47E6"/>
    <w:rsid w:val="00AE5DE6"/>
    <w:rsid w:val="00AF0C31"/>
    <w:rsid w:val="00AF178E"/>
    <w:rsid w:val="00AF29C2"/>
    <w:rsid w:val="00AF3032"/>
    <w:rsid w:val="00AF6C18"/>
    <w:rsid w:val="00B112A1"/>
    <w:rsid w:val="00B17258"/>
    <w:rsid w:val="00B37D28"/>
    <w:rsid w:val="00B37FBB"/>
    <w:rsid w:val="00B52E1B"/>
    <w:rsid w:val="00B54CDE"/>
    <w:rsid w:val="00B57117"/>
    <w:rsid w:val="00B57E6F"/>
    <w:rsid w:val="00B63A15"/>
    <w:rsid w:val="00B71310"/>
    <w:rsid w:val="00B74A64"/>
    <w:rsid w:val="00B82B89"/>
    <w:rsid w:val="00B916FF"/>
    <w:rsid w:val="00B93E42"/>
    <w:rsid w:val="00BA0F65"/>
    <w:rsid w:val="00BA38B6"/>
    <w:rsid w:val="00BA4358"/>
    <w:rsid w:val="00BB4CB7"/>
    <w:rsid w:val="00BC3D9F"/>
    <w:rsid w:val="00BD0848"/>
    <w:rsid w:val="00BD1B0C"/>
    <w:rsid w:val="00BD279C"/>
    <w:rsid w:val="00BD5CC2"/>
    <w:rsid w:val="00BD790D"/>
    <w:rsid w:val="00BE117B"/>
    <w:rsid w:val="00BE28F4"/>
    <w:rsid w:val="00BE381E"/>
    <w:rsid w:val="00BF1394"/>
    <w:rsid w:val="00BF4385"/>
    <w:rsid w:val="00BF5EF7"/>
    <w:rsid w:val="00C07754"/>
    <w:rsid w:val="00C16E56"/>
    <w:rsid w:val="00C17857"/>
    <w:rsid w:val="00C2233B"/>
    <w:rsid w:val="00C31672"/>
    <w:rsid w:val="00C3602F"/>
    <w:rsid w:val="00C45C50"/>
    <w:rsid w:val="00C47991"/>
    <w:rsid w:val="00C566EF"/>
    <w:rsid w:val="00C56E1A"/>
    <w:rsid w:val="00C57540"/>
    <w:rsid w:val="00C62D90"/>
    <w:rsid w:val="00C638C6"/>
    <w:rsid w:val="00C64BB0"/>
    <w:rsid w:val="00C66FEB"/>
    <w:rsid w:val="00C745D4"/>
    <w:rsid w:val="00C749EE"/>
    <w:rsid w:val="00C77840"/>
    <w:rsid w:val="00C80870"/>
    <w:rsid w:val="00C8154A"/>
    <w:rsid w:val="00C81782"/>
    <w:rsid w:val="00C87DB6"/>
    <w:rsid w:val="00C95685"/>
    <w:rsid w:val="00CA080D"/>
    <w:rsid w:val="00CA64E2"/>
    <w:rsid w:val="00CA69EC"/>
    <w:rsid w:val="00CC6982"/>
    <w:rsid w:val="00CC6DC6"/>
    <w:rsid w:val="00CD3577"/>
    <w:rsid w:val="00CD60D9"/>
    <w:rsid w:val="00CE053E"/>
    <w:rsid w:val="00CE1926"/>
    <w:rsid w:val="00CE7B82"/>
    <w:rsid w:val="00CF0630"/>
    <w:rsid w:val="00CF1BCE"/>
    <w:rsid w:val="00CF3E9A"/>
    <w:rsid w:val="00D00461"/>
    <w:rsid w:val="00D01121"/>
    <w:rsid w:val="00D07EA4"/>
    <w:rsid w:val="00D10FAE"/>
    <w:rsid w:val="00D11CF5"/>
    <w:rsid w:val="00D14EF3"/>
    <w:rsid w:val="00D25EAE"/>
    <w:rsid w:val="00D26912"/>
    <w:rsid w:val="00D33527"/>
    <w:rsid w:val="00D51DF4"/>
    <w:rsid w:val="00D526D9"/>
    <w:rsid w:val="00D53F19"/>
    <w:rsid w:val="00D548F1"/>
    <w:rsid w:val="00D56D95"/>
    <w:rsid w:val="00D601BB"/>
    <w:rsid w:val="00D75869"/>
    <w:rsid w:val="00D8442A"/>
    <w:rsid w:val="00D85A4C"/>
    <w:rsid w:val="00D873FC"/>
    <w:rsid w:val="00D918A2"/>
    <w:rsid w:val="00D927FF"/>
    <w:rsid w:val="00D94994"/>
    <w:rsid w:val="00D94D77"/>
    <w:rsid w:val="00DA517F"/>
    <w:rsid w:val="00DA7F62"/>
    <w:rsid w:val="00DB15E1"/>
    <w:rsid w:val="00DB2977"/>
    <w:rsid w:val="00DB2B88"/>
    <w:rsid w:val="00DB4ED3"/>
    <w:rsid w:val="00DC4A8D"/>
    <w:rsid w:val="00DC7B4D"/>
    <w:rsid w:val="00DD30D6"/>
    <w:rsid w:val="00DD3540"/>
    <w:rsid w:val="00DD49E6"/>
    <w:rsid w:val="00DD6314"/>
    <w:rsid w:val="00DE7891"/>
    <w:rsid w:val="00DF2652"/>
    <w:rsid w:val="00DF3A46"/>
    <w:rsid w:val="00E010FA"/>
    <w:rsid w:val="00E012AA"/>
    <w:rsid w:val="00E03AAA"/>
    <w:rsid w:val="00E056D8"/>
    <w:rsid w:val="00E11047"/>
    <w:rsid w:val="00E2604B"/>
    <w:rsid w:val="00E345FE"/>
    <w:rsid w:val="00E4081C"/>
    <w:rsid w:val="00E420D7"/>
    <w:rsid w:val="00E4361E"/>
    <w:rsid w:val="00E44BA6"/>
    <w:rsid w:val="00E4518D"/>
    <w:rsid w:val="00E4527E"/>
    <w:rsid w:val="00E54A6F"/>
    <w:rsid w:val="00E65870"/>
    <w:rsid w:val="00E73B25"/>
    <w:rsid w:val="00E9060F"/>
    <w:rsid w:val="00EB167C"/>
    <w:rsid w:val="00EB6F4E"/>
    <w:rsid w:val="00EC0335"/>
    <w:rsid w:val="00EC1DCA"/>
    <w:rsid w:val="00EC27BA"/>
    <w:rsid w:val="00EC30B0"/>
    <w:rsid w:val="00EC5CBC"/>
    <w:rsid w:val="00ED28E7"/>
    <w:rsid w:val="00ED2B5E"/>
    <w:rsid w:val="00ED3D96"/>
    <w:rsid w:val="00ED743E"/>
    <w:rsid w:val="00EE58EC"/>
    <w:rsid w:val="00EE770A"/>
    <w:rsid w:val="00EF6DC9"/>
    <w:rsid w:val="00F041F3"/>
    <w:rsid w:val="00F10A9B"/>
    <w:rsid w:val="00F17096"/>
    <w:rsid w:val="00F22CFC"/>
    <w:rsid w:val="00F364A6"/>
    <w:rsid w:val="00F36B93"/>
    <w:rsid w:val="00F40475"/>
    <w:rsid w:val="00F46F19"/>
    <w:rsid w:val="00F705E8"/>
    <w:rsid w:val="00F761E3"/>
    <w:rsid w:val="00F92483"/>
    <w:rsid w:val="00FA02BA"/>
    <w:rsid w:val="00FA404C"/>
    <w:rsid w:val="00FB1D5B"/>
    <w:rsid w:val="00FB316C"/>
    <w:rsid w:val="00FB52CA"/>
    <w:rsid w:val="00FB5651"/>
    <w:rsid w:val="00FC23CB"/>
    <w:rsid w:val="00FC4EC8"/>
    <w:rsid w:val="00FC5512"/>
    <w:rsid w:val="00FC7665"/>
    <w:rsid w:val="00FD70D8"/>
    <w:rsid w:val="00FE20E5"/>
    <w:rsid w:val="00FE6326"/>
    <w:rsid w:val="00FF0209"/>
    <w:rsid w:val="00FF234F"/>
    <w:rsid w:val="00FF4AEC"/>
    <w:rsid w:val="00FF5AF8"/>
    <w:rsid w:val="00FF65EF"/>
    <w:rsid w:val="575A9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844A"/>
  <w15:docId w15:val="{92C02A47-ED06-42E6-8EF4-C001EFA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E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6534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F2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29C2"/>
  </w:style>
  <w:style w:type="paragraph" w:styleId="Nagwek">
    <w:name w:val="header"/>
    <w:basedOn w:val="Normalny"/>
    <w:link w:val="NagwekZnak"/>
    <w:uiPriority w:val="99"/>
    <w:rsid w:val="00AF2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AF29C2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5,lp1,Preambuła,Tytuły,Akapit z listą mon"/>
    <w:basedOn w:val="Normalny"/>
    <w:link w:val="AkapitzlistZnak"/>
    <w:uiPriority w:val="34"/>
    <w:qFormat/>
    <w:rsid w:val="00AF29C2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lp1 Znak,Preambuła Znak,Tytuły Znak,Akapit z listą mon Znak"/>
    <w:link w:val="Akapitzlist"/>
    <w:uiPriority w:val="34"/>
    <w:locked/>
    <w:rsid w:val="00AF2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F2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B6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E4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A67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22A6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C85"/>
    <w:rPr>
      <w:vertAlign w:val="superscript"/>
    </w:rPr>
  </w:style>
  <w:style w:type="paragraph" w:customStyle="1" w:styleId="STYLNUMER">
    <w:name w:val="STYL NUMER"/>
    <w:basedOn w:val="Default"/>
    <w:rsid w:val="002C060C"/>
    <w:pPr>
      <w:numPr>
        <w:numId w:val="11"/>
      </w:numPr>
      <w:spacing w:before="120"/>
      <w:jc w:val="both"/>
    </w:pPr>
    <w:rPr>
      <w:rFonts w:asciiTheme="minorHAnsi" w:hAnsiTheme="minorHAnsi"/>
      <w:color w:val="auto"/>
      <w:sz w:val="22"/>
      <w:szCs w:val="20"/>
    </w:rPr>
  </w:style>
  <w:style w:type="paragraph" w:customStyle="1" w:styleId="StylSTYLNUMERPierwszywiersz0cm">
    <w:name w:val="Styl STYL NUMER + Pierwszy wiersz:  0 cm"/>
    <w:basedOn w:val="STYLNUMER"/>
    <w:qFormat/>
    <w:rsid w:val="002C060C"/>
  </w:style>
  <w:style w:type="character" w:customStyle="1" w:styleId="Nagwek2Znak">
    <w:name w:val="Nagłówek 2 Znak"/>
    <w:basedOn w:val="Domylnaczcionkaakapitu"/>
    <w:link w:val="Nagwek2"/>
    <w:uiPriority w:val="9"/>
    <w:rsid w:val="006534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prawka">
    <w:name w:val="Revision"/>
    <w:hidden/>
    <w:uiPriority w:val="99"/>
    <w:semiHidden/>
    <w:rsid w:val="0081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20915"/>
  </w:style>
  <w:style w:type="character" w:customStyle="1" w:styleId="cf01">
    <w:name w:val="cf01"/>
    <w:basedOn w:val="Domylnaczcionkaakapitu"/>
    <w:rsid w:val="00FF5AF8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D7E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71185E"/>
    <w:rPr>
      <w:b/>
      <w:bCs/>
    </w:rPr>
  </w:style>
  <w:style w:type="table" w:styleId="Tabela-Siatka">
    <w:name w:val="Table Grid"/>
    <w:basedOn w:val="Standardowy"/>
    <w:uiPriority w:val="39"/>
    <w:rsid w:val="00D54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548F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F48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d0d089-71da-4a4e-9d6d-cb98d1335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374A901EE06A43AEB91E749DB68FA2" ma:contentTypeVersion="17" ma:contentTypeDescription="Utwórz nowy dokument." ma:contentTypeScope="" ma:versionID="cfd7bf785904f4beba9ff3e456dfe9d3">
  <xsd:schema xmlns:xsd="http://www.w3.org/2001/XMLSchema" xmlns:xs="http://www.w3.org/2001/XMLSchema" xmlns:p="http://schemas.microsoft.com/office/2006/metadata/properties" xmlns:ns3="d0d0d089-71da-4a4e-9d6d-cb98d1335976" xmlns:ns4="b22d0139-dedd-473c-a604-7393b3548966" targetNamespace="http://schemas.microsoft.com/office/2006/metadata/properties" ma:root="true" ma:fieldsID="5bcdea9293b7babe9696d749411434c3" ns3:_="" ns4:_="">
    <xsd:import namespace="d0d0d089-71da-4a4e-9d6d-cb98d1335976"/>
    <xsd:import namespace="b22d0139-dedd-473c-a604-7393b3548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d089-71da-4a4e-9d6d-cb98d1335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d0139-dedd-473c-a604-7393b3548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7A09-4F2D-44F1-8D86-D843FEB5C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533AE-F652-4331-B6C4-F42BF4C44D20}">
  <ds:schemaRefs>
    <ds:schemaRef ds:uri="http://schemas.microsoft.com/office/2006/metadata/properties"/>
    <ds:schemaRef ds:uri="http://schemas.microsoft.com/office/infopath/2007/PartnerControls"/>
    <ds:schemaRef ds:uri="d0d0d089-71da-4a4e-9d6d-cb98d1335976"/>
  </ds:schemaRefs>
</ds:datastoreItem>
</file>

<file path=customXml/itemProps3.xml><?xml version="1.0" encoding="utf-8"?>
<ds:datastoreItem xmlns:ds="http://schemas.openxmlformats.org/officeDocument/2006/customXml" ds:itemID="{9BD44780-4B70-4264-8692-B229893E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0d089-71da-4a4e-9d6d-cb98d1335976"/>
    <ds:schemaRef ds:uri="b22d0139-dedd-473c-a604-7393b3548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5F5E9-34EC-441F-A6AF-1CFE2328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2393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Poprawa efektywności budynków mieszkalnych wielorodzinnych na terenach wiejskich</dc:title>
  <dc:subject/>
  <dc:creator>Sromecka Łucja</dc:creator>
  <cp:keywords/>
  <dc:description/>
  <cp:lastModifiedBy>Handzlik Elżbieta</cp:lastModifiedBy>
  <cp:revision>3</cp:revision>
  <cp:lastPrinted>2026-01-14T08:25:00Z</cp:lastPrinted>
  <dcterms:created xsi:type="dcterms:W3CDTF">2026-01-14T15:05:00Z</dcterms:created>
  <dcterms:modified xsi:type="dcterms:W3CDTF">2026-01-14T15:13:00Z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0x010100E5374A901EE06A43AEB91E749DB68FA2</vt:lpwstr>
  </property>
</Properties>
</file>