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066" w:rsidRDefault="00BA4853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Łódź, </w:t>
      </w:r>
      <w:bookmarkStart w:id="0" w:name="ezdDataPodpisu"/>
      <w:r>
        <w:rPr>
          <w:sz w:val="24"/>
          <w:szCs w:val="24"/>
        </w:rPr>
        <w:t>14 sierpnia 2024</w:t>
      </w:r>
      <w:bookmarkEnd w:id="0"/>
      <w:r>
        <w:rPr>
          <w:sz w:val="24"/>
          <w:szCs w:val="24"/>
        </w:rPr>
        <w:t xml:space="preserve"> r.</w:t>
      </w:r>
    </w:p>
    <w:p w:rsidR="003D2066" w:rsidRDefault="00BA4853">
      <w:pPr>
        <w:tabs>
          <w:tab w:val="center" w:pos="1985"/>
        </w:tabs>
        <w:rPr>
          <w:sz w:val="24"/>
          <w:szCs w:val="24"/>
        </w:rPr>
      </w:pPr>
      <w:bookmarkStart w:id="1" w:name="ezdSprawaZnak"/>
      <w:bookmarkStart w:id="2" w:name="_GoBack"/>
      <w:r>
        <w:rPr>
          <w:sz w:val="24"/>
          <w:szCs w:val="24"/>
        </w:rPr>
        <w:t>GPB-II.7820.5.2019</w:t>
      </w:r>
      <w:bookmarkEnd w:id="1"/>
      <w:r>
        <w:rPr>
          <w:sz w:val="24"/>
          <w:szCs w:val="24"/>
        </w:rPr>
        <w:t>.IK</w:t>
      </w:r>
    </w:p>
    <w:bookmarkEnd w:id="2"/>
    <w:p w:rsidR="00D92D7B" w:rsidRPr="00246E7F" w:rsidRDefault="00BA4853" w:rsidP="00D92D7B">
      <w:pPr>
        <w:tabs>
          <w:tab w:val="center" w:pos="1985"/>
        </w:tabs>
        <w:rPr>
          <w:sz w:val="23"/>
          <w:szCs w:val="23"/>
        </w:rPr>
      </w:pPr>
      <w:r w:rsidRPr="00246E7F">
        <w:rPr>
          <w:sz w:val="23"/>
          <w:szCs w:val="23"/>
        </w:rPr>
        <w:t xml:space="preserve">(poprzedni znak sprawy: </w:t>
      </w:r>
    </w:p>
    <w:p w:rsidR="00D92D7B" w:rsidRPr="00246E7F" w:rsidRDefault="00BA4853" w:rsidP="00D92D7B">
      <w:pPr>
        <w:tabs>
          <w:tab w:val="center" w:pos="1985"/>
        </w:tabs>
        <w:rPr>
          <w:sz w:val="23"/>
          <w:szCs w:val="23"/>
        </w:rPr>
      </w:pPr>
      <w:r w:rsidRPr="00246E7F">
        <w:rPr>
          <w:sz w:val="23"/>
          <w:szCs w:val="23"/>
        </w:rPr>
        <w:t>IA-II.7820.8.2012.GP)</w:t>
      </w:r>
    </w:p>
    <w:p w:rsidR="00D92D7B" w:rsidRDefault="00BA4853">
      <w:pPr>
        <w:tabs>
          <w:tab w:val="center" w:pos="1985"/>
        </w:tabs>
        <w:rPr>
          <w:sz w:val="24"/>
          <w:szCs w:val="24"/>
        </w:rPr>
      </w:pPr>
    </w:p>
    <w:p w:rsidR="003D2066" w:rsidRDefault="00BA4853">
      <w:pPr>
        <w:snapToGrid w:val="0"/>
        <w:rPr>
          <w:sz w:val="24"/>
          <w:szCs w:val="24"/>
        </w:rPr>
      </w:pPr>
    </w:p>
    <w:p w:rsidR="00157659" w:rsidRPr="00994171" w:rsidRDefault="00BA4853" w:rsidP="00157659">
      <w:pPr>
        <w:snapToGrid w:val="0"/>
        <w:spacing w:line="360" w:lineRule="auto"/>
        <w:jc w:val="center"/>
        <w:rPr>
          <w:rFonts w:eastAsia="NSimSun"/>
          <w:b/>
          <w:kern w:val="1"/>
          <w:sz w:val="24"/>
          <w:szCs w:val="24"/>
        </w:rPr>
      </w:pPr>
      <w:r w:rsidRPr="00994171">
        <w:rPr>
          <w:rFonts w:eastAsia="NSimSun"/>
          <w:b/>
          <w:kern w:val="1"/>
          <w:sz w:val="24"/>
          <w:szCs w:val="24"/>
        </w:rPr>
        <w:t xml:space="preserve">OBWIESZCZENIE </w:t>
      </w:r>
    </w:p>
    <w:p w:rsidR="00157659" w:rsidRPr="00994171" w:rsidRDefault="00BA4853" w:rsidP="00157659">
      <w:pPr>
        <w:snapToGrid w:val="0"/>
        <w:spacing w:line="360" w:lineRule="auto"/>
        <w:jc w:val="center"/>
        <w:rPr>
          <w:rFonts w:eastAsia="NSimSun"/>
          <w:b/>
          <w:kern w:val="1"/>
          <w:sz w:val="24"/>
          <w:szCs w:val="24"/>
        </w:rPr>
      </w:pPr>
      <w:r w:rsidRPr="00994171">
        <w:rPr>
          <w:rFonts w:eastAsia="NSimSun"/>
          <w:b/>
          <w:kern w:val="1"/>
          <w:sz w:val="24"/>
          <w:szCs w:val="24"/>
        </w:rPr>
        <w:t xml:space="preserve">WOJEWODY ŁÓDZKIEGO </w:t>
      </w:r>
    </w:p>
    <w:p w:rsidR="00157659" w:rsidRPr="00994171" w:rsidRDefault="00BA4853" w:rsidP="00157659">
      <w:pPr>
        <w:snapToGrid w:val="0"/>
        <w:spacing w:line="360" w:lineRule="auto"/>
        <w:jc w:val="both"/>
        <w:rPr>
          <w:rFonts w:eastAsia="NSimSun"/>
          <w:kern w:val="1"/>
          <w:sz w:val="24"/>
          <w:szCs w:val="24"/>
        </w:rPr>
      </w:pPr>
    </w:p>
    <w:p w:rsidR="00157659" w:rsidRDefault="00BA4853" w:rsidP="00157659">
      <w:pPr>
        <w:snapToGrid w:val="0"/>
        <w:spacing w:line="360" w:lineRule="auto"/>
        <w:jc w:val="both"/>
        <w:rPr>
          <w:rFonts w:eastAsia="NSimSun"/>
          <w:kern w:val="1"/>
          <w:sz w:val="24"/>
          <w:szCs w:val="24"/>
        </w:rPr>
      </w:pPr>
      <w:r w:rsidRPr="00994171">
        <w:rPr>
          <w:rFonts w:eastAsia="NSimSun"/>
          <w:kern w:val="1"/>
          <w:sz w:val="24"/>
          <w:szCs w:val="24"/>
        </w:rPr>
        <w:tab/>
        <w:t xml:space="preserve">Na podstawie art. 36 § 1 oraz art. 49 ustawy z dnia 14 czerwca 1960 r. – Kodeks postępowania administracyjnego (t.j. Dz. </w:t>
      </w:r>
      <w:r w:rsidRPr="00994171">
        <w:rPr>
          <w:rFonts w:eastAsia="NSimSun"/>
          <w:kern w:val="1"/>
          <w:sz w:val="24"/>
          <w:szCs w:val="24"/>
        </w:rPr>
        <w:t>U. z 202</w:t>
      </w:r>
      <w:r>
        <w:rPr>
          <w:rFonts w:eastAsia="NSimSun"/>
          <w:kern w:val="1"/>
          <w:sz w:val="24"/>
          <w:szCs w:val="24"/>
        </w:rPr>
        <w:t>4</w:t>
      </w:r>
      <w:r w:rsidRPr="00994171">
        <w:rPr>
          <w:rFonts w:eastAsia="NSimSun"/>
          <w:kern w:val="1"/>
          <w:sz w:val="24"/>
          <w:szCs w:val="24"/>
        </w:rPr>
        <w:t xml:space="preserve"> r. poz. </w:t>
      </w:r>
      <w:r>
        <w:rPr>
          <w:rFonts w:eastAsia="NSimSun"/>
          <w:kern w:val="1"/>
          <w:sz w:val="24"/>
          <w:szCs w:val="24"/>
        </w:rPr>
        <w:t>572</w:t>
      </w:r>
      <w:r w:rsidRPr="00994171">
        <w:rPr>
          <w:rFonts w:eastAsia="NSimSun"/>
          <w:kern w:val="1"/>
          <w:sz w:val="24"/>
          <w:szCs w:val="24"/>
        </w:rPr>
        <w:t xml:space="preserve">), zwanej dalej </w:t>
      </w:r>
      <w:r w:rsidRPr="001E4F2E">
        <w:rPr>
          <w:rFonts w:eastAsia="NSimSun"/>
          <w:kern w:val="1"/>
          <w:sz w:val="24"/>
          <w:szCs w:val="24"/>
        </w:rPr>
        <w:t>„kpa”,</w:t>
      </w:r>
      <w:r w:rsidRPr="00994171">
        <w:rPr>
          <w:rFonts w:eastAsia="NSimSun"/>
          <w:kern w:val="1"/>
          <w:sz w:val="24"/>
          <w:szCs w:val="24"/>
        </w:rPr>
        <w:t xml:space="preserve"> Wojewoda Łódzki zawiadamia, że wniosek Inwestora –</w:t>
      </w:r>
      <w:r>
        <w:rPr>
          <w:rFonts w:eastAsia="NSimSun"/>
          <w:sz w:val="24"/>
          <w:szCs w:val="24"/>
        </w:rPr>
        <w:t xml:space="preserve"> </w:t>
      </w:r>
      <w:r w:rsidRPr="00A71AF6">
        <w:rPr>
          <w:rFonts w:eastAsia="NSimSun"/>
          <w:sz w:val="24"/>
          <w:szCs w:val="24"/>
        </w:rPr>
        <w:t>Generalnego Dyrektora Dróg Krajowych i Autostrad, reprezentowanego przez Dyrektora Oddziału Generalnej Dyrekcji Dróg Krajowych i Autostrad w Łodzi, z siedzibą pr</w:t>
      </w:r>
      <w:r w:rsidRPr="00A71AF6">
        <w:rPr>
          <w:rFonts w:eastAsia="NSimSun"/>
          <w:sz w:val="24"/>
          <w:szCs w:val="24"/>
        </w:rPr>
        <w:t>zy ul. Irysowej 2 w Łodzi</w:t>
      </w:r>
      <w:r w:rsidRPr="00865EA7">
        <w:rPr>
          <w:rFonts w:eastAsia="NSimSun"/>
          <w:sz w:val="24"/>
          <w:szCs w:val="24"/>
        </w:rPr>
        <w:t>,</w:t>
      </w:r>
      <w:r>
        <w:rPr>
          <w:rFonts w:eastAsia="NSimSun"/>
          <w:sz w:val="24"/>
          <w:szCs w:val="24"/>
        </w:rPr>
        <w:t xml:space="preserve"> z dnia 21.06.2024 r.,</w:t>
      </w:r>
      <w:r w:rsidRPr="00865EA7">
        <w:rPr>
          <w:rFonts w:eastAsia="NSimSun"/>
          <w:sz w:val="24"/>
          <w:szCs w:val="24"/>
        </w:rPr>
        <w:t xml:space="preserve"> </w:t>
      </w:r>
      <w:r>
        <w:rPr>
          <w:sz w:val="23"/>
          <w:szCs w:val="23"/>
        </w:rPr>
        <w:t>dotyczący</w:t>
      </w:r>
      <w:r w:rsidRPr="00246E7F">
        <w:rPr>
          <w:sz w:val="23"/>
          <w:szCs w:val="23"/>
        </w:rPr>
        <w:t xml:space="preserve"> sprostowania oczywistej omyłki pisarskiej w</w:t>
      </w:r>
      <w:r>
        <w:rPr>
          <w:sz w:val="23"/>
          <w:szCs w:val="23"/>
        </w:rPr>
        <w:t xml:space="preserve"> </w:t>
      </w:r>
      <w:r w:rsidRPr="00246E7F">
        <w:rPr>
          <w:sz w:val="23"/>
          <w:szCs w:val="23"/>
        </w:rPr>
        <w:t>decyzji Wojewody Łódzkiego Nr 381/13 z dnia 04.11.2013 r., udzielającej zezwolenia na realizację inwestycji drogowej polegającej na budowie autostrady A1</w:t>
      </w:r>
      <w:r w:rsidRPr="00246E7F">
        <w:rPr>
          <w:sz w:val="23"/>
          <w:szCs w:val="23"/>
        </w:rPr>
        <w:t xml:space="preserve"> na odcinku węzeł </w:t>
      </w:r>
      <w:r w:rsidRPr="00246E7F">
        <w:rPr>
          <w:bCs/>
          <w:sz w:val="23"/>
          <w:szCs w:val="23"/>
        </w:rPr>
        <w:t>„Kamieńsk”, z wyłączeniem węzła, do węzła „Radomsko” wraz z węzłem od km 376+000 do km 392+720, wraz</w:t>
      </w:r>
      <w:r>
        <w:rPr>
          <w:bCs/>
          <w:sz w:val="23"/>
          <w:szCs w:val="23"/>
        </w:rPr>
        <w:t xml:space="preserve"> z </w:t>
      </w:r>
      <w:r w:rsidRPr="00246E7F">
        <w:rPr>
          <w:bCs/>
          <w:sz w:val="23"/>
          <w:szCs w:val="23"/>
        </w:rPr>
        <w:t xml:space="preserve">infrastrukturą – odcinek C, </w:t>
      </w:r>
      <w:r w:rsidRPr="00246E7F">
        <w:rPr>
          <w:sz w:val="23"/>
          <w:szCs w:val="23"/>
        </w:rPr>
        <w:t>zwanej dalej „</w:t>
      </w:r>
      <w:r w:rsidRPr="00246E7F">
        <w:rPr>
          <w:iCs/>
          <w:sz w:val="23"/>
          <w:szCs w:val="23"/>
        </w:rPr>
        <w:t>decyzją ZRID”</w:t>
      </w:r>
      <w:r w:rsidRPr="00994171">
        <w:rPr>
          <w:rFonts w:eastAsia="NSimSun"/>
          <w:kern w:val="1"/>
          <w:sz w:val="24"/>
          <w:szCs w:val="24"/>
        </w:rPr>
        <w:t xml:space="preserve">, </w:t>
      </w:r>
      <w:r w:rsidRPr="00157659">
        <w:rPr>
          <w:rFonts w:eastAsia="NSimSun"/>
          <w:kern w:val="1"/>
          <w:sz w:val="24"/>
          <w:szCs w:val="24"/>
          <w:u w:val="single"/>
        </w:rPr>
        <w:t>w zakresie działki nr 781, obręb Stobiecko Szlacheckie, gm. Ładzice</w:t>
      </w:r>
      <w:r>
        <w:rPr>
          <w:rFonts w:eastAsia="NSimSun"/>
          <w:kern w:val="1"/>
          <w:sz w:val="24"/>
          <w:szCs w:val="24"/>
        </w:rPr>
        <w:t xml:space="preserve">, </w:t>
      </w:r>
      <w:r w:rsidRPr="00994171">
        <w:rPr>
          <w:rFonts w:eastAsia="NSimSun"/>
          <w:kern w:val="1"/>
          <w:sz w:val="24"/>
          <w:szCs w:val="24"/>
        </w:rPr>
        <w:t xml:space="preserve">nie </w:t>
      </w:r>
      <w:r w:rsidRPr="00994171">
        <w:rPr>
          <w:rFonts w:eastAsia="NSimSun"/>
          <w:kern w:val="1"/>
          <w:sz w:val="24"/>
          <w:szCs w:val="24"/>
        </w:rPr>
        <w:t>zostanie rozpa</w:t>
      </w:r>
      <w:r>
        <w:rPr>
          <w:rFonts w:eastAsia="NSimSun"/>
          <w:kern w:val="1"/>
          <w:sz w:val="24"/>
          <w:szCs w:val="24"/>
        </w:rPr>
        <w:t>trzony w terminie wynikającym z </w:t>
      </w:r>
      <w:r w:rsidRPr="00994171">
        <w:rPr>
          <w:rFonts w:eastAsia="NSimSun"/>
          <w:kern w:val="1"/>
          <w:sz w:val="24"/>
          <w:szCs w:val="24"/>
        </w:rPr>
        <w:t>art.</w:t>
      </w:r>
      <w:r>
        <w:rPr>
          <w:rFonts w:eastAsia="NSimSun"/>
          <w:kern w:val="1"/>
          <w:sz w:val="24"/>
          <w:szCs w:val="24"/>
        </w:rPr>
        <w:t> </w:t>
      </w:r>
      <w:r w:rsidRPr="00994171">
        <w:rPr>
          <w:rFonts w:eastAsia="NSimSun"/>
          <w:kern w:val="1"/>
          <w:sz w:val="24"/>
          <w:szCs w:val="24"/>
        </w:rPr>
        <w:t xml:space="preserve">35 </w:t>
      </w:r>
      <w:r w:rsidRPr="001E4F2E">
        <w:rPr>
          <w:rFonts w:eastAsia="NSimSun"/>
          <w:kern w:val="1"/>
          <w:sz w:val="24"/>
          <w:szCs w:val="24"/>
        </w:rPr>
        <w:t xml:space="preserve">kpa, z uwagi </w:t>
      </w:r>
      <w:r w:rsidRPr="001E4F2E">
        <w:rPr>
          <w:rFonts w:eastAsia="NSimSun"/>
          <w:sz w:val="24"/>
          <w:szCs w:val="24"/>
        </w:rPr>
        <w:t xml:space="preserve">konieczność </w:t>
      </w:r>
      <w:r>
        <w:rPr>
          <w:rFonts w:eastAsia="NSimSun"/>
          <w:sz w:val="24"/>
          <w:szCs w:val="24"/>
        </w:rPr>
        <w:t xml:space="preserve">wypożyczenia części akt sprawy </w:t>
      </w:r>
      <w:r w:rsidRPr="001D48BB">
        <w:rPr>
          <w:rFonts w:eastAsia="NSimSun"/>
          <w:iCs/>
          <w:sz w:val="24"/>
          <w:szCs w:val="24"/>
        </w:rPr>
        <w:t>przekazanych przez tut.</w:t>
      </w:r>
      <w:r>
        <w:rPr>
          <w:rFonts w:eastAsia="NSimSun"/>
          <w:iCs/>
          <w:sz w:val="24"/>
          <w:szCs w:val="24"/>
        </w:rPr>
        <w:t> </w:t>
      </w:r>
      <w:r w:rsidRPr="001D48BB">
        <w:rPr>
          <w:rFonts w:eastAsia="NSimSun"/>
          <w:iCs/>
          <w:sz w:val="24"/>
          <w:szCs w:val="24"/>
        </w:rPr>
        <w:t>organ do Sądu Okręgowego w Piotrkowie Trybunalskim</w:t>
      </w:r>
      <w:r w:rsidRPr="00994171">
        <w:rPr>
          <w:rFonts w:eastAsia="NSimSun"/>
          <w:kern w:val="1"/>
          <w:sz w:val="24"/>
          <w:szCs w:val="24"/>
        </w:rPr>
        <w:t xml:space="preserve">. </w:t>
      </w:r>
    </w:p>
    <w:p w:rsidR="00157659" w:rsidRPr="00994171" w:rsidRDefault="00BA4853" w:rsidP="00157659">
      <w:pPr>
        <w:snapToGrid w:val="0"/>
        <w:spacing w:line="360" w:lineRule="auto"/>
        <w:jc w:val="both"/>
        <w:rPr>
          <w:rFonts w:eastAsia="NSimSun"/>
          <w:kern w:val="1"/>
          <w:sz w:val="24"/>
          <w:szCs w:val="24"/>
        </w:rPr>
      </w:pPr>
      <w:r w:rsidRPr="00057271">
        <w:rPr>
          <w:rFonts w:eastAsia="NSimSun"/>
          <w:kern w:val="1"/>
          <w:sz w:val="24"/>
          <w:szCs w:val="24"/>
        </w:rPr>
        <w:t>Przewidywany termin za</w:t>
      </w:r>
      <w:r>
        <w:rPr>
          <w:rFonts w:eastAsia="NSimSun"/>
          <w:kern w:val="1"/>
          <w:sz w:val="24"/>
          <w:szCs w:val="24"/>
        </w:rPr>
        <w:t>łatwienia sprawy – do dnia 21.10</w:t>
      </w:r>
      <w:r w:rsidRPr="00057271">
        <w:rPr>
          <w:rFonts w:eastAsia="NSimSun"/>
          <w:kern w:val="1"/>
          <w:sz w:val="24"/>
          <w:szCs w:val="24"/>
        </w:rPr>
        <w:t>.2024 r.</w:t>
      </w:r>
    </w:p>
    <w:p w:rsidR="00157659" w:rsidRDefault="00BA4853" w:rsidP="00157659">
      <w:pPr>
        <w:snapToGrid w:val="0"/>
        <w:spacing w:line="360" w:lineRule="auto"/>
        <w:jc w:val="both"/>
        <w:rPr>
          <w:rFonts w:eastAsia="NSimSun"/>
          <w:kern w:val="1"/>
          <w:sz w:val="24"/>
          <w:szCs w:val="24"/>
        </w:rPr>
      </w:pPr>
      <w:r w:rsidRPr="00994171">
        <w:rPr>
          <w:rFonts w:eastAsia="NSimSun"/>
          <w:kern w:val="1"/>
          <w:sz w:val="24"/>
          <w:szCs w:val="24"/>
        </w:rPr>
        <w:tab/>
        <w:t>Jedno</w:t>
      </w:r>
      <w:r w:rsidRPr="00994171">
        <w:rPr>
          <w:rFonts w:eastAsia="NSimSun"/>
          <w:kern w:val="1"/>
          <w:sz w:val="24"/>
          <w:szCs w:val="24"/>
        </w:rPr>
        <w:t xml:space="preserve">cześnie, mając na uwadze treść art. 36 § 1 </w:t>
      </w:r>
      <w:r w:rsidRPr="001E4F2E">
        <w:rPr>
          <w:rFonts w:eastAsia="NSimSun"/>
          <w:kern w:val="1"/>
          <w:sz w:val="24"/>
          <w:szCs w:val="24"/>
        </w:rPr>
        <w:t>kpa</w:t>
      </w:r>
      <w:r w:rsidRPr="00994171">
        <w:rPr>
          <w:rFonts w:eastAsia="NSimSun"/>
          <w:i/>
          <w:kern w:val="1"/>
          <w:sz w:val="24"/>
          <w:szCs w:val="24"/>
        </w:rPr>
        <w:t xml:space="preserve">, </w:t>
      </w:r>
      <w:r w:rsidRPr="00994171">
        <w:rPr>
          <w:rFonts w:eastAsia="NSimSun"/>
          <w:kern w:val="1"/>
          <w:sz w:val="24"/>
          <w:szCs w:val="24"/>
        </w:rPr>
        <w:t xml:space="preserve">informuję, że stronie służy prawo do wniesienia ponaglenia, o którym mowa w art. 37 § 1 </w:t>
      </w:r>
      <w:r w:rsidRPr="001E4F2E">
        <w:rPr>
          <w:rFonts w:eastAsia="NSimSun"/>
          <w:kern w:val="1"/>
          <w:sz w:val="24"/>
          <w:szCs w:val="24"/>
        </w:rPr>
        <w:t>kpa</w:t>
      </w:r>
      <w:r>
        <w:rPr>
          <w:rFonts w:eastAsia="NSimSun"/>
          <w:kern w:val="1"/>
          <w:sz w:val="24"/>
          <w:szCs w:val="24"/>
        </w:rPr>
        <w:t>,</w:t>
      </w:r>
      <w:r w:rsidRPr="00994171">
        <w:rPr>
          <w:rFonts w:eastAsia="NSimSun"/>
          <w:kern w:val="1"/>
          <w:sz w:val="24"/>
          <w:szCs w:val="24"/>
        </w:rPr>
        <w:t xml:space="preserve"> do Ministra Rozwoju i Technologii w Warszawie, Pl. Trzech Krzyży 3/5, za pośrednictwem Wojewody Łódzkiego. Zgodnie z treścią art. 37 § 2 </w:t>
      </w:r>
      <w:r w:rsidRPr="001E4F2E">
        <w:rPr>
          <w:rFonts w:eastAsia="NSimSun"/>
          <w:kern w:val="1"/>
          <w:sz w:val="24"/>
          <w:szCs w:val="24"/>
        </w:rPr>
        <w:t>kpa,</w:t>
      </w:r>
      <w:r w:rsidRPr="00994171">
        <w:rPr>
          <w:rFonts w:eastAsia="NSimSun"/>
          <w:i/>
          <w:kern w:val="1"/>
          <w:sz w:val="24"/>
          <w:szCs w:val="24"/>
        </w:rPr>
        <w:t xml:space="preserve"> </w:t>
      </w:r>
      <w:r w:rsidRPr="00994171">
        <w:rPr>
          <w:rFonts w:eastAsia="NSimSun"/>
          <w:kern w:val="1"/>
          <w:sz w:val="24"/>
          <w:szCs w:val="24"/>
        </w:rPr>
        <w:t xml:space="preserve">ponaglenie powinno zawierać uzasadnienie. </w:t>
      </w:r>
    </w:p>
    <w:p w:rsidR="003D2066" w:rsidRPr="00157659" w:rsidRDefault="00BA4853" w:rsidP="00157659">
      <w:pPr>
        <w:snapToGrid w:val="0"/>
        <w:spacing w:line="360" w:lineRule="auto"/>
        <w:jc w:val="both"/>
        <w:rPr>
          <w:rFonts w:eastAsia="NSimSun"/>
          <w:kern w:val="1"/>
          <w:sz w:val="24"/>
          <w:szCs w:val="24"/>
        </w:rPr>
      </w:pPr>
      <w:r>
        <w:rPr>
          <w:rFonts w:eastAsia="NSimSun"/>
          <w:kern w:val="1"/>
          <w:sz w:val="24"/>
          <w:szCs w:val="24"/>
        </w:rPr>
        <w:tab/>
      </w:r>
      <w:r w:rsidRPr="00214787">
        <w:rPr>
          <w:rFonts w:eastAsia="NSimSun"/>
          <w:kern w:val="1"/>
          <w:sz w:val="24"/>
          <w:szCs w:val="24"/>
        </w:rPr>
        <w:t>Zawiadomienie uważa się za dokonane po upływie 14 dni od dnia publicz</w:t>
      </w:r>
      <w:r w:rsidRPr="00214787">
        <w:rPr>
          <w:rFonts w:eastAsia="NSimSun"/>
          <w:kern w:val="1"/>
          <w:sz w:val="24"/>
          <w:szCs w:val="24"/>
        </w:rPr>
        <w:t>nego ogłoszenia.</w:t>
      </w:r>
      <w:r>
        <w:rPr>
          <w:rFonts w:eastAsia="NSimSun"/>
          <w:kern w:val="1"/>
          <w:sz w:val="24"/>
          <w:szCs w:val="24"/>
        </w:rPr>
        <w:t xml:space="preserve"> Dzień </w:t>
      </w:r>
      <w:r w:rsidRPr="00994171">
        <w:rPr>
          <w:rFonts w:eastAsia="NSimSun"/>
          <w:kern w:val="1"/>
          <w:sz w:val="24"/>
          <w:szCs w:val="24"/>
        </w:rPr>
        <w:t>publiczne</w:t>
      </w:r>
      <w:r>
        <w:rPr>
          <w:rFonts w:eastAsia="NSimSun"/>
          <w:kern w:val="1"/>
          <w:sz w:val="24"/>
          <w:szCs w:val="24"/>
        </w:rPr>
        <w:t>go</w:t>
      </w:r>
      <w:r w:rsidRPr="00994171">
        <w:rPr>
          <w:rFonts w:eastAsia="NSimSun"/>
          <w:kern w:val="1"/>
          <w:sz w:val="24"/>
          <w:szCs w:val="24"/>
        </w:rPr>
        <w:t xml:space="preserve"> obwieszczenia </w:t>
      </w:r>
      <w:r>
        <w:rPr>
          <w:rFonts w:eastAsia="NSimSun"/>
          <w:kern w:val="1"/>
          <w:sz w:val="24"/>
          <w:szCs w:val="24"/>
        </w:rPr>
        <w:t>– 19.08.2024</w:t>
      </w:r>
      <w:r w:rsidRPr="00994171">
        <w:rPr>
          <w:rFonts w:eastAsia="NSimSun"/>
          <w:kern w:val="1"/>
          <w:sz w:val="24"/>
          <w:szCs w:val="24"/>
        </w:rPr>
        <w:t xml:space="preserve"> r. </w:t>
      </w:r>
    </w:p>
    <w:p w:rsidR="003D2066" w:rsidRDefault="00BA4853">
      <w:pPr>
        <w:snapToGrid w:val="0"/>
        <w:ind w:left="4932"/>
        <w:jc w:val="center"/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color w:val="000000"/>
          <w:sz w:val="24"/>
          <w:szCs w:val="24"/>
          <w:lang w:eastAsia="pl-PL"/>
        </w:rPr>
        <w:br/>
      </w:r>
      <w:bookmarkStart w:id="3" w:name="ezdPracownikNazwa"/>
      <w:r>
        <w:rPr>
          <w:b/>
          <w:bCs/>
          <w:i/>
          <w:iCs/>
          <w:color w:val="000000"/>
          <w:sz w:val="24"/>
          <w:szCs w:val="24"/>
          <w:lang w:eastAsia="pl-PL"/>
        </w:rPr>
        <w:t>Magdalena Nurczyńska</w:t>
      </w:r>
      <w:bookmarkEnd w:id="3"/>
    </w:p>
    <w:p w:rsidR="003D2066" w:rsidRDefault="00BA4853">
      <w:pPr>
        <w:snapToGrid w:val="0"/>
        <w:ind w:left="4932"/>
        <w:jc w:val="center"/>
      </w:pPr>
      <w:bookmarkStart w:id="4" w:name="ezdPracownikAtrybut2"/>
      <w:r>
        <w:rPr>
          <w:b/>
          <w:bCs/>
          <w:iCs/>
          <w:color w:val="000000"/>
          <w:sz w:val="24"/>
          <w:szCs w:val="24"/>
          <w:lang w:eastAsia="pl-PL"/>
        </w:rPr>
        <w:t>Kierownik</w:t>
      </w:r>
      <w:bookmarkEnd w:id="4"/>
      <w:r>
        <w:rPr>
          <w:b/>
          <w:bCs/>
          <w:iCs/>
          <w:color w:val="000000"/>
          <w:sz w:val="24"/>
          <w:szCs w:val="24"/>
          <w:lang w:eastAsia="pl-PL"/>
        </w:rPr>
        <w:br/>
        <w:t>Oddziału administracji</w:t>
      </w:r>
      <w:r>
        <w:rPr>
          <w:b/>
          <w:bCs/>
          <w:iCs/>
          <w:color w:val="000000"/>
          <w:sz w:val="24"/>
          <w:szCs w:val="24"/>
          <w:lang w:eastAsia="pl-PL"/>
        </w:rPr>
        <w:br/>
        <w:t>architektoniczno-budowlanej</w:t>
      </w:r>
      <w:r>
        <w:rPr>
          <w:b/>
          <w:bCs/>
          <w:iCs/>
          <w:color w:val="000000"/>
          <w:sz w:val="24"/>
          <w:szCs w:val="24"/>
          <w:lang w:eastAsia="pl-PL"/>
        </w:rPr>
        <w:br/>
        <w:t>w Wydziale Gospodarki Przestrzennej i Budownictwa</w:t>
      </w:r>
    </w:p>
    <w:p w:rsidR="003D2066" w:rsidRDefault="00BA4853">
      <w:pPr>
        <w:snapToGrid w:val="0"/>
        <w:ind w:left="4965"/>
        <w:jc w:val="center"/>
      </w:pPr>
      <w:bookmarkStart w:id="5" w:name="ezdPracownikWydzialAtrybut3"/>
      <w:r>
        <w:t>(podpisano elektronicznie)</w:t>
      </w:r>
      <w:bookmarkEnd w:id="5"/>
    </w:p>
    <w:p w:rsidR="003D2066" w:rsidRDefault="00BA4853">
      <w:pPr>
        <w:suppressAutoHyphens w:val="0"/>
        <w:jc w:val="both"/>
        <w:rPr>
          <w:color w:val="000000"/>
          <w:kern w:val="0"/>
          <w:sz w:val="24"/>
          <w:szCs w:val="24"/>
          <w:lang w:eastAsia="pl-PL"/>
        </w:rPr>
      </w:pPr>
    </w:p>
    <w:p w:rsidR="003D2066" w:rsidRDefault="00BA4853">
      <w:pPr>
        <w:tabs>
          <w:tab w:val="center" w:pos="6345"/>
        </w:tabs>
        <w:snapToGrid w:val="0"/>
        <w:jc w:val="center"/>
      </w:pPr>
    </w:p>
    <w:sectPr w:rsidR="003D206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853" w:rsidRDefault="00BA4853">
      <w:r>
        <w:separator/>
      </w:r>
    </w:p>
  </w:endnote>
  <w:endnote w:type="continuationSeparator" w:id="0">
    <w:p w:rsidR="00BA4853" w:rsidRDefault="00BA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66" w:rsidRDefault="00BA4853">
    <w:pPr>
      <w:pStyle w:val="Stopka1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66" w:rsidRDefault="00BA4853">
    <w:pPr>
      <w:pStyle w:val="Stopka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853" w:rsidRDefault="00BA4853">
      <w:r>
        <w:separator/>
      </w:r>
    </w:p>
  </w:footnote>
  <w:footnote w:type="continuationSeparator" w:id="0">
    <w:p w:rsidR="00BA4853" w:rsidRDefault="00BA4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66" w:rsidRDefault="00BA4853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66" w:rsidRDefault="00BA4853">
    <w:pPr>
      <w:ind w:right="5235"/>
      <w:jc w:val="center"/>
      <w:rPr>
        <w:b/>
        <w:bCs/>
        <w:sz w:val="24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0FB09"/>
    <w:multiLevelType w:val="hybridMultilevel"/>
    <w:tmpl w:val="00000000"/>
    <w:lvl w:ilvl="0" w:tplc="336045B8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554804E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20C117A">
      <w:start w:val="1"/>
      <w:numFmt w:val="none"/>
      <w:pStyle w:val="Nagwek31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1309B60">
      <w:start w:val="1"/>
      <w:numFmt w:val="none"/>
      <w:pStyle w:val="Nagwek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5D44F12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CFA0B28">
      <w:start w:val="1"/>
      <w:numFmt w:val="none"/>
      <w:pStyle w:val="Nagwek61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3EE681E">
      <w:start w:val="1"/>
      <w:numFmt w:val="none"/>
      <w:pStyle w:val="Nagwek71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A96F146">
      <w:start w:val="1"/>
      <w:numFmt w:val="none"/>
      <w:pStyle w:val="Nagwek81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CF2FAE6">
      <w:start w:val="1"/>
      <w:numFmt w:val="none"/>
      <w:pStyle w:val="Nagwek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439B90"/>
    <w:multiLevelType w:val="hybridMultilevel"/>
    <w:tmpl w:val="00000000"/>
    <w:lvl w:ilvl="0" w:tplc="DC10FD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55A81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50CF5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F5042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68CDD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E4A7A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FD0E7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EFEF6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084D3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561A01D"/>
    <w:multiLevelType w:val="hybridMultilevel"/>
    <w:tmpl w:val="00000000"/>
    <w:lvl w:ilvl="0" w:tplc="0CD83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CCB38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58C64B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244434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E018BCD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72D49700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7496360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2846929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BCF6DF7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53"/>
    <w:rsid w:val="00454453"/>
    <w:rsid w:val="00BA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3C6AA3-C93F-4C5C-B96F-8FC42955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Hipercze1">
    <w:name w:val="Hiperłącze1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character" w:customStyle="1" w:styleId="Znakinumeracji">
    <w:name w:val="Znaki numeracji"/>
    <w:qFormat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0">
    <w:name w:val="Nagłówek2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_0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8C0CC-6FE1-4F26-8B60-0A5D38B25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Agnieszka Rosiak (arosiak)</dc:creator>
  <cp:lastModifiedBy>Agnieszka Rosiak (arosiak)</cp:lastModifiedBy>
  <cp:revision>2</cp:revision>
  <dcterms:created xsi:type="dcterms:W3CDTF">2024-08-19T06:31:00Z</dcterms:created>
  <dcterms:modified xsi:type="dcterms:W3CDTF">2024-08-19T06:31:00Z</dcterms:modified>
</cp:coreProperties>
</file>