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C9565" w14:textId="333052D8" w:rsidR="00743B0F" w:rsidRDefault="008D22F4" w:rsidP="008D22F4">
      <w:pPr>
        <w:shd w:val="clear" w:color="auto" w:fill="F2F2F2"/>
        <w:spacing w:before="150" w:after="150" w:line="240" w:lineRule="atLeast"/>
        <w:jc w:val="center"/>
        <w:outlineLvl w:val="2"/>
        <w:rPr>
          <w:rFonts w:ascii="Georgia" w:eastAsia="Times New Roman" w:hAnsi="Georgia" w:cs="Tahoma"/>
          <w:b/>
          <w:bCs/>
          <w:caps/>
          <w:color w:val="2A2A2A"/>
          <w:sz w:val="20"/>
          <w:szCs w:val="20"/>
          <w:lang w:eastAsia="pl-PL"/>
        </w:rPr>
      </w:pPr>
      <w:r>
        <w:rPr>
          <w:rFonts w:ascii="Georgia" w:eastAsia="Times New Roman" w:hAnsi="Georgia" w:cs="Tahoma"/>
          <w:b/>
          <w:bCs/>
          <w:caps/>
          <w:color w:val="2A2A2A"/>
          <w:sz w:val="20"/>
          <w:szCs w:val="20"/>
          <w:lang w:eastAsia="pl-PL"/>
        </w:rPr>
        <w:t>ZaPYTANIE OFERTOWE</w:t>
      </w:r>
    </w:p>
    <w:p w14:paraId="045BEF3B" w14:textId="089C056D" w:rsidR="00743B0F" w:rsidRDefault="00743B0F" w:rsidP="00743B0F">
      <w:pPr>
        <w:shd w:val="clear" w:color="auto" w:fill="F2F2F2"/>
        <w:spacing w:after="0" w:line="240" w:lineRule="atLeast"/>
        <w:jc w:val="both"/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</w:pPr>
      <w:r w:rsidRPr="00743B0F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Analiza rynku w zakresie </w:t>
      </w:r>
      <w:r w:rsidR="000C2700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szacowania wartości </w:t>
      </w:r>
      <w:r w:rsidRPr="00743B0F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zamówienia</w:t>
      </w:r>
      <w:r w:rsidR="00C72698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 publicznego</w:t>
      </w:r>
      <w:r w:rsidRPr="00743B0F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 na wykonanie </w:t>
      </w:r>
      <w:r w:rsidR="008B0331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usług </w:t>
      </w:r>
      <w:proofErr w:type="spellStart"/>
      <w:r w:rsidR="008B0331" w:rsidRPr="008B0331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kafeteryjnych</w:t>
      </w:r>
      <w:proofErr w:type="spellEnd"/>
      <w:r w:rsidR="008B0331" w:rsidRPr="008B0331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 dla Pracowników Ministerstwa Rozwoju i Technologii poprzez dostęp do cyfrowej platformy świadczeń pozapłacowych</w:t>
      </w:r>
    </w:p>
    <w:p w14:paraId="55F54C00" w14:textId="77777777" w:rsidR="00743B0F" w:rsidRDefault="00743B0F" w:rsidP="00743B0F">
      <w:pPr>
        <w:shd w:val="clear" w:color="auto" w:fill="F2F2F2"/>
        <w:spacing w:after="0" w:line="240" w:lineRule="atLeast"/>
        <w:jc w:val="both"/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</w:pPr>
    </w:p>
    <w:p w14:paraId="3E71843A" w14:textId="08D86282" w:rsidR="00743B0F" w:rsidRPr="00743B0F" w:rsidRDefault="00EE49C2" w:rsidP="00743B0F">
      <w:pPr>
        <w:shd w:val="clear" w:color="auto" w:fill="F2F2F2"/>
        <w:spacing w:after="0" w:line="240" w:lineRule="atLeast"/>
        <w:jc w:val="both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05.05.2022 r.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7484"/>
      </w:tblGrid>
      <w:tr w:rsidR="00743B0F" w:rsidRPr="00743B0F" w14:paraId="3B731AC8" w14:textId="77777777" w:rsidTr="001D6A6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A71F3" w14:textId="77777777" w:rsidR="00743B0F" w:rsidRPr="00743B0F" w:rsidRDefault="00743B0F" w:rsidP="00431E86">
            <w:pPr>
              <w:spacing w:after="0" w:line="240" w:lineRule="auto"/>
              <w:rPr>
                <w:rFonts w:ascii="Tahoma" w:eastAsia="Times New Roman" w:hAnsi="Tahoma" w:cs="Tahoma"/>
                <w:b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color w:val="363636"/>
                <w:sz w:val="17"/>
                <w:szCs w:val="17"/>
                <w:lang w:eastAsia="pl-PL"/>
              </w:rPr>
              <w:t>Przedmiot zamówienia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BC4F8" w14:textId="74070354" w:rsidR="001D6A6D" w:rsidRPr="001D6A6D" w:rsidRDefault="00FB4AC6" w:rsidP="001D6A6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FB4AC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 celu zbadania oferty rynkowej oraz oszacowania wartości przyszłego zamówienia publicznego, </w:t>
            </w:r>
            <w:r w:rsidR="001D6A6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Biuro Dyrektora Generalnego Ministerstwa Rozwoju i Technologii</w:t>
            </w:r>
            <w:r w:rsidRPr="00FB4AC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zwraca się z uprzejmą prośbą o przedstawienie informacji dotyczących szacunkowych kosztów realizacji zamówienia na wykonanie </w:t>
            </w:r>
            <w:r w:rsidR="001D6A6D">
              <w:rPr>
                <w:rFonts w:ascii="Tahoma" w:eastAsia="Times New Roman" w:hAnsi="Tahoma" w:cs="Tahoma"/>
                <w:bCs/>
                <w:color w:val="363636"/>
                <w:sz w:val="17"/>
                <w:szCs w:val="17"/>
                <w:lang w:eastAsia="pl-PL"/>
              </w:rPr>
              <w:t>usług</w:t>
            </w:r>
            <w:r w:rsidR="00D14C0B" w:rsidRPr="001D6A6D">
              <w:rPr>
                <w:rFonts w:ascii="Tahoma" w:eastAsia="Times New Roman" w:hAnsi="Tahoma" w:cs="Tahoma"/>
                <w:bCs/>
                <w:color w:val="363636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="00D14C0B" w:rsidRPr="001D6A6D">
              <w:rPr>
                <w:rFonts w:ascii="Tahoma" w:eastAsia="Times New Roman" w:hAnsi="Tahoma" w:cs="Tahoma"/>
                <w:bCs/>
                <w:color w:val="363636"/>
                <w:sz w:val="17"/>
                <w:szCs w:val="17"/>
                <w:lang w:eastAsia="pl-PL"/>
              </w:rPr>
              <w:t>kafeteryj</w:t>
            </w:r>
            <w:r w:rsidR="00D14C0B" w:rsidRPr="001D6A6D">
              <w:rPr>
                <w:rFonts w:ascii="Tahoma" w:eastAsia="Times New Roman" w:hAnsi="Tahoma" w:cs="Tahoma"/>
                <w:bCs/>
                <w:color w:val="363636"/>
                <w:sz w:val="17"/>
                <w:szCs w:val="17"/>
                <w:lang w:eastAsia="pl-PL"/>
              </w:rPr>
              <w:t>n</w:t>
            </w:r>
            <w:r w:rsidR="001D6A6D">
              <w:rPr>
                <w:rFonts w:ascii="Tahoma" w:eastAsia="Times New Roman" w:hAnsi="Tahoma" w:cs="Tahoma"/>
                <w:bCs/>
                <w:color w:val="363636"/>
                <w:sz w:val="17"/>
                <w:szCs w:val="17"/>
                <w:lang w:eastAsia="pl-PL"/>
              </w:rPr>
              <w:t>ych</w:t>
            </w:r>
            <w:proofErr w:type="spellEnd"/>
            <w:r w:rsidR="00D14C0B" w:rsidRPr="001D6A6D">
              <w:rPr>
                <w:rFonts w:ascii="Tahoma" w:eastAsia="Times New Roman" w:hAnsi="Tahoma" w:cs="Tahoma"/>
                <w:bCs/>
                <w:color w:val="363636"/>
                <w:sz w:val="17"/>
                <w:szCs w:val="17"/>
                <w:lang w:eastAsia="pl-PL"/>
              </w:rPr>
              <w:t xml:space="preserve"> dla Pracowników Ministerstwa Rozwoju</w:t>
            </w:r>
            <w:r w:rsidR="00D14C0B" w:rsidRPr="001D6A6D">
              <w:rPr>
                <w:rFonts w:ascii="Tahoma" w:eastAsia="Times New Roman" w:hAnsi="Tahoma" w:cs="Tahoma"/>
                <w:bCs/>
                <w:color w:val="363636"/>
                <w:sz w:val="17"/>
                <w:szCs w:val="17"/>
                <w:lang w:eastAsia="pl-PL"/>
              </w:rPr>
              <w:t xml:space="preserve"> i Technologii</w:t>
            </w:r>
            <w:r w:rsidR="00D14C0B" w:rsidRPr="001D6A6D">
              <w:rPr>
                <w:rFonts w:ascii="Tahoma" w:eastAsia="Times New Roman" w:hAnsi="Tahoma" w:cs="Tahoma"/>
                <w:bCs/>
                <w:color w:val="363636"/>
                <w:sz w:val="17"/>
                <w:szCs w:val="17"/>
                <w:lang w:eastAsia="pl-PL"/>
              </w:rPr>
              <w:t xml:space="preserve"> poprzez dostęp do cyfrowej platformy świadczeń pozapłacowych</w:t>
            </w:r>
            <w:r w:rsidR="001D6A6D" w:rsidRPr="001D6A6D" w:rsidDel="001D6A6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="001D6A6D" w:rsidRPr="001D6A6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 kategoriach: </w:t>
            </w:r>
          </w:p>
          <w:p w14:paraId="130BCED7" w14:textId="5B7E112C" w:rsidR="006643DB" w:rsidRPr="006643DB" w:rsidRDefault="006643DB" w:rsidP="006643DB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(I) sport i rekreacja w ramach miesięcznych abonamentów</w:t>
            </w:r>
          </w:p>
          <w:p w14:paraId="470ABE95" w14:textId="77777777" w:rsidR="006643DB" w:rsidRPr="006643DB" w:rsidRDefault="006643DB" w:rsidP="006643DB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(II) kultura oraz sport i rekreacja w tym zakup kodów wartościowych (voucherów)</w:t>
            </w:r>
          </w:p>
          <w:p w14:paraId="023E47FA" w14:textId="77777777" w:rsidR="006643DB" w:rsidRPr="006643DB" w:rsidRDefault="006643DB" w:rsidP="006643DB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zgodnie z poniższym opisem.</w:t>
            </w:r>
          </w:p>
          <w:p w14:paraId="2A5C003D" w14:textId="77777777" w:rsidR="006643DB" w:rsidRPr="008D22F4" w:rsidRDefault="006643DB" w:rsidP="006643DB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u w:val="single"/>
                <w:lang w:eastAsia="pl-PL"/>
              </w:rPr>
            </w:pP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u w:val="single"/>
                <w:lang w:eastAsia="pl-PL"/>
              </w:rPr>
              <w:t>I. Sport i rekreacja w ramach miesięcznych abonamentów:</w:t>
            </w:r>
          </w:p>
          <w:p w14:paraId="5FFDBC95" w14:textId="7510F786" w:rsidR="006643DB" w:rsidRPr="006643DB" w:rsidRDefault="006643DB" w:rsidP="006643DB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1. Usługa polegająca na zapewnieniu dostępu do obiektów i zajęć s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portowych lub świadczenie usług </w:t>
            </w: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 tym zakresie, w ramach miesięcznych abonamentów udostępnionych przez Wykonawcę dla:</w:t>
            </w:r>
          </w:p>
          <w:p w14:paraId="24389BFD" w14:textId="77777777" w:rsidR="006643DB" w:rsidRPr="006643DB" w:rsidRDefault="006643DB" w:rsidP="006643DB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- pracowników Zamawiającego (dalej: pracownik),</w:t>
            </w:r>
          </w:p>
          <w:p w14:paraId="2AC4F60E" w14:textId="77777777" w:rsidR="006643DB" w:rsidRPr="006643DB" w:rsidRDefault="006643DB" w:rsidP="006643DB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- partnera pracownika lub członków rodziny pracownika,</w:t>
            </w:r>
          </w:p>
          <w:p w14:paraId="612032F4" w14:textId="77777777" w:rsidR="006643DB" w:rsidRPr="006643DB" w:rsidRDefault="006643DB" w:rsidP="006643DB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- dzieci pracownika do lat 15.</w:t>
            </w:r>
          </w:p>
          <w:p w14:paraId="6D91C29A" w14:textId="785CA29C" w:rsidR="006643DB" w:rsidRPr="006643DB" w:rsidRDefault="006643DB" w:rsidP="006643DB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2. Poprzez dostęp do obiektów i zajęć sportowo - rekreacyjnych, o którym mowa w pkt. 1, rozum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ie </w:t>
            </w: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się dostęp do minimum 500 obiektów sportowo - rekreacyjn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ych na terenie Rzeczypospolitej </w:t>
            </w: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Polskiej, świadczących w szczególności następujące usługi: </w:t>
            </w:r>
            <w:proofErr w:type="spellStart"/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aerobic</w:t>
            </w:r>
            <w:proofErr w:type="spellEnd"/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/ fitness, </w:t>
            </w:r>
            <w:proofErr w:type="spellStart"/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aqua</w:t>
            </w:r>
            <w:proofErr w:type="spellEnd"/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aerobic</w:t>
            </w:r>
            <w:proofErr w:type="spellEnd"/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, basen,</w:t>
            </w:r>
            <w:r w:rsidR="00D14C0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bookmarkStart w:id="0" w:name="_GoBack"/>
            <w:bookmarkEnd w:id="0"/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lodowisko, saunę, ściankę wspinaczkową, siłownię, spinning, squash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, sztuki walki, taniec, </w:t>
            </w:r>
            <w:proofErr w:type="spellStart"/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nordic</w:t>
            </w:r>
            <w:proofErr w:type="spellEnd"/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walking</w:t>
            </w:r>
            <w:proofErr w:type="spellEnd"/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i inne. Zamawiający wymaga, aby minimalna liczba obi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ektów sportowo – rekreacyjnych, </w:t>
            </w: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 których mowa wyżej, na terenie Warszawy oraz powiatów gr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anicznych wynosiła, co najmniej </w:t>
            </w: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300 w tym na terenie Warszawy – co najmniej 250.</w:t>
            </w:r>
          </w:p>
          <w:p w14:paraId="3D7051D0" w14:textId="65A683F9" w:rsidR="006643DB" w:rsidRPr="006643DB" w:rsidRDefault="006643DB" w:rsidP="006643DB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3. Wymieniony powyżej zakres usług jest jedynie orientacyjnym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wskazaniem usług i Zamawiający </w:t>
            </w: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zastrzega możliwość korzystania przez uczestników z innych 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nieodpłatnie oferowanych usług, </w:t>
            </w: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które zapewniają obiekty, z którymi Wykonawca ma podpis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aną umowę współpracy. Wykonawca </w:t>
            </w: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 ramach realizacji zamówienia umożliwi także korz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ystanie z nowo dostępnych usług </w:t>
            </w: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świadczonych przez obiekty, z którymi nawiąże współpracę w trakcie realizacji zamówienia.</w:t>
            </w:r>
          </w:p>
          <w:p w14:paraId="18FF7F24" w14:textId="77777777" w:rsidR="006643DB" w:rsidRPr="006643DB" w:rsidRDefault="006643DB" w:rsidP="006643DB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4. Dostęp do obiektów musi być:</w:t>
            </w:r>
          </w:p>
          <w:p w14:paraId="341D3215" w14:textId="025CDBCE" w:rsidR="006643DB" w:rsidRPr="006643DB" w:rsidRDefault="006643DB" w:rsidP="006643DB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a) nieograniczony czasowo tj. dający dostęp do wybrane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j usługi przez 7 dni w tygodniu </w:t>
            </w: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oraz jednorazowo nie krócej niż przez 60 minut, chyba 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że ze względu na bezpieczeństwo </w:t>
            </w: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uczestnika czas ten powinien być krótszy lub został z góry określony przez obiekt;</w:t>
            </w:r>
          </w:p>
          <w:p w14:paraId="2FA19C2A" w14:textId="19B1AF76" w:rsidR="008D22F4" w:rsidRPr="008D22F4" w:rsidRDefault="006643DB" w:rsidP="008D22F4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b) zwolniony z dodatkowych opłat (opłata wpisowa, opłata za korzys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tanie, kaucje, opłaty za szafki </w:t>
            </w:r>
            <w:r w:rsidRPr="006643D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itp.).</w:t>
            </w:r>
          </w:p>
          <w:p w14:paraId="62BD9BD0" w14:textId="584CD9C2" w:rsidR="008D22F4" w:rsidRPr="008D22F4" w:rsidRDefault="008D22F4" w:rsidP="00A839C3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5. Usługi wskazane w pkt. 1 będą świadczone w ramach nas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tępujących rodzajów abonamentów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(w zależności od potrzeb Zamawiającego):</w:t>
            </w:r>
          </w:p>
          <w:p w14:paraId="14C3BFED" w14:textId="2BBF9934" w:rsidR="008D22F4" w:rsidRPr="008D22F4" w:rsidRDefault="008D22F4" w:rsidP="00A839C3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a) abonament I dla pracownika, partnera pracownika l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ub członków rodziny pracownika,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„nielimitowany" (dla każdej osoby oddzielnie), tj. dający możl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iwość korzystania, bez przerwy,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 różnych usług w różnych obiektach tego samego dnia, bez konieczności deklaracji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korzystania z określonej lokalizacji. Jedyne przerwy w korzystaniu z usług, jakie są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dopuszczone mogą wynikać tylko i wyłącznie z faktu, że dane obiekty sportowo-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rekreacyjne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wprowadzają limity lub przerwy między zajęciami wynikające z 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lastRenderedPageBreak/>
              <w:t xml:space="preserve">obowiązujących przepisów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prawa, zasad bezpieczeństwa korzystania z obiektów i urzą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dzeń sportowo-rekreacyjnych lub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obowiązujących w obiektach regulaminów i godzin prac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y. Powyższe nie wyklucza jednak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możliwości korzystania przez uczestnika z usług w innym obiekcie w tym samym dniu.</w:t>
            </w:r>
          </w:p>
          <w:p w14:paraId="3EA56E7C" w14:textId="78BD73EB" w:rsidR="008D22F4" w:rsidRPr="008D22F4" w:rsidRDefault="008D22F4" w:rsidP="00A839C3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b) abonament II dla pracownika, partnera pracownika l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ub członków rodziny pracownika,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„limitowana liczba wejść w miesięcznym okresie ro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zliczeniowym" (dla każdej osoby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oddzielnie) tj. dający możliwość korzystania 8 razy w mie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siącu z różnych usług w różnych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obiektach.</w:t>
            </w:r>
          </w:p>
          <w:p w14:paraId="5B19649C" w14:textId="036CB8DC" w:rsidR="008D22F4" w:rsidRPr="008D22F4" w:rsidRDefault="008D22F4" w:rsidP="00A839C3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c) abonament III dla dziecka pracownika do lat 15, „niel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imitowany" tj. dający możliwość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korzystania, bez przerwy, z różnych usług w różn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ych obiektach tego samego dnia,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bez konieczności deklaracji korzystania z określonej lokalizacj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i. Jedyne przerwy w korzystaniu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 usług, jakie są dopuszczone mogą wynikać tylko i wył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ącznie z faktu, że dane obiekty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sportowo-rekreacyjne wprowadzają limity lub prze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rwy między zajęciami wynikające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 obowiązujących przepisów prawa, zasad bezpieczeństwa ko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rzystania z obiektów i urządzeń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sportowo-rekreacyjnych lub obowiązujących w obiektach regulaminów i godzin pracy.</w:t>
            </w:r>
          </w:p>
          <w:p w14:paraId="3CD3A4CB" w14:textId="21BE1F9C" w:rsidR="008D22F4" w:rsidRPr="008D22F4" w:rsidRDefault="008D22F4" w:rsidP="00A839C3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Powyższe nie wyklucza jednak możliwości korzystania p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rzez uczestnika z usług w innym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obiekcie w tym samym dniu.</w:t>
            </w:r>
          </w:p>
          <w:p w14:paraId="77719AB3" w14:textId="10B9FE83" w:rsidR="008D22F4" w:rsidRPr="008D22F4" w:rsidRDefault="008D22F4" w:rsidP="00A839C3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d) abonament IV dla dziecka pracownika do lat 15 „limito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wana liczba wejść w miesięcznym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okresie rozliczeniowym" (dla każdego dziecka oddzielnie) tj. dający możliwość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korzystania 8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razy w miesiącu z różnych usług w różnych obiektach.</w:t>
            </w:r>
          </w:p>
          <w:p w14:paraId="76D80FF2" w14:textId="36EDA48E" w:rsidR="008D22F4" w:rsidRPr="008D22F4" w:rsidRDefault="008D22F4" w:rsidP="00A839C3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 ramach niniejszego zamówienia Wykonawca zapewni (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 ramach każdego z abonamentów)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karty imienne dla użytkowników zgłoszonych przez Zamawiając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ego uprawniające do korzystania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z obiektów sportowo - rekreacyjnych (na terenie całego kraju, we </w:t>
            </w:r>
            <w:r w:rsidR="00A839C3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wszystkich obiektach, z którymi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Wykonawca ma podpisaną umowę współpracy).</w:t>
            </w:r>
          </w:p>
          <w:p w14:paraId="7C2E27F3" w14:textId="3D8FBB92" w:rsidR="008D22F4" w:rsidRPr="008D22F4" w:rsidRDefault="008D22F4" w:rsidP="0079168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Jedynym dopuszczalnym przez Zamawiającego sposobem, wery</w:t>
            </w:r>
            <w:r w:rsidR="0079168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fikacji i dostępu osób objętych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umową do obiektów sportowo-rekreacyjnych jest imienna kart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a, wraz z dokumentem tożsamości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ze zdjęciem (dokument tożsamości nie jest wymagany w przy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padku dzieci nieuczęszczających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jeszcze do szkoły). Sposób weryfikacji wejść do obiektów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podczas korzystania z programu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sportowego nie może pociągać za sobą żadnych 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dodatkowych kosztów nakładanych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na uczestnika, w tym konieczności posiadania telefonu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stacjonarnego lub komórkowego,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ani dostępu do Internetu, wymagać od niego podawania innych d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anych oprócz imienia i nazwiska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(takich jak np.: numer telefonu, adres e-mail, PESEL, odciski linii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papilarnych itp.). Zamawiający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nie wyraża zgody na żadną inną formę weryfikacji poza kartą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. Zamawiający nie ponosi żadnej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dodatkowej opłaty za wydanie kart uprawniających do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korzystania z usług sportowo -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rekreacyjnych (lub duplikatów kart w przypadku nieumyślnego jej utracenia przez użytkownika).</w:t>
            </w:r>
          </w:p>
          <w:p w14:paraId="58A8C394" w14:textId="10F8225F" w:rsidR="008D22F4" w:rsidRPr="008D22F4" w:rsidRDefault="008D22F4" w:rsidP="008D22F4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6. Z uwagi na dobrowolne uczestnictwo w dostępie do usług sp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ortowo - rekreacyjnych nie jest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możliwe precyzyjne ustalenie liczby uczestników w danym miesiącu, będzie ona uzależniona</w:t>
            </w:r>
            <w:r>
              <w:t xml:space="preserve">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od ceny abonamentu oraz pozostałych warunków świadczenia usług sportowo 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–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rekreacyjn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ych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przez Wykonawcę. Liczba uczestników zgłaszana będzie p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rzez Zamawiającego, co miesiąc.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Zamawiający zastrzega możliwość zmniejszenia lub zwiększenia lic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zby osób korzystających z usług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sportowo - rekreacyjnych w okresie rozliczeniowym (jeden miesiąc kalendarzowy).</w:t>
            </w:r>
          </w:p>
          <w:p w14:paraId="40AA2A2D" w14:textId="664DF74B" w:rsidR="008D22F4" w:rsidRPr="008D22F4" w:rsidRDefault="008D22F4" w:rsidP="008D22F4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Ceny brutto abonamentów miesięcznych wskazane w of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ercie Wykonawcy dla pracownika,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partnera pracownika lub członków rodziny pracownika ora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z dziecka pracownika nie ulegną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zmianie przez cały okres obowiązywania umowy. Wykonawca nie może oferować na 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koncie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pracownika innych cen abonamentów niż złożone w ofercie.</w:t>
            </w:r>
          </w:p>
          <w:p w14:paraId="5B20D9A9" w14:textId="77777777" w:rsidR="008D22F4" w:rsidRPr="008D22F4" w:rsidRDefault="008D22F4" w:rsidP="008D22F4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u w:val="single"/>
                <w:lang w:eastAsia="pl-PL"/>
              </w:rPr>
            </w:pP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u w:val="single"/>
                <w:lang w:eastAsia="pl-PL"/>
              </w:rPr>
              <w:t>II. Kultura oraz sport i rekreacja w tym zakup kodów wartościowych (voucherów):</w:t>
            </w:r>
          </w:p>
          <w:p w14:paraId="46C0CD1E" w14:textId="1B046C34" w:rsidR="008D22F4" w:rsidRPr="008D22F4" w:rsidRDefault="008D22F4" w:rsidP="008D22F4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1. Usługa zapewniająca dostęp do obiektów kulturaln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ych i sportowo - rekreacyjnych,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realizowana poprzez jeden system </w:t>
            </w:r>
            <w:proofErr w:type="spellStart"/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kafeteryjny</w:t>
            </w:r>
            <w:proofErr w:type="spellEnd"/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bez p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odpisywania umów z zewnętrznymi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dostawcami.</w:t>
            </w:r>
          </w:p>
          <w:p w14:paraId="6B0F227D" w14:textId="22D0C6D3" w:rsidR="008D22F4" w:rsidRPr="008D22F4" w:rsidRDefault="008D22F4" w:rsidP="008D22F4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2. Poprzez dostęp do obiektów i wydarzeń kulturalnyc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h oraz sportowo – rekreacyjnych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(jak: kina, spektakle teatralne, operowe, operetkowe, mu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zea, koncerty, wystawy, imprezy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sportowe (np. mecze), wejściówki do </w:t>
            </w:r>
            <w:proofErr w:type="spellStart"/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aquaparku</w:t>
            </w:r>
            <w:proofErr w:type="spellEnd"/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, siłowni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i fitness, kursy zainteresowań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(np. kurs garncarski, kurs fotografii, kurs rysunku), place zabaw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, parki rozrywki i parki 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lastRenderedPageBreak/>
              <w:t xml:space="preserve">linowe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dla dzieci), o których mowa powyżej, rozumie się dostęp do m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inimum 50 obiektów kulturalnych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na terenie Warszawy, na terenie Warszawy i powiatów granicznych – minimum 70.</w:t>
            </w:r>
          </w:p>
          <w:p w14:paraId="23947CD0" w14:textId="77777777" w:rsidR="008D22F4" w:rsidRDefault="008D22F4" w:rsidP="008D22F4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3. Zakupy w kategorii kultura oraz sport i rekreacja realizo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wane poprzez elektroniczne kody </w:t>
            </w:r>
            <w:r w:rsidRPr="008D22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wartościowe (vouchery) do sklepów internetowych oraz stacjonarnych.</w:t>
            </w:r>
          </w:p>
          <w:p w14:paraId="5129FEB0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u w:val="single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u w:val="single"/>
                <w:lang w:eastAsia="pl-PL"/>
              </w:rPr>
              <w:t>III. Dodatkowe informacje:</w:t>
            </w:r>
          </w:p>
          <w:p w14:paraId="531C8A44" w14:textId="336D6DF5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1. Liczba: ok. </w:t>
            </w:r>
            <w:r w:rsidR="00AC54A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1 080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pracowników Zamawiającego.</w:t>
            </w:r>
          </w:p>
          <w:p w14:paraId="08F134DD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2. Bezpłatne dostarczanie benefitów.</w:t>
            </w:r>
          </w:p>
          <w:p w14:paraId="2885B3D1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3. Brak minimalnych doładowań kont pracowników.</w:t>
            </w:r>
          </w:p>
          <w:p w14:paraId="2C500EE0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4. Wykonawca przed podpisaniem umowy przedstawi „Wykaz świadczeń </w:t>
            </w:r>
            <w:proofErr w:type="spellStart"/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kafeteryjnych</w:t>
            </w:r>
            <w:proofErr w:type="spellEnd"/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”.</w:t>
            </w:r>
          </w:p>
          <w:p w14:paraId="34C2FB23" w14:textId="1680D65E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5. Umowa zostanie zawarta na czas określony do 27 paź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dziernika 202</w:t>
            </w:r>
            <w:r w:rsidR="00684D3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5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r. albo do czasu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wykorzystania kwoty wynikającej z umowy.</w:t>
            </w:r>
          </w:p>
          <w:p w14:paraId="3729484E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6. System umożliwi obsługę i finansowanie świadczeń z następujących źródeł:</w:t>
            </w:r>
          </w:p>
          <w:p w14:paraId="45C7A2F7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- środki własne pracownika (w tym płatność kartą, e-przelewem),</w:t>
            </w:r>
          </w:p>
          <w:p w14:paraId="16C3B447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- środki ZFŚS,</w:t>
            </w:r>
          </w:p>
          <w:p w14:paraId="0FDA4552" w14:textId="174ABBFA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- współfinansowanie zakupu świadczeń przez Zamawia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jącego (ZFŚS) oraz pracownika –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płatność kartą lub e-przelewem,</w:t>
            </w:r>
          </w:p>
          <w:p w14:paraId="6BDD162B" w14:textId="77350410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- w przypadku usług sportowo-rekreacyjnych w 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ramach miesięcznych abonamentów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współfinansowanie zakupu świadczenia przez Zamawiają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cego ze środków ZFŚS oraz przez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pracownika z wynagrodzenia po wyrażeniu przez pracownik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a zgody na dokonanie potrącenia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przez Zamawiającego oraz finansowanie zakupu świadczenia ze środków pracownika</w:t>
            </w:r>
            <w:r>
              <w:t xml:space="preserve">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 wynagrodzenia po wyrażeniu przez pracownika zgod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y na dokonanie potrącenia przez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Zamawiającego.</w:t>
            </w:r>
          </w:p>
          <w:p w14:paraId="1BA850F5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7. Raportowanie na bieżąco dostępne dla administratorów - pracowników Biura Dyrektora</w:t>
            </w:r>
          </w:p>
          <w:p w14:paraId="233678AF" w14:textId="6E893DCA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Generalnego </w:t>
            </w:r>
            <w:proofErr w:type="spellStart"/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M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R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iT</w:t>
            </w:r>
            <w:proofErr w:type="spellEnd"/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:</w:t>
            </w:r>
          </w:p>
          <w:p w14:paraId="7BC09575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a) raporty kwot do potrąceń z wynagrodzenia,</w:t>
            </w:r>
          </w:p>
          <w:p w14:paraId="26329913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b) monitorowanie kwoty wolnej od podatku w ZFŚS.</w:t>
            </w:r>
          </w:p>
          <w:p w14:paraId="7E273335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8. Proces zamawiania świadczeń pozapłacowych z zakresu:</w:t>
            </w:r>
          </w:p>
          <w:p w14:paraId="1807D104" w14:textId="0C74F6ED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a) „sport i rekreacja” w ramach miesięcznych a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bonamentów: do 15 dnia miesiąca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poprzedzającego okres rozliczeniowy (zamawianie i rezygnacja przez pracownika) (I),</w:t>
            </w:r>
          </w:p>
          <w:p w14:paraId="7ADCCFB5" w14:textId="3707BE31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b) „kultura oraz sport i rekreacja w tym zakup kodów wartośc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iowych (voucherów)”: na bieżąco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(dystrybucja świadczeń online z możliwością realizacji od razu po zamówieniu) (II).</w:t>
            </w:r>
          </w:p>
          <w:p w14:paraId="59769F6C" w14:textId="0266567F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9. Możliwość przypisania świadczenia pozapłacowego do konk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retnego pracownika (np. poprzez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wpisanie imienia, nazwiska i skrótu nazwy urzędu oraz nazwy komórki organizacyjnej).</w:t>
            </w:r>
          </w:p>
          <w:p w14:paraId="674B5929" w14:textId="77777777" w:rsid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10. Informacja o stanie konta pracownika w ramach środkó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 ZFŚS – aktualizowana w czasie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rzeczywistym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</w:t>
            </w:r>
          </w:p>
          <w:p w14:paraId="34D35065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11. Funkcjonalność systemu:</w:t>
            </w:r>
          </w:p>
          <w:p w14:paraId="29C01347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a) dostosowanie szaty graficznej platformy do układu graficznego i logo Zamawiającego,</w:t>
            </w:r>
          </w:p>
          <w:p w14:paraId="48B04370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b) możliwość otwarcia kafeterii dla wybranych osób dodatkowo okazjonalnie,</w:t>
            </w:r>
          </w:p>
          <w:p w14:paraId="2D1805D1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c) możliwość otwarcia kafeterii dla nowozatrudnionych co miesiąc przez Zamawiającego,</w:t>
            </w:r>
          </w:p>
          <w:p w14:paraId="64B4F8F0" w14:textId="49B65C02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lastRenderedPageBreak/>
              <w:t>d) w przypadku pracowników odchodzących automatyczne kasowanie świadczeń pozapł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acowych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miesięcznych,</w:t>
            </w:r>
          </w:p>
          <w:p w14:paraId="0DBEF47E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e) system zapewniający samoobsługowy reset hasła,</w:t>
            </w:r>
          </w:p>
          <w:p w14:paraId="71B64F6D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f) logowanie przy pomocy unikatowego loginu przypisanego dla każdego pracownika,</w:t>
            </w:r>
          </w:p>
          <w:p w14:paraId="7A11F7A3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g) administracja systemem zamawiania świadczeń po stronie Wykonawcy,</w:t>
            </w:r>
          </w:p>
          <w:p w14:paraId="73F48BE5" w14:textId="77777777" w:rsid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h) rozliczanie za faktycznie zrealizowane świadczenie w ramach ZFŚS.</w:t>
            </w:r>
          </w:p>
          <w:p w14:paraId="6B836E9E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12. Kontakt i wsparcie ze strony Wykonawcy przy uruchomieniu platformy oraz jej funkcjonowania:</w:t>
            </w:r>
          </w:p>
          <w:p w14:paraId="3FB9B671" w14:textId="13BAD3B4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a) zapewniona pomoc działu obsługi klienta Wykonawcy 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wraz z dedykowanym konsultantem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(szczegółowa procedura zostanie uzgodniona po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między Wykonawcą i Zamawiającym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na etapie uruchamiania platformy) w celu zapewnienia koor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dynacji i płynności korzystania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 platformy, obejmie ona w szczególności:</w:t>
            </w:r>
          </w:p>
          <w:p w14:paraId="4C4C481D" w14:textId="7737AA00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 zapewnienie przez Wykonawcę kompetentnego personelu do obsługi telefonicznej i mailowej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użytkowników platformy, rozliczania świadczeń z ZFŚS, prowadzenia sprawozdawczości,</w:t>
            </w:r>
          </w:p>
          <w:p w14:paraId="01584FD3" w14:textId="77777777" w:rsid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 przygotowanie do obsługi telefonicznej i mailowej pracowni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ków Zamawiającego, spełniającej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następujące warunk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i:</w:t>
            </w:r>
          </w:p>
          <w:p w14:paraId="4CD2BA44" w14:textId="395ADFD3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- Wykonawca będzie udzielał informacji użytkownikom pla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tformy, co najmniej w zakresie: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korzystania z platformy, dokonywania opłat za benefity,</w:t>
            </w:r>
          </w:p>
          <w:p w14:paraId="2E3AFF84" w14:textId="5CB90734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- Wykonawca będzie udzielał informacji pracownikom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Zamawiającego (Biura Dyrektora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Generalnego), co najmniej w zakresie: wymagań związanych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z rozliczaniem benefitów, kwot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wolnych od podatku w ZFŚS, sprawozdawczości, korzystania z 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platformy dla celów rozliczania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 ZFŚS),</w:t>
            </w:r>
          </w:p>
          <w:p w14:paraId="66229837" w14:textId="6D3240B0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- Wykonawca będzie dostępny dla użytkowników platformy 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 dni robocze w godzinach pracy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Zamawiającego/Wykonawcy, minimum przez 8 godzin dziennie,</w:t>
            </w:r>
          </w:p>
          <w:p w14:paraId="3B56C2BB" w14:textId="02CD0056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- Wykonawca udostępni numer telefonu do obsługi uży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tkowników platformy. Połączenie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i rozmowa z konsultantem będą opłacane przez osob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ę dzwoniącą zgodnie z cennikiem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operatora sieci telefonicznej,</w:t>
            </w:r>
          </w:p>
          <w:p w14:paraId="0A795102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- Wykonawca udostępni adres e-mail dedykowany do użytkowników platformy.</w:t>
            </w:r>
          </w:p>
          <w:p w14:paraId="6B2581BB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b) sprawozdawczość imienna w podziale na rodzaje usług,</w:t>
            </w:r>
          </w:p>
          <w:p w14:paraId="6178E541" w14:textId="42C6B578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c) zapewnione przeprowadzenie we współpracy z Za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mawiającym procedury powitalnej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 postaci m.in. listu powitalnego dla pracowników przy uruchom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ieniu programu </w:t>
            </w:r>
            <w:proofErr w:type="spellStart"/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kafeteryjnego</w:t>
            </w:r>
            <w:proofErr w:type="spellEnd"/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oraz oświadczenia o odczytaniu ko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munikatów (uzgodnienie pomiędzy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Wykonawcą i Zamawiającym).</w:t>
            </w:r>
          </w:p>
          <w:p w14:paraId="75FFDA82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13. Bezpieczeństwo systemu:</w:t>
            </w:r>
          </w:p>
          <w:p w14:paraId="757C43AC" w14:textId="094129C6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a) platforma musi zapewniać bezpieczeństwo i po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ufność zgromadzonych dokumentów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oraz danych, a także uniemożliwiać zmiany w nich bez odpowiedniej autoryzacji,</w:t>
            </w:r>
          </w:p>
          <w:p w14:paraId="3401AB2B" w14:textId="33D51D28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b) komunikacja zalogowanych użytkowników z platf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ormy musi odbywać się wyłącznie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 pomocą bezpiecznego połączenia szyfrowanego (SSL),</w:t>
            </w:r>
          </w:p>
          <w:p w14:paraId="6FAC5242" w14:textId="3E6D6388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c) oprogramowanie wykorzystywane do korzystania z platformy nie może za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pisywać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 systemach klientów żadnych danych poza plikami typu cookie,</w:t>
            </w:r>
          </w:p>
          <w:p w14:paraId="6AEDE515" w14:textId="76CBFEAE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d) Wykonawca zapewni gwarantowany czas działania platformy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na poziomie 99,4% rozliczanego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 okresie jednego miesiąca.</w:t>
            </w:r>
          </w:p>
          <w:p w14:paraId="437A43E0" w14:textId="77777777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14. Dostępność systemu dla osób z niepełnosprawnością:</w:t>
            </w:r>
          </w:p>
          <w:p w14:paraId="26E8ADA5" w14:textId="41757B6C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a) platforma musi być wykonana z wykorzystaniem technik </w:t>
            </w:r>
            <w:proofErr w:type="spellStart"/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Responsive</w:t>
            </w:r>
            <w:proofErr w:type="spellEnd"/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Web 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Design których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celem jest poprawne wyświetlanie i funkcjono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wanie serwisu na przeglądarkach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lastRenderedPageBreak/>
              <w:t>internetowych (najnowsze wersje przeglądarek dost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ępne w danym momencie) urządzeń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stacjonarnych jak i urządzeń mobilnych,</w:t>
            </w:r>
          </w:p>
          <w:p w14:paraId="6F4631C7" w14:textId="15D92FB5" w:rsidR="002D78CD" w:rsidRPr="002D78CD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b) strona internetowa platformy będzie spełniać stan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dardy W3C dotyczące języka HTML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oraz CSS,</w:t>
            </w:r>
          </w:p>
          <w:p w14:paraId="031443A1" w14:textId="46743C41" w:rsidR="002D78CD" w:rsidRPr="00743B0F" w:rsidRDefault="002D78CD" w:rsidP="002D78CD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c) strona internetowa platformy będzie zapewniała kodowanie znaków w postaci </w:t>
            </w:r>
            <w:proofErr w:type="spellStart"/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Unicode</w:t>
            </w:r>
            <w:proofErr w:type="spellEnd"/>
            <w:r>
              <w:t xml:space="preserve"> </w:t>
            </w:r>
            <w:r w:rsidRPr="002D78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UTF-8.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</w:p>
        </w:tc>
      </w:tr>
      <w:tr w:rsidR="00743B0F" w:rsidRPr="00743B0F" w14:paraId="31A1D6ED" w14:textId="77777777" w:rsidTr="00887A3E">
        <w:tc>
          <w:tcPr>
            <w:tcW w:w="1708" w:type="dxa"/>
            <w:tcBorders>
              <w:top w:val="single" w:sz="4" w:space="0" w:color="auto"/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D73357" w14:textId="4B65F491"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9626D" w14:textId="0F159E48" w:rsidR="00743B0F" w:rsidRPr="00743B0F" w:rsidRDefault="00743B0F" w:rsidP="000F351F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</w:tc>
      </w:tr>
      <w:tr w:rsidR="00743B0F" w:rsidRPr="00743B0F" w14:paraId="4CAE0F49" w14:textId="77777777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F0815" w14:textId="77777777"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Dodatkowe informacje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5DA21" w14:textId="0D96EC99" w:rsidR="00743B0F" w:rsidRPr="00743B0F" w:rsidRDefault="00887A3E" w:rsidP="000F351F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887A3E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Zamawiający nie wymaga wniesienia wadium.</w:t>
            </w:r>
          </w:p>
        </w:tc>
      </w:tr>
      <w:tr w:rsidR="00743B0F" w:rsidRPr="00743B0F" w14:paraId="6A11CFFC" w14:textId="77777777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D418E" w14:textId="77777777"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Szacunkowy koszt usługi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8BCDA" w14:textId="71FF55A3" w:rsidR="00743B0F" w:rsidRPr="00743B0F" w:rsidRDefault="00743B0F" w:rsidP="00887A3E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Cena usługi musi obejmować wszystkie koszty poniesione w związku z</w:t>
            </w:r>
            <w:r w:rsidR="000F351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realizacją zamówienia w okresie trwania umowy, w tym wszystkie opłaty i podatki związane z</w:t>
            </w:r>
            <w:r w:rsidR="000F351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ponoszonymi kosztami.</w:t>
            </w:r>
          </w:p>
        </w:tc>
      </w:tr>
      <w:tr w:rsidR="00743B0F" w:rsidRPr="00743B0F" w14:paraId="04CECEE2" w14:textId="77777777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4D9C0" w14:textId="77777777"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Kontakt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28778" w14:textId="1F91CF40" w:rsidR="00743B0F" w:rsidRDefault="00743B0F" w:rsidP="000F351F">
            <w:pPr>
              <w:spacing w:after="0" w:line="240" w:lineRule="atLeast"/>
              <w:jc w:val="both"/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Wykonawcy proszeni są o przekazanie drogą elektroniczną przedmiotowego zgłoszenia w zakresie szacunkowego kosztu zamówienia </w:t>
            </w:r>
            <w:r w:rsidRPr="002E3C69">
              <w:rPr>
                <w:rFonts w:ascii="Tahoma" w:eastAsia="Times New Roman" w:hAnsi="Tahoma" w:cs="Tahoma"/>
                <w:b/>
                <w:color w:val="363636"/>
                <w:sz w:val="17"/>
                <w:szCs w:val="17"/>
                <w:lang w:eastAsia="pl-PL"/>
              </w:rPr>
              <w:t>na załączonym formularzu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na adres: </w:t>
            </w:r>
            <w:r w:rsidR="00887A3E">
              <w:rPr>
                <w:rStyle w:val="Hipercze"/>
              </w:rPr>
              <w:t>edyta.dziedzic@mrit.gov.pl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w</w:t>
            </w: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 xml:space="preserve"> terminie do </w:t>
            </w:r>
            <w:r w:rsidR="00887A3E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13</w:t>
            </w:r>
            <w:r w:rsidR="00D208A3" w:rsidRPr="00A5697A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.</w:t>
            </w:r>
            <w:r w:rsidR="00887A3E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05</w:t>
            </w:r>
            <w:r w:rsidRPr="00A5697A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.</w:t>
            </w:r>
            <w:r w:rsidR="00887A3E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2022</w:t>
            </w:r>
            <w:r w:rsidRPr="00A5697A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 xml:space="preserve"> r.</w:t>
            </w: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 xml:space="preserve"> do godz. 1</w:t>
            </w:r>
            <w:r w:rsidR="00EA535D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5</w:t>
            </w: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.00.</w:t>
            </w:r>
          </w:p>
          <w:p w14:paraId="5C13F5F0" w14:textId="77777777" w:rsidR="00BD314A" w:rsidRPr="004146BE" w:rsidRDefault="00BD314A" w:rsidP="000F351F">
            <w:pPr>
              <w:spacing w:after="0" w:line="240" w:lineRule="atLeast"/>
              <w:jc w:val="both"/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</w:pPr>
          </w:p>
        </w:tc>
      </w:tr>
      <w:tr w:rsidR="00743B0F" w:rsidRPr="00743B0F" w14:paraId="678CA538" w14:textId="77777777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36DA6" w14:textId="77777777"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UWAGA!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23FF7" w14:textId="77777777" w:rsidR="00743B0F" w:rsidRPr="00743B0F" w:rsidRDefault="00743B0F" w:rsidP="000F351F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Informacja ta ma na celu wyłącznie rozpoznanie rynku i uzyskanie wiedzy nt. kosztów zrealizowania opisanego zamówienia. Niniejsz</w:t>
            </w:r>
            <w:r w:rsidR="006334B0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e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="002B083E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zapytanie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nie stanowi oferty w myśl art. 66 Kodeksu Cywilnego, jak również nie jest ogłoszeniem w rozumieniu ustawy Prawo zamówień publicznych.</w:t>
            </w:r>
          </w:p>
        </w:tc>
      </w:tr>
    </w:tbl>
    <w:p w14:paraId="19AB41EB" w14:textId="77777777" w:rsidR="00B45929" w:rsidRDefault="00B45929"/>
    <w:sectPr w:rsidR="00B4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36C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>
    <w:nsid w:val="24771940"/>
    <w:multiLevelType w:val="multilevel"/>
    <w:tmpl w:val="A2F06824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677FC9"/>
    <w:multiLevelType w:val="multilevel"/>
    <w:tmpl w:val="61FC6D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B350E5D"/>
    <w:multiLevelType w:val="hybridMultilevel"/>
    <w:tmpl w:val="E8629B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CB71AB"/>
    <w:multiLevelType w:val="hybridMultilevel"/>
    <w:tmpl w:val="577EF1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E441A1E"/>
    <w:multiLevelType w:val="hybridMultilevel"/>
    <w:tmpl w:val="A5F89B02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D8B4D5C"/>
    <w:multiLevelType w:val="multilevel"/>
    <w:tmpl w:val="C504C2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68F135D"/>
    <w:multiLevelType w:val="hybridMultilevel"/>
    <w:tmpl w:val="A1DE5BC8"/>
    <w:lvl w:ilvl="0" w:tplc="5F0A9C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9614605"/>
    <w:multiLevelType w:val="hybridMultilevel"/>
    <w:tmpl w:val="00C85E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0F"/>
    <w:rsid w:val="00022DE4"/>
    <w:rsid w:val="00094172"/>
    <w:rsid w:val="000A67BE"/>
    <w:rsid w:val="000C2700"/>
    <w:rsid w:val="000D2045"/>
    <w:rsid w:val="000F351F"/>
    <w:rsid w:val="001059C2"/>
    <w:rsid w:val="00110890"/>
    <w:rsid w:val="00114B01"/>
    <w:rsid w:val="00131F8C"/>
    <w:rsid w:val="00177656"/>
    <w:rsid w:val="00177D69"/>
    <w:rsid w:val="001D6A6D"/>
    <w:rsid w:val="00206C8E"/>
    <w:rsid w:val="00233C52"/>
    <w:rsid w:val="00255627"/>
    <w:rsid w:val="00275C0B"/>
    <w:rsid w:val="0029386D"/>
    <w:rsid w:val="002B083E"/>
    <w:rsid w:val="002D78CD"/>
    <w:rsid w:val="002E034E"/>
    <w:rsid w:val="002E3C69"/>
    <w:rsid w:val="00306F96"/>
    <w:rsid w:val="0037268F"/>
    <w:rsid w:val="00382BF4"/>
    <w:rsid w:val="003D0BDD"/>
    <w:rsid w:val="003F14E4"/>
    <w:rsid w:val="004146BE"/>
    <w:rsid w:val="00421B9C"/>
    <w:rsid w:val="00431E86"/>
    <w:rsid w:val="004C6D8E"/>
    <w:rsid w:val="004D338C"/>
    <w:rsid w:val="004D4D09"/>
    <w:rsid w:val="004E6B0B"/>
    <w:rsid w:val="005611A9"/>
    <w:rsid w:val="00573CC0"/>
    <w:rsid w:val="005917D0"/>
    <w:rsid w:val="0059314B"/>
    <w:rsid w:val="005C13F6"/>
    <w:rsid w:val="005C35CD"/>
    <w:rsid w:val="005C65ED"/>
    <w:rsid w:val="005D34D2"/>
    <w:rsid w:val="005D3E47"/>
    <w:rsid w:val="005F1318"/>
    <w:rsid w:val="005F381C"/>
    <w:rsid w:val="00615991"/>
    <w:rsid w:val="006160C4"/>
    <w:rsid w:val="00625C68"/>
    <w:rsid w:val="006334B0"/>
    <w:rsid w:val="0065137A"/>
    <w:rsid w:val="006643DB"/>
    <w:rsid w:val="00670FC9"/>
    <w:rsid w:val="00684D3D"/>
    <w:rsid w:val="006C3DF8"/>
    <w:rsid w:val="006D079D"/>
    <w:rsid w:val="006D42AC"/>
    <w:rsid w:val="006F49F1"/>
    <w:rsid w:val="00711B22"/>
    <w:rsid w:val="00734ED8"/>
    <w:rsid w:val="00743B0F"/>
    <w:rsid w:val="00747580"/>
    <w:rsid w:val="0075539F"/>
    <w:rsid w:val="00775B80"/>
    <w:rsid w:val="0079168D"/>
    <w:rsid w:val="007945D7"/>
    <w:rsid w:val="008117E0"/>
    <w:rsid w:val="00826656"/>
    <w:rsid w:val="0083282A"/>
    <w:rsid w:val="0088013A"/>
    <w:rsid w:val="00887A3E"/>
    <w:rsid w:val="008B0331"/>
    <w:rsid w:val="008B41C3"/>
    <w:rsid w:val="008D22F4"/>
    <w:rsid w:val="00961782"/>
    <w:rsid w:val="00971FF0"/>
    <w:rsid w:val="00A07977"/>
    <w:rsid w:val="00A4320D"/>
    <w:rsid w:val="00A47AC6"/>
    <w:rsid w:val="00A5697A"/>
    <w:rsid w:val="00A70D01"/>
    <w:rsid w:val="00A71307"/>
    <w:rsid w:val="00A839C3"/>
    <w:rsid w:val="00AA436C"/>
    <w:rsid w:val="00AB496A"/>
    <w:rsid w:val="00AC54AA"/>
    <w:rsid w:val="00AD47CA"/>
    <w:rsid w:val="00AE5709"/>
    <w:rsid w:val="00B45929"/>
    <w:rsid w:val="00B620B8"/>
    <w:rsid w:val="00B62514"/>
    <w:rsid w:val="00B83D62"/>
    <w:rsid w:val="00BD2101"/>
    <w:rsid w:val="00BD314A"/>
    <w:rsid w:val="00BE4A7B"/>
    <w:rsid w:val="00BF0865"/>
    <w:rsid w:val="00C61A30"/>
    <w:rsid w:val="00C72698"/>
    <w:rsid w:val="00C73C31"/>
    <w:rsid w:val="00CD7281"/>
    <w:rsid w:val="00D14C0B"/>
    <w:rsid w:val="00D208A3"/>
    <w:rsid w:val="00D42DD8"/>
    <w:rsid w:val="00D720CE"/>
    <w:rsid w:val="00DB1F5F"/>
    <w:rsid w:val="00E126D1"/>
    <w:rsid w:val="00E674F1"/>
    <w:rsid w:val="00E96ACC"/>
    <w:rsid w:val="00EA535D"/>
    <w:rsid w:val="00EB6F9B"/>
    <w:rsid w:val="00EC3888"/>
    <w:rsid w:val="00EC4336"/>
    <w:rsid w:val="00EE49C2"/>
    <w:rsid w:val="00F10D59"/>
    <w:rsid w:val="00FA3B12"/>
    <w:rsid w:val="00FA3E5A"/>
    <w:rsid w:val="00FB4AC6"/>
    <w:rsid w:val="00F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B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07977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977"/>
    <w:pPr>
      <w:keepNext/>
      <w:keepLines/>
      <w:numPr>
        <w:ilvl w:val="1"/>
        <w:numId w:val="5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977"/>
    <w:pPr>
      <w:keepNext/>
      <w:keepLines/>
      <w:numPr>
        <w:ilvl w:val="2"/>
        <w:numId w:val="5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977"/>
    <w:pPr>
      <w:keepNext/>
      <w:keepLines/>
      <w:numPr>
        <w:ilvl w:val="3"/>
        <w:numId w:val="5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977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977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977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977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977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D0BDD"/>
    <w:pPr>
      <w:tabs>
        <w:tab w:val="center" w:pos="4536"/>
        <w:tab w:val="right" w:pos="9072"/>
      </w:tabs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D0BD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3D0BDD"/>
    <w:pPr>
      <w:spacing w:after="0" w:line="360" w:lineRule="auto"/>
      <w:ind w:left="720" w:hanging="1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0B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0797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079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9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9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9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9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9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97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97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9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8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3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07977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977"/>
    <w:pPr>
      <w:keepNext/>
      <w:keepLines/>
      <w:numPr>
        <w:ilvl w:val="1"/>
        <w:numId w:val="5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977"/>
    <w:pPr>
      <w:keepNext/>
      <w:keepLines/>
      <w:numPr>
        <w:ilvl w:val="2"/>
        <w:numId w:val="5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977"/>
    <w:pPr>
      <w:keepNext/>
      <w:keepLines/>
      <w:numPr>
        <w:ilvl w:val="3"/>
        <w:numId w:val="5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977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977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977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977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977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D0BDD"/>
    <w:pPr>
      <w:tabs>
        <w:tab w:val="center" w:pos="4536"/>
        <w:tab w:val="right" w:pos="9072"/>
      </w:tabs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D0BD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3D0BDD"/>
    <w:pPr>
      <w:spacing w:after="0" w:line="360" w:lineRule="auto"/>
      <w:ind w:left="720" w:hanging="1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0B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0797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079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9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9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9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9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9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97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97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9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8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7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2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2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5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36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35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8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3E3E3"/>
                                                            <w:left w:val="single" w:sz="6" w:space="0" w:color="E3E3E3"/>
                                                            <w:bottom w:val="single" w:sz="6" w:space="0" w:color="E3E3E3"/>
                                                            <w:right w:val="single" w:sz="6" w:space="0" w:color="E3E3E3"/>
                                                          </w:divBdr>
                                                          <w:divsChild>
                                                            <w:div w:id="117565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52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99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008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075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307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709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67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152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0477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723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8303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17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361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611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69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36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278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5105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27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5328</TotalTime>
  <Pages>5</Pages>
  <Words>2023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Krochmal Arkadiusz</dc:creator>
  <cp:lastModifiedBy>Edyta Dziedzic</cp:lastModifiedBy>
  <cp:revision>13</cp:revision>
  <cp:lastPrinted>2019-12-03T09:11:00Z</cp:lastPrinted>
  <dcterms:created xsi:type="dcterms:W3CDTF">2022-05-05T08:12:00Z</dcterms:created>
  <dcterms:modified xsi:type="dcterms:W3CDTF">2022-05-09T06:20:00Z</dcterms:modified>
</cp:coreProperties>
</file>