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7BB" w14:textId="6F0B21E9" w:rsidR="006A1015" w:rsidRDefault="00302838" w:rsidP="001977E1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13. 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>Zasady udzielania zamówień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Fundusze Europejskie na Pomoc Żywnościową 2021-2027 – Podprogram 202</w:t>
      </w:r>
      <w:r w:rsidR="005B2B2B">
        <w:rPr>
          <w:rFonts w:ascii="Times New Roman" w:hAnsi="Times New Roman" w:cs="Times New Roman"/>
          <w:b/>
          <w:sz w:val="24"/>
          <w:szCs w:val="24"/>
        </w:rPr>
        <w:t>6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bookmarkEnd w:id="0"/>
      <w:proofErr w:type="spellEnd"/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F461323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</w:t>
      </w:r>
      <w:r w:rsidR="001977E1">
        <w:rPr>
          <w:rFonts w:ascii="Times New Roman" w:hAnsi="Times New Roman" w:cs="Times New Roman"/>
          <w:sz w:val="24"/>
          <w:szCs w:val="24"/>
        </w:rPr>
        <w:t>projekty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977E1">
        <w:rPr>
          <w:rFonts w:ascii="Times New Roman" w:hAnsi="Times New Roman" w:cs="Times New Roman"/>
          <w:sz w:val="24"/>
          <w:szCs w:val="24"/>
        </w:rPr>
        <w:t>FEPŻ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 xml:space="preserve">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i (UE) nr 283/2014 oraz decyzję nr 541/2014/UE, a także uchylające rozporządzenie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>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lastRenderedPageBreak/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7AC32503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</w:t>
      </w:r>
      <w:r w:rsidR="00535803">
        <w:rPr>
          <w:rFonts w:ascii="Times New Roman" w:hAnsi="Times New Roman" w:cs="Times New Roman"/>
          <w:sz w:val="24"/>
          <w:szCs w:val="24"/>
        </w:rPr>
        <w:t>m z FEPŻ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20DDC6C3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Zasady konkurencyjności można nie stosować do:</w:t>
      </w:r>
    </w:p>
    <w:p w14:paraId="21E83FD3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pilną potrzebę (konieczność) udzielenia zamówienia niewynikającą z przyczyn leżących po stronie zamawiającego, której wcześniej nie można było przewidzieć, nie można zachować terminów na składanie ofert (7 dni lub 14 dni w przypadku robót budowlanych);</w:t>
      </w:r>
    </w:p>
    <w:p w14:paraId="28ADBF87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wyjątkową sytuację niewynikającą z przyczyn leżących po stronie zamawiającego, której wcześniej nie można było przewidzieć (np. klęski żywiołowe, katastrofy, awarie), wymagane jest natychmiastowe wykonanie zamówienia;</w:t>
      </w:r>
    </w:p>
    <w:p w14:paraId="6A6AE660" w14:textId="19749611" w:rsidR="002320DF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zamówień, które mogą być zrealizowane tylko przez jednego wykonawcę z jednego z następujących powodów:</w:t>
      </w:r>
    </w:p>
    <w:p w14:paraId="2214E949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i) brak konkurencji ze względów technicznych o obiektywnym charakterze, gdy istnieje tylko jeden wykonawca, który jako jedyny może zrealizować zamówienie, albo</w:t>
      </w:r>
    </w:p>
    <w:p w14:paraId="17466B64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ii) przedmiot zamówienia jest objęty ochroną praw wyłącznych, w tym praw własności intelektualnej, gdy istnieje tylko jeden wykonawca, który ma wyłączne prawo do dysponowania przedmiotem zamówienia, a prawo to podlega ochronie ustawowej,  o ile nie istnieje rozsądne rozwiązanie alternatywne lub zastępcze, a brak konkurencji nie jest wynikiem sztucznego zawężania parametrów zamówienia,</w:t>
      </w:r>
    </w:p>
    <w:p w14:paraId="79D2C584" w14:textId="19AE6468" w:rsidR="00583431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Jeżeli w wyniku prawidłowego zastosowania zasady konkurencyjności nie wpłynęła żadna oferta, lub wpłynęły jedynie oferty podlegające odrzuceniu, albo żaden wykonawca nie spełnił warunków udziału w postępowaniu, o ile zamawiający stawiał takie warunki wykonawcom, zawarcie umowy w sprawie realizacji zamówienia z pominięciem zasady konkurencyjności jest możliwe, gdy pierwotne warunki zamówienia nie zostały zmienione.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 xml:space="preserve">. Rozeznania rynku dokonuje się w przypadku zamówień o wartości od 20 tys. PLN netto do 50 tys. PLN netto włącznie, tj. bez podatku od towarów i usług (VAT). Rozeznanie rynku ma </w:t>
      </w:r>
      <w:r w:rsidRPr="00DE16AD">
        <w:rPr>
          <w:rFonts w:ascii="Times New Roman" w:hAnsi="Times New Roman" w:cs="Times New Roman"/>
          <w:sz w:val="24"/>
          <w:szCs w:val="24"/>
        </w:rPr>
        <w:lastRenderedPageBreak/>
        <w:t>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proofErr w:type="spellStart"/>
      <w:r w:rsidR="00865322" w:rsidRPr="00242296">
        <w:rPr>
          <w:rFonts w:ascii="Times New Roman" w:hAnsi="Times New Roman"/>
          <w:sz w:val="24"/>
          <w:szCs w:val="24"/>
        </w:rPr>
        <w:t>pozacenowe</w:t>
      </w:r>
      <w:proofErr w:type="spellEnd"/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358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62FFF1F7" w14:textId="5EB4EC1B" w:rsidR="00535803" w:rsidRPr="002320DF" w:rsidRDefault="00900358" w:rsidP="002320D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>wymaga zawarcia umowy w formie pisemnej.</w:t>
      </w:r>
    </w:p>
    <w:sectPr w:rsidR="00535803" w:rsidRPr="002320DF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29458661" w:rsidR="009A23E5" w:rsidRPr="00535803" w:rsidRDefault="009A23E5">
      <w:pPr>
        <w:pStyle w:val="Tekstprzypisudolnego"/>
        <w:rPr>
          <w:rFonts w:ascii="Times New Roman" w:hAnsi="Times New Roman" w:cs="Times New Roman"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</w:t>
      </w:r>
      <w:r w:rsidR="00535803">
        <w:rPr>
          <w:rFonts w:ascii="Times New Roman" w:hAnsi="Times New Roman" w:cs="Times New Roman"/>
          <w:sz w:val="18"/>
        </w:rPr>
        <w:t xml:space="preserve"> </w:t>
      </w:r>
      <w:r w:rsidR="00535803" w:rsidRPr="00535803">
        <w:rPr>
          <w:rFonts w:ascii="Times New Roman" w:hAnsi="Times New Roman" w:cs="Times New Roman"/>
          <w:i/>
          <w:iCs/>
          <w:sz w:val="18"/>
        </w:rPr>
        <w:t>Wytycznych Ministra Funduszy i Polityki Regionalnej dotyczących kwalifikowalności wydatków na lata 2021-2027</w:t>
      </w:r>
      <w:r w:rsidR="00535803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08B7259B" w:rsidR="005328AE" w:rsidRDefault="001977E1" w:rsidP="00F4289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A5F4E" wp14:editId="034E4F76">
          <wp:simplePos x="0" y="0"/>
          <wp:positionH relativeFrom="margin">
            <wp:align>right</wp:align>
          </wp:positionH>
          <wp:positionV relativeFrom="paragraph">
            <wp:posOffset>-783361</wp:posOffset>
          </wp:positionV>
          <wp:extent cx="5760720" cy="807720"/>
          <wp:effectExtent l="0" t="0" r="0" b="0"/>
          <wp:wrapSquare wrapText="bothSides"/>
          <wp:docPr id="554779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79987" name="Obraz 554779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311"/>
    <w:multiLevelType w:val="hybridMultilevel"/>
    <w:tmpl w:val="53543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4C7DEB"/>
    <w:multiLevelType w:val="hybridMultilevel"/>
    <w:tmpl w:val="B156A094"/>
    <w:lvl w:ilvl="0" w:tplc="C6C4F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F7E"/>
    <w:rsid w:val="00004E36"/>
    <w:rsid w:val="00055BC7"/>
    <w:rsid w:val="00064D6E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977E1"/>
    <w:rsid w:val="001D1FC3"/>
    <w:rsid w:val="001D2BE4"/>
    <w:rsid w:val="00223174"/>
    <w:rsid w:val="002320DF"/>
    <w:rsid w:val="00242296"/>
    <w:rsid w:val="00253A55"/>
    <w:rsid w:val="002E23F8"/>
    <w:rsid w:val="002E57B3"/>
    <w:rsid w:val="00302838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35803"/>
    <w:rsid w:val="005549F4"/>
    <w:rsid w:val="00564834"/>
    <w:rsid w:val="0057121E"/>
    <w:rsid w:val="005810AC"/>
    <w:rsid w:val="00583431"/>
    <w:rsid w:val="005A097C"/>
    <w:rsid w:val="005B2B2B"/>
    <w:rsid w:val="005D745F"/>
    <w:rsid w:val="005F4E83"/>
    <w:rsid w:val="006217C4"/>
    <w:rsid w:val="00663725"/>
    <w:rsid w:val="006641A8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535CE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847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8</cp:revision>
  <cp:lastPrinted>2014-12-03T16:32:00Z</cp:lastPrinted>
  <dcterms:created xsi:type="dcterms:W3CDTF">2023-08-01T11:42:00Z</dcterms:created>
  <dcterms:modified xsi:type="dcterms:W3CDTF">2026-02-25T11:14:00Z</dcterms:modified>
</cp:coreProperties>
</file>