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63D1" w14:textId="6F34214E" w:rsidR="005023B3" w:rsidRPr="00CC5959" w:rsidRDefault="005023B3" w:rsidP="005023B3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CC5959">
        <w:rPr>
          <w:rFonts w:ascii="Lato" w:hAnsi="Lato"/>
          <w:b/>
          <w:bCs/>
          <w:color w:val="00B0F0"/>
          <w:sz w:val="36"/>
          <w:szCs w:val="36"/>
          <w:u w:val="single"/>
        </w:rPr>
        <w:t>PODSUMOWANIE REFUNDACJI W I PÓ</w:t>
      </w:r>
      <w:r w:rsidRPr="00CC5959">
        <w:rPr>
          <w:rFonts w:ascii="Lato" w:hAnsi="Lato" w:cs="Calibri"/>
          <w:b/>
          <w:bCs/>
          <w:color w:val="00B0F0"/>
          <w:sz w:val="36"/>
          <w:szCs w:val="36"/>
          <w:u w:val="single"/>
        </w:rPr>
        <w:t xml:space="preserve">ŁROCZU </w:t>
      </w:r>
      <w:r w:rsidRPr="00CC5959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2023 ROKU </w:t>
      </w:r>
      <w:r w:rsidR="00A91765">
        <w:rPr>
          <w:rFonts w:ascii="Lato" w:hAnsi="Lato"/>
          <w:b/>
          <w:bCs/>
          <w:color w:val="00B0F0"/>
          <w:sz w:val="36"/>
          <w:szCs w:val="36"/>
          <w:u w:val="single"/>
        </w:rPr>
        <w:br/>
      </w:r>
      <w:r w:rsidRPr="00CC5959">
        <w:rPr>
          <w:rFonts w:ascii="Lato" w:hAnsi="Lato"/>
          <w:b/>
          <w:bCs/>
          <w:color w:val="00B0F0"/>
          <w:sz w:val="36"/>
          <w:szCs w:val="36"/>
          <w:u w:val="single"/>
        </w:rPr>
        <w:t>(OBWIESZCZENIA NR 67-69)</w:t>
      </w:r>
    </w:p>
    <w:p w14:paraId="57EA0F95" w14:textId="77777777" w:rsidR="005023B3" w:rsidRPr="00CC5959" w:rsidRDefault="005023B3" w:rsidP="005023B3">
      <w:pPr>
        <w:spacing w:before="360" w:line="360" w:lineRule="auto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CC5959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p w14:paraId="4964ABFB" w14:textId="29D04A02" w:rsidR="005023B3" w:rsidRPr="00CC5959" w:rsidRDefault="005023B3" w:rsidP="005023B3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 xml:space="preserve">W I półroczu 2023 r. obwieszczenia refundacyjne obowiązujące od stycznia (nr 67) do </w:t>
      </w:r>
      <w:r w:rsidR="00E369DD">
        <w:rPr>
          <w:rFonts w:ascii="Lato" w:hAnsi="Lato"/>
          <w:sz w:val="24"/>
          <w:szCs w:val="24"/>
        </w:rPr>
        <w:t>czerwc</w:t>
      </w:r>
      <w:r w:rsidRPr="00CC5959">
        <w:rPr>
          <w:rFonts w:ascii="Lato" w:hAnsi="Lato"/>
          <w:sz w:val="24"/>
          <w:szCs w:val="24"/>
        </w:rPr>
        <w:t>a (nr 69) zawierały następujące zmiany:</w:t>
      </w:r>
    </w:p>
    <w:p w14:paraId="3626A8C1" w14:textId="1992CEDB" w:rsidR="005023B3" w:rsidRPr="00CC5959" w:rsidRDefault="005023B3" w:rsidP="005023B3">
      <w:pPr>
        <w:pStyle w:val="Akapitzlist"/>
        <w:numPr>
          <w:ilvl w:val="0"/>
          <w:numId w:val="32"/>
        </w:numPr>
        <w:spacing w:line="360" w:lineRule="auto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 xml:space="preserve">W związku z wydaniem pozytywnych decyzji o objęciu refundacją zostało dodanych </w:t>
      </w:r>
      <w:r w:rsidR="00E454A4">
        <w:rPr>
          <w:rFonts w:ascii="Lato" w:hAnsi="Lato"/>
          <w:sz w:val="24"/>
          <w:szCs w:val="24"/>
        </w:rPr>
        <w:t>340</w:t>
      </w:r>
      <w:r>
        <w:rPr>
          <w:rFonts w:ascii="Lato" w:hAnsi="Lato"/>
          <w:sz w:val="24"/>
          <w:szCs w:val="24"/>
        </w:rPr>
        <w:t xml:space="preserve"> </w:t>
      </w:r>
      <w:r w:rsidRPr="00CC5959">
        <w:rPr>
          <w:rFonts w:ascii="Lato" w:hAnsi="Lato"/>
          <w:sz w:val="24"/>
          <w:szCs w:val="24"/>
        </w:rPr>
        <w:t>produkt</w:t>
      </w:r>
      <w:r w:rsidRPr="00CC5959">
        <w:rPr>
          <w:rFonts w:ascii="Lato" w:hAnsi="Lato" w:cs="Abadi"/>
          <w:sz w:val="24"/>
          <w:szCs w:val="24"/>
        </w:rPr>
        <w:t>ó</w:t>
      </w:r>
      <w:r w:rsidRPr="00CC5959">
        <w:rPr>
          <w:rFonts w:ascii="Lato" w:hAnsi="Lato"/>
          <w:sz w:val="24"/>
          <w:szCs w:val="24"/>
        </w:rPr>
        <w:t>w bądź nowych wskazań.</w:t>
      </w:r>
    </w:p>
    <w:p w14:paraId="0424D586" w14:textId="7C6BB819" w:rsidR="005023B3" w:rsidRPr="00E454A4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 xml:space="preserve">Dla </w:t>
      </w:r>
      <w:r w:rsidR="00E454A4" w:rsidRPr="00E454A4">
        <w:rPr>
          <w:rFonts w:ascii="Lato" w:hAnsi="Lato"/>
          <w:sz w:val="24"/>
          <w:szCs w:val="24"/>
        </w:rPr>
        <w:t>233</w:t>
      </w:r>
      <w:r w:rsidRPr="00E454A4">
        <w:rPr>
          <w:rFonts w:ascii="Lato" w:hAnsi="Lato"/>
          <w:sz w:val="24"/>
          <w:szCs w:val="24"/>
        </w:rPr>
        <w:t xml:space="preserve"> produktów wprowadzono obni</w:t>
      </w:r>
      <w:r w:rsidRPr="00E454A4">
        <w:rPr>
          <w:rFonts w:ascii="Lato" w:hAnsi="Lato" w:cs="Calibri"/>
          <w:sz w:val="24"/>
          <w:szCs w:val="24"/>
        </w:rPr>
        <w:t>ż</w:t>
      </w:r>
      <w:r w:rsidRPr="00E454A4">
        <w:rPr>
          <w:rFonts w:ascii="Lato" w:hAnsi="Lato"/>
          <w:sz w:val="24"/>
          <w:szCs w:val="24"/>
        </w:rPr>
        <w:t>ki urz</w:t>
      </w:r>
      <w:r w:rsidRPr="00E454A4">
        <w:rPr>
          <w:rFonts w:ascii="Lato" w:hAnsi="Lato" w:cs="Calibri"/>
          <w:sz w:val="24"/>
          <w:szCs w:val="24"/>
        </w:rPr>
        <w:t>ę</w:t>
      </w:r>
      <w:r w:rsidRPr="00E454A4">
        <w:rPr>
          <w:rFonts w:ascii="Lato" w:hAnsi="Lato"/>
          <w:sz w:val="24"/>
          <w:szCs w:val="24"/>
        </w:rPr>
        <w:t xml:space="preserve">dowych cen zbytu (od </w:t>
      </w:r>
      <w:r w:rsidR="00E454A4" w:rsidRPr="00E454A4">
        <w:rPr>
          <w:rFonts w:ascii="Lato" w:hAnsi="Lato"/>
          <w:sz w:val="24"/>
          <w:szCs w:val="24"/>
        </w:rPr>
        <w:t>-0,01</w:t>
      </w:r>
      <w:r w:rsidRPr="00E454A4">
        <w:rPr>
          <w:rFonts w:ascii="Lato" w:hAnsi="Lato"/>
          <w:sz w:val="24"/>
          <w:szCs w:val="24"/>
        </w:rPr>
        <w:t xml:space="preserve"> z</w:t>
      </w:r>
      <w:r w:rsidRPr="00E454A4">
        <w:rPr>
          <w:rFonts w:ascii="Lato" w:hAnsi="Lato" w:cs="Calibri"/>
          <w:sz w:val="24"/>
          <w:szCs w:val="24"/>
        </w:rPr>
        <w:t>ł</w:t>
      </w:r>
      <w:r w:rsidRPr="00E454A4">
        <w:rPr>
          <w:rFonts w:ascii="Lato" w:hAnsi="Lato"/>
          <w:sz w:val="24"/>
          <w:szCs w:val="24"/>
        </w:rPr>
        <w:t xml:space="preserve"> do </w:t>
      </w:r>
      <w:r w:rsidR="00E454A4" w:rsidRPr="00E454A4">
        <w:rPr>
          <w:rFonts w:ascii="Lato" w:hAnsi="Lato"/>
          <w:sz w:val="24"/>
          <w:szCs w:val="24"/>
        </w:rPr>
        <w:t>-4460,40</w:t>
      </w:r>
      <w:r w:rsidRPr="00E454A4">
        <w:rPr>
          <w:rFonts w:ascii="Lato" w:hAnsi="Lato"/>
          <w:sz w:val="24"/>
          <w:szCs w:val="24"/>
        </w:rPr>
        <w:t xml:space="preserve"> z</w:t>
      </w:r>
      <w:r w:rsidRPr="00E454A4">
        <w:rPr>
          <w:rFonts w:ascii="Lato" w:hAnsi="Lato" w:cs="Calibri"/>
          <w:sz w:val="24"/>
          <w:szCs w:val="24"/>
        </w:rPr>
        <w:t>ł</w:t>
      </w:r>
      <w:r w:rsidRPr="00E454A4">
        <w:rPr>
          <w:rFonts w:ascii="Lato" w:hAnsi="Lato"/>
          <w:sz w:val="24"/>
          <w:szCs w:val="24"/>
        </w:rPr>
        <w:t>).</w:t>
      </w:r>
    </w:p>
    <w:p w14:paraId="14202E41" w14:textId="173BA8F0" w:rsidR="005023B3" w:rsidRPr="00CC5959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E454A4">
        <w:rPr>
          <w:rFonts w:ascii="Lato" w:hAnsi="Lato"/>
          <w:sz w:val="24"/>
          <w:szCs w:val="24"/>
        </w:rPr>
        <w:t xml:space="preserve">Dla </w:t>
      </w:r>
      <w:r w:rsidR="00E454A4" w:rsidRPr="00E454A4">
        <w:rPr>
          <w:rFonts w:ascii="Lato" w:hAnsi="Lato" w:cs="Calibri"/>
          <w:sz w:val="24"/>
          <w:szCs w:val="24"/>
        </w:rPr>
        <w:t>146</w:t>
      </w:r>
      <w:r w:rsidRPr="00E454A4">
        <w:rPr>
          <w:rFonts w:ascii="Lato" w:hAnsi="Lato" w:cs="Calibri"/>
          <w:sz w:val="24"/>
          <w:szCs w:val="24"/>
        </w:rPr>
        <w:t xml:space="preserve"> produktów</w:t>
      </w:r>
      <w:r w:rsidRPr="00E454A4">
        <w:rPr>
          <w:rFonts w:ascii="Lato" w:hAnsi="Lato"/>
          <w:sz w:val="24"/>
          <w:szCs w:val="24"/>
        </w:rPr>
        <w:t xml:space="preserve"> </w:t>
      </w:r>
      <w:r w:rsidRPr="00CC5959">
        <w:rPr>
          <w:rFonts w:ascii="Lato" w:hAnsi="Lato"/>
          <w:sz w:val="24"/>
          <w:szCs w:val="24"/>
        </w:rPr>
        <w:t>podwy</w:t>
      </w:r>
      <w:r w:rsidRPr="00CC5959">
        <w:rPr>
          <w:rFonts w:ascii="Lato" w:hAnsi="Lato" w:cs="Calibri"/>
          <w:sz w:val="24"/>
          <w:szCs w:val="24"/>
        </w:rPr>
        <w:t>ż</w:t>
      </w:r>
      <w:r w:rsidRPr="00CC5959">
        <w:rPr>
          <w:rFonts w:ascii="Lato" w:hAnsi="Lato"/>
          <w:sz w:val="24"/>
          <w:szCs w:val="24"/>
        </w:rPr>
        <w:t>szono urz</w:t>
      </w:r>
      <w:r w:rsidRPr="00CC5959">
        <w:rPr>
          <w:rFonts w:ascii="Lato" w:hAnsi="Lato" w:cs="Calibri"/>
          <w:sz w:val="24"/>
          <w:szCs w:val="24"/>
        </w:rPr>
        <w:t>ę</w:t>
      </w:r>
      <w:r w:rsidRPr="00CC5959">
        <w:rPr>
          <w:rFonts w:ascii="Lato" w:hAnsi="Lato"/>
          <w:sz w:val="24"/>
          <w:szCs w:val="24"/>
        </w:rPr>
        <w:t xml:space="preserve">dowe ceny zbytu (od </w:t>
      </w:r>
      <w:r w:rsidR="00E454A4">
        <w:rPr>
          <w:rFonts w:ascii="Lato" w:hAnsi="Lato"/>
          <w:sz w:val="24"/>
          <w:szCs w:val="24"/>
        </w:rPr>
        <w:t>0,03</w:t>
      </w:r>
      <w:r w:rsidRPr="00CC5959">
        <w:rPr>
          <w:rFonts w:ascii="Lato" w:hAnsi="Lato"/>
          <w:sz w:val="24"/>
          <w:szCs w:val="24"/>
        </w:rPr>
        <w:t xml:space="preserve"> zł do </w:t>
      </w:r>
      <w:r w:rsidR="00E454A4">
        <w:rPr>
          <w:rFonts w:ascii="Lato" w:hAnsi="Lato"/>
          <w:sz w:val="24"/>
          <w:szCs w:val="24"/>
        </w:rPr>
        <w:t>2160,00</w:t>
      </w:r>
      <w:r w:rsidRPr="00CC5959">
        <w:rPr>
          <w:rFonts w:ascii="Lato" w:hAnsi="Lato"/>
          <w:sz w:val="24"/>
          <w:szCs w:val="24"/>
        </w:rPr>
        <w:t xml:space="preserve"> zł).</w:t>
      </w:r>
    </w:p>
    <w:p w14:paraId="319B2C69" w14:textId="57C4326B" w:rsidR="005023B3" w:rsidRPr="00CC5959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>W zwi</w:t>
      </w:r>
      <w:r w:rsidRPr="00CC5959">
        <w:rPr>
          <w:rFonts w:ascii="Lato" w:hAnsi="Lato" w:cs="Calibri"/>
          <w:sz w:val="24"/>
          <w:szCs w:val="24"/>
        </w:rPr>
        <w:t>ą</w:t>
      </w:r>
      <w:r w:rsidRPr="00CC5959">
        <w:rPr>
          <w:rFonts w:ascii="Lato" w:hAnsi="Lato"/>
          <w:sz w:val="24"/>
          <w:szCs w:val="24"/>
        </w:rPr>
        <w:t>zku z wp</w:t>
      </w:r>
      <w:r w:rsidRPr="00CC5959">
        <w:rPr>
          <w:rFonts w:ascii="Lato" w:hAnsi="Lato" w:cs="Calibri"/>
          <w:sz w:val="24"/>
          <w:szCs w:val="24"/>
        </w:rPr>
        <w:t>ł</w:t>
      </w:r>
      <w:r w:rsidRPr="00CC5959">
        <w:rPr>
          <w:rFonts w:ascii="Lato" w:hAnsi="Lato"/>
          <w:sz w:val="24"/>
          <w:szCs w:val="24"/>
        </w:rPr>
        <w:t>yni</w:t>
      </w:r>
      <w:r w:rsidRPr="00CC5959">
        <w:rPr>
          <w:rFonts w:ascii="Lato" w:hAnsi="Lato" w:cs="Calibri"/>
          <w:sz w:val="24"/>
          <w:szCs w:val="24"/>
        </w:rPr>
        <w:t>ę</w:t>
      </w:r>
      <w:r w:rsidRPr="00CC5959">
        <w:rPr>
          <w:rFonts w:ascii="Lato" w:hAnsi="Lato"/>
          <w:sz w:val="24"/>
          <w:szCs w:val="24"/>
        </w:rPr>
        <w:t>ciem wniosków o skrócenie terminu obowi</w:t>
      </w:r>
      <w:r w:rsidRPr="00CC5959">
        <w:rPr>
          <w:rFonts w:ascii="Lato" w:hAnsi="Lato" w:cs="Calibri"/>
          <w:sz w:val="24"/>
          <w:szCs w:val="24"/>
        </w:rPr>
        <w:t>ą</w:t>
      </w:r>
      <w:r w:rsidRPr="00CC5959">
        <w:rPr>
          <w:rFonts w:ascii="Lato" w:hAnsi="Lato"/>
          <w:sz w:val="24"/>
          <w:szCs w:val="24"/>
        </w:rPr>
        <w:t>zywania decyzji refundacyjnych lub up</w:t>
      </w:r>
      <w:r w:rsidRPr="00CC5959">
        <w:rPr>
          <w:rFonts w:ascii="Lato" w:hAnsi="Lato" w:cs="Calibri"/>
          <w:sz w:val="24"/>
          <w:szCs w:val="24"/>
        </w:rPr>
        <w:t>ł</w:t>
      </w:r>
      <w:r w:rsidRPr="00CC5959">
        <w:rPr>
          <w:rFonts w:ascii="Lato" w:hAnsi="Lato"/>
          <w:sz w:val="24"/>
          <w:szCs w:val="24"/>
        </w:rPr>
        <w:t>yni</w:t>
      </w:r>
      <w:r w:rsidRPr="00CC5959">
        <w:rPr>
          <w:rFonts w:ascii="Lato" w:hAnsi="Lato" w:cs="Calibri"/>
          <w:sz w:val="24"/>
          <w:szCs w:val="24"/>
        </w:rPr>
        <w:t>ę</w:t>
      </w:r>
      <w:r w:rsidRPr="00CC5959">
        <w:rPr>
          <w:rFonts w:ascii="Lato" w:hAnsi="Lato"/>
          <w:sz w:val="24"/>
          <w:szCs w:val="24"/>
        </w:rPr>
        <w:t>ciem terminu obowi</w:t>
      </w:r>
      <w:r w:rsidRPr="00CC5959">
        <w:rPr>
          <w:rFonts w:ascii="Lato" w:hAnsi="Lato" w:cs="Calibri"/>
          <w:sz w:val="24"/>
          <w:szCs w:val="24"/>
        </w:rPr>
        <w:t>ą</w:t>
      </w:r>
      <w:r w:rsidRPr="00CC5959">
        <w:rPr>
          <w:rFonts w:ascii="Lato" w:hAnsi="Lato"/>
          <w:sz w:val="24"/>
          <w:szCs w:val="24"/>
        </w:rPr>
        <w:t>zywania decyzji refundacyjnych lub odmow</w:t>
      </w:r>
      <w:r w:rsidRPr="00CC5959">
        <w:rPr>
          <w:rFonts w:ascii="Lato" w:hAnsi="Lato" w:cs="Calibri"/>
          <w:sz w:val="24"/>
          <w:szCs w:val="24"/>
        </w:rPr>
        <w:t>ą</w:t>
      </w:r>
      <w:r w:rsidRPr="00CC5959">
        <w:rPr>
          <w:rFonts w:ascii="Lato" w:hAnsi="Lato"/>
          <w:sz w:val="24"/>
          <w:szCs w:val="24"/>
        </w:rPr>
        <w:t xml:space="preserve"> refundacji na kolejny okres z wykazów usunięto </w:t>
      </w:r>
      <w:r w:rsidR="00E454A4">
        <w:rPr>
          <w:rFonts w:ascii="Lato" w:hAnsi="Lato" w:cs="Calibri"/>
          <w:sz w:val="24"/>
          <w:szCs w:val="24"/>
        </w:rPr>
        <w:t>141</w:t>
      </w:r>
      <w:r w:rsidRPr="00CC5959">
        <w:rPr>
          <w:rFonts w:ascii="Lato" w:hAnsi="Lato"/>
          <w:sz w:val="24"/>
          <w:szCs w:val="24"/>
        </w:rPr>
        <w:t xml:space="preserve"> produktów bądź wskazań.</w:t>
      </w:r>
    </w:p>
    <w:p w14:paraId="290385D9" w14:textId="2F10B4B8" w:rsidR="005023B3" w:rsidRPr="00CC5959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>W związku z obwieszczeniami nr 6</w:t>
      </w:r>
      <w:r>
        <w:rPr>
          <w:rFonts w:ascii="Lato" w:hAnsi="Lato"/>
          <w:sz w:val="24"/>
          <w:szCs w:val="24"/>
        </w:rPr>
        <w:t>7</w:t>
      </w:r>
      <w:r w:rsidRPr="00CC5959">
        <w:rPr>
          <w:rFonts w:ascii="Lato" w:hAnsi="Lato"/>
          <w:sz w:val="24"/>
          <w:szCs w:val="24"/>
        </w:rPr>
        <w:t xml:space="preserve"> – 6</w:t>
      </w:r>
      <w:r>
        <w:rPr>
          <w:rFonts w:ascii="Lato" w:hAnsi="Lato"/>
          <w:sz w:val="24"/>
          <w:szCs w:val="24"/>
        </w:rPr>
        <w:t>9</w:t>
      </w:r>
      <w:r w:rsidRPr="00CC5959">
        <w:rPr>
          <w:rFonts w:ascii="Lato" w:hAnsi="Lato"/>
          <w:sz w:val="24"/>
          <w:szCs w:val="24"/>
        </w:rPr>
        <w:t xml:space="preserve"> </w:t>
      </w:r>
      <w:r w:rsidRPr="00E369DD">
        <w:rPr>
          <w:rFonts w:ascii="Lato" w:hAnsi="Lato"/>
          <w:sz w:val="24"/>
          <w:szCs w:val="24"/>
        </w:rPr>
        <w:t xml:space="preserve">wydano </w:t>
      </w:r>
      <w:r w:rsidR="00802A0D" w:rsidRPr="00E369DD">
        <w:rPr>
          <w:rFonts w:ascii="Lato" w:hAnsi="Lato" w:cs="Calibri"/>
          <w:sz w:val="24"/>
          <w:szCs w:val="24"/>
        </w:rPr>
        <w:t>2540</w:t>
      </w:r>
      <w:r w:rsidRPr="00E369DD">
        <w:rPr>
          <w:rFonts w:ascii="Lato" w:hAnsi="Lato"/>
          <w:sz w:val="24"/>
          <w:szCs w:val="24"/>
        </w:rPr>
        <w:t xml:space="preserve"> decyzji</w:t>
      </w:r>
      <w:r w:rsidRPr="00CC5959">
        <w:rPr>
          <w:rFonts w:ascii="Lato" w:hAnsi="Lato"/>
          <w:sz w:val="24"/>
          <w:szCs w:val="24"/>
        </w:rPr>
        <w:t xml:space="preserve"> administracyjnych.</w:t>
      </w:r>
    </w:p>
    <w:p w14:paraId="0732972C" w14:textId="70B86128" w:rsidR="005023B3" w:rsidRPr="00CC5959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>W I połowie 202</w:t>
      </w:r>
      <w:r>
        <w:rPr>
          <w:rFonts w:ascii="Lato" w:hAnsi="Lato"/>
          <w:sz w:val="24"/>
          <w:szCs w:val="24"/>
        </w:rPr>
        <w:t>3</w:t>
      </w:r>
      <w:r w:rsidRPr="00CC5959">
        <w:rPr>
          <w:rFonts w:ascii="Lato" w:hAnsi="Lato"/>
          <w:sz w:val="24"/>
          <w:szCs w:val="24"/>
        </w:rPr>
        <w:t xml:space="preserve"> r. (do </w:t>
      </w:r>
      <w:r w:rsidR="00802A0D">
        <w:rPr>
          <w:rFonts w:ascii="Lato" w:hAnsi="Lato"/>
          <w:sz w:val="24"/>
          <w:szCs w:val="24"/>
        </w:rPr>
        <w:t xml:space="preserve">16 </w:t>
      </w:r>
      <w:r w:rsidRPr="00CC5959">
        <w:rPr>
          <w:rFonts w:ascii="Lato" w:hAnsi="Lato"/>
          <w:sz w:val="24"/>
          <w:szCs w:val="24"/>
        </w:rPr>
        <w:t>czerwca 202</w:t>
      </w:r>
      <w:r>
        <w:rPr>
          <w:rFonts w:ascii="Lato" w:hAnsi="Lato"/>
          <w:sz w:val="24"/>
          <w:szCs w:val="24"/>
        </w:rPr>
        <w:t>3</w:t>
      </w:r>
      <w:r w:rsidRPr="00CC5959">
        <w:rPr>
          <w:rFonts w:ascii="Lato" w:hAnsi="Lato"/>
          <w:sz w:val="24"/>
          <w:szCs w:val="24"/>
        </w:rPr>
        <w:t xml:space="preserve"> r.) wpłynęło </w:t>
      </w:r>
      <w:r w:rsidR="00802A0D">
        <w:rPr>
          <w:rFonts w:ascii="Lato" w:hAnsi="Lato" w:cs="Calibri"/>
          <w:sz w:val="24"/>
          <w:szCs w:val="24"/>
        </w:rPr>
        <w:t>970</w:t>
      </w:r>
      <w:r w:rsidRPr="00CC5959">
        <w:rPr>
          <w:rFonts w:ascii="Lato" w:hAnsi="Lato"/>
          <w:sz w:val="24"/>
          <w:szCs w:val="24"/>
        </w:rPr>
        <w:t xml:space="preserve"> wniosków (łącznie: o objęcie refundacją i ustalenie urzędowej ceny zbytu, podwyższenie, obniżenie urzędowej ceny zbytu oraz skrócenie obowiązywania decyzji) (dla porównania w</w:t>
      </w:r>
      <w:r w:rsidR="009D2617">
        <w:rPr>
          <w:rFonts w:ascii="Lato" w:hAnsi="Lato"/>
          <w:sz w:val="24"/>
          <w:szCs w:val="24"/>
        </w:rPr>
        <w:t xml:space="preserve"> całym</w:t>
      </w:r>
      <w:r w:rsidRPr="00CC595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</w:rPr>
        <w:t>2022 r.</w:t>
      </w:r>
      <w:r w:rsidRPr="00CC5959">
        <w:rPr>
          <w:rFonts w:ascii="Lato" w:hAnsi="Lato"/>
          <w:sz w:val="24"/>
          <w:szCs w:val="24"/>
        </w:rPr>
        <w:t xml:space="preserve"> wpłynęł</w:t>
      </w:r>
      <w:r w:rsidR="00802A0D">
        <w:rPr>
          <w:rFonts w:ascii="Lato" w:hAnsi="Lato"/>
          <w:sz w:val="24"/>
          <w:szCs w:val="24"/>
        </w:rPr>
        <w:t>y</w:t>
      </w:r>
      <w:r w:rsidRPr="00CC5959">
        <w:rPr>
          <w:rFonts w:ascii="Lato" w:hAnsi="Lato"/>
          <w:sz w:val="24"/>
          <w:szCs w:val="24"/>
        </w:rPr>
        <w:t xml:space="preserve"> </w:t>
      </w:r>
      <w:r w:rsidR="00802A0D">
        <w:rPr>
          <w:rFonts w:ascii="Lato" w:hAnsi="Lato" w:cs="Calibri"/>
          <w:sz w:val="24"/>
          <w:szCs w:val="24"/>
        </w:rPr>
        <w:t xml:space="preserve">2494 </w:t>
      </w:r>
      <w:r w:rsidRPr="00CC5959">
        <w:rPr>
          <w:rFonts w:ascii="Lato" w:hAnsi="Lato"/>
          <w:sz w:val="24"/>
          <w:szCs w:val="24"/>
        </w:rPr>
        <w:t>wniosk</w:t>
      </w:r>
      <w:r w:rsidR="00802A0D">
        <w:rPr>
          <w:rFonts w:ascii="Lato" w:hAnsi="Lato"/>
          <w:sz w:val="24"/>
          <w:szCs w:val="24"/>
        </w:rPr>
        <w:t>i</w:t>
      </w:r>
      <w:r w:rsidRPr="00CC5959">
        <w:rPr>
          <w:rFonts w:ascii="Lato" w:hAnsi="Lato"/>
          <w:sz w:val="24"/>
          <w:szCs w:val="24"/>
        </w:rPr>
        <w:t>).</w:t>
      </w:r>
    </w:p>
    <w:p w14:paraId="3ADE3572" w14:textId="050D8E47" w:rsidR="005023B3" w:rsidRDefault="005023B3" w:rsidP="005023B3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  <w:textAlignment w:val="auto"/>
        <w:rPr>
          <w:rFonts w:ascii="Lato" w:hAnsi="Lato"/>
          <w:sz w:val="24"/>
          <w:szCs w:val="24"/>
        </w:rPr>
      </w:pPr>
      <w:r w:rsidRPr="00CC5959">
        <w:rPr>
          <w:rFonts w:ascii="Lato" w:hAnsi="Lato"/>
          <w:sz w:val="24"/>
          <w:szCs w:val="24"/>
        </w:rPr>
        <w:t>W I połowie 202</w:t>
      </w:r>
      <w:r>
        <w:rPr>
          <w:rFonts w:ascii="Lato" w:hAnsi="Lato"/>
          <w:sz w:val="24"/>
          <w:szCs w:val="24"/>
        </w:rPr>
        <w:t>3</w:t>
      </w:r>
      <w:r w:rsidRPr="00CC5959">
        <w:rPr>
          <w:rFonts w:ascii="Lato" w:hAnsi="Lato"/>
          <w:sz w:val="24"/>
          <w:szCs w:val="24"/>
        </w:rPr>
        <w:t xml:space="preserve"> r. refundacją objęto </w:t>
      </w:r>
      <w:r w:rsidR="00793D7C">
        <w:rPr>
          <w:rFonts w:ascii="Lato" w:hAnsi="Lato"/>
          <w:sz w:val="24"/>
          <w:szCs w:val="24"/>
        </w:rPr>
        <w:t>58</w:t>
      </w:r>
      <w:r w:rsidRPr="00CC5959">
        <w:rPr>
          <w:rFonts w:ascii="Lato" w:hAnsi="Lato"/>
          <w:sz w:val="24"/>
          <w:szCs w:val="24"/>
        </w:rPr>
        <w:t xml:space="preserve"> nowych cząsteczko-wskazań. Podział ze względu na rodzaj wskazań, kategorię dostępności, choroby rzadkie przedstawiono na wykresach poniżej.</w:t>
      </w:r>
    </w:p>
    <w:p w14:paraId="79B534AC" w14:textId="5DC51D24" w:rsidR="005023B3" w:rsidRDefault="00933AE0" w:rsidP="00933991">
      <w:pPr>
        <w:spacing w:after="120" w:line="240" w:lineRule="auto"/>
        <w:jc w:val="both"/>
        <w:textAlignment w:val="auto"/>
        <w:rPr>
          <w:rFonts w:ascii="Lato" w:hAnsi="Lato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A25D115" wp14:editId="726A9D08">
            <wp:extent cx="2962275" cy="2873792"/>
            <wp:effectExtent l="0" t="0" r="9525" b="3175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EC6264FB-FD58-49E5-89F0-4DFCA70BD4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93D7C">
        <w:rPr>
          <w:rFonts w:ascii="Lato" w:hAnsi="Lato"/>
          <w:sz w:val="24"/>
          <w:szCs w:val="24"/>
        </w:rPr>
        <w:t xml:space="preserve"> </w:t>
      </w:r>
      <w:r w:rsidR="00793D7C">
        <w:rPr>
          <w:noProof/>
          <w14:ligatures w14:val="standardContextual"/>
        </w:rPr>
        <w:drawing>
          <wp:inline distT="0" distB="0" distL="0" distR="0" wp14:anchorId="49DFA663" wp14:editId="7F173F54">
            <wp:extent cx="2961005" cy="2872854"/>
            <wp:effectExtent l="0" t="0" r="10795" b="381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6B5F9B1B-E4F9-4A2F-8C0A-EDCEDEE59B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93D7C">
        <w:rPr>
          <w:rFonts w:ascii="Lato" w:hAnsi="Lato"/>
          <w:sz w:val="24"/>
          <w:szCs w:val="24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2B06F7ED" wp14:editId="3E0C7485">
            <wp:extent cx="2838450" cy="2863793"/>
            <wp:effectExtent l="0" t="0" r="0" b="1333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FD90813B-9E6A-4837-A68A-23B083805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</w:p>
    <w:p w14:paraId="199518DE" w14:textId="3C4F442A" w:rsidR="005023B3" w:rsidRDefault="00933991" w:rsidP="00635695">
      <w:pPr>
        <w:spacing w:line="360" w:lineRule="auto"/>
        <w:jc w:val="both"/>
        <w:textAlignment w:val="auto"/>
        <w:rPr>
          <w:rFonts w:ascii="Lato" w:hAnsi="Lato"/>
        </w:rPr>
      </w:pPr>
      <w:r>
        <w:rPr>
          <w:noProof/>
        </w:rPr>
        <w:drawing>
          <wp:inline distT="0" distB="0" distL="0" distR="0" wp14:anchorId="206F83C8" wp14:editId="711F5EDA">
            <wp:extent cx="4394200" cy="2765425"/>
            <wp:effectExtent l="0" t="0" r="6350" b="1587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3C67D76" wp14:editId="40C7D6BB">
            <wp:extent cx="4400550" cy="2774950"/>
            <wp:effectExtent l="0" t="0" r="0" b="635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5023B3">
        <w:rPr>
          <w:rFonts w:ascii="Lato" w:hAnsi="Lato"/>
        </w:rPr>
        <w:br w:type="page"/>
      </w:r>
    </w:p>
    <w:p w14:paraId="07E7AF14" w14:textId="77777777" w:rsidR="005023B3" w:rsidRPr="005F7844" w:rsidRDefault="005023B3" w:rsidP="005023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5F7844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PROGRAMACH LEKOWYCH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50"/>
        <w:gridCol w:w="1771"/>
        <w:gridCol w:w="2051"/>
        <w:gridCol w:w="3302"/>
        <w:gridCol w:w="4745"/>
      </w:tblGrid>
      <w:tr w:rsidR="005023B3" w:rsidRPr="005F7844" w14:paraId="17CBAB88" w14:textId="77777777" w:rsidTr="00767F8E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4F1B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5F7844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23B3" w:rsidRPr="005F7844" w14:paraId="038C31A9" w14:textId="77777777" w:rsidTr="00767F8E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4962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5F7844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5023B3" w:rsidRPr="005F7844" w14:paraId="7EFD3E2F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A0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991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750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47A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DCE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CDA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5023B3" w:rsidRPr="005F7844" w14:paraId="26F0BA32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973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386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75B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1DC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913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EC1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w II albo III albo IV albo V linii chorych na zaawansowanego raka jelita grubego z potwierdzoną niestabilnością mikrosatelitarną wysokiego stopnia (ang. MSI-H) lub zaburzeniami mechanizmów naprawy uszkodzeń DNA o typie niedopasowania (ang. dMMR) z wykorzystaniem substancji czynnej niwolumab w skojarzeniu z ipilimumabem.</w:t>
            </w:r>
          </w:p>
        </w:tc>
      </w:tr>
      <w:tr w:rsidR="005023B3" w:rsidRPr="005F7844" w14:paraId="4D7F1A8E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DE7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4DF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518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566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31B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JELITA GRUBEGO (ICD-10: C18 – C20)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145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w I linii chorych na zaawansowanego raka jelita grubego z potwierdzoną niestabilnością mikrosatelitarną wysokiego stopnia (ang. MSI-H) lub zaburzeniami mechanizmów naprawy uszkodzeń DNA o typie niedopasowania (ang. dMMR) z wykorzystaniem substancji czynnej pembrolizumab w monoterapii.</w:t>
            </w:r>
          </w:p>
        </w:tc>
      </w:tr>
      <w:tr w:rsidR="005023B3" w:rsidRPr="005F7844" w14:paraId="7F0828B9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A85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8A3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DF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AD4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3DA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67F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w I linii chorych na drobnokomórkowego raka płuca z zastosowaniem durwalumabu (w skojarzeniu z pochodną platyny (cisplatyna lub karboplatyna) i etopozydem w fazie indukcji).</w:t>
            </w:r>
          </w:p>
        </w:tc>
      </w:tr>
      <w:tr w:rsidR="005023B3" w:rsidRPr="005F7844" w14:paraId="31043557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31A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860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703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09D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030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E46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po radykalnej resekcji guza u pacjentów z niedrobnokomórkowym rakiem płuca.</w:t>
            </w:r>
          </w:p>
        </w:tc>
      </w:tr>
      <w:tr w:rsidR="005023B3" w:rsidRPr="005F7844" w14:paraId="11B484CA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1B3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6AF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73D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790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331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18D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III i kolejnych linii niedrobnokomórkowego raka płuca u pacjentów z potwierdzoną obecnością mutacji T790M w genie EGFR.</w:t>
            </w:r>
          </w:p>
        </w:tc>
      </w:tr>
      <w:tr w:rsidR="005023B3" w:rsidRPr="005F7844" w14:paraId="3191F43C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F1F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FCC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22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cemiplimab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09A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676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925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w monoterapii pacjentów z rozsianym niedrobnokomórkowym rakiem płuca o wysokiej ekspresji PD-L1 (Pd-L1 </w:t>
            </w:r>
            <w:r w:rsidRPr="00A77F8C">
              <w:rPr>
                <w:rFonts w:ascii="Cambria Math" w:hAnsi="Cambria Math" w:cs="Cambria Math"/>
                <w:color w:val="000000"/>
                <w:sz w:val="18"/>
                <w:szCs w:val="18"/>
              </w:rPr>
              <w:t>⩾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50%).</w:t>
            </w:r>
          </w:p>
        </w:tc>
      </w:tr>
      <w:tr w:rsidR="005023B3" w:rsidRPr="005F7844" w14:paraId="079B2F85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6E3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650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EC6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E97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3CB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56A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w monoterapii pacjentów z rozsianym niedrobnokomórkowym rakiem płuca o wysokiej ekspresji PD-L1 (Pd-L1 </w:t>
            </w:r>
            <w:r w:rsidRPr="00A77F8C">
              <w:rPr>
                <w:rFonts w:ascii="Cambria Math" w:hAnsi="Cambria Math" w:cs="Cambria Math"/>
                <w:color w:val="000000"/>
                <w:sz w:val="18"/>
                <w:szCs w:val="18"/>
              </w:rPr>
              <w:t>⩾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50%).</w:t>
            </w:r>
          </w:p>
        </w:tc>
      </w:tr>
      <w:tr w:rsidR="005023B3" w:rsidRPr="005F7844" w14:paraId="5FFAE274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B58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6BA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Rozlytrek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BE4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entrektynib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8BE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E14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10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 lub II linii niedrobnokomórkowego raka płuc u pacjentów z fuzją genu ROS-1 (chorzy z niepowodzeniem wcześniejszej chemioterapii).</w:t>
            </w:r>
          </w:p>
        </w:tc>
      </w:tr>
      <w:tr w:rsidR="005023B3" w:rsidRPr="005F7844" w14:paraId="5244DE10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65B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F4B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3AF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CC1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291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C4C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 linii niedrobnokomórkowego raka płuca u pacjentów</w:t>
            </w:r>
            <w:r w:rsidRPr="00A77F8C">
              <w:rPr>
                <w:rFonts w:ascii="Lato" w:hAnsi="Lato"/>
                <w:sz w:val="18"/>
                <w:szCs w:val="18"/>
              </w:rPr>
              <w:t xml:space="preserve"> 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z ekspresją PD-L1 &lt; 50% z zastosowaniem w skojarzeniu niwolumabu i ipilimumabu w połączeniu z dwoma cyklami chemioterapii.</w:t>
            </w:r>
          </w:p>
        </w:tc>
      </w:tr>
      <w:tr w:rsidR="005023B3" w:rsidRPr="005F7844" w14:paraId="3D304298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F3B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710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 + Yervoy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EB7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 + ipilimumab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15F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66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570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 linii pacjentów chorych na nieoperacyjnego złośliwego międzybłoniaka opłucnej niwolumabem w skojarzeniu z ipilimumabem.</w:t>
            </w:r>
          </w:p>
        </w:tc>
      </w:tr>
      <w:tr w:rsidR="005023B3" w:rsidRPr="005F7844" w14:paraId="63376B7D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8AA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DC7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Minjuvi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C8A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tafasytamab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3E5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1B0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99A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tafasytamabem w skojarzeniu z lenalidomidem dorosłych chorych na opornego/nawrotowego chłoniaka rozlanego z dużych komórek B (DLBCL), niekwalifikujących się do przeszczepienia autologicznych krwiotwórczych komórek macierzystych.</w:t>
            </w:r>
          </w:p>
          <w:p w14:paraId="0B2BB22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Kolejna technologia o wysokim poziomie innowacyjności (TLI)</w:t>
            </w:r>
          </w:p>
          <w:p w14:paraId="265D454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46752920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8B2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255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A5A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ibrutynib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5EE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65D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8DA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ibrutynibem w monoterapii dorosłych chorych na opornego/nawrotowego chłoniaka z komórek płaszcza (MCL).</w:t>
            </w:r>
          </w:p>
          <w:p w14:paraId="61CB11C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42674714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ED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816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1CF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13C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E62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1BA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I linii daratumumabem w skojarzeniu z bortezomibem, talidomidem i deksametazonem (schemat DVTd) dorosłych pacjentów z uprzednio nieleczonym szpiczakiem plazmocytowym (I linia leczenia), kwalifikujących się do leczenia chemioterapią wysokodawkową z przeszczepieniem autologicznych krwiotwórczych komórek macierzystych.</w:t>
            </w:r>
          </w:p>
          <w:p w14:paraId="4713170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27988F8D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947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AC8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E1E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0DB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519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168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daratumumabem w skojarzeniu z bortezomibem i deksametazonem (schemat DVd) w II-IV linii leczenia dorosłych chorych na opornego lub nawrotowego szpiczaka plazmocytowego, u których nie stwierdzono oporności na leczenie bortezomibem. </w:t>
            </w:r>
          </w:p>
          <w:p w14:paraId="553D1EA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(Rozszerzenie aktualnie refundowanego wskazania)</w:t>
            </w:r>
          </w:p>
          <w:p w14:paraId="24CEAB9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3430B5A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DEB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15.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67F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Darzalex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7BD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daratumumab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285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A31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85F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daratumumabem w skojarzeniu z lenalidomidem i deksametazonem (schemat DRd) w II-IV linii leczenia dorosłych chorych na opornego lub nawrotowego szpiczaka plazmocytowego.</w:t>
            </w:r>
          </w:p>
          <w:p w14:paraId="6178683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454E6E48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1D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16.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A53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Empliciti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B08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elotuzumab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508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521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15C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elotuzumabem w skojarzeniu z pomalidomidem i deksametazonem (schemat EloPd) od III linii leczenia dorosłych chorych na opornego lub nawrotowego szpiczaka plazmocytowego.</w:t>
            </w:r>
          </w:p>
          <w:p w14:paraId="4582C86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18756F9B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A4B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17.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AAD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DF8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227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588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79E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II albo III linii chorych na opornego na kastrację raka gruczołu krokowego po progresji choroby podczas terapii lekiem hormonalnym nowej generacji oraz obecnością patogennej lub prawdopodobnie patogennej mutacji (germinalnej lub somatycznej) w genie BRCA1 lub BRCA2.</w:t>
            </w:r>
          </w:p>
        </w:tc>
      </w:tr>
      <w:tr w:rsidR="005023B3" w:rsidRPr="005F7844" w14:paraId="361959A3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5B3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18.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30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Erleada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32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apalutamid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FEF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74F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1D5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 linii chorych na wrażliwego na kastrację raka gruczołu krokowego o małym obciążeniu przerzutami (z ang. low volume disease).</w:t>
            </w:r>
          </w:p>
        </w:tc>
      </w:tr>
      <w:tr w:rsidR="005023B3" w:rsidRPr="005F7844" w14:paraId="052194EF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A38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09D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Cabazitaxel Ever Pharma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C6E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kabazytaksel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8C2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790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D8B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w I albo II albo III linii chorych na opornego na kastrację raka gruczołu krokowego z przerzutami kabazytakselem, leczonych wcześniej docetakselem.</w:t>
            </w:r>
          </w:p>
        </w:tc>
      </w:tr>
      <w:tr w:rsidR="005023B3" w:rsidRPr="005F7844" w14:paraId="0EC96C8B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2C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20.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CD3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8E6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9E2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EF2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ZAAWANSOWANEGO RAKA PRZEŁYKU I ŻOŁĄDKA (ICD-10: C15-C16)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831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I linii chorych </w:t>
            </w:r>
            <w:bookmarkStart w:id="0" w:name="_Hlk90641900"/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na miejscowo zaawansowanego raka przełyku nieoperacyjnego lub z przerzutami, lub HER-2 ujemnego gruczolakoraka połączenia przełykowo-żołądkowego</w:t>
            </w:r>
            <w:bookmarkEnd w:id="0"/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wykorzystaniem substancji czynnej pembrolizumab </w:t>
            </w:r>
            <w:bookmarkStart w:id="1" w:name="_Hlk89686969"/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 zawierającą pochodną platyny i fluoropirymidynę</w:t>
            </w:r>
            <w:bookmarkEnd w:id="1"/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023B3" w:rsidRPr="005F7844" w14:paraId="359F3A5E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B9C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0AB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Adcetris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FF3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brentuksymab vedotin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FBE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B.66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11C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T-KOMÓRKOWE (ICD-10: C84)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B33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brentuksymabem vedotin w skojarzeniu z cyklofosfamidem, doksorubicyną i prednizonem (CHP) w I linii leczenia dorosłych chorych na 13.układowego chłoniaka anaplastycznego z dużych komórek (sALCL).</w:t>
            </w:r>
          </w:p>
          <w:p w14:paraId="1CC4668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5023B3" w:rsidRPr="005F7844" w14:paraId="0C0B9E9D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E76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A67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Imbruvica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0E5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B59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14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D07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ibrutynibem w monoterapii w I linii leczenia dorosłych chorych na przewlekłą białaczkę limfocytową z delecją 17p (del17p) / mutacją w genie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IgHV.</w:t>
            </w:r>
          </w:p>
          <w:p w14:paraId="5A12531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DB42E14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920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CC3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Imbruvica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75D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3F0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B06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685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ibrutynibem w monoterapii od II linii leczenia dorosłych chorych na oporną lub nawrotową przewlekłą białaczkę limfocytową, bez względu na status delecji 17p (del17p) / mutacji w genie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5779BF8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(Rozszerzenie aktualnie refundowanego wskazania dla pacjentów bez delecji 17p (del17p) / mutacji w genie </w:t>
            </w:r>
            <w:r w:rsidRPr="00A77F8C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))</w:t>
            </w:r>
          </w:p>
          <w:p w14:paraId="74B5636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54DD6D51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9B3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7B9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Calquence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BA3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49D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9AB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33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akalabrutynibem w monoterapii w I linii leczenia dorosłych chorych na przewlekłą białaczkę limfocytową z delecją 17p (del17p) / mutacją w genie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IgHV.</w:t>
            </w:r>
          </w:p>
          <w:p w14:paraId="454DCDD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810814B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A49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87A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Calquence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BD6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21A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07B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ED1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akalabrutynibem w monoterapii od II linii leczenia dorosłych chorych na oporną lub nawrotową przewlekłą białaczkę limfocytową z delecją 17p (del17p) / mutacją w genie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oraz dorosłych chorych na oporną lub nawrotową przewlekłą białaczkę limfocytową bez delecji 17p (del17p) / mutacji w genie 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TP53)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, po wcześniejszym leczeniu wenetoklaksem w skojarzeniu z przeciwciałem anty-CD20 lub w przypadku przeciwwskazań do zastosowania wenetoklaksu z przeciwciałem anty-CD20.</w:t>
            </w:r>
          </w:p>
          <w:p w14:paraId="02A7526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02A565C4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189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26.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B9B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593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cemiplimab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BF3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B.88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519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CHORYCH NA RAKA </w:t>
            </w:r>
            <w:r w:rsidRPr="00A77F8C">
              <w:rPr>
                <w:rFonts w:ascii="Lato" w:hAnsi="Lato" w:cstheme="majorHAnsi"/>
                <w:sz w:val="18"/>
                <w:szCs w:val="18"/>
              </w:rPr>
              <w:t>PODSTAWNOKOMÓRKOWEGO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SKÓRY (ICD-10: C44)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A32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cemiplimabem w II linii leczenia, u pacjentów, u których nastąpiła progresja choroby lub nietolerancja w trakcie terapii inhibitorem szlaku Hedgehog.</w:t>
            </w:r>
          </w:p>
        </w:tc>
      </w:tr>
      <w:tr w:rsidR="005023B3" w:rsidRPr="005F7844" w14:paraId="42E4B037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CC1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27.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D6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Onureg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113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azacytydyna (postać doustna)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8D0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B.114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478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LECZENIE CHORYCH NA OSTRĄ BIAŁACZKĘ SZPIKOWĄ (ICD-10: C92.0)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58D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azacytydyną doustną w monoterapii dorosłych chorych na ostrą białaczkę szpikową w potwierdzonej pierwszej całkowitej remisji lub potwierdzonej remisji z niepełną regeneracją morfologii krwi po chemioterapii indukującej albo indukującej i konsolidującej.</w:t>
            </w:r>
          </w:p>
          <w:p w14:paraId="6C34DBE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4F166B23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078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28.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557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Vitrakvi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133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larotrektynib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31E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D1A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5EC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z różnymi typami nowotworów litych, w przypadku których stwierdza się fuzję genu receptorowej kinazy tyrozynowej dla neurotrofin (NTRK). Leczenie dotyczy pacjentów z nowotworami w stadium miejscowo zaawansowanym lub przerzutowym, u których brak jest możliwości leczenia miejscowego lub jego podjęcie może doprowadzić do poważnych i niekorzystnych następstw zdrowotnych. Dodatkowo terapia jest wskazana w przypadkach wyczerpania innych możliwości oraz w przypadkach braku innych terapii o potwierdzonych korzyściach klinicznych w danym wskazaniu. Kwalifikacja do leczenia będzie przeprowadzana przez Zespół Koordynacyjny. </w:t>
            </w:r>
          </w:p>
        </w:tc>
      </w:tr>
      <w:tr w:rsidR="005023B3" w:rsidRPr="005F7844" w14:paraId="14E39AFA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EBF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29.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484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A45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1F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257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E8F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melfalanem i prednizonem dorosłych pacjentów z nieleczonym uprzednio szpiczakiem plazmocytowym, którzy nie kwalifikują się do przeszczepienia autologicznych krwiotwórczych komórek macierzystych (auto-HSCT).</w:t>
            </w:r>
          </w:p>
          <w:p w14:paraId="509C3D2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084B8ED0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221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30.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B75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BA3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289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2E0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675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deksametazonem dorosłych pacjentów ze szpiczakiem plazmocytowym, u których stosowano uprzednio co najmniej jeden schemat leczenia.</w:t>
            </w:r>
          </w:p>
          <w:p w14:paraId="1EA32EE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(Rozszerzenie aktualnie refundowanego wskazania)</w:t>
            </w:r>
          </w:p>
          <w:p w14:paraId="754C399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1F5900EC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736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952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BA2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7056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5FB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E75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monoterapii w leczeniu podtrzymującym dorosłych pacjentów ze szpiczakiem plazmocytowym po przeszczepieniu autologicznych krwiotwórczych komórek macierzystych (auto-HSCT) stosowanych po pierwszej linii leczenia.</w:t>
            </w:r>
          </w:p>
          <w:p w14:paraId="3BC212D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5F28326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102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D81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23C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5EE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C.84.c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2E7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4D3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uprzednio leczonym chłoniakiem grudkowym w stopniu 1-3a.</w:t>
            </w:r>
          </w:p>
          <w:p w14:paraId="2C0564A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826DF0E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430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ADC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423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286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C.84.d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69D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1B6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lenalidomidem w skojarzeniu z rytuksymabem dorosłych pacjentów z uprzednio nieleczonym chłoniakiem grudkowym w stopniu 1-3a. </w:t>
            </w:r>
          </w:p>
          <w:p w14:paraId="512A9CF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6AD4289C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451F01BC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1BF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951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BD6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583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CFA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71F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uprzednio leczonymi chłoniakiami strefy brzeżnej.</w:t>
            </w:r>
          </w:p>
          <w:p w14:paraId="4DFBCAC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4F9FEB9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1EC85DD8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745E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lastRenderedPageBreak/>
              <w:t>35.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29A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5D3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91F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0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F6C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nawracającym lub opornym na leczenie chłoniakiem z komórek płaszcza.</w:t>
            </w:r>
          </w:p>
          <w:p w14:paraId="10CB1A6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  <w:p w14:paraId="5AC04FF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20B22E64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FA4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36.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D18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Besremi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052D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ropeginterferon</w:t>
            </w:r>
          </w:p>
          <w:p w14:paraId="7823871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alfa-2b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148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9E03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ROPEGINTERFERONUM ALFA-2B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AA4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Leczenie ropeginterferonem alfa-2b pacjentów chorych na czerwienicę prawdziwą, którzy</w:t>
            </w:r>
            <w:r w:rsidRPr="00A77F8C">
              <w:rPr>
                <w:rFonts w:ascii="Lato" w:hAnsi="Lato"/>
                <w:sz w:val="18"/>
                <w:szCs w:val="18"/>
              </w:rPr>
              <w:t xml:space="preserve"> </w:t>
            </w: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nie odpowiadają na leczenie hydroksymocznikiem lub mają objawy niepożądane, młodych chorych wysokiego ryzyka ze wskazaniami do leczenia cytoredukcyjnego, kobiet w ciąży z czerwienicą prawdziwą wymagających leczenia cytoredukcyjnego.</w:t>
            </w:r>
          </w:p>
          <w:p w14:paraId="7585950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11E94409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82E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37.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AF55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0F5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770A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C.87.a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8CD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84D2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Leczenia chorych na nowo rozpoznanego hormonowrażliwego raka gruczołu krokowego wysokiego ryzyka z przerzutami (mHSPC).</w:t>
            </w:r>
          </w:p>
        </w:tc>
      </w:tr>
      <w:tr w:rsidR="005023B3" w:rsidRPr="005F7844" w14:paraId="3E87E50B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B54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38.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64D9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9C91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484F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C.87.b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CC4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OCTAN ABIRATERONU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8D0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Leczenia chorych na wrażliwego na kastrację raka gruczołu krokowego z przerzutami (mHSPC) oraz leczenia pacjentów na opornego na kastrację raka gruczołu krokowego bez przerzutów (nmCRPC) z wysokim ryzykiem wystąpienia przerzutów.</w:t>
            </w:r>
          </w:p>
          <w:p w14:paraId="60C69D2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</w:t>
            </w:r>
            <w:r w:rsidRPr="00A77F8C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off-label</w:t>
            </w: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023B3" w:rsidRPr="005F7844" w14:paraId="7D432B13" w14:textId="77777777" w:rsidTr="00767F8E">
        <w:trPr>
          <w:cantSplit/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A4D8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39.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E81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348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sunitynib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7F14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color w:val="000000"/>
                <w:sz w:val="18"/>
                <w:szCs w:val="18"/>
              </w:rPr>
              <w:t>C.88.b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0027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SUNITINIB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A280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sz w:val="18"/>
                <w:szCs w:val="18"/>
              </w:rPr>
              <w:t>Leczenie sunitynibem mięsaków tkanek miękkich u pacjentów z samotnym guzem włóknistym (</w:t>
            </w: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solitary fibrous tumor</w:t>
            </w:r>
            <w:r w:rsidRPr="00A77F8C">
              <w:rPr>
                <w:rFonts w:ascii="Lato" w:hAnsi="Lato" w:cstheme="majorHAnsi"/>
                <w:sz w:val="18"/>
                <w:szCs w:val="18"/>
              </w:rPr>
              <w:t>), a także u wcześniej poddanych chemioterapii pacjentów z mięsakiem naczyniowym (</w:t>
            </w:r>
            <w:r w:rsidRPr="00A77F8C">
              <w:rPr>
                <w:rFonts w:ascii="Lato" w:hAnsi="Lato" w:cstheme="majorHAnsi"/>
                <w:i/>
                <w:iCs/>
                <w:sz w:val="18"/>
                <w:szCs w:val="18"/>
              </w:rPr>
              <w:t>angiosarcoma</w:t>
            </w:r>
            <w:r w:rsidRPr="00A77F8C">
              <w:rPr>
                <w:rFonts w:ascii="Lato" w:hAnsi="Lato" w:cstheme="majorHAnsi"/>
                <w:sz w:val="18"/>
                <w:szCs w:val="18"/>
              </w:rPr>
              <w:t>).</w:t>
            </w:r>
          </w:p>
          <w:p w14:paraId="3B63C32B" w14:textId="77777777" w:rsidR="005023B3" w:rsidRPr="00A77F8C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77F8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(Wskazanie off-label) </w:t>
            </w:r>
          </w:p>
        </w:tc>
      </w:tr>
    </w:tbl>
    <w:p w14:paraId="14D86BAB" w14:textId="77777777" w:rsidR="005023B3" w:rsidRPr="005F7844" w:rsidRDefault="005023B3" w:rsidP="005023B3">
      <w:pPr>
        <w:suppressAutoHyphens w:val="0"/>
        <w:rPr>
          <w:rFonts w:ascii="Lato" w:hAnsi="Lato"/>
        </w:rPr>
      </w:pPr>
      <w:r w:rsidRPr="005F7844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550"/>
        <w:gridCol w:w="1771"/>
        <w:gridCol w:w="2051"/>
        <w:gridCol w:w="3302"/>
        <w:gridCol w:w="4745"/>
      </w:tblGrid>
      <w:tr w:rsidR="005023B3" w:rsidRPr="005F7844" w14:paraId="25F5FF18" w14:textId="77777777" w:rsidTr="00767F8E">
        <w:trPr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4B06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5F7844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5023B3" w:rsidRPr="005F7844" w14:paraId="7B63309B" w14:textId="77777777" w:rsidTr="00767F8E">
        <w:trPr>
          <w:trHeight w:val="628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145B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E2B2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6EE7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5C25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FB8B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BFF7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023B3" w:rsidRPr="005F7844" w14:paraId="1C7D1D77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AE42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EED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Adynovi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B32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/>
                <w:i/>
                <w:iCs/>
                <w:sz w:val="18"/>
                <w:szCs w:val="18"/>
              </w:rPr>
              <w:t>rurioktokog alfa pegol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FC30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994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CF9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i profilaktyka krwawień u pacjentów w wieku 12 lat i powyżej z hemofilią A.</w:t>
            </w:r>
          </w:p>
          <w:p w14:paraId="195CE9AC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3ECE892A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17A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3435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C259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/>
                <w:i/>
                <w:iCs/>
                <w:sz w:val="18"/>
                <w:szCs w:val="18"/>
              </w:rPr>
              <w:t>ryzankizumab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BC28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0CB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CB0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interleukin.</w:t>
            </w:r>
          </w:p>
        </w:tc>
      </w:tr>
      <w:tr w:rsidR="005023B3" w:rsidRPr="005F7844" w14:paraId="33FD72AE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E920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346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6EEC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="Calibri Light"/>
                <w:i/>
                <w:iCs/>
                <w:sz w:val="18"/>
                <w:szCs w:val="18"/>
              </w:rPr>
              <w:t>guselkumab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437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8C50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A45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interleukin.</w:t>
            </w:r>
          </w:p>
        </w:tc>
      </w:tr>
      <w:tr w:rsidR="005023B3" w:rsidRPr="005F7844" w14:paraId="21D20AED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5075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6AC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18B5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850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92D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1846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u pacjentów z hemodynamicznie istotną wadą serca z jawną niewydolnością serca utrzymującą się pomimo leczenia farmakologicznego, umiarkowanym lub ciężkim wtórnym nadciśnieniem płucnym lub sinicznymi wadami serca z przezskórnym utlenowaniem krwi tętniczej utrzymującej się oraz u dzieci urodzone w wieku ciążowym ≤ 35 tygodni o masie urodzeniowej ≤ 1500 g.</w:t>
            </w:r>
          </w:p>
        </w:tc>
      </w:tr>
      <w:tr w:rsidR="005023B3" w:rsidRPr="005F7844" w14:paraId="20D48B9A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33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7D64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sz w:val="18"/>
                <w:szCs w:val="18"/>
              </w:rPr>
              <w:t>Bimzelx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4430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bimekizumab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BDA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9B4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0D0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ciężkiej i umiarkowanej postaci łuszczycy bez ograniczeń czasowych u pacjentów powyżej 18 roku życia.</w:t>
            </w:r>
          </w:p>
        </w:tc>
      </w:tr>
      <w:tr w:rsidR="005023B3" w:rsidRPr="005F7844" w14:paraId="236BEA90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666B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D7A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32FC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sekukinumab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C24A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7B6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103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plackowatej, zniesienie limitu czasu leczenia oraz objęcie refundacją pacjentów powyżej 6 roku życia.</w:t>
            </w:r>
          </w:p>
        </w:tc>
      </w:tr>
      <w:tr w:rsidR="005023B3" w:rsidRPr="005F7844" w14:paraId="641596C8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6A14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845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E56C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risankizumab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63C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D48B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91F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leczenia.</w:t>
            </w:r>
          </w:p>
        </w:tc>
      </w:tr>
      <w:tr w:rsidR="005023B3" w:rsidRPr="005F7844" w14:paraId="2B72B3DA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5FA2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8FA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18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4F0B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0FEB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89A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 i zniesienie limitu czasu leczenia.</w:t>
            </w:r>
          </w:p>
        </w:tc>
      </w:tr>
      <w:tr w:rsidR="005023B3" w:rsidRPr="005F7844" w14:paraId="62896BAA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6B4A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DF76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Zeposia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62B8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ozanimod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172A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9CD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DF19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za pomocą modulatora receptora fosforanu sfingozyny 1 (ozanimodem) z rozpoznaną ciężką lub umiarkowaną postacią wrzodziejącego zapalenia jelita grubego.</w:t>
            </w:r>
          </w:p>
        </w:tc>
      </w:tr>
      <w:tr w:rsidR="005023B3" w:rsidRPr="005F7844" w14:paraId="1A06C5FA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51B1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DF0C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sz w:val="18"/>
                <w:szCs w:val="18"/>
              </w:rPr>
              <w:t>Jyseleca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B0D8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sz w:val="18"/>
                <w:szCs w:val="18"/>
              </w:rPr>
              <w:t>filgotynib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0E02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3DC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5648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za pomocą kolejnego leku z grupy inhibitorów JAK (filgotynibem) z rozpoznaną ciężką lub umiarkowaną postacią wrzodziejącego zapalenia jelita grubego.</w:t>
            </w:r>
          </w:p>
        </w:tc>
      </w:tr>
      <w:tr w:rsidR="005023B3" w:rsidRPr="005F7844" w14:paraId="3F9E216F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B5A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997B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sz w:val="18"/>
                <w:szCs w:val="18"/>
              </w:rPr>
              <w:t>Nplate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EDE6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sz w:val="18"/>
                <w:szCs w:val="18"/>
              </w:rPr>
              <w:t>romiplostym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430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5A42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 D69.3)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7E9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Rozszerzenie populacji o pacjentów, u których nie wykonano splenektomii.</w:t>
            </w:r>
          </w:p>
          <w:p w14:paraId="7182BD1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057BCC83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6AC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2AC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Doptelet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5D8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awatrombopag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427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9924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CAE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pierwotnej małopłytkowości immunologicznej awatrombopagiem u dorosłych pacjentów.</w:t>
            </w:r>
          </w:p>
          <w:p w14:paraId="7502BF8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2D813B69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5EEE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CA25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Reblozyl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C6AF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luspatercept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E7D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B.142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DD4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ZESPOŁAMI MIELODYSPLASTYCZNYMI Z TOWARZYSZĄCĄ NIEDOKRWISTOŚCIĄ ZALEŻNĄ OD TRANSFUZJI (ICD-10: D46.1)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E6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Niedokrwistość zależna od przetoczeń u osób dorosłych w przebiegu zespołów mielodysplastycznych o bardzo niskim, niskim lub pośrednim ryzyku z pierścieniowatymi syderoblastami, u których wystąpiła niedostateczna odpowiedź na leki stymulujące erytropoezę, lub którzy nie kwalifikują się do takiego leczenia. </w:t>
            </w:r>
          </w:p>
          <w:p w14:paraId="226C3D8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5023B3" w:rsidRPr="005F7844" w14:paraId="6D9DB47B" w14:textId="77777777" w:rsidTr="00767F8E">
        <w:trPr>
          <w:trHeight w:val="20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FD0A" w14:textId="77777777" w:rsidR="005023B3" w:rsidRPr="000F4539" w:rsidRDefault="005023B3" w:rsidP="00767F8E">
            <w:p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56ED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Carbaglu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AA52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kwas kargluminowy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FF07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B.143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9753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KWASEM KARGLUMINOWYM CHORYCH Z ACYDURIAMI ORGANICZNYMI: PROPIONOWĄ, METYLOMALONOWĄ I IZOWALERIANOWĄ (ICD-10: E71.1)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EE39" w14:textId="77777777" w:rsidR="005023B3" w:rsidRPr="000F4539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t>Leczenie kwasic organicznych: propionowej, metylomalonowej i izowalerianowej, genetycznie uwarunkowanych zaburzeń metabolicznych, dotyczących metabolizmu aminokwasów, szczególnie aminokwasów rozgałęzionych (izoleucyna, leucyna i walina).</w:t>
            </w:r>
            <w:r w:rsidRPr="000F4539"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0F453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5621C03B" w14:textId="77777777" w:rsidR="005023B3" w:rsidRPr="005F7844" w:rsidRDefault="005023B3" w:rsidP="005023B3">
      <w:pPr>
        <w:rPr>
          <w:rFonts w:ascii="Lato" w:hAnsi="Lato"/>
        </w:rPr>
      </w:pPr>
    </w:p>
    <w:p w14:paraId="67D86BE0" w14:textId="77777777" w:rsidR="005023B3" w:rsidRPr="005F7844" w:rsidRDefault="005023B3" w:rsidP="005023B3">
      <w:pPr>
        <w:suppressAutoHyphens w:val="0"/>
        <w:rPr>
          <w:rFonts w:ascii="Lato" w:hAnsi="Lato"/>
        </w:rPr>
      </w:pPr>
      <w:r w:rsidRPr="005F7844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645"/>
        <w:gridCol w:w="2504"/>
        <w:gridCol w:w="9200"/>
      </w:tblGrid>
      <w:tr w:rsidR="005023B3" w:rsidRPr="005F7844" w14:paraId="07D262B6" w14:textId="77777777" w:rsidTr="00767F8E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6569" w14:textId="77777777" w:rsidR="005023B3" w:rsidRPr="005F7844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5F7844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5023B3" w:rsidRPr="005F7844" w14:paraId="6CE126EC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9372" w14:textId="77777777" w:rsidR="005023B3" w:rsidRPr="00902F5E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02F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4025" w14:textId="77777777" w:rsidR="005023B3" w:rsidRPr="00902F5E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02F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D370" w14:textId="77777777" w:rsidR="005023B3" w:rsidRPr="00902F5E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02F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3D3D" w14:textId="77777777" w:rsidR="005023B3" w:rsidRPr="00902F5E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02F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023B3" w:rsidRPr="005F7844" w14:paraId="3F571D60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1CCE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C20F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8E44" w14:textId="77777777" w:rsidR="005023B3" w:rsidRPr="00485DCA" w:rsidRDefault="005023B3" w:rsidP="00767F8E">
            <w:pPr>
              <w:autoSpaceDE w:val="0"/>
              <w:adjustRightInd w:val="0"/>
              <w:spacing w:before="60" w:after="60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B838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Dodanie możliwości kwalifikacji pacjentów z przerzutami do ośrodkowego układu nerwowego (OUN) w leczeniu drobnokomórkowego raka płuca durwalumabem albo atezolizumabem.</w:t>
            </w:r>
          </w:p>
        </w:tc>
      </w:tr>
      <w:tr w:rsidR="005023B3" w:rsidRPr="005F7844" w14:paraId="1E911989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CE56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6048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75FC" w14:textId="77777777" w:rsidR="005023B3" w:rsidRPr="00485DCA" w:rsidRDefault="005023B3" w:rsidP="00767F8E">
            <w:pPr>
              <w:autoSpaceDE w:val="0"/>
              <w:adjustRightInd w:val="0"/>
              <w:spacing w:before="60" w:after="60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177F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Umożliwienie zastosowania leczenia u pacjentów w III stadium zaawansowania choroby, u których nie jest możliwe leczenie radykalne oraz umożliwienie kontynuacji terapii u chorych z chorobą oligometastatyczną. Dodatkowo wprowadzono możliwość zastosowania terapii u chorych z niedrobnokomórkowym rakiem płuca, u których występują inne nowotwory kontrolowane leczeniem.</w:t>
            </w:r>
          </w:p>
        </w:tc>
      </w:tr>
      <w:tr w:rsidR="005023B3" w:rsidRPr="005F7844" w14:paraId="799361B3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71A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58E1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B.8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8C93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CHORYCH NA MIĘSAKI TKANEK MIĘKKICH (ICD-10: C48, C49)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BF44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Kompleksowa zmiana budowy programu lekowego dotyczącego leczenia pacjentów z mięsakami tkanek miękkich zainicjowana przeniesieniem sunitynibu do katalogu chemioterapii. Ujednolicono oraz uproszczono kryteria kwalifikacji oraz wyłączenia z programu wobec dwóch pozostałych terapii. W przypadku trabektedyny rozszerzono kryterium włączenia o pacjentów ze stanem sprawności ocenionym na 2 wg ECOG. Zmiany porządkujące objęły także zapisy dotyczące dawkowania, jak również badań diagnostycznych wykonywanych w trakcie kwalifikacji i monitorowania leczenia.</w:t>
            </w:r>
          </w:p>
        </w:tc>
      </w:tr>
      <w:tr w:rsidR="005023B3" w:rsidRPr="005F7844" w14:paraId="3FA72779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139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D34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7748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PIERSI (ICD-10: C50)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BDE1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Korekta zapisów dotyczących linii leczenia dla dwóch substancji: talazoparyb oraz sacytuzumab gowetikan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stosowanych w leczeniu przerzutowego potrójnie ujemnego raka piersi.</w:t>
            </w:r>
          </w:p>
        </w:tc>
      </w:tr>
      <w:tr w:rsidR="005023B3" w:rsidRPr="005F7844" w14:paraId="60ED3AE0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126B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54F6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1CC9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PACJENTÓW Z RAKIEM NERKI (ICD-10 C64)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266F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Ujednolicenie kryteriów kwalifikacji, wyłączenia oraz badań diagnostycznych, a także monitorowania bezpieczeństwa i skuteczności leczenia.</w:t>
            </w:r>
          </w:p>
        </w:tc>
      </w:tr>
      <w:tr w:rsidR="005023B3" w:rsidRPr="005F7844" w14:paraId="0E6CBA16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9951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6827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B.12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950F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21B6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Połączenie w jeden program lekowy „Leczenie chorych na chłoniaki B-komórkowe (ICD-10: C82, C83, C85)”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aktualnie refundowanych terapii we wskazaniu leczenie chorych na chłoniaki B-komórkowe w ramach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programów lekowych: </w:t>
            </w:r>
          </w:p>
          <w:p w14:paraId="3C8F24F9" w14:textId="77777777" w:rsidR="005023B3" w:rsidRPr="00485DCA" w:rsidRDefault="005023B3" w:rsidP="00767F8E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B.12. „Leczenie chorych na chłoniaki złośliwe (ICD-10 C82.0; C82.1; C82.7)” oraz </w:t>
            </w:r>
          </w:p>
          <w:p w14:paraId="5A8A46D6" w14:textId="77777777" w:rsidR="005023B3" w:rsidRPr="00485DCA" w:rsidRDefault="005023B3" w:rsidP="00767F8E">
            <w:pPr>
              <w:pStyle w:val="Akapitzlist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B.93. „Leczenie chorych na chłoniaki rozlane z dużych komórek B oraz inne chłoniaki B-komórkowe (ICD-10: C83, C85)”,</w:t>
            </w:r>
          </w:p>
          <w:p w14:paraId="05CC6C8B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 jednoczesnym przeniesieniem lenalidomidu z programu lekowego B.93. do katalogu chemioterapii.</w:t>
            </w:r>
          </w:p>
        </w:tc>
      </w:tr>
      <w:tr w:rsidR="005023B3" w:rsidRPr="005F7844" w14:paraId="1DC228C4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8A32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A6D0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3CC7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UMIARKOWANEJ I CIĘŻKIEJ POSTACI ŁUSZCZYCY PLACKOWATEJ (ICD-10: L40.0)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4F26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o umiarkowaną postać łuszczycy plackowatej dla leków dotychczas dostępnych w ciężkiej postaci łuszczycy, zniesienie limitu czasu leczenia oraz obniżenie wieku leczenia adalimumabem do pacjentów powyżej 4 roku życia i leczenia ustekinumabem, iksekizumabem, sekukinumabem</w:t>
            </w:r>
            <w:r w:rsidRPr="00485DCA">
              <w:rPr>
                <w:rFonts w:ascii="Lato" w:hAnsi="Lato"/>
                <w:sz w:val="18"/>
                <w:szCs w:val="18"/>
              </w:rPr>
              <w:t xml:space="preserve"> </w:t>
            </w:r>
            <w:r w:rsidRPr="00485DCA">
              <w:rPr>
                <w:rFonts w:ascii="Lato" w:hAnsi="Lato" w:cstheme="majorHAnsi"/>
                <w:sz w:val="18"/>
                <w:szCs w:val="18"/>
              </w:rPr>
              <w:t>do pacjentów</w:t>
            </w:r>
            <w:r w:rsidRPr="00485DCA">
              <w:rPr>
                <w:rFonts w:ascii="Lato" w:hAnsi="Lato"/>
                <w:sz w:val="18"/>
                <w:szCs w:val="18"/>
              </w:rPr>
              <w:t xml:space="preserve">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powyżej 6 roku życia. Dodatkowo wprowadzono monitorowanie skuteczności leczenia przez Zespół Koordynacyjny,  możliwość przeprowadzenia wizyty w programie w formie zdalnej konsultacji oraz uregulowano sprawę leczenia w warunkach domowych.</w:t>
            </w:r>
          </w:p>
        </w:tc>
      </w:tr>
      <w:tr w:rsidR="005023B3" w:rsidRPr="005F7844" w14:paraId="0279251A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B760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5A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E19D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 xml:space="preserve">LECZENIE CHORYCH NA SZPICZAKA </w:t>
            </w: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  <w:t xml:space="preserve">PLAZMOCYTOWEGO </w:t>
            </w: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  <w:t>(ICD-10: C90.0)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2EA9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kompleksowych zmian w dotychczasowym opisie programu lekowego B.54. uwzględniających m.in.: </w:t>
            </w:r>
          </w:p>
          <w:p w14:paraId="74B2CF13" w14:textId="77777777" w:rsidR="005023B3" w:rsidRPr="00485DCA" w:rsidRDefault="005023B3" w:rsidP="00767F8E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udostępnienie nowych, dotychczas nierefundowanych terapii DVTd, DRd, EloPd oraz </w:t>
            </w:r>
          </w:p>
          <w:p w14:paraId="0ABF0943" w14:textId="77777777" w:rsidR="005023B3" w:rsidRPr="00485DCA" w:rsidRDefault="005023B3" w:rsidP="00767F8E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dla aktualnie refundowanych terapii Pd, DVd, KRd, IRd,</w:t>
            </w:r>
          </w:p>
          <w:p w14:paraId="5DD2FE78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 jednoczesnym przeniesieniem lenalidomidu z programu lekowego B.54. do katalogu chemioterapii.</w:t>
            </w:r>
          </w:p>
        </w:tc>
      </w:tr>
      <w:tr w:rsidR="005023B3" w:rsidRPr="005F7844" w14:paraId="1450FC06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124F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65EC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FE00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3C16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Zniesienie zapisów dotyczących leczenia cyklosporyną w kolumnie Świadczeniobiorcy dla pacjentów kwalifikujących się do leczenia ciężkiej lub umiarkowanej postaci wrzodziejącego zapalenia jelita grubego.</w:t>
            </w:r>
          </w:p>
        </w:tc>
      </w:tr>
      <w:tr w:rsidR="005023B3" w:rsidRPr="005F7844" w14:paraId="0B7046C6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3877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EF3E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F858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F1C7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Zasadniczą zmianą w programie lekowym jest kompleksowe uwzględnienie wszystkich opcji leczenia w ramach jednego programu lekowego, czego efektem, jest zmiana jego nazwy z „B.56. Leczenie chorych na opornego na kastrację raka gruczołu krokowego (ICD-10: C61)” na „B.56. Leczenie chorych na raka gruczołu krokowego (ICD-10: C61)”. Zmiana ta obejmuje uwzględnienie refundowanych już w ramach obecnego programu opcji terapeutycznych, jak również nowych możliwości terapeutycznych znajdujących się w procesie refundacyjnym (tj. apalutamid w mHSPC oraz kabazytaksel, olaparyb w mCRPC). Zmiany zapisów mają charakter porządkujący oraz dostosowują zapisy programu lekowego do aktualnych wytycznych klinicznych. Główną zmianą są zapisy odnoszące się do progresji choroby w kryteriach wyłączenia z programu lekowego.</w:t>
            </w:r>
          </w:p>
        </w:tc>
      </w:tr>
      <w:tr w:rsidR="005023B3" w:rsidRPr="005F7844" w14:paraId="3C4BCC58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C77C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CAAB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B.61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EE3E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CYSTYNOZĘ NEFROPATYCZNĄ (ICD-10: E72.0)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9E7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Dodano zapisy porządkujące schemat leczenia chorych na cystynozę nefropatyczną w ramach programu lekowego. </w:t>
            </w:r>
          </w:p>
        </w:tc>
      </w:tr>
      <w:tr w:rsidR="005023B3" w:rsidRPr="005F7844" w14:paraId="76F26B35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28E1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2291" w14:textId="77777777" w:rsidR="005023B3" w:rsidRPr="00485DCA" w:rsidRDefault="005023B3" w:rsidP="00767F8E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B.66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04EB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LECZENIE CHORYCH NA CHŁONIAKI T-KOMÓRKOWE (ICD-10: C84)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88F5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program lekowy „Leczenie chorych na chłoniaki T-komórkowe (ICD-10: C84)” aktualnie refundowanych terapii we wskazaniu leczenie chorych na chłoniaki T-komórkowe w ramach programów lekowych:</w:t>
            </w:r>
          </w:p>
          <w:p w14:paraId="77A6F3D2" w14:textId="77777777" w:rsidR="005023B3" w:rsidRPr="00485DCA" w:rsidRDefault="005023B3" w:rsidP="00767F8E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B.66. „Leczenie chorych na pierwotne chłoniaki skórne T–komórkowe (ICD – 10: C 84)” oraz</w:t>
            </w:r>
          </w:p>
          <w:p w14:paraId="5AE4B0CE" w14:textId="77777777" w:rsidR="005023B3" w:rsidRPr="00485DCA" w:rsidRDefault="005023B3" w:rsidP="00767F8E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B.77. „Leczenie chorych na chłoniaki CD30+ (C 81; C 84.5)”, z jednoczesnym:</w:t>
            </w:r>
          </w:p>
          <w:p w14:paraId="125FAFDF" w14:textId="77777777" w:rsidR="005023B3" w:rsidRPr="00485DCA" w:rsidRDefault="005023B3" w:rsidP="00767F8E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udostępnieniem terapii brentuksymabem vedotin w skojarzeniu z cyklofosfamidem, doksorubicyną i prednizonem (CHP) w I linii leczenia dorosłych chorych na układowego chłoniaka anaplastycznego z dużych komórek (sALCL).</w:t>
            </w:r>
          </w:p>
          <w:p w14:paraId="7BEABA1A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Zniesienie kryterium kwalifikacyjnego do leczenia chorych na chłoniaka sALCL ze stwierdzonym nawrotem lub opornością na leczenie, tj.: „nieobecność przeciwwskazań do allogenicznego przeszczepienia komórek krwiotwórczych w razie uzyskania odpowiedzi częściowej”.</w:t>
            </w:r>
          </w:p>
        </w:tc>
      </w:tr>
      <w:tr w:rsidR="005023B3" w:rsidRPr="005F7844" w14:paraId="1C2466CA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C285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24E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89F2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DA10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 Zaktualizowano wskaźniki dokumentujące stopień zaawansowania choroby wątroby poprzez dodanie wskaźnika APRI oraz FIB-4. Zniesiono konieczność oznaczania genotypu HCV w przypadku pacjentów włączonych pierwszorazowo do terapii pangenotypowej. Dodatkowo zmianie uległy zapisy dotyczące monitorowania leczenia w programie – w określonych przypadkach klinicznych możliwe jest odstąpienie od wizyt monitorujących leczenie w trakcie terapii.</w:t>
            </w:r>
          </w:p>
        </w:tc>
      </w:tr>
      <w:tr w:rsidR="005023B3" w:rsidRPr="005F7844" w14:paraId="5328CB1F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1818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19D9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B.75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7E75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ZIARNINIAKOWATOŚCI Z ZAPALENIEM NACZYŃ (GPA) LUB MIKROSKOPOWEGO ZAPALENIA NACZYŃ (MPA) (ICD-10: M31.3, M31.8)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4C9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Wprowadzenie zmian zapisów dotyczących leczenia podtrzymującego rytuksymabem oraz związane z tym zmiany w zakresie kryteriów zakończenia leczenia w programie lekowym i badań diagnostycznych.</w:t>
            </w:r>
          </w:p>
        </w:tc>
      </w:tr>
      <w:tr w:rsidR="005023B3" w:rsidRPr="005F7844" w14:paraId="7112DC44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44EB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D159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2556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KLASYCZNEGO CHŁONIAKA HODGKINA (ICD-10: C81)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448F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Połączenie w jeden program lekowy „Leczenie chorych na klasycznego chłoniaka Hodgkina (ICD-10: C81)” aktualnie refundowanych terapii we wskazaniu leczenie chorych na chłoniaka Hodgkina w ramach programów lekowych:</w:t>
            </w:r>
          </w:p>
          <w:p w14:paraId="6B050680" w14:textId="77777777" w:rsidR="005023B3" w:rsidRPr="00485DCA" w:rsidRDefault="005023B3" w:rsidP="00767F8E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B.77. „Leczenie chorych na chłoniaki CD30+ (C 81; C 84.5)” oraz</w:t>
            </w:r>
          </w:p>
          <w:p w14:paraId="3AD75390" w14:textId="77777777" w:rsidR="005023B3" w:rsidRPr="00485DCA" w:rsidRDefault="005023B3" w:rsidP="00767F8E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B.100. „Leczenie chorych na oporną i nawrotową postać klasycznego chłoniaka Hodgkina z zastosowaniem niwolumabu (ICD-10: C81)”, z jednoczesnym:</w:t>
            </w:r>
          </w:p>
          <w:p w14:paraId="71AD86EA" w14:textId="77777777" w:rsidR="005023B3" w:rsidRPr="00485DCA" w:rsidRDefault="005023B3" w:rsidP="00767F8E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zniesieniem kryterium kwalifikacyjnego do leczenia brentuksymabem vedotin chorych na chłoniaka Hodgkina ze stwierdzonym nawrotem lub opornością na leczenie, tj.: „nieobecność przeciwwskazań do allogenicznego przeszczepienia komórek krwiotwórczych w razie uzyskania odpowiedzi częściowej”.</w:t>
            </w:r>
          </w:p>
          <w:p w14:paraId="291DA36A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do leczenia niwolumabem (umożliwienie leczenia w przypadku nawrotu lub oporności na leczenie brentuksymabem vedotin, gdy auto-HSCT nie stanowiło opcji leczenia, umożliwienie leczenia pacjentów o stanie sprawności wg ECOG: 2).</w:t>
            </w:r>
          </w:p>
        </w:tc>
      </w:tr>
      <w:tr w:rsidR="005023B3" w:rsidRPr="005F7844" w14:paraId="62C20372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16D5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EC94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C5B4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5F5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Połączenie w jeden scalony program lekowy B.79. „Leczenie chorych na przewlekłą białaczkę limfocytową (ICD-10: C91.1)” aktualnie refundowanych terapii w ramach programów lekowych: </w:t>
            </w:r>
          </w:p>
          <w:p w14:paraId="4FF12583" w14:textId="77777777" w:rsidR="005023B3" w:rsidRPr="00485DCA" w:rsidRDefault="005023B3" w:rsidP="00767F8E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B.79. „Leczenie przewlekłej białaczki limfocytowej obinutuzumabem (ICD 10: C.91.1)”, </w:t>
            </w:r>
          </w:p>
          <w:p w14:paraId="7138EB4D" w14:textId="77777777" w:rsidR="005023B3" w:rsidRPr="00485DCA" w:rsidRDefault="005023B3" w:rsidP="00767F8E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B.92. „Leczenie chorych na przewlekłą białaczkę limfocytową ibrutynibem (ICD 10: C91.1)”, </w:t>
            </w:r>
          </w:p>
          <w:p w14:paraId="2FA7EB93" w14:textId="77777777" w:rsidR="005023B3" w:rsidRPr="00485DCA" w:rsidRDefault="005023B3" w:rsidP="00767F8E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B.103. „Leczenie chorych na przewlekłą białaczkę limfocytową wenetoklaksem (ICD-10: C.91.1)”, z jednoczesnym: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ab/>
            </w:r>
          </w:p>
          <w:p w14:paraId="580530F4" w14:textId="77777777" w:rsidR="005023B3" w:rsidRPr="00485DCA" w:rsidRDefault="005023B3" w:rsidP="00767F8E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udostępnienie terapii ibrutynibem i akalabrutynibem w I linii leczenia</w:t>
            </w:r>
            <w:r w:rsidRPr="00485DCA">
              <w:rPr>
                <w:rFonts w:ascii="Lato" w:hAnsi="Lato"/>
                <w:sz w:val="18"/>
                <w:szCs w:val="18"/>
              </w:rPr>
              <w:t xml:space="preserve">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chorych na przewlekłą białaczkę limfocytową z delecją 17p (del17p) / mutacją w genie </w:t>
            </w:r>
            <w:r w:rsidRPr="00485DC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485DC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niezmutowanym statusem </w:t>
            </w:r>
            <w:r w:rsidRPr="00485DC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IgHV 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oraz</w:t>
            </w:r>
          </w:p>
          <w:p w14:paraId="5A33F694" w14:textId="77777777" w:rsidR="005023B3" w:rsidRPr="00485DCA" w:rsidRDefault="005023B3" w:rsidP="00767F8E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udostępnienie terapii akalabrutynibem od II linii leczenia.</w:t>
            </w:r>
          </w:p>
          <w:p w14:paraId="168761D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aktualnie refundowanego wskazania dla ibrutynibu od II linii leczenia pacjentów bez delecji 17p (del17p) / mutacją w genie </w:t>
            </w:r>
            <w:r w:rsidRPr="00485DC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(mut</w:t>
            </w:r>
            <w:r w:rsidRPr="00485DC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TP53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5023B3" w:rsidRPr="005F7844" w14:paraId="05A8348E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140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A57D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B.90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8ECB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C840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Wprowadzenie zmian w treści programu lekowego w zakresie:</w:t>
            </w:r>
          </w:p>
          <w:p w14:paraId="25163C88" w14:textId="77777777" w:rsidR="005023B3" w:rsidRPr="00485DCA" w:rsidRDefault="005023B3" w:rsidP="005023B3">
            <w:pPr>
              <w:pStyle w:val="Akapitzlist"/>
              <w:numPr>
                <w:ilvl w:val="0"/>
                <w:numId w:val="2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aktualizacji kryteriów diagnostycznych na MDS Clinical Diagnostic Criteria for Parkinson’s Disease;</w:t>
            </w:r>
          </w:p>
          <w:p w14:paraId="611CFBDB" w14:textId="77777777" w:rsidR="005023B3" w:rsidRPr="00485DCA" w:rsidRDefault="005023B3" w:rsidP="005023B3">
            <w:pPr>
              <w:pStyle w:val="Akapitzlist"/>
              <w:numPr>
                <w:ilvl w:val="0"/>
                <w:numId w:val="2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aktualizacji kryteriów czasu trwania choroby na co najmniej 5 lat;</w:t>
            </w:r>
          </w:p>
          <w:p w14:paraId="2FF6E138" w14:textId="77777777" w:rsidR="005023B3" w:rsidRPr="00485DCA" w:rsidRDefault="005023B3" w:rsidP="005023B3">
            <w:pPr>
              <w:pStyle w:val="Akapitzlist"/>
              <w:numPr>
                <w:ilvl w:val="0"/>
                <w:numId w:val="2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aktualizacji kryteriów dotyczących występowania stanów off/on i dyskinez;</w:t>
            </w:r>
          </w:p>
          <w:p w14:paraId="2D2AE0F6" w14:textId="77777777" w:rsidR="005023B3" w:rsidRPr="00485DCA" w:rsidRDefault="005023B3" w:rsidP="005023B3">
            <w:pPr>
              <w:pStyle w:val="Akapitzlist"/>
              <w:numPr>
                <w:ilvl w:val="0"/>
                <w:numId w:val="2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doprecyzowania kryteriów potwierdzonej skuteczności lewodopy;</w:t>
            </w:r>
          </w:p>
          <w:p w14:paraId="6104F902" w14:textId="77777777" w:rsidR="005023B3" w:rsidRPr="00485DCA" w:rsidRDefault="005023B3" w:rsidP="005023B3">
            <w:pPr>
              <w:pStyle w:val="Akapitzlist"/>
              <w:numPr>
                <w:ilvl w:val="0"/>
                <w:numId w:val="2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uwzględnienia konieczności wcześniejszego stosowania przynajmniej trzech leków przeciwparkinsonowych; (wymóg dotyczy jedynie kwalifikacji do lewodopy z karbidopą);</w:t>
            </w:r>
          </w:p>
          <w:p w14:paraId="16D1B20C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aktualizacji kryteriów oceny odpowiedzi na leczenie i ewentualnego wyłączenia pacjentów z programu.</w:t>
            </w:r>
          </w:p>
        </w:tc>
      </w:tr>
      <w:tr w:rsidR="005023B3" w:rsidRPr="005F7844" w14:paraId="4F5A179D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D5EC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8A42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09C7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DE40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Ujednolicenie kryteriów kwalifikacji do programu dla eltrombopagu, romiplostymu i awatrombopagu poprzez usunięcie zapisu o przeciwskazaniu do wykonania splenektomii lub nieskuteczności splenektomii. Wydłużeniu uległ okres między badaniami okulistycznymi w przypadku leczenia eltrombopagiem z 3 na 12 miesięcy.</w:t>
            </w:r>
          </w:p>
        </w:tc>
      </w:tr>
      <w:tr w:rsidR="005023B3" w:rsidRPr="005F7844" w14:paraId="00260DCC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BE1F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8E2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D877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4D0E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Dodanie trwałej remisji choroby niewymagającej jakiegokolwiek leczenia jako kryterium wyłączenia oraz doprecyzowanie zapisów w kryteriach kwalifikacji do leczenia awatrombopagiem.</w:t>
            </w:r>
          </w:p>
        </w:tc>
      </w:tr>
      <w:tr w:rsidR="005023B3" w:rsidRPr="005F7844" w14:paraId="592673DE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FA63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9968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C.70.d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1328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/>
                <w:i/>
                <w:iCs/>
                <w:sz w:val="18"/>
                <w:szCs w:val="18"/>
              </w:rPr>
              <w:t>IMATINIB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C058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Zmiana kategorii dostępności refundacyjnej imatynibu:</w:t>
            </w:r>
          </w:p>
          <w:p w14:paraId="71CDCF80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C.70.d</w:t>
            </w:r>
          </w:p>
          <w:p w14:paraId="7F9E520A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77BE433D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5023B3" w:rsidRPr="005F7844" w14:paraId="028A32D9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FD77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94B4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C.84.a</w:t>
            </w:r>
          </w:p>
          <w:p w14:paraId="526C6208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C.84.b</w:t>
            </w:r>
          </w:p>
          <w:p w14:paraId="22F99FEE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C.84.c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2AD3" w14:textId="77777777" w:rsidR="005023B3" w:rsidRPr="00A85787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8578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LENALIDOMIDUM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D7CB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lenalidomidu:</w:t>
            </w:r>
          </w:p>
          <w:p w14:paraId="469F32E1" w14:textId="77777777" w:rsidR="005023B3" w:rsidRPr="00485DCA" w:rsidRDefault="005023B3" w:rsidP="00767F8E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B.54. do katalogu chemioterapii C.84.a,</w:t>
            </w:r>
          </w:p>
          <w:p w14:paraId="646FBB0D" w14:textId="77777777" w:rsidR="005023B3" w:rsidRPr="00485DCA" w:rsidRDefault="005023B3" w:rsidP="00767F8E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B.84. do katalogu chemioterapii C.84.b,</w:t>
            </w:r>
          </w:p>
          <w:p w14:paraId="2D67CF58" w14:textId="77777777" w:rsidR="005023B3" w:rsidRPr="00485DCA" w:rsidRDefault="005023B3" w:rsidP="00767F8E">
            <w:pPr>
              <w:pStyle w:val="Akapitzlist"/>
              <w:numPr>
                <w:ilvl w:val="0"/>
                <w:numId w:val="16"/>
              </w:num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B.93. do katalogu chemioterapii C.84.c.</w:t>
            </w:r>
          </w:p>
        </w:tc>
      </w:tr>
      <w:tr w:rsidR="005023B3" w:rsidRPr="005F7844" w14:paraId="120F9624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5413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1AF3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C.86.a</w:t>
            </w:r>
          </w:p>
          <w:p w14:paraId="7E598FA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C.86.b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74EF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i/>
                <w:iCs/>
                <w:sz w:val="18"/>
                <w:szCs w:val="18"/>
              </w:rPr>
              <w:t>TRASTUZUMABUM I.V.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C85F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Zmiana kategorii dostępności refundacyjnej dla trastuzumabu w formie dożylnej:</w:t>
            </w:r>
          </w:p>
          <w:p w14:paraId="7E0EAC4A" w14:textId="77777777" w:rsidR="005023B3" w:rsidRPr="00485DCA" w:rsidRDefault="005023B3" w:rsidP="005023B3">
            <w:pPr>
              <w:pStyle w:val="Akapitzlist"/>
              <w:numPr>
                <w:ilvl w:val="0"/>
                <w:numId w:val="34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B.9.FM – LECZENIE CHORYCH NA RAKA PIERSI (ICD-10: C50) do katalogu chemioterapii C.86.a;</w:t>
            </w:r>
          </w:p>
          <w:p w14:paraId="13F4938A" w14:textId="77777777" w:rsidR="005023B3" w:rsidRPr="00485DCA" w:rsidRDefault="005023B3" w:rsidP="005023B3">
            <w:pPr>
              <w:pStyle w:val="Akapitzlist"/>
              <w:numPr>
                <w:ilvl w:val="0"/>
                <w:numId w:val="34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B.58 -</w:t>
            </w: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85DCA">
              <w:rPr>
                <w:rFonts w:ascii="Lato" w:hAnsi="Lato" w:cstheme="majorHAnsi"/>
                <w:sz w:val="18"/>
                <w:szCs w:val="18"/>
              </w:rPr>
              <w:t>LECZENIE CHORYCH NA ZAAWANSOWANEGO RAKA PRZEŁYKU I ŻOŁĄDKA (ICD-10: C15-C16) do katalogu chemioterapii C.86.b.</w:t>
            </w:r>
          </w:p>
          <w:p w14:paraId="28CCC3F7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 xml:space="preserve">W leczeniu raka piersi wprowadzono możliwość leczenia trastuzumabem dożylnym po progresji w połączeniu z inną terapią przeciwnowotworową. </w:t>
            </w:r>
          </w:p>
          <w:p w14:paraId="5286A25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 xml:space="preserve">W zakresie drugiego wskazania wprowadzono możliwość leczenia gruczolakoraka żołądka oraz połączenia przełykowo-żołądkowego trastuzumabem dożylnym, a także umożliwiono skojarzenie terapii z oksaliplatyną. </w:t>
            </w:r>
          </w:p>
        </w:tc>
      </w:tr>
      <w:tr w:rsidR="005023B3" w:rsidRPr="005F7844" w14:paraId="1F213746" w14:textId="77777777" w:rsidTr="00767F8E">
        <w:trPr>
          <w:cantSplit/>
          <w:trHeight w:val="949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9A12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B12E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C.87.a</w:t>
            </w:r>
          </w:p>
          <w:p w14:paraId="7388094D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C.87.b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B5C6" w14:textId="77777777" w:rsidR="005023B3" w:rsidRPr="00A85787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A85787">
              <w:rPr>
                <w:rFonts w:ascii="Lato" w:hAnsi="Lato" w:cstheme="majorHAnsi"/>
                <w:i/>
                <w:iCs/>
                <w:sz w:val="18"/>
                <w:szCs w:val="18"/>
              </w:rPr>
              <w:t>OCTAN ABIRATERONU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4EDC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octanu abirateronu z programu lekowego B.56 - LECZENIE CHORYCH OPORNEGO NA KASTRACJĘ RAKA GRUCZOŁU KROKOWEGO (ICD-10: C61) do katalogów chemioterapii C.87.a i C.87.b.</w:t>
            </w:r>
          </w:p>
        </w:tc>
      </w:tr>
      <w:tr w:rsidR="005023B3" w:rsidRPr="005F7844" w14:paraId="1FE20E39" w14:textId="77777777" w:rsidTr="00767F8E">
        <w:trPr>
          <w:cantSplit/>
          <w:trHeight w:val="949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3AE4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1B16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C.88.a</w:t>
            </w:r>
            <w:r w:rsidRPr="00485DCA">
              <w:rPr>
                <w:rFonts w:ascii="Lato" w:hAnsi="Lato" w:cstheme="majorHAnsi"/>
                <w:sz w:val="18"/>
                <w:szCs w:val="18"/>
              </w:rPr>
              <w:br/>
            </w: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C.88.b</w:t>
            </w: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C.88.c</w:t>
            </w: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C.88.d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082A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/>
                <w:i/>
                <w:iCs/>
                <w:sz w:val="18"/>
                <w:szCs w:val="18"/>
              </w:rPr>
              <w:t>SUNITINIB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FFAF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Zmiana kategorii dostępności refundacyjnej sunitynibu:</w:t>
            </w:r>
          </w:p>
          <w:p w14:paraId="29BCC0E8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C.88.a,</w:t>
            </w:r>
          </w:p>
          <w:p w14:paraId="49414013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B.8 - LECZENIE CHORYCH NA MIĘSAKI TKANEK MIĘKKICH (ICD-10: C48, C49) do katalogu chemioterapii C.88.b,</w:t>
            </w:r>
          </w:p>
          <w:p w14:paraId="6743F0CB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C.88.c,</w:t>
            </w:r>
          </w:p>
          <w:p w14:paraId="3479780F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C.88.d.</w:t>
            </w:r>
          </w:p>
          <w:p w14:paraId="32FFA8E6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14FF440B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5023B3" w:rsidRPr="005F7844" w14:paraId="488DE9BE" w14:textId="77777777" w:rsidTr="00767F8E">
        <w:trPr>
          <w:cantSplit/>
          <w:trHeight w:val="949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6B56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98C8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C.89.a</w:t>
            </w: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C.89.b</w:t>
            </w:r>
            <w:r w:rsidRPr="00485DCA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C.89.c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28FD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/>
                <w:i/>
                <w:iCs/>
                <w:sz w:val="18"/>
                <w:szCs w:val="18"/>
              </w:rPr>
              <w:t>SORAFENIB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6753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Zmiana kategorii dostępności refundacyjnej sorafenibu:</w:t>
            </w:r>
          </w:p>
          <w:p w14:paraId="18C9A6E8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C.89.a,</w:t>
            </w:r>
          </w:p>
          <w:p w14:paraId="0B14DE43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B.5 - LECZENIE CHORYCH NA RAKA WĄTROBOWOKOMÓRKOWEGO (ICD-10: C22.0) do katalogu chemioterapii C.89.b,</w:t>
            </w:r>
          </w:p>
          <w:p w14:paraId="3A9F6ADC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C.89.c.</w:t>
            </w:r>
          </w:p>
          <w:p w14:paraId="10D34E72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15751AB2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5023B3" w:rsidRPr="005F7844" w14:paraId="204220EC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F804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6AB3" w14:textId="77777777" w:rsidR="005023B3" w:rsidRPr="00485DCA" w:rsidRDefault="005023B3" w:rsidP="00767F8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C.91.a</w:t>
            </w:r>
            <w:r w:rsidRPr="00485DC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  <w:t>C.91.b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262C" w14:textId="77777777" w:rsidR="005023B3" w:rsidRPr="00485DCA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/>
                <w:i/>
                <w:iCs/>
                <w:sz w:val="18"/>
                <w:szCs w:val="18"/>
              </w:rPr>
              <w:t>EVEROLIMUS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5B52" w14:textId="77777777" w:rsidR="005023B3" w:rsidRPr="00485DCA" w:rsidRDefault="005023B3" w:rsidP="00767F8E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Zmiana kategorii dostępności refundacyjnej ewerolimusu:</w:t>
            </w:r>
          </w:p>
          <w:p w14:paraId="3D464403" w14:textId="77777777" w:rsidR="005023B3" w:rsidRPr="00485DCA" w:rsidRDefault="005023B3" w:rsidP="005023B3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C.91.a,</w:t>
            </w:r>
          </w:p>
          <w:p w14:paraId="4BABFE28" w14:textId="77777777" w:rsidR="005023B3" w:rsidRPr="00485DCA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85DCA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C.91.b.</w:t>
            </w:r>
          </w:p>
        </w:tc>
      </w:tr>
    </w:tbl>
    <w:p w14:paraId="23F5AFCA" w14:textId="48D83D83" w:rsidR="00635695" w:rsidRDefault="00635695" w:rsidP="005023B3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2ABCB8F6" w14:textId="77777777" w:rsidR="00635695" w:rsidRDefault="00635695">
      <w:pPr>
        <w:suppressAutoHyphens w:val="0"/>
        <w:autoSpaceDN/>
        <w:spacing w:line="259" w:lineRule="auto"/>
        <w:textAlignment w:val="auto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236598C0" w14:textId="77777777" w:rsidR="005023B3" w:rsidRPr="005F7844" w:rsidRDefault="005023B3" w:rsidP="005023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5F7844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400"/>
        <w:gridCol w:w="3649"/>
      </w:tblGrid>
      <w:tr w:rsidR="005023B3" w:rsidRPr="00466A25" w14:paraId="5543EDCD" w14:textId="77777777" w:rsidTr="00767F8E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B25A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5023B3" w:rsidRPr="00466A25" w14:paraId="5F11B4C6" w14:textId="77777777" w:rsidTr="00767F8E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B9C6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66A25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023B3" w:rsidRPr="00466A25" w14:paraId="6A2B4920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F396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8B4C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Nazwa leku, środka spożywczego specjalnego przeznaczenia lub wyrobu </w:t>
            </w:r>
            <w:r w:rsidRPr="00466A25">
              <w:rPr>
                <w:rFonts w:ascii="Lato" w:hAnsi="Lato" w:cstheme="majorHAnsi"/>
                <w:b/>
                <w:bCs/>
                <w:sz w:val="18"/>
                <w:szCs w:val="18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B93A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BF04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A0DE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5023B3" w:rsidRPr="00466A25" w14:paraId="4A634512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4C2F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6EB4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Jorveza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E21B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032C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eozynofilowego zapalenia przełyku (ang. eosinophilic esophagitis, EoE) u pacjentów uprzednio leczonych inhibitorami pompy protonowej (IPP) – leczenie indukcyjne, do 12 tygodni (warunkiem wdrożenia leczenia jest udokumentowanie wykonania badania endoskopowego z pobraniem do oceny histopatologicznej co najmniej 6 wycinków błony śluzowej z proksymalnej i dystalnej części przełyku, z potwierdzeniem EoE poprzez obecność równej lub większej od 15 liczby eozynofilii w dużym powiększeniu)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6EE6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Pierwszy lek z kortykosteroidem do stosowania doustnego o działaniu miejscowym na przewód pokarmowy wykorzystywany w leczeniu eozynofilowego zapalenia przełyku. </w:t>
            </w:r>
          </w:p>
        </w:tc>
      </w:tr>
      <w:tr w:rsidR="005023B3" w:rsidRPr="00466A25" w14:paraId="33C33636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A35F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5990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Neocate Syneo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24A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dieta eliminacyjna mlekozastępcza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26CB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0A57">
              <w:rPr>
                <w:rFonts w:ascii="Lato" w:hAnsi="Lato" w:cstheme="majorHAnsi"/>
                <w:color w:val="000000"/>
                <w:sz w:val="18"/>
                <w:szCs w:val="18"/>
              </w:rPr>
              <w:t>Postępowanie dietetyczne w ciężkiej alergii na białka mleka krowiego oraz złożonej nietolerancji białek pokarmowych u pacjentów do ukończenia 18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FF48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Zabezpieczenie pacjentów pediatrycznych powyżej 1 roku życia z ciężką alergią na białka mleka krowiego.</w:t>
            </w:r>
          </w:p>
        </w:tc>
      </w:tr>
      <w:tr w:rsidR="005023B3" w:rsidRPr="00466A25" w14:paraId="47E9E47F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347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E695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Ontozry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28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cenobamat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6B39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napadów ogniskowych ulegających albo nieulegających wtórnemu uogólnieniu u dorosłych pacjentów z padaczką z brakiem kontroli napadów lub nietolerancją leczenia po zastosowaniu co najmniej jednej próby terapii dodanej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81C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Pierwszy lek przeciwpadaczkowy z cenobamatem – substancją czynną o podwójnym mechanizmie działania.</w:t>
            </w:r>
          </w:p>
        </w:tc>
      </w:tr>
      <w:tr w:rsidR="005023B3" w:rsidRPr="00466A25" w14:paraId="6EE2089C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AC4F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3A2C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Suliqua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A458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 glargine + liksysenatyd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F45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Cukrzyca typu 2 u pacjentów leczonych co najmniej dwoma lekami hipoglikemizującymi, z HbA1c ≥ 7,5%, z otyłością definiowaną jako BMI ≥30 kg/m2 oraz bardzo wysokim ryzykiem sercowo-naczyniowym rozumianym jako: 1)potwierdzona choroba sercowo-naczyniowa, lub 2)uszkodzenie innych narządów objawiające się poprzez: białkomocz lub przerost lewej komory lub retinopatię, lub 3)obecność 2 lub więcej głównych czynników ryzyka spośród wymienionych poniżej: -wiek ≥ 55 lat dla mężczyzn, ≥60 lat dla kobiet, -dyslipidemia, -nadciśnienie tętnicze, -palenie tytoniu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38F6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66A25">
              <w:rPr>
                <w:rFonts w:ascii="Lato" w:hAnsi="Lato" w:cstheme="majorHAnsi"/>
                <w:color w:val="000000"/>
                <w:sz w:val="18"/>
                <w:szCs w:val="18"/>
              </w:rPr>
              <w:t>Pierwszy lek refundowany w cukrzycy stanowiący połączenie analogu GLP-1 oraz insuliny glargine.</w:t>
            </w:r>
          </w:p>
        </w:tc>
      </w:tr>
      <w:tr w:rsidR="005023B3" w:rsidRPr="00466A25" w14:paraId="103C4584" w14:textId="77777777" w:rsidTr="00767F8E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414E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3842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7151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Ylpio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1D9B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31D5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indapamid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B726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151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FFC0" w14:textId="77777777" w:rsidR="005023B3" w:rsidRPr="00466A25" w:rsidRDefault="005023B3" w:rsidP="00767F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151D">
              <w:rPr>
                <w:rFonts w:ascii="Lato" w:hAnsi="Lato" w:cstheme="majorHAnsi"/>
                <w:color w:val="000000"/>
                <w:sz w:val="18"/>
                <w:szCs w:val="18"/>
              </w:rPr>
              <w:t>Nowe połączenie cząsteczek – objęcie refundacją w ramach grupy limitowej 45.0 Antagoniści angiotensyny II - produkty jednoskładnikowe i złożone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7343877B" w14:textId="77777777" w:rsidR="005023B3" w:rsidRDefault="005023B3" w:rsidP="005023B3">
      <w:pPr>
        <w:spacing w:line="252" w:lineRule="auto"/>
        <w:jc w:val="both"/>
        <w:textAlignment w:val="auto"/>
        <w:rPr>
          <w:rFonts w:ascii="Lato" w:hAnsi="Lato" w:cs="Calibri Light"/>
          <w:sz w:val="24"/>
          <w:szCs w:val="24"/>
        </w:rPr>
      </w:pPr>
    </w:p>
    <w:p w14:paraId="00B1722C" w14:textId="77777777" w:rsidR="005023B3" w:rsidRPr="005F7844" w:rsidRDefault="005023B3" w:rsidP="005023B3">
      <w:pPr>
        <w:spacing w:line="252" w:lineRule="auto"/>
        <w:jc w:val="both"/>
        <w:textAlignment w:val="auto"/>
        <w:rPr>
          <w:rFonts w:ascii="Lato" w:hAnsi="Lato" w:cs="Calibri Light"/>
          <w:sz w:val="24"/>
          <w:szCs w:val="24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905"/>
        <w:gridCol w:w="7795"/>
        <w:gridCol w:w="3649"/>
      </w:tblGrid>
      <w:tr w:rsidR="005023B3" w:rsidRPr="005F7844" w14:paraId="69323C5D" w14:textId="77777777" w:rsidTr="00767F8E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B875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</w:rPr>
            </w:pPr>
            <w:r w:rsidRPr="005F7844">
              <w:rPr>
                <w:rFonts w:ascii="Lato" w:hAnsi="Lato" w:cstheme="majorHAnsi"/>
                <w:b/>
                <w:bCs/>
                <w:color w:val="FFFFFF"/>
              </w:rPr>
              <w:t>Zmiany we wskazaniach pozarejestracyjnych (off-label)</w:t>
            </w:r>
            <w:r>
              <w:rPr>
                <w:rFonts w:ascii="Lato" w:hAnsi="Lato" w:cstheme="majorHAnsi"/>
                <w:b/>
                <w:bCs/>
                <w:color w:val="FFFFFF"/>
              </w:rPr>
              <w:t xml:space="preserve"> – usunięcie wskazań</w:t>
            </w:r>
          </w:p>
        </w:tc>
      </w:tr>
      <w:tr w:rsidR="005023B3" w:rsidRPr="005F7844" w14:paraId="0164F232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BBA6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BB33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82F2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Usunięte wskazanie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5B94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Powód zmian</w:t>
            </w:r>
          </w:p>
        </w:tc>
      </w:tr>
      <w:tr w:rsidR="005023B3" w:rsidRPr="005F7844" w14:paraId="49FB304D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08D6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B4B7" w14:textId="77777777" w:rsidR="005023B3" w:rsidRPr="005F7844" w:rsidRDefault="005023B3" w:rsidP="00767F8E">
            <w:pPr>
              <w:pStyle w:val="Style2"/>
              <w:widowControl/>
              <w:spacing w:before="120" w:after="120" w:line="240" w:lineRule="auto"/>
              <w:jc w:val="center"/>
              <w:rPr>
                <w:rFonts w:ascii="Lato" w:eastAsia="Calibri" w:hAnsi="Lato" w:cstheme="maj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azatiopryna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8D95" w14:textId="77777777" w:rsidR="005023B3" w:rsidRPr="005F7844" w:rsidRDefault="005023B3" w:rsidP="00767F8E">
            <w:pPr>
              <w:pStyle w:val="Style2"/>
              <w:widowControl/>
              <w:spacing w:before="120" w:after="12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5F7844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sarkoidoza; śródmiąższowe zapalenie płuc - w przypadkach innych niż określone w ChPL – z wyjątkiem idiopatycznego włóknienia płuc; ziarniniakowe choroby płuc – w przypadkach innych niż określone w ChPL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7F10" w14:textId="77777777" w:rsidR="005023B3" w:rsidRPr="005F7844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Brak przedstawienia opinii przez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Konsultanta Krajowego w dziedzinie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chorób płuc.</w:t>
            </w:r>
          </w:p>
        </w:tc>
      </w:tr>
      <w:tr w:rsidR="005023B3" w:rsidRPr="005F7844" w14:paraId="5F9B4C7B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C93F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5678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chlorambucyl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189B" w14:textId="77777777" w:rsidR="005023B3" w:rsidRPr="005F7844" w:rsidRDefault="005023B3" w:rsidP="00767F8E">
            <w:pPr>
              <w:pStyle w:val="Style2"/>
              <w:spacing w:before="120" w:after="12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5F7844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amyloidoza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B213" w14:textId="77777777" w:rsidR="005023B3" w:rsidRPr="005F7844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Negatywna opinia Konsultanta Krajowego.</w:t>
            </w:r>
          </w:p>
        </w:tc>
      </w:tr>
      <w:tr w:rsidR="005023B3" w:rsidRPr="005F7844" w14:paraId="60C1A234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2C2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E1C9" w14:textId="77777777" w:rsidR="005023B3" w:rsidRPr="005F7844" w:rsidRDefault="005023B3" w:rsidP="00767F8E">
            <w:pPr>
              <w:pStyle w:val="Style2"/>
              <w:widowControl/>
              <w:spacing w:before="120" w:after="120" w:line="240" w:lineRule="auto"/>
              <w:jc w:val="center"/>
              <w:rPr>
                <w:rFonts w:ascii="Lato" w:eastAsia="Calibri" w:hAnsi="Lato" w:cstheme="maj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metotreksat</w:t>
            </w: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br/>
              <w:t>(tabletki)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7F50" w14:textId="77777777" w:rsidR="005023B3" w:rsidRPr="005F7844" w:rsidRDefault="005023B3" w:rsidP="00767F8E">
            <w:pPr>
              <w:pStyle w:val="Style2"/>
              <w:widowControl/>
              <w:spacing w:before="120" w:after="12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sarkoidoza; ziarniniakowe choroby płuc - w przypadkach innych niż określone w ChPL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E8BE" w14:textId="77777777" w:rsidR="005023B3" w:rsidRPr="005F7844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Brak przedstawienia opinii przez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Konsultanta Krajowego w dziedzinie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chorób płuc.</w:t>
            </w:r>
          </w:p>
        </w:tc>
      </w:tr>
      <w:tr w:rsidR="005023B3" w:rsidRPr="005F7844" w14:paraId="22F4A654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9548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D6AD" w14:textId="77777777" w:rsidR="005023B3" w:rsidRPr="005F7844" w:rsidRDefault="005023B3" w:rsidP="00767F8E">
            <w:pPr>
              <w:pStyle w:val="Style2"/>
              <w:spacing w:before="120" w:after="120" w:line="240" w:lineRule="auto"/>
              <w:jc w:val="center"/>
              <w:rPr>
                <w:rFonts w:ascii="Lato" w:eastAsia="Calibri" w:hAnsi="Lato" w:cstheme="maj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prednizolon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9DDD" w14:textId="77777777" w:rsidR="005023B3" w:rsidRPr="005F7844" w:rsidRDefault="005023B3" w:rsidP="00767F8E">
            <w:pPr>
              <w:pStyle w:val="Style2"/>
              <w:spacing w:before="120"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stan po przeszczepie nerki u dzieci do 18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FA29" w14:textId="77777777" w:rsidR="005023B3" w:rsidRPr="005F7844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Negatywna opinia Konsultanta Krajowego.</w:t>
            </w:r>
          </w:p>
        </w:tc>
      </w:tr>
      <w:tr w:rsidR="005023B3" w:rsidRPr="005F7844" w14:paraId="0CFB5602" w14:textId="77777777" w:rsidTr="00767F8E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972B" w14:textId="77777777" w:rsidR="005023B3" w:rsidRPr="005F7844" w:rsidRDefault="005023B3" w:rsidP="00767F8E">
            <w:pPr>
              <w:spacing w:before="120"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1E5F" w14:textId="77777777" w:rsidR="005023B3" w:rsidRPr="005F7844" w:rsidRDefault="005023B3" w:rsidP="00767F8E">
            <w:pPr>
              <w:pStyle w:val="Style2"/>
              <w:spacing w:before="120" w:after="12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</w:p>
        </w:tc>
        <w:tc>
          <w:tcPr>
            <w:tcW w:w="2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DC81" w14:textId="77777777" w:rsidR="005023B3" w:rsidRPr="005F7844" w:rsidRDefault="005023B3" w:rsidP="00767F8E">
            <w:pPr>
              <w:pStyle w:val="Style2"/>
              <w:spacing w:before="120"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idiopatyczny zespół nerczycowy - w przypadku nietolerancji cyklosporyny lub oporności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cyklosporynę; toczniowe zapalenie nerek - w przypadku nietolerancji cyklosporyny lub oporności na cyklosporynę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155" w14:textId="77777777" w:rsidR="005023B3" w:rsidRPr="005F7844" w:rsidRDefault="005023B3" w:rsidP="00767F8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F7844">
              <w:rPr>
                <w:rFonts w:ascii="Lato" w:hAnsi="Lato" w:cstheme="majorHAnsi"/>
                <w:color w:val="000000"/>
                <w:sz w:val="18"/>
                <w:szCs w:val="18"/>
              </w:rPr>
              <w:t>Negatywna opinia Konsultanta Krajowego.</w:t>
            </w:r>
          </w:p>
        </w:tc>
      </w:tr>
    </w:tbl>
    <w:p w14:paraId="461EA2FC" w14:textId="77777777" w:rsidR="00F31A50" w:rsidRPr="00F30E39" w:rsidRDefault="009D2617">
      <w:pPr>
        <w:rPr>
          <w:rFonts w:ascii="Lato" w:hAnsi="Lato"/>
        </w:rPr>
      </w:pPr>
    </w:p>
    <w:sectPr w:rsidR="00F31A50" w:rsidRPr="00F30E39" w:rsidSect="005023B3">
      <w:headerReference w:type="first" r:id="rId13"/>
      <w:pgSz w:w="16840" w:h="11907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B87E" w14:textId="77777777" w:rsidR="00833BB4" w:rsidRDefault="00833BB4" w:rsidP="005023B3">
      <w:pPr>
        <w:spacing w:after="0" w:line="240" w:lineRule="auto"/>
      </w:pPr>
      <w:r>
        <w:separator/>
      </w:r>
    </w:p>
  </w:endnote>
  <w:endnote w:type="continuationSeparator" w:id="0">
    <w:p w14:paraId="5482FEEE" w14:textId="77777777" w:rsidR="00833BB4" w:rsidRDefault="00833BB4" w:rsidP="0050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1CB9" w14:textId="77777777" w:rsidR="00833BB4" w:rsidRDefault="00833BB4" w:rsidP="005023B3">
      <w:pPr>
        <w:spacing w:after="0" w:line="240" w:lineRule="auto"/>
      </w:pPr>
      <w:r>
        <w:separator/>
      </w:r>
    </w:p>
  </w:footnote>
  <w:footnote w:type="continuationSeparator" w:id="0">
    <w:p w14:paraId="0F9A3D0B" w14:textId="77777777" w:rsidR="00833BB4" w:rsidRDefault="00833BB4" w:rsidP="0050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1066" w14:textId="595B4160" w:rsidR="005023B3" w:rsidRDefault="005023B3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1CE7F7FD" wp14:editId="0A215EE9">
          <wp:extent cx="2381885" cy="1061720"/>
          <wp:effectExtent l="0" t="0" r="0" b="0"/>
          <wp:docPr id="24" name="Obraz 24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0D4553D4"/>
    <w:multiLevelType w:val="hybridMultilevel"/>
    <w:tmpl w:val="414E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1DA6EA0"/>
    <w:multiLevelType w:val="multilevel"/>
    <w:tmpl w:val="CEDA00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F66E36"/>
    <w:multiLevelType w:val="hybridMultilevel"/>
    <w:tmpl w:val="B5C4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57A3B"/>
    <w:multiLevelType w:val="hybridMultilevel"/>
    <w:tmpl w:val="07C0BF30"/>
    <w:lvl w:ilvl="0" w:tplc="1D247898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02886"/>
    <w:multiLevelType w:val="hybridMultilevel"/>
    <w:tmpl w:val="03E4806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DA22F53"/>
    <w:multiLevelType w:val="hybridMultilevel"/>
    <w:tmpl w:val="75B63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637A"/>
    <w:multiLevelType w:val="hybridMultilevel"/>
    <w:tmpl w:val="35E60092"/>
    <w:lvl w:ilvl="0" w:tplc="CE6E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2A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AD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D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7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C0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66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E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C1196"/>
    <w:multiLevelType w:val="hybridMultilevel"/>
    <w:tmpl w:val="CCC4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77EC9"/>
    <w:multiLevelType w:val="hybridMultilevel"/>
    <w:tmpl w:val="7494F4D8"/>
    <w:lvl w:ilvl="0" w:tplc="042C45CE">
      <w:start w:val="1"/>
      <w:numFmt w:val="bullet"/>
      <w:lvlText w:val=""/>
      <w:lvlJc w:val="left"/>
      <w:pPr>
        <w:ind w:left="720" w:firstLine="4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F5DFF"/>
    <w:multiLevelType w:val="hybridMultilevel"/>
    <w:tmpl w:val="A524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98630">
    <w:abstractNumId w:val="6"/>
  </w:num>
  <w:num w:numId="2" w16cid:durableId="1914123445">
    <w:abstractNumId w:val="4"/>
  </w:num>
  <w:num w:numId="3" w16cid:durableId="1028138023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660530">
    <w:abstractNumId w:val="24"/>
  </w:num>
  <w:num w:numId="6" w16cid:durableId="361247031">
    <w:abstractNumId w:val="5"/>
  </w:num>
  <w:num w:numId="7" w16cid:durableId="1517159504">
    <w:abstractNumId w:val="10"/>
  </w:num>
  <w:num w:numId="8" w16cid:durableId="810516340">
    <w:abstractNumId w:val="11"/>
  </w:num>
  <w:num w:numId="9" w16cid:durableId="1475608739">
    <w:abstractNumId w:val="22"/>
  </w:num>
  <w:num w:numId="10" w16cid:durableId="410858395">
    <w:abstractNumId w:val="1"/>
  </w:num>
  <w:num w:numId="11" w16cid:durableId="50813087">
    <w:abstractNumId w:val="30"/>
  </w:num>
  <w:num w:numId="12" w16cid:durableId="222063204">
    <w:abstractNumId w:val="3"/>
  </w:num>
  <w:num w:numId="13" w16cid:durableId="1163199498">
    <w:abstractNumId w:val="12"/>
  </w:num>
  <w:num w:numId="14" w16cid:durableId="644622116">
    <w:abstractNumId w:val="14"/>
  </w:num>
  <w:num w:numId="15" w16cid:durableId="1332293973">
    <w:abstractNumId w:val="13"/>
  </w:num>
  <w:num w:numId="16" w16cid:durableId="897936310">
    <w:abstractNumId w:val="23"/>
  </w:num>
  <w:num w:numId="17" w16cid:durableId="1839492318">
    <w:abstractNumId w:val="17"/>
  </w:num>
  <w:num w:numId="18" w16cid:durableId="1591818528">
    <w:abstractNumId w:val="8"/>
  </w:num>
  <w:num w:numId="19" w16cid:durableId="819032288">
    <w:abstractNumId w:val="0"/>
  </w:num>
  <w:num w:numId="20" w16cid:durableId="211356172">
    <w:abstractNumId w:val="20"/>
  </w:num>
  <w:num w:numId="21" w16cid:durableId="370425121">
    <w:abstractNumId w:val="18"/>
  </w:num>
  <w:num w:numId="22" w16cid:durableId="1343432427">
    <w:abstractNumId w:val="15"/>
  </w:num>
  <w:num w:numId="23" w16cid:durableId="1287813340">
    <w:abstractNumId w:val="9"/>
  </w:num>
  <w:num w:numId="24" w16cid:durableId="1403992770">
    <w:abstractNumId w:val="26"/>
  </w:num>
  <w:num w:numId="25" w16cid:durableId="1596206950">
    <w:abstractNumId w:val="31"/>
  </w:num>
  <w:num w:numId="26" w16cid:durableId="665478435">
    <w:abstractNumId w:val="28"/>
  </w:num>
  <w:num w:numId="27" w16cid:durableId="798769733">
    <w:abstractNumId w:val="21"/>
  </w:num>
  <w:num w:numId="28" w16cid:durableId="522864952">
    <w:abstractNumId w:val="25"/>
  </w:num>
  <w:num w:numId="29" w16cid:durableId="875124254">
    <w:abstractNumId w:val="2"/>
  </w:num>
  <w:num w:numId="30" w16cid:durableId="2125343580">
    <w:abstractNumId w:val="27"/>
  </w:num>
  <w:num w:numId="31" w16cid:durableId="550775641">
    <w:abstractNumId w:val="16"/>
  </w:num>
  <w:num w:numId="32" w16cid:durableId="13717584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8645807">
    <w:abstractNumId w:val="19"/>
  </w:num>
  <w:num w:numId="34" w16cid:durableId="44112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82"/>
    <w:rsid w:val="001D123D"/>
    <w:rsid w:val="00364AEC"/>
    <w:rsid w:val="004810D8"/>
    <w:rsid w:val="004A2DD1"/>
    <w:rsid w:val="004D291F"/>
    <w:rsid w:val="004F1E1B"/>
    <w:rsid w:val="005023B3"/>
    <w:rsid w:val="005726E3"/>
    <w:rsid w:val="005F0982"/>
    <w:rsid w:val="00616359"/>
    <w:rsid w:val="00635695"/>
    <w:rsid w:val="006569C0"/>
    <w:rsid w:val="00686387"/>
    <w:rsid w:val="00793D7C"/>
    <w:rsid w:val="00802A0D"/>
    <w:rsid w:val="00826C22"/>
    <w:rsid w:val="00833BB4"/>
    <w:rsid w:val="00933991"/>
    <w:rsid w:val="00933AE0"/>
    <w:rsid w:val="009A284C"/>
    <w:rsid w:val="009C448D"/>
    <w:rsid w:val="009D2617"/>
    <w:rsid w:val="00A91765"/>
    <w:rsid w:val="00AA5E03"/>
    <w:rsid w:val="00D27173"/>
    <w:rsid w:val="00E369DD"/>
    <w:rsid w:val="00E454A4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501DE98-6DF7-463E-ABA3-C47C951F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3B3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5023B3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023B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5023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3B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3B3"/>
    <w:rPr>
      <w:rFonts w:ascii="Calibri" w:eastAsia="Calibri" w:hAnsi="Calibri" w:cs="Times New Roman"/>
      <w:kern w:val="0"/>
      <w14:ligatures w14:val="none"/>
    </w:rPr>
  </w:style>
  <w:style w:type="paragraph" w:customStyle="1" w:styleId="Style2">
    <w:name w:val="Style2"/>
    <w:basedOn w:val="Normalny"/>
    <w:uiPriority w:val="99"/>
    <w:rsid w:val="005023B3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5023B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5023B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023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2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3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3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5023B3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023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ismamz">
    <w:name w:val="pisma_mz"/>
    <w:basedOn w:val="Normalny"/>
    <w:link w:val="pismamzZnak"/>
    <w:qFormat/>
    <w:rsid w:val="005023B3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Lato" w:hAnsi="Lato"/>
    </w:rPr>
  </w:style>
  <w:style w:type="character" w:customStyle="1" w:styleId="pismamzZnak">
    <w:name w:val="pisma_mz Znak"/>
    <w:link w:val="pismamz"/>
    <w:rsid w:val="005023B3"/>
    <w:rPr>
      <w:rFonts w:ascii="Lato" w:eastAsia="Calibri" w:hAnsi="Lato" w:cs="Times New Roman"/>
      <w:kern w:val="0"/>
      <w14:ligatures w14:val="none"/>
    </w:rPr>
  </w:style>
  <w:style w:type="character" w:customStyle="1" w:styleId="ui-provider">
    <w:name w:val="ui-provider"/>
    <w:basedOn w:val="Domylnaczcionkaakapitu"/>
    <w:rsid w:val="005023B3"/>
  </w:style>
  <w:style w:type="character" w:customStyle="1" w:styleId="cf01">
    <w:name w:val="cf01"/>
    <w:basedOn w:val="Domylnaczcionkaakapitu"/>
    <w:rsid w:val="005023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3%20Wykresy%20wskazania%20od%20201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9473640298273975"/>
          <c:y val="9.960090605112716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81297439171455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ONKO_NIEONKO!$B$2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ONKO_NIEONKO!$B$3</c:f>
              <c:numCache>
                <c:formatCode>General</c:formatCode>
                <c:ptCount val="1"/>
                <c:pt idx="0">
                  <c:v>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906-4D6A-8995-F78AE8408917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ONKO_NIEONKO!$B$2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ONKO_NIEONKO!$B$4</c:f>
              <c:numCache>
                <c:formatCode>General</c:formatCode>
                <c:ptCount val="1"/>
                <c:pt idx="0">
                  <c:v>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906-4D6A-8995-F78AE84089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8439459537E-2"/>
          <c:y val="0.92852699155848761"/>
          <c:w val="0.89999983121080929"/>
          <c:h val="7.0794232912666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cząsteczkowskazań - kategorie dostępności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5450362292532435"/>
          <c:y val="1.3262599469496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89452607083908E-2"/>
          <c:y val="0.14957494407158836"/>
          <c:w val="0.90386492410098218"/>
          <c:h val="0.6623111205059099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solidFill>
              <a:srgbClr val="76AC4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'Kategoria dostępności'!$B$5</c:f>
              <c:numCache>
                <c:formatCode>General</c:formatCode>
                <c:ptCount val="1"/>
                <c:pt idx="0">
                  <c:v>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487-4900-BA71-8D4D9D8B41A9}"/>
            </c:ext>
          </c:extLst>
        </c:ser>
        <c:ser>
          <c:idx val="0"/>
          <c:order val="1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solidFill>
              <a:srgbClr val="FBE74F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D94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487-4900-BA71-8D4D9D8B41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'Kategoria dostępności'!$B$3</c:f>
              <c:numCache>
                <c:formatCode>General</c:formatCode>
                <c:ptCount val="1"/>
                <c:pt idx="0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487-4900-BA71-8D4D9D8B41A9}"/>
            </c:ext>
          </c:extLst>
        </c:ser>
        <c:ser>
          <c:idx val="1"/>
          <c:order val="2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'Kategoria dostępności'!$B$4</c:f>
              <c:numCache>
                <c:formatCode>General</c:formatCode>
                <c:ptCount val="1"/>
                <c:pt idx="0">
                  <c:v>11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D487-4900-BA71-8D4D9D8B41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75"/>
        <c:axId val="1288787007"/>
        <c:axId val="1288791583"/>
      </c:bar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1718433404293522E-2"/>
          <c:y val="0.91720833553523928"/>
          <c:w val="0.83656279121461607"/>
          <c:h val="6.93688456728143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>
                <a:solidFill>
                  <a:sysClr val="windowText" lastClr="000000"/>
                </a:solidFill>
                <a:latin typeface="Lato" panose="020F0502020204030203" pitchFamily="34" charset="-18"/>
              </a:rPr>
              <a:t>Liczba nowych cząsteczko-wskazań - wskazania rzadkie</a:t>
            </a:r>
          </a:p>
        </c:rich>
      </c:tx>
      <c:layout>
        <c:manualLayout>
          <c:xMode val="edge"/>
          <c:yMode val="edge"/>
          <c:x val="0.14540259648751963"/>
          <c:y val="8.87114659569749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5281496004364293E-2"/>
          <c:y val="0.15693018372703413"/>
          <c:w val="0.91934852360152752"/>
          <c:h val="0.64933123359580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'Wskazania rzadkie'!$B$2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'Wskazania rzadkie'!$B$3</c:f>
              <c:numCache>
                <c:formatCode>General</c:formatCode>
                <c:ptCount val="1"/>
                <c:pt idx="0">
                  <c:v>27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13D-45B1-95D9-442070C36A76}"/>
            </c:ext>
          </c:extLst>
        </c:ser>
        <c:ser>
          <c:idx val="1"/>
          <c:order val="1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'Wskazania rzadkie'!$B$2</c:f>
              <c:strCache>
                <c:ptCount val="1"/>
                <c:pt idx="0">
                  <c:v>2023 
(stan na maj)</c:v>
                </c:pt>
              </c:strCache>
              <c:extLst/>
            </c:strRef>
          </c:cat>
          <c:val>
            <c:numRef>
              <c:f>'Wskazania rzadkie'!$B$4</c:f>
              <c:numCache>
                <c:formatCode>General</c:formatCode>
                <c:ptCount val="1"/>
                <c:pt idx="0">
                  <c:v>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13D-45B1-95D9-442070C36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703837167"/>
        <c:axId val="703834255"/>
      </c:bar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  <c:max val="4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86478535820605"/>
          <c:y val="0.92664916885389326"/>
          <c:w val="0.6322704292835879"/>
          <c:h val="6.8906386701662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maj)</a:t>
            </a:r>
          </a:p>
        </c:rich>
      </c:tx>
      <c:layout>
        <c:manualLayout>
          <c:xMode val="edge"/>
          <c:yMode val="edge"/>
          <c:x val="0.15731302065502681"/>
          <c:y val="8.512977209651318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0882992668396359"/>
          <c:w val="0.84009663854336591"/>
          <c:h val="0.80748058616668328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2023'!$A$3:$A$12</c:f>
              <c:strCache>
                <c:ptCount val="6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'miesiące 2023'!$B$3:$B$12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8</c:v>
                </c:pt>
                <c:pt idx="5">
                  <c:v>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380-421E-BD11-C7273AB0C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2023 r. (stan na maj)</a:t>
            </a:r>
          </a:p>
        </c:rich>
      </c:tx>
      <c:layout>
        <c:manualLayout>
          <c:xMode val="edge"/>
          <c:yMode val="edge"/>
          <c:x val="0.14823942461737735"/>
          <c:y val="4.57665903890160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526172864755538"/>
          <c:y val="0.10020937314185842"/>
          <c:w val="0.76067150697071961"/>
          <c:h val="0.816388403394655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2023'!$A$20:$A$38</c:f>
              <c:strCache>
                <c:ptCount val="9"/>
                <c:pt idx="0">
                  <c:v>Reumatologia</c:v>
                </c:pt>
                <c:pt idx="1">
                  <c:v>Neurologia</c:v>
                </c:pt>
                <c:pt idx="2">
                  <c:v>Kardiologia</c:v>
                </c:pt>
                <c:pt idx="3">
                  <c:v>Immunologia</c:v>
                </c:pt>
                <c:pt idx="4">
                  <c:v>Hematologia</c:v>
                </c:pt>
                <c:pt idx="5">
                  <c:v>Gastroenterologia</c:v>
                </c:pt>
                <c:pt idx="6">
                  <c:v>Diabetologia</c:v>
                </c:pt>
                <c:pt idx="7">
                  <c:v>Dermatologia</c:v>
                </c:pt>
                <c:pt idx="8">
                  <c:v>Choroby metaboliczne</c:v>
                </c:pt>
              </c:strCache>
              <c:extLst/>
            </c:strRef>
          </c:cat>
          <c:val>
            <c:numRef>
              <c:f>'miesiące 2023'!$B$20:$B$38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9BD-4790-ABCB-F38EA1555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20A6-1C4E-4D55-9963-5FAB8C27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19</Pages>
  <Words>5116</Words>
  <Characters>30699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Tobiaszewski Paweł</dc:creator>
  <cp:keywords/>
  <dc:description/>
  <cp:lastModifiedBy>Królak-Buzakowska Joanna</cp:lastModifiedBy>
  <cp:revision>11</cp:revision>
  <dcterms:created xsi:type="dcterms:W3CDTF">2023-06-19T08:53:00Z</dcterms:created>
  <dcterms:modified xsi:type="dcterms:W3CDTF">2023-06-20T14:23:00Z</dcterms:modified>
</cp:coreProperties>
</file>