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704"/>
        <w:gridCol w:w="2651"/>
        <w:gridCol w:w="2877"/>
        <w:gridCol w:w="2268"/>
        <w:gridCol w:w="1843"/>
        <w:gridCol w:w="1658"/>
        <w:gridCol w:w="2028"/>
        <w:gridCol w:w="1514"/>
      </w:tblGrid>
      <w:tr w:rsidR="0085749F" w:rsidRPr="0085749F" w:rsidTr="00D84D94">
        <w:trPr>
          <w:jc w:val="center"/>
        </w:trPr>
        <w:tc>
          <w:tcPr>
            <w:tcW w:w="704"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Lp.</w:t>
            </w:r>
          </w:p>
        </w:tc>
        <w:tc>
          <w:tcPr>
            <w:tcW w:w="2651"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Tytuł</w:t>
            </w:r>
          </w:p>
        </w:tc>
        <w:tc>
          <w:tcPr>
            <w:tcW w:w="2877"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Informacje o przyczynach i potrzebie wprowadzenia rozwiązań planowanych w projekcie</w:t>
            </w:r>
          </w:p>
        </w:tc>
        <w:tc>
          <w:tcPr>
            <w:tcW w:w="226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Istota rozwiązań ujętych w projekcie</w:t>
            </w:r>
          </w:p>
        </w:tc>
        <w:tc>
          <w:tcPr>
            <w:tcW w:w="1843"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Organ odpowiedzialny za opracowanie projektu</w:t>
            </w:r>
          </w:p>
        </w:tc>
        <w:tc>
          <w:tcPr>
            <w:tcW w:w="165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Osoba odpowiedzialna (imię, nazwisko, stanowisko lub funkcja) za opracowanie projektu</w:t>
            </w:r>
          </w:p>
        </w:tc>
        <w:tc>
          <w:tcPr>
            <w:tcW w:w="2028"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Organ odpowiedzialny za przedłożenie projektu</w:t>
            </w:r>
          </w:p>
        </w:tc>
        <w:tc>
          <w:tcPr>
            <w:tcW w:w="1514" w:type="dxa"/>
            <w:shd w:val="pct12" w:color="auto" w:fill="auto"/>
            <w:vAlign w:val="center"/>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Informacja o rezygnacji z prac nad projektem (z podaniem przyczyny)</w:t>
            </w:r>
          </w:p>
        </w:tc>
      </w:tr>
      <w:tr w:rsidR="0085749F" w:rsidRPr="0085749F" w:rsidTr="00D84D94">
        <w:trPr>
          <w:trHeight w:val="273"/>
          <w:jc w:val="center"/>
        </w:trPr>
        <w:tc>
          <w:tcPr>
            <w:tcW w:w="704"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65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877"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226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65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2028"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514"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D84D94">
        <w:trPr>
          <w:trHeight w:val="347"/>
          <w:jc w:val="center"/>
        </w:trPr>
        <w:tc>
          <w:tcPr>
            <w:tcW w:w="704"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877" w:type="dxa"/>
            <w:shd w:val="clear" w:color="auto" w:fill="auto"/>
          </w:tcPr>
          <w:p w:rsidR="0085749F" w:rsidRPr="00157AC7" w:rsidRDefault="00C957F3" w:rsidP="00C957F3">
            <w:pPr>
              <w:jc w:val="both"/>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w:t>
            </w:r>
            <w:r w:rsidRPr="00157AC7">
              <w:rPr>
                <w:rFonts w:ascii="Times New Roman" w:hAnsi="Times New Roman" w:cs="Times New Roman"/>
                <w:sz w:val="24"/>
                <w:szCs w:val="24"/>
              </w:rPr>
              <w:lastRenderedPageBreak/>
              <w:t>określającego wymagania, jakim powinny odpowiadać pomieszczenia, urządzenia i obiekty podmiotów leczniczych, w takim zakresie, jakim obejmowało uchylone rozporządzenie.</w:t>
            </w:r>
          </w:p>
        </w:tc>
        <w:tc>
          <w:tcPr>
            <w:tcW w:w="2268" w:type="dxa"/>
            <w:shd w:val="clear" w:color="auto" w:fill="auto"/>
          </w:tcPr>
          <w:p w:rsidR="0085749F" w:rsidRPr="00157AC7" w:rsidRDefault="00C957F3" w:rsidP="00C957F3">
            <w:pPr>
              <w:jc w:val="both"/>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 xml:space="preserve">Ze względu na środowisko i warunki </w:t>
            </w:r>
            <w:r w:rsidRPr="00157AC7">
              <w:rPr>
                <w:rFonts w:ascii="Times New Roman" w:hAnsi="Times New Roman" w:cs="Times New Roman"/>
                <w:sz w:val="24"/>
                <w:szCs w:val="24"/>
              </w:rPr>
              <w:lastRenderedPageBreak/>
              <w:t>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843"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658"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2028"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514"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D84D94">
        <w:trPr>
          <w:trHeight w:val="347"/>
          <w:jc w:val="center"/>
        </w:trPr>
        <w:tc>
          <w:tcPr>
            <w:tcW w:w="704"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877"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w:t>
            </w:r>
            <w:r w:rsidRPr="00A91CBC">
              <w:rPr>
                <w:rFonts w:ascii="Times New Roman" w:hAnsi="Times New Roman" w:cs="Times New Roman"/>
                <w:sz w:val="24"/>
                <w:szCs w:val="24"/>
              </w:rPr>
              <w:lastRenderedPageBreak/>
              <w:t xml:space="preserve">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2268"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lastRenderedPageBreak/>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 xml:space="preserve">określenie organizacji i formy zajęć realizowanych w ramach programu szkolenia, z uwzględnieniem </w:t>
            </w:r>
            <w:r w:rsidRPr="00A91CBC">
              <w:rPr>
                <w:rFonts w:ascii="Times New Roman" w:hAnsi="Times New Roman" w:cs="Times New Roman"/>
                <w:sz w:val="24"/>
                <w:szCs w:val="24"/>
              </w:rPr>
              <w:lastRenderedPageBreak/>
              <w:t>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843"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2028"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514"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D84D94">
        <w:trPr>
          <w:trHeight w:val="347"/>
          <w:jc w:val="center"/>
        </w:trPr>
        <w:tc>
          <w:tcPr>
            <w:tcW w:w="704"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D84D94" w:rsidRDefault="00D84D94" w:rsidP="005538D3">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877"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w:t>
            </w:r>
            <w:r w:rsidRPr="00D84D94">
              <w:rPr>
                <w:rFonts w:ascii="Times New Roman" w:hAnsi="Times New Roman" w:cs="Times New Roman"/>
                <w:sz w:val="24"/>
                <w:szCs w:val="24"/>
              </w:rPr>
              <w:lastRenderedPageBreak/>
              <w:t xml:space="preserve">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D84D94" w:rsidRPr="00A91CBC" w:rsidRDefault="00D84D94" w:rsidP="00D84D94">
            <w:pPr>
              <w:rPr>
                <w:rFonts w:ascii="Times New Roman" w:hAnsi="Times New Roman" w:cs="Times New Roman"/>
                <w:sz w:val="24"/>
                <w:szCs w:val="24"/>
              </w:rPr>
            </w:pPr>
          </w:p>
        </w:tc>
        <w:tc>
          <w:tcPr>
            <w:tcW w:w="2268"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w:t>
            </w:r>
            <w:r w:rsidRPr="00D84D94">
              <w:rPr>
                <w:rFonts w:ascii="Times New Roman" w:hAnsi="Times New Roman" w:cs="Times New Roman"/>
                <w:sz w:val="24"/>
                <w:szCs w:val="24"/>
              </w:rPr>
              <w:lastRenderedPageBreak/>
              <w:t xml:space="preserve">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w:t>
            </w:r>
            <w:r w:rsidRPr="00D84D94">
              <w:rPr>
                <w:rFonts w:ascii="Times New Roman" w:hAnsi="Times New Roman" w:cs="Times New Roman"/>
                <w:sz w:val="24"/>
                <w:szCs w:val="24"/>
              </w:rPr>
              <w:lastRenderedPageBreak/>
              <w:t xml:space="preserve">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843"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2028"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514"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D84D94">
        <w:trPr>
          <w:trHeight w:val="347"/>
          <w:jc w:val="center"/>
        </w:trPr>
        <w:tc>
          <w:tcPr>
            <w:tcW w:w="704"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1D0273" w:rsidRDefault="001D0273" w:rsidP="001D027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zakwaterowania w internatach i kwaterach internatowych oraz </w:t>
            </w:r>
            <w:r>
              <w:rPr>
                <w:rFonts w:ascii="Times New Roman" w:hAnsi="Times New Roman" w:cs="Times New Roman"/>
                <w:sz w:val="24"/>
                <w:szCs w:val="24"/>
              </w:rPr>
              <w:lastRenderedPageBreak/>
              <w:t>odpłatności za to zakwaterowanie</w:t>
            </w:r>
          </w:p>
        </w:tc>
        <w:tc>
          <w:tcPr>
            <w:tcW w:w="2877" w:type="dxa"/>
            <w:shd w:val="clear" w:color="auto" w:fill="auto"/>
          </w:tcPr>
          <w:p w:rsidR="001D0273" w:rsidRPr="004C361C" w:rsidRDefault="001D0273" w:rsidP="00FA63B8">
            <w:pPr>
              <w:spacing w:line="276" w:lineRule="auto"/>
              <w:rPr>
                <w:rFonts w:ascii="Times New Roman" w:hAnsi="Times New Roman" w:cs="Times New Roman"/>
                <w:sz w:val="24"/>
                <w:szCs w:val="24"/>
              </w:rPr>
            </w:pPr>
            <w:r w:rsidRPr="004C361C">
              <w:rPr>
                <w:rFonts w:ascii="Times New Roman" w:hAnsi="Times New Roman" w:cs="Times New Roman"/>
                <w:sz w:val="24"/>
                <w:szCs w:val="24"/>
              </w:rPr>
              <w:lastRenderedPageBreak/>
              <w:t xml:space="preserve">Projekt stanowi wykonanie upoważnienia zawartego w art. 53 ust. 5 ustawy z dnia 22 czerwca 1995 r. o zakwaterowaniu Sił </w:t>
            </w:r>
            <w:r w:rsidRPr="004C361C">
              <w:rPr>
                <w:rFonts w:ascii="Times New Roman" w:hAnsi="Times New Roman" w:cs="Times New Roman"/>
                <w:sz w:val="24"/>
                <w:szCs w:val="24"/>
              </w:rPr>
              <w:lastRenderedPageBreak/>
              <w:t xml:space="preserve">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1D0273">
            <w:pPr>
              <w:rPr>
                <w:rFonts w:ascii="Times New Roman" w:hAnsi="Times New Roman" w:cs="Times New Roman"/>
                <w:sz w:val="24"/>
                <w:szCs w:val="24"/>
              </w:rPr>
            </w:pPr>
          </w:p>
        </w:tc>
        <w:tc>
          <w:tcPr>
            <w:tcW w:w="2268"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lastRenderedPageBreak/>
              <w:t xml:space="preserve">W wyniku zaistniałych zmian ustawowych, na mocy projektowanego </w:t>
            </w:r>
            <w:r w:rsidRPr="004C0FD9">
              <w:rPr>
                <w:rFonts w:ascii="Times New Roman" w:hAnsi="Times New Roman" w:cs="Times New Roman"/>
                <w:sz w:val="24"/>
                <w:szCs w:val="24"/>
              </w:rPr>
              <w:lastRenderedPageBreak/>
              <w:t xml:space="preserve">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w:t>
            </w:r>
            <w:r w:rsidRPr="004C0FD9">
              <w:rPr>
                <w:rFonts w:ascii="Times New Roman" w:hAnsi="Times New Roman" w:cs="Times New Roman"/>
                <w:sz w:val="24"/>
                <w:szCs w:val="24"/>
              </w:rPr>
              <w:lastRenderedPageBreak/>
              <w:t>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843"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2028"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514"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D84D94">
        <w:trPr>
          <w:trHeight w:val="347"/>
          <w:jc w:val="center"/>
        </w:trPr>
        <w:tc>
          <w:tcPr>
            <w:tcW w:w="704"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651" w:type="dxa"/>
            <w:shd w:val="clear" w:color="auto" w:fill="auto"/>
          </w:tcPr>
          <w:p w:rsidR="001067DB" w:rsidRDefault="001067DB" w:rsidP="001D0273">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877" w:type="dxa"/>
            <w:shd w:val="clear" w:color="auto" w:fill="auto"/>
          </w:tcPr>
          <w:p w:rsidR="001067DB" w:rsidRPr="004C361C" w:rsidRDefault="001067DB" w:rsidP="00FA63B8">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Celem rozporządzenia jest rozszerzenie składu ilościowego i asortymentu umundurowania uczniów szkół prowadzonych przez MON o ubiór mundurowy ucznia, będący ubiorem bardziej funkcjonalnym i adekwatnym do realizacji zajęć praktycznych </w:t>
            </w:r>
            <w:r w:rsidRPr="001067DB">
              <w:rPr>
                <w:rFonts w:ascii="Times New Roman" w:hAnsi="Times New Roman" w:cs="Times New Roman"/>
                <w:sz w:val="24"/>
                <w:szCs w:val="24"/>
              </w:rPr>
              <w:lastRenderedPageBreak/>
              <w:t>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2268"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 xml:space="preserve">Projektowana zmiana rozporządzenia polega na wprowadzeniu ubioru mundurowego oraz uzupełnieniu treści dotychczasowych załączników nr 2 i 3 </w:t>
            </w:r>
            <w:r w:rsidRPr="001067DB">
              <w:rPr>
                <w:rFonts w:ascii="Times New Roman" w:hAnsi="Times New Roman" w:cs="Times New Roman"/>
                <w:sz w:val="24"/>
                <w:szCs w:val="24"/>
              </w:rPr>
              <w:lastRenderedPageBreak/>
              <w:t xml:space="preserve">rozporządzenia, w których dokonuje się rozszerzenia składu ilościowego </w:t>
            </w:r>
            <w:r w:rsidRPr="001067DB">
              <w:rPr>
                <w:rFonts w:ascii="Times New Roman" w:hAnsi="Times New Roman" w:cs="Times New Roman"/>
                <w:sz w:val="24"/>
                <w:szCs w:val="24"/>
              </w:rPr>
              <w:br/>
              <w:t xml:space="preserve">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w:t>
            </w:r>
            <w:r w:rsidRPr="001067DB">
              <w:rPr>
                <w:rFonts w:ascii="Times New Roman" w:hAnsi="Times New Roman" w:cs="Times New Roman"/>
                <w:sz w:val="24"/>
                <w:szCs w:val="24"/>
              </w:rPr>
              <w:lastRenderedPageBreak/>
              <w:t xml:space="preserve">32 wymienionych tabel wprowadza się przedmioty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w:t>
            </w:r>
            <w:r w:rsidRPr="001067DB">
              <w:rPr>
                <w:rFonts w:ascii="Times New Roman" w:hAnsi="Times New Roman" w:cs="Times New Roman"/>
                <w:sz w:val="24"/>
                <w:szCs w:val="24"/>
              </w:rPr>
              <w:lastRenderedPageBreak/>
              <w:t xml:space="preserve">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658"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bookmarkStart w:id="0" w:name="_GoBack"/>
            <w:bookmarkEnd w:id="0"/>
          </w:p>
        </w:tc>
        <w:tc>
          <w:tcPr>
            <w:tcW w:w="2028"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514" w:type="dxa"/>
            <w:shd w:val="clear" w:color="auto" w:fill="auto"/>
          </w:tcPr>
          <w:p w:rsidR="001067DB" w:rsidRPr="00157AC7" w:rsidRDefault="001067DB" w:rsidP="001D0273">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9135E1"/>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1067DB"/>
    <w:rsid w:val="00157AC7"/>
    <w:rsid w:val="001D0273"/>
    <w:rsid w:val="00457045"/>
    <w:rsid w:val="004C0FD9"/>
    <w:rsid w:val="004C361C"/>
    <w:rsid w:val="005538D3"/>
    <w:rsid w:val="007A2037"/>
    <w:rsid w:val="0085749F"/>
    <w:rsid w:val="00A91CBC"/>
    <w:rsid w:val="00C957F3"/>
    <w:rsid w:val="00D84BFD"/>
    <w:rsid w:val="00D84D94"/>
    <w:rsid w:val="00E20D20"/>
    <w:rsid w:val="00F02143"/>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639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5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1357</Words>
  <Characters>8145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Bajurska Anna</cp:lastModifiedBy>
  <cp:revision>14</cp:revision>
  <dcterms:created xsi:type="dcterms:W3CDTF">2020-01-08T13:32:00Z</dcterms:created>
  <dcterms:modified xsi:type="dcterms:W3CDTF">2020-02-03T08:04:00Z</dcterms:modified>
</cp:coreProperties>
</file>