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CB" w:rsidRDefault="00F773CB">
      <w:r>
        <w:t xml:space="preserve">KKPK 400-9-11 </w:t>
      </w:r>
    </w:p>
    <w:p w:rsidR="004351A2" w:rsidRDefault="009E2D08">
      <w:bookmarkStart w:id="0" w:name="_GoBack"/>
      <w:bookmarkEnd w:id="0"/>
      <w:r>
        <w:t>Komisja Kodyfikacyjna Prawa Karnego</w:t>
      </w:r>
    </w:p>
    <w:p w:rsidR="009E2D08" w:rsidRDefault="009E2D08" w:rsidP="009E2D08">
      <w:pPr>
        <w:jc w:val="center"/>
      </w:pPr>
    </w:p>
    <w:p w:rsidR="009E2D08" w:rsidRDefault="009E2D08" w:rsidP="009E2D08">
      <w:pPr>
        <w:contextualSpacing/>
        <w:jc w:val="center"/>
      </w:pPr>
      <w:r>
        <w:t xml:space="preserve">Opinia </w:t>
      </w:r>
    </w:p>
    <w:p w:rsidR="009E2D08" w:rsidRDefault="009E2D08" w:rsidP="009E2D08">
      <w:pPr>
        <w:contextualSpacing/>
        <w:jc w:val="center"/>
      </w:pPr>
      <w:r>
        <w:t>w sprawie potrzeby wprowadzenia do art. 296 k.k. podstawy prawnej wyłączenia odpowiedzialności karnej w odniesieniu do sprawcy przestępstwa określonego w art. 296 § 1a</w:t>
      </w:r>
    </w:p>
    <w:p w:rsidR="009E2D08" w:rsidRDefault="009E2D08" w:rsidP="009E2D08">
      <w:pPr>
        <w:contextualSpacing/>
      </w:pPr>
    </w:p>
    <w:p w:rsidR="008C523C" w:rsidRDefault="009E2D08" w:rsidP="009E2D08">
      <w:pPr>
        <w:contextualSpacing/>
      </w:pPr>
      <w:r>
        <w:t xml:space="preserve">       </w:t>
      </w:r>
      <w:r w:rsidR="00663AFF">
        <w:t xml:space="preserve"> </w:t>
      </w:r>
      <w:r w:rsidR="00CB43C3">
        <w:t>D</w:t>
      </w:r>
      <w:r>
        <w:t xml:space="preserve">o Komisji Kodyfikacyjnej Prawa Karnego </w:t>
      </w:r>
      <w:r w:rsidR="00CB43C3">
        <w:t xml:space="preserve">zwrócił się pismem z dnia 22 czerwca 2011 r. </w:t>
      </w:r>
      <w:r>
        <w:t>Podsekretarz Stanu w Ministerstwie Sprawiedliwości pan dr Zbigniew Wrona</w:t>
      </w:r>
      <w:r w:rsidR="00CB43C3">
        <w:t>,</w:t>
      </w:r>
      <w:r>
        <w:t xml:space="preserve"> przedstawiając pismo i opinię skierowane do Ministerstwa Sprawiedliwości przez Polską Konfederację Pracodawców Prywatnych „Lewiatan”</w:t>
      </w:r>
      <w:r w:rsidR="00CB43C3">
        <w:t xml:space="preserve"> i</w:t>
      </w:r>
      <w:r w:rsidR="004D3C65">
        <w:t xml:space="preserve"> wnosząc o ustosunkowanie się Komisji Kodyfikacyjnej Prawa Karnego do postulatów zawartych w piśmie i dołączonej do niego opinii</w:t>
      </w:r>
      <w:r w:rsidR="00CB43C3">
        <w:t xml:space="preserve">. </w:t>
      </w:r>
      <w:r w:rsidR="00FE2836">
        <w:t>PKPP „Lewiatan”</w:t>
      </w:r>
      <w:r>
        <w:t xml:space="preserve"> zwróciła </w:t>
      </w:r>
      <w:r w:rsidR="00FE2836">
        <w:t>uwagę na niespójność występującą</w:t>
      </w:r>
      <w:r>
        <w:t xml:space="preserve"> w znajdującym się w ostatniej fazie procesu legislacyjnego projekcie uchylenia art. 585 </w:t>
      </w:r>
      <w:proofErr w:type="spellStart"/>
      <w:r>
        <w:t>k.s.h</w:t>
      </w:r>
      <w:proofErr w:type="spellEnd"/>
      <w:r>
        <w:t xml:space="preserve">. i zmiany art. 296 k.k.. </w:t>
      </w:r>
      <w:r w:rsidR="00FE2836">
        <w:t xml:space="preserve">Interwencja PKPP „Lewiatan” była ze względu na zaawansowanie procesu legislacyjnego nieskuteczna. </w:t>
      </w:r>
    </w:p>
    <w:p w:rsidR="00663AFF" w:rsidRDefault="008C523C" w:rsidP="00663AFF">
      <w:pPr>
        <w:ind w:firstLine="431"/>
        <w:contextualSpacing/>
      </w:pPr>
      <w:r>
        <w:t xml:space="preserve">      Ustawa z dnia 9 czerwca 2011 r. </w:t>
      </w:r>
      <w:r w:rsidR="00663AFF">
        <w:t xml:space="preserve">o zmianie ustawy – Kodeks karny oraz niektórych innych ustaw (Dz. U. Nr 133, poz. 767) uchyliła m.in. artykuł 585 </w:t>
      </w:r>
      <w:proofErr w:type="spellStart"/>
      <w:r w:rsidR="00663AFF">
        <w:t>k.s.h</w:t>
      </w:r>
      <w:proofErr w:type="spellEnd"/>
      <w:r w:rsidR="00663AFF">
        <w:t xml:space="preserve">. (art. 3) oraz wprowadziła do art. 296 k.k. paragraf 1 a o treści następującej: </w:t>
      </w:r>
      <w:r w:rsidR="00663AFF" w:rsidRPr="00663AFF">
        <w:rPr>
          <w:i/>
        </w:rPr>
        <w:t>„Jeżeli sprawca, o którym mowa w § 1, przez nadużycie udzielonych mu uprawnień lub niedopełnienie ciążącego na nim obowiązku, sprowadza bezpośrednie niebezpieczeństwo wyrządzenia znacznej szkody majątkowej, podlega karze pozbawienia wolności do lat 3”.</w:t>
      </w:r>
      <w:r w:rsidR="00663AFF">
        <w:t xml:space="preserve">  Jeżeli sprawca przestępstwa określonego w art. 296 § 1a k.k. działa celem osiągniecia korzyści majątkowej, podlega karze pozbawienia wolności od 6 miesięcy do lat 8 (znowelizowany powołaną ustawą art. 296 § 2 k.k.). </w:t>
      </w:r>
    </w:p>
    <w:p w:rsidR="004D3C65" w:rsidRDefault="004D3C65" w:rsidP="00663AFF">
      <w:pPr>
        <w:ind w:firstLine="431"/>
        <w:contextualSpacing/>
      </w:pPr>
      <w:r>
        <w:t xml:space="preserve">Polska Konfederacja Pracodawców Prywatnych „Lewiatan” zwróciła uwagę, że w odniesieniu do sprawcy przestępstwa określonego w art. 296 § 1 a brak jest odpowiednika art. 296 § 5 przewidującego bezkarność sprawcy wyrządzającego szkodę, który przed wszczęciem postępowania karnego dobrowolnie naprawił w całości wyrządzoną szkodę. W wyniku tego osoba, o której jest mowa w art. 296 § 1, nadużywająca udzielonych jej </w:t>
      </w:r>
      <w:r>
        <w:lastRenderedPageBreak/>
        <w:t>uprawnień lub niedopełniająca ciążącego na niej obowiązku i przez to sprowadzająca niebezpieczeństwo wyrządzenia znacznej szkody majątkowej</w:t>
      </w:r>
      <w:r w:rsidR="00474489">
        <w:t>, a która to przed wszczęciem postępowania karnego dobrowolnie uchyli grożące niebezpieczeństwo wyrządzenia szkody nie będzie mogła korzystać z bezkarności. Aby tę niespójność usunąć PKPP „Lewiatan” proponuje wprowadzenie do art. 296 kolejnego paragrafu o treści następującej:</w:t>
      </w:r>
      <w:r w:rsidR="00474489" w:rsidRPr="00474489">
        <w:rPr>
          <w:i/>
        </w:rPr>
        <w:t xml:space="preserve"> „§ 6. Nie podlega karze sprawca przestępstwa określonego w § 1a, który przed wszczęciem postępowania karnego dobrowolnie uchylił grożące niebezpieczeństwo”</w:t>
      </w:r>
      <w:r w:rsidR="00474489">
        <w:t xml:space="preserve">. </w:t>
      </w:r>
    </w:p>
    <w:p w:rsidR="00663AFF" w:rsidRDefault="00474489" w:rsidP="00474489">
      <w:pPr>
        <w:ind w:firstLine="431"/>
        <w:contextualSpacing/>
      </w:pPr>
      <w:r>
        <w:t xml:space="preserve">Komisja Kodyfikacyjna Prawa Karnego dostrzega problem wskazany w piśmie PKPP „Lewiatan”, który jednak nie klasyfikuje jako niespójność a raczej jako lukę w prawie, którą można obecnie wypełnić drogą wykładni stosując argumentację </w:t>
      </w:r>
      <w:r>
        <w:rPr>
          <w:i/>
        </w:rPr>
        <w:t xml:space="preserve">a </w:t>
      </w:r>
      <w:proofErr w:type="spellStart"/>
      <w:r>
        <w:rPr>
          <w:i/>
        </w:rPr>
        <w:t>maiori</w:t>
      </w:r>
      <w:proofErr w:type="spellEnd"/>
      <w:r>
        <w:rPr>
          <w:i/>
        </w:rPr>
        <w:t xml:space="preserve"> ad minus</w:t>
      </w:r>
      <w:r>
        <w:t>. Jeżeli sprawca wyrządzający szkodę, po jej dobrowolnym naprawieniu w całości, nie podlega karze, to tym bardziej karze nie podlega ten kto sprowadził niebezpieczeństwo szkody i następnie dobrowolnie je uchylił. Oczywiście jest to rozwiązanie doraźne</w:t>
      </w:r>
      <w:r w:rsidR="006563F9">
        <w:t xml:space="preserve">. Luka taka nie powinna wystąpić. </w:t>
      </w:r>
    </w:p>
    <w:p w:rsidR="006563F9" w:rsidRDefault="006563F9" w:rsidP="00474489">
      <w:pPr>
        <w:ind w:firstLine="431"/>
        <w:contextualSpacing/>
      </w:pPr>
      <w:r>
        <w:t xml:space="preserve"> Propozycja przedstawiona w piśmie PKPP „Lewiatan” też nie jest wolna od wad. Brak jest uzasadnienia dla zawężenia proponowanej bezkarności jedynie wobec sprawcy przestępstwa z art. 296 § 1 a . Należy zauważyć, że art. 296 § 5 odnosi się do wszystkich typów określonych w art. 296, a więc do typów z art. 296 § 1 – 4. Nie można więc znaleźć racjonalnego argumentu do wyłączenia z dobrodziejstwa działania art. 296 § 6 sprawcy przestępstwa określonego w art. 296 § 2 w zw. z § 1 a.  Wątpliwe też jest w wypadku sprowadzenia niebezpieczeństwa wyrządzenia szkody ograniczenie czasowe uchylenia tego niebezpieczeństwa do okresu poprzedzającego wszczęcie postępowania karnego. </w:t>
      </w:r>
    </w:p>
    <w:p w:rsidR="006563F9" w:rsidRDefault="006563F9" w:rsidP="00474489">
      <w:pPr>
        <w:ind w:firstLine="431"/>
        <w:contextualSpacing/>
      </w:pPr>
      <w:r>
        <w:t xml:space="preserve">Komisja Kodyfikacyjna Prawa Karnego uważa, że należy rozwiązać w sposób kompleksowy problem czynnego żalu przy przestępstwach narażenia na niebezpieczeństwo chronionych dóbr prawnych. Wychodząc z tego założenia,  KKPK proponuje  w przewidywanej nowelizacji Kodeksu karnego wprowadzić art. 17a o treści następującej: </w:t>
      </w:r>
      <w:r>
        <w:rPr>
          <w:i/>
        </w:rPr>
        <w:t xml:space="preserve">„Nie podlega karze za przestępstwo narażenia dobra prawnego na </w:t>
      </w:r>
      <w:r w:rsidR="00602CC1">
        <w:rPr>
          <w:i/>
        </w:rPr>
        <w:t>bezpośrednie niebezpieczeństwo sprawca, który dobrowolnie uchylił grożące niebezpieczeństwo”.</w:t>
      </w:r>
    </w:p>
    <w:p w:rsidR="00602CC1" w:rsidRPr="00663AFF" w:rsidRDefault="00602CC1" w:rsidP="00474489">
      <w:pPr>
        <w:ind w:firstLine="431"/>
        <w:contextualSpacing/>
      </w:pPr>
      <w:r>
        <w:t xml:space="preserve">Przyjęcie proponowanego rozwiązania byłoby także zgodnym z wymaganiami dobrej legislacji rozwiązaniem problemu wskazanego przez PKPP „Lewiatan”. </w:t>
      </w:r>
    </w:p>
    <w:p w:rsidR="00663AFF" w:rsidRPr="00663AFF" w:rsidRDefault="00663AFF" w:rsidP="00663AFF">
      <w:pPr>
        <w:autoSpaceDE w:val="0"/>
        <w:autoSpaceDN w:val="0"/>
        <w:adjustRightInd w:val="0"/>
        <w:spacing w:before="0" w:after="0" w:line="240" w:lineRule="auto"/>
        <w:ind w:left="0"/>
        <w:jc w:val="left"/>
        <w:rPr>
          <w:rFonts w:ascii="Arial" w:hAnsi="Arial" w:cs="Arial"/>
          <w:sz w:val="20"/>
          <w:szCs w:val="20"/>
        </w:rPr>
      </w:pPr>
    </w:p>
    <w:p w:rsidR="009E2D08" w:rsidRDefault="009E2D08" w:rsidP="009E2D08">
      <w:pPr>
        <w:contextualSpacing/>
      </w:pPr>
    </w:p>
    <w:p w:rsidR="00FE2836" w:rsidRPr="00F03E8A" w:rsidRDefault="00F03E8A" w:rsidP="009E2D08">
      <w:pPr>
        <w:contextualSpacing/>
        <w:rPr>
          <w:sz w:val="18"/>
          <w:szCs w:val="18"/>
        </w:rPr>
      </w:pPr>
      <w:r w:rsidRPr="00F03E8A">
        <w:rPr>
          <w:sz w:val="18"/>
          <w:szCs w:val="18"/>
        </w:rPr>
        <w:t>Przygotował</w:t>
      </w:r>
    </w:p>
    <w:p w:rsidR="00F03E8A" w:rsidRPr="00F03E8A" w:rsidRDefault="00F03E8A" w:rsidP="009E2D08">
      <w:pPr>
        <w:contextualSpacing/>
        <w:rPr>
          <w:sz w:val="18"/>
          <w:szCs w:val="18"/>
        </w:rPr>
      </w:pPr>
      <w:r w:rsidRPr="00F03E8A">
        <w:rPr>
          <w:sz w:val="18"/>
          <w:szCs w:val="18"/>
        </w:rPr>
        <w:t>Andrzej Zoll</w:t>
      </w:r>
    </w:p>
    <w:sectPr w:rsidR="00F03E8A" w:rsidRPr="00F03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D08"/>
    <w:rsid w:val="003500A7"/>
    <w:rsid w:val="004351A2"/>
    <w:rsid w:val="00474489"/>
    <w:rsid w:val="004D3C65"/>
    <w:rsid w:val="00602CC1"/>
    <w:rsid w:val="006563F9"/>
    <w:rsid w:val="00663AFF"/>
    <w:rsid w:val="006D631E"/>
    <w:rsid w:val="00740A23"/>
    <w:rsid w:val="008C523C"/>
    <w:rsid w:val="009E2D08"/>
    <w:rsid w:val="00BC1494"/>
    <w:rsid w:val="00CB43C3"/>
    <w:rsid w:val="00F03E8A"/>
    <w:rsid w:val="00F773CB"/>
    <w:rsid w:val="00FE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before="240" w:after="200" w:line="360" w:lineRule="auto"/>
        <w:ind w:left="18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3C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3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before="240" w:after="200" w:line="360" w:lineRule="auto"/>
        <w:ind w:left="18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3C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640</Words>
  <Characters>3843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Wiraszka-Bereza Beata  (DL-P)</cp:lastModifiedBy>
  <cp:revision>5</cp:revision>
  <cp:lastPrinted>2011-08-16T07:44:00Z</cp:lastPrinted>
  <dcterms:created xsi:type="dcterms:W3CDTF">2011-08-11T12:19:00Z</dcterms:created>
  <dcterms:modified xsi:type="dcterms:W3CDTF">2011-08-16T07:56:00Z</dcterms:modified>
</cp:coreProperties>
</file>