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82E37" w14:textId="5DEC5BEF" w:rsidR="00D7009F" w:rsidRPr="005A72E3" w:rsidRDefault="00090640" w:rsidP="005A72E3">
      <w:pPr>
        <w:jc w:val="both"/>
        <w:rPr>
          <w:b/>
          <w:color w:val="auto"/>
          <w:spacing w:val="-2"/>
        </w:rPr>
      </w:pPr>
      <w:r w:rsidRPr="005A72E3">
        <w:rPr>
          <w:b/>
          <w:color w:val="auto"/>
          <w:spacing w:val="-2"/>
        </w:rPr>
        <w:t>Informacja nt. zmian w P</w:t>
      </w:r>
      <w:r w:rsidR="00D7009F" w:rsidRPr="005A72E3">
        <w:rPr>
          <w:b/>
          <w:color w:val="auto"/>
          <w:spacing w:val="-2"/>
        </w:rPr>
        <w:t xml:space="preserve">rogramie Szczepień Ochronnych na rok </w:t>
      </w:r>
      <w:r w:rsidRPr="005A72E3">
        <w:rPr>
          <w:b/>
          <w:color w:val="auto"/>
          <w:spacing w:val="-2"/>
        </w:rPr>
        <w:t>2021</w:t>
      </w:r>
      <w:r w:rsidR="00D7009F" w:rsidRPr="005A72E3">
        <w:rPr>
          <w:b/>
          <w:color w:val="auto"/>
          <w:spacing w:val="-2"/>
        </w:rPr>
        <w:t>:</w:t>
      </w:r>
    </w:p>
    <w:p w14:paraId="4F8FCAF9" w14:textId="77777777" w:rsidR="006F4601" w:rsidRPr="005A72E3" w:rsidRDefault="006F4601" w:rsidP="005A72E3">
      <w:pPr>
        <w:jc w:val="both"/>
        <w:rPr>
          <w:b/>
          <w:color w:val="auto"/>
          <w:spacing w:val="-2"/>
        </w:rPr>
      </w:pPr>
    </w:p>
    <w:p w14:paraId="5B830501" w14:textId="40C27F6E" w:rsidR="00A71B47" w:rsidRPr="005A72E3" w:rsidRDefault="00D7009F" w:rsidP="005A72E3">
      <w:pPr>
        <w:pStyle w:val="Akapitzlist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bookmarkStart w:id="0" w:name="_Hlk59526679"/>
      <w:r w:rsidRPr="005A72E3">
        <w:rPr>
          <w:rFonts w:ascii="Times New Roman" w:hAnsi="Times New Roman"/>
          <w:b/>
          <w:spacing w:val="-2"/>
          <w:sz w:val="24"/>
          <w:szCs w:val="24"/>
        </w:rPr>
        <w:t xml:space="preserve">PSO </w:t>
      </w:r>
      <w:r w:rsidR="005A72E3">
        <w:rPr>
          <w:rFonts w:ascii="Times New Roman" w:hAnsi="Times New Roman"/>
          <w:b/>
          <w:spacing w:val="-2"/>
          <w:sz w:val="24"/>
          <w:szCs w:val="24"/>
        </w:rPr>
        <w:t xml:space="preserve">na rok 2021 </w:t>
      </w:r>
      <w:r w:rsidRPr="005A72E3">
        <w:rPr>
          <w:rFonts w:ascii="Times New Roman" w:hAnsi="Times New Roman"/>
          <w:b/>
          <w:spacing w:val="-2"/>
          <w:sz w:val="24"/>
          <w:szCs w:val="24"/>
        </w:rPr>
        <w:t xml:space="preserve">ogłoszony w Komunikacie GIS z dnia </w:t>
      </w:r>
      <w:r w:rsidR="005A72E3" w:rsidRPr="005A72E3">
        <w:rPr>
          <w:rFonts w:ascii="Times New Roman" w:hAnsi="Times New Roman"/>
          <w:b/>
          <w:spacing w:val="-2"/>
          <w:sz w:val="24"/>
          <w:szCs w:val="24"/>
        </w:rPr>
        <w:t xml:space="preserve">22 </w:t>
      </w:r>
      <w:r w:rsidR="00A71B47" w:rsidRPr="005A72E3">
        <w:rPr>
          <w:rFonts w:ascii="Times New Roman" w:hAnsi="Times New Roman"/>
          <w:b/>
          <w:spacing w:val="-2"/>
          <w:sz w:val="24"/>
          <w:szCs w:val="24"/>
        </w:rPr>
        <w:t>grudnia</w:t>
      </w:r>
      <w:r w:rsidRPr="005A72E3">
        <w:rPr>
          <w:rFonts w:ascii="Times New Roman" w:hAnsi="Times New Roman"/>
          <w:b/>
          <w:spacing w:val="-2"/>
          <w:sz w:val="24"/>
          <w:szCs w:val="24"/>
        </w:rPr>
        <w:t xml:space="preserve"> 2020 r. (Dz.</w:t>
      </w:r>
      <w:r w:rsidR="001A5791" w:rsidRPr="005A72E3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Pr="005A72E3">
        <w:rPr>
          <w:rFonts w:ascii="Times New Roman" w:hAnsi="Times New Roman"/>
          <w:b/>
          <w:spacing w:val="-2"/>
          <w:sz w:val="24"/>
          <w:szCs w:val="24"/>
        </w:rPr>
        <w:t>Urzęd</w:t>
      </w:r>
      <w:proofErr w:type="spellEnd"/>
      <w:r w:rsidRPr="005A72E3">
        <w:rPr>
          <w:rFonts w:ascii="Times New Roman" w:hAnsi="Times New Roman"/>
          <w:b/>
          <w:spacing w:val="-2"/>
          <w:sz w:val="24"/>
          <w:szCs w:val="24"/>
        </w:rPr>
        <w:t>. MZ z dnia</w:t>
      </w:r>
      <w:r w:rsidR="005A72E3" w:rsidRPr="005A72E3">
        <w:rPr>
          <w:rFonts w:ascii="Times New Roman" w:hAnsi="Times New Roman"/>
          <w:b/>
          <w:spacing w:val="-2"/>
          <w:sz w:val="24"/>
          <w:szCs w:val="24"/>
        </w:rPr>
        <w:t xml:space="preserve"> 22 grudnia 2020 r. poz. 117</w:t>
      </w:r>
      <w:r w:rsidR="005A72E3">
        <w:rPr>
          <w:rFonts w:ascii="Times New Roman" w:hAnsi="Times New Roman"/>
          <w:b/>
          <w:spacing w:val="-2"/>
          <w:sz w:val="24"/>
          <w:szCs w:val="24"/>
        </w:rPr>
        <w:t>)</w:t>
      </w:r>
    </w:p>
    <w:bookmarkEnd w:id="0"/>
    <w:p w14:paraId="35DDE029" w14:textId="247AB159" w:rsidR="00A71B47" w:rsidRPr="005A72E3" w:rsidRDefault="00A71B47" w:rsidP="005A72E3">
      <w:pPr>
        <w:pStyle w:val="Akapitzlist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5A72E3">
        <w:rPr>
          <w:rFonts w:ascii="Times New Roman" w:hAnsi="Times New Roman"/>
          <w:b/>
          <w:spacing w:val="-2"/>
          <w:sz w:val="24"/>
          <w:szCs w:val="24"/>
        </w:rPr>
        <w:t>PSO</w:t>
      </w:r>
      <w:r w:rsidR="005A72E3">
        <w:rPr>
          <w:rFonts w:ascii="Times New Roman" w:hAnsi="Times New Roman"/>
          <w:b/>
          <w:spacing w:val="-2"/>
          <w:sz w:val="24"/>
          <w:szCs w:val="24"/>
        </w:rPr>
        <w:t xml:space="preserve"> na rok 2021</w:t>
      </w:r>
      <w:r w:rsidRPr="005A72E3">
        <w:rPr>
          <w:rFonts w:ascii="Times New Roman" w:hAnsi="Times New Roman"/>
          <w:b/>
          <w:spacing w:val="-2"/>
          <w:sz w:val="24"/>
          <w:szCs w:val="24"/>
        </w:rPr>
        <w:t xml:space="preserve"> ogłoszony w Komunikacie GIS z dnia  26 października 2020 r. (</w:t>
      </w:r>
      <w:r w:rsidRPr="005A72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Dz. </w:t>
      </w:r>
      <w:proofErr w:type="spellStart"/>
      <w:r w:rsidRPr="005A72E3">
        <w:rPr>
          <w:rFonts w:ascii="Times New Roman" w:hAnsi="Times New Roman"/>
          <w:b/>
          <w:sz w:val="24"/>
          <w:szCs w:val="24"/>
          <w:shd w:val="clear" w:color="auto" w:fill="FFFFFF"/>
        </w:rPr>
        <w:t>Urzęd</w:t>
      </w:r>
      <w:proofErr w:type="spellEnd"/>
      <w:r w:rsidRPr="005A72E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MZ z dnia 27 października 2020 r. </w:t>
      </w:r>
      <w:r w:rsidRPr="005A72E3">
        <w:rPr>
          <w:rFonts w:ascii="Times New Roman" w:hAnsi="Times New Roman"/>
          <w:b/>
          <w:sz w:val="24"/>
          <w:szCs w:val="24"/>
        </w:rPr>
        <w:t xml:space="preserve">poz. 90) </w:t>
      </w:r>
    </w:p>
    <w:p w14:paraId="5A8FFCF5" w14:textId="5F37EACD" w:rsidR="00A71B47" w:rsidRPr="005A72E3" w:rsidRDefault="00A71B47" w:rsidP="005A72E3">
      <w:pPr>
        <w:jc w:val="both"/>
        <w:rPr>
          <w:b/>
          <w:color w:val="auto"/>
        </w:rPr>
      </w:pPr>
    </w:p>
    <w:p w14:paraId="4AAE609F" w14:textId="11F26D4A" w:rsidR="005A72E3" w:rsidRPr="005A72E3" w:rsidRDefault="00A71B47" w:rsidP="005A72E3">
      <w:pPr>
        <w:jc w:val="both"/>
        <w:rPr>
          <w:color w:val="auto"/>
        </w:rPr>
      </w:pPr>
      <w:r w:rsidRPr="005A72E3">
        <w:rPr>
          <w:b/>
          <w:color w:val="auto"/>
          <w:spacing w:val="-2"/>
        </w:rPr>
        <w:t>Ad. I.</w:t>
      </w:r>
      <w:r w:rsidR="005A72E3" w:rsidRPr="005A72E3">
        <w:rPr>
          <w:b/>
          <w:color w:val="auto"/>
          <w:spacing w:val="-2"/>
        </w:rPr>
        <w:t xml:space="preserve"> </w:t>
      </w:r>
      <w:r w:rsidR="005A72E3" w:rsidRPr="005A72E3">
        <w:rPr>
          <w:b/>
          <w:color w:val="auto"/>
          <w:spacing w:val="-2"/>
        </w:rPr>
        <w:t xml:space="preserve">PSO ogłoszony w Komunikacie GIS z dnia 22 grudnia 2020 r. (Dz. </w:t>
      </w:r>
      <w:proofErr w:type="spellStart"/>
      <w:r w:rsidR="005A72E3" w:rsidRPr="005A72E3">
        <w:rPr>
          <w:b/>
          <w:color w:val="auto"/>
          <w:spacing w:val="-2"/>
        </w:rPr>
        <w:t>Urzęd</w:t>
      </w:r>
      <w:proofErr w:type="spellEnd"/>
      <w:r w:rsidR="005A72E3" w:rsidRPr="005A72E3">
        <w:rPr>
          <w:b/>
          <w:color w:val="auto"/>
          <w:spacing w:val="-2"/>
        </w:rPr>
        <w:t>. MZ z dnia 22 grudnia 2020 r. poz. 117</w:t>
      </w:r>
      <w:r w:rsidR="005A72E3">
        <w:rPr>
          <w:b/>
          <w:color w:val="auto"/>
          <w:spacing w:val="-2"/>
        </w:rPr>
        <w:t>)</w:t>
      </w:r>
    </w:p>
    <w:p w14:paraId="180E39B7" w14:textId="6A9608EC" w:rsidR="00A71B47" w:rsidRPr="00744150" w:rsidRDefault="00744150" w:rsidP="005A72E3">
      <w:pPr>
        <w:pStyle w:val="Tekstprzypisudolnego"/>
        <w:keepNext/>
        <w:keepLines/>
        <w:rPr>
          <w:sz w:val="24"/>
          <w:szCs w:val="24"/>
        </w:rPr>
      </w:pPr>
      <w:bookmarkStart w:id="1" w:name="_GoBack"/>
      <w:r>
        <w:rPr>
          <w:sz w:val="24"/>
          <w:szCs w:val="24"/>
        </w:rPr>
        <w:t>K</w:t>
      </w:r>
      <w:r w:rsidR="00A71B47" w:rsidRPr="00744150">
        <w:rPr>
          <w:sz w:val="24"/>
          <w:szCs w:val="24"/>
        </w:rPr>
        <w:t xml:space="preserve">omunikat był poprzedzony komunikatem Głównego Inspektora Sanitarnego z  dnia 26 października 2020 r. w sprawie Programu Szczepień Ochronnych na rok 2021 (Dz. Urz. Min. </w:t>
      </w:r>
      <w:proofErr w:type="spellStart"/>
      <w:r w:rsidR="00A71B47" w:rsidRPr="00744150">
        <w:rPr>
          <w:sz w:val="24"/>
          <w:szCs w:val="24"/>
        </w:rPr>
        <w:t>Zdrow</w:t>
      </w:r>
      <w:proofErr w:type="spellEnd"/>
      <w:r w:rsidR="00A71B47" w:rsidRPr="00744150">
        <w:rPr>
          <w:sz w:val="24"/>
          <w:szCs w:val="24"/>
        </w:rPr>
        <w:t>. poz. 90).</w:t>
      </w:r>
      <w:r>
        <w:rPr>
          <w:sz w:val="24"/>
          <w:szCs w:val="24"/>
        </w:rPr>
        <w:t xml:space="preserve"> </w:t>
      </w:r>
      <w:r w:rsidRPr="00744150">
        <w:rPr>
          <w:sz w:val="24"/>
          <w:szCs w:val="24"/>
        </w:rPr>
        <w:t xml:space="preserve">PSO </w:t>
      </w:r>
      <w:r>
        <w:rPr>
          <w:sz w:val="24"/>
          <w:szCs w:val="24"/>
        </w:rPr>
        <w:t>został zn</w:t>
      </w:r>
      <w:r w:rsidR="00A71B47" w:rsidRPr="00744150">
        <w:rPr>
          <w:sz w:val="24"/>
          <w:szCs w:val="24"/>
        </w:rPr>
        <w:t>oweliz</w:t>
      </w:r>
      <w:r>
        <w:rPr>
          <w:sz w:val="24"/>
          <w:szCs w:val="24"/>
        </w:rPr>
        <w:t xml:space="preserve">owany </w:t>
      </w:r>
      <w:r w:rsidR="00A71B47" w:rsidRPr="00744150">
        <w:rPr>
          <w:sz w:val="24"/>
          <w:szCs w:val="24"/>
        </w:rPr>
        <w:t>w związku z wejściem w życie</w:t>
      </w:r>
      <w:r w:rsidR="00A71B47" w:rsidRPr="00744150">
        <w:rPr>
          <w:color w:val="1F497D"/>
          <w:sz w:val="24"/>
          <w:szCs w:val="24"/>
        </w:rPr>
        <w:t>,</w:t>
      </w:r>
      <w:r w:rsidR="00025DBF">
        <w:rPr>
          <w:sz w:val="24"/>
          <w:szCs w:val="24"/>
        </w:rPr>
        <w:br/>
      </w:r>
      <w:r w:rsidR="00A71B47" w:rsidRPr="00744150">
        <w:rPr>
          <w:sz w:val="24"/>
          <w:szCs w:val="24"/>
        </w:rPr>
        <w:t>z dniem 1 stycznia 2021 r.</w:t>
      </w:r>
      <w:r w:rsidR="00A71B47" w:rsidRPr="00744150">
        <w:rPr>
          <w:color w:val="1F497D"/>
          <w:sz w:val="24"/>
          <w:szCs w:val="24"/>
        </w:rPr>
        <w:t>,</w:t>
      </w:r>
      <w:r w:rsidR="00A71B47" w:rsidRPr="00744150">
        <w:rPr>
          <w:sz w:val="24"/>
          <w:szCs w:val="24"/>
        </w:rPr>
        <w:t xml:space="preserve"> rozporządzenia Ministra Zdrowia zmieniającego rozporządzenie</w:t>
      </w:r>
      <w:r w:rsidR="00025DBF">
        <w:rPr>
          <w:sz w:val="24"/>
          <w:szCs w:val="24"/>
        </w:rPr>
        <w:br/>
      </w:r>
      <w:r w:rsidR="00A71B47" w:rsidRPr="00744150">
        <w:rPr>
          <w:sz w:val="24"/>
          <w:szCs w:val="24"/>
        </w:rPr>
        <w:t>w sprawie szczepień obowiązkowych (Dz. U. z 2020 r. poz. 1964) wprowadzającego obowiązkowe szczepienia przeciwko rotawirusom</w:t>
      </w:r>
      <w:r w:rsidR="00A71B47" w:rsidRPr="00744150">
        <w:rPr>
          <w:color w:val="1F497D"/>
          <w:sz w:val="24"/>
          <w:szCs w:val="24"/>
        </w:rPr>
        <w:t>.</w:t>
      </w:r>
      <w:r w:rsidR="00A71B47" w:rsidRPr="00744150">
        <w:rPr>
          <w:sz w:val="24"/>
          <w:szCs w:val="24"/>
        </w:rPr>
        <w:t xml:space="preserve"> </w:t>
      </w:r>
    </w:p>
    <w:bookmarkEnd w:id="1"/>
    <w:p w14:paraId="74C8EC42" w14:textId="77777777" w:rsidR="00A71B47" w:rsidRPr="00744150" w:rsidRDefault="00A71B47" w:rsidP="00744150">
      <w:pPr>
        <w:widowControl w:val="0"/>
        <w:spacing w:line="276" w:lineRule="auto"/>
        <w:jc w:val="both"/>
        <w:rPr>
          <w:lang w:bidi="pl-PL"/>
        </w:rPr>
      </w:pPr>
    </w:p>
    <w:p w14:paraId="5B1C8474" w14:textId="0637EA74" w:rsidR="00A71B47" w:rsidRPr="00744150" w:rsidRDefault="00A71B47" w:rsidP="00744150">
      <w:pPr>
        <w:widowControl w:val="0"/>
        <w:spacing w:line="276" w:lineRule="auto"/>
        <w:jc w:val="both"/>
      </w:pPr>
      <w:r w:rsidRPr="00744150">
        <w:rPr>
          <w:lang w:bidi="pl-PL"/>
        </w:rPr>
        <w:t>Projekt PSO na rok 2021 w zakresie merytorycznym był konsultowany przez członków Rady Sanitarno-Epidemiologicznej (RSE) przy GIS i Komisję Epidemiologii Chorób Zakaźnych i Szczepień Ochronnych przy RSE, Zespół ds. Szczepień przy Ministrze Zdrowia i uzyskał akceptacj</w:t>
      </w:r>
      <w:r w:rsidR="00744150">
        <w:rPr>
          <w:lang w:bidi="pl-PL"/>
        </w:rPr>
        <w:t>ę</w:t>
      </w:r>
      <w:r w:rsidRPr="00744150">
        <w:rPr>
          <w:lang w:bidi="pl-PL"/>
        </w:rPr>
        <w:t xml:space="preserve"> Ministra Zdrowia.</w:t>
      </w:r>
      <w:r w:rsidR="00025DBF">
        <w:rPr>
          <w:lang w:bidi="pl-PL"/>
        </w:rPr>
        <w:tab/>
      </w:r>
      <w:r w:rsidR="00025DBF">
        <w:rPr>
          <w:lang w:bidi="pl-PL"/>
        </w:rPr>
        <w:tab/>
      </w:r>
      <w:r w:rsidR="00025DBF">
        <w:rPr>
          <w:lang w:bidi="pl-PL"/>
        </w:rPr>
        <w:tab/>
      </w:r>
      <w:r w:rsidR="00025DBF">
        <w:rPr>
          <w:lang w:bidi="pl-PL"/>
        </w:rPr>
        <w:tab/>
      </w:r>
    </w:p>
    <w:p w14:paraId="7012464E" w14:textId="77777777" w:rsidR="00A71B47" w:rsidRPr="00744150" w:rsidRDefault="00A71B47" w:rsidP="00744150">
      <w:pPr>
        <w:widowControl w:val="0"/>
        <w:spacing w:line="276" w:lineRule="auto"/>
        <w:jc w:val="both"/>
      </w:pPr>
    </w:p>
    <w:p w14:paraId="08201B52" w14:textId="77777777" w:rsidR="00A71B47" w:rsidRPr="00744150" w:rsidRDefault="00A71B47" w:rsidP="00744150">
      <w:pPr>
        <w:spacing w:line="276" w:lineRule="auto"/>
        <w:jc w:val="both"/>
        <w:rPr>
          <w:b/>
          <w:u w:val="single"/>
        </w:rPr>
      </w:pPr>
      <w:r w:rsidRPr="00744150">
        <w:rPr>
          <w:b/>
          <w:u w:val="single"/>
        </w:rPr>
        <w:t>Główne zmiany:</w:t>
      </w:r>
    </w:p>
    <w:p w14:paraId="52C4CB5D" w14:textId="10B8B318" w:rsidR="00A71B47" w:rsidRPr="00744150" w:rsidRDefault="00A71B47" w:rsidP="00744150">
      <w:pPr>
        <w:spacing w:line="276" w:lineRule="auto"/>
        <w:jc w:val="both"/>
        <w:rPr>
          <w:lang w:bidi="pl-PL"/>
        </w:rPr>
      </w:pPr>
      <w:r w:rsidRPr="00744150">
        <w:t>w związku z wejściem w życie z dniem 1 stycznia 2021 r. rozporządzenia Ministra Zdrowia</w:t>
      </w:r>
      <w:r w:rsidR="00025DBF">
        <w:br/>
      </w:r>
      <w:r w:rsidRPr="00744150">
        <w:t xml:space="preserve">w sprawie obowiązkowych szczepień ochronnych (Dz. U. z 2020 r. poz. </w:t>
      </w:r>
      <w:r w:rsidRPr="00744150">
        <w:rPr>
          <w:caps/>
        </w:rPr>
        <w:t xml:space="preserve">1964) PSO </w:t>
      </w:r>
      <w:r w:rsidR="00025DBF">
        <w:rPr>
          <w:lang w:bidi="pl-PL"/>
        </w:rPr>
        <w:t>na rok</w:t>
      </w:r>
      <w:r w:rsidR="00025DBF" w:rsidRPr="00744150">
        <w:rPr>
          <w:caps/>
        </w:rPr>
        <w:t xml:space="preserve"> </w:t>
      </w:r>
      <w:r w:rsidRPr="00744150">
        <w:rPr>
          <w:caps/>
        </w:rPr>
        <w:t>2021</w:t>
      </w:r>
      <w:r w:rsidR="00025DBF">
        <w:rPr>
          <w:caps/>
        </w:rPr>
        <w:t xml:space="preserve"> </w:t>
      </w:r>
      <w:r w:rsidRPr="00744150">
        <w:rPr>
          <w:lang w:bidi="pl-PL"/>
        </w:rPr>
        <w:t>uzupełniono</w:t>
      </w:r>
      <w:r w:rsidR="00025DBF">
        <w:rPr>
          <w:caps/>
        </w:rPr>
        <w:t xml:space="preserve"> </w:t>
      </w:r>
      <w:r w:rsidRPr="00744150">
        <w:rPr>
          <w:lang w:bidi="pl-PL"/>
        </w:rPr>
        <w:t xml:space="preserve">o szczepienie obowiązkowe u dzieci w 1 roku życia przeciw zakażeniom wywołanym przez </w:t>
      </w:r>
      <w:proofErr w:type="spellStart"/>
      <w:r w:rsidRPr="00744150">
        <w:rPr>
          <w:lang w:bidi="pl-PL"/>
        </w:rPr>
        <w:t>rotawirusy</w:t>
      </w:r>
      <w:proofErr w:type="spellEnd"/>
      <w:r w:rsidRPr="00744150">
        <w:t xml:space="preserve"> wraz z zaleceniami dotyczącymi wieku i sposobu przeprowadzania szczepień</w:t>
      </w:r>
      <w:r w:rsidR="00025DBF">
        <w:t>, tj.:</w:t>
      </w:r>
    </w:p>
    <w:p w14:paraId="62BA9FED" w14:textId="77777777" w:rsidR="00A71B47" w:rsidRPr="00744150" w:rsidRDefault="00A71B47" w:rsidP="00744150">
      <w:pPr>
        <w:spacing w:line="276" w:lineRule="auto"/>
        <w:jc w:val="both"/>
        <w:rPr>
          <w:b/>
          <w:u w:val="single"/>
        </w:rPr>
      </w:pPr>
    </w:p>
    <w:p w14:paraId="2C962B94" w14:textId="3DE9FCC2" w:rsidR="00A71B47" w:rsidRPr="00744150" w:rsidRDefault="00A71B47" w:rsidP="00744150">
      <w:pPr>
        <w:pStyle w:val="Akapitzlist"/>
        <w:numPr>
          <w:ilvl w:val="0"/>
          <w:numId w:val="25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>Części I. Szczepienia obowiązkowe szczepienie przeciw:</w:t>
      </w:r>
    </w:p>
    <w:p w14:paraId="1812967F" w14:textId="77777777" w:rsidR="00A71B47" w:rsidRPr="00744150" w:rsidRDefault="00A71B47" w:rsidP="00744150">
      <w:pPr>
        <w:spacing w:before="120" w:after="120" w:line="276" w:lineRule="auto"/>
        <w:jc w:val="both"/>
        <w:rPr>
          <w:u w:color="000000"/>
        </w:rPr>
      </w:pPr>
      <w:r w:rsidRPr="00744150">
        <w:t>Zakażeniom wywołanym przez ROTAWIRUSY, które należy podać po ukończeniu 6 tygodnia życia (pierwsza dawka szczepienia podstawowego)</w:t>
      </w:r>
      <w:r w:rsidRPr="00744150">
        <w:rPr>
          <w:u w:color="000000"/>
        </w:rPr>
        <w:t xml:space="preserve"> </w:t>
      </w:r>
      <w:r w:rsidRPr="00744150">
        <w:t xml:space="preserve">– doustnie (według wskazań producenta szczepionki) i kontynuować szczepienie w odstępach 4 tygodniowych </w:t>
      </w:r>
      <w:r w:rsidRPr="00744150">
        <w:rPr>
          <w:u w:color="000000"/>
        </w:rPr>
        <w:t>w schemacie dwu lub trzydawkowym, w zależności od rodzaju dostępnej szczepionki.</w:t>
      </w:r>
      <w:r w:rsidRPr="00744150">
        <w:rPr>
          <w:b/>
          <w:u w:color="000000"/>
        </w:rPr>
        <w:t xml:space="preserve"> </w:t>
      </w:r>
      <w:r w:rsidRPr="00744150">
        <w:rPr>
          <w:u w:color="000000"/>
        </w:rPr>
        <w:t>W informacjach uzupełniających – zasady szczepień przeciw wybranym chorobom zakaźnym (cz. III. PSO) zamieszono następujące informacje:</w:t>
      </w:r>
    </w:p>
    <w:p w14:paraId="1C2455CA" w14:textId="77777777" w:rsidR="00A71B47" w:rsidRPr="00744150" w:rsidRDefault="00A71B47" w:rsidP="00744150">
      <w:pPr>
        <w:spacing w:before="120" w:after="120" w:line="276" w:lineRule="auto"/>
        <w:jc w:val="both"/>
        <w:rPr>
          <w:u w:color="000000"/>
        </w:rPr>
      </w:pPr>
      <w:r w:rsidRPr="00744150">
        <w:rPr>
          <w:b/>
          <w:u w:color="000000"/>
        </w:rPr>
        <w:t>„SZCZEPIENIA PRZECIW ZAKAŻENIOM WYWOŁANYM PRZEZ ROTAWIRUSY</w:t>
      </w:r>
    </w:p>
    <w:p w14:paraId="38FBDD15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1. Szczepienie przeciw zakażeniom wywołanym przez ROTAWIRUSY w populacji ogólnej jest obowiązkowe dla dzieci urodzonych po dniu 31 grudnia 2020 r.*</w:t>
      </w:r>
    </w:p>
    <w:p w14:paraId="315D3909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2. Szczepienie przeciw zakażeniom wywołanym przez ROTAWIRUSY przeprowadza się w schemacie dwu lub trzydawkowym, w zależności od rodzaju dostępnej szczepionki.</w:t>
      </w:r>
    </w:p>
    <w:p w14:paraId="6061CFE8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 xml:space="preserve">3. Preferuje się wczesne rozpoczęcie i wczesne zakończenie schematu szczepienia, zgodnie z zaleceniami producenta i towarzystw naukowych, i podanie pierwszej dawki </w:t>
      </w:r>
      <w:r w:rsidRPr="00744150">
        <w:rPr>
          <w:u w:color="000000"/>
        </w:rPr>
        <w:lastRenderedPageBreak/>
        <w:t>szczepionki doustnie po ukończeniu 6 tygodnia życia, jednak nie później niż przed ukończeniem 12 tygodnia życia.</w:t>
      </w:r>
    </w:p>
    <w:p w14:paraId="2371D59E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4. W przypadku realizowania szczepienia w schemacie dwudawkowym zaleca się zakończenie pełnego schematu przed ukończeniem 16 tygodnia życia. W razie konieczności drugą dawkę szczepionki można podać zgodnie ze wskazaniami podanymi w </w:t>
      </w:r>
      <w:proofErr w:type="spellStart"/>
      <w:r w:rsidRPr="00744150">
        <w:rPr>
          <w:u w:color="000000"/>
        </w:rPr>
        <w:t>ChPL</w:t>
      </w:r>
      <w:proofErr w:type="spellEnd"/>
      <w:r w:rsidRPr="00744150">
        <w:rPr>
          <w:u w:color="000000"/>
        </w:rPr>
        <w:t xml:space="preserve"> szczepionki.</w:t>
      </w:r>
    </w:p>
    <w:p w14:paraId="611CDC2C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5. W przypadku realizowania szczepienia w schemacie trzydawkowym zaleca się zakończenie pełnego schematu przed ukończeniem 22 tygodnia życia. W razie konieczności trzecią dawkę szczepionki można podać zgodnie ze wskazaniami podanymi w </w:t>
      </w:r>
      <w:proofErr w:type="spellStart"/>
      <w:r w:rsidRPr="00744150">
        <w:rPr>
          <w:u w:color="000000"/>
        </w:rPr>
        <w:t>ChPL</w:t>
      </w:r>
      <w:proofErr w:type="spellEnd"/>
      <w:r w:rsidRPr="00744150">
        <w:rPr>
          <w:u w:color="000000"/>
        </w:rPr>
        <w:t xml:space="preserve"> szczepionki.</w:t>
      </w:r>
    </w:p>
    <w:p w14:paraId="2B3772A8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6. Należy zachować odstępy pomiędzy kolejnymi dawkami nie krótsze, niż 4 tygodnie.</w:t>
      </w:r>
    </w:p>
    <w:p w14:paraId="09365560" w14:textId="77777777" w:rsidR="00A71B47" w:rsidRPr="00744150" w:rsidRDefault="00A71B47" w:rsidP="00744150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7. Szczepienie przeciw zakażeniom wywołanym przez ROTAWIRUSY można przeprowadzać jednocześnie z innymi szczepieniami.</w:t>
      </w:r>
    </w:p>
    <w:p w14:paraId="78A94C7B" w14:textId="77777777" w:rsidR="00025DBF" w:rsidRDefault="00A71B47" w:rsidP="00025DBF">
      <w:pPr>
        <w:spacing w:before="120" w:after="120" w:line="276" w:lineRule="auto"/>
        <w:ind w:left="283" w:firstLine="227"/>
        <w:jc w:val="both"/>
        <w:rPr>
          <w:u w:color="000000"/>
        </w:rPr>
      </w:pPr>
      <w:r w:rsidRPr="00744150">
        <w:rPr>
          <w:u w:color="000000"/>
        </w:rPr>
        <w:t>* U dzieci urodzonych przed dniem 1 stycznia 2021 r. zaleca się szczepienie przeciw zakażeniom wywołanym przez ROTAWIRUSY. Liczba dawek i schemat szczepienia – według wskazań producenta szczepionki”.</w:t>
      </w:r>
    </w:p>
    <w:p w14:paraId="5CB0EBFC" w14:textId="3C6935D5" w:rsidR="00025DBF" w:rsidRPr="00971B6F" w:rsidRDefault="00025DBF" w:rsidP="00025DBF">
      <w:pPr>
        <w:spacing w:before="120" w:after="120" w:line="276" w:lineRule="auto"/>
        <w:ind w:left="283"/>
        <w:jc w:val="both"/>
        <w:rPr>
          <w:b/>
          <w:color w:val="auto"/>
          <w:lang w:eastAsia="en-US"/>
        </w:rPr>
      </w:pPr>
      <w:r w:rsidRPr="00025DBF">
        <w:rPr>
          <w:b/>
          <w:color w:val="auto"/>
          <w:lang w:eastAsia="en-US"/>
        </w:rPr>
        <w:t>2</w:t>
      </w:r>
      <w:r w:rsidRPr="00971B6F">
        <w:rPr>
          <w:b/>
          <w:color w:val="auto"/>
          <w:lang w:eastAsia="en-US"/>
        </w:rPr>
        <w:t>. C</w:t>
      </w:r>
      <w:r w:rsidR="00A71B47" w:rsidRPr="00A71B47">
        <w:rPr>
          <w:b/>
          <w:color w:val="auto"/>
          <w:lang w:eastAsia="en-US"/>
        </w:rPr>
        <w:t>zęść II.</w:t>
      </w:r>
      <w:r w:rsidR="00744150" w:rsidRPr="00971B6F">
        <w:rPr>
          <w:b/>
          <w:color w:val="auto"/>
          <w:lang w:eastAsia="en-US"/>
        </w:rPr>
        <w:t xml:space="preserve"> –</w:t>
      </w:r>
      <w:r w:rsidR="00A71B47" w:rsidRPr="00A71B47">
        <w:rPr>
          <w:b/>
          <w:color w:val="auto"/>
          <w:lang w:eastAsia="en-US"/>
        </w:rPr>
        <w:t xml:space="preserve"> szczepienia zalecane uzupełniono</w:t>
      </w:r>
      <w:r w:rsidR="00744150" w:rsidRPr="00971B6F">
        <w:rPr>
          <w:b/>
          <w:color w:val="auto"/>
          <w:lang w:eastAsia="en-US"/>
        </w:rPr>
        <w:t xml:space="preserve"> </w:t>
      </w:r>
      <w:r w:rsidR="00A71B47" w:rsidRPr="00A71B47">
        <w:rPr>
          <w:b/>
          <w:color w:val="auto"/>
          <w:lang w:eastAsia="en-US"/>
        </w:rPr>
        <w:t>o informacje</w:t>
      </w:r>
      <w:r w:rsidRPr="00971B6F">
        <w:rPr>
          <w:b/>
          <w:color w:val="auto"/>
          <w:lang w:eastAsia="en-US"/>
        </w:rPr>
        <w:t xml:space="preserve"> dotyczące:</w:t>
      </w:r>
    </w:p>
    <w:p w14:paraId="6A08BC64" w14:textId="46A29E1B" w:rsidR="00025DBF" w:rsidRPr="00971B6F" w:rsidRDefault="00A71B47" w:rsidP="00971B6F">
      <w:pPr>
        <w:pStyle w:val="Akapitzlist"/>
        <w:numPr>
          <w:ilvl w:val="0"/>
          <w:numId w:val="26"/>
        </w:numPr>
        <w:spacing w:before="40"/>
        <w:rPr>
          <w:rFonts w:ascii="Times New Roman" w:hAnsi="Times New Roman"/>
          <w:color w:val="000000"/>
          <w:sz w:val="24"/>
          <w:szCs w:val="24"/>
          <w:u w:color="000000"/>
        </w:rPr>
      </w:pPr>
      <w:r w:rsidRPr="00971B6F">
        <w:rPr>
          <w:rFonts w:ascii="Times New Roman" w:hAnsi="Times New Roman"/>
          <w:sz w:val="24"/>
          <w:szCs w:val="24"/>
        </w:rPr>
        <w:t>szczepień przeciwko wirusowi brodawczaka ludzkiego (HPV)</w:t>
      </w:r>
      <w:r w:rsidR="00971B6F" w:rsidRPr="00971B6F">
        <w:rPr>
          <w:rFonts w:ascii="Times New Roman" w:hAnsi="Times New Roman"/>
          <w:sz w:val="24"/>
          <w:szCs w:val="24"/>
        </w:rPr>
        <w:t xml:space="preserve">, których realizację rekomenduje się także </w:t>
      </w:r>
      <w:r w:rsidRPr="00971B6F">
        <w:rPr>
          <w:rFonts w:ascii="Times New Roman" w:hAnsi="Times New Roman"/>
          <w:sz w:val="24"/>
          <w:szCs w:val="24"/>
        </w:rPr>
        <w:t xml:space="preserve">w ramach Narodowej Strategii Onkologicznej </w:t>
      </w:r>
      <w:r w:rsidR="00971B6F" w:rsidRPr="00971B6F">
        <w:rPr>
          <w:rFonts w:ascii="Times New Roman" w:hAnsi="Times New Roman"/>
          <w:sz w:val="24"/>
          <w:szCs w:val="24"/>
        </w:rPr>
        <w:t>(</w:t>
      </w:r>
      <w:r w:rsidR="00971B6F" w:rsidRPr="00971B6F">
        <w:rPr>
          <w:rFonts w:ascii="Times New Roman" w:hAnsi="Times New Roman"/>
          <w:color w:val="000000"/>
          <w:sz w:val="24"/>
          <w:szCs w:val="24"/>
          <w:u w:color="000000"/>
        </w:rPr>
        <w:t>uchwała nr 10 Rady Ministrów z dnia 4 lutego 2020 r. w sprawie przyjęcia programu wieloletniego pn. Narodowa Strategia Onkologiczna na lata 2020–2030</w:t>
      </w:r>
      <w:r w:rsidR="00971B6F" w:rsidRPr="00971B6F">
        <w:rPr>
          <w:rFonts w:ascii="Times New Roman" w:hAnsi="Times New Roman"/>
          <w:color w:val="000000"/>
          <w:sz w:val="24"/>
          <w:szCs w:val="24"/>
        </w:rPr>
        <w:t xml:space="preserve">  </w:t>
      </w:r>
      <w:hyperlink r:id="rId5" w:history="1">
        <w:r w:rsidR="00971B6F" w:rsidRPr="00971B6F">
          <w:rPr>
            <w:rStyle w:val="Hipercze"/>
            <w:rFonts w:ascii="Times New Roman" w:hAnsi="Times New Roman"/>
            <w:color w:val="000000"/>
            <w:sz w:val="24"/>
            <w:szCs w:val="24"/>
            <w:u w:val="none"/>
          </w:rPr>
          <w:t>(M.P. poz. 189)</w:t>
        </w:r>
      </w:hyperlink>
      <w:r w:rsidR="00971B6F" w:rsidRPr="00971B6F">
        <w:rPr>
          <w:rStyle w:val="Hipercze"/>
          <w:rFonts w:ascii="Times New Roman" w:hAnsi="Times New Roman"/>
          <w:color w:val="000000"/>
          <w:sz w:val="24"/>
          <w:szCs w:val="24"/>
          <w:u w:val="none" w:color="000000"/>
        </w:rPr>
        <w:t xml:space="preserve">) </w:t>
      </w:r>
      <w:r w:rsidRPr="00971B6F">
        <w:rPr>
          <w:rFonts w:ascii="Times New Roman" w:hAnsi="Times New Roman"/>
          <w:sz w:val="24"/>
          <w:szCs w:val="24"/>
        </w:rPr>
        <w:t>oraz programów profilaktyki zdrowotnej</w:t>
      </w:r>
      <w:r w:rsidR="00971B6F" w:rsidRPr="00971B6F">
        <w:rPr>
          <w:rFonts w:ascii="Times New Roman" w:hAnsi="Times New Roman"/>
          <w:sz w:val="24"/>
          <w:szCs w:val="24"/>
        </w:rPr>
        <w:t>;</w:t>
      </w:r>
    </w:p>
    <w:p w14:paraId="47060F8D" w14:textId="120723DF" w:rsidR="00025DBF" w:rsidRPr="00971B6F" w:rsidRDefault="00971B6F" w:rsidP="00025DBF">
      <w:pPr>
        <w:pStyle w:val="Akapitzlist"/>
        <w:numPr>
          <w:ilvl w:val="0"/>
          <w:numId w:val="26"/>
        </w:numPr>
        <w:spacing w:before="120" w:after="120"/>
        <w:rPr>
          <w:rFonts w:ascii="Times New Roman" w:hAnsi="Times New Roman"/>
          <w:color w:val="000000"/>
          <w:sz w:val="24"/>
          <w:szCs w:val="24"/>
          <w:u w:color="000000"/>
          <w:lang w:eastAsia="pl-PL"/>
        </w:rPr>
      </w:pPr>
      <w:r w:rsidRPr="00971B6F">
        <w:rPr>
          <w:rFonts w:ascii="Times New Roman" w:hAnsi="Times New Roman"/>
          <w:sz w:val="24"/>
          <w:szCs w:val="24"/>
        </w:rPr>
        <w:t xml:space="preserve">rekomendacji </w:t>
      </w:r>
      <w:r w:rsidR="00A71B47" w:rsidRPr="00971B6F">
        <w:rPr>
          <w:rFonts w:ascii="Times New Roman" w:hAnsi="Times New Roman"/>
          <w:sz w:val="24"/>
          <w:szCs w:val="24"/>
        </w:rPr>
        <w:t>szczepie</w:t>
      </w:r>
      <w:r w:rsidRPr="00971B6F">
        <w:rPr>
          <w:rFonts w:ascii="Times New Roman" w:hAnsi="Times New Roman"/>
          <w:sz w:val="24"/>
          <w:szCs w:val="24"/>
        </w:rPr>
        <w:t>ń</w:t>
      </w:r>
      <w:r w:rsidR="00A71B47" w:rsidRPr="00971B6F">
        <w:rPr>
          <w:rFonts w:ascii="Times New Roman" w:hAnsi="Times New Roman"/>
          <w:sz w:val="24"/>
          <w:szCs w:val="24"/>
        </w:rPr>
        <w:t xml:space="preserve"> przeciwko pneumokokom u osób powyżej 50 roku życia</w:t>
      </w:r>
      <w:r w:rsidRPr="00971B6F">
        <w:rPr>
          <w:rFonts w:ascii="Times New Roman" w:hAnsi="Times New Roman"/>
          <w:sz w:val="24"/>
          <w:szCs w:val="24"/>
        </w:rPr>
        <w:t>.</w:t>
      </w:r>
    </w:p>
    <w:p w14:paraId="7F379881" w14:textId="2E7970D4" w:rsidR="00A71B47" w:rsidRPr="00744150" w:rsidRDefault="00A71B47" w:rsidP="00744150">
      <w:pPr>
        <w:widowControl w:val="0"/>
        <w:spacing w:after="160" w:line="276" w:lineRule="auto"/>
        <w:ind w:firstLine="740"/>
        <w:jc w:val="both"/>
        <w:rPr>
          <w:color w:val="auto"/>
          <w:lang w:eastAsia="en-US"/>
        </w:rPr>
      </w:pPr>
      <w:r w:rsidRPr="00A71B47">
        <w:rPr>
          <w:color w:val="auto"/>
          <w:lang w:eastAsia="en-US"/>
        </w:rPr>
        <w:t xml:space="preserve">Wprowadzono jednocześnie poprawki porządkujące </w:t>
      </w:r>
      <w:r w:rsidR="00971B6F">
        <w:rPr>
          <w:color w:val="auto"/>
          <w:lang w:eastAsia="en-US"/>
        </w:rPr>
        <w:t xml:space="preserve">i redakcyjne </w:t>
      </w:r>
      <w:r w:rsidRPr="00A71B47">
        <w:rPr>
          <w:color w:val="auto"/>
          <w:lang w:eastAsia="en-US"/>
        </w:rPr>
        <w:t>w celu zapewnienia przejrzystości i jednolitości zaleceń zawartych w PSO.</w:t>
      </w:r>
    </w:p>
    <w:p w14:paraId="349A5135" w14:textId="77777777" w:rsidR="001A5791" w:rsidRPr="00744150" w:rsidRDefault="001A5791" w:rsidP="00744150">
      <w:pPr>
        <w:jc w:val="both"/>
        <w:rPr>
          <w:b/>
          <w:spacing w:val="-2"/>
        </w:rPr>
      </w:pPr>
    </w:p>
    <w:p w14:paraId="2F7A9F62" w14:textId="7CC63171" w:rsidR="00C37677" w:rsidRPr="00744150" w:rsidRDefault="001A5791" w:rsidP="00744150">
      <w:pPr>
        <w:jc w:val="both"/>
        <w:rPr>
          <w:b/>
        </w:rPr>
      </w:pPr>
      <w:r w:rsidRPr="00744150">
        <w:rPr>
          <w:b/>
          <w:spacing w:val="-2"/>
        </w:rPr>
        <w:t>Ad. I</w:t>
      </w:r>
      <w:r w:rsidR="00A71B47" w:rsidRPr="00744150">
        <w:rPr>
          <w:b/>
          <w:spacing w:val="-2"/>
        </w:rPr>
        <w:t>I</w:t>
      </w:r>
      <w:r w:rsidRPr="00744150">
        <w:rPr>
          <w:b/>
          <w:spacing w:val="-2"/>
        </w:rPr>
        <w:t>. PSO ogłoszony w Komunikacie GIS z dnia  26 października 2020 r. (</w:t>
      </w:r>
      <w:r w:rsidRPr="00744150">
        <w:rPr>
          <w:b/>
          <w:shd w:val="clear" w:color="auto" w:fill="FFFFFF"/>
        </w:rPr>
        <w:t xml:space="preserve">Dz. </w:t>
      </w:r>
      <w:proofErr w:type="spellStart"/>
      <w:r w:rsidRPr="00744150">
        <w:rPr>
          <w:b/>
          <w:shd w:val="clear" w:color="auto" w:fill="FFFFFF"/>
        </w:rPr>
        <w:t>Urzęd</w:t>
      </w:r>
      <w:proofErr w:type="spellEnd"/>
      <w:r w:rsidRPr="00744150">
        <w:rPr>
          <w:b/>
          <w:shd w:val="clear" w:color="auto" w:fill="FFFFFF"/>
        </w:rPr>
        <w:t xml:space="preserve">. MZ z dnia 27 października 2020 r. </w:t>
      </w:r>
      <w:r w:rsidRPr="00744150">
        <w:rPr>
          <w:b/>
        </w:rPr>
        <w:t xml:space="preserve">poz. 90) </w:t>
      </w:r>
    </w:p>
    <w:p w14:paraId="3F177712" w14:textId="77777777" w:rsidR="006073D5" w:rsidRPr="00744150" w:rsidRDefault="006073D5" w:rsidP="00744150">
      <w:pPr>
        <w:tabs>
          <w:tab w:val="left" w:pos="3930"/>
        </w:tabs>
        <w:spacing w:line="276" w:lineRule="auto"/>
        <w:jc w:val="both"/>
        <w:rPr>
          <w:b/>
          <w:spacing w:val="-2"/>
        </w:rPr>
      </w:pPr>
    </w:p>
    <w:p w14:paraId="7AF8D2E4" w14:textId="023FB147" w:rsidR="00090640" w:rsidRPr="00744150" w:rsidRDefault="00C37677" w:rsidP="00744150">
      <w:pPr>
        <w:widowControl w:val="0"/>
        <w:spacing w:line="276" w:lineRule="auto"/>
        <w:jc w:val="both"/>
      </w:pPr>
      <w:r w:rsidRPr="00744150">
        <w:rPr>
          <w:lang w:bidi="pl-PL"/>
        </w:rPr>
        <w:t>Projekt PSO na rok 2021 w zakresie merytorycznym był konsultowany przez konsultantów krajowych w poszczególnych dziedzinach medycyny, Zespół ds. Szczepień przy Ministrze Zdrowia, Polskie Towarzystwo Wakcynologii oraz członków Rady Sanitarno-Epidemiologicznej (RSE) przy GIS.</w:t>
      </w:r>
      <w:r w:rsidRPr="00744150">
        <w:t xml:space="preserve"> </w:t>
      </w:r>
    </w:p>
    <w:p w14:paraId="6080AC0F" w14:textId="77777777" w:rsidR="006073D5" w:rsidRPr="00744150" w:rsidRDefault="006073D5" w:rsidP="00744150">
      <w:pPr>
        <w:widowControl w:val="0"/>
        <w:spacing w:line="276" w:lineRule="auto"/>
        <w:jc w:val="both"/>
      </w:pPr>
    </w:p>
    <w:p w14:paraId="36BF6E4A" w14:textId="77777777" w:rsidR="00C37677" w:rsidRPr="00744150" w:rsidRDefault="00090640" w:rsidP="00744150">
      <w:pPr>
        <w:spacing w:line="276" w:lineRule="auto"/>
        <w:jc w:val="both"/>
        <w:rPr>
          <w:b/>
          <w:u w:val="single"/>
        </w:rPr>
      </w:pPr>
      <w:r w:rsidRPr="00744150">
        <w:rPr>
          <w:b/>
          <w:u w:val="single"/>
        </w:rPr>
        <w:t>Główne zmiany</w:t>
      </w:r>
      <w:r w:rsidR="00C37677" w:rsidRPr="00744150">
        <w:rPr>
          <w:b/>
          <w:u w:val="single"/>
        </w:rPr>
        <w:t>:</w:t>
      </w:r>
    </w:p>
    <w:p w14:paraId="68F6D14A" w14:textId="5DDFD047" w:rsidR="00C37677" w:rsidRPr="00744150" w:rsidRDefault="006073D5" w:rsidP="00744150">
      <w:pPr>
        <w:spacing w:line="276" w:lineRule="auto"/>
        <w:jc w:val="both"/>
        <w:rPr>
          <w:b/>
        </w:rPr>
      </w:pPr>
      <w:r w:rsidRPr="00744150">
        <w:rPr>
          <w:b/>
        </w:rPr>
        <w:t>m</w:t>
      </w:r>
      <w:r w:rsidR="00090640" w:rsidRPr="00744150">
        <w:rPr>
          <w:b/>
        </w:rPr>
        <w:t>ają charakter redakcyjny, w celu zapewnienia przejrzystości i jednolitości zaleceń zawartych w PSO</w:t>
      </w:r>
      <w:r w:rsidRPr="00744150">
        <w:rPr>
          <w:b/>
        </w:rPr>
        <w:t>:</w:t>
      </w:r>
    </w:p>
    <w:p w14:paraId="5FC7FDDD" w14:textId="09677DF8" w:rsidR="00090640" w:rsidRPr="00744150" w:rsidRDefault="00C37677" w:rsidP="00744150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744150">
        <w:rPr>
          <w:rFonts w:ascii="Times New Roman" w:hAnsi="Times New Roman"/>
          <w:b/>
          <w:sz w:val="24"/>
          <w:szCs w:val="24"/>
        </w:rPr>
        <w:t>D</w:t>
      </w:r>
      <w:r w:rsidR="00090640" w:rsidRPr="00744150">
        <w:rPr>
          <w:rFonts w:ascii="Times New Roman" w:hAnsi="Times New Roman"/>
          <w:b/>
          <w:sz w:val="24"/>
          <w:szCs w:val="24"/>
        </w:rPr>
        <w:t>odano zalecenia w związku z sytuacją epidemiologiczną w kraju</w:t>
      </w:r>
      <w:r w:rsidRPr="00744150">
        <w:rPr>
          <w:rFonts w:ascii="Times New Roman" w:hAnsi="Times New Roman"/>
          <w:b/>
          <w:sz w:val="24"/>
          <w:szCs w:val="24"/>
        </w:rPr>
        <w:t xml:space="preserve">: </w:t>
      </w:r>
    </w:p>
    <w:p w14:paraId="1662FC67" w14:textId="3C79E691" w:rsidR="00090640" w:rsidRPr="00744150" w:rsidRDefault="00090640" w:rsidP="00744150">
      <w:pPr>
        <w:spacing w:line="276" w:lineRule="auto"/>
        <w:ind w:right="57"/>
        <w:jc w:val="both"/>
        <w:rPr>
          <w:b/>
          <w:color w:val="auto"/>
        </w:rPr>
      </w:pPr>
      <w:r w:rsidRPr="00744150">
        <w:rPr>
          <w:b/>
          <w:color w:val="auto"/>
        </w:rPr>
        <w:lastRenderedPageBreak/>
        <w:t>IV. ZASADY PRZEPROWADZANIA I ORGANIZACJI SZCZEPIEŃ informacje nt.:</w:t>
      </w:r>
      <w:r w:rsidRPr="00744150">
        <w:rPr>
          <w:color w:val="auto"/>
        </w:rPr>
        <w:t xml:space="preserve"> </w:t>
      </w:r>
      <w:r w:rsidRPr="00744150">
        <w:rPr>
          <w:b/>
          <w:color w:val="auto"/>
        </w:rPr>
        <w:t>„ZASADY PRZEPROWADZANIA I ORGANIZACJI SZCZEPIEŃ W CZASIE ZAGROŻENIA EPIDEMICZNEGO LUB PANDEMII (COVID-19)</w:t>
      </w:r>
    </w:p>
    <w:p w14:paraId="1E958828" w14:textId="77777777" w:rsidR="00C83CAA" w:rsidRPr="00744150" w:rsidRDefault="00C83CAA" w:rsidP="0074415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auto"/>
        </w:rPr>
      </w:pPr>
      <w:r w:rsidRPr="00744150">
        <w:rPr>
          <w:rFonts w:eastAsiaTheme="minorEastAsia"/>
          <w:color w:val="auto"/>
        </w:rPr>
        <w:t>W</w:t>
      </w:r>
      <w:r w:rsidRPr="00744150">
        <w:rPr>
          <w:rFonts w:eastAsiaTheme="minorEastAsia"/>
          <w:color w:val="auto"/>
          <w:spacing w:val="10"/>
        </w:rPr>
        <w:t xml:space="preserve"> związku z </w:t>
      </w:r>
      <w:r w:rsidRPr="00744150">
        <w:rPr>
          <w:rFonts w:eastAsiaTheme="minorEastAsia"/>
          <w:color w:val="auto"/>
        </w:rPr>
        <w:t>sytuacją epidemiologiczną w kraju spowodowaną wystąpieniem wirusa SARS-CoV-2 wywołującego COVID-19, zwaną dalej „epidemią COVID-19” obowiązkowe (oraz zalecane) szczepienia ochronne dzieci i młodzieży należy przeprowadzać z zachowaniem należytej staranności w zapobieganiu styczności z osobami chorymi, z uwzględnieniem następujących zaleceń:</w:t>
      </w:r>
    </w:p>
    <w:p w14:paraId="69951BF4" w14:textId="77777777" w:rsidR="00C83CAA" w:rsidRPr="00744150" w:rsidRDefault="00C83CAA" w:rsidP="007441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EastAsia"/>
          <w:color w:val="auto"/>
        </w:rPr>
      </w:pPr>
      <w:r w:rsidRPr="00744150">
        <w:rPr>
          <w:rFonts w:eastAsiaTheme="minorEastAsia"/>
          <w:color w:val="auto"/>
        </w:rPr>
        <w:t xml:space="preserve">nie rekomenduje się odraczania terminów przeprowadzania szczepień podstawowych z powodów organizacyjnych. Terminy przeprowadzania szczepień podstawowych mogą zostać przyśpieszone, zaś odstępy czasu pomiędzy kolejnymi dawkami pierwotnymi szczepienia podstawowego mogą ulec skróceniu do minimalnych zalecanych przez wytwórcę szczepionki w </w:t>
      </w:r>
      <w:proofErr w:type="spellStart"/>
      <w:r w:rsidRPr="00744150">
        <w:rPr>
          <w:rFonts w:eastAsiaTheme="minorEastAsia"/>
          <w:color w:val="auto"/>
        </w:rPr>
        <w:t>ChPL</w:t>
      </w:r>
      <w:proofErr w:type="spellEnd"/>
      <w:r w:rsidRPr="00744150">
        <w:rPr>
          <w:rFonts w:eastAsiaTheme="minorEastAsia"/>
          <w:color w:val="auto"/>
        </w:rPr>
        <w:t xml:space="preserve">, gdy jest to uzasadnione zamiarem przeprowadzenia szczepienia przed spodziewanym epidemicznym wzrostem liczby </w:t>
      </w:r>
      <w:proofErr w:type="spellStart"/>
      <w:r w:rsidRPr="00744150">
        <w:rPr>
          <w:rFonts w:eastAsiaTheme="minorEastAsia"/>
          <w:color w:val="auto"/>
        </w:rPr>
        <w:t>zachorowań</w:t>
      </w:r>
      <w:proofErr w:type="spellEnd"/>
      <w:r w:rsidRPr="00744150">
        <w:rPr>
          <w:rFonts w:eastAsiaTheme="minorEastAsia"/>
          <w:color w:val="auto"/>
        </w:rPr>
        <w:t xml:space="preserve"> w przebiegu epidemii COVID-19;</w:t>
      </w:r>
    </w:p>
    <w:p w14:paraId="185E4D0A" w14:textId="77777777" w:rsidR="00C83CAA" w:rsidRPr="00744150" w:rsidRDefault="00C83CAA" w:rsidP="007441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EastAsia"/>
          <w:color w:val="auto"/>
        </w:rPr>
      </w:pPr>
      <w:r w:rsidRPr="00744150">
        <w:rPr>
          <w:rFonts w:eastAsiaTheme="minorEastAsia"/>
          <w:color w:val="auto"/>
        </w:rPr>
        <w:t>w wyjątkowych sytuacjach, o ile z powodów wynikających z trwającej epidemii COVID-19 nie jest możliwe przeprowadzanie lekarskich badań kwalifikacyjnych oraz szczepień, dopuszcza się czasowe odraczanie terminów przeprowadzania szczepień uzupełniających (dawek kończących schemat szczepienia podstawowego) – nie dłużej niż o 3 miesiące, oraz szczepień przypominających – nie dłużej niż o 12 miesięcy;</w:t>
      </w:r>
    </w:p>
    <w:p w14:paraId="74BE3399" w14:textId="77777777" w:rsidR="00C83CAA" w:rsidRPr="00744150" w:rsidRDefault="00C83CAA" w:rsidP="007441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EastAsia"/>
          <w:color w:val="auto"/>
        </w:rPr>
      </w:pPr>
      <w:r w:rsidRPr="00744150">
        <w:rPr>
          <w:rFonts w:eastAsiaTheme="minorEastAsia"/>
          <w:color w:val="auto"/>
        </w:rPr>
        <w:t xml:space="preserve">w przypadku czasowego albo długotrwałego odroczenia w przeprowadzaniu obowiązkowych szczepień ochronnych, każdorazowo należy przeprowadzić szczepienia wyrównawcze, w tym należy ustalić </w:t>
      </w:r>
      <w:proofErr w:type="spellStart"/>
      <w:r w:rsidRPr="00744150">
        <w:rPr>
          <w:rFonts w:eastAsiaTheme="minorEastAsia"/>
          <w:color w:val="auto"/>
        </w:rPr>
        <w:t>IKSz</w:t>
      </w:r>
      <w:proofErr w:type="spellEnd"/>
      <w:r w:rsidRPr="00744150">
        <w:rPr>
          <w:rFonts w:eastAsiaTheme="minorEastAsia"/>
          <w:color w:val="auto"/>
        </w:rPr>
        <w:t>;</w:t>
      </w:r>
    </w:p>
    <w:p w14:paraId="0FB7F097" w14:textId="1C6EE44A" w:rsidR="00C83CAA" w:rsidRPr="00744150" w:rsidRDefault="00C83CAA" w:rsidP="0074415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EastAsia"/>
          <w:color w:val="auto"/>
        </w:rPr>
      </w:pPr>
      <w:r w:rsidRPr="00744150">
        <w:rPr>
          <w:rFonts w:eastAsiaTheme="minorEastAsia"/>
          <w:color w:val="auto"/>
        </w:rPr>
        <w:t>do udzielania świadczeń zdrowotnych z zakresu profilaktycznej opieki nad dziećmi zdrowymi należy stosować, odpowiednio do aktualnej sytuacji epidemiologicznej w kraju, obowiązujące przepisy prawne.</w:t>
      </w:r>
    </w:p>
    <w:p w14:paraId="6538A480" w14:textId="77777777" w:rsidR="006073D5" w:rsidRPr="00744150" w:rsidRDefault="006073D5" w:rsidP="00744150">
      <w:pPr>
        <w:widowControl w:val="0"/>
        <w:autoSpaceDE w:val="0"/>
        <w:autoSpaceDN w:val="0"/>
        <w:adjustRightInd w:val="0"/>
        <w:spacing w:line="276" w:lineRule="auto"/>
        <w:ind w:left="142"/>
        <w:contextualSpacing/>
        <w:jc w:val="both"/>
        <w:rPr>
          <w:rFonts w:eastAsiaTheme="minorEastAsia"/>
          <w:color w:val="auto"/>
        </w:rPr>
      </w:pPr>
    </w:p>
    <w:p w14:paraId="7C3CDA33" w14:textId="5585D97D" w:rsidR="00C83CAA" w:rsidRPr="00744150" w:rsidRDefault="00C37677" w:rsidP="00744150">
      <w:pPr>
        <w:pStyle w:val="Akapitzlist"/>
        <w:numPr>
          <w:ilvl w:val="0"/>
          <w:numId w:val="15"/>
        </w:num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Wprowadzono zmiany redakcyjne mające na celu wskazanie w części Szczepienia obowiązkowe (I </w:t>
      </w:r>
      <w:proofErr w:type="spellStart"/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proofErr w:type="spellEnd"/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III),</w:t>
      </w:r>
      <w:r w:rsidRPr="00744150">
        <w:rPr>
          <w:rFonts w:ascii="Times New Roman" w:hAnsi="Times New Roman"/>
          <w:color w:val="000000" w:themeColor="text1"/>
          <w:sz w:val="24"/>
          <w:szCs w:val="24"/>
        </w:rPr>
        <w:t xml:space="preserve"> w szczególności w odniesieniu do szczepienia p/ MMR, roczników podlegających w 2021 roku szczepieniom w 6 </w:t>
      </w:r>
      <w:r w:rsidR="00C83CAA" w:rsidRPr="00744150">
        <w:rPr>
          <w:rFonts w:ascii="Times New Roman" w:hAnsi="Times New Roman"/>
          <w:color w:val="000000" w:themeColor="text1"/>
          <w:sz w:val="24"/>
          <w:szCs w:val="24"/>
        </w:rPr>
        <w:t xml:space="preserve">r. ż * </w:t>
      </w:r>
      <w:r w:rsidR="00C83CAA" w:rsidRPr="00744150">
        <w:rPr>
          <w:rFonts w:ascii="Times New Roman" w:hAnsi="Times New Roman"/>
          <w:sz w:val="24"/>
          <w:szCs w:val="24"/>
        </w:rPr>
        <w:t>(rocznik 2016)</w:t>
      </w:r>
      <w:r w:rsidR="00C83CAA" w:rsidRPr="00744150">
        <w:rPr>
          <w:rFonts w:ascii="Times New Roman" w:hAnsi="Times New Roman"/>
          <w:bCs/>
          <w:sz w:val="24"/>
          <w:szCs w:val="24"/>
        </w:rPr>
        <w:t xml:space="preserve"> </w:t>
      </w:r>
      <w:r w:rsidRPr="00744150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 w:rsidR="00C83CAA" w:rsidRPr="0074415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7441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3CAA" w:rsidRPr="00744150">
        <w:rPr>
          <w:rFonts w:ascii="Times New Roman" w:hAnsi="Times New Roman"/>
          <w:color w:val="000000" w:themeColor="text1"/>
          <w:sz w:val="24"/>
          <w:szCs w:val="24"/>
        </w:rPr>
        <w:t>r. ż. ** (</w:t>
      </w:r>
      <w:r w:rsidR="00C83CAA" w:rsidRPr="00744150">
        <w:rPr>
          <w:rFonts w:ascii="Times New Roman" w:hAnsi="Times New Roman"/>
          <w:bCs/>
          <w:sz w:val="24"/>
          <w:szCs w:val="24"/>
        </w:rPr>
        <w:t>rocznik 2012)</w:t>
      </w:r>
      <w:r w:rsidR="007B3D4C" w:rsidRPr="00744150">
        <w:rPr>
          <w:rFonts w:ascii="Times New Roman" w:hAnsi="Times New Roman"/>
          <w:bCs/>
          <w:sz w:val="24"/>
          <w:szCs w:val="24"/>
        </w:rPr>
        <w:t>.</w:t>
      </w:r>
      <w:r w:rsidR="00C83CAA" w:rsidRPr="00744150">
        <w:rPr>
          <w:rFonts w:ascii="Times New Roman" w:hAnsi="Times New Roman"/>
          <w:bCs/>
          <w:sz w:val="24"/>
          <w:szCs w:val="24"/>
        </w:rPr>
        <w:t xml:space="preserve"> </w:t>
      </w:r>
      <w:r w:rsidRPr="00744150">
        <w:rPr>
          <w:rFonts w:ascii="Times New Roman" w:hAnsi="Times New Roman"/>
          <w:color w:val="000000" w:themeColor="text1"/>
          <w:sz w:val="24"/>
          <w:szCs w:val="24"/>
        </w:rPr>
        <w:t>Wyraźnie rozdzielono, które roczniki podlegają wyrównaniu ze względu na niezaszczepienie w 6 roku życia, pomimo objęcia ich obowiązującym PSO od 2019 roku</w:t>
      </w:r>
      <w:r w:rsidR="00C83CAA" w:rsidRPr="0074415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DFC6D66" w14:textId="4E31B4E4" w:rsidR="00C83CAA" w:rsidRPr="00744150" w:rsidRDefault="00C83CAA" w:rsidP="00744150">
      <w:pPr>
        <w:spacing w:line="276" w:lineRule="auto"/>
        <w:jc w:val="both"/>
        <w:rPr>
          <w:color w:val="auto"/>
        </w:rPr>
      </w:pPr>
      <w:r w:rsidRPr="00744150">
        <w:rPr>
          <w:color w:val="000000" w:themeColor="text1"/>
        </w:rPr>
        <w:t>„</w:t>
      </w:r>
      <w:r w:rsidR="00C37677" w:rsidRPr="00744150">
        <w:rPr>
          <w:color w:val="000000" w:themeColor="text1"/>
        </w:rPr>
        <w:t xml:space="preserve"> </w:t>
      </w:r>
      <w:r w:rsidRPr="00744150">
        <w:rPr>
          <w:color w:val="000000" w:themeColor="text1"/>
        </w:rPr>
        <w:t xml:space="preserve">* </w:t>
      </w:r>
      <w:r w:rsidRPr="00744150">
        <w:rPr>
          <w:color w:val="auto"/>
        </w:rPr>
        <w:t xml:space="preserve">U dzieci, które nie zostały zaszczepione w 6 roku życia, urodzonych w 2014 r. (rocznik 2014) oraz w 2015 r. (rocznik 2015) należy uzupełnić brakujące szczepienie </w:t>
      </w:r>
      <w:r w:rsidRPr="00744150">
        <w:rPr>
          <w:rFonts w:eastAsiaTheme="minorEastAsia"/>
          <w:color w:val="auto"/>
        </w:rPr>
        <w:t>w możliwie najwcześniejszym terminie</w:t>
      </w:r>
      <w:r w:rsidRPr="00744150">
        <w:rPr>
          <w:color w:val="auto"/>
        </w:rPr>
        <w:t>, nie później, niż do ukończenia 19 roku życia.</w:t>
      </w:r>
    </w:p>
    <w:p w14:paraId="0942C4A0" w14:textId="52E4B57E" w:rsidR="00C83CAA" w:rsidRPr="00744150" w:rsidRDefault="00C83CAA" w:rsidP="00744150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auto"/>
        </w:rPr>
      </w:pPr>
      <w:r w:rsidRPr="00744150">
        <w:rPr>
          <w:rFonts w:eastAsiaTheme="minorEastAsia"/>
          <w:bCs/>
          <w:color w:val="auto"/>
        </w:rPr>
        <w:t xml:space="preserve">** </w:t>
      </w:r>
      <w:r w:rsidRPr="00744150">
        <w:rPr>
          <w:color w:val="auto"/>
        </w:rPr>
        <w:t>U dzieci urodzonych w 2013 r. (rocznik 2013) szczepienie przypominające przeciw ODRZE, ŚWINCE I RÓŻYCZCE przeprowadza się w 10 roku życia.</w:t>
      </w:r>
      <w:r w:rsidR="006073D5" w:rsidRPr="00744150">
        <w:rPr>
          <w:color w:val="auto"/>
        </w:rPr>
        <w:t>”</w:t>
      </w:r>
    </w:p>
    <w:p w14:paraId="37A76B77" w14:textId="2B99E061" w:rsidR="00C37677" w:rsidRPr="00744150" w:rsidRDefault="006073D5" w:rsidP="00744150">
      <w:pPr>
        <w:pStyle w:val="NormalnyWeb"/>
        <w:shd w:val="clear" w:color="auto" w:fill="FFFFFF"/>
        <w:spacing w:before="0" w:beforeAutospacing="0" w:after="0" w:line="276" w:lineRule="auto"/>
        <w:ind w:firstLine="360"/>
        <w:jc w:val="both"/>
      </w:pPr>
      <w:r w:rsidRPr="00744150">
        <w:t xml:space="preserve">Uwzględniono propozycje Zespołu ds. szczepień przy MZ (wg projektu zaakceptowanego przez MZ) poprzez dodanie informacji, że szczepionka jest szczepionką </w:t>
      </w:r>
      <w:r w:rsidR="007B3D4C" w:rsidRPr="00744150">
        <w:t>„</w:t>
      </w:r>
      <w:r w:rsidRPr="00744150">
        <w:t xml:space="preserve">żywą </w:t>
      </w:r>
      <w:proofErr w:type="spellStart"/>
      <w:r w:rsidRPr="00744150">
        <w:t>atenuowaną</w:t>
      </w:r>
      <w:proofErr w:type="spellEnd"/>
      <w:r w:rsidR="007B3D4C" w:rsidRPr="00744150">
        <w:t>”</w:t>
      </w:r>
      <w:r w:rsidRPr="00744150">
        <w:t xml:space="preserve"> oraz  że „Szczepienie można przeprowadzić po ustąpieniu ostrych objawów i poprawie stanu ogólnego pacjenta” w miejsce dotychczasowego określenia „po upływie co najmniej 4 tygodni od wyzdrowienia” oraz drobne poprawki redakcyjne wynikające z uwzględnienia proponowanych przez Zespół uwag.  </w:t>
      </w:r>
    </w:p>
    <w:p w14:paraId="25E28324" w14:textId="77777777" w:rsidR="006073D5" w:rsidRPr="00744150" w:rsidRDefault="006073D5" w:rsidP="00744150">
      <w:pPr>
        <w:pStyle w:val="NormalnyWeb"/>
        <w:shd w:val="clear" w:color="auto" w:fill="FFFFFF"/>
        <w:spacing w:before="0" w:beforeAutospacing="0" w:after="0" w:line="276" w:lineRule="auto"/>
        <w:jc w:val="both"/>
      </w:pPr>
    </w:p>
    <w:p w14:paraId="6B971B5F" w14:textId="3D3F80BB" w:rsidR="003B622A" w:rsidRPr="00744150" w:rsidRDefault="00090640" w:rsidP="00744150">
      <w:pPr>
        <w:pStyle w:val="Akapitzlist"/>
        <w:numPr>
          <w:ilvl w:val="0"/>
          <w:numId w:val="15"/>
        </w:num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>W części I. Szczepienia obowiązkowe</w:t>
      </w:r>
      <w:r w:rsidR="003B622A" w:rsidRPr="00744150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2CD28CCC" w14:textId="4DFDB9C2" w:rsidR="00090640" w:rsidRPr="00744150" w:rsidRDefault="00090640" w:rsidP="00744150">
      <w:pPr>
        <w:pStyle w:val="Akapitzlist"/>
        <w:numPr>
          <w:ilvl w:val="0"/>
          <w:numId w:val="18"/>
        </w:num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sz w:val="24"/>
          <w:szCs w:val="24"/>
        </w:rPr>
        <w:t xml:space="preserve">szczepienie w 14 roku życia przeciwko BŁONICY, TĘŻCOWI, KRZTUŚCOWI ze zmniejszoną zawartością komponentu krztuścowego zawierającą bezkomórkowy komponent krztuśca </w:t>
      </w:r>
      <w:r w:rsidRPr="00744150">
        <w:rPr>
          <w:rFonts w:ascii="Times New Roman" w:hAnsi="Times New Roman"/>
          <w:i/>
          <w:color w:val="000000" w:themeColor="text1"/>
          <w:sz w:val="24"/>
          <w:szCs w:val="24"/>
        </w:rPr>
        <w:t>skrót „</w:t>
      </w:r>
      <w:proofErr w:type="spellStart"/>
      <w:r w:rsidRPr="00744150">
        <w:rPr>
          <w:rFonts w:ascii="Times New Roman" w:hAnsi="Times New Roman"/>
          <w:i/>
          <w:color w:val="000000" w:themeColor="text1"/>
          <w:sz w:val="24"/>
          <w:szCs w:val="24"/>
        </w:rPr>
        <w:t>dTap</w:t>
      </w:r>
      <w:proofErr w:type="spellEnd"/>
      <w:r w:rsidRPr="00744150">
        <w:rPr>
          <w:rFonts w:ascii="Times New Roman" w:hAnsi="Times New Roman"/>
          <w:i/>
          <w:color w:val="000000" w:themeColor="text1"/>
          <w:sz w:val="24"/>
          <w:szCs w:val="24"/>
        </w:rPr>
        <w:t>” zastąpiono skrótem „</w:t>
      </w:r>
      <w:proofErr w:type="spellStart"/>
      <w:r w:rsidRPr="00744150">
        <w:rPr>
          <w:rFonts w:ascii="Times New Roman" w:hAnsi="Times New Roman"/>
          <w:i/>
          <w:color w:val="000000" w:themeColor="text1"/>
          <w:sz w:val="24"/>
          <w:szCs w:val="24"/>
        </w:rPr>
        <w:t>Tdap</w:t>
      </w:r>
      <w:proofErr w:type="spellEnd"/>
      <w:r w:rsidRPr="00744150">
        <w:rPr>
          <w:rFonts w:ascii="Times New Roman" w:hAnsi="Times New Roman"/>
          <w:i/>
          <w:color w:val="000000" w:themeColor="text1"/>
          <w:sz w:val="24"/>
          <w:szCs w:val="24"/>
        </w:rPr>
        <w:t xml:space="preserve">” </w:t>
      </w:r>
      <w:r w:rsidR="003B622A" w:rsidRPr="00744150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76AE0B2F" w14:textId="228F21E5" w:rsidR="003B622A" w:rsidRPr="00744150" w:rsidRDefault="003B622A" w:rsidP="00744150">
      <w:pPr>
        <w:pStyle w:val="Akapitzlist"/>
        <w:numPr>
          <w:ilvl w:val="0"/>
          <w:numId w:val="18"/>
        </w:numPr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sz w:val="24"/>
          <w:szCs w:val="24"/>
        </w:rPr>
        <w:t>w</w:t>
      </w:r>
      <w:r w:rsidRPr="00744150">
        <w:rPr>
          <w:rFonts w:ascii="Times New Roman" w:hAnsi="Times New Roman"/>
          <w:bCs/>
          <w:sz w:val="24"/>
          <w:szCs w:val="24"/>
        </w:rPr>
        <w:t xml:space="preserve">ariant szczepień </w:t>
      </w:r>
      <w:r w:rsidRPr="00744150">
        <w:rPr>
          <w:rFonts w:ascii="Times New Roman" w:hAnsi="Times New Roman"/>
          <w:sz w:val="24"/>
          <w:szCs w:val="24"/>
        </w:rPr>
        <w:t>A.1.</w:t>
      </w:r>
      <w:r w:rsidRPr="00744150">
        <w:rPr>
          <w:rFonts w:ascii="Times New Roman" w:hAnsi="Times New Roman"/>
          <w:bCs/>
          <w:sz w:val="24"/>
          <w:szCs w:val="24"/>
        </w:rPr>
        <w:t xml:space="preserve"> z użyciem szczepionki 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wysokoskojarzonej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DTaP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>-IPV-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Hib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 xml:space="preserve"> uzupełniono o „lub 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DTaP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>-IPV-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Hib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>-</w:t>
      </w:r>
      <w:proofErr w:type="spellStart"/>
      <w:r w:rsidRPr="00744150">
        <w:rPr>
          <w:rFonts w:ascii="Times New Roman" w:hAnsi="Times New Roman"/>
          <w:bCs/>
          <w:sz w:val="24"/>
          <w:szCs w:val="24"/>
        </w:rPr>
        <w:t>wzwB</w:t>
      </w:r>
      <w:proofErr w:type="spellEnd"/>
      <w:r w:rsidRPr="00744150">
        <w:rPr>
          <w:rFonts w:ascii="Times New Roman" w:hAnsi="Times New Roman"/>
          <w:bCs/>
          <w:sz w:val="24"/>
          <w:szCs w:val="24"/>
        </w:rPr>
        <w:t xml:space="preserve">” </w:t>
      </w:r>
      <w:r w:rsidRPr="00744150">
        <w:rPr>
          <w:rFonts w:ascii="Times New Roman" w:hAnsi="Times New Roman"/>
          <w:sz w:val="24"/>
          <w:szCs w:val="24"/>
        </w:rPr>
        <w:t xml:space="preserve">– stosuje się w przypadku dostępności do szczepionek </w:t>
      </w:r>
      <w:proofErr w:type="spellStart"/>
      <w:r w:rsidRPr="00744150">
        <w:rPr>
          <w:rFonts w:ascii="Times New Roman" w:hAnsi="Times New Roman"/>
          <w:sz w:val="24"/>
          <w:szCs w:val="24"/>
        </w:rPr>
        <w:t>wysokoskojarzonych</w:t>
      </w:r>
      <w:proofErr w:type="spellEnd"/>
      <w:r w:rsidRPr="00744150">
        <w:rPr>
          <w:rFonts w:ascii="Times New Roman" w:hAnsi="Times New Roman"/>
          <w:sz w:val="24"/>
          <w:szCs w:val="24"/>
        </w:rPr>
        <w:t>. Wariant A.I. zaktualizowano schemat szczepień o szczepionki wysoko skojarzone 6w1;</w:t>
      </w:r>
    </w:p>
    <w:p w14:paraId="366FDB08" w14:textId="6C8E3B57" w:rsidR="007B3D4C" w:rsidRPr="00744150" w:rsidRDefault="007B3D4C" w:rsidP="00744150">
      <w:pPr>
        <w:pStyle w:val="NormalnyWeb"/>
        <w:numPr>
          <w:ilvl w:val="0"/>
          <w:numId w:val="15"/>
        </w:numPr>
        <w:shd w:val="clear" w:color="auto" w:fill="FFFFFF"/>
        <w:spacing w:before="0" w:beforeAutospacing="0" w:after="0" w:line="276" w:lineRule="auto"/>
        <w:jc w:val="both"/>
      </w:pPr>
      <w:r w:rsidRPr="00744150">
        <w:rPr>
          <w:b/>
        </w:rPr>
        <w:t xml:space="preserve">Zmiany </w:t>
      </w:r>
      <w:r w:rsidRPr="00744150">
        <w:rPr>
          <w:b/>
          <w:bCs/>
        </w:rPr>
        <w:t>w części II PSO - szczepienia zalecane:</w:t>
      </w:r>
    </w:p>
    <w:p w14:paraId="01994E7F" w14:textId="0AC4F696" w:rsidR="006073D5" w:rsidRPr="00744150" w:rsidRDefault="007B3D4C" w:rsidP="0074415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right="57"/>
        <w:rPr>
          <w:rFonts w:ascii="Times New Roman" w:hAnsi="Times New Roman"/>
          <w:color w:val="000000" w:themeColor="text1"/>
          <w:sz w:val="24"/>
          <w:szCs w:val="24"/>
        </w:rPr>
      </w:pPr>
      <w:r w:rsidRPr="00744150">
        <w:rPr>
          <w:rFonts w:ascii="Times New Roman" w:hAnsi="Times New Roman"/>
          <w:b/>
          <w:color w:val="000000" w:themeColor="text1"/>
          <w:sz w:val="24"/>
          <w:szCs w:val="24"/>
        </w:rPr>
        <w:t>z</w:t>
      </w:r>
      <w:r w:rsidR="00090640" w:rsidRPr="007441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aktualizowano </w:t>
      </w:r>
      <w:r w:rsidR="00090640" w:rsidRPr="00744150">
        <w:rPr>
          <w:rFonts w:ascii="Times New Roman" w:hAnsi="Times New Roman"/>
          <w:bCs/>
          <w:color w:val="000000" w:themeColor="text1"/>
          <w:sz w:val="24"/>
          <w:szCs w:val="24"/>
        </w:rPr>
        <w:t>zasady szczepień przeciw wybranym chorobom zakaźnym</w:t>
      </w:r>
      <w:r w:rsidRPr="00744150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 w:rsidR="00090640" w:rsidRPr="0074415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90640" w:rsidRPr="00744150">
        <w:rPr>
          <w:rFonts w:ascii="Times New Roman" w:hAnsi="Times New Roman"/>
          <w:color w:val="000000" w:themeColor="text1"/>
          <w:sz w:val="24"/>
          <w:szCs w:val="24"/>
        </w:rPr>
        <w:t>zmieniono kolejność wymienianych szczepień, według zalecanego wieku i zaleceń dla osób podróżujących, na następującą:</w:t>
      </w:r>
    </w:p>
    <w:p w14:paraId="2AAD48BE" w14:textId="77777777" w:rsidR="006073D5" w:rsidRPr="00744150" w:rsidRDefault="00090640" w:rsidP="00744150">
      <w:pPr>
        <w:pStyle w:val="Akapitzlist"/>
        <w:autoSpaceDE w:val="0"/>
        <w:autoSpaceDN w:val="0"/>
        <w:adjustRightInd w:val="0"/>
        <w:ind w:left="360" w:right="57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44150">
        <w:rPr>
          <w:rFonts w:ascii="Times New Roman" w:hAnsi="Times New Roman"/>
          <w:sz w:val="24"/>
          <w:szCs w:val="24"/>
        </w:rPr>
        <w:t>rotawirusy</w:t>
      </w:r>
      <w:proofErr w:type="spellEnd"/>
      <w:r w:rsidRPr="0074415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4150">
        <w:rPr>
          <w:rFonts w:ascii="Times New Roman" w:hAnsi="Times New Roman"/>
          <w:sz w:val="24"/>
          <w:szCs w:val="24"/>
        </w:rPr>
        <w:t>gypa</w:t>
      </w:r>
      <w:proofErr w:type="spellEnd"/>
      <w:r w:rsidRPr="00744150">
        <w:rPr>
          <w:rFonts w:ascii="Times New Roman" w:hAnsi="Times New Roman"/>
          <w:sz w:val="24"/>
          <w:szCs w:val="24"/>
        </w:rPr>
        <w:t xml:space="preserve">, ospa wietrzna, zakażenia </w:t>
      </w:r>
      <w:proofErr w:type="spellStart"/>
      <w:r w:rsidRPr="00744150">
        <w:rPr>
          <w:rFonts w:ascii="Times New Roman" w:hAnsi="Times New Roman"/>
          <w:iCs/>
          <w:sz w:val="24"/>
          <w:szCs w:val="24"/>
        </w:rPr>
        <w:t>Neisseria</w:t>
      </w:r>
      <w:proofErr w:type="spellEnd"/>
      <w:r w:rsidRPr="0074415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44150">
        <w:rPr>
          <w:rFonts w:ascii="Times New Roman" w:hAnsi="Times New Roman"/>
          <w:iCs/>
          <w:sz w:val="24"/>
          <w:szCs w:val="24"/>
        </w:rPr>
        <w:t>meningitidis</w:t>
      </w:r>
      <w:proofErr w:type="spellEnd"/>
      <w:r w:rsidRPr="00744150">
        <w:rPr>
          <w:rFonts w:ascii="Times New Roman" w:hAnsi="Times New Roman"/>
          <w:iCs/>
          <w:sz w:val="24"/>
          <w:szCs w:val="24"/>
        </w:rPr>
        <w:t>,</w:t>
      </w:r>
      <w:r w:rsidRPr="00744150">
        <w:rPr>
          <w:rFonts w:ascii="Times New Roman" w:hAnsi="Times New Roman"/>
          <w:sz w:val="24"/>
          <w:szCs w:val="24"/>
        </w:rPr>
        <w:t xml:space="preserve"> inwazyjne zakażenia, </w:t>
      </w:r>
      <w:proofErr w:type="spellStart"/>
      <w:r w:rsidRPr="00744150">
        <w:rPr>
          <w:rFonts w:ascii="Times New Roman" w:hAnsi="Times New Roman"/>
          <w:iCs/>
          <w:sz w:val="24"/>
          <w:szCs w:val="24"/>
        </w:rPr>
        <w:t>Streptococcus</w:t>
      </w:r>
      <w:proofErr w:type="spellEnd"/>
      <w:r w:rsidRPr="0074415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44150">
        <w:rPr>
          <w:rFonts w:ascii="Times New Roman" w:hAnsi="Times New Roman"/>
          <w:iCs/>
          <w:sz w:val="24"/>
          <w:szCs w:val="24"/>
        </w:rPr>
        <w:t>pneumoniae</w:t>
      </w:r>
      <w:proofErr w:type="spellEnd"/>
      <w:r w:rsidRPr="00744150">
        <w:rPr>
          <w:rFonts w:ascii="Times New Roman" w:hAnsi="Times New Roman"/>
          <w:iCs/>
          <w:sz w:val="24"/>
          <w:szCs w:val="24"/>
        </w:rPr>
        <w:t>,</w:t>
      </w:r>
      <w:r w:rsidRPr="00744150">
        <w:rPr>
          <w:rFonts w:ascii="Times New Roman" w:hAnsi="Times New Roman"/>
          <w:sz w:val="24"/>
          <w:szCs w:val="24"/>
        </w:rPr>
        <w:t xml:space="preserve"> inwazyjne zakażenia </w:t>
      </w:r>
      <w:proofErr w:type="spellStart"/>
      <w:r w:rsidRPr="00744150">
        <w:rPr>
          <w:rFonts w:ascii="Times New Roman" w:hAnsi="Times New Roman"/>
          <w:sz w:val="24"/>
          <w:szCs w:val="24"/>
        </w:rPr>
        <w:t>Hib</w:t>
      </w:r>
      <w:proofErr w:type="spellEnd"/>
      <w:r w:rsidRPr="00744150">
        <w:rPr>
          <w:rFonts w:ascii="Times New Roman" w:hAnsi="Times New Roman"/>
          <w:sz w:val="24"/>
          <w:szCs w:val="24"/>
        </w:rPr>
        <w:t xml:space="preserve">, KZM, </w:t>
      </w:r>
      <w:proofErr w:type="spellStart"/>
      <w:r w:rsidRPr="00744150">
        <w:rPr>
          <w:rFonts w:ascii="Times New Roman" w:hAnsi="Times New Roman"/>
          <w:sz w:val="24"/>
          <w:szCs w:val="24"/>
        </w:rPr>
        <w:t>wzw</w:t>
      </w:r>
      <w:proofErr w:type="spellEnd"/>
      <w:r w:rsidRPr="00744150">
        <w:rPr>
          <w:rFonts w:ascii="Times New Roman" w:hAnsi="Times New Roman"/>
          <w:sz w:val="24"/>
          <w:szCs w:val="24"/>
        </w:rPr>
        <w:t xml:space="preserve"> typu B, </w:t>
      </w:r>
      <w:proofErr w:type="spellStart"/>
      <w:r w:rsidRPr="00744150">
        <w:rPr>
          <w:rFonts w:ascii="Times New Roman" w:hAnsi="Times New Roman"/>
          <w:sz w:val="24"/>
          <w:szCs w:val="24"/>
        </w:rPr>
        <w:t>wzw</w:t>
      </w:r>
      <w:proofErr w:type="spellEnd"/>
      <w:r w:rsidRPr="00744150">
        <w:rPr>
          <w:rFonts w:ascii="Times New Roman" w:hAnsi="Times New Roman"/>
          <w:sz w:val="24"/>
          <w:szCs w:val="24"/>
        </w:rPr>
        <w:t xml:space="preserve"> typu A, odra, świnka, różyczka, błonica, tężec, krztusiec</w:t>
      </w:r>
      <w:r w:rsidRPr="0074415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44150">
        <w:rPr>
          <w:rFonts w:ascii="Times New Roman" w:hAnsi="Times New Roman"/>
          <w:sz w:val="24"/>
          <w:szCs w:val="24"/>
        </w:rPr>
        <w:t xml:space="preserve">BCG, HPV, </w:t>
      </w:r>
      <w:r w:rsidRPr="00744150">
        <w:rPr>
          <w:rFonts w:ascii="Times New Roman" w:hAnsi="Times New Roman"/>
          <w:color w:val="000000"/>
          <w:sz w:val="24"/>
          <w:szCs w:val="24"/>
        </w:rPr>
        <w:t xml:space="preserve">cholera, dur brzuszny, wścieklizna, </w:t>
      </w:r>
      <w:proofErr w:type="spellStart"/>
      <w:r w:rsidRPr="00744150">
        <w:rPr>
          <w:rFonts w:ascii="Times New Roman" w:hAnsi="Times New Roman"/>
          <w:color w:val="000000"/>
          <w:sz w:val="24"/>
          <w:szCs w:val="24"/>
        </w:rPr>
        <w:t>poliomyelitis</w:t>
      </w:r>
      <w:proofErr w:type="spellEnd"/>
      <w:r w:rsidRPr="00744150">
        <w:rPr>
          <w:rFonts w:ascii="Times New Roman" w:hAnsi="Times New Roman"/>
          <w:color w:val="000000"/>
          <w:sz w:val="24"/>
          <w:szCs w:val="24"/>
        </w:rPr>
        <w:t>,</w:t>
      </w:r>
    </w:p>
    <w:p w14:paraId="4B561812" w14:textId="77777777" w:rsidR="006073D5" w:rsidRPr="00744150" w:rsidRDefault="00090640" w:rsidP="00744150">
      <w:pPr>
        <w:pStyle w:val="Akapitzlist"/>
        <w:autoSpaceDE w:val="0"/>
        <w:autoSpaceDN w:val="0"/>
        <w:adjustRightInd w:val="0"/>
        <w:ind w:left="360" w:right="57"/>
        <w:rPr>
          <w:rFonts w:ascii="Times New Roman" w:hAnsi="Times New Roman"/>
          <w:color w:val="000000"/>
          <w:sz w:val="24"/>
          <w:szCs w:val="24"/>
        </w:rPr>
      </w:pPr>
      <w:r w:rsidRPr="00744150">
        <w:rPr>
          <w:rFonts w:ascii="Times New Roman" w:hAnsi="Times New Roman"/>
          <w:b/>
          <w:color w:val="000000"/>
          <w:sz w:val="24"/>
          <w:szCs w:val="24"/>
        </w:rPr>
        <w:t>a także</w:t>
      </w:r>
    </w:p>
    <w:p w14:paraId="6E0CBE81" w14:textId="18C605CD" w:rsidR="00090640" w:rsidRPr="00744150" w:rsidRDefault="00090640" w:rsidP="00744150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right="57"/>
        <w:rPr>
          <w:rFonts w:ascii="Times New Roman" w:hAnsi="Times New Roman"/>
          <w:color w:val="000000"/>
          <w:sz w:val="24"/>
          <w:szCs w:val="24"/>
        </w:rPr>
      </w:pPr>
      <w:r w:rsidRPr="00744150">
        <w:rPr>
          <w:rFonts w:ascii="Times New Roman" w:hAnsi="Times New Roman"/>
          <w:b/>
          <w:sz w:val="24"/>
          <w:szCs w:val="24"/>
        </w:rPr>
        <w:t>uzupełniono zalecenia do szczepień przeciwko grypie, MMR, ospie wietrznej</w:t>
      </w:r>
      <w:r w:rsidRPr="00744150">
        <w:rPr>
          <w:rFonts w:ascii="Times New Roman" w:hAnsi="Times New Roman"/>
          <w:b/>
          <w:sz w:val="24"/>
          <w:szCs w:val="24"/>
        </w:rPr>
        <w:br/>
        <w:t>i WZW typu A o</w:t>
      </w:r>
      <w:r w:rsidR="00122708" w:rsidRPr="00744150">
        <w:rPr>
          <w:rFonts w:ascii="Times New Roman" w:hAnsi="Times New Roman"/>
          <w:b/>
          <w:sz w:val="24"/>
          <w:szCs w:val="24"/>
        </w:rPr>
        <w:t xml:space="preserve"> zapis</w:t>
      </w:r>
      <w:r w:rsidRPr="00744150">
        <w:rPr>
          <w:rFonts w:ascii="Times New Roman" w:hAnsi="Times New Roman"/>
          <w:sz w:val="24"/>
          <w:szCs w:val="24"/>
        </w:rPr>
        <w:t>:</w:t>
      </w:r>
    </w:p>
    <w:p w14:paraId="3F51A504" w14:textId="77777777" w:rsidR="00122708" w:rsidRPr="00744150" w:rsidRDefault="00090640" w:rsidP="00744150">
      <w:pPr>
        <w:pStyle w:val="Akapitzlist"/>
        <w:widowControl w:val="0"/>
        <w:numPr>
          <w:ilvl w:val="7"/>
          <w:numId w:val="21"/>
        </w:numPr>
        <w:tabs>
          <w:tab w:val="left" w:pos="372"/>
        </w:tabs>
        <w:autoSpaceDE w:val="0"/>
        <w:autoSpaceDN w:val="0"/>
        <w:adjustRightInd w:val="0"/>
        <w:spacing w:before="60" w:after="0" w:line="240" w:lineRule="auto"/>
        <w:ind w:left="735" w:hanging="372"/>
        <w:rPr>
          <w:rFonts w:ascii="Times New Roman" w:hAnsi="Times New Roman"/>
          <w:sz w:val="24"/>
          <w:szCs w:val="24"/>
          <w:lang w:eastAsia="pl-PL"/>
        </w:rPr>
      </w:pPr>
      <w:r w:rsidRPr="00744150">
        <w:rPr>
          <w:rFonts w:ascii="Times New Roman" w:hAnsi="Times New Roman"/>
          <w:sz w:val="24"/>
          <w:szCs w:val="24"/>
        </w:rPr>
        <w:t>„</w:t>
      </w:r>
      <w:r w:rsidR="00122708" w:rsidRPr="00744150">
        <w:rPr>
          <w:rFonts w:ascii="Times New Roman" w:eastAsiaTheme="minorEastAsia" w:hAnsi="Times New Roman"/>
          <w:sz w:val="24"/>
          <w:szCs w:val="24"/>
        </w:rPr>
        <w:t>uczniom i studentom szkół i uczelni medycznych lub innych szkół i uczelni prowadzących kształcenie na kierunkach medycznych”</w:t>
      </w:r>
    </w:p>
    <w:p w14:paraId="50104DCC" w14:textId="726C49A1" w:rsidR="00090640" w:rsidRPr="00744150" w:rsidRDefault="00090640" w:rsidP="00744150">
      <w:pPr>
        <w:pStyle w:val="Akapitzlist"/>
        <w:widowControl w:val="0"/>
        <w:numPr>
          <w:ilvl w:val="7"/>
          <w:numId w:val="21"/>
        </w:numPr>
        <w:tabs>
          <w:tab w:val="left" w:pos="372"/>
        </w:tabs>
        <w:autoSpaceDE w:val="0"/>
        <w:autoSpaceDN w:val="0"/>
        <w:adjustRightInd w:val="0"/>
        <w:spacing w:before="60" w:after="0" w:line="240" w:lineRule="auto"/>
        <w:ind w:left="735" w:hanging="372"/>
        <w:rPr>
          <w:rFonts w:ascii="Times New Roman" w:hAnsi="Times New Roman"/>
          <w:sz w:val="24"/>
          <w:szCs w:val="24"/>
          <w:lang w:eastAsia="pl-PL"/>
        </w:rPr>
      </w:pPr>
      <w:r w:rsidRPr="00744150">
        <w:rPr>
          <w:rFonts w:ascii="Times New Roman" w:hAnsi="Times New Roman"/>
          <w:bCs/>
          <w:sz w:val="24"/>
          <w:szCs w:val="24"/>
          <w:lang w:eastAsia="pl-PL"/>
        </w:rPr>
        <w:t>w odniesieniu do szczepień przeciwko WZW typu A uzupełniono dotychczasowe wskazania o następujące:</w:t>
      </w:r>
    </w:p>
    <w:p w14:paraId="1C85718A" w14:textId="77777777" w:rsidR="00090640" w:rsidRPr="00744150" w:rsidRDefault="00090640" w:rsidP="00744150">
      <w:pPr>
        <w:pStyle w:val="Akapitzlist"/>
        <w:numPr>
          <w:ilvl w:val="0"/>
          <w:numId w:val="2"/>
        </w:numPr>
        <w:spacing w:after="0"/>
        <w:ind w:left="1788"/>
        <w:rPr>
          <w:rFonts w:ascii="Times New Roman" w:hAnsi="Times New Roman"/>
          <w:i/>
          <w:sz w:val="24"/>
          <w:szCs w:val="24"/>
          <w:lang w:eastAsia="pl-PL"/>
        </w:rPr>
      </w:pPr>
      <w:r w:rsidRPr="00744150">
        <w:rPr>
          <w:rFonts w:ascii="Times New Roman" w:hAnsi="Times New Roman"/>
          <w:i/>
          <w:sz w:val="24"/>
          <w:szCs w:val="24"/>
        </w:rPr>
        <w:t>w zależności od sytuacji epidemiologicznej osobom z grup ryzyka,</w:t>
      </w:r>
      <w:r w:rsidRPr="00744150">
        <w:rPr>
          <w:rFonts w:ascii="Times New Roman" w:hAnsi="Times New Roman"/>
          <w:i/>
          <w:sz w:val="24"/>
          <w:szCs w:val="24"/>
        </w:rPr>
        <w:br/>
        <w:t>w których obserwuje się zwiększona liczbę zachorowań,</w:t>
      </w:r>
    </w:p>
    <w:p w14:paraId="22DE6F34" w14:textId="249A62F6" w:rsidR="006073D5" w:rsidRPr="00744150" w:rsidRDefault="00090640" w:rsidP="00744150">
      <w:pPr>
        <w:pStyle w:val="Akapitzlist"/>
        <w:numPr>
          <w:ilvl w:val="0"/>
          <w:numId w:val="2"/>
        </w:numPr>
        <w:spacing w:after="0"/>
        <w:ind w:left="1788"/>
        <w:rPr>
          <w:rFonts w:ascii="Times New Roman" w:hAnsi="Times New Roman"/>
          <w:i/>
          <w:sz w:val="24"/>
          <w:szCs w:val="24"/>
          <w:lang w:eastAsia="pl-PL"/>
        </w:rPr>
      </w:pPr>
      <w:r w:rsidRPr="00744150">
        <w:rPr>
          <w:rFonts w:ascii="Times New Roman" w:hAnsi="Times New Roman"/>
          <w:i/>
          <w:sz w:val="24"/>
          <w:szCs w:val="24"/>
        </w:rPr>
        <w:t xml:space="preserve"> pracownik</w:t>
      </w:r>
      <w:r w:rsidR="00122708" w:rsidRPr="00744150">
        <w:rPr>
          <w:rFonts w:ascii="Times New Roman" w:hAnsi="Times New Roman"/>
          <w:i/>
          <w:sz w:val="24"/>
          <w:szCs w:val="24"/>
        </w:rPr>
        <w:t>om</w:t>
      </w:r>
      <w:r w:rsidRPr="00744150">
        <w:rPr>
          <w:rFonts w:ascii="Times New Roman" w:hAnsi="Times New Roman"/>
          <w:i/>
          <w:sz w:val="24"/>
          <w:szCs w:val="24"/>
        </w:rPr>
        <w:t xml:space="preserve"> medyczny</w:t>
      </w:r>
      <w:r w:rsidR="00122708" w:rsidRPr="00744150">
        <w:rPr>
          <w:rFonts w:ascii="Times New Roman" w:hAnsi="Times New Roman"/>
          <w:i/>
          <w:sz w:val="24"/>
          <w:szCs w:val="24"/>
        </w:rPr>
        <w:t>m</w:t>
      </w:r>
      <w:r w:rsidRPr="00744150">
        <w:rPr>
          <w:rFonts w:ascii="Times New Roman" w:hAnsi="Times New Roman"/>
          <w:i/>
          <w:sz w:val="24"/>
          <w:szCs w:val="24"/>
        </w:rPr>
        <w:t xml:space="preserve">, </w:t>
      </w:r>
      <w:r w:rsidR="00122708" w:rsidRPr="00744150">
        <w:rPr>
          <w:rFonts w:ascii="Times New Roman" w:hAnsi="Times New Roman"/>
          <w:i/>
          <w:sz w:val="24"/>
          <w:szCs w:val="24"/>
        </w:rPr>
        <w:t xml:space="preserve">w szczególności </w:t>
      </w:r>
      <w:r w:rsidRPr="00744150">
        <w:rPr>
          <w:rFonts w:ascii="Times New Roman" w:hAnsi="Times New Roman"/>
          <w:i/>
          <w:sz w:val="24"/>
          <w:szCs w:val="24"/>
        </w:rPr>
        <w:t xml:space="preserve">oddziałów zakaźnych, gastroenterologicznych, pediatrycznych; </w:t>
      </w:r>
    </w:p>
    <w:p w14:paraId="0A1959FF" w14:textId="0E7B3C9C" w:rsidR="006073D5" w:rsidRPr="00744150" w:rsidRDefault="006073D5" w:rsidP="00744150">
      <w:pPr>
        <w:pStyle w:val="Teksttreci30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</w:pPr>
      <w:r w:rsidRPr="00744150">
        <w:rPr>
          <w:rFonts w:ascii="Times New Roman" w:eastAsiaTheme="minorEastAsia" w:hAnsi="Times New Roman" w:cs="Times New Roman"/>
          <w:i w:val="0"/>
          <w:color w:val="auto"/>
          <w:sz w:val="24"/>
          <w:szCs w:val="24"/>
        </w:rPr>
        <w:t>szczepienie przeciwko rotawirusom:</w:t>
      </w:r>
      <w:r w:rsidRPr="00744150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 xml:space="preserve"> w miejsce dotychczasowego</w:t>
      </w:r>
      <w:r w:rsidRPr="00744150">
        <w:rPr>
          <w:rFonts w:ascii="Times New Roman" w:eastAsiaTheme="minorEastAsia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744150"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t xml:space="preserve">zapisu dot. wieku szczepienia przeciw rotawirusom „od 6 tygodnia życia” wprowadzono zapis proponowany przez Zespół ds. szczepień i PTW: </w:t>
      </w:r>
      <w:r w:rsidRPr="00744150">
        <w:rPr>
          <w:rFonts w:ascii="Times New Roman" w:eastAsiaTheme="minorEastAsia" w:hAnsi="Times New Roman" w:cs="Times New Roman"/>
          <w:b w:val="0"/>
          <w:bCs/>
          <w:color w:val="auto"/>
          <w:sz w:val="24"/>
          <w:szCs w:val="24"/>
        </w:rPr>
        <w:t>„po ukończeniu 6 tygodnia życia”</w:t>
      </w:r>
      <w:r w:rsidRPr="00744150">
        <w:rPr>
          <w:rFonts w:ascii="Times New Roman" w:eastAsiaTheme="minorEastAsia" w:hAnsi="Times New Roman" w:cs="Times New Roman"/>
          <w:b w:val="0"/>
          <w:bCs/>
          <w:i w:val="0"/>
          <w:color w:val="auto"/>
          <w:sz w:val="24"/>
          <w:szCs w:val="24"/>
        </w:rPr>
        <w:t>,</w:t>
      </w:r>
    </w:p>
    <w:p w14:paraId="249AB44D" w14:textId="612E27ED" w:rsidR="00090640" w:rsidRPr="00744150" w:rsidRDefault="006073D5" w:rsidP="00744150">
      <w:pPr>
        <w:pStyle w:val="Teksttreci30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744150">
        <w:rPr>
          <w:rFonts w:ascii="Times New Roman" w:hAnsi="Times New Roman" w:cs="Times New Roman"/>
          <w:i w:val="0"/>
          <w:color w:val="auto"/>
          <w:sz w:val="24"/>
          <w:szCs w:val="24"/>
        </w:rPr>
        <w:t>z</w:t>
      </w:r>
      <w:r w:rsidR="00090640" w:rsidRPr="00744150">
        <w:rPr>
          <w:rFonts w:ascii="Times New Roman" w:hAnsi="Times New Roman" w:cs="Times New Roman"/>
          <w:i w:val="0"/>
          <w:color w:val="auto"/>
          <w:sz w:val="24"/>
          <w:szCs w:val="24"/>
        </w:rPr>
        <w:t>aktualizowano informacje nt. szczepionek przeciwko meningokokom wg propozycji Zespołu ds. szczepień, tj. zastąpiono dotychczasowe informacje</w:t>
      </w:r>
      <w:r w:rsidR="00C37677" w:rsidRPr="00744150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90640" w:rsidRPr="00744150">
        <w:rPr>
          <w:rFonts w:ascii="Times New Roman" w:hAnsi="Times New Roman" w:cs="Times New Roman"/>
          <w:i w:val="0"/>
          <w:color w:val="auto"/>
          <w:sz w:val="24"/>
          <w:szCs w:val="24"/>
        </w:rPr>
        <w:t>o dostępnych szczepionkach na następujące:</w:t>
      </w:r>
    </w:p>
    <w:p w14:paraId="026AB6FB" w14:textId="77777777" w:rsidR="003B622A" w:rsidRPr="00744150" w:rsidRDefault="003B622A" w:rsidP="00744150">
      <w:pPr>
        <w:numPr>
          <w:ilvl w:val="0"/>
          <w:numId w:val="9"/>
        </w:numPr>
        <w:spacing w:before="120" w:line="276" w:lineRule="auto"/>
        <w:contextualSpacing/>
        <w:jc w:val="both"/>
        <w:rPr>
          <w:rFonts w:eastAsia="Calibri"/>
          <w:i/>
          <w:color w:val="auto"/>
        </w:rPr>
      </w:pPr>
      <w:r w:rsidRPr="00744150">
        <w:rPr>
          <w:rFonts w:eastAsiaTheme="minorEastAsia"/>
          <w:i/>
          <w:color w:val="auto"/>
        </w:rPr>
        <w:t xml:space="preserve">Szczepionka białkowa  przeciw </w:t>
      </w:r>
      <w:proofErr w:type="spellStart"/>
      <w:r w:rsidRPr="00744150">
        <w:rPr>
          <w:rFonts w:eastAsiaTheme="minorEastAsia"/>
          <w:i/>
          <w:color w:val="auto"/>
        </w:rPr>
        <w:t>serogrupie</w:t>
      </w:r>
      <w:proofErr w:type="spellEnd"/>
      <w:r w:rsidRPr="00744150">
        <w:rPr>
          <w:rFonts w:eastAsiaTheme="minorEastAsia"/>
          <w:i/>
          <w:color w:val="auto"/>
        </w:rPr>
        <w:t xml:space="preserve"> B,</w:t>
      </w:r>
    </w:p>
    <w:p w14:paraId="52FA6119" w14:textId="77777777" w:rsidR="003B622A" w:rsidRPr="00744150" w:rsidRDefault="003B622A" w:rsidP="00744150">
      <w:pPr>
        <w:numPr>
          <w:ilvl w:val="0"/>
          <w:numId w:val="9"/>
        </w:numPr>
        <w:spacing w:before="120" w:line="276" w:lineRule="auto"/>
        <w:contextualSpacing/>
        <w:jc w:val="both"/>
        <w:rPr>
          <w:rFonts w:eastAsia="Calibri"/>
          <w:i/>
          <w:color w:val="auto"/>
        </w:rPr>
      </w:pPr>
      <w:r w:rsidRPr="00744150">
        <w:rPr>
          <w:rFonts w:eastAsia="Calibri"/>
          <w:i/>
          <w:color w:val="auto"/>
        </w:rPr>
        <w:t xml:space="preserve">Szczepionka </w:t>
      </w:r>
      <w:proofErr w:type="spellStart"/>
      <w:r w:rsidRPr="00744150">
        <w:rPr>
          <w:rFonts w:eastAsia="Calibri"/>
          <w:i/>
          <w:color w:val="auto"/>
        </w:rPr>
        <w:t>skoniugowana</w:t>
      </w:r>
      <w:proofErr w:type="spellEnd"/>
      <w:r w:rsidRPr="00744150">
        <w:rPr>
          <w:rFonts w:eastAsia="Calibri"/>
          <w:i/>
          <w:color w:val="auto"/>
        </w:rPr>
        <w:t xml:space="preserve">, </w:t>
      </w:r>
      <w:proofErr w:type="spellStart"/>
      <w:r w:rsidRPr="00744150">
        <w:rPr>
          <w:rFonts w:eastAsia="Calibri"/>
          <w:i/>
          <w:color w:val="auto"/>
        </w:rPr>
        <w:t>czterowalentna</w:t>
      </w:r>
      <w:proofErr w:type="spellEnd"/>
      <w:r w:rsidRPr="00744150">
        <w:rPr>
          <w:rFonts w:eastAsia="Calibri"/>
          <w:i/>
          <w:color w:val="auto"/>
        </w:rPr>
        <w:t xml:space="preserve"> przeciw </w:t>
      </w:r>
      <w:proofErr w:type="spellStart"/>
      <w:r w:rsidRPr="00744150">
        <w:rPr>
          <w:rFonts w:eastAsia="Calibri"/>
          <w:i/>
          <w:color w:val="auto"/>
        </w:rPr>
        <w:t>serogrupom</w:t>
      </w:r>
      <w:proofErr w:type="spellEnd"/>
      <w:r w:rsidRPr="00744150">
        <w:rPr>
          <w:rFonts w:eastAsia="Calibri"/>
          <w:i/>
          <w:color w:val="auto"/>
        </w:rPr>
        <w:t xml:space="preserve"> A, C, W</w:t>
      </w:r>
      <w:r w:rsidRPr="00744150">
        <w:rPr>
          <w:rFonts w:eastAsia="Calibri"/>
          <w:b/>
          <w:i/>
          <w:color w:val="auto"/>
        </w:rPr>
        <w:t>-</w:t>
      </w:r>
      <w:r w:rsidRPr="00744150">
        <w:rPr>
          <w:rFonts w:eastAsia="Calibri"/>
          <w:i/>
          <w:color w:val="auto"/>
        </w:rPr>
        <w:t>135, Y,</w:t>
      </w:r>
    </w:p>
    <w:p w14:paraId="6A6BD279" w14:textId="77777777" w:rsidR="003B622A" w:rsidRPr="00744150" w:rsidRDefault="003B622A" w:rsidP="00744150">
      <w:pPr>
        <w:numPr>
          <w:ilvl w:val="0"/>
          <w:numId w:val="9"/>
        </w:numPr>
        <w:spacing w:before="120" w:line="276" w:lineRule="auto"/>
        <w:contextualSpacing/>
        <w:jc w:val="both"/>
        <w:rPr>
          <w:rFonts w:eastAsia="Calibri"/>
          <w:i/>
          <w:color w:val="auto"/>
        </w:rPr>
      </w:pPr>
      <w:r w:rsidRPr="00744150">
        <w:rPr>
          <w:rFonts w:eastAsiaTheme="minorEastAsia"/>
          <w:i/>
          <w:color w:val="auto"/>
          <w:lang w:eastAsia="en-US"/>
        </w:rPr>
        <w:t xml:space="preserve">szczepionka </w:t>
      </w:r>
      <w:proofErr w:type="spellStart"/>
      <w:r w:rsidRPr="00744150">
        <w:rPr>
          <w:rFonts w:eastAsiaTheme="minorEastAsia"/>
          <w:i/>
          <w:color w:val="auto"/>
          <w:lang w:eastAsia="en-US"/>
        </w:rPr>
        <w:t>skoniugowana</w:t>
      </w:r>
      <w:proofErr w:type="spellEnd"/>
      <w:r w:rsidRPr="00744150">
        <w:rPr>
          <w:rFonts w:eastAsiaTheme="minorEastAsia"/>
          <w:i/>
          <w:color w:val="auto"/>
          <w:lang w:eastAsia="en-US"/>
        </w:rPr>
        <w:t xml:space="preserve"> </w:t>
      </w:r>
      <w:proofErr w:type="spellStart"/>
      <w:r w:rsidRPr="00744150">
        <w:rPr>
          <w:rFonts w:eastAsiaTheme="minorEastAsia"/>
          <w:i/>
          <w:color w:val="auto"/>
          <w:lang w:eastAsia="en-US"/>
        </w:rPr>
        <w:t>monowalentna</w:t>
      </w:r>
      <w:proofErr w:type="spellEnd"/>
      <w:r w:rsidRPr="00744150">
        <w:rPr>
          <w:rFonts w:eastAsiaTheme="minorEastAsia"/>
          <w:i/>
          <w:color w:val="auto"/>
          <w:lang w:eastAsia="en-US"/>
        </w:rPr>
        <w:t xml:space="preserve"> przeciw </w:t>
      </w:r>
      <w:proofErr w:type="spellStart"/>
      <w:r w:rsidRPr="00744150">
        <w:rPr>
          <w:rFonts w:eastAsiaTheme="minorEastAsia"/>
          <w:i/>
          <w:color w:val="auto"/>
          <w:lang w:eastAsia="en-US"/>
        </w:rPr>
        <w:t>serogrupie</w:t>
      </w:r>
      <w:proofErr w:type="spellEnd"/>
      <w:r w:rsidRPr="00744150">
        <w:rPr>
          <w:rFonts w:eastAsiaTheme="minorEastAsia"/>
          <w:i/>
          <w:color w:val="auto"/>
          <w:lang w:eastAsia="en-US"/>
        </w:rPr>
        <w:t xml:space="preserve"> C,</w:t>
      </w:r>
    </w:p>
    <w:p w14:paraId="45B31649" w14:textId="6A67B52E" w:rsidR="003B622A" w:rsidRPr="00744150" w:rsidRDefault="003B622A" w:rsidP="00744150">
      <w:pPr>
        <w:numPr>
          <w:ilvl w:val="0"/>
          <w:numId w:val="9"/>
        </w:numPr>
        <w:spacing w:before="120" w:line="276" w:lineRule="auto"/>
        <w:contextualSpacing/>
        <w:jc w:val="both"/>
        <w:rPr>
          <w:rFonts w:eastAsia="Calibri"/>
          <w:i/>
          <w:color w:val="auto"/>
        </w:rPr>
      </w:pPr>
      <w:r w:rsidRPr="00744150">
        <w:rPr>
          <w:rFonts w:eastAsiaTheme="minorEastAsia"/>
          <w:bCs/>
          <w:i/>
          <w:color w:val="auto"/>
          <w:lang w:eastAsia="en-US"/>
        </w:rPr>
        <w:t>usunięto informacje</w:t>
      </w:r>
      <w:r w:rsidRPr="00744150">
        <w:rPr>
          <w:rFonts w:eastAsiaTheme="minorEastAsia"/>
          <w:b/>
          <w:bCs/>
          <w:i/>
          <w:color w:val="auto"/>
          <w:lang w:eastAsia="en-US"/>
        </w:rPr>
        <w:t xml:space="preserve"> </w:t>
      </w:r>
      <w:r w:rsidRPr="00744150">
        <w:rPr>
          <w:rFonts w:eastAsiaTheme="minorEastAsia"/>
          <w:i/>
          <w:color w:val="auto"/>
          <w:lang w:eastAsia="en-US"/>
        </w:rPr>
        <w:t>dotyczące szczepionki polisacharydowej, w związku</w:t>
      </w:r>
      <w:r w:rsidRPr="00744150">
        <w:rPr>
          <w:rFonts w:eastAsiaTheme="minorEastAsia"/>
          <w:i/>
          <w:color w:val="auto"/>
          <w:lang w:eastAsia="en-US"/>
        </w:rPr>
        <w:br/>
        <w:t>z brakiem dostępności na rynku;</w:t>
      </w:r>
    </w:p>
    <w:p w14:paraId="5FD0B5A2" w14:textId="6067A448" w:rsidR="00B82390" w:rsidRPr="00744150" w:rsidRDefault="00B82390" w:rsidP="00744150">
      <w:pPr>
        <w:pStyle w:val="Akapitzlist"/>
        <w:widowControl w:val="0"/>
        <w:numPr>
          <w:ilvl w:val="0"/>
          <w:numId w:val="19"/>
        </w:numPr>
        <w:tabs>
          <w:tab w:val="left" w:pos="350"/>
        </w:tabs>
        <w:rPr>
          <w:rFonts w:ascii="Times New Roman" w:eastAsiaTheme="minorEastAsia" w:hAnsi="Times New Roman"/>
          <w:sz w:val="24"/>
          <w:szCs w:val="24"/>
        </w:rPr>
      </w:pPr>
      <w:r w:rsidRPr="00744150">
        <w:rPr>
          <w:rFonts w:ascii="Times New Roman" w:hAnsi="Times New Roman"/>
          <w:b/>
          <w:bCs/>
          <w:sz w:val="24"/>
          <w:szCs w:val="24"/>
        </w:rPr>
        <w:t xml:space="preserve">zastąpiono wskazania do szczepień przeciwko inwazyjnym zakażeniom STREPTOCOCCUS PNEUMONIAE zawarte w punkcie 1 w brzmieniu: </w:t>
      </w:r>
      <w:r w:rsidRPr="00744150">
        <w:rPr>
          <w:rFonts w:ascii="Times New Roman" w:hAnsi="Times New Roman"/>
          <w:bCs/>
          <w:sz w:val="24"/>
          <w:szCs w:val="24"/>
        </w:rPr>
        <w:t>„</w:t>
      </w:r>
      <w:r w:rsidRPr="00744150">
        <w:rPr>
          <w:rFonts w:ascii="Times New Roman" w:hAnsi="Times New Roman"/>
          <w:sz w:val="24"/>
          <w:szCs w:val="24"/>
        </w:rPr>
        <w:t>dzieciom i młodzieży od</w:t>
      </w:r>
      <w:r w:rsidRPr="00744150">
        <w:rPr>
          <w:rFonts w:ascii="Times New Roman" w:hAnsi="Times New Roman"/>
          <w:bCs/>
          <w:sz w:val="24"/>
          <w:szCs w:val="24"/>
        </w:rPr>
        <w:t xml:space="preserve"> ukończenia 6 tygodnia</w:t>
      </w:r>
      <w:r w:rsidRPr="007441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150">
        <w:rPr>
          <w:rFonts w:ascii="Times New Roman" w:hAnsi="Times New Roman"/>
          <w:bCs/>
          <w:sz w:val="24"/>
          <w:szCs w:val="24"/>
        </w:rPr>
        <w:t>życia</w:t>
      </w:r>
      <w:r w:rsidRPr="007441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44150">
        <w:rPr>
          <w:rFonts w:ascii="Times New Roman" w:hAnsi="Times New Roman"/>
          <w:sz w:val="24"/>
          <w:szCs w:val="24"/>
        </w:rPr>
        <w:t xml:space="preserve">do ukończenia 18 roku życia </w:t>
      </w:r>
      <w:r w:rsidRPr="00744150">
        <w:rPr>
          <w:rFonts w:ascii="Times New Roman" w:hAnsi="Times New Roman"/>
          <w:sz w:val="24"/>
          <w:szCs w:val="24"/>
        </w:rPr>
        <w:lastRenderedPageBreak/>
        <w:t xml:space="preserve">oraz osobom dorosłym powyżej 50 roku życia” </w:t>
      </w:r>
      <w:r w:rsidRPr="00744150">
        <w:rPr>
          <w:rFonts w:ascii="Times New Roman" w:hAnsi="Times New Roman"/>
          <w:b/>
          <w:sz w:val="24"/>
          <w:szCs w:val="24"/>
        </w:rPr>
        <w:t>na</w:t>
      </w:r>
      <w:r w:rsidRPr="00744150">
        <w:rPr>
          <w:rFonts w:ascii="Times New Roman" w:hAnsi="Times New Roman"/>
          <w:sz w:val="24"/>
          <w:szCs w:val="24"/>
        </w:rPr>
        <w:t xml:space="preserve"> </w:t>
      </w:r>
      <w:r w:rsidRPr="00744150">
        <w:rPr>
          <w:rFonts w:ascii="Times New Roman" w:hAnsi="Times New Roman"/>
          <w:i/>
          <w:sz w:val="24"/>
          <w:szCs w:val="24"/>
        </w:rPr>
        <w:t>„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>dzieci</w:t>
      </w:r>
      <w:r w:rsidRPr="00744150">
        <w:rPr>
          <w:rFonts w:ascii="Times New Roman" w:hAnsi="Times New Roman"/>
          <w:i/>
          <w:sz w:val="24"/>
          <w:szCs w:val="24"/>
        </w:rPr>
        <w:t>om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 xml:space="preserve"> do 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 xml:space="preserve">ukończenia  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 xml:space="preserve">5 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 xml:space="preserve">roku życia, które 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>nie były wcześniej szczepione</w:t>
      </w:r>
      <w:r w:rsidRPr="00744150">
        <w:rPr>
          <w:rFonts w:ascii="Times New Roman" w:hAnsi="Times New Roman"/>
          <w:i/>
          <w:sz w:val="24"/>
          <w:szCs w:val="24"/>
        </w:rPr>
        <w:t xml:space="preserve"> 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>oraz dzieci</w:t>
      </w:r>
      <w:r w:rsidRPr="00744150">
        <w:rPr>
          <w:rFonts w:ascii="Times New Roman" w:hAnsi="Times New Roman"/>
          <w:i/>
          <w:sz w:val="24"/>
          <w:szCs w:val="24"/>
        </w:rPr>
        <w:t>om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 xml:space="preserve"> </w:t>
      </w:r>
      <w:r w:rsidRPr="00744150">
        <w:rPr>
          <w:rFonts w:ascii="Times New Roman" w:hAnsi="Times New Roman"/>
          <w:i/>
          <w:sz w:val="24"/>
          <w:szCs w:val="24"/>
        </w:rPr>
        <w:t xml:space="preserve">i młodzieży 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>należąc</w:t>
      </w:r>
      <w:r w:rsidR="0012521C" w:rsidRPr="00744150">
        <w:rPr>
          <w:rFonts w:ascii="Times New Roman" w:hAnsi="Times New Roman"/>
          <w:i/>
          <w:sz w:val="24"/>
          <w:szCs w:val="24"/>
        </w:rPr>
        <w:t>ym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 xml:space="preserve"> do grup ryzyka 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 xml:space="preserve">do 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 xml:space="preserve">ukończenia 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>1</w:t>
      </w:r>
      <w:r w:rsidR="0012521C" w:rsidRPr="00744150">
        <w:rPr>
          <w:rFonts w:ascii="Times New Roman" w:eastAsiaTheme="minorEastAsia" w:hAnsi="Times New Roman"/>
          <w:i/>
          <w:sz w:val="24"/>
          <w:szCs w:val="24"/>
        </w:rPr>
        <w:t>9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 xml:space="preserve"> roku życia</w:t>
      </w:r>
      <w:r w:rsidRPr="00744150">
        <w:rPr>
          <w:rFonts w:ascii="Times New Roman" w:hAnsi="Times New Roman"/>
          <w:i/>
          <w:sz w:val="24"/>
          <w:szCs w:val="24"/>
        </w:rPr>
        <w:t>,</w:t>
      </w:r>
      <w:r w:rsidRPr="00744150">
        <w:rPr>
          <w:rFonts w:ascii="Times New Roman" w:eastAsiaTheme="minorEastAsia" w:hAnsi="Times New Roman"/>
          <w:i/>
          <w:sz w:val="24"/>
          <w:szCs w:val="24"/>
        </w:rPr>
        <w:t>”</w:t>
      </w:r>
      <w:r w:rsidRPr="00744150">
        <w:rPr>
          <w:rFonts w:ascii="Times New Roman" w:hAnsi="Times New Roman"/>
          <w:i/>
          <w:sz w:val="24"/>
          <w:szCs w:val="24"/>
        </w:rPr>
        <w:t>;</w:t>
      </w:r>
    </w:p>
    <w:p w14:paraId="64D501AF" w14:textId="77777777" w:rsidR="00B82390" w:rsidRPr="00744150" w:rsidRDefault="00B82390" w:rsidP="00744150">
      <w:pPr>
        <w:pStyle w:val="Akapitzlist"/>
        <w:widowControl w:val="0"/>
        <w:numPr>
          <w:ilvl w:val="0"/>
          <w:numId w:val="19"/>
        </w:numPr>
        <w:tabs>
          <w:tab w:val="left" w:pos="350"/>
        </w:tabs>
        <w:rPr>
          <w:rFonts w:ascii="Times New Roman" w:eastAsiaTheme="minorEastAsia" w:hAnsi="Times New Roman"/>
          <w:sz w:val="24"/>
          <w:szCs w:val="24"/>
        </w:rPr>
      </w:pPr>
      <w:r w:rsidRPr="00744150">
        <w:rPr>
          <w:rFonts w:ascii="Times New Roman" w:hAnsi="Times New Roman"/>
          <w:b/>
          <w:sz w:val="24"/>
          <w:szCs w:val="24"/>
        </w:rPr>
        <w:t xml:space="preserve">uzupełniono zalecenia do szczepień przeciwko </w:t>
      </w:r>
      <w:r w:rsidRPr="00744150">
        <w:rPr>
          <w:rFonts w:ascii="Times New Roman" w:hAnsi="Times New Roman"/>
          <w:b/>
          <w:bCs/>
          <w:sz w:val="24"/>
          <w:szCs w:val="24"/>
        </w:rPr>
        <w:t xml:space="preserve">KLESZCZOWEMU ZAPALENIU MÓZGU zastępując </w:t>
      </w:r>
      <w:r w:rsidRPr="00744150">
        <w:rPr>
          <w:rFonts w:ascii="Times New Roman" w:hAnsi="Times New Roman"/>
          <w:b/>
          <w:sz w:val="24"/>
          <w:szCs w:val="24"/>
        </w:rPr>
        <w:t>dotychczasowy zapis w brzmieniu:</w:t>
      </w:r>
      <w:r w:rsidRPr="00744150">
        <w:rPr>
          <w:rFonts w:ascii="Times New Roman" w:hAnsi="Times New Roman"/>
          <w:sz w:val="24"/>
          <w:szCs w:val="24"/>
        </w:rPr>
        <w:t xml:space="preserve"> „Osobom przebywającym na terenach o nasilonym występowaniu tej choroby w szczególności: osobom zatrudnionym przy eksploatacji lasu, stacjonującemu wojsku, funkcjonariuszom straży pożarnej i granicznej, rolnikom, młodzieży odbywającej praktyki oraz turystom i uczestnikom obozów i kolonii”</w:t>
      </w:r>
    </w:p>
    <w:p w14:paraId="5AAE94C1" w14:textId="77777777" w:rsidR="00B82390" w:rsidRPr="00744150" w:rsidRDefault="00B82390" w:rsidP="00744150">
      <w:pPr>
        <w:keepNext/>
        <w:spacing w:before="120" w:line="276" w:lineRule="auto"/>
        <w:jc w:val="both"/>
        <w:rPr>
          <w:rFonts w:eastAsia="Times New Roman"/>
          <w:b/>
          <w:color w:val="auto"/>
        </w:rPr>
      </w:pPr>
      <w:r w:rsidRPr="00744150">
        <w:rPr>
          <w:rFonts w:eastAsiaTheme="minorEastAsia"/>
          <w:b/>
          <w:color w:val="auto"/>
        </w:rPr>
        <w:t>zapisem:</w:t>
      </w:r>
    </w:p>
    <w:p w14:paraId="768D8574" w14:textId="77777777" w:rsidR="00B82390" w:rsidRPr="00744150" w:rsidRDefault="00B82390" w:rsidP="00744150">
      <w:pPr>
        <w:widowControl w:val="0"/>
        <w:tabs>
          <w:tab w:val="left" w:pos="350"/>
        </w:tabs>
        <w:spacing w:line="276" w:lineRule="auto"/>
        <w:contextualSpacing/>
        <w:jc w:val="both"/>
        <w:rPr>
          <w:rFonts w:eastAsia="Calibri"/>
          <w:i/>
          <w:color w:val="auto"/>
        </w:rPr>
      </w:pPr>
      <w:r w:rsidRPr="00744150">
        <w:rPr>
          <w:rFonts w:eastAsiaTheme="minorEastAsia"/>
          <w:i/>
          <w:color w:val="auto"/>
        </w:rPr>
        <w:t xml:space="preserve">      „</w:t>
      </w:r>
      <w:r w:rsidRPr="00744150">
        <w:rPr>
          <w:rFonts w:eastAsia="Calibri"/>
          <w:i/>
          <w:color w:val="auto"/>
        </w:rPr>
        <w:t>Osobom przebywającym na terenach o nasilonym występowaniu tej choroby  w szczególności:</w:t>
      </w:r>
    </w:p>
    <w:p w14:paraId="3E3B79D1" w14:textId="0ABD1E5F" w:rsidR="00CB2766" w:rsidRPr="00744150" w:rsidRDefault="00B82390" w:rsidP="00744150">
      <w:pPr>
        <w:pStyle w:val="Akapitzlist"/>
        <w:numPr>
          <w:ilvl w:val="0"/>
          <w:numId w:val="20"/>
        </w:numPr>
        <w:spacing w:before="120"/>
        <w:ind w:right="57"/>
        <w:rPr>
          <w:rFonts w:ascii="Times New Roman" w:eastAsia="Times New Roman" w:hAnsi="Times New Roman"/>
          <w:i/>
          <w:sz w:val="24"/>
          <w:szCs w:val="24"/>
        </w:rPr>
      </w:pPr>
      <w:r w:rsidRPr="00744150">
        <w:rPr>
          <w:rFonts w:ascii="Times New Roman" w:eastAsia="Times New Roman" w:hAnsi="Times New Roman"/>
          <w:i/>
          <w:sz w:val="24"/>
          <w:szCs w:val="24"/>
        </w:rPr>
        <w:t>osobom zatrudnionym przy eksploatacji lasu, stacjonującemu wojsku, funkcjonariuszom straży pożarnej i granicznej, rolnikom, młodzieży odbywającej praktyki,</w:t>
      </w:r>
    </w:p>
    <w:p w14:paraId="425A302A" w14:textId="28116424" w:rsidR="00B82390" w:rsidRPr="00744150" w:rsidRDefault="00B82390" w:rsidP="00744150">
      <w:pPr>
        <w:pStyle w:val="Akapitzlist"/>
        <w:numPr>
          <w:ilvl w:val="0"/>
          <w:numId w:val="20"/>
        </w:numPr>
        <w:spacing w:before="120"/>
        <w:ind w:right="57"/>
        <w:rPr>
          <w:rFonts w:ascii="Times New Roman" w:eastAsia="Times New Roman" w:hAnsi="Times New Roman"/>
          <w:i/>
          <w:sz w:val="24"/>
          <w:szCs w:val="24"/>
        </w:rPr>
      </w:pPr>
      <w:r w:rsidRPr="00744150">
        <w:rPr>
          <w:rFonts w:ascii="Times New Roman" w:eastAsiaTheme="minorEastAsia" w:hAnsi="Times New Roman"/>
          <w:i/>
          <w:sz w:val="24"/>
          <w:szCs w:val="24"/>
        </w:rPr>
        <w:t>osobom szczególnie często podejmującym aktywność fizyczną poza pomieszczeniami (np. biegacze, spacerowicze, grzybiarze, właściciele psów, myśliwi, rodziny z małymi dziećmi) i innym osobom podejmującym aktywność na świeżym powietrzu, w szczególności t</w:t>
      </w:r>
      <w:r w:rsidRPr="00744150">
        <w:rPr>
          <w:rFonts w:ascii="Times New Roman" w:eastAsia="Times New Roman" w:hAnsi="Times New Roman"/>
          <w:i/>
          <w:sz w:val="24"/>
          <w:szCs w:val="24"/>
        </w:rPr>
        <w:t>urystom i uczestnikom obozów i kolonii.”</w:t>
      </w:r>
    </w:p>
    <w:p w14:paraId="494EB54B" w14:textId="77777777" w:rsidR="00332CE9" w:rsidRPr="00744150" w:rsidRDefault="00B82390" w:rsidP="00744150">
      <w:pPr>
        <w:pStyle w:val="Akapitzlist"/>
        <w:keepNext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44150">
        <w:rPr>
          <w:rFonts w:ascii="Times New Roman" w:hAnsi="Times New Roman"/>
          <w:b/>
          <w:sz w:val="24"/>
          <w:szCs w:val="24"/>
        </w:rPr>
        <w:t>Wprowadzono poprawki</w:t>
      </w:r>
      <w:r w:rsidR="00332CE9" w:rsidRPr="00744150">
        <w:rPr>
          <w:rFonts w:ascii="Times New Roman" w:hAnsi="Times New Roman"/>
          <w:sz w:val="24"/>
          <w:szCs w:val="24"/>
        </w:rPr>
        <w:t>:</w:t>
      </w:r>
    </w:p>
    <w:p w14:paraId="2D91277E" w14:textId="77777777" w:rsidR="00332CE9" w:rsidRPr="00744150" w:rsidRDefault="00B82390" w:rsidP="00744150">
      <w:pPr>
        <w:pStyle w:val="Akapitzlist"/>
        <w:keepNext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44150">
        <w:rPr>
          <w:rFonts w:ascii="Times New Roman" w:hAnsi="Times New Roman"/>
          <w:sz w:val="24"/>
          <w:szCs w:val="24"/>
        </w:rPr>
        <w:t xml:space="preserve"> zgodnie z sugestią Ministerstwa Zdrowia, wykreślono informację w brzmieniu: „szczepienia populacji ogólnej oraz w grupach ryzyka są przeprowadzane szczepionkami zakupionymi przez ministra właściwego do spraw zdrowia przeznaczonymi do realizacji PSO w określonych populacjach”. W części szczepienia wyrównawcze zmieniono dotychczasowe zapisy dotyczące określania w Indywidualnym Kalendarzu Szczepień </w:t>
      </w:r>
      <w:r w:rsidRPr="00744150">
        <w:rPr>
          <w:rFonts w:ascii="Times New Roman" w:hAnsi="Times New Roman"/>
          <w:i/>
          <w:sz w:val="24"/>
          <w:szCs w:val="24"/>
        </w:rPr>
        <w:t>terminów szczepień na schematy sczepień</w:t>
      </w:r>
      <w:r w:rsidR="00332CE9" w:rsidRPr="00744150">
        <w:rPr>
          <w:rFonts w:ascii="Times New Roman" w:hAnsi="Times New Roman"/>
          <w:i/>
          <w:sz w:val="24"/>
          <w:szCs w:val="24"/>
        </w:rPr>
        <w:t>;</w:t>
      </w:r>
    </w:p>
    <w:p w14:paraId="45771090" w14:textId="00A29AFF" w:rsidR="00332CE9" w:rsidRPr="00744150" w:rsidRDefault="00332CE9" w:rsidP="00744150">
      <w:pPr>
        <w:pStyle w:val="Akapitzlist"/>
        <w:keepNext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744150">
        <w:rPr>
          <w:rFonts w:ascii="Times New Roman" w:eastAsiaTheme="minorEastAsia" w:hAnsi="Times New Roman"/>
          <w:sz w:val="24"/>
          <w:szCs w:val="24"/>
        </w:rPr>
        <w:t xml:space="preserve">w </w:t>
      </w:r>
      <w:r w:rsidRPr="00744150">
        <w:rPr>
          <w:rFonts w:ascii="Times New Roman" w:hAnsi="Times New Roman"/>
          <w:sz w:val="24"/>
          <w:szCs w:val="24"/>
        </w:rPr>
        <w:t>projekcie PSO na rok 2021 (z dnia 14.10.2020r. w wersji zaakceptowanej przez P. Izabelę Kucharską, Zastępcę Głównego Inspektora Sanitarnego) naniesiono dwie zmiany zgłoszone przez Panią Minister w części III PSO ZASADY PRZEPROWADZANIA I ORGANIZACJI SZCZEPIEŃ W CZASIE STANU EPIDEMII W ZWIĄZKU Z ZAKAŻENIAMI WIRUSEM SARS-CoV-2, tj.:</w:t>
      </w:r>
      <w:r w:rsidRPr="00744150">
        <w:rPr>
          <w:rFonts w:ascii="Times New Roman" w:hAnsi="Times New Roman"/>
          <w:sz w:val="24"/>
          <w:szCs w:val="24"/>
        </w:rPr>
        <w:br/>
        <w:t xml:space="preserve">w pierwszym akapicie skreślono w pierwszym zdaniu wyrazy: „zachorowanie na”, pozostawiając brzmienie „…wywołującego COVID-19…”; w pkt 2) skreślono wyrazy: „…organizowanie przeprowadzania…” i wstawiono wyraz: „…przeprowadzanie…”. Na str. 27 szczepienie przeciwko żółtej gorączce w miejsce wyrazów: „…na obszary zagrożone zakażeniem…” wstawiono wyrazy: „…na obszary występowania zagrożenia zakażeniem..” </w:t>
      </w:r>
    </w:p>
    <w:p w14:paraId="70DF3252" w14:textId="1DD0B9DA" w:rsidR="000B5DDD" w:rsidRPr="00744150" w:rsidRDefault="000B5DDD" w:rsidP="00744150">
      <w:pPr>
        <w:keepNext/>
        <w:jc w:val="both"/>
        <w:rPr>
          <w:b/>
        </w:rPr>
      </w:pPr>
    </w:p>
    <w:sectPr w:rsidR="000B5DDD" w:rsidRPr="0074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52F"/>
    <w:multiLevelType w:val="hybridMultilevel"/>
    <w:tmpl w:val="A32408D8"/>
    <w:lvl w:ilvl="0" w:tplc="A000A4DA">
      <w:start w:val="1"/>
      <w:numFmt w:val="decimal"/>
      <w:lvlText w:val="%1."/>
      <w:lvlJc w:val="left"/>
      <w:pPr>
        <w:ind w:left="-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B7B2AD8"/>
    <w:multiLevelType w:val="hybridMultilevel"/>
    <w:tmpl w:val="75584D2E"/>
    <w:lvl w:ilvl="0" w:tplc="C848FB6E">
      <w:start w:val="8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75E77"/>
    <w:multiLevelType w:val="multilevel"/>
    <w:tmpl w:val="30708B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927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 w:hint="default"/>
      </w:rPr>
    </w:lvl>
  </w:abstractNum>
  <w:abstractNum w:abstractNumId="3" w15:restartNumberingAfterBreak="0">
    <w:nsid w:val="144262F1"/>
    <w:multiLevelType w:val="hybridMultilevel"/>
    <w:tmpl w:val="F932B534"/>
    <w:lvl w:ilvl="0" w:tplc="5DE46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759FF"/>
    <w:multiLevelType w:val="hybridMultilevel"/>
    <w:tmpl w:val="B8B0D9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714E4"/>
    <w:multiLevelType w:val="hybridMultilevel"/>
    <w:tmpl w:val="4D727536"/>
    <w:lvl w:ilvl="0" w:tplc="627808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5E4B"/>
    <w:multiLevelType w:val="hybridMultilevel"/>
    <w:tmpl w:val="CCF8D936"/>
    <w:lvl w:ilvl="0" w:tplc="539AAA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31428"/>
    <w:multiLevelType w:val="hybridMultilevel"/>
    <w:tmpl w:val="2EA26EB2"/>
    <w:lvl w:ilvl="0" w:tplc="566269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81F58"/>
    <w:multiLevelType w:val="hybridMultilevel"/>
    <w:tmpl w:val="25547BCA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" w15:restartNumberingAfterBreak="0">
    <w:nsid w:val="2C765B69"/>
    <w:multiLevelType w:val="hybridMultilevel"/>
    <w:tmpl w:val="61FC9616"/>
    <w:lvl w:ilvl="0" w:tplc="1E5870AE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4246F3"/>
    <w:multiLevelType w:val="hybridMultilevel"/>
    <w:tmpl w:val="CFE053C8"/>
    <w:lvl w:ilvl="0" w:tplc="7EF6285A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F61397"/>
    <w:multiLevelType w:val="hybridMultilevel"/>
    <w:tmpl w:val="AADEB0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0C3ABE"/>
    <w:multiLevelType w:val="hybridMultilevel"/>
    <w:tmpl w:val="4CF24626"/>
    <w:lvl w:ilvl="0" w:tplc="7B54B456">
      <w:start w:val="1"/>
      <w:numFmt w:val="decimal"/>
      <w:lvlText w:val="%1)"/>
      <w:lvlJc w:val="left"/>
      <w:pPr>
        <w:ind w:left="-1404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-684" w:hanging="360"/>
      </w:pPr>
    </w:lvl>
    <w:lvl w:ilvl="2" w:tplc="0415001B">
      <w:start w:val="1"/>
      <w:numFmt w:val="lowerRoman"/>
      <w:lvlText w:val="%3."/>
      <w:lvlJc w:val="right"/>
      <w:pPr>
        <w:ind w:left="36" w:hanging="180"/>
      </w:pPr>
    </w:lvl>
    <w:lvl w:ilvl="3" w:tplc="0415000F">
      <w:start w:val="1"/>
      <w:numFmt w:val="decimal"/>
      <w:lvlText w:val="%4."/>
      <w:lvlJc w:val="left"/>
      <w:pPr>
        <w:ind w:left="756" w:hanging="360"/>
      </w:pPr>
    </w:lvl>
    <w:lvl w:ilvl="4" w:tplc="04150019">
      <w:start w:val="1"/>
      <w:numFmt w:val="lowerLetter"/>
      <w:lvlText w:val="%5."/>
      <w:lvlJc w:val="left"/>
      <w:pPr>
        <w:ind w:left="1476" w:hanging="360"/>
      </w:pPr>
    </w:lvl>
    <w:lvl w:ilvl="5" w:tplc="0415001B">
      <w:start w:val="1"/>
      <w:numFmt w:val="lowerRoman"/>
      <w:lvlText w:val="%6."/>
      <w:lvlJc w:val="right"/>
      <w:pPr>
        <w:ind w:left="2196" w:hanging="180"/>
      </w:pPr>
    </w:lvl>
    <w:lvl w:ilvl="6" w:tplc="0415000F">
      <w:start w:val="1"/>
      <w:numFmt w:val="decimal"/>
      <w:lvlText w:val="%7."/>
      <w:lvlJc w:val="left"/>
      <w:pPr>
        <w:ind w:left="2916" w:hanging="360"/>
      </w:pPr>
    </w:lvl>
    <w:lvl w:ilvl="7" w:tplc="04150019">
      <w:start w:val="1"/>
      <w:numFmt w:val="lowerLetter"/>
      <w:lvlText w:val="%8."/>
      <w:lvlJc w:val="left"/>
      <w:pPr>
        <w:ind w:left="3636" w:hanging="360"/>
      </w:pPr>
    </w:lvl>
    <w:lvl w:ilvl="8" w:tplc="0415001B">
      <w:start w:val="1"/>
      <w:numFmt w:val="lowerRoman"/>
      <w:lvlText w:val="%9."/>
      <w:lvlJc w:val="right"/>
      <w:pPr>
        <w:ind w:left="4356" w:hanging="180"/>
      </w:pPr>
    </w:lvl>
  </w:abstractNum>
  <w:abstractNum w:abstractNumId="13" w15:restartNumberingAfterBreak="0">
    <w:nsid w:val="3BAE3121"/>
    <w:multiLevelType w:val="hybridMultilevel"/>
    <w:tmpl w:val="4C8A9B30"/>
    <w:lvl w:ilvl="0" w:tplc="FDD0E04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703350"/>
    <w:multiLevelType w:val="hybridMultilevel"/>
    <w:tmpl w:val="B0D46B8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D7C2E"/>
    <w:multiLevelType w:val="hybridMultilevel"/>
    <w:tmpl w:val="7AF22240"/>
    <w:lvl w:ilvl="0" w:tplc="D7A447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11DB4"/>
    <w:multiLevelType w:val="hybridMultilevel"/>
    <w:tmpl w:val="0F22E9F0"/>
    <w:lvl w:ilvl="0" w:tplc="55C6193C">
      <w:start w:val="1"/>
      <w:numFmt w:val="decimal"/>
      <w:lvlText w:val="%1)"/>
      <w:lvlJc w:val="left"/>
      <w:pPr>
        <w:ind w:left="-1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672" w:hanging="360"/>
      </w:pPr>
    </w:lvl>
    <w:lvl w:ilvl="2" w:tplc="0415001B" w:tentative="1">
      <w:start w:val="1"/>
      <w:numFmt w:val="lowerRoman"/>
      <w:lvlText w:val="%3."/>
      <w:lvlJc w:val="right"/>
      <w:pPr>
        <w:ind w:left="48" w:hanging="180"/>
      </w:pPr>
    </w:lvl>
    <w:lvl w:ilvl="3" w:tplc="0415000F" w:tentative="1">
      <w:start w:val="1"/>
      <w:numFmt w:val="decimal"/>
      <w:lvlText w:val="%4."/>
      <w:lvlJc w:val="left"/>
      <w:pPr>
        <w:ind w:left="768" w:hanging="360"/>
      </w:pPr>
    </w:lvl>
    <w:lvl w:ilvl="4" w:tplc="04150019" w:tentative="1">
      <w:start w:val="1"/>
      <w:numFmt w:val="lowerLetter"/>
      <w:lvlText w:val="%5."/>
      <w:lvlJc w:val="left"/>
      <w:pPr>
        <w:ind w:left="1488" w:hanging="360"/>
      </w:pPr>
    </w:lvl>
    <w:lvl w:ilvl="5" w:tplc="0415001B" w:tentative="1">
      <w:start w:val="1"/>
      <w:numFmt w:val="lowerRoman"/>
      <w:lvlText w:val="%6."/>
      <w:lvlJc w:val="right"/>
      <w:pPr>
        <w:ind w:left="2208" w:hanging="180"/>
      </w:pPr>
    </w:lvl>
    <w:lvl w:ilvl="6" w:tplc="0415000F" w:tentative="1">
      <w:start w:val="1"/>
      <w:numFmt w:val="decimal"/>
      <w:lvlText w:val="%7."/>
      <w:lvlJc w:val="left"/>
      <w:pPr>
        <w:ind w:left="2928" w:hanging="360"/>
      </w:pPr>
    </w:lvl>
    <w:lvl w:ilvl="7" w:tplc="04150019" w:tentative="1">
      <w:start w:val="1"/>
      <w:numFmt w:val="lowerLetter"/>
      <w:lvlText w:val="%8."/>
      <w:lvlJc w:val="left"/>
      <w:pPr>
        <w:ind w:left="3648" w:hanging="360"/>
      </w:pPr>
    </w:lvl>
    <w:lvl w:ilvl="8" w:tplc="0415001B" w:tentative="1">
      <w:start w:val="1"/>
      <w:numFmt w:val="lowerRoman"/>
      <w:lvlText w:val="%9."/>
      <w:lvlJc w:val="right"/>
      <w:pPr>
        <w:ind w:left="4368" w:hanging="180"/>
      </w:pPr>
    </w:lvl>
  </w:abstractNum>
  <w:abstractNum w:abstractNumId="17" w15:restartNumberingAfterBreak="0">
    <w:nsid w:val="5BC30393"/>
    <w:multiLevelType w:val="hybridMultilevel"/>
    <w:tmpl w:val="5836ACC6"/>
    <w:lvl w:ilvl="0" w:tplc="998C0F0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36099"/>
    <w:multiLevelType w:val="hybridMultilevel"/>
    <w:tmpl w:val="9F60A5F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B60F2"/>
    <w:multiLevelType w:val="hybridMultilevel"/>
    <w:tmpl w:val="DC2C0594"/>
    <w:lvl w:ilvl="0" w:tplc="04150017">
      <w:start w:val="1"/>
      <w:numFmt w:val="lowerLetter"/>
      <w:lvlText w:val="%1)"/>
      <w:lvlJc w:val="left"/>
      <w:pPr>
        <w:ind w:left="384" w:hanging="360"/>
      </w:pPr>
    </w:lvl>
    <w:lvl w:ilvl="1" w:tplc="04150019">
      <w:start w:val="1"/>
      <w:numFmt w:val="lowerLetter"/>
      <w:lvlText w:val="%2."/>
      <w:lvlJc w:val="left"/>
      <w:pPr>
        <w:ind w:left="1104" w:hanging="360"/>
      </w:pPr>
    </w:lvl>
    <w:lvl w:ilvl="2" w:tplc="0415001B">
      <w:start w:val="1"/>
      <w:numFmt w:val="lowerRoman"/>
      <w:lvlText w:val="%3."/>
      <w:lvlJc w:val="right"/>
      <w:pPr>
        <w:ind w:left="1824" w:hanging="180"/>
      </w:pPr>
    </w:lvl>
    <w:lvl w:ilvl="3" w:tplc="0415000F">
      <w:start w:val="1"/>
      <w:numFmt w:val="decimal"/>
      <w:lvlText w:val="%4."/>
      <w:lvlJc w:val="left"/>
      <w:pPr>
        <w:ind w:left="2544" w:hanging="360"/>
      </w:pPr>
    </w:lvl>
    <w:lvl w:ilvl="4" w:tplc="04150019">
      <w:start w:val="1"/>
      <w:numFmt w:val="lowerLetter"/>
      <w:lvlText w:val="%5."/>
      <w:lvlJc w:val="left"/>
      <w:pPr>
        <w:ind w:left="3264" w:hanging="360"/>
      </w:pPr>
    </w:lvl>
    <w:lvl w:ilvl="5" w:tplc="0415001B">
      <w:start w:val="1"/>
      <w:numFmt w:val="lowerRoman"/>
      <w:lvlText w:val="%6."/>
      <w:lvlJc w:val="right"/>
      <w:pPr>
        <w:ind w:left="3984" w:hanging="180"/>
      </w:pPr>
    </w:lvl>
    <w:lvl w:ilvl="6" w:tplc="0415000F">
      <w:start w:val="1"/>
      <w:numFmt w:val="decimal"/>
      <w:lvlText w:val="%7."/>
      <w:lvlJc w:val="left"/>
      <w:pPr>
        <w:ind w:left="4704" w:hanging="360"/>
      </w:pPr>
    </w:lvl>
    <w:lvl w:ilvl="7" w:tplc="04150019">
      <w:start w:val="1"/>
      <w:numFmt w:val="lowerLetter"/>
      <w:lvlText w:val="%8."/>
      <w:lvlJc w:val="left"/>
      <w:pPr>
        <w:ind w:left="5424" w:hanging="360"/>
      </w:pPr>
    </w:lvl>
    <w:lvl w:ilvl="8" w:tplc="0415001B">
      <w:start w:val="1"/>
      <w:numFmt w:val="lowerRoman"/>
      <w:lvlText w:val="%9."/>
      <w:lvlJc w:val="right"/>
      <w:pPr>
        <w:ind w:left="6144" w:hanging="180"/>
      </w:pPr>
    </w:lvl>
  </w:abstractNum>
  <w:abstractNum w:abstractNumId="20" w15:restartNumberingAfterBreak="0">
    <w:nsid w:val="6C6F26E2"/>
    <w:multiLevelType w:val="hybridMultilevel"/>
    <w:tmpl w:val="2E90A31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F007B"/>
    <w:multiLevelType w:val="hybridMultilevel"/>
    <w:tmpl w:val="6792CA08"/>
    <w:lvl w:ilvl="0" w:tplc="5E80C9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D631B"/>
    <w:multiLevelType w:val="hybridMultilevel"/>
    <w:tmpl w:val="3A1CAB5E"/>
    <w:lvl w:ilvl="0" w:tplc="7A2A3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A2A3EE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C66B33"/>
    <w:multiLevelType w:val="hybridMultilevel"/>
    <w:tmpl w:val="BB903A56"/>
    <w:lvl w:ilvl="0" w:tplc="7A2A3EE8">
      <w:start w:val="1"/>
      <w:numFmt w:val="bullet"/>
      <w:lvlText w:val=""/>
      <w:lvlJc w:val="left"/>
      <w:pPr>
        <w:ind w:left="1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8"/>
  </w:num>
  <w:num w:numId="8">
    <w:abstractNumId w:val="0"/>
  </w:num>
  <w:num w:numId="9">
    <w:abstractNumId w:val="22"/>
  </w:num>
  <w:num w:numId="10">
    <w:abstractNumId w:val="12"/>
  </w:num>
  <w:num w:numId="11">
    <w:abstractNumId w:val="16"/>
  </w:num>
  <w:num w:numId="12">
    <w:abstractNumId w:val="1"/>
  </w:num>
  <w:num w:numId="13">
    <w:abstractNumId w:val="14"/>
  </w:num>
  <w:num w:numId="14">
    <w:abstractNumId w:val="19"/>
  </w:num>
  <w:num w:numId="15">
    <w:abstractNumId w:val="4"/>
  </w:num>
  <w:num w:numId="16">
    <w:abstractNumId w:val="9"/>
  </w:num>
  <w:num w:numId="17">
    <w:abstractNumId w:val="7"/>
  </w:num>
  <w:num w:numId="18">
    <w:abstractNumId w:val="17"/>
  </w:num>
  <w:num w:numId="19">
    <w:abstractNumId w:val="21"/>
  </w:num>
  <w:num w:numId="20">
    <w:abstractNumId w:val="3"/>
  </w:num>
  <w:num w:numId="21">
    <w:abstractNumId w:val="2"/>
  </w:num>
  <w:num w:numId="22">
    <w:abstractNumId w:val="6"/>
  </w:num>
  <w:num w:numId="23">
    <w:abstractNumId w:val="10"/>
  </w:num>
  <w:num w:numId="24">
    <w:abstractNumId w:val="15"/>
  </w:num>
  <w:num w:numId="25">
    <w:abstractNumId w:val="1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74"/>
    <w:rsid w:val="00025DBF"/>
    <w:rsid w:val="00090640"/>
    <w:rsid w:val="000B5DDD"/>
    <w:rsid w:val="00122708"/>
    <w:rsid w:val="0012521C"/>
    <w:rsid w:val="001A5791"/>
    <w:rsid w:val="001D58B7"/>
    <w:rsid w:val="002F15B9"/>
    <w:rsid w:val="00322DD7"/>
    <w:rsid w:val="00332CE9"/>
    <w:rsid w:val="003B622A"/>
    <w:rsid w:val="00454C1C"/>
    <w:rsid w:val="00532A8F"/>
    <w:rsid w:val="005A72E3"/>
    <w:rsid w:val="006073D5"/>
    <w:rsid w:val="00650D4C"/>
    <w:rsid w:val="006C5EEA"/>
    <w:rsid w:val="006F4601"/>
    <w:rsid w:val="00744150"/>
    <w:rsid w:val="007B3D4C"/>
    <w:rsid w:val="00875B4E"/>
    <w:rsid w:val="008B7810"/>
    <w:rsid w:val="00971B6F"/>
    <w:rsid w:val="00A40854"/>
    <w:rsid w:val="00A71B47"/>
    <w:rsid w:val="00B16E91"/>
    <w:rsid w:val="00B82390"/>
    <w:rsid w:val="00BD1274"/>
    <w:rsid w:val="00C37677"/>
    <w:rsid w:val="00C43D8D"/>
    <w:rsid w:val="00C83CAA"/>
    <w:rsid w:val="00CB2766"/>
    <w:rsid w:val="00CE514C"/>
    <w:rsid w:val="00D7009F"/>
    <w:rsid w:val="00D9418B"/>
    <w:rsid w:val="00E1231C"/>
    <w:rsid w:val="00E40011"/>
    <w:rsid w:val="00E551FE"/>
    <w:rsid w:val="00ED4FA6"/>
    <w:rsid w:val="00F0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319F"/>
  <w15:chartTrackingRefBased/>
  <w15:docId w15:val="{8E2E64AE-FCBE-44A9-8219-DEAD8182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8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0640"/>
    <w:pPr>
      <w:spacing w:after="200" w:line="276" w:lineRule="auto"/>
      <w:ind w:left="720"/>
      <w:contextualSpacing/>
      <w:jc w:val="both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090640"/>
    <w:rPr>
      <w:rFonts w:ascii="Arial" w:hAnsi="Arial" w:cs="Arial"/>
      <w:b/>
      <w:i/>
      <w:color w:val="243364"/>
      <w:sz w:val="11"/>
    </w:rPr>
  </w:style>
  <w:style w:type="paragraph" w:customStyle="1" w:styleId="Teksttreci30">
    <w:name w:val="Tekst treści (3)"/>
    <w:basedOn w:val="Normalny"/>
    <w:link w:val="Teksttreci3"/>
    <w:rsid w:val="00090640"/>
    <w:pPr>
      <w:widowControl w:val="0"/>
      <w:spacing w:after="760"/>
      <w:ind w:firstLine="860"/>
    </w:pPr>
    <w:rPr>
      <w:rFonts w:ascii="Arial" w:hAnsi="Arial" w:cs="Arial"/>
      <w:b/>
      <w:i/>
      <w:color w:val="243364"/>
      <w:sz w:val="11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6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677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677"/>
    <w:rPr>
      <w:rFonts w:ascii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677"/>
    <w:rPr>
      <w:rFonts w:ascii="Segoe UI" w:hAnsi="Segoe UI" w:cs="Segoe UI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073D5"/>
    <w:pPr>
      <w:spacing w:before="100" w:beforeAutospacing="1" w:after="119"/>
    </w:pPr>
    <w:rPr>
      <w:rFonts w:eastAsiaTheme="minorEastAsia"/>
      <w:color w:val="auto"/>
    </w:rPr>
  </w:style>
  <w:style w:type="character" w:styleId="Hipercze">
    <w:name w:val="Hyperlink"/>
    <w:basedOn w:val="Domylnaczcionkaakapitu"/>
    <w:uiPriority w:val="99"/>
    <w:semiHidden/>
    <w:unhideWhenUsed/>
    <w:rsid w:val="00E551FE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rsid w:val="00875B4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71B47"/>
    <w:pPr>
      <w:jc w:val="both"/>
    </w:pPr>
    <w:rPr>
      <w:rFonts w:eastAsia="Times New Roman"/>
      <w:color w:val="auto"/>
      <w:sz w:val="20"/>
      <w:szCs w:val="20"/>
      <w:lang w:bidi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1B47"/>
    <w:rPr>
      <w:rFonts w:ascii="Times New Roman" w:eastAsia="Times New Roman" w:hAnsi="Times New Roman" w:cs="Times New Roman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inzwga2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1835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 Kucharska</dc:creator>
  <cp:keywords/>
  <dc:description/>
  <cp:lastModifiedBy>Prochaska Jolanta</cp:lastModifiedBy>
  <cp:revision>2</cp:revision>
  <dcterms:created xsi:type="dcterms:W3CDTF">2020-12-22T15:50:00Z</dcterms:created>
  <dcterms:modified xsi:type="dcterms:W3CDTF">2020-12-22T15:50:00Z</dcterms:modified>
</cp:coreProperties>
</file>