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7719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432FB">
        <w:rPr>
          <w:rFonts w:asciiTheme="minorHAnsi" w:hAnsiTheme="minorHAnsi" w:cstheme="minorHAnsi"/>
          <w:bCs/>
          <w:sz w:val="24"/>
          <w:szCs w:val="24"/>
        </w:rPr>
        <w:t>19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432FB" w:rsidRDefault="00BE727B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DOOŚ-WDŚZIL.420.5.2021 .KB.1</w:t>
      </w:r>
      <w:r w:rsidRPr="00BE727B">
        <w:rPr>
          <w:rFonts w:asciiTheme="minorHAnsi" w:hAnsiTheme="minorHAnsi" w:cstheme="minorHAnsi"/>
          <w:bCs/>
          <w:sz w:val="24"/>
          <w:szCs w:val="24"/>
          <w:lang w:eastAsia="pl-PL"/>
        </w:rPr>
        <w:t>7</w:t>
      </w:r>
    </w:p>
    <w:bookmarkEnd w:id="0"/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E727B" w:rsidRPr="00BE727B" w:rsidRDefault="00BE727B" w:rsidP="00BE727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727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BE727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2017 r. poz. 1405, ze zm.), dalej ustawa ooś, zawiadamiam strony postępowania, że Generalny Dyrektor Ochrony Środowiska decyzją z dnia 19 stycznia 2022 r., znak: DOOŚ-WDŚZIL.420.5.2021.KB.16, umorzył postępowanie odwoławcze od decyzji Regionalnego Dyrektora Ochrony Środowiska w Gdańsku z dnia 29 grudnia 2020 r., znak: RDOS-Gd-WOO.4210.21.2017.AJ.31, o środowiskowych uwarunkowaniach dla przedsięwzięcia pod nazwą: Budowa gazociągu o średnicy do DN300 i maksymalnym ciśnieniu roboczym 15,3 </w:t>
      </w:r>
      <w:proofErr w:type="spellStart"/>
      <w:r w:rsidRPr="00BE727B"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 w:rsidRPr="00BE727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długości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 4,7 km wraz z</w:t>
      </w:r>
      <w:r w:rsidRPr="00BE727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zakładem uzdatniania gazą na terenie gmin Władysławowo i Puck.</w:t>
      </w:r>
    </w:p>
    <w:p w:rsidR="00BE727B" w:rsidRPr="00BE727B" w:rsidRDefault="00BE727B" w:rsidP="00BE727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727B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4432FB" w:rsidRDefault="00BE727B" w:rsidP="00BE727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727B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Gdańsku, Urzędzie Gminy Władysławowo, Urzędzie Gminy Puck lub w sposób wskazany w art. 49b § 1 Kpa.</w:t>
      </w:r>
    </w:p>
    <w:p w:rsidR="00BE727B" w:rsidRDefault="00BE727B" w:rsidP="00BE727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BE727B" w:rsidRPr="003F51D5" w:rsidRDefault="00BE727B" w:rsidP="00BE727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F51D5">
        <w:rPr>
          <w:rFonts w:asciiTheme="minorHAnsi" w:hAnsiTheme="minorHAnsi" w:cstheme="minorHAnsi"/>
          <w:color w:val="000000"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3F51D5">
        <w:rPr>
          <w:rFonts w:asciiTheme="minorHAnsi" w:hAnsiTheme="minorHAnsi" w:cstheme="minorHAnsi"/>
          <w:color w:val="000000"/>
        </w:rPr>
        <w:lastRenderedPageBreak/>
        <w:t>miejscowości lub przez udostępnienie pisma w Biuletynie Informacji Publicznej na stronie podmiotowej właściwego organu administracji publicznej.</w:t>
      </w:r>
    </w:p>
    <w:p w:rsidR="00BE727B" w:rsidRPr="00BE727B" w:rsidRDefault="00BE727B" w:rsidP="00BE727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E727B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nie umożliwiają udostępnienia w taki sposób lub takiej formie.</w:t>
      </w:r>
    </w:p>
    <w:p w:rsidR="00BE727B" w:rsidRPr="00BE727B" w:rsidRDefault="00BE727B" w:rsidP="00BE727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Art. 74 ust. 3 pkt 1</w:t>
      </w:r>
      <w:r w:rsidRPr="00BE727B">
        <w:rPr>
          <w:rFonts w:asciiTheme="minorHAnsi" w:hAnsiTheme="minorHAnsi" w:cstheme="minorHAnsi"/>
          <w:color w:val="000000"/>
        </w:rPr>
        <w:t xml:space="preserve"> ustawy ooś</w:t>
      </w:r>
      <w:r>
        <w:rPr>
          <w:rFonts w:asciiTheme="minorHAnsi" w:hAnsiTheme="minorHAnsi" w:cstheme="minorHAnsi"/>
          <w:color w:val="000000"/>
        </w:rPr>
        <w:t xml:space="preserve"> </w:t>
      </w:r>
      <w:r w:rsidRPr="00BE727B">
        <w:rPr>
          <w:rFonts w:asciiTheme="minorHAnsi" w:hAnsiTheme="minorHAnsi" w:cstheme="minorHAnsi"/>
          <w:color w:val="000000"/>
        </w:rPr>
        <w:t>jeżeli</w:t>
      </w:r>
      <w:r w:rsidRPr="00BE727B">
        <w:rPr>
          <w:rFonts w:asciiTheme="minorHAnsi" w:hAnsiTheme="minorHAnsi" w:cstheme="minorHAnsi"/>
          <w:color w:val="000000"/>
        </w:rPr>
        <w:t xml:space="preserve"> liczba stron postępowania o wydanie decyzji o środowiskowych uwarunkowaniach przekracza 20, stosuje się przepis art. 49 Kodeksu postępowania administracyjnego.</w:t>
      </w:r>
    </w:p>
    <w:p w:rsidR="000A4133" w:rsidRPr="00E000E6" w:rsidRDefault="00BE727B" w:rsidP="00BE727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E727B">
        <w:rPr>
          <w:rFonts w:asciiTheme="minorHAnsi" w:hAnsiTheme="minorHAnsi" w:cstheme="minorHAnsi"/>
          <w:color w:val="000000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BE727B">
        <w:rPr>
          <w:rFonts w:asciiTheme="minorHAnsi" w:hAnsiTheme="minorHAnsi" w:cstheme="minorHAnsi"/>
          <w:color w:val="000000"/>
        </w:rPr>
        <w:t>niezakończonych</w:t>
      </w:r>
      <w:r w:rsidRPr="00BE727B">
        <w:rPr>
          <w:rFonts w:asciiTheme="minorHAnsi" w:hAnsiTheme="minorHAnsi" w:cstheme="minorHAnsi"/>
          <w:color w:val="000000"/>
        </w:rPr>
        <w:t xml:space="preserve"> przed dniem wejścia w życic niniejszej ustawy stosuje się przepisy dotychczasowe.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E727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E727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E727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E727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E727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AB60-359D-4C4D-8042-A00E6BBD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2023-06-30T08:55:00Z</dcterms:created>
  <dcterms:modified xsi:type="dcterms:W3CDTF">2023-06-30T08:55:00Z</dcterms:modified>
</cp:coreProperties>
</file>