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EB3" w:rsidRDefault="00164303">
      <w:pPr>
        <w:jc w:val="center"/>
      </w:pPr>
      <w:r>
        <w:rPr>
          <w:rFonts w:ascii="Tahoma" w:hAnsi="Tahoma" w:cs="Times New Roman"/>
          <w:b/>
          <w:bCs/>
          <w:lang w:val="pl-PL"/>
        </w:rPr>
        <w:t>WYKAZ</w:t>
      </w:r>
    </w:p>
    <w:p w:rsidR="00397EB3" w:rsidRDefault="00164303">
      <w:pPr>
        <w:ind w:left="-284"/>
        <w:jc w:val="center"/>
        <w:rPr>
          <w:sz w:val="16"/>
          <w:szCs w:val="16"/>
        </w:rPr>
      </w:pPr>
      <w:r>
        <w:rPr>
          <w:rFonts w:ascii="Tahoma" w:hAnsi="Tahoma" w:cs="Times New Roman"/>
          <w:sz w:val="16"/>
          <w:szCs w:val="16"/>
          <w:lang w:val="pl-PL"/>
        </w:rPr>
        <w:t xml:space="preserve">działając na podstawie art. 35 ust.1 ustawy z dnia 21 sierpnia 1997 roku o gospodarce nieruchomościami ( tekst jednolity Dz. U. z 2024 r. poz. 1145 z </w:t>
      </w:r>
      <w:proofErr w:type="spellStart"/>
      <w:r>
        <w:rPr>
          <w:rFonts w:ascii="Tahoma" w:hAnsi="Tahoma" w:cs="Times New Roman"/>
          <w:sz w:val="16"/>
          <w:szCs w:val="16"/>
          <w:lang w:val="pl-PL"/>
        </w:rPr>
        <w:t>późn</w:t>
      </w:r>
      <w:proofErr w:type="spellEnd"/>
      <w:r>
        <w:rPr>
          <w:rFonts w:ascii="Tahoma" w:hAnsi="Tahoma" w:cs="Times New Roman"/>
          <w:sz w:val="16"/>
          <w:szCs w:val="16"/>
          <w:lang w:val="pl-PL"/>
        </w:rPr>
        <w:t>. zm.)</w:t>
      </w:r>
    </w:p>
    <w:p w:rsidR="00397EB3" w:rsidRDefault="00164303">
      <w:pPr>
        <w:pStyle w:val="Podtytu"/>
        <w:spacing w:before="0" w:after="0"/>
      </w:pPr>
      <w:r>
        <w:rPr>
          <w:rStyle w:val="Domylnaczcionkaakapitu1"/>
          <w:rFonts w:ascii="Tahoma" w:eastAsia="Times New Roman" w:hAnsi="Tahoma" w:cs="Times New Roman"/>
          <w:i w:val="0"/>
          <w:iCs w:val="0"/>
          <w:sz w:val="16"/>
          <w:szCs w:val="16"/>
          <w:lang w:val="pl-PL"/>
        </w:rPr>
        <w:t xml:space="preserve">Starosta Nyski podaje do publicznej wiadomości wykaz nieruchomości gruntowej, stanowiącej własność Skarbu Państwa przeznaczonej do sprzedaży w trybie bezprzetargowym </w:t>
      </w:r>
    </w:p>
    <w:p w:rsidR="00397EB3" w:rsidRDefault="00164303">
      <w:pPr>
        <w:pStyle w:val="Podtytu"/>
        <w:spacing w:before="0" w:after="0"/>
      </w:pPr>
      <w:r>
        <w:rPr>
          <w:rStyle w:val="Domylnaczcionkaakapitu1"/>
          <w:rFonts w:ascii="Tahoma" w:eastAsia="Times New Roman" w:hAnsi="Tahoma" w:cs="Times New Roman"/>
          <w:i w:val="0"/>
          <w:iCs w:val="0"/>
          <w:sz w:val="16"/>
          <w:szCs w:val="16"/>
          <w:lang w:val="pl-PL"/>
        </w:rPr>
        <w:t xml:space="preserve">na rzecz jej użytkownika wieczystego </w:t>
      </w:r>
      <w:r>
        <w:rPr>
          <w:rStyle w:val="Domylnaczcionkaakapitu1"/>
          <w:rFonts w:ascii="Tahoma" w:eastAsia="Times New Roman" w:hAnsi="Tahoma" w:cs="Arial"/>
          <w:i w:val="0"/>
          <w:iCs w:val="0"/>
          <w:sz w:val="16"/>
          <w:szCs w:val="16"/>
          <w:lang w:val="pl-PL" w:eastAsia="zh-CN" w:bidi="ar-SA"/>
        </w:rPr>
        <w:t xml:space="preserve">na </w:t>
      </w:r>
      <w:r>
        <w:rPr>
          <w:rStyle w:val="Domylnaczcionkaakapitu1"/>
          <w:rFonts w:ascii="Tahoma" w:eastAsia="Times New Roman" w:hAnsi="Tahoma" w:cs="Times New Roman"/>
          <w:i w:val="0"/>
          <w:iCs w:val="0"/>
          <w:color w:val="000000"/>
          <w:sz w:val="16"/>
          <w:szCs w:val="16"/>
          <w:lang w:val="pl-PL" w:eastAsia="zh-CN" w:bidi="ar-SA"/>
        </w:rPr>
        <w:t xml:space="preserve">podstawie przepisów epizodycznych </w:t>
      </w:r>
      <w:r>
        <w:rPr>
          <w:rStyle w:val="Domylnaczcionkaakapitu1"/>
          <w:rFonts w:ascii="Tahoma" w:eastAsia="Times New Roman" w:hAnsi="Tahoma" w:cs="Times New Roman"/>
          <w:i w:val="0"/>
          <w:iCs w:val="0"/>
          <w:sz w:val="16"/>
          <w:szCs w:val="16"/>
          <w:lang w:val="pl-PL" w:eastAsia="zh-CN" w:bidi="ar-SA"/>
        </w:rPr>
        <w:t xml:space="preserve">działu </w:t>
      </w:r>
      <w:proofErr w:type="spellStart"/>
      <w:r>
        <w:rPr>
          <w:rStyle w:val="Domylnaczcionkaakapitu1"/>
          <w:rFonts w:ascii="Tahoma" w:eastAsia="Times New Roman" w:hAnsi="Tahoma" w:cs="Times New Roman"/>
          <w:i w:val="0"/>
          <w:iCs w:val="0"/>
          <w:sz w:val="16"/>
          <w:szCs w:val="16"/>
          <w:lang w:val="pl-PL" w:eastAsia="zh-CN" w:bidi="ar-SA"/>
        </w:rPr>
        <w:t>VIa</w:t>
      </w:r>
      <w:proofErr w:type="spellEnd"/>
      <w:r>
        <w:rPr>
          <w:rStyle w:val="Domylnaczcionkaakapitu1"/>
          <w:rFonts w:ascii="Tahoma" w:eastAsia="Times New Roman" w:hAnsi="Tahoma" w:cs="Times New Roman"/>
          <w:i w:val="0"/>
          <w:iCs w:val="0"/>
          <w:sz w:val="16"/>
          <w:szCs w:val="16"/>
          <w:lang w:val="pl-PL" w:eastAsia="zh-CN" w:bidi="ar-SA"/>
        </w:rPr>
        <w:t xml:space="preserve"> </w:t>
      </w:r>
      <w:r>
        <w:rPr>
          <w:rStyle w:val="Domylnaczcionkaakapitu1"/>
          <w:rFonts w:ascii="Tahoma" w:eastAsia="Times New Roman" w:hAnsi="Tahoma" w:cs="Times New Roman"/>
          <w:i w:val="0"/>
          <w:iCs w:val="0"/>
          <w:sz w:val="16"/>
          <w:szCs w:val="16"/>
          <w:lang w:val="pl-PL" w:bidi="ar-SA"/>
        </w:rPr>
        <w:t>usta</w:t>
      </w:r>
      <w:r>
        <w:rPr>
          <w:rStyle w:val="Domylnaczcionkaakapitu1"/>
          <w:rFonts w:ascii="Tahoma" w:eastAsia="Times New Roman" w:hAnsi="Tahoma" w:cs="Times New Roman"/>
          <w:i w:val="0"/>
          <w:iCs w:val="0"/>
          <w:sz w:val="16"/>
          <w:szCs w:val="16"/>
          <w:lang w:val="pl-PL" w:bidi="ar-SA"/>
        </w:rPr>
        <w:t>wy o gospodarce nieruchomościami.</w:t>
      </w:r>
    </w:p>
    <w:p w:rsidR="00397EB3" w:rsidRDefault="00397EB3">
      <w:pPr>
        <w:jc w:val="center"/>
        <w:rPr>
          <w:rFonts w:ascii="Tahoma" w:hAnsi="Tahoma" w:cs="Times New Roman"/>
          <w:sz w:val="12"/>
          <w:szCs w:val="12"/>
          <w:lang w:val="pl-PL"/>
        </w:rPr>
      </w:pPr>
    </w:p>
    <w:tbl>
      <w:tblPr>
        <w:tblW w:w="16050" w:type="dxa"/>
        <w:tblInd w:w="-729" w:type="dxa"/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3569"/>
        <w:gridCol w:w="3120"/>
        <w:gridCol w:w="4080"/>
        <w:gridCol w:w="2506"/>
      </w:tblGrid>
      <w:tr w:rsidR="00397EB3">
        <w:trPr>
          <w:trHeight w:val="1875"/>
        </w:trPr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97EB3" w:rsidRDefault="00164303">
            <w:pPr>
              <w:pStyle w:val="Zawartotabeli"/>
              <w:spacing w:before="113"/>
              <w:jc w:val="center"/>
              <w:rPr>
                <w:rFonts w:ascii="Tahoma" w:hAnsi="Tahoma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  <w:lang w:val="pl-PL"/>
              </w:rPr>
              <w:t>Oznaczenie nieruchomości według</w:t>
            </w:r>
          </w:p>
          <w:p w:rsidR="00397EB3" w:rsidRDefault="00164303">
            <w:pPr>
              <w:pStyle w:val="Zawartotabeli"/>
              <w:spacing w:before="113"/>
              <w:jc w:val="center"/>
              <w:rPr>
                <w:rFonts w:ascii="Tahoma" w:hAnsi="Tahoma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  <w:lang w:val="pl-PL"/>
              </w:rPr>
              <w:t>katastru nieruchomości                              i księgi wieczystej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97EB3" w:rsidRDefault="00164303">
            <w:pPr>
              <w:pStyle w:val="Zawartotabeli"/>
              <w:spacing w:before="170"/>
              <w:jc w:val="center"/>
              <w:rPr>
                <w:rFonts w:ascii="Tahoma" w:hAnsi="Tahoma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  <w:lang w:val="pl-PL"/>
              </w:rPr>
              <w:t>Opis nieruchomości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97EB3" w:rsidRDefault="00164303">
            <w:pPr>
              <w:pStyle w:val="WW-Nagwektabeli1111111"/>
              <w:snapToGrid w:val="0"/>
              <w:spacing w:before="113" w:after="0"/>
              <w:rPr>
                <w:rFonts w:ascii="Tahoma" w:eastAsia="Times New Roman" w:hAnsi="Tahoma"/>
                <w:i w:val="0"/>
                <w:sz w:val="18"/>
                <w:szCs w:val="18"/>
                <w:lang w:val="pl-PL"/>
              </w:rPr>
            </w:pPr>
            <w:r>
              <w:rPr>
                <w:rFonts w:ascii="Tahoma" w:eastAsia="Times New Roman" w:hAnsi="Tahoma"/>
                <w:i w:val="0"/>
                <w:sz w:val="18"/>
                <w:szCs w:val="18"/>
                <w:lang w:val="pl-PL"/>
              </w:rPr>
              <w:t>Przeznaczenie w planie zagospodarowania przestrzennego</w:t>
            </w:r>
          </w:p>
          <w:p w:rsidR="00397EB3" w:rsidRDefault="00164303">
            <w:pPr>
              <w:pStyle w:val="WW-Nagwektabeli1111111"/>
              <w:snapToGrid w:val="0"/>
              <w:spacing w:before="113" w:after="0"/>
              <w:rPr>
                <w:rFonts w:ascii="Tahoma" w:eastAsia="Times New Roman" w:hAnsi="Tahoma"/>
                <w:i w:val="0"/>
                <w:sz w:val="18"/>
                <w:szCs w:val="18"/>
                <w:lang w:val="pl-PL"/>
              </w:rPr>
            </w:pPr>
            <w:r>
              <w:rPr>
                <w:rFonts w:ascii="Tahoma" w:eastAsia="Times New Roman" w:hAnsi="Tahoma"/>
                <w:i w:val="0"/>
                <w:sz w:val="18"/>
                <w:szCs w:val="18"/>
                <w:lang w:val="pl-PL"/>
              </w:rPr>
              <w:t xml:space="preserve">lub studium  uwarunkowań                i </w:t>
            </w:r>
            <w:r>
              <w:rPr>
                <w:rFonts w:ascii="Tahoma" w:eastAsia="Times New Roman" w:hAnsi="Tahoma"/>
                <w:i w:val="0"/>
                <w:sz w:val="18"/>
                <w:szCs w:val="18"/>
                <w:lang w:val="pl-PL"/>
              </w:rPr>
              <w:t>kierunków zagospodarowania przestrzennego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97EB3" w:rsidRDefault="00164303">
            <w:pPr>
              <w:keepNext w:val="0"/>
              <w:shd w:val="clear" w:color="auto" w:fill="auto"/>
              <w:suppressAutoHyphens w:val="0"/>
              <w:spacing w:before="113"/>
              <w:jc w:val="center"/>
              <w:textAlignment w:val="auto"/>
              <w:rPr>
                <w:rFonts w:ascii="Tahoma" w:hAnsi="Tahoma" w:cs="Times New Roman"/>
                <w:b/>
                <w:bCs/>
                <w:sz w:val="18"/>
                <w:szCs w:val="18"/>
                <w:lang w:val="pl-PL" w:bidi="ar-SA"/>
              </w:rPr>
            </w:pPr>
            <w:r>
              <w:rPr>
                <w:rFonts w:ascii="Tahoma" w:hAnsi="Tahoma" w:cs="Times New Roman"/>
                <w:b/>
                <w:bCs/>
                <w:sz w:val="18"/>
                <w:szCs w:val="18"/>
                <w:lang w:val="pl-PL" w:bidi="ar-SA"/>
              </w:rPr>
              <w:t>Cena</w:t>
            </w:r>
          </w:p>
          <w:p w:rsidR="00397EB3" w:rsidRDefault="00164303">
            <w:pPr>
              <w:shd w:val="clear" w:color="auto" w:fill="auto"/>
              <w:suppressAutoHyphens w:val="0"/>
              <w:spacing w:before="113"/>
              <w:jc w:val="center"/>
              <w:textAlignment w:val="auto"/>
              <w:rPr>
                <w:rFonts w:ascii="Tahoma" w:hAnsi="Tahoma" w:cs="Times New Roman"/>
                <w:b/>
                <w:bCs/>
                <w:sz w:val="18"/>
                <w:szCs w:val="18"/>
                <w:lang w:val="pl-PL" w:bidi="ar-SA"/>
              </w:rPr>
            </w:pPr>
            <w:r>
              <w:rPr>
                <w:rFonts w:ascii="Tahoma" w:hAnsi="Tahoma" w:cs="Times New Roman"/>
                <w:b/>
                <w:bCs/>
                <w:sz w:val="18"/>
                <w:szCs w:val="18"/>
                <w:lang w:val="pl-PL" w:bidi="ar-SA"/>
              </w:rPr>
              <w:t>nieruchomości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7EB3" w:rsidRDefault="00164303">
            <w:pPr>
              <w:keepNext w:val="0"/>
              <w:shd w:val="clear" w:color="auto" w:fill="auto"/>
              <w:suppressAutoHyphens w:val="0"/>
              <w:spacing w:before="113"/>
              <w:jc w:val="center"/>
              <w:textAlignment w:val="auto"/>
              <w:rPr>
                <w:rFonts w:ascii="Tahoma" w:hAnsi="Tahoma" w:cs="Times New Roman"/>
                <w:b/>
                <w:bCs/>
                <w:sz w:val="18"/>
                <w:szCs w:val="18"/>
                <w:lang w:val="pl-PL" w:bidi="ar-SA"/>
              </w:rPr>
            </w:pPr>
            <w:r>
              <w:rPr>
                <w:rFonts w:ascii="Tahoma" w:hAnsi="Tahoma" w:cs="Times New Roman"/>
                <w:b/>
                <w:bCs/>
                <w:sz w:val="18"/>
                <w:szCs w:val="18"/>
                <w:lang w:val="pl-PL" w:bidi="ar-SA"/>
              </w:rPr>
              <w:t>Tryb sprzedaży</w:t>
            </w:r>
          </w:p>
        </w:tc>
      </w:tr>
      <w:tr w:rsidR="00397EB3">
        <w:trPr>
          <w:trHeight w:val="5550"/>
        </w:trPr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97EB3" w:rsidRDefault="00164303">
            <w:pPr>
              <w:pStyle w:val="Zawartotabeli"/>
              <w:spacing w:before="113"/>
              <w:ind w:left="113" w:right="170"/>
              <w:rPr>
                <w:rFonts w:ascii="Tahoma" w:hAnsi="Tahoma"/>
                <w:color w:val="000000"/>
                <w:sz w:val="18"/>
                <w:szCs w:val="18"/>
                <w:lang w:val="pl-PL"/>
              </w:rPr>
            </w:pPr>
            <w:r>
              <w:rPr>
                <w:rFonts w:ascii="Tahoma" w:hAnsi="Tahoma"/>
                <w:color w:val="000000"/>
                <w:sz w:val="18"/>
                <w:szCs w:val="18"/>
                <w:lang w:val="pl-PL"/>
              </w:rPr>
              <w:t xml:space="preserve">Nieruchomość gruntowa oznaczona w operacie ewidencji gruntów                 i budynków jako </w:t>
            </w:r>
            <w:bookmarkStart w:id="0" w:name="_GoBack"/>
            <w:r>
              <w:rPr>
                <w:rFonts w:ascii="Tahoma" w:hAnsi="Tahoma" w:cs="Times New Roman"/>
                <w:color w:val="000000"/>
                <w:sz w:val="18"/>
                <w:szCs w:val="18"/>
                <w:lang w:val="pl-PL"/>
              </w:rPr>
              <w:t xml:space="preserve">działki nr </w:t>
            </w:r>
            <w:r>
              <w:rPr>
                <w:rFonts w:ascii="Tahoma" w:hAnsi="Tahoma" w:cs="Times New Roman"/>
                <w:sz w:val="18"/>
              </w:rPr>
              <w:t xml:space="preserve">37, 254, 300/4, 300/5, </w:t>
            </w:r>
            <w:r>
              <w:rPr>
                <w:rFonts w:ascii="Tahoma" w:hAnsi="Tahoma"/>
                <w:color w:val="000000"/>
                <w:sz w:val="18"/>
                <w:szCs w:val="18"/>
                <w:lang w:val="pl-PL"/>
              </w:rPr>
              <w:t xml:space="preserve">300/6, 301/1, 301/2 </w:t>
            </w:r>
            <w:r>
              <w:rPr>
                <w:rFonts w:ascii="Tahoma" w:hAnsi="Tahoma"/>
                <w:color w:val="000000"/>
                <w:sz w:val="18"/>
                <w:szCs w:val="18"/>
                <w:lang w:val="pl-PL"/>
              </w:rPr>
              <w:t xml:space="preserve">o łącznej powierzchni 14,4100 ha, położona  </w:t>
            </w:r>
            <w:r>
              <w:rPr>
                <w:rFonts w:ascii="Tahoma" w:hAnsi="Tahoma"/>
                <w:color w:val="000000"/>
                <w:sz w:val="18"/>
                <w:szCs w:val="18"/>
                <w:lang w:val="pl-PL"/>
              </w:rPr>
              <w:t xml:space="preserve">obręb ewidencyjny </w:t>
            </w:r>
            <w:r>
              <w:rPr>
                <w:rFonts w:ascii="Tahoma" w:hAnsi="Tahoma"/>
                <w:color w:val="000000"/>
                <w:sz w:val="18"/>
                <w:szCs w:val="18"/>
                <w:lang w:val="pl-PL"/>
              </w:rPr>
              <w:t xml:space="preserve"> Maciejowice oraz </w:t>
            </w:r>
            <w:r>
              <w:rPr>
                <w:rFonts w:ascii="Tahoma" w:hAnsi="Tahoma"/>
                <w:color w:val="000000"/>
                <w:sz w:val="18"/>
                <w:szCs w:val="18"/>
                <w:lang w:val="pl-PL"/>
              </w:rPr>
              <w:t xml:space="preserve">działki        nr </w:t>
            </w:r>
            <w:r>
              <w:rPr>
                <w:rFonts w:ascii="Tahoma" w:hAnsi="Tahoma"/>
                <w:sz w:val="18"/>
                <w:lang w:val="pl-PL"/>
              </w:rPr>
              <w:t xml:space="preserve">16/2, </w:t>
            </w:r>
            <w:r>
              <w:rPr>
                <w:rFonts w:ascii="Tahoma" w:hAnsi="Tahoma"/>
                <w:sz w:val="18"/>
                <w:lang w:val="pl-PL"/>
              </w:rPr>
              <w:t>16/13, 16/14, 16/16, 16/17, 88 o łącznej powierzchni 11,4200 ha położona</w:t>
            </w:r>
            <w:r>
              <w:rPr>
                <w:rFonts w:ascii="Tahoma" w:hAnsi="Tahoma"/>
                <w:color w:val="000000"/>
                <w:sz w:val="18"/>
                <w:szCs w:val="18"/>
                <w:lang w:val="pl-PL"/>
              </w:rPr>
              <w:t xml:space="preserve">  obręb ewidencyjny Starowice gm. Otmuchów</w:t>
            </w:r>
            <w:bookmarkEnd w:id="0"/>
            <w:r>
              <w:rPr>
                <w:rFonts w:ascii="Tahoma" w:hAnsi="Tahoma"/>
                <w:color w:val="000000"/>
                <w:sz w:val="18"/>
                <w:szCs w:val="18"/>
                <w:lang w:val="pl-PL"/>
              </w:rPr>
              <w:t xml:space="preserve"> – obszar wiejski, dla której Sąd Rejo</w:t>
            </w:r>
            <w:r>
              <w:rPr>
                <w:rFonts w:ascii="Tahoma" w:hAnsi="Tahoma"/>
                <w:color w:val="000000"/>
                <w:sz w:val="18"/>
                <w:szCs w:val="18"/>
                <w:lang w:val="pl-PL"/>
              </w:rPr>
              <w:t>nowy w Nysie V Wydział Ksiąg Wieczystych prowa</w:t>
            </w:r>
            <w:r>
              <w:rPr>
                <w:rFonts w:ascii="Tahoma" w:hAnsi="Tahoma"/>
                <w:color w:val="000000"/>
                <w:sz w:val="18"/>
                <w:szCs w:val="18"/>
                <w:lang w:val="pl-PL"/>
              </w:rPr>
              <w:t>dzi Księgę Wieczystą nr OP1N/00038545/1.</w:t>
            </w:r>
          </w:p>
          <w:p w:rsidR="00397EB3" w:rsidRDefault="00397EB3">
            <w:pPr>
              <w:suppressLineNumbers/>
              <w:suppressAutoHyphens w:val="0"/>
              <w:ind w:left="113" w:right="170"/>
              <w:jc w:val="both"/>
              <w:rPr>
                <w:rFonts w:ascii="Tahoma" w:hAnsi="Tahoma"/>
                <w:color w:val="000000"/>
                <w:sz w:val="18"/>
                <w:szCs w:val="18"/>
                <w:lang w:val="pl-PL"/>
              </w:rPr>
            </w:pPr>
          </w:p>
          <w:p w:rsidR="00397EB3" w:rsidRDefault="00397EB3">
            <w:pPr>
              <w:pStyle w:val="Zawartotabeli"/>
              <w:rPr>
                <w:rFonts w:ascii="Tahoma" w:hAnsi="Tahoma"/>
                <w:sz w:val="18"/>
                <w:szCs w:val="18"/>
                <w:lang w:val="pl-PL"/>
              </w:rPr>
            </w:pPr>
          </w:p>
          <w:p w:rsidR="00397EB3" w:rsidRDefault="00397EB3">
            <w:pPr>
              <w:pStyle w:val="Zawartotabeli"/>
              <w:rPr>
                <w:rFonts w:ascii="Tahoma" w:hAnsi="Tahoma"/>
                <w:sz w:val="18"/>
                <w:szCs w:val="18"/>
                <w:lang w:val="pl-PL"/>
              </w:rPr>
            </w:pPr>
          </w:p>
          <w:p w:rsidR="00397EB3" w:rsidRDefault="00397EB3">
            <w:pPr>
              <w:pStyle w:val="Zawartotabeli"/>
              <w:rPr>
                <w:rFonts w:ascii="Tahoma" w:hAnsi="Tahoma"/>
                <w:sz w:val="18"/>
                <w:szCs w:val="18"/>
                <w:lang w:val="pl-PL"/>
              </w:rPr>
            </w:pP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97EB3" w:rsidRDefault="00164303">
            <w:pPr>
              <w:spacing w:before="113"/>
              <w:ind w:left="57" w:right="227"/>
              <w:rPr>
                <w:rFonts w:ascii="Tahoma" w:hAnsi="Tahoma"/>
                <w:sz w:val="18"/>
                <w:szCs w:val="18"/>
                <w:lang w:val="pl-PL"/>
              </w:rPr>
            </w:pPr>
            <w:r>
              <w:rPr>
                <w:rFonts w:ascii="Tahoma" w:hAnsi="Tahoma"/>
                <w:sz w:val="18"/>
                <w:szCs w:val="18"/>
                <w:lang w:val="pl-PL"/>
              </w:rPr>
              <w:t xml:space="preserve"> Nieruchomość gruntowa położona jest w gminie Otmuchów – obszar wiejski, obręb Maciejowice i Starowice. </w:t>
            </w:r>
            <w:r>
              <w:rPr>
                <w:rFonts w:ascii="Tahoma" w:hAnsi="Tahoma"/>
                <w:sz w:val="18"/>
                <w:szCs w:val="18"/>
                <w:lang w:val="pl-PL"/>
              </w:rPr>
              <w:t xml:space="preserve">Grunt w </w:t>
            </w:r>
            <w:r>
              <w:rPr>
                <w:rFonts w:ascii="Tahoma" w:hAnsi="Tahoma"/>
                <w:sz w:val="18"/>
                <w:szCs w:val="18"/>
                <w:lang w:val="pl-PL"/>
              </w:rPr>
              <w:t xml:space="preserve">kształcie nieregularnym. Teren nieruchomości </w:t>
            </w:r>
            <w:r>
              <w:rPr>
                <w:rFonts w:ascii="Tahoma" w:hAnsi="Tahoma"/>
                <w:sz w:val="18"/>
                <w:szCs w:val="18"/>
                <w:lang w:val="pl-PL"/>
              </w:rPr>
              <w:t>wysokościowo zróżnicowany, nieogrodzony oraz nieoświetlony. Grunt miejscami zagospodarowany w formie niewielkiej zabudowy kubaturowej starszego typu tj. pozostałości po obiektach usługowych oraz administracyjnych w słabym stanie technicznym, a także w form</w:t>
            </w:r>
            <w:r>
              <w:rPr>
                <w:rFonts w:ascii="Tahoma" w:hAnsi="Tahoma"/>
                <w:sz w:val="18"/>
                <w:szCs w:val="18"/>
                <w:lang w:val="pl-PL"/>
              </w:rPr>
              <w:t>ie utwardzonych placów.            Na pozostałe zagospodarowanie terenu składa się obszar górniczy Maciejowice oraz Starowice z częściowo udokumentowany złożami kopalin, a także tereny leśne gęsto porośnięte roślinnością wysoką oraz średniowysoką.</w:t>
            </w:r>
          </w:p>
          <w:p w:rsidR="00397EB3" w:rsidRDefault="00164303">
            <w:pPr>
              <w:ind w:left="44" w:right="228"/>
              <w:rPr>
                <w:rFonts w:ascii="Tahoma" w:hAnsi="Tahoma"/>
                <w:sz w:val="18"/>
                <w:szCs w:val="18"/>
                <w:lang w:val="pl-PL"/>
              </w:rPr>
            </w:pPr>
            <w:r>
              <w:rPr>
                <w:rFonts w:ascii="Tahoma" w:hAnsi="Tahoma"/>
                <w:sz w:val="18"/>
                <w:szCs w:val="18"/>
                <w:lang w:val="pl-PL"/>
              </w:rPr>
              <w:t xml:space="preserve">Działki </w:t>
            </w:r>
            <w:r>
              <w:rPr>
                <w:rFonts w:ascii="Tahoma" w:hAnsi="Tahoma"/>
                <w:sz w:val="18"/>
                <w:szCs w:val="18"/>
                <w:lang w:val="pl-PL"/>
              </w:rPr>
              <w:t>uzbrojone są w sieci: elektroenergetyczną i teletechniczną.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97EB3" w:rsidRDefault="00164303">
            <w:pPr>
              <w:shd w:val="clear" w:color="auto" w:fill="aut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before="113"/>
              <w:ind w:left="113" w:right="170"/>
              <w:jc w:val="both"/>
              <w:textAlignment w:val="auto"/>
              <w:rPr>
                <w:rFonts w:ascii="Tahoma" w:hAnsi="Tahoma"/>
                <w:sz w:val="18"/>
                <w:szCs w:val="18"/>
                <w:lang w:val="pl-PL"/>
              </w:rPr>
            </w:pPr>
            <w:r>
              <w:rPr>
                <w:rFonts w:ascii="Tahoma" w:hAnsi="Tahoma" w:cs="Times New Roman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Tahoma" w:hAnsi="Tahoma" w:cs="Times New Roman"/>
                <w:sz w:val="18"/>
                <w:szCs w:val="18"/>
                <w:lang w:val="pl-PL"/>
              </w:rPr>
              <w:t xml:space="preserve"> Nieruchomość położona jest na terenie nieobjętym miejscowym planem zagospodarowani przestrzennego.</w:t>
            </w:r>
          </w:p>
          <w:p w:rsidR="00397EB3" w:rsidRDefault="00164303">
            <w:pPr>
              <w:shd w:val="clear" w:color="auto" w:fill="aut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113" w:right="170"/>
              <w:textAlignment w:val="auto"/>
              <w:rPr>
                <w:rFonts w:ascii="Tahoma" w:hAnsi="Tahoma"/>
                <w:sz w:val="18"/>
                <w:szCs w:val="18"/>
                <w:lang w:val="pl-PL"/>
              </w:rPr>
            </w:pPr>
            <w:r>
              <w:rPr>
                <w:rFonts w:ascii="Tahoma" w:hAnsi="Tahoma" w:cs="Times New Roman"/>
                <w:sz w:val="18"/>
                <w:szCs w:val="18"/>
                <w:lang w:val="pl-PL"/>
              </w:rPr>
              <w:t xml:space="preserve"> Zgodnie z uchwałą Nr XXXIX/376/2022 Rady </w:t>
            </w:r>
            <w:r>
              <w:rPr>
                <w:rFonts w:ascii="Tahoma" w:hAnsi="Tahoma"/>
                <w:sz w:val="18"/>
                <w:szCs w:val="18"/>
                <w:lang w:val="pl-PL"/>
              </w:rPr>
              <w:t>Miejskiej w Otmuchowie z dnia 31 sierpnia 2022 r.</w:t>
            </w:r>
            <w:r>
              <w:rPr>
                <w:rFonts w:ascii="Tahoma" w:hAnsi="Tahoma"/>
                <w:i/>
                <w:iCs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Tahoma" w:hAnsi="Tahoma"/>
                <w:sz w:val="18"/>
                <w:szCs w:val="18"/>
                <w:lang w:val="pl-PL"/>
              </w:rPr>
              <w:t>w sprawie uchwalenia studium uwarunkowań i kierunków           zagospodarowania przestrzennego gminy Otmuchów</w:t>
            </w:r>
            <w:r>
              <w:rPr>
                <w:rFonts w:ascii="Tahoma" w:hAnsi="Tahoma" w:cs="Times New Roman"/>
                <w:sz w:val="18"/>
                <w:szCs w:val="18"/>
                <w:lang w:val="pl-PL"/>
              </w:rPr>
              <w:t xml:space="preserve"> nieruchomość ta znajduje się na terenie oznaczonym symbolami:</w:t>
            </w:r>
            <w:r>
              <w:rPr>
                <w:rFonts w:ascii="Tahoma" w:hAnsi="Tahoma" w:cs="Times New Roman"/>
                <w:i/>
                <w:iCs/>
                <w:sz w:val="18"/>
                <w:szCs w:val="18"/>
                <w:lang w:val="pl-PL"/>
              </w:rPr>
              <w:t xml:space="preserve">  </w:t>
            </w:r>
          </w:p>
          <w:p w:rsidR="00397EB3" w:rsidRDefault="00164303">
            <w:pPr>
              <w:shd w:val="clear" w:color="auto" w:fill="aut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113" w:right="170"/>
              <w:textAlignment w:val="auto"/>
              <w:rPr>
                <w:rFonts w:ascii="Tahoma" w:hAnsi="Tahoma"/>
                <w:sz w:val="18"/>
                <w:szCs w:val="18"/>
                <w:lang w:val="pl-PL"/>
              </w:rPr>
            </w:pPr>
            <w:r>
              <w:rPr>
                <w:rFonts w:ascii="Tahoma" w:hAnsi="Tahoma" w:cs="Times New Roman"/>
                <w:sz w:val="18"/>
                <w:szCs w:val="18"/>
                <w:lang w:val="pl-PL"/>
              </w:rPr>
              <w:t xml:space="preserve"> LZ – tereny </w:t>
            </w:r>
            <w:proofErr w:type="spellStart"/>
            <w:r>
              <w:rPr>
                <w:rFonts w:ascii="Tahoma" w:hAnsi="Tahoma" w:cs="Times New Roman"/>
                <w:sz w:val="18"/>
                <w:szCs w:val="18"/>
                <w:lang w:val="pl-PL"/>
              </w:rPr>
              <w:t>zadrzewień</w:t>
            </w:r>
            <w:proofErr w:type="spellEnd"/>
            <w:r>
              <w:rPr>
                <w:rFonts w:ascii="Tahoma" w:hAnsi="Tahoma" w:cs="Times New Roman"/>
                <w:sz w:val="18"/>
                <w:szCs w:val="18"/>
                <w:lang w:val="pl-PL"/>
              </w:rPr>
              <w:t xml:space="preserve"> i </w:t>
            </w:r>
            <w:proofErr w:type="spellStart"/>
            <w:r>
              <w:rPr>
                <w:rFonts w:ascii="Tahoma" w:hAnsi="Tahoma" w:cs="Times New Roman"/>
                <w:sz w:val="18"/>
                <w:szCs w:val="18"/>
                <w:lang w:val="pl-PL"/>
              </w:rPr>
              <w:t>zakrzewień</w:t>
            </w:r>
            <w:proofErr w:type="spellEnd"/>
            <w:r>
              <w:rPr>
                <w:rFonts w:ascii="Tahoma" w:hAnsi="Tahoma" w:cs="Times New Roman"/>
                <w:sz w:val="18"/>
                <w:szCs w:val="18"/>
                <w:lang w:val="pl-PL"/>
              </w:rPr>
              <w:t>, R – teren rolniczy, na terenie dróg pozostał</w:t>
            </w:r>
            <w:r>
              <w:rPr>
                <w:rFonts w:ascii="Tahoma" w:hAnsi="Tahoma" w:cs="Times New Roman"/>
                <w:sz w:val="18"/>
                <w:szCs w:val="18"/>
                <w:lang w:val="pl-PL"/>
              </w:rPr>
              <w:t>ych, PG – tereny wydobycia surowców, WS – teren wód powierzchniowych, ZL – tereny lasów.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97EB3" w:rsidRDefault="00164303">
            <w:pPr>
              <w:pStyle w:val="Zawartotabeli"/>
              <w:spacing w:before="113"/>
              <w:ind w:left="113" w:right="170"/>
              <w:jc w:val="center"/>
              <w:rPr>
                <w:rFonts w:ascii="Tahoma" w:hAnsi="Tahoma" w:cs="Times New Roman"/>
                <w:sz w:val="18"/>
                <w:szCs w:val="18"/>
                <w:lang w:val="pl-PL"/>
              </w:rPr>
            </w:pPr>
            <w:r>
              <w:rPr>
                <w:rFonts w:ascii="Tahoma" w:hAnsi="Tahoma" w:cs="Times New Roman"/>
                <w:sz w:val="18"/>
                <w:szCs w:val="18"/>
                <w:lang w:val="pl-PL"/>
              </w:rPr>
              <w:t>1 228 800,00 zł</w:t>
            </w:r>
          </w:p>
          <w:p w:rsidR="00397EB3" w:rsidRDefault="00164303">
            <w:pPr>
              <w:pStyle w:val="Zawartotabeli"/>
              <w:spacing w:before="113"/>
              <w:ind w:left="113" w:right="170"/>
              <w:jc w:val="both"/>
              <w:rPr>
                <w:rFonts w:ascii="Tahoma" w:hAnsi="Tahoma"/>
                <w:sz w:val="18"/>
                <w:szCs w:val="18"/>
                <w:lang w:val="pl-PL"/>
              </w:rPr>
            </w:pPr>
            <w:r>
              <w:rPr>
                <w:rFonts w:ascii="Tahoma" w:hAnsi="Tahoma" w:cs="Times New Roman"/>
                <w:sz w:val="18"/>
                <w:szCs w:val="18"/>
                <w:lang w:val="pl-PL"/>
              </w:rPr>
              <w:t xml:space="preserve">Cena  nieruchomości została ustalona zgodnie      z art. 198 h  ust. 1 pkt 1 ustawy o gospodarce nieruchomościami tj. jako dwudziestokrotność kwoty </w:t>
            </w:r>
            <w:r>
              <w:rPr>
                <w:rFonts w:ascii="Tahoma" w:hAnsi="Tahoma" w:cs="Times New Roman"/>
                <w:sz w:val="18"/>
                <w:szCs w:val="18"/>
                <w:lang w:val="pl-PL"/>
              </w:rPr>
              <w:t>stanowiącej iloczyn dotychczasowej stawki procentowej opłaty rocznej z tytułu użytkowania wieczystego oraz wartości nieruchomości gruntowej określonej na dzień zawarcia umowy sprzedaży</w:t>
            </w:r>
          </w:p>
          <w:p w:rsidR="00397EB3" w:rsidRDefault="00164303">
            <w:pPr>
              <w:pStyle w:val="Zawartotabeli"/>
              <w:spacing w:before="113"/>
              <w:ind w:left="97" w:firstLine="1"/>
              <w:jc w:val="both"/>
              <w:rPr>
                <w:rFonts w:ascii="Tahoma" w:hAnsi="Tahoma" w:cs="Times New Roman"/>
                <w:sz w:val="18"/>
                <w:szCs w:val="18"/>
                <w:lang w:val="pl-PL"/>
              </w:rPr>
            </w:pPr>
            <w:r>
              <w:rPr>
                <w:rFonts w:ascii="Tahoma" w:eastAsia="TimesNewRomanPS-BoldMT" w:hAnsi="Tahoma" w:cs="Times New Roman"/>
                <w:sz w:val="18"/>
                <w:szCs w:val="18"/>
                <w:lang w:val="pl-PL" w:bidi="ar-SA"/>
              </w:rPr>
              <w:t>Cena sprzedaży nieruchomości :</w:t>
            </w:r>
          </w:p>
          <w:p w:rsidR="00397EB3" w:rsidRDefault="00164303">
            <w:pPr>
              <w:ind w:left="113" w:right="113"/>
              <w:jc w:val="both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 w:cs="Times New Roman"/>
                <w:sz w:val="18"/>
                <w:szCs w:val="18"/>
                <w:lang w:val="pl-PL" w:bidi="ar-SA"/>
              </w:rPr>
              <w:t xml:space="preserve"> - podlega zapłacie jednorazowej nie póź</w:t>
            </w:r>
            <w:r>
              <w:rPr>
                <w:rFonts w:ascii="Tahoma" w:hAnsi="Tahoma" w:cs="Times New Roman"/>
                <w:sz w:val="18"/>
                <w:szCs w:val="18"/>
                <w:lang w:val="pl-PL" w:bidi="ar-SA"/>
              </w:rPr>
              <w:t xml:space="preserve">niej niż 1 dzień przed dniem podpisania aktu notarialnego lub </w:t>
            </w:r>
            <w:r>
              <w:rPr>
                <w:rFonts w:ascii="Tahoma" w:eastAsia="TimesNewRomanPS-BoldMT" w:hAnsi="Tahoma" w:cs="TimesNewRomanPS-BoldMT"/>
                <w:sz w:val="18"/>
                <w:szCs w:val="18"/>
                <w:lang w:val="pl-PL" w:bidi="ar-SA"/>
              </w:rPr>
              <w:t xml:space="preserve">zostać rozłożona na raty.  Pierwsza rata podlega zapłacie nie później niż 1 dzień przed dniem </w:t>
            </w:r>
            <w:r>
              <w:rPr>
                <w:rFonts w:ascii="Tahoma" w:eastAsia="TimesNewRomanPS-BoldMT" w:hAnsi="Tahoma" w:cs="Times New Roman"/>
                <w:sz w:val="18"/>
                <w:szCs w:val="18"/>
                <w:lang w:val="pl-PL" w:bidi="ar-SA"/>
              </w:rPr>
              <w:t xml:space="preserve"> podpisania aktu notarialnego, a następne raty wraz z oprocentowaniem podlegają zapłacie w terminach ustalonych przez strony. W obydwu przypadkach za datę wpłacenia ceny uważa się wpływ wymaganej kwoty na rachunek Starostwa Powiatowego w Nysie.</w:t>
            </w:r>
          </w:p>
          <w:p w:rsidR="00397EB3" w:rsidRDefault="00164303">
            <w:pPr>
              <w:spacing w:after="57"/>
              <w:ind w:left="113" w:right="113"/>
              <w:jc w:val="both"/>
              <w:rPr>
                <w:rFonts w:ascii="Tahoma" w:hAnsi="Tahoma"/>
                <w:sz w:val="18"/>
                <w:szCs w:val="18"/>
                <w:lang w:val="pl-PL"/>
              </w:rPr>
            </w:pPr>
            <w:r>
              <w:rPr>
                <w:rFonts w:ascii="Tahoma" w:eastAsia="TimesNewRomanPS-BoldMT" w:hAnsi="Tahoma" w:cs="Times New Roman"/>
                <w:sz w:val="18"/>
                <w:szCs w:val="18"/>
                <w:lang w:val="pl-PL" w:bidi="ar-SA"/>
              </w:rPr>
              <w:t>Koszty zawa</w:t>
            </w:r>
            <w:r>
              <w:rPr>
                <w:rFonts w:ascii="Tahoma" w:eastAsia="TimesNewRomanPS-BoldMT" w:hAnsi="Tahoma" w:cs="Times New Roman"/>
                <w:sz w:val="18"/>
                <w:szCs w:val="18"/>
                <w:lang w:val="pl-PL" w:bidi="ar-SA"/>
              </w:rPr>
              <w:t>rcia aktu notarialnego oraz koszt wpisów w księdze wieczystej ponosi Nabywca.</w:t>
            </w:r>
          </w:p>
          <w:p w:rsidR="00397EB3" w:rsidRDefault="00164303">
            <w:pPr>
              <w:pStyle w:val="Zawartotabeli"/>
              <w:spacing w:before="113"/>
              <w:ind w:left="113" w:right="170"/>
              <w:jc w:val="both"/>
              <w:rPr>
                <w:rFonts w:ascii="Tahoma" w:hAnsi="Tahoma"/>
                <w:sz w:val="18"/>
                <w:szCs w:val="18"/>
                <w:lang w:val="pl-PL"/>
              </w:rPr>
            </w:pPr>
            <w:r>
              <w:rPr>
                <w:rFonts w:ascii="Tahoma" w:eastAsia="TimesNewRomanPS-BoldMT" w:hAnsi="Tahoma" w:cs="TimesNewRomanPS-BoldMT"/>
                <w:sz w:val="18"/>
                <w:szCs w:val="18"/>
                <w:lang w:val="pl-PL" w:bidi="ar-SA"/>
              </w:rPr>
              <w:t>Cena n</w:t>
            </w:r>
            <w:r>
              <w:rPr>
                <w:rFonts w:ascii="Tahoma" w:eastAsia="Verdana" w:hAnsi="Tahoma" w:cs="Verdana"/>
                <w:sz w:val="18"/>
                <w:szCs w:val="18"/>
                <w:lang w:val="pl-PL" w:bidi="ar-SA"/>
              </w:rPr>
              <w:t xml:space="preserve">ie podlega opodatkowaniu podatkiem VAT, gdyż wymieniona transakcja nie jest dostawą towarów w rozumieniu art. 7 ust. 1 </w:t>
            </w:r>
            <w:r>
              <w:rPr>
                <w:rFonts w:ascii="Tahoma" w:eastAsia="Calibri" w:hAnsi="Tahoma" w:cs="Calibri"/>
                <w:sz w:val="18"/>
                <w:szCs w:val="18"/>
                <w:lang w:val="pl-PL" w:bidi="ar-SA"/>
              </w:rPr>
              <w:t>ustawy z dnia 11 marca 2004 r. (</w:t>
            </w:r>
            <w:proofErr w:type="spellStart"/>
            <w:r>
              <w:rPr>
                <w:rFonts w:ascii="Tahoma" w:eastAsia="Calibri" w:hAnsi="Tahoma" w:cs="Calibri"/>
                <w:sz w:val="18"/>
                <w:szCs w:val="18"/>
                <w:lang w:val="pl-PL" w:bidi="ar-SA"/>
              </w:rPr>
              <w:t>t.j</w:t>
            </w:r>
            <w:proofErr w:type="spellEnd"/>
            <w:r>
              <w:rPr>
                <w:rFonts w:ascii="Tahoma" w:eastAsia="Calibri" w:hAnsi="Tahoma" w:cs="Calibri"/>
                <w:sz w:val="18"/>
                <w:szCs w:val="18"/>
                <w:lang w:val="pl-PL" w:bidi="ar-SA"/>
              </w:rPr>
              <w:t>. Dz. U.    z 2025</w:t>
            </w:r>
            <w:r>
              <w:rPr>
                <w:rFonts w:ascii="Tahoma" w:eastAsia="Calibri" w:hAnsi="Tahoma" w:cs="Calibri"/>
                <w:sz w:val="18"/>
                <w:szCs w:val="18"/>
                <w:lang w:val="pl-PL" w:bidi="ar-SA"/>
              </w:rPr>
              <w:t xml:space="preserve"> r. poz. 775 z późn.zm.)  o podatku od towarów i usług.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7EB3" w:rsidRDefault="00164303">
            <w:pPr>
              <w:pStyle w:val="Zawartotabeli"/>
              <w:spacing w:before="113"/>
              <w:ind w:left="113" w:right="170"/>
              <w:rPr>
                <w:rFonts w:ascii="Tahoma" w:hAnsi="Tahoma" w:cs="Times New Roman"/>
                <w:sz w:val="18"/>
                <w:szCs w:val="18"/>
                <w:lang w:val="pl-PL"/>
              </w:rPr>
            </w:pPr>
            <w:r>
              <w:rPr>
                <w:rFonts w:ascii="Tahoma" w:hAnsi="Tahoma" w:cs="Times New Roman"/>
                <w:sz w:val="18"/>
                <w:szCs w:val="18"/>
                <w:lang w:val="pl-PL"/>
              </w:rPr>
              <w:t>Nieruchomość przeznacza się do sprzedaży w trybie bezprzetargowym na rzecz jej użytkownika wieczystego w związku    z  przepisami epizodycznymi</w:t>
            </w:r>
          </w:p>
          <w:p w:rsidR="00397EB3" w:rsidRDefault="00164303">
            <w:pPr>
              <w:pStyle w:val="Zawartotabeli"/>
              <w:ind w:left="113" w:right="170"/>
              <w:rPr>
                <w:rFonts w:ascii="Tahoma" w:hAnsi="Tahoma" w:cs="Times New Roman"/>
                <w:sz w:val="18"/>
                <w:szCs w:val="18"/>
                <w:lang w:val="pl-PL"/>
              </w:rPr>
            </w:pPr>
            <w:r>
              <w:rPr>
                <w:rFonts w:ascii="Tahoma" w:hAnsi="Tahoma" w:cs="Times New Roman"/>
                <w:sz w:val="18"/>
                <w:szCs w:val="18"/>
                <w:lang w:val="pl-PL"/>
              </w:rPr>
              <w:t>dotyczącymi roszczenia                 o sprzedaż nieruc</w:t>
            </w:r>
            <w:r>
              <w:rPr>
                <w:rFonts w:ascii="Tahoma" w:hAnsi="Tahoma" w:cs="Times New Roman"/>
                <w:sz w:val="18"/>
                <w:szCs w:val="18"/>
                <w:lang w:val="pl-PL"/>
              </w:rPr>
              <w:t>homości</w:t>
            </w:r>
          </w:p>
          <w:p w:rsidR="00397EB3" w:rsidRDefault="00164303">
            <w:pPr>
              <w:pStyle w:val="Zawartotabeli"/>
              <w:ind w:left="113" w:right="170"/>
              <w:rPr>
                <w:rFonts w:ascii="Tahoma" w:hAnsi="Tahoma" w:cs="Times New Roman"/>
                <w:sz w:val="18"/>
                <w:szCs w:val="18"/>
                <w:lang w:val="pl-PL"/>
              </w:rPr>
            </w:pPr>
            <w:r>
              <w:rPr>
                <w:rFonts w:ascii="Tahoma" w:hAnsi="Tahoma" w:cs="Times New Roman"/>
                <w:sz w:val="18"/>
                <w:szCs w:val="18"/>
                <w:lang w:val="pl-PL"/>
              </w:rPr>
              <w:t>gruntowej na rzecz</w:t>
            </w:r>
          </w:p>
          <w:p w:rsidR="00397EB3" w:rsidRDefault="00164303">
            <w:pPr>
              <w:pStyle w:val="Zawartotabeli"/>
              <w:ind w:left="113" w:right="170"/>
              <w:rPr>
                <w:rFonts w:ascii="Tahoma" w:hAnsi="Tahoma" w:cs="Times New Roman"/>
                <w:sz w:val="18"/>
                <w:szCs w:val="18"/>
                <w:lang w:val="pl-PL"/>
              </w:rPr>
            </w:pPr>
            <w:r>
              <w:rPr>
                <w:rFonts w:ascii="Tahoma" w:hAnsi="Tahoma" w:cs="Times New Roman"/>
                <w:sz w:val="18"/>
                <w:szCs w:val="18"/>
                <w:lang w:val="pl-PL"/>
              </w:rPr>
              <w:t>użytkowania wieczystego – dział VIA ustawy z dnia</w:t>
            </w:r>
          </w:p>
          <w:p w:rsidR="00397EB3" w:rsidRDefault="00164303">
            <w:pPr>
              <w:pStyle w:val="Zawartotabeli"/>
              <w:ind w:left="113" w:right="170"/>
              <w:rPr>
                <w:rFonts w:ascii="Tahoma" w:hAnsi="Tahoma" w:cs="Times New Roman"/>
                <w:sz w:val="18"/>
                <w:szCs w:val="18"/>
                <w:lang w:val="pl-PL"/>
              </w:rPr>
            </w:pPr>
            <w:r>
              <w:rPr>
                <w:rFonts w:ascii="Tahoma" w:hAnsi="Tahoma" w:cs="Times New Roman"/>
                <w:sz w:val="18"/>
                <w:szCs w:val="18"/>
                <w:lang w:val="pl-PL"/>
              </w:rPr>
              <w:t>21 sierpnia 1997 r.                    o gospodarce nieruchomościami.</w:t>
            </w:r>
          </w:p>
        </w:tc>
      </w:tr>
    </w:tbl>
    <w:p w:rsidR="00397EB3" w:rsidRDefault="00397EB3">
      <w:pPr>
        <w:keepNext w:val="0"/>
        <w:widowControl/>
        <w:shd w:val="clear" w:color="auto" w:fill="auto"/>
        <w:suppressAutoHyphens w:val="0"/>
        <w:ind w:left="-284"/>
        <w:jc w:val="both"/>
        <w:textAlignment w:val="auto"/>
        <w:rPr>
          <w:rFonts w:ascii="Tahoma" w:hAnsi="Tahoma" w:cs="TimesNewRomanPSMT"/>
          <w:sz w:val="14"/>
          <w:szCs w:val="20"/>
          <w:lang w:val="pl-PL" w:bidi="ar-SA"/>
        </w:rPr>
      </w:pPr>
    </w:p>
    <w:p w:rsidR="00397EB3" w:rsidRDefault="00164303">
      <w:pPr>
        <w:keepNext w:val="0"/>
        <w:widowControl/>
        <w:shd w:val="clear" w:color="auto" w:fill="auto"/>
        <w:suppressAutoHyphens w:val="0"/>
        <w:ind w:left="-794"/>
        <w:jc w:val="both"/>
        <w:textAlignment w:val="auto"/>
        <w:rPr>
          <w:sz w:val="16"/>
          <w:szCs w:val="16"/>
        </w:rPr>
      </w:pPr>
      <w:r>
        <w:rPr>
          <w:rFonts w:ascii="Tahoma" w:hAnsi="Tahoma" w:cs="Times New Roman"/>
          <w:sz w:val="16"/>
          <w:szCs w:val="16"/>
          <w:lang w:val="pl-PL" w:bidi="ar-SA"/>
        </w:rPr>
        <w:t>Niniejszy wykaz podaje się do publicznej wiadomości na okres 21 dni tj. od dnia 04.12.2025 r. do dnia 24.12.2025 r. poprzez ogłoszenie na tablicy ogłoszeń w siedzibie Starostwa Powiatowego w Nysie  przy ul. Piastowskiej 33 oraz w Wydziale Administrowania i</w:t>
      </w:r>
      <w:r>
        <w:rPr>
          <w:rFonts w:ascii="Tahoma" w:hAnsi="Tahoma" w:cs="Times New Roman"/>
          <w:sz w:val="16"/>
          <w:szCs w:val="16"/>
          <w:lang w:val="pl-PL" w:bidi="ar-SA"/>
        </w:rPr>
        <w:t xml:space="preserve"> Gospodarki Nieruchomościami przy ul. Parkowej 4 (II piętro). </w:t>
      </w:r>
      <w:r>
        <w:rPr>
          <w:rFonts w:ascii="Tahoma" w:hAnsi="Tahoma" w:cs="TimesNewRomanPSMT"/>
          <w:sz w:val="16"/>
          <w:szCs w:val="16"/>
          <w:lang w:val="pl-PL" w:bidi="ar-SA"/>
        </w:rPr>
        <w:t xml:space="preserve">Ponadto informację o wywieszeniu wykazu podaje się do publicznej wiadomości przez ogłoszenie w prasie lokalnej, na stronach   internetowych Starostwa oraz na stronie podmiotowej wojewody w </w:t>
      </w:r>
      <w:r>
        <w:rPr>
          <w:rFonts w:ascii="Tahoma" w:hAnsi="Tahoma" w:cs="TimesNewRomanPSMT"/>
          <w:sz w:val="16"/>
          <w:szCs w:val="16"/>
          <w:lang w:val="pl-PL" w:bidi="ar-SA"/>
        </w:rPr>
        <w:t>Biuletynie Informacji Publicznej .</w:t>
      </w:r>
    </w:p>
    <w:p w:rsidR="00397EB3" w:rsidRDefault="00397EB3">
      <w:pPr>
        <w:keepNext w:val="0"/>
        <w:widowControl/>
        <w:shd w:val="clear" w:color="auto" w:fill="auto"/>
        <w:suppressAutoHyphens w:val="0"/>
        <w:spacing w:after="57"/>
        <w:ind w:left="-567"/>
        <w:jc w:val="both"/>
        <w:textAlignment w:val="auto"/>
        <w:rPr>
          <w:rFonts w:ascii="Tahoma" w:eastAsia="TimesNewRomanPS-BoldMT" w:hAnsi="Tahoma" w:cs="TimesNewRomanPS-BoldMT"/>
          <w:b/>
          <w:bCs/>
          <w:sz w:val="18"/>
          <w:szCs w:val="18"/>
          <w:lang w:val="pl-PL"/>
        </w:rPr>
      </w:pPr>
    </w:p>
    <w:p w:rsidR="00397EB3" w:rsidRDefault="00164303">
      <w:pPr>
        <w:spacing w:after="57"/>
        <w:ind w:left="-567"/>
        <w:jc w:val="both"/>
        <w:rPr>
          <w:sz w:val="18"/>
          <w:szCs w:val="18"/>
        </w:rPr>
      </w:pPr>
      <w:r>
        <w:rPr>
          <w:rFonts w:ascii="Tahoma" w:eastAsia="TimesNewRomanPS-BoldMT" w:hAnsi="Tahoma" w:cs="TimesNewRomanPS-BoldMT"/>
          <w:sz w:val="18"/>
          <w:szCs w:val="18"/>
          <w:lang w:val="pl-PL"/>
        </w:rPr>
        <w:t>Nysa, dnia  4 grudnia 2025 r.</w:t>
      </w:r>
    </w:p>
    <w:sectPr w:rsidR="00397EB3">
      <w:pgSz w:w="16838" w:h="11906" w:orient="landscape"/>
      <w:pgMar w:top="284" w:right="344" w:bottom="342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Liberation Serif">
    <w:altName w:val="Times New Roman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BoldMT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6118CD"/>
    <w:multiLevelType w:val="multilevel"/>
    <w:tmpl w:val="5CEAF1CA"/>
    <w:lvl w:ilvl="0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B3"/>
    <w:rsid w:val="00164303"/>
    <w:rsid w:val="0039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E5C3D7-441C-4749-9637-2D298EE1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sz w:val="24"/>
        <w:szCs w:val="24"/>
        <w:lang w:val="de-DE" w:eastAsia="ja-JP" w:bidi="fa-IR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15A8"/>
    <w:pPr>
      <w:keepNext/>
      <w:widowControl w:val="0"/>
      <w:shd w:val="clear" w:color="auto" w:fill="FFFFFF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agwek"/>
    <w:next w:val="Tekstpodstawowy"/>
    <w:qFormat/>
    <w:rsid w:val="005B15A8"/>
    <w:pPr>
      <w:numPr>
        <w:numId w:val="1"/>
      </w:numPr>
      <w:outlineLvl w:val="0"/>
    </w:pPr>
    <w:rPr>
      <w:b/>
      <w:bCs/>
      <w:sz w:val="36"/>
      <w:szCs w:val="36"/>
    </w:rPr>
  </w:style>
  <w:style w:type="paragraph" w:customStyle="1" w:styleId="Nagwek21">
    <w:name w:val="Nagłówek 21"/>
    <w:basedOn w:val="Nagwek"/>
    <w:next w:val="Tekstpodstawowy"/>
    <w:qFormat/>
    <w:rsid w:val="005B15A8"/>
    <w:pPr>
      <w:numPr>
        <w:ilvl w:val="1"/>
        <w:numId w:val="1"/>
      </w:numPr>
      <w:spacing w:before="200" w:after="0"/>
      <w:outlineLvl w:val="1"/>
    </w:pPr>
    <w:rPr>
      <w:b/>
      <w:bCs/>
      <w:sz w:val="32"/>
      <w:szCs w:val="32"/>
    </w:rPr>
  </w:style>
  <w:style w:type="paragraph" w:customStyle="1" w:styleId="Nagwek31">
    <w:name w:val="Nagłówek 31"/>
    <w:basedOn w:val="Nagwek"/>
    <w:next w:val="Tekstpodstawowy"/>
    <w:qFormat/>
    <w:rsid w:val="005B15A8"/>
    <w:pPr>
      <w:numPr>
        <w:ilvl w:val="2"/>
        <w:numId w:val="1"/>
      </w:numPr>
      <w:spacing w:before="140" w:after="0"/>
      <w:outlineLvl w:val="2"/>
    </w:pPr>
    <w:rPr>
      <w:b/>
      <w:bCs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qFormat/>
    <w:rsid w:val="00AF2908"/>
    <w:rPr>
      <w:rFonts w:ascii="Courier New" w:eastAsia="Times New Roman" w:hAnsi="Courier New" w:cs="Courier New"/>
      <w:sz w:val="20"/>
      <w:szCs w:val="20"/>
      <w:lang w:val="pl-PL" w:eastAsia="pl-PL" w:bidi="ar-SA"/>
    </w:rPr>
  </w:style>
  <w:style w:type="character" w:customStyle="1" w:styleId="Domylnaczcionkaakapitu1">
    <w:name w:val="Domyślna czcionka akapitu1"/>
    <w:qFormat/>
  </w:style>
  <w:style w:type="paragraph" w:styleId="Nagwek">
    <w:name w:val="header"/>
    <w:basedOn w:val="Normalny"/>
    <w:next w:val="Tekstpodstawowy"/>
    <w:qFormat/>
    <w:rsid w:val="005B15A8"/>
    <w:pPr>
      <w:spacing w:before="240" w:after="120"/>
    </w:pPr>
    <w:rPr>
      <w:rFonts w:ascii="Liberation Sans" w:eastAsia="Liberation Serif" w:hAnsi="Liberation Sans"/>
      <w:sz w:val="28"/>
      <w:szCs w:val="28"/>
    </w:rPr>
  </w:style>
  <w:style w:type="paragraph" w:styleId="Tekstpodstawowy">
    <w:name w:val="Body Text"/>
    <w:basedOn w:val="Normalny"/>
    <w:rsid w:val="005B15A8"/>
    <w:pPr>
      <w:spacing w:after="120"/>
    </w:pPr>
  </w:style>
  <w:style w:type="paragraph" w:styleId="Lista">
    <w:name w:val="List"/>
    <w:basedOn w:val="Tekstpodstawowy"/>
    <w:rsid w:val="005B15A8"/>
  </w:style>
  <w:style w:type="paragraph" w:styleId="Legenda">
    <w:name w:val="caption"/>
    <w:basedOn w:val="Normalny"/>
    <w:qFormat/>
    <w:rsid w:val="005B15A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5B15A8"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WW-Nagwek11111111">
    <w:name w:val="WW-Nagłówek11111111"/>
    <w:basedOn w:val="Normalny"/>
    <w:next w:val="Tekstpodstawowy"/>
    <w:qFormat/>
    <w:rsid w:val="005B15A8"/>
    <w:pPr>
      <w:spacing w:before="240" w:after="120"/>
    </w:pPr>
    <w:rPr>
      <w:rFonts w:ascii="Arial" w:eastAsia="Lucida Sans Unicode" w:hAnsi="Arial"/>
      <w:sz w:val="28"/>
      <w:szCs w:val="28"/>
    </w:rPr>
  </w:style>
  <w:style w:type="paragraph" w:styleId="Podtytu">
    <w:name w:val="Subtitle"/>
    <w:basedOn w:val="WW-Nagwek11111111"/>
    <w:next w:val="Tekstpodstawowy"/>
    <w:qFormat/>
    <w:rsid w:val="005B15A8"/>
    <w:pPr>
      <w:jc w:val="center"/>
    </w:pPr>
    <w:rPr>
      <w:i/>
      <w:iCs/>
    </w:rPr>
  </w:style>
  <w:style w:type="paragraph" w:styleId="Tytu">
    <w:name w:val="Title"/>
    <w:basedOn w:val="Normalny"/>
    <w:next w:val="Podtytu"/>
    <w:qFormat/>
    <w:rsid w:val="005B15A8"/>
    <w:pPr>
      <w:jc w:val="center"/>
    </w:pPr>
    <w:rPr>
      <w:b/>
    </w:rPr>
  </w:style>
  <w:style w:type="paragraph" w:customStyle="1" w:styleId="Zawartotabeli">
    <w:name w:val="Zawartość tabeli"/>
    <w:basedOn w:val="Standard"/>
    <w:qFormat/>
    <w:rsid w:val="00F04B20"/>
    <w:pPr>
      <w:suppressLineNumbers/>
    </w:pPr>
  </w:style>
  <w:style w:type="paragraph" w:customStyle="1" w:styleId="WW-Zawartotabeli1111111">
    <w:name w:val="WW-Zawartość tabeli1111111"/>
    <w:basedOn w:val="Tekstpodstawowy"/>
    <w:qFormat/>
    <w:rsid w:val="005B15A8"/>
    <w:pPr>
      <w:suppressLineNumbers/>
    </w:pPr>
  </w:style>
  <w:style w:type="paragraph" w:customStyle="1" w:styleId="WW-Nagwektabeli1111111">
    <w:name w:val="WW-Nagłówek tabeli1111111"/>
    <w:basedOn w:val="WW-Zawartotabeli1111111"/>
    <w:qFormat/>
    <w:rsid w:val="005B15A8"/>
    <w:pPr>
      <w:jc w:val="center"/>
    </w:pPr>
    <w:rPr>
      <w:b/>
      <w:bCs/>
      <w:i/>
      <w:iCs/>
    </w:rPr>
  </w:style>
  <w:style w:type="paragraph" w:customStyle="1" w:styleId="Nagwektabeli">
    <w:name w:val="Nagłówek tabeli"/>
    <w:basedOn w:val="Zawartotabeli"/>
    <w:qFormat/>
    <w:rsid w:val="005B15A8"/>
    <w:pPr>
      <w:jc w:val="center"/>
    </w:pPr>
    <w:rPr>
      <w:b/>
      <w:bCs/>
    </w:rPr>
  </w:style>
  <w:style w:type="paragraph" w:customStyle="1" w:styleId="Cytaty">
    <w:name w:val="Cytaty"/>
    <w:basedOn w:val="Normalny"/>
    <w:qFormat/>
    <w:rsid w:val="005B15A8"/>
    <w:pPr>
      <w:spacing w:after="283"/>
      <w:ind w:left="567" w:right="567"/>
    </w:pPr>
  </w:style>
  <w:style w:type="paragraph" w:customStyle="1" w:styleId="Default">
    <w:name w:val="Default"/>
    <w:qFormat/>
    <w:rsid w:val="005B15A8"/>
    <w:pPr>
      <w:keepNext/>
      <w:widowControl w:val="0"/>
      <w:shd w:val="clear" w:color="auto" w:fill="FFFFFF"/>
      <w:textAlignment w:val="baseline"/>
    </w:pPr>
    <w:rPr>
      <w:color w:val="000000"/>
    </w:rPr>
  </w:style>
  <w:style w:type="paragraph" w:styleId="NormalnyWeb">
    <w:name w:val="Normal (Web)"/>
    <w:basedOn w:val="Normalny"/>
    <w:qFormat/>
    <w:rsid w:val="00112AA8"/>
    <w:pPr>
      <w:keepNext w:val="0"/>
      <w:widowControl/>
      <w:shd w:val="clear" w:color="auto" w:fill="auto"/>
      <w:suppressAutoHyphens w:val="0"/>
      <w:spacing w:beforeAutospacing="1" w:after="119"/>
      <w:textAlignment w:val="auto"/>
    </w:pPr>
    <w:rPr>
      <w:rFonts w:eastAsia="Times New Roman" w:cs="Times New Roman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F67214"/>
    <w:pPr>
      <w:ind w:left="720"/>
      <w:contextualSpacing/>
    </w:pPr>
  </w:style>
  <w:style w:type="paragraph" w:customStyle="1" w:styleId="Standard">
    <w:name w:val="Standard"/>
    <w:qFormat/>
    <w:rsid w:val="000D67E8"/>
    <w:pPr>
      <w:widowControl w:val="0"/>
      <w:textAlignment w:val="baseline"/>
    </w:pPr>
    <w:rPr>
      <w:kern w:val="2"/>
    </w:rPr>
  </w:style>
  <w:style w:type="paragraph" w:customStyle="1" w:styleId="Nagwek3">
    <w:name w:val="Nagłówek3"/>
    <w:basedOn w:val="Normalny"/>
    <w:next w:val="Tekstpodstawowy"/>
    <w:qFormat/>
    <w:rsid w:val="00A65FDB"/>
    <w:pPr>
      <w:keepNext w:val="0"/>
      <w:shd w:val="clear" w:color="auto" w:fill="auto"/>
      <w:jc w:val="center"/>
      <w:textAlignment w:val="auto"/>
    </w:pPr>
    <w:rPr>
      <w:rFonts w:cs="Times New Roman"/>
      <w:b/>
      <w:bCs/>
      <w:kern w:val="2"/>
      <w:sz w:val="56"/>
      <w:szCs w:val="56"/>
      <w:lang w:eastAsia="zh-CN" w:bidi="ar-SA"/>
    </w:rPr>
  </w:style>
  <w:style w:type="paragraph" w:styleId="HTML-wstpniesformatowany">
    <w:name w:val="HTML Preformatted"/>
    <w:basedOn w:val="Normalny"/>
    <w:uiPriority w:val="99"/>
    <w:semiHidden/>
    <w:unhideWhenUsed/>
    <w:qFormat/>
    <w:rsid w:val="00AF2908"/>
    <w:pPr>
      <w:keepNext w:val="0"/>
      <w:widowControl/>
      <w:shd w:val="clear" w:color="auto" w:fill="auto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sz w:val="20"/>
      <w:szCs w:val="20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1A727-BF83-4AD4-9642-A985A518E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 Stelmach</dc:creator>
  <dc:description/>
  <cp:lastModifiedBy>Maria Los</cp:lastModifiedBy>
  <cp:revision>2</cp:revision>
  <cp:lastPrinted>2025-12-01T12:58:00Z</cp:lastPrinted>
  <dcterms:created xsi:type="dcterms:W3CDTF">2025-12-04T09:50:00Z</dcterms:created>
  <dcterms:modified xsi:type="dcterms:W3CDTF">2025-12-04T09:50:00Z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