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AE" w:rsidRPr="0097632B" w:rsidRDefault="00C221E0" w:rsidP="00152439">
      <w:pPr>
        <w:autoSpaceDE w:val="0"/>
        <w:autoSpaceDN w:val="0"/>
        <w:adjustRightInd w:val="0"/>
        <w:spacing w:after="130" w:line="276" w:lineRule="auto"/>
        <w:ind w:left="20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</w:p>
    <w:p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Suwałkach 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 Anna Kolesińska-Soroka – Prokurator Okręgowy w Suwałkach,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7F50AE" w:rsidRPr="0097632B" w:rsidRDefault="007F50AE" w:rsidP="00152439">
      <w:pPr>
        <w:autoSpaceDE w:val="0"/>
        <w:autoSpaceDN w:val="0"/>
        <w:adjustRightInd w:val="0"/>
        <w:spacing w:after="206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dostawę tonerów 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bębnów 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 xml:space="preserve"> Dz. U. z 2022</w:t>
      </w:r>
      <w:r w:rsidR="008B4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r. poz. 1710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mowy jest dostawa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materiałów eksploatacyjnych do urządzeń komputerowych i biurowych,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ilości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 xml:space="preserve">poszczególnych materiałów eksploatacyjnych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ważności dostarczonych materiałów eksploatacyjnych nie może być krótszy 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:rsidR="009D1BFA" w:rsidRPr="0097632B" w:rsidRDefault="009D1BFA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F50AE" w:rsidRPr="0097632B" w:rsidRDefault="00AB4F06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realizacji zamówienia</w:t>
      </w:r>
      <w:r w:rsidR="000A39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dostawy od dnia podpisania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7C15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3CB" w:rsidRPr="0097632B" w:rsidRDefault="001753CB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3CB" w:rsidRDefault="001753CB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materiały eksploatacyjne zostaną dostarczone, wyładowane i wniesione na koszt i ryzyko Wykonawcy, w terminie do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daty 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podpisania Umowy.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ze strony Zamawiającego – Leonard Czujkowski, tel. (87) 56-28-604 lub 504-074-097 </w:t>
      </w:r>
      <w:hyperlink r:id="rId8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 </w:t>
      </w:r>
      <w:r w:rsidRPr="002E18B8">
        <w:rPr>
          <w:rFonts w:ascii="Times New Roman" w:hAnsi="Times New Roman"/>
          <w:sz w:val="24"/>
          <w:szCs w:val="24"/>
        </w:rPr>
        <w:t xml:space="preserve">(87) 56-28-604 </w:t>
      </w:r>
      <w:hyperlink r:id="rId9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:rsidR="002E18B8" w:rsidRPr="002E18B8" w:rsidRDefault="002E18B8" w:rsidP="002E18B8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zawiad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 xml:space="preserve">omi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</w:t>
      </w:r>
      <w:proofErr w:type="spellStart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A5A05">
        <w:rPr>
          <w:rFonts w:ascii="Times New Roman" w:hAnsi="Times New Roman" w:cs="Times New Roman"/>
          <w:color w:val="000000"/>
          <w:sz w:val="24"/>
          <w:szCs w:val="24"/>
        </w:rPr>
        <w:t>2 r.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A05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każdorazowo na wezwanie Zamawiającego w ilości 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5B3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większej niż niniejsze zamówienie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 terminie 7 dni roboczych od zgłoszenia. Wykonawca jest zobowiązany dostarczyć Zamawiającemu w terminie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używania równoważnych materiałów eksploatacyjnych, Wykonawca zobowiązany będzie do pokrycia kosztów dostawy urządzenia do punktu serwisowego (naprawczego) i kosztów naprawy, a w przypadku takiej konieczności - także zwrotu kosztów zleconej przez Zamawiającego ekspertyzy. Za uszkodzenie uważa się również zanieczyszczenie sprzętu drukującego powodujące konieczność czyszczenia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mechanizmów urządzenia. Za podstawę żądania przez Zamawiającego naprawy urządzenia i pokrycia przez Wykonawcę kosztów dostawy urządzenia do punktu serwisowego (naprawczego) oraz kosztów naprawy urządzenia, uważa się pisemną opinię autoryzowanego serwisu producenta urządzenia.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Gdy czas naprawy uszkodzonego sprzętu Zamawiającego, w wyniku zastosowania materiałów równoważnych dostarczonych przez Wykonawcę, w autoryzowanym serwisie przekroczy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godzin od momentu zgłoszenia, Wykonawca będzie zobowiązany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nieodpłatnego 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§3 ust. 2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§4 ust. 1 za każdy stwierdzony przypadek.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1C02F8" w:rsidRPr="0097632B" w:rsidRDefault="007F50AE" w:rsidP="00A70A5F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:rsidR="009D1BFA" w:rsidRPr="0097632B" w:rsidRDefault="009D1B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</w:t>
      </w:r>
      <w:proofErr w:type="spellStart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1360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2282" w:rsidRDefault="00072282" w:rsidP="00072282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0929" w:rsidRDefault="00F10929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847705" w:rsidRPr="00847705" w:rsidRDefault="00847705" w:rsidP="00847705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7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Załączniki: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Formularz ofertowy,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Oferta cenowa,</w:t>
      </w:r>
    </w:p>
    <w:p w:rsidR="003017EB" w:rsidRDefault="00847705" w:rsidP="00C221E0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Klauzula informacyjna RODO</w:t>
      </w:r>
      <w:r w:rsidR="00CB43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7705" w:rsidRDefault="00847705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34E" w:rsidRPr="0097632B" w:rsidRDefault="00CB434E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61"/>
      </w:tblGrid>
      <w:tr w:rsidR="004B5A71" w:rsidRPr="004B5A71" w:rsidTr="00152439"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E8" w:rsidRDefault="00D431E8" w:rsidP="00C562F1">
      <w:r>
        <w:separator/>
      </w:r>
    </w:p>
  </w:endnote>
  <w:endnote w:type="continuationSeparator" w:id="0">
    <w:p w:rsidR="00D431E8" w:rsidRDefault="00D431E8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:rsidR="00371936" w:rsidRDefault="00D431E8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EndPr/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371936">
              <w:t xml:space="preserve">Strona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1753CB">
              <w:rPr>
                <w:b/>
                <w:noProof/>
              </w:rPr>
              <w:t>2</w:t>
            </w:r>
            <w:r w:rsidR="00EE7904"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1753CB">
              <w:rPr>
                <w:b/>
                <w:noProof/>
              </w:rPr>
              <w:t>5</w:t>
            </w:r>
            <w:r w:rsidR="00EE790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E8" w:rsidRDefault="00D431E8" w:rsidP="00C562F1">
      <w:r>
        <w:separator/>
      </w:r>
    </w:p>
  </w:footnote>
  <w:footnote w:type="continuationSeparator" w:id="0">
    <w:p w:rsidR="00D431E8" w:rsidRDefault="00D431E8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CB" w:rsidRDefault="001753CB" w:rsidP="001753CB">
    <w:pPr>
      <w:pStyle w:val="Nagwek"/>
      <w:jc w:val="right"/>
    </w:pPr>
    <w:r w:rsidRPr="001753CB">
      <w:rPr>
        <w:rFonts w:ascii="Arial" w:hAnsi="Arial" w:cs="Arial"/>
      </w:rPr>
      <w:t>Załącznik nr 4 do postępowania 3005-7.262.15.2022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63"/>
    <w:rsid w:val="0003187C"/>
    <w:rsid w:val="00034AF9"/>
    <w:rsid w:val="00035ECF"/>
    <w:rsid w:val="00050721"/>
    <w:rsid w:val="00072282"/>
    <w:rsid w:val="000A3925"/>
    <w:rsid w:val="000E48F9"/>
    <w:rsid w:val="0011423B"/>
    <w:rsid w:val="001304C0"/>
    <w:rsid w:val="001327CB"/>
    <w:rsid w:val="00152439"/>
    <w:rsid w:val="001753CB"/>
    <w:rsid w:val="001856B0"/>
    <w:rsid w:val="001C02F8"/>
    <w:rsid w:val="001D03AD"/>
    <w:rsid w:val="0025032C"/>
    <w:rsid w:val="00293FC4"/>
    <w:rsid w:val="002B58C3"/>
    <w:rsid w:val="002E18B8"/>
    <w:rsid w:val="002E615D"/>
    <w:rsid w:val="002F4A1F"/>
    <w:rsid w:val="003017EB"/>
    <w:rsid w:val="00311612"/>
    <w:rsid w:val="003242E1"/>
    <w:rsid w:val="003305E0"/>
    <w:rsid w:val="00352B4F"/>
    <w:rsid w:val="00371936"/>
    <w:rsid w:val="003B2938"/>
    <w:rsid w:val="003F5C43"/>
    <w:rsid w:val="004232CA"/>
    <w:rsid w:val="00430B5A"/>
    <w:rsid w:val="004475A0"/>
    <w:rsid w:val="00494042"/>
    <w:rsid w:val="004A234E"/>
    <w:rsid w:val="004B5A71"/>
    <w:rsid w:val="004C1D1E"/>
    <w:rsid w:val="004D3166"/>
    <w:rsid w:val="004E4E01"/>
    <w:rsid w:val="004F721A"/>
    <w:rsid w:val="00504E89"/>
    <w:rsid w:val="0050678E"/>
    <w:rsid w:val="0051630E"/>
    <w:rsid w:val="0053525E"/>
    <w:rsid w:val="005545A4"/>
    <w:rsid w:val="005B293E"/>
    <w:rsid w:val="005B30A6"/>
    <w:rsid w:val="005D1EC1"/>
    <w:rsid w:val="00660A2F"/>
    <w:rsid w:val="00682C90"/>
    <w:rsid w:val="00683345"/>
    <w:rsid w:val="00687F59"/>
    <w:rsid w:val="006B0FF8"/>
    <w:rsid w:val="006D36AA"/>
    <w:rsid w:val="006E11FA"/>
    <w:rsid w:val="00710BEB"/>
    <w:rsid w:val="007470D2"/>
    <w:rsid w:val="00751B87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902A7E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A036BE"/>
    <w:rsid w:val="00A56D30"/>
    <w:rsid w:val="00A578DE"/>
    <w:rsid w:val="00A70A5F"/>
    <w:rsid w:val="00A808B0"/>
    <w:rsid w:val="00A873E3"/>
    <w:rsid w:val="00A90D37"/>
    <w:rsid w:val="00AA10A4"/>
    <w:rsid w:val="00AB3BC2"/>
    <w:rsid w:val="00AB4F06"/>
    <w:rsid w:val="00AD6C8F"/>
    <w:rsid w:val="00AE7CD7"/>
    <w:rsid w:val="00AF59B1"/>
    <w:rsid w:val="00B14063"/>
    <w:rsid w:val="00BC1CCA"/>
    <w:rsid w:val="00BD5919"/>
    <w:rsid w:val="00C11F03"/>
    <w:rsid w:val="00C221E0"/>
    <w:rsid w:val="00C22AFC"/>
    <w:rsid w:val="00C37E7A"/>
    <w:rsid w:val="00C562F1"/>
    <w:rsid w:val="00C6297D"/>
    <w:rsid w:val="00CA076F"/>
    <w:rsid w:val="00CA5ECC"/>
    <w:rsid w:val="00CB434E"/>
    <w:rsid w:val="00CC7A9A"/>
    <w:rsid w:val="00CD4769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120F"/>
    <w:rsid w:val="00E043B3"/>
    <w:rsid w:val="00E27BC7"/>
    <w:rsid w:val="00E625D9"/>
    <w:rsid w:val="00E97DAC"/>
    <w:rsid w:val="00EA5A05"/>
    <w:rsid w:val="00ED5ECF"/>
    <w:rsid w:val="00EE3441"/>
    <w:rsid w:val="00EE6299"/>
    <w:rsid w:val="00EE7904"/>
    <w:rsid w:val="00F05D39"/>
    <w:rsid w:val="00F10929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wel.mazurkiewicz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1D"/>
    <w:rsid w:val="00AE2D1D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30D560661504802B4213F98BBA8A823">
    <w:name w:val="C30D560661504802B4213F98BBA8A823"/>
    <w:rsid w:val="00AE2D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30D560661504802B4213F98BBA8A823">
    <w:name w:val="C30D560661504802B4213F98BBA8A823"/>
    <w:rsid w:val="00AE2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12</cp:revision>
  <cp:lastPrinted>2022-12-08T13:46:00Z</cp:lastPrinted>
  <dcterms:created xsi:type="dcterms:W3CDTF">2022-05-24T10:35:00Z</dcterms:created>
  <dcterms:modified xsi:type="dcterms:W3CDTF">2022-12-08T13:47:00Z</dcterms:modified>
</cp:coreProperties>
</file>