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292100</wp:posOffset>
            </wp:positionH>
            <wp:positionV relativeFrom="margin">
              <wp:posOffset>0</wp:posOffset>
            </wp:positionV>
            <wp:extent cx="3145790" cy="98742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987425"/>
                    </a:xfrm>
                    <a:prstGeom prst="rect"/>
                  </pic:spPr>
                </pic:pic>
              </a:graphicData>
            </a:graphic>
          </wp:anchor>
        </w:drawing>
      </w: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footnotePr>
            <w:pos w:val="pageBottom"/>
            <w:numFmt w:val="decimal"/>
            <w:numRestart w:val="continuous"/>
          </w:footnotePr>
          <w:pgSz w:w="11900" w:h="16840"/>
          <w:pgMar w:top="438" w:right="1840" w:bottom="675" w:left="460" w:header="10" w:footer="247" w:gutter="0"/>
          <w:pgNumType w:start="1"/>
          <w:cols w:space="720"/>
          <w:noEndnote/>
          <w:rtlGutter w:val="0"/>
          <w:docGrid w:linePitch="360"/>
        </w:sectPr>
      </w:pP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2098" w:right="0" w:bottom="674" w:left="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rStyle w:val="CharStyle3"/>
        </w:rPr>
        <w:t>DOZE-III.053.4.2025.ŁZ</w:t>
      </w:r>
    </w:p>
    <w:p>
      <w:pPr>
        <w:pStyle w:val="Style2"/>
        <w:keepNext w:val="0"/>
        <w:keepLines w:val="0"/>
        <w:widowControl w:val="0"/>
        <w:shd w:val="clear" w:color="auto" w:fill="auto"/>
        <w:bidi w:val="0"/>
        <w:spacing w:before="0" w:after="0" w:line="240" w:lineRule="auto"/>
        <w:ind w:left="0" w:right="0" w:firstLine="0"/>
        <w:jc w:val="left"/>
        <w:rPr>
          <w:sz w:val="18"/>
          <w:szCs w:val="18"/>
        </w:rPr>
      </w:pPr>
      <w:r>
        <w:rPr>
          <w:rStyle w:val="CharStyle3"/>
          <w:sz w:val="18"/>
          <w:szCs w:val="18"/>
        </w:rPr>
        <w:t>3893957.15943328.13045848</w:t>
      </w:r>
    </w:p>
    <w:p>
      <w:pPr>
        <w:pStyle w:val="Style2"/>
        <w:keepNext w:val="0"/>
        <w:keepLines w:val="0"/>
        <w:widowControl w:val="0"/>
        <w:shd w:val="clear" w:color="auto" w:fill="auto"/>
        <w:bidi w:val="0"/>
        <w:spacing w:before="0" w:after="700" w:line="240" w:lineRule="auto"/>
        <w:ind w:left="0" w:right="0" w:firstLine="0"/>
        <w:jc w:val="left"/>
      </w:pPr>
      <w:r>
        <w:rPr>
          <w:rStyle w:val="CharStyle3"/>
        </w:rPr>
        <w:t>Warszawa, 15-10-2025</w:t>
      </w:r>
    </w:p>
    <w:p>
      <w:pPr>
        <w:pStyle w:val="Style2"/>
        <w:keepNext w:val="0"/>
        <w:keepLines w:val="0"/>
        <w:widowControl w:val="0"/>
        <w:shd w:val="clear" w:color="auto" w:fill="auto"/>
        <w:bidi w:val="0"/>
        <w:spacing w:before="0" w:after="1140" w:line="240" w:lineRule="auto"/>
        <w:ind w:left="0" w:right="0" w:firstLine="0"/>
        <w:jc w:val="both"/>
      </w:pPr>
      <w:r>
        <w:rPr>
          <w:rStyle w:val="CharStyle3"/>
          <w:b/>
          <w:bCs/>
        </w:rPr>
        <w:t>Pan</w:t>
      </w:r>
    </w:p>
    <w:p>
      <w:pPr>
        <w:pStyle w:val="Style2"/>
        <w:keepNext w:val="0"/>
        <w:keepLines w:val="0"/>
        <w:widowControl w:val="0"/>
        <w:shd w:val="clear" w:color="auto" w:fill="auto"/>
        <w:bidi w:val="0"/>
        <w:spacing w:before="0" w:line="252" w:lineRule="auto"/>
        <w:ind w:left="0" w:right="0" w:firstLine="0"/>
        <w:jc w:val="both"/>
        <w:rPr>
          <w:sz w:val="20"/>
          <w:szCs w:val="20"/>
        </w:rPr>
      </w:pPr>
      <w:r>
        <w:rPr>
          <w:rStyle w:val="CharStyle3"/>
          <w:i/>
          <w:iCs/>
          <w:sz w:val="20"/>
          <w:szCs w:val="20"/>
        </w:rPr>
        <w:t>Szanowny Panie Prezesie,</w:t>
      </w:r>
    </w:p>
    <w:p>
      <w:pPr>
        <w:pStyle w:val="Style2"/>
        <w:keepNext w:val="0"/>
        <w:keepLines w:val="0"/>
        <w:widowControl w:val="0"/>
        <w:shd w:val="clear" w:color="auto" w:fill="auto"/>
        <w:bidi w:val="0"/>
        <w:spacing w:before="0"/>
        <w:ind w:left="0" w:right="0" w:firstLine="0"/>
        <w:jc w:val="both"/>
      </w:pPr>
      <w:r>
        <w:rPr>
          <w:rStyle w:val="CharStyle3"/>
        </w:rPr>
        <w:t>w odpowiedzi na pismo będące stanowiskiem Walnego Zgromadzenia Lubelskiej Izby Rolniczej w sprawie wypłaty odszkodowań z tytułu negatywnego oddziaływania farm wiatrowych na nieruchomości sąsiednie proszę o przyjęcie następujących informacji.</w:t>
      </w:r>
    </w:p>
    <w:p>
      <w:pPr>
        <w:pStyle w:val="Style2"/>
        <w:keepNext w:val="0"/>
        <w:keepLines w:val="0"/>
        <w:widowControl w:val="0"/>
        <w:shd w:val="clear" w:color="auto" w:fill="auto"/>
        <w:bidi w:val="0"/>
        <w:spacing w:before="0"/>
        <w:ind w:left="0" w:right="0" w:firstLine="0"/>
        <w:jc w:val="both"/>
      </w:pPr>
      <w:r>
        <w:rPr>
          <w:rStyle w:val="CharStyle3"/>
        </w:rPr>
        <w:t xml:space="preserve">Na wstępie pragnę podkreślić, że najbardziej skutecznym instrumentem służącym realizacji celu, jakim jest realizacja inwestycji polegającej na posadowieniu elektrowni wiatrowej w zgodzie ze zdaniem lokalnych społeczności jest uchwalenie przez gminę miejscowego planu zagospodarowania przestrzennego (dalej: „MPZP”, „plan miejscowy”) lub zmiana obowiązującego planu. Gmina uchwalając MPZP korzysta ze swojego ustawowego </w:t>
      </w:r>
      <w:r>
        <w:rPr>
          <w:rStyle w:val="CharStyle3"/>
          <w:u w:val="single"/>
        </w:rPr>
        <w:t>władztwa planistycznego</w:t>
      </w:r>
      <w:r>
        <w:rPr>
          <w:rStyle w:val="CharStyle3"/>
        </w:rPr>
        <w:t>, o którym mowa m.in. w art. 3 ust. 1 ustawy z dnia 27 marca 2003 r. o planowaniu i zagospodarowaniu przestrzennym (Dz.U. z 2024 r. poz. 1130)</w:t>
      </w:r>
    </w:p>
    <w:p>
      <w:pPr>
        <w:pStyle w:val="Style2"/>
        <w:keepNext w:val="0"/>
        <w:keepLines w:val="0"/>
        <w:widowControl w:val="0"/>
        <w:shd w:val="clear" w:color="auto" w:fill="auto"/>
        <w:bidi w:val="0"/>
        <w:spacing w:before="0"/>
        <w:ind w:left="0" w:right="0" w:firstLine="0"/>
        <w:jc w:val="both"/>
      </w:pPr>
      <w:r>
        <w:rPr>
          <w:rStyle w:val="CharStyle3"/>
        </w:rPr>
        <w:t>Ustawa z dnia 20 maja 2016 r. o inwestycjach w zakresie elektrowni wiatrowych (Dz. U. z 2024 r. poz. 317), dalej: „ustawa o inwestycjach” zawiera mechanizmy, które prowadzą do konsensusu, jakim jest z jednej strony upodmiotowienie społeczności lokalnych, a z drugiej strony rozwój energetyki wiatrowej na lądzie.</w:t>
      </w:r>
    </w:p>
    <w:p>
      <w:pPr>
        <w:pStyle w:val="Style2"/>
        <w:keepNext w:val="0"/>
        <w:keepLines w:val="0"/>
        <w:widowControl w:val="0"/>
        <w:shd w:val="clear" w:color="auto" w:fill="auto"/>
        <w:bidi w:val="0"/>
        <w:spacing w:before="0"/>
        <w:ind w:left="0" w:right="0" w:firstLine="0"/>
        <w:jc w:val="both"/>
      </w:pPr>
      <w:r>
        <w:rPr>
          <w:rStyle w:val="CharStyle3"/>
        </w:rPr>
        <w:t>Warto tutaj zaznaczyć, że bufory odległości od zabudowy mieszkaniowej ustalone w ustawie o inwestycjach stanowią bezwzględną wartość minimalną. Nie ma prawnych ograniczeń co do zastosowania w konkretnych przypadkach większych buforów odległości.</w:t>
      </w:r>
    </w:p>
    <w:p>
      <w:pPr>
        <w:pStyle w:val="Style2"/>
        <w:keepNext w:val="0"/>
        <w:keepLines w:val="0"/>
        <w:widowControl w:val="0"/>
        <w:shd w:val="clear" w:color="auto" w:fill="auto"/>
        <w:bidi w:val="0"/>
        <w:spacing w:before="0"/>
        <w:ind w:left="0" w:right="0" w:firstLine="0"/>
        <w:jc w:val="both"/>
      </w:pPr>
      <w:r>
        <w:rPr>
          <w:rStyle w:val="CharStyle3"/>
        </w:rPr>
        <w:t>O wielkości buforów odległości w każdym przypadku decyduje organ gminy sporządzający plan miejscowy po zapoznaniu się z treścią Strategicznej Oceny Oddziaływania na Środowisko (przeprowadzenie jej jest obligatoryjne) oraz zapoznaniu się z oczekiwaniami społecznymi co do planowanej inwestycji wiatrakowej.</w:t>
      </w:r>
    </w:p>
    <w:p>
      <w:pPr>
        <w:pStyle w:val="Style2"/>
        <w:keepNext w:val="0"/>
        <w:keepLines w:val="0"/>
        <w:widowControl w:val="0"/>
        <w:shd w:val="clear" w:color="auto" w:fill="auto"/>
        <w:bidi w:val="0"/>
        <w:spacing w:before="0"/>
        <w:ind w:left="0" w:right="0" w:firstLine="0"/>
        <w:jc w:val="both"/>
      </w:pPr>
      <w:r>
        <w:rPr>
          <w:rStyle w:val="CharStyle3"/>
        </w:rPr>
        <w:t xml:space="preserve">Drugi wspomniany aspekt jest niezwykle ważny, gdyż ustawa o inwestycjach zakłada zasadę obowiązkowych spotkań z lokalnymi społecznościami. Przedmiotowe spotkania odbywają się na początku etapu planistycznego, dzięki czemu społeczności lokalne mogą wypowiedzieć się na długo przed rozpoczęciem inwestycji wiatrakowej. </w:t>
      </w:r>
      <w:r>
        <w:rPr>
          <w:rStyle w:val="CharStyle3"/>
          <w:u w:val="single"/>
        </w:rPr>
        <w:t>W wielu gminach, wskutek przeprowadzonych spotkań, zdecydowano się na odsunięcie planowanych elektrowni wiatrowych od zabudowy mieszkaniowej na odległość większą niż pierwotnie zakładano, a nawet zdecydowano o zaprzestaniu sporządzania miejscowego planu zagospodarowania przestrzennego lokalizującego elektrownie wiatrowe.</w:t>
      </w:r>
    </w:p>
    <w:p>
      <w:pPr>
        <w:pStyle w:val="Style2"/>
        <w:keepNext w:val="0"/>
        <w:keepLines w:val="0"/>
        <w:widowControl w:val="0"/>
        <w:shd w:val="clear" w:color="auto" w:fill="auto"/>
        <w:bidi w:val="0"/>
        <w:spacing w:before="0" w:after="420"/>
        <w:ind w:left="0" w:right="0" w:firstLine="0"/>
        <w:jc w:val="both"/>
      </w:pPr>
      <w:r>
        <w:rPr>
          <w:rStyle w:val="CharStyle3"/>
        </w:rPr>
        <w:t>Podsumowując, przepisy dotyczące lokalizowania elektrowni wiatrowych już na etapie planistycznym (a więc na początku procesu inwestycyjnego) dają zupełną dowolność w kształtowaniu odległości elektrowni wiatrowych od zabudowań mieszkaniowych, o ile jest to odległość większa niż zakłada to minimalna ustawowa zasada odległościowa. Tym samym</w:t>
      </w:r>
    </w:p>
    <w:p>
      <w:pPr>
        <w:pStyle w:val="Style8"/>
        <w:keepNext w:val="0"/>
        <w:keepLines w:val="0"/>
        <w:widowControl w:val="0"/>
        <w:shd w:val="clear" w:color="auto" w:fill="auto"/>
        <w:bidi w:val="0"/>
        <w:spacing w:before="0" w:after="0" w:line="240" w:lineRule="auto"/>
        <w:ind w:left="0" w:right="0" w:firstLine="0"/>
        <w:jc w:val="both"/>
      </w:pPr>
      <w:r>
        <w:rPr>
          <w:rStyle w:val="CharStyle9"/>
        </w:rPr>
        <w:t xml:space="preserve">Telefon: (+48) 22 369 29 00 ul. Wawelska 52/54, 00-922 Warszawa </w:t>
      </w:r>
      <w:r>
        <w:fldChar w:fldCharType="begin"/>
      </w:r>
      <w:r>
        <w:rPr/>
        <w:instrText> HYPERLINK "mailto:info@klimat.gov.pl" </w:instrText>
      </w:r>
      <w:r>
        <w:fldChar w:fldCharType="separate"/>
      </w:r>
      <w:r>
        <w:rPr>
          <w:rStyle w:val="CharStyle9"/>
        </w:rPr>
        <w:t>info@klimat.gov.pl</w:t>
      </w:r>
      <w:r>
        <w:fldChar w:fldCharType="end"/>
      </w:r>
      <w:r>
        <w:rPr>
          <w:rStyle w:val="CharStyle9"/>
        </w:rPr>
        <w:t xml:space="preserve"> Ministerstwo Klimatu i Środowiska </w:t>
      </w:r>
      <w:r>
        <w:fldChar w:fldCharType="begin"/>
      </w:r>
      <w:r>
        <w:rPr/>
        <w:instrText> HYPERLINK "http://www.gov.pl/klimat" </w:instrText>
      </w:r>
      <w:r>
        <w:fldChar w:fldCharType="separate"/>
      </w:r>
      <w:r>
        <w:rPr>
          <w:rStyle w:val="CharStyle9"/>
        </w:rPr>
        <w:t>www.gov.pl/klimat</w:t>
      </w:r>
      <w:r>
        <w:fldChar w:fldCharType="end"/>
      </w:r>
    </w:p>
    <w:p>
      <w:pPr>
        <w:pStyle w:val="Style10"/>
        <w:keepNext w:val="0"/>
        <w:keepLines w:val="0"/>
        <w:widowControl w:val="0"/>
        <w:shd w:val="clear" w:color="auto" w:fill="auto"/>
        <w:bidi w:val="0"/>
        <w:spacing w:before="0" w:line="240" w:lineRule="auto"/>
        <w:ind w:left="0" w:right="0" w:firstLine="0"/>
        <w:jc w:val="center"/>
      </w:pPr>
      <w:r>
        <w:rPr>
          <w:rStyle w:val="CharStyle11"/>
        </w:rPr>
        <w:t>Działamy zgodnie z EMAS - zarządzając instytucją, dbamy o środowisko</w:t>
      </w:r>
    </w:p>
    <w:p>
      <w:pPr>
        <w:pStyle w:val="Style2"/>
        <w:keepNext w:val="0"/>
        <w:keepLines w:val="0"/>
        <w:widowControl w:val="0"/>
        <w:shd w:val="clear" w:color="auto" w:fill="auto"/>
        <w:bidi w:val="0"/>
        <w:spacing w:before="0"/>
        <w:ind w:left="0" w:right="0" w:firstLine="0"/>
        <w:jc w:val="both"/>
      </w:pPr>
      <w:r>
        <w:rPr>
          <w:rStyle w:val="CharStyle3"/>
        </w:rPr>
        <w:t>społeczność lokalna, poprzez władze gminy może zdecydować o sprzeciwie i nielokalizowaniu elektrowni wiatrowych na obszarze tych gmin.</w:t>
      </w:r>
    </w:p>
    <w:p>
      <w:pPr>
        <w:pStyle w:val="Style2"/>
        <w:keepNext w:val="0"/>
        <w:keepLines w:val="0"/>
        <w:widowControl w:val="0"/>
        <w:shd w:val="clear" w:color="auto" w:fill="auto"/>
        <w:bidi w:val="0"/>
        <w:spacing w:before="0"/>
        <w:ind w:left="0" w:right="0" w:firstLine="0"/>
        <w:jc w:val="both"/>
      </w:pPr>
      <w:r>
        <w:rPr>
          <w:rStyle w:val="CharStyle3"/>
        </w:rPr>
        <w:t>Co zaś się tyczy analizy oddziaływania planowanej inwestycji wiatrakowej. Należy zauważyć, że wpływ elektrowni wiatrowej na środowisko najpierw jest weryfikowany przy tworzeniu MPZP. Zgodnie z art. 51 ust. 2 pkt 2 lit. e ustawy z dnia 3 października 2008 r. o udostępnianiu informacji o środowisku i jego ochronie, udziale społeczeństwa w ochronie środowiska oraz o ocenach oddziaływania na środowisko (Dz.U. z 2024 r. poz. 1112), dalej: „ustawa OOŚ” organ opracowujący projekt Strategicznej Oceny Oddziaływania na Środowisko sporządza prognozę oddziaływania na środowisko, która m.in. określa, analizuje i ocenia przewidywane znaczące oddziaływania, w tym oddziaływania bezpośrednie, pośrednie, wtórne, skumulowane, krótkoterminowe, średnioterminowe i długoterminowe, stałe i chwilowe oraz pozytywne i negatywne na:</w:t>
      </w:r>
    </w:p>
    <w:p>
      <w:pPr>
        <w:pStyle w:val="Style2"/>
        <w:keepNext w:val="0"/>
        <w:keepLines w:val="0"/>
        <w:widowControl w:val="0"/>
        <w:shd w:val="clear" w:color="auto" w:fill="auto"/>
        <w:bidi w:val="0"/>
        <w:spacing w:before="0" w:after="0"/>
        <w:ind w:left="1080" w:right="0" w:firstLine="0"/>
        <w:jc w:val="both"/>
      </w:pPr>
      <w:r>
        <w:rPr>
          <w:rStyle w:val="CharStyle3"/>
        </w:rPr>
        <w:t>różnorodność biologiczną, ludzi, zwierzęta, rośliny, wodę, powietrze, krajobraz, klimat,</w:t>
      </w:r>
    </w:p>
    <w:p>
      <w:pPr>
        <w:pStyle w:val="Style2"/>
        <w:keepNext w:val="0"/>
        <w:keepLines w:val="0"/>
        <w:widowControl w:val="0"/>
        <w:shd w:val="clear" w:color="auto" w:fill="auto"/>
        <w:bidi w:val="0"/>
        <w:spacing w:before="0" w:after="0"/>
        <w:ind w:left="1080" w:right="0" w:firstLine="0"/>
        <w:jc w:val="both"/>
      </w:pPr>
      <w:r>
        <w:rPr>
          <w:rStyle w:val="CharStyle3"/>
        </w:rPr>
        <w:t>zasoby naturalne, zabytki,</w:t>
      </w:r>
    </w:p>
    <w:p>
      <w:pPr>
        <w:pStyle w:val="Style2"/>
        <w:keepNext w:val="0"/>
        <w:keepLines w:val="0"/>
        <w:widowControl w:val="0"/>
        <w:shd w:val="clear" w:color="auto" w:fill="auto"/>
        <w:bidi w:val="0"/>
        <w:spacing w:before="0" w:after="80"/>
        <w:ind w:left="1080" w:right="0" w:firstLine="0"/>
        <w:jc w:val="both"/>
      </w:pPr>
      <w:r>
        <w:rPr>
          <w:rStyle w:val="CharStyle3"/>
        </w:rPr>
        <w:t>dobra materialne.</w:t>
      </w:r>
    </w:p>
    <w:p>
      <w:pPr>
        <w:pStyle w:val="Style2"/>
        <w:keepNext w:val="0"/>
        <w:keepLines w:val="0"/>
        <w:widowControl w:val="0"/>
        <w:shd w:val="clear" w:color="auto" w:fill="auto"/>
        <w:bidi w:val="0"/>
        <w:spacing w:before="0"/>
        <w:ind w:left="0" w:right="0" w:firstLine="0"/>
        <w:jc w:val="both"/>
      </w:pPr>
      <w:r>
        <w:rPr>
          <w:rStyle w:val="CharStyle3"/>
        </w:rPr>
        <w:t>Zgodnie z art. 51 ust. 2 pkt 3 lit. a ustawy OOŚ celem prognozy oddziaływania na środowisko jest przedstawienie rozwiązań mających na celu zapobieganie, ograniczanie lub kompensację przyrodniczą negatywnych oddziaływań na środowisko, mogących być rezultatem realizacji projektowanego dokumentu.</w:t>
      </w:r>
    </w:p>
    <w:p>
      <w:pPr>
        <w:pStyle w:val="Style2"/>
        <w:keepNext w:val="0"/>
        <w:keepLines w:val="0"/>
        <w:widowControl w:val="0"/>
        <w:shd w:val="clear" w:color="auto" w:fill="auto"/>
        <w:bidi w:val="0"/>
        <w:spacing w:before="0"/>
        <w:ind w:left="0" w:right="0" w:firstLine="0"/>
        <w:jc w:val="both"/>
      </w:pPr>
      <w:r>
        <w:rPr>
          <w:rStyle w:val="CharStyle3"/>
        </w:rPr>
        <w:t>Na dalszym etapie procesu inwestycyjnego dedykowanego elektrowniom wiatrowym pojawia się potrzeba uzyskania decyzji o środowiskowych uwarunkowaniach. Elektrownie wiatrowe, zgodnie z rozporządzeniem Rady Ministrów z dnia 10 września 2019 r. w sprawie przedsięwzięć mogących znacząco oddziaływać na środowisko (Dz. U. poz. 1839 z późn. zm.), dalej: „r.o.o.ś.”, mogą należeć do przedsięwzięć mogących zawsze znacząco lub potencjalnie znacząco oddziaływać na środowisko, a tym samym, zgodnie z art. 71 ust. 2 ustawy OOŚ wymagać uzyskania decyzji o środowiskowych uwarunkowaniach. Decyzja ta określa środowiskowe uwarunkowania realizacji przedsięwzięcia. Uzyskuje się ją na wczesnym etapie procesu inwestycyjnego, a jej treść ma również wpływ na treść dalszych decyzji uzyskiwanych w ramach procesu inwestycyjnego, w tym decyzji o pozwoleniu na budowę. Organem właściwym do wydania decyzji o środowiskowych uwarunkowaniach dla elektrowni wiatrowych jest regionalny dyrektor ochrony środowiska.</w:t>
      </w:r>
    </w:p>
    <w:p>
      <w:pPr>
        <w:pStyle w:val="Style2"/>
        <w:keepNext w:val="0"/>
        <w:keepLines w:val="0"/>
        <w:widowControl w:val="0"/>
        <w:shd w:val="clear" w:color="auto" w:fill="auto"/>
        <w:bidi w:val="0"/>
        <w:spacing w:before="0"/>
        <w:ind w:left="0" w:right="0" w:firstLine="0"/>
        <w:jc w:val="both"/>
      </w:pPr>
      <w:r>
        <w:rPr>
          <w:rStyle w:val="CharStyle3"/>
        </w:rPr>
        <w:t>Na etapie wydawania decyzji o środowiskowych uwarunkowaniach inwestycja wiatrakowa może zostać objęta procedurą oceny oddziaływania przedsięwzięcia na środowisko. Ocena oddziaływania przedsięwzięcia na środowisko jest to postępowanie obejmujące w szczególności: weryfikację raportu o oddziaływaniu przedsięwzięcia na środowisko, uzyskanie wymaganych ustawą opinii i uzgodnień, zapewnienie możliwości udziału społeczeństwa w postępowaniu. Jest to kluczowe narzędzie unijnej i międzynarodowej polityki ochrony środowiska oraz ochrony wartości przyrodniczych zagrożonych w wyniku realizacji inwestycji.</w:t>
      </w:r>
    </w:p>
    <w:p>
      <w:pPr>
        <w:pStyle w:val="Style2"/>
        <w:keepNext w:val="0"/>
        <w:keepLines w:val="0"/>
        <w:widowControl w:val="0"/>
        <w:shd w:val="clear" w:color="auto" w:fill="auto"/>
        <w:bidi w:val="0"/>
        <w:spacing w:before="0"/>
        <w:ind w:left="0" w:right="0" w:firstLine="0"/>
        <w:jc w:val="both"/>
      </w:pPr>
      <w:r>
        <w:rPr>
          <w:rStyle w:val="CharStyle3"/>
        </w:rPr>
        <w:t>W trakcie przeprowadzania oceny oddziaływania przedsięwzięcia na środowisko regionalny dyrektor ochrony środowiska określa, analizuje oraz ocenia m.in.: bezpośredni i pośredni</w:t>
      </w:r>
    </w:p>
    <w:p>
      <w:pPr>
        <w:pStyle w:val="Style2"/>
        <w:keepNext w:val="0"/>
        <w:keepLines w:val="0"/>
        <w:widowControl w:val="0"/>
        <w:shd w:val="clear" w:color="auto" w:fill="auto"/>
        <w:bidi w:val="0"/>
        <w:spacing w:before="0"/>
        <w:ind w:left="0" w:right="0" w:firstLine="0"/>
        <w:jc w:val="both"/>
      </w:pPr>
      <w:r>
        <w:rPr>
          <w:rStyle w:val="CharStyle3"/>
        </w:rPr>
        <w:t>wpływ planowanego inwestycji na środowisko, w tym zdrowie i warunki życia ludzi, dobra materialne i zabytki, krajobraz, a także możliwości oraz sposoby zapobiegania i zmniejszania tego negatywnego oddziaływania.</w:t>
      </w:r>
    </w:p>
    <w:p>
      <w:pPr>
        <w:pStyle w:val="Style2"/>
        <w:keepNext w:val="0"/>
        <w:keepLines w:val="0"/>
        <w:widowControl w:val="0"/>
        <w:shd w:val="clear" w:color="auto" w:fill="auto"/>
        <w:bidi w:val="0"/>
        <w:spacing w:before="0"/>
        <w:ind w:left="0" w:right="0" w:firstLine="0"/>
        <w:jc w:val="both"/>
      </w:pPr>
      <w:r>
        <w:rPr>
          <w:rStyle w:val="CharStyle3"/>
        </w:rPr>
        <w:t>W decyzji o środowiskowych uwarunkowaniach, wydawanej po przeprowadzeniu oceny oddziaływania przedsięwzięcia na środowisko, regionalny dyrektor ochrony środowiska określa m.in.: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wymagania dotyczące ochrony środowiska konieczne do uwzględnienia w dokumentacji wymaganej do wydania kolejnych decyzji (np. decyzji o pozwoleniu na budowę), a także, w przypadku gdy z oceny oddziaływania przedsięwzięcia na środowisko wynika taka potrzeba, nakłada obowiązek wykonania kompensacji przyrodniczej lub innych działań mających na celu unikanie, zapobieganie i ograniczanie oddziaływania przedsięwzięcia na środowisko oraz monitorowania oddziaływania przedsięwzięcia na środowisko.</w:t>
      </w:r>
    </w:p>
    <w:p>
      <w:pPr>
        <w:pStyle w:val="Style2"/>
        <w:keepNext w:val="0"/>
        <w:keepLines w:val="0"/>
        <w:widowControl w:val="0"/>
        <w:shd w:val="clear" w:color="auto" w:fill="auto"/>
        <w:bidi w:val="0"/>
        <w:spacing w:before="0"/>
        <w:ind w:left="0" w:right="0" w:firstLine="0"/>
        <w:jc w:val="both"/>
      </w:pPr>
      <w:r>
        <w:rPr>
          <w:rStyle w:val="CharStyle3"/>
        </w:rPr>
        <w:t>Kolejnym z obowiązków o charakterze fakultatywnym, który może zostać nałożony w decyzji o środowiskowych uwarunkowaniach, jest obowiązek przedstawienia analizy porealizacyjnej. W analizie porealizacyjnej dokonuje się porównania ustaleń zawartych w raporcie o oddziaływaniu przedsięwzięcia na środowisko i w decyzji o środowiskowych uwarunkowaniach, a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Analiza porealizacyjna ma zatem na celu ustalenie rzeczywistych uciążliwości dla nieruchomości sąsiednich.</w:t>
      </w:r>
    </w:p>
    <w:p>
      <w:pPr>
        <w:pStyle w:val="Style2"/>
        <w:keepNext w:val="0"/>
        <w:keepLines w:val="0"/>
        <w:widowControl w:val="0"/>
        <w:shd w:val="clear" w:color="auto" w:fill="auto"/>
        <w:bidi w:val="0"/>
        <w:spacing w:before="0"/>
        <w:ind w:left="0" w:right="0" w:firstLine="0"/>
        <w:jc w:val="both"/>
      </w:pPr>
      <w:r>
        <w:rPr>
          <w:rStyle w:val="CharStyle3"/>
        </w:rPr>
        <w:t>Podsumowując, potencjalne zagrożenia dla środowiska związane z budową elektrowni wiatrowych są ocenianie indywidualnie, w trakcie trwania postępowania administracyjnego koniecznego dla uzyskania przez inwestora decyzji o środowiskowych uwarunkowaniach. W trakcie postępowania przeprowadzana jest szczegółowa analiza dotycząca ich wpływu na środowisko, a także są nakładane na inwestora obowiązki w zakresie minimalizowania oddziaływania przedsięwzięcia na środowisko. Zdaniem resortu nie ma uzasadnienia dla wprowadzenia mechanizmów odszkodowawczych mających na celu rekompensowanie społecznościom lokalnym ewentualnych negatywnych skutków działania elektrowni wiatrowych. Celem obowiązujących przepisów jest takie uregulowanie procesu inwestycyjnego (zwłaszcza na etapie uzyskiwania decyzji o środowiskowych uwarunkowaniach) aby poprzez nałożenie odpowiednich wymagań na inwestora zminimalizować ryzyko wystąpienia takich oddziaływań. Resort podkreśla, że obecne regulacje prawne realizują ten cel.</w:t>
      </w:r>
    </w:p>
    <w:p>
      <w:pPr>
        <w:pStyle w:val="Style2"/>
        <w:keepNext w:val="0"/>
        <w:keepLines w:val="0"/>
        <w:widowControl w:val="0"/>
        <w:shd w:val="clear" w:color="auto" w:fill="auto"/>
        <w:bidi w:val="0"/>
        <w:spacing w:before="0"/>
        <w:ind w:left="0" w:right="0" w:firstLine="0"/>
        <w:jc w:val="both"/>
      </w:pPr>
      <w:r>
        <w:rPr>
          <w:rStyle w:val="CharStyle3"/>
        </w:rPr>
        <w:t>Jeśli zaś pojawiają się wątpliwości w kontekście powyższych oddziaływań biorąc pod uwagę konkretne inwestycje, warto także podkreślić możliwość brania udziału w postępowaniach administracyjnych na prawach strony. Na etapie wydania decyzji o środowiskowych uwarunkowaniach podmiot, któremu przysługuje prawo rzeczowe do nieruchomości znajdującej się w obszarze, na który będzie oddziaływać przedsięwzięcie w wariancie zaproponowanym przez wnioskodawcę może wstąpić do postępowania na prawach strony postępowania.</w:t>
      </w:r>
    </w:p>
    <w:p>
      <w:pPr>
        <w:pStyle w:val="Style2"/>
        <w:keepNext w:val="0"/>
        <w:keepLines w:val="0"/>
        <w:widowControl w:val="0"/>
        <w:shd w:val="clear" w:color="auto" w:fill="auto"/>
        <w:bidi w:val="0"/>
        <w:spacing w:before="0"/>
        <w:ind w:left="0" w:right="0" w:firstLine="0"/>
        <w:jc w:val="both"/>
      </w:pPr>
      <w:r>
        <w:rPr>
          <w:rStyle w:val="CharStyle3"/>
        </w:rPr>
        <w:t>Kolejny etap procesu inwestycyjnego to uzyskanie pozwolenia na budowę, kiedy obywatel również może wstąpić do postępowania na prawach strony. Stronami w postępowaniu w sprawie pozwolenia na budowę są: inwestor oraz właściciele, użytkownicy wieczyści lub zarządcy nieruchomości znajdujących się w obszarze oddziaływania obiektu.</w:t>
      </w:r>
    </w:p>
    <w:p>
      <w:pPr>
        <w:pStyle w:val="Style2"/>
        <w:keepNext w:val="0"/>
        <w:keepLines w:val="0"/>
        <w:widowControl w:val="0"/>
        <w:shd w:val="clear" w:color="auto" w:fill="auto"/>
        <w:bidi w:val="0"/>
        <w:spacing w:before="0" w:line="266" w:lineRule="auto"/>
        <w:ind w:left="0" w:right="0" w:firstLine="0"/>
        <w:jc w:val="both"/>
      </w:pPr>
      <w:r>
        <w:rPr>
          <w:rStyle w:val="CharStyle3"/>
        </w:rPr>
        <w:t>Warto także podkreślić, że celem umowy dzierżawy nie jest rekompensata za oddziaływanie elektrowni wiatrowej. Umowa dzierżawy to najbardziej popularny sposób zabezpieczenia tytu</w:t>
      </w:r>
      <w:r>
        <w:rPr>
          <w:rStyle w:val="CharStyle3"/>
          <w:rFonts w:ascii="Calibri" w:eastAsia="Calibri" w:hAnsi="Calibri" w:cs="Calibri"/>
          <w:sz w:val="20"/>
          <w:szCs w:val="20"/>
        </w:rPr>
        <w:t>ł</w:t>
      </w:r>
      <w:r>
        <w:rPr>
          <w:rStyle w:val="CharStyle3"/>
        </w:rPr>
        <w:t>u prawnego do gruntu, na którym ma powsta</w:t>
      </w:r>
      <w:r>
        <w:rPr>
          <w:rStyle w:val="CharStyle3"/>
          <w:rFonts w:ascii="Calibri" w:eastAsia="Calibri" w:hAnsi="Calibri" w:cs="Calibri"/>
          <w:sz w:val="20"/>
          <w:szCs w:val="20"/>
        </w:rPr>
        <w:t xml:space="preserve">ć </w:t>
      </w:r>
      <w:r>
        <w:rPr>
          <w:rStyle w:val="CharStyle3"/>
        </w:rPr>
        <w:t>elektrownia wiatrowa wraz z infrastruktur</w:t>
      </w:r>
      <w:r>
        <w:rPr>
          <w:rStyle w:val="CharStyle3"/>
          <w:rFonts w:ascii="Calibri" w:eastAsia="Calibri" w:hAnsi="Calibri" w:cs="Calibri"/>
          <w:sz w:val="20"/>
          <w:szCs w:val="20"/>
        </w:rPr>
        <w:t xml:space="preserve">ą </w:t>
      </w:r>
      <w:r>
        <w:rPr>
          <w:rStyle w:val="CharStyle3"/>
        </w:rPr>
        <w:t>towarzysz</w:t>
      </w:r>
      <w:r>
        <w:rPr>
          <w:rStyle w:val="CharStyle3"/>
          <w:rFonts w:ascii="Calibri" w:eastAsia="Calibri" w:hAnsi="Calibri" w:cs="Calibri"/>
          <w:sz w:val="20"/>
          <w:szCs w:val="20"/>
        </w:rPr>
        <w:t>ą</w:t>
      </w:r>
      <w:r>
        <w:rPr>
          <w:rStyle w:val="CharStyle3"/>
        </w:rPr>
        <w:t>c</w:t>
      </w:r>
      <w:r>
        <w:rPr>
          <w:rStyle w:val="CharStyle3"/>
          <w:rFonts w:ascii="Calibri" w:eastAsia="Calibri" w:hAnsi="Calibri" w:cs="Calibri"/>
          <w:sz w:val="20"/>
          <w:szCs w:val="20"/>
        </w:rPr>
        <w:t>ą</w:t>
      </w:r>
      <w:r>
        <w:rPr>
          <w:rStyle w:val="CharStyle3"/>
        </w:rPr>
        <w:t>. W tym kontekście nie jest jasne formułowanie argumentów o niesprawiedliwości społecznej wynikającej z faktu, że reszta mieszkańców nie dostaje czynszu dzierżawnego tak jak wydzierżawiający swoją nieruchomość. Warto także zaznaczyć, że konkretna wartość wynagrodzenia jest zawsze ustalana w drodze konkretnej umowy dzierżawy i jest elementem konsensusu między wydzierżawiającym, a dzierżawcą – tak samo jak w przypadku każdej innej inwestycji, lokalizacji przedsiębiorstwa czy innego przedsięwzięcia zlokalizowanego na gruncie sąsiednim.</w:t>
      </w:r>
    </w:p>
    <w:p>
      <w:pPr>
        <w:pStyle w:val="Style2"/>
        <w:keepNext w:val="0"/>
        <w:keepLines w:val="0"/>
        <w:widowControl w:val="0"/>
        <w:shd w:val="clear" w:color="auto" w:fill="auto"/>
        <w:bidi w:val="0"/>
        <w:spacing w:before="0"/>
        <w:ind w:left="0" w:right="0" w:firstLine="0"/>
        <w:jc w:val="both"/>
      </w:pPr>
      <w:r>
        <w:rPr>
          <w:rStyle w:val="CharStyle3"/>
        </w:rPr>
        <w:t>Dodatkowo ustawa o inwestycjach zawiera już mechanizm partycypacyjny, którego celem jest zwiększenie akceptacji społeczności lokalnych dla realizacji inwestycji w elektrownie wiatrowe. Przepisy zakładają nałożenie na inwestora planującego budowę elektrowni wiatrowej obowiązek wydzielenia co najmniej 10 proc. mocy zainstalowanej projektowanego przedsięwzięcia i umożliwienie mieszkańcom udziału w wytwarzanej energii w formule prosumenta wirtualnego (koncepcja funkcjonuje już w ustawie o odnawialnych źródłach energii). Każdy mieszkaniec będący odbiorcą końcowym w gospodarstwie domowym może na zasadzie dobrowolności przystąpić do zawarcia umowy z inwestorem. Instytucja prosumenta wirtualnego oznacza, iż posiada on możliwość wytwarzania energii elektrycznej (na własne potrzeby) z instalacji OZE przyłączonej do sieci w innym miejscu, niż jego miejsce zamieszkania.</w:t>
      </w:r>
    </w:p>
    <w:p>
      <w:pPr>
        <w:pStyle w:val="Style2"/>
        <w:keepNext w:val="0"/>
        <w:keepLines w:val="0"/>
        <w:widowControl w:val="0"/>
        <w:shd w:val="clear" w:color="auto" w:fill="auto"/>
        <w:bidi w:val="0"/>
        <w:spacing w:before="0"/>
        <w:ind w:left="0" w:right="0" w:firstLine="0"/>
        <w:jc w:val="both"/>
      </w:pPr>
      <w:r>
        <w:rPr>
          <w:rStyle w:val="CharStyle3"/>
        </w:rPr>
        <w:t>Prosument wirtualny posiada analogiczny do rozwiązań stosowanych wobec klasycznego prosumenta system rozliczeń tj. net-billing, który zakłada odrębne rozliczenie wartości (nie ilości) energii elektrycznej wprowadzonej do sieci i energii elektrycznej pobranej z tej sieci, w oparciu o wartość energii ustaloną wg ceny giełdowej – ceny z Rynku Dnia Następnego. Rozliczenia energii przeprowadza się z wykorzystaniem indywidualnych kont tzw. „kont prosumenckich”, które prowadzą sprzedawcy energii.</w:t>
      </w:r>
    </w:p>
    <w:p>
      <w:pPr>
        <w:pStyle w:val="Style2"/>
        <w:keepNext w:val="0"/>
        <w:keepLines w:val="0"/>
        <w:widowControl w:val="0"/>
        <w:shd w:val="clear" w:color="auto" w:fill="auto"/>
        <w:bidi w:val="0"/>
        <w:spacing w:before="0"/>
        <w:ind w:left="0" w:right="0" w:firstLine="0"/>
        <w:jc w:val="both"/>
      </w:pPr>
      <w:r>
        <w:rPr>
          <w:rStyle w:val="CharStyle3"/>
        </w:rPr>
        <w:t>Opcja prosumenta wirtualnego w przypadku instalacji wiatrowej jest zdecydowanie bardziej atrakcyjna finansowo w stosunku do standardowego prosumenta z własną domową instalacją. Prosument wirtualny “wiatrowy” zapłaci blisko 2,5 raza mniej za „swoją instalację” w porównaniu do tradycyjnego prosumenta z fotowoltaiką, jednocześnie generując taką samą ilość energii w roku. Ponadto, w systemie net-billing prosument wirtualny „wiatrowy” będzie częściej sprzedawał energię nocą i w okresie jesienno-zimowym, kiedy ceny energii są zazwyczaj wyższe. Ponadto będzie „korzystał z własnej energii” przez 15 lat, a inwestycja zwróci się w okresie kilku lat.</w:t>
      </w:r>
    </w:p>
    <w:p>
      <w:pPr>
        <w:pStyle w:val="Style2"/>
        <w:keepNext w:val="0"/>
        <w:keepLines w:val="0"/>
        <w:widowControl w:val="0"/>
        <w:shd w:val="clear" w:color="auto" w:fill="auto"/>
        <w:bidi w:val="0"/>
        <w:spacing w:before="0"/>
        <w:ind w:left="0" w:right="0" w:firstLine="0"/>
        <w:jc w:val="both"/>
      </w:pPr>
      <w:r>
        <w:rPr>
          <w:rStyle w:val="CharStyle3"/>
        </w:rPr>
        <w:t>Pragnę jeszcze raz podkreślić, że obowiązujące zawierają wymóg obowiązywania miejscowego planu zagospodarowania przestrzennego dla inwestycji wiatrowej co daje narzędzie samorządom i społecznościom lokalnym do współpracy i prowadzenie inwestycji w sposób, który będzie uwzględniać lokalne wrażliwości społeczne, co nie jest możliwe do realizacji z poziomu przepisów powszechnie obowiązujących. Wobec tego tym większego znaczenia nabiera otwarty dialog i otwarte przekazywanie informacji od przystąpienia do sporządzenia miejscowego planu aż do momentu uruchomienia inwestycji.</w:t>
      </w:r>
    </w:p>
    <w:p>
      <w:pPr>
        <w:pStyle w:val="Style2"/>
        <w:keepNext w:val="0"/>
        <w:keepLines w:val="0"/>
        <w:widowControl w:val="0"/>
        <w:shd w:val="clear" w:color="auto" w:fill="auto"/>
        <w:bidi w:val="0"/>
        <w:spacing w:before="0" w:after="380"/>
        <w:ind w:left="0" w:right="0" w:firstLine="0"/>
        <w:jc w:val="both"/>
      </w:pPr>
      <w:r>
        <w:rPr>
          <w:rStyle w:val="CharStyle3"/>
        </w:rPr>
        <w:t>Z wyrazami szacunku</w:t>
      </w:r>
    </w:p>
    <w:p>
      <w:pPr>
        <w:pStyle w:val="Style2"/>
        <w:keepNext w:val="0"/>
        <w:keepLines w:val="0"/>
        <w:widowControl w:val="0"/>
        <w:shd w:val="clear" w:color="auto" w:fill="auto"/>
        <w:bidi w:val="0"/>
        <w:spacing w:before="0" w:after="0" w:line="240" w:lineRule="auto"/>
        <w:ind w:left="0" w:right="0" w:firstLine="0"/>
        <w:jc w:val="both"/>
      </w:pPr>
      <w:r>
        <w:rPr>
          <w:rStyle w:val="CharStyle3"/>
        </w:rPr>
        <w:t>Zastępca Dyrektora</w:t>
      </w:r>
    </w:p>
    <w:p>
      <w:pPr>
        <w:pStyle w:val="Style2"/>
        <w:keepNext w:val="0"/>
        <w:keepLines w:val="0"/>
        <w:widowControl w:val="0"/>
        <w:shd w:val="clear" w:color="auto" w:fill="auto"/>
        <w:bidi w:val="0"/>
        <w:spacing w:before="0" w:line="240" w:lineRule="auto"/>
        <w:ind w:left="0" w:right="0" w:firstLine="0"/>
        <w:jc w:val="both"/>
      </w:pPr>
      <w:r>
        <w:rPr>
          <w:rStyle w:val="CharStyle3"/>
        </w:rPr>
        <w:t>Departament Odnawialnych Źródeł Energii</w:t>
      </w:r>
    </w:p>
    <w:p>
      <w:pPr>
        <w:pStyle w:val="Style2"/>
        <w:keepNext w:val="0"/>
        <w:keepLines w:val="0"/>
        <w:widowControl w:val="0"/>
        <w:shd w:val="clear" w:color="auto" w:fill="auto"/>
        <w:bidi w:val="0"/>
        <w:spacing w:before="0" w:after="0"/>
        <w:ind w:left="0" w:right="0" w:firstLine="0"/>
        <w:jc w:val="left"/>
      </w:pPr>
      <w:r>
        <w:rPr>
          <w:rStyle w:val="CharStyle3"/>
        </w:rPr>
        <w:t>Ministerstwo Klimatu i Środowiska / – podpisany cyfrowo/</w:t>
      </w:r>
    </w:p>
    <w:sectPr>
      <w:footnotePr>
        <w:pos w:val="pageBottom"/>
        <w:numFmt w:val="decimal"/>
        <w:numRestart w:val="continuous"/>
      </w:footnotePr>
      <w:type w:val="continuous"/>
      <w:pgSz w:w="11900" w:h="16840"/>
      <w:pgMar w:top="2098" w:right="1839" w:bottom="674" w:left="1839" w:header="1670" w:footer="246"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9">
    <w:name w:val="Body text (2)_"/>
    <w:basedOn w:val="DefaultParagraphFont"/>
    <w:link w:val="Style8"/>
    <w:rPr>
      <w:rFonts w:ascii="Arial" w:eastAsia="Arial" w:hAnsi="Arial" w:cs="Arial"/>
      <w:b w:val="0"/>
      <w:bCs w:val="0"/>
      <w:i w:val="0"/>
      <w:iCs w:val="0"/>
      <w:smallCaps w:val="0"/>
      <w:strike w:val="0"/>
      <w:sz w:val="16"/>
      <w:szCs w:val="16"/>
      <w:u w:val="none"/>
    </w:rPr>
  </w:style>
  <w:style w:type="character" w:customStyle="1" w:styleId="CharStyle11">
    <w:name w:val="Body text (3)_"/>
    <w:basedOn w:val="DefaultParagraphFont"/>
    <w:link w:val="Style10"/>
    <w:rPr>
      <w:rFonts w:ascii="Arial" w:eastAsia="Arial" w:hAnsi="Arial" w:cs="Arial"/>
      <w:b w:val="0"/>
      <w:bCs w:val="0"/>
      <w:i w:val="0"/>
      <w:iCs w:val="0"/>
      <w:smallCaps w:val="0"/>
      <w:strike w:val="0"/>
      <w:sz w:val="13"/>
      <w:szCs w:val="13"/>
      <w:u w:val="none"/>
    </w:rPr>
  </w:style>
  <w:style w:type="paragraph" w:styleId="Style2">
    <w:name w:val="Body text"/>
    <w:basedOn w:val="Normal"/>
    <w:link w:val="CharStyle3"/>
    <w:qFormat/>
    <w:pPr>
      <w:widowControl w:val="0"/>
      <w:shd w:val="clear" w:color="auto" w:fill="auto"/>
      <w:spacing w:after="160" w:line="264" w:lineRule="auto"/>
    </w:pPr>
    <w:rPr>
      <w:rFonts w:ascii="Arial" w:eastAsia="Arial" w:hAnsi="Arial" w:cs="Arial"/>
      <w:b w:val="0"/>
      <w:bCs w:val="0"/>
      <w:i w:val="0"/>
      <w:iCs w:val="0"/>
      <w:smallCaps w:val="0"/>
      <w:strike w:val="0"/>
      <w:sz w:val="19"/>
      <w:szCs w:val="19"/>
      <w:u w:val="none"/>
    </w:rPr>
  </w:style>
  <w:style w:type="paragraph" w:customStyle="1" w:styleId="Style8">
    <w:name w:val="Body text (2)"/>
    <w:basedOn w:val="Normal"/>
    <w:link w:val="CharStyle9"/>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10">
    <w:name w:val="Body text (3)"/>
    <w:basedOn w:val="Normal"/>
    <w:link w:val="CharStyle11"/>
    <w:pPr>
      <w:widowControl w:val="0"/>
      <w:shd w:val="clear" w:color="auto" w:fill="auto"/>
      <w:spacing w:after="160"/>
      <w:jc w:val="center"/>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Szablon ogólny kolor</dc:title>
  <dc:subject/>
  <dc:creator/>
  <cp:keywords>PL, KOLOR</cp:keywords>
</cp:coreProperties>
</file>