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16625" w14:textId="4C1734C7" w:rsidR="00715A60" w:rsidRDefault="009A54EC" w:rsidP="00FF5DF3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32"/>
        </w:rPr>
      </w:pPr>
      <w:r>
        <w:rPr>
          <w:rFonts w:asciiTheme="minorHAnsi" w:hAnsiTheme="minorHAnsi" w:cstheme="minorHAnsi"/>
          <w:b/>
          <w:bCs/>
          <w:sz w:val="32"/>
        </w:rPr>
        <w:t>Ewa Domagała-Zyśk</w:t>
      </w:r>
    </w:p>
    <w:p w14:paraId="315089C4" w14:textId="7FE2CE4B" w:rsidR="00FF5DF3" w:rsidRDefault="00FF5DF3" w:rsidP="00FF5DF3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32"/>
        </w:rPr>
      </w:pPr>
    </w:p>
    <w:p w14:paraId="3B11140C" w14:textId="6F696A60" w:rsidR="00FF5DF3" w:rsidRDefault="00FF5DF3" w:rsidP="00FF5DF3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32"/>
        </w:rPr>
      </w:pPr>
    </w:p>
    <w:p w14:paraId="3A22E30E" w14:textId="77777777" w:rsidR="00FF5DF3" w:rsidRDefault="00FF5DF3" w:rsidP="00FF5DF3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32"/>
        </w:rPr>
      </w:pPr>
    </w:p>
    <w:p w14:paraId="7C484412" w14:textId="012E72CE" w:rsidR="00715A60" w:rsidRDefault="009A54EC" w:rsidP="00FF5DF3">
      <w:pPr>
        <w:pStyle w:val="TYTU0"/>
        <w:spacing w:before="0" w:after="0"/>
      </w:pPr>
      <w:r>
        <w:t xml:space="preserve">Personel pomocniczy w szkołach ogólnodostępnych </w:t>
      </w:r>
      <w:r>
        <w:br/>
        <w:t xml:space="preserve">w Europie i USA </w:t>
      </w:r>
      <w:r>
        <w:br/>
        <w:t>– wyniki badań nad modelem i skutecznością wsparcia</w:t>
      </w:r>
    </w:p>
    <w:p w14:paraId="6DF6EA40" w14:textId="3B384800" w:rsidR="00FF5DF3" w:rsidRDefault="00FF5DF3" w:rsidP="00FF5DF3">
      <w:pPr>
        <w:pStyle w:val="TYTU0"/>
        <w:spacing w:before="0" w:after="0"/>
      </w:pPr>
    </w:p>
    <w:p w14:paraId="792EF566" w14:textId="7AB28BE1" w:rsidR="00FF5DF3" w:rsidRDefault="00FF5DF3" w:rsidP="00FF5DF3">
      <w:pPr>
        <w:pStyle w:val="TYTU0"/>
        <w:spacing w:before="0" w:after="0"/>
      </w:pPr>
    </w:p>
    <w:p w14:paraId="2EAD3212" w14:textId="4721124F" w:rsidR="00FF5DF3" w:rsidRDefault="00FF5DF3" w:rsidP="00FF5DF3">
      <w:pPr>
        <w:pStyle w:val="TYTU0"/>
        <w:spacing w:before="0" w:after="0"/>
      </w:pPr>
    </w:p>
    <w:p w14:paraId="5AC84DA5" w14:textId="3A0DAFFD" w:rsidR="00FF5DF3" w:rsidRDefault="00FF5DF3" w:rsidP="00FF5DF3">
      <w:pPr>
        <w:pStyle w:val="TYTU0"/>
        <w:spacing w:before="0" w:after="0"/>
      </w:pPr>
    </w:p>
    <w:p w14:paraId="3A25558D" w14:textId="0132726E" w:rsidR="00FF5DF3" w:rsidRDefault="00FF5DF3" w:rsidP="00FF5DF3">
      <w:pPr>
        <w:pStyle w:val="TYTU0"/>
        <w:spacing w:before="0" w:after="0"/>
      </w:pPr>
    </w:p>
    <w:p w14:paraId="075C8EBA" w14:textId="2B7349AA" w:rsidR="00FF5DF3" w:rsidRDefault="00FF5DF3" w:rsidP="00FF5DF3">
      <w:pPr>
        <w:pStyle w:val="TYTU0"/>
        <w:spacing w:before="0" w:after="0"/>
      </w:pPr>
    </w:p>
    <w:p w14:paraId="7B68744D" w14:textId="19D9B812" w:rsidR="00715A60" w:rsidRDefault="009A54EC" w:rsidP="00FF5DF3">
      <w:pPr>
        <w:spacing w:before="0" w:after="0"/>
        <w:jc w:val="left"/>
      </w:pPr>
      <w:r>
        <w:t>Raport opracowany w ramach projektu Ministerstwa Edukacji Narodowej pn. Wspieranie podnoszenia jakości edukacji włączającej w Polsce (</w:t>
      </w:r>
      <w:proofErr w:type="spellStart"/>
      <w:r>
        <w:rPr>
          <w:i/>
        </w:rPr>
        <w:t>Supporting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improvement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quality</w:t>
      </w:r>
      <w:proofErr w:type="spellEnd"/>
      <w:r>
        <w:rPr>
          <w:i/>
        </w:rPr>
        <w:t xml:space="preserve"> inclusive </w:t>
      </w:r>
      <w:proofErr w:type="spellStart"/>
      <w:r>
        <w:rPr>
          <w:i/>
        </w:rPr>
        <w:t>education</w:t>
      </w:r>
      <w:proofErr w:type="spellEnd"/>
      <w:r>
        <w:rPr>
          <w:i/>
        </w:rPr>
        <w:t xml:space="preserve"> in Poland</w:t>
      </w:r>
      <w:r>
        <w:t>), realizowanego w ramach Programu Wsparcia Reform Strukturalnych Komisji Europejskiej we współpracy z Europejską Agencją do spraw Specjalnych Potrzeb i Edukacji Włączającej (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Agency</w:t>
      </w:r>
      <w:proofErr w:type="spellEnd"/>
      <w:r>
        <w:rPr>
          <w:i/>
        </w:rPr>
        <w:t xml:space="preserve"> for Special </w:t>
      </w:r>
      <w:proofErr w:type="spellStart"/>
      <w:r>
        <w:rPr>
          <w:i/>
        </w:rPr>
        <w:t>Needs</w:t>
      </w:r>
      <w:proofErr w:type="spellEnd"/>
      <w:r>
        <w:rPr>
          <w:i/>
        </w:rPr>
        <w:t xml:space="preserve"> and Inclusive </w:t>
      </w:r>
      <w:proofErr w:type="spellStart"/>
      <w:r>
        <w:rPr>
          <w:i/>
        </w:rPr>
        <w:t>Education</w:t>
      </w:r>
      <w:proofErr w:type="spellEnd"/>
      <w:r>
        <w:t>).</w:t>
      </w:r>
    </w:p>
    <w:p w14:paraId="5077370C" w14:textId="77777777" w:rsidR="00FF5DF3" w:rsidRDefault="00FF5DF3" w:rsidP="00FF5DF3">
      <w:pPr>
        <w:spacing w:before="0" w:after="0"/>
        <w:jc w:val="left"/>
      </w:pPr>
    </w:p>
    <w:p w14:paraId="7142ACD3" w14:textId="77777777" w:rsidR="00715A60" w:rsidRDefault="009A54EC" w:rsidP="00FF5DF3">
      <w:pPr>
        <w:spacing w:before="0" w:after="0"/>
        <w:jc w:val="left"/>
      </w:pPr>
      <w:r>
        <w:t>Proponowany sposób cytowania:</w:t>
      </w:r>
    </w:p>
    <w:p w14:paraId="25ED086D" w14:textId="270E39B5" w:rsidR="00FF5DF3" w:rsidRDefault="009A54EC" w:rsidP="00FF5DF3">
      <w:pPr>
        <w:spacing w:before="0" w:after="0"/>
        <w:jc w:val="left"/>
        <w:rPr>
          <w:color w:val="000000" w:themeColor="text1"/>
        </w:rPr>
      </w:pPr>
      <w:r>
        <w:t>Domagała-Zyśk E. (2018</w:t>
      </w:r>
      <w:r>
        <w:rPr>
          <w:color w:val="000000" w:themeColor="text1"/>
        </w:rPr>
        <w:t>). Personel pomocniczy w szkołach ogólnodostępnych w Europie i USA – wyniki badań nad modelem i skutecznością wsparcia. Warszawa: MEN.</w:t>
      </w:r>
    </w:p>
    <w:p w14:paraId="67C8A945" w14:textId="77777777" w:rsidR="00FF5DF3" w:rsidRDefault="00FF5DF3" w:rsidP="00FF5DF3">
      <w:pPr>
        <w:spacing w:before="0" w:after="0"/>
        <w:jc w:val="left"/>
        <w:rPr>
          <w:color w:val="000000" w:themeColor="text1"/>
        </w:rPr>
      </w:pPr>
    </w:p>
    <w:p w14:paraId="7654343C" w14:textId="3D5721D1" w:rsidR="00FF5DF3" w:rsidRDefault="00FF5DF3" w:rsidP="00FF5DF3">
      <w:pPr>
        <w:spacing w:before="0" w:after="0"/>
        <w:jc w:val="left"/>
        <w:rPr>
          <w:color w:val="000000" w:themeColor="text1"/>
        </w:rPr>
      </w:pPr>
      <w:r>
        <w:rPr>
          <w:color w:val="000000" w:themeColor="text1"/>
        </w:rPr>
        <w:t>ISBN:</w:t>
      </w:r>
      <w:r w:rsidR="00B16B03">
        <w:rPr>
          <w:color w:val="000000" w:themeColor="text1"/>
        </w:rPr>
        <w:t xml:space="preserve"> </w:t>
      </w:r>
      <w:r w:rsidR="00B16B03" w:rsidRPr="00B16B03">
        <w:rPr>
          <w:color w:val="000000" w:themeColor="text1"/>
        </w:rPr>
        <w:t>978-83-933580-4-5</w:t>
      </w:r>
      <w:bookmarkStart w:id="0" w:name="_GoBack"/>
      <w:bookmarkEnd w:id="0"/>
    </w:p>
    <w:p w14:paraId="2958DDE7" w14:textId="77777777" w:rsidR="00FF5DF3" w:rsidRDefault="00FF5DF3">
      <w:pPr>
        <w:spacing w:before="0" w:after="0" w:line="240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168F51F" w14:textId="77777777" w:rsidR="00715A60" w:rsidRDefault="009A54EC">
      <w:pPr>
        <w:pStyle w:val="Nagwek1"/>
        <w:jc w:val="left"/>
      </w:pPr>
      <w:r>
        <w:lastRenderedPageBreak/>
        <w:t>Wstęp</w:t>
      </w:r>
    </w:p>
    <w:p w14:paraId="02907098" w14:textId="77777777" w:rsidR="00715A60" w:rsidRDefault="009A54EC">
      <w:pPr>
        <w:jc w:val="left"/>
      </w:pPr>
      <w:r>
        <w:t xml:space="preserve">Edukacja włączająca (UNESCO 2008) to proces, który zapewnia wszystkim uczniom edukację o wysokiej jakości. W procesie tym szanowana jest różnorodność uczniów, ich zróżnicowane potrzeby i możliwości oraz cechy osobowe oraz oczekiwania uczniów i grup społecznych dotyczące uczenia się, eliminowane są natomiast wszelkie przejawy dyskryminacji (UNESCO International </w:t>
      </w:r>
      <w:proofErr w:type="spellStart"/>
      <w:r>
        <w:t>Bureau</w:t>
      </w:r>
      <w:proofErr w:type="spellEnd"/>
      <w:r>
        <w:t xml:space="preserve"> of </w:t>
      </w:r>
      <w:proofErr w:type="spellStart"/>
      <w:r>
        <w:t>Education</w:t>
      </w:r>
      <w:proofErr w:type="spellEnd"/>
      <w:r>
        <w:t xml:space="preserve"> 2008, s.3).</w:t>
      </w:r>
    </w:p>
    <w:p w14:paraId="7A3C31E2" w14:textId="77777777" w:rsidR="00715A60" w:rsidRDefault="009A54EC">
      <w:pPr>
        <w:jc w:val="left"/>
      </w:pPr>
      <w:r>
        <w:t xml:space="preserve">W tak rozumianym procesie włączania istotną rolę pełnią wszyscy jego uczestnicy – uczniowie, nauczyciele, rodzice oraz inni specjaliści, do których można zaliczyć także asystentów. W różnych krajach stosuje się w odniesieniu do tej grupy osób różne określenia, np. asystent uczenia się </w:t>
      </w:r>
      <w:r>
        <w:rPr>
          <w:i/>
          <w:iCs/>
        </w:rPr>
        <w:t xml:space="preserve">(learning </w:t>
      </w:r>
      <w:proofErr w:type="spellStart"/>
      <w:r>
        <w:rPr>
          <w:i/>
          <w:iCs/>
        </w:rPr>
        <w:t>support</w:t>
      </w:r>
      <w:proofErr w:type="spellEnd"/>
      <w:r>
        <w:t>), asystent nauczyciela (</w:t>
      </w:r>
      <w:proofErr w:type="spellStart"/>
      <w:r>
        <w:rPr>
          <w:i/>
          <w:iCs/>
        </w:rPr>
        <w:t>teacher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assistant</w:t>
      </w:r>
      <w:proofErr w:type="spellEnd"/>
      <w:r>
        <w:t>), asystent pedagogiczny (</w:t>
      </w:r>
      <w:proofErr w:type="spellStart"/>
      <w:r>
        <w:rPr>
          <w:i/>
          <w:iCs/>
        </w:rPr>
        <w:t>pedagogical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assistant</w:t>
      </w:r>
      <w:proofErr w:type="spellEnd"/>
      <w:r>
        <w:t>), personel niepedagogiczny (</w:t>
      </w:r>
      <w:r>
        <w:rPr>
          <w:i/>
          <w:iCs/>
        </w:rPr>
        <w:t>non-</w:t>
      </w:r>
      <w:proofErr w:type="spellStart"/>
      <w:r>
        <w:rPr>
          <w:i/>
          <w:iCs/>
        </w:rPr>
        <w:t>pedagogical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staff</w:t>
      </w:r>
      <w:proofErr w:type="spellEnd"/>
      <w:r>
        <w:t>), para-nauczyciel (</w:t>
      </w:r>
      <w:proofErr w:type="spellStart"/>
      <w:r>
        <w:rPr>
          <w:i/>
          <w:iCs/>
        </w:rPr>
        <w:t>paraeducator</w:t>
      </w:r>
      <w:proofErr w:type="spellEnd"/>
      <w:r>
        <w:t xml:space="preserve">), </w:t>
      </w:r>
      <w:proofErr w:type="spellStart"/>
      <w:r>
        <w:t>paraprofesjonalita</w:t>
      </w:r>
      <w:proofErr w:type="spellEnd"/>
      <w:r>
        <w:t xml:space="preserve"> (</w:t>
      </w:r>
      <w:proofErr w:type="spellStart"/>
      <w:r>
        <w:rPr>
          <w:i/>
          <w:iCs/>
        </w:rPr>
        <w:t>paraprofessional</w:t>
      </w:r>
      <w:proofErr w:type="spellEnd"/>
      <w:r>
        <w:t>), pomoc nauczyciela (</w:t>
      </w:r>
      <w:proofErr w:type="spellStart"/>
      <w:r>
        <w:rPr>
          <w:i/>
          <w:iCs/>
        </w:rPr>
        <w:t>teacher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aid</w:t>
      </w:r>
      <w:proofErr w:type="spellEnd"/>
      <w:r>
        <w:t>), asystent klasowy (</w:t>
      </w:r>
      <w:proofErr w:type="spellStart"/>
      <w:r>
        <w:rPr>
          <w:i/>
          <w:iCs/>
        </w:rPr>
        <w:t>classroom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assistant</w:t>
      </w:r>
      <w:proofErr w:type="spellEnd"/>
      <w:r>
        <w:t xml:space="preserve">). Wykształcenie oraz zaszeregowanie asystentów jest zazwyczaj niższe niż nauczycieli prowadzących (głównych). Zdarza się, że są to osoby bez wykształcenia wyższego oraz bez podstawowego przygotowania pedagogicznego. Asystenci pracują w szkołach w Australii, Włoszech, Szwecji, Kanadzie, Finlandii, Niemczech, Irlandii, na Malcie, w USA i innych krajach. W Wielkiej Brytanii w 2011 roku stanowili aż 25% wszystkich pracowników szkół (Webster, </w:t>
      </w:r>
      <w:proofErr w:type="spellStart"/>
      <w:r>
        <w:t>Blatchford</w:t>
      </w:r>
      <w:proofErr w:type="spellEnd"/>
      <w:r>
        <w:t xml:space="preserve"> 2012).</w:t>
      </w:r>
    </w:p>
    <w:p w14:paraId="7252B3EC" w14:textId="77777777" w:rsidR="00715A60" w:rsidRDefault="009A54EC">
      <w:pPr>
        <w:jc w:val="left"/>
      </w:pPr>
      <w:r>
        <w:t>Celem tego raportu jest dokonanie przeglądu współczesnych badań zagranicznych dotyczących ról asystentów w edukacji włączającej oraz efektów ich pracy w kontekście osiągnięć edukacyjnych uczniów oraz ich integracji społecznej. W przeglądzie uwzględniono pozycje dostępne w języku angielskim i opisujące doświadczenia różnych krajów, w których asystenci pracują już od wielu lat. Celem aplikacyjnym tego tekstu jest dostarczenie materiału do wypracowania modelu pracy asystenta współpracującego z nauczycielem edukacji włączającej w polskich szkołach.</w:t>
      </w:r>
    </w:p>
    <w:p w14:paraId="69CD4936" w14:textId="77777777" w:rsidR="00715A60" w:rsidRDefault="009A54EC">
      <w:pPr>
        <w:pStyle w:val="Nagwek1"/>
        <w:jc w:val="left"/>
      </w:pPr>
      <w:r>
        <w:t>1. Rola i zadania asystenta</w:t>
      </w:r>
    </w:p>
    <w:p w14:paraId="037E8CCA" w14:textId="77777777" w:rsidR="00715A60" w:rsidRDefault="009A54EC">
      <w:pPr>
        <w:jc w:val="left"/>
      </w:pPr>
      <w:r>
        <w:t>Rola i zadania asystentów opisywane są na różnych płaszczyznach. Zasadniczo przyjmuje się, że jest to osoba, która powinna udzielać dwojakiego rodzaju wsparcia:</w:t>
      </w:r>
    </w:p>
    <w:p w14:paraId="28EBD1A3" w14:textId="77777777" w:rsidR="00715A60" w:rsidRDefault="009A54EC">
      <w:pPr>
        <w:numPr>
          <w:ilvl w:val="0"/>
          <w:numId w:val="1"/>
        </w:numPr>
        <w:jc w:val="left"/>
      </w:pPr>
      <w:r>
        <w:t>ogólnego, rozumianego jako wsparcie w klasie szkolnej (ale także w salach sportowych, bibliotece, w pracowniach, na stołówce itp.) dla każdego ucznia potrzebującego pomocy;</w:t>
      </w:r>
    </w:p>
    <w:p w14:paraId="79D63327" w14:textId="77777777" w:rsidR="00715A60" w:rsidRDefault="009A54EC">
      <w:pPr>
        <w:numPr>
          <w:ilvl w:val="0"/>
          <w:numId w:val="1"/>
        </w:numPr>
        <w:jc w:val="left"/>
        <w:sectPr w:rsidR="00715A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0" w:footer="708" w:gutter="0"/>
          <w:cols w:space="708"/>
          <w:formProt w:val="0"/>
          <w:docGrid w:linePitch="360"/>
        </w:sectPr>
      </w:pPr>
      <w:r>
        <w:t>specjalistycznego, które kierowane jest do uczniów ze SPE i oznacza podejmowanie działań pomagających uczniom ze SPE osiągać postępy w edukacji oraz w pełni uczestniczyć w życiu klasy i szkoły.</w:t>
      </w:r>
    </w:p>
    <w:p w14:paraId="29755050" w14:textId="77777777" w:rsidR="00715A60" w:rsidRDefault="009A54EC">
      <w:pPr>
        <w:jc w:val="left"/>
      </w:pPr>
      <w:r>
        <w:lastRenderedPageBreak/>
        <w:t>Bardziej szczegółowo rola asystenta obejmuje najczęściej:</w:t>
      </w:r>
    </w:p>
    <w:p w14:paraId="1496CB55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wsparcie w zakresie uczenia się umiejętności elementarnych w zakresie czytania, pisania i liczenia,</w:t>
      </w:r>
    </w:p>
    <w:p w14:paraId="78032D2E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bieżące wsparcie w trakcie lekcji dla poszczególnych uczniów lub grup uczniów,</w:t>
      </w:r>
    </w:p>
    <w:p w14:paraId="2CE92B7B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wsparcie poza lekcjami – dla uczniów lub grup uczniów,</w:t>
      </w:r>
    </w:p>
    <w:p w14:paraId="0835EB93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wsparcie w wykonywaniu codziennych czynności</w:t>
      </w:r>
    </w:p>
    <w:p w14:paraId="179B0A5F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ocenianie postępów ucznia,</w:t>
      </w:r>
    </w:p>
    <w:p w14:paraId="31E9992F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zastępowanie nauczyciela prowadzącego i prowadzenie lekcji podczas jego krótkotrwałych nieobecności (</w:t>
      </w:r>
      <w:proofErr w:type="spellStart"/>
      <w:r>
        <w:rPr>
          <w:i/>
        </w:rPr>
        <w:t>cover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supervisor</w:t>
      </w:r>
      <w:proofErr w:type="spellEnd"/>
      <w:r>
        <w:t>),</w:t>
      </w:r>
    </w:p>
    <w:p w14:paraId="69A65C2A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ocenianie testów i egzaminów, zwłaszcza uczniów ze SPE,</w:t>
      </w:r>
    </w:p>
    <w:p w14:paraId="2E2AAB06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pomoc w dyscyplinowaniu klasy,</w:t>
      </w:r>
    </w:p>
    <w:p w14:paraId="35EFD102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pomoc w przygotowywaniu zajęć wymagających wielu pomocy (np. plastycznych, technicznych, eksperymentów),</w:t>
      </w:r>
    </w:p>
    <w:p w14:paraId="4C320CAC" w14:textId="77777777" w:rsidR="00715A60" w:rsidRDefault="009A54EC">
      <w:pPr>
        <w:pStyle w:val="Akapitzlist"/>
        <w:numPr>
          <w:ilvl w:val="0"/>
          <w:numId w:val="2"/>
        </w:numPr>
        <w:jc w:val="left"/>
      </w:pPr>
      <w:r>
        <w:t>podejmowanie działań o charakterze wychowawczym wobec wszystkich uczniów.</w:t>
      </w:r>
    </w:p>
    <w:p w14:paraId="371CFF3F" w14:textId="77777777" w:rsidR="00715A60" w:rsidRDefault="009A54EC">
      <w:pPr>
        <w:jc w:val="left"/>
      </w:pPr>
      <w:r>
        <w:t>W dokumentach brytyjskich wymienia się kilkanaście typów asystentów. Tworzą oni cztery grupy zaszeregowania. Od poszczególnych grup wymagane są inne kwalifikacje, różnica dotyczy także poziomu wynagrodzenia:</w:t>
      </w:r>
    </w:p>
    <w:p w14:paraId="6E78E8C7" w14:textId="77777777" w:rsidR="00715A60" w:rsidRDefault="009A54EC">
      <w:pPr>
        <w:pStyle w:val="Akapitzlist"/>
        <w:numPr>
          <w:ilvl w:val="0"/>
          <w:numId w:val="3"/>
        </w:numPr>
        <w:jc w:val="left"/>
      </w:pPr>
      <w:r>
        <w:t>Grupa pierwsza: asystenci techniczni, np. asystent w czasie zajęć praktycznych, asystent w bibliotece, osoba czytająca głośno książki uczniowi niewidomemu;</w:t>
      </w:r>
    </w:p>
    <w:p w14:paraId="2F8712C7" w14:textId="77777777" w:rsidR="00715A60" w:rsidRDefault="009A54EC">
      <w:pPr>
        <w:pStyle w:val="Akapitzlist"/>
        <w:numPr>
          <w:ilvl w:val="0"/>
          <w:numId w:val="3"/>
        </w:numPr>
        <w:jc w:val="left"/>
      </w:pPr>
      <w:r>
        <w:t>Grupa druga: asystenci wspierający proces uczenia się, np. osoba przygotowująca notatkę w czasie lekcji, osoba dostosowująca format egzaminu (druk na pismo Braille’a, dostosowywanie/ odczytywanie poleceń, dostosowywanie zadań i ćwiczeń;</w:t>
      </w:r>
    </w:p>
    <w:p w14:paraId="6BE83920" w14:textId="77777777" w:rsidR="00715A60" w:rsidRDefault="009A54EC">
      <w:pPr>
        <w:pStyle w:val="Akapitzlist"/>
        <w:numPr>
          <w:ilvl w:val="0"/>
          <w:numId w:val="3"/>
        </w:numPr>
        <w:jc w:val="left"/>
      </w:pPr>
      <w:r>
        <w:t>Grupa trzecia: specjalistyczne wsparcie techniczne; osoba przygotowująca transkrypcję/ zapisywanie symultaniczne, trener orientacji przestrzennej;</w:t>
      </w:r>
    </w:p>
    <w:p w14:paraId="46E482DA" w14:textId="77777777" w:rsidR="00715A60" w:rsidRDefault="009A54EC">
      <w:pPr>
        <w:pStyle w:val="Akapitzlist"/>
        <w:numPr>
          <w:ilvl w:val="0"/>
          <w:numId w:val="3"/>
        </w:numPr>
        <w:jc w:val="left"/>
      </w:pPr>
      <w:r>
        <w:t>Grupa czwarta: specjalistyczne wsparcie w uczeniu się; mentor, nauczyciel zajęć indywidualnych, tłumacz języka migowego, trener komunikacji alternatywnej, nauczyciel komunikacji językowej.</w:t>
      </w:r>
    </w:p>
    <w:p w14:paraId="477CB358" w14:textId="77777777" w:rsidR="00715A60" w:rsidRDefault="009A54EC">
      <w:pPr>
        <w:jc w:val="left"/>
      </w:pPr>
      <w:r>
        <w:t xml:space="preserve">Zespół </w:t>
      </w:r>
      <w:proofErr w:type="spellStart"/>
      <w:r>
        <w:t>Blatchford</w:t>
      </w:r>
      <w:proofErr w:type="spellEnd"/>
      <w:r>
        <w:t xml:space="preserve"> i in. (2008) wymienia z kolei sześć typów wsparcia, którego może udzielać asystent edukacyjny:</w:t>
      </w:r>
    </w:p>
    <w:p w14:paraId="15F9221E" w14:textId="77777777" w:rsidR="00715A60" w:rsidRDefault="009A54EC">
      <w:pPr>
        <w:pStyle w:val="Akapitzlist"/>
        <w:numPr>
          <w:ilvl w:val="0"/>
          <w:numId w:val="4"/>
        </w:numPr>
        <w:jc w:val="left"/>
      </w:pPr>
      <w:r>
        <w:t>Wsparcie dla nauczyciela/ w realizacji podstawy programowej/ programu nauczania.</w:t>
      </w:r>
    </w:p>
    <w:p w14:paraId="119EA900" w14:textId="77777777" w:rsidR="00715A60" w:rsidRDefault="009A54EC">
      <w:pPr>
        <w:pStyle w:val="Akapitzlist"/>
        <w:numPr>
          <w:ilvl w:val="0"/>
          <w:numId w:val="4"/>
        </w:numPr>
        <w:jc w:val="left"/>
      </w:pPr>
      <w:r>
        <w:t>Wsparcie bezpośrednie - dydaktyczne dla ucznia.</w:t>
      </w:r>
    </w:p>
    <w:p w14:paraId="0EC61F26" w14:textId="77777777" w:rsidR="00715A60" w:rsidRDefault="009A54EC">
      <w:pPr>
        <w:pStyle w:val="Akapitzlist"/>
        <w:numPr>
          <w:ilvl w:val="0"/>
          <w:numId w:val="4"/>
        </w:numPr>
        <w:jc w:val="left"/>
      </w:pPr>
      <w:r>
        <w:t>Wsparcie bezpośrednie - wychowawcze dla ucznia.</w:t>
      </w:r>
    </w:p>
    <w:p w14:paraId="61A5A67B" w14:textId="77777777" w:rsidR="00715A60" w:rsidRDefault="009A54EC">
      <w:pPr>
        <w:pStyle w:val="Akapitzlist"/>
        <w:numPr>
          <w:ilvl w:val="0"/>
          <w:numId w:val="4"/>
        </w:numPr>
        <w:jc w:val="left"/>
      </w:pPr>
      <w:r>
        <w:t>Wsparcie pośrednie (np. bibliotekarz, technik).</w:t>
      </w:r>
    </w:p>
    <w:p w14:paraId="2AF0A6EF" w14:textId="77777777" w:rsidR="00715A60" w:rsidRDefault="009A54EC">
      <w:pPr>
        <w:pStyle w:val="Akapitzlist"/>
        <w:numPr>
          <w:ilvl w:val="0"/>
          <w:numId w:val="4"/>
        </w:numPr>
        <w:spacing w:after="0"/>
        <w:jc w:val="left"/>
      </w:pPr>
      <w:r>
        <w:t>Wsparcie administracyjne dla szkoły – w zakresie organizacji wsparcia dla uczniów ze SPE.</w:t>
      </w:r>
    </w:p>
    <w:p w14:paraId="6D40E807" w14:textId="77777777" w:rsidR="00715A60" w:rsidRDefault="009A54EC">
      <w:pPr>
        <w:pStyle w:val="Akapitzlist"/>
        <w:numPr>
          <w:ilvl w:val="0"/>
          <w:numId w:val="4"/>
        </w:numPr>
        <w:jc w:val="left"/>
      </w:pPr>
      <w:r>
        <w:t>Wsparcie dla szkoły w zakresie organizacji środowiska fizycznego (pomoc w przystosowaniu środowiska fizycznego szkoły).</w:t>
      </w:r>
    </w:p>
    <w:p w14:paraId="6E124023" w14:textId="77777777" w:rsidR="00715A60" w:rsidRDefault="009A54EC">
      <w:pPr>
        <w:pStyle w:val="Nagwek1"/>
        <w:jc w:val="left"/>
      </w:pPr>
      <w:r>
        <w:lastRenderedPageBreak/>
        <w:t xml:space="preserve">2. Wyniki badań dotyczące efektów pracy asystentów w </w:t>
      </w:r>
      <w:r w:rsidR="00107CA3">
        <w:t>oddziałach</w:t>
      </w:r>
      <w:r>
        <w:t xml:space="preserve"> ogólnodostępnych</w:t>
      </w:r>
    </w:p>
    <w:p w14:paraId="4D33789F" w14:textId="77777777" w:rsidR="00715A60" w:rsidRDefault="009A54EC">
      <w:pPr>
        <w:jc w:val="left"/>
      </w:pPr>
      <w:r>
        <w:t xml:space="preserve">W literaturze anglojęzycznej ostatnich lat opisywane są dwa szeroko zakrojone badania dotyczące efektywności pracy asystentów, wykonane przez </w:t>
      </w:r>
      <w:proofErr w:type="spellStart"/>
      <w:r>
        <w:t>Blatchford</w:t>
      </w:r>
      <w:proofErr w:type="spellEnd"/>
      <w:r>
        <w:t xml:space="preserve"> I in. (2008) oraz </w:t>
      </w:r>
      <w:proofErr w:type="spellStart"/>
      <w:r>
        <w:t>Alborz</w:t>
      </w:r>
      <w:proofErr w:type="spellEnd"/>
      <w:r>
        <w:t xml:space="preserve"> i in. (2009).</w:t>
      </w:r>
    </w:p>
    <w:p w14:paraId="4AA759FB" w14:textId="77777777" w:rsidR="00715A60" w:rsidRDefault="009A54EC">
      <w:pPr>
        <w:jc w:val="left"/>
      </w:pPr>
      <w:r>
        <w:rPr>
          <w:bCs/>
        </w:rPr>
        <w:t xml:space="preserve">Zespół </w:t>
      </w:r>
      <w:proofErr w:type="spellStart"/>
      <w:r>
        <w:rPr>
          <w:bCs/>
        </w:rPr>
        <w:t>Blatchford</w:t>
      </w:r>
      <w:proofErr w:type="spellEnd"/>
      <w:r>
        <w:t xml:space="preserve"> (</w:t>
      </w:r>
      <w:proofErr w:type="spellStart"/>
      <w:r>
        <w:t>Blatchford</w:t>
      </w:r>
      <w:proofErr w:type="spellEnd"/>
      <w:r>
        <w:t xml:space="preserve"> i in. 2008) dokonał przeglądu literatury dotyczącej roli asystentów (do roku 2001) oraz przeprowadził badania podłużne w tym zakresie, obejmujące lata 2001-2008. Rezultaty analiz wykonanych przez ten zespół badawczy na próbie 434 badań są następujące:</w:t>
      </w:r>
    </w:p>
    <w:p w14:paraId="1133D372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14 badań dotyczyło związku między wsparciem asystenta a uczestnictwem ucznia w życiu szkoły. W 7 badaniach wskazano na negatywny wpływ osoby asystenta na zakres samodzielnego uczestniczenia ucznia w życiu szkoły, stwierdzono, że uczniowie wspomagani przez asystenta mają rzadszy niż inni uczniowie kontakt z nauczycielem, mniej okazji do samostanowienia, czują się stygmatyzowani.</w:t>
      </w:r>
    </w:p>
    <w:p w14:paraId="0C43670D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W 4 badaniach stwierdzono pozytywny wpływ wsparcia asystenta na zaangażowanie uczniów ze SPE w proces uczenia się. Zaobserwowano także, że asystenci mogą w odpowiedni sposób wspierać nawiązywanie przez dziecko relacji z rówieśnikami.</w:t>
      </w:r>
    </w:p>
    <w:p w14:paraId="10D51EC3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W 4 badaniach stwierdzono pozytywny wpływ asystenta na pracę wszystkich uczniów w danej klasie.</w:t>
      </w:r>
    </w:p>
    <w:p w14:paraId="5B09EBCA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W zakresie osiągnięć szkolnych: w 7 z 8 badań stwierdzono pozytywny wpływ asystentów na poprawę sprawności czytania i pisania u dzieci. W drugim badaniu wskazano na pozytywny wpływ asystenta na rozwój językowy dzieci, a w kolejnym – na poziom umiejętności arytmetycznych. W kolejnych 5 badaniach zauważono pozytywną percepcję pracy asystenta przez nauczycieli prowadzących, rodziców i uczniów.</w:t>
      </w:r>
    </w:p>
    <w:p w14:paraId="26A79321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Aspekty społeczne/ emocjonalne: 4 z 6 badań wskazały na pozytywny wpływ asystenta na rozwój kompetencji społeczno-emocjonalnych dzieci. Nauczyciele i rodzice uważają, że asystent może wpływać pozytywnie na rozwój kompetencji społecznych, jednak badane dzieci wskazują, że zaprzyjaźniają się raczej z asystentem niż z rówieśnikami.</w:t>
      </w:r>
    </w:p>
    <w:p w14:paraId="05C41E4D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Obecność asystenta pomaga nauczycielom w przygotowaniu większej liczby zajęć praktycznych i twórczych. Nauczyciele prowadzący zauważają, że mają mniej pracy jeśli w klasie jest także asystent. Są też mniej zestresowani i odczuwają większą satysfakcję z pracy.</w:t>
      </w:r>
    </w:p>
    <w:p w14:paraId="4FCB241F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W czasie gdy asystent zajmuje się dzieckiem ze SPE, nauczyciel ma więcej czasu, by pracować z innymi uczniami; nauczyciel prowadzący jest w klasie raczej „kierownikiem” niż nauczycielem, obecność asystenta „zwalnia” nauczyciela z konieczności nauczania ucznia ze SPE.</w:t>
      </w:r>
    </w:p>
    <w:p w14:paraId="3F35A349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lastRenderedPageBreak/>
        <w:t>W 3 analizowanych badaniach uczniowie przyznali, że asystent pomógł im w odnalezieniu się w klasie ogólnodostępnej. Dzięki jego obecności szkoły stają się pełniej „włączające”.</w:t>
      </w:r>
    </w:p>
    <w:p w14:paraId="07C60230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>W 2 badaniach wykazano istotną rolę asystenta w nawiązywaniu relacji z rodzicami i włączaniu rodziców w proces edukacji ich dziecka.</w:t>
      </w:r>
    </w:p>
    <w:p w14:paraId="524E96AC" w14:textId="77777777" w:rsidR="00715A60" w:rsidRDefault="009A54EC">
      <w:pPr>
        <w:pStyle w:val="Akapitzlist"/>
        <w:numPr>
          <w:ilvl w:val="0"/>
          <w:numId w:val="10"/>
        </w:numPr>
        <w:jc w:val="left"/>
      </w:pPr>
      <w:r>
        <w:t xml:space="preserve">Zespół </w:t>
      </w:r>
      <w:proofErr w:type="spellStart"/>
      <w:r>
        <w:t>Blatchford</w:t>
      </w:r>
      <w:proofErr w:type="spellEnd"/>
      <w:r>
        <w:t xml:space="preserve"> (</w:t>
      </w:r>
      <w:proofErr w:type="spellStart"/>
      <w:r>
        <w:t>Blatchford</w:t>
      </w:r>
      <w:proofErr w:type="spellEnd"/>
      <w:r>
        <w:t xml:space="preserve"> i in. 2008) przeprowadził następnie szerokie badania w latach 2003-2008 w celu poznania roli i efektywności pracy asystentów w Wielkiej Brytanii. Przebadano ogółem ponad 8 tys. uczniów, ponad 500 osób z personelu szkół, przeprowadzono 1,5 tys. obserwacji sposobów pracy asystentów oraz rodzajów interakcji między nimi a uczniami i nauczycielami. Wyniki tych badań są następujące:</w:t>
      </w:r>
    </w:p>
    <w:p w14:paraId="2BF716E8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obecność asystentów zapewniała dzieciom więcej uwagi ze strony dorosłej osoby,</w:t>
      </w:r>
    </w:p>
    <w:p w14:paraId="413694A1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nauczyciele czuli się mniej obciążeni pracą dzięki pomocy asystentów,</w:t>
      </w:r>
    </w:p>
    <w:p w14:paraId="65F0AFDD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obecność asystentów nie miała mierzalnego wpływu na osiągnięcia szkolne dzieci ze SPE w żadnej kategorii wiekowej i w odniesieniu do różnych specjalnych potrzeb,</w:t>
      </w:r>
    </w:p>
    <w:p w14:paraId="5D97A725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 xml:space="preserve">obecność asystentów miała pozytywny wpływ na przebieg procesu uczenia się - zdaniem nauczycieli prowadzących, </w:t>
      </w:r>
    </w:p>
    <w:p w14:paraId="1DF42BEE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im więcej dziecko otrzymywało wsparcia, tym niższe były jego osiągnięcia edukacyjne w zakresie języka ojczystego (angielskiego) i matematyki,</w:t>
      </w:r>
    </w:p>
    <w:p w14:paraId="3B461C1C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im więcej dziecko miało kontaktu a asystentem, tym mniej kontaktu z nauczycielem prowadzącym, który jest kompetentnym pedagogiem: asystenci udzielają wsparcia zamiast nauczyciela – a nie z nauczycielem (</w:t>
      </w:r>
      <w:proofErr w:type="spellStart"/>
      <w:r>
        <w:rPr>
          <w:i/>
          <w:iCs/>
        </w:rPr>
        <w:t>alternative</w:t>
      </w:r>
      <w:proofErr w:type="spellEnd"/>
      <w:r>
        <w:rPr>
          <w:i/>
          <w:iCs/>
        </w:rPr>
        <w:t xml:space="preserve">, not </w:t>
      </w:r>
      <w:proofErr w:type="spellStart"/>
      <w:r>
        <w:rPr>
          <w:i/>
          <w:iCs/>
        </w:rPr>
        <w:t>additional</w:t>
      </w:r>
      <w:proofErr w:type="spellEnd"/>
      <w:r>
        <w:t>),</w:t>
      </w:r>
    </w:p>
    <w:p w14:paraId="0BB11F10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im więcej kontaktu z asystentem, tym mniej okazji do relacji z innymi dziećmi,</w:t>
      </w:r>
    </w:p>
    <w:p w14:paraId="250167D4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pozytywny wpływ asystentów na stosunek uczniów do szkoły zaobserwowano tylko w jednej kategorii wiekowej – u 13-14-latków,</w:t>
      </w:r>
    </w:p>
    <w:p w14:paraId="41F900A4" w14:textId="77777777" w:rsidR="00715A60" w:rsidRDefault="009A54EC">
      <w:pPr>
        <w:pStyle w:val="Akapitzlist"/>
        <w:numPr>
          <w:ilvl w:val="0"/>
          <w:numId w:val="8"/>
        </w:numPr>
        <w:jc w:val="left"/>
      </w:pPr>
      <w:r>
        <w:t>asystenci pomagali dzieciom rozwiązywać bieżące problemy na lekcji – ale poprzez to dzieci nie uczyły się radzić sobie samodzielnie z trudnościami.</w:t>
      </w:r>
    </w:p>
    <w:p w14:paraId="089A5824" w14:textId="77777777" w:rsidR="00715A60" w:rsidRDefault="009A54EC">
      <w:pPr>
        <w:jc w:val="left"/>
      </w:pPr>
      <w:r>
        <w:t xml:space="preserve">Stwierdzono także różnice w zakresie typów interakcji z uczniem: nauczyciele używają zachęt, sprawdzają rozumienie danych treści, zachęcają do myślenia, natomiast asystenci chcą być szybciej skuteczni, działają doraźnie: podają gotowe odpowiedzi, używają częściej pytań - rozstrzygnięć, wymagających odpowiedzi </w:t>
      </w:r>
      <w:r>
        <w:rPr>
          <w:i/>
          <w:iCs/>
        </w:rPr>
        <w:t>tak</w:t>
      </w:r>
      <w:r>
        <w:t xml:space="preserve"> lub </w:t>
      </w:r>
      <w:r>
        <w:rPr>
          <w:i/>
          <w:iCs/>
        </w:rPr>
        <w:t xml:space="preserve">nie. </w:t>
      </w:r>
      <w:r>
        <w:t>Nauczyciele wyjaśniają materiał w sposób poprawny metodycznie i merytorycznie. Zaobserwowano, że asystenci często niejasno tłumaczyli treść lekcji i popełniali błędy rzeczowe. Mimo, że w teorii nauczyciele i asystenci powinni ściśle współpracować, asystenci rzadko mieli możliwość przygotowania się do lekcji wspólnie z nauczycielami - najczęściej dostawali materiały do lekcji w pierwszych minutach jej trwania lub tuż przed jej rozpoczęciem.</w:t>
      </w:r>
    </w:p>
    <w:p w14:paraId="24341846" w14:textId="77777777" w:rsidR="00715A60" w:rsidRDefault="009A54EC">
      <w:pPr>
        <w:spacing w:before="0" w:after="0"/>
        <w:jc w:val="left"/>
      </w:pPr>
      <w:r>
        <w:rPr>
          <w:bCs/>
        </w:rPr>
        <w:t xml:space="preserve">W badaniach </w:t>
      </w:r>
      <w:proofErr w:type="spellStart"/>
      <w:r>
        <w:rPr>
          <w:bCs/>
        </w:rPr>
        <w:t>Alborz</w:t>
      </w:r>
      <w:proofErr w:type="spellEnd"/>
      <w:r>
        <w:t xml:space="preserve"> i zespołu (</w:t>
      </w:r>
      <w:proofErr w:type="spellStart"/>
      <w:r>
        <w:t>Alborz</w:t>
      </w:r>
      <w:proofErr w:type="spellEnd"/>
      <w:r>
        <w:t xml:space="preserve"> i in. 2009) przeanalizowano kolejne 232 badania empiryczne prowadzone przez różne zespoły, głównie w USA i Wielkiej Brytanii, na temat wpływu dorosłych asystentów dzieci ze specjalnymi potrzebami edukacyjnymi na edukację i uczestnictwo w życiu szkoły tych dzieci. W wyniku analiz stwierdzono:</w:t>
      </w:r>
    </w:p>
    <w:p w14:paraId="7D93FBEF" w14:textId="77777777" w:rsidR="00715A60" w:rsidRDefault="009A54EC">
      <w:pPr>
        <w:pStyle w:val="Akapitzlist"/>
        <w:numPr>
          <w:ilvl w:val="0"/>
          <w:numId w:val="7"/>
        </w:numPr>
        <w:spacing w:before="0" w:after="0"/>
        <w:jc w:val="left"/>
      </w:pPr>
      <w:r>
        <w:lastRenderedPageBreak/>
        <w:t>znaczące zwiększenie się liczby dorosłych asystentów uczniów ze SPE pracujących w szkołach,</w:t>
      </w:r>
    </w:p>
    <w:p w14:paraId="3134FD1B" w14:textId="77777777" w:rsidR="00715A60" w:rsidRDefault="009A54EC">
      <w:pPr>
        <w:pStyle w:val="Akapitzlist"/>
        <w:numPr>
          <w:ilvl w:val="0"/>
          <w:numId w:val="7"/>
        </w:numPr>
        <w:spacing w:before="0" w:after="0"/>
        <w:jc w:val="left"/>
      </w:pPr>
      <w:r>
        <w:t>systematyczne zwiększanie się liczby zgłoszeń dzieci, które (zdaniem rodziców/ nauczycieli) potrzebują asystenta.</w:t>
      </w:r>
    </w:p>
    <w:p w14:paraId="58DEC342" w14:textId="77777777" w:rsidR="00715A60" w:rsidRDefault="009A54EC">
      <w:pPr>
        <w:spacing w:after="0"/>
        <w:contextualSpacing/>
        <w:jc w:val="left"/>
      </w:pPr>
      <w:r>
        <w:t>Wyniki analizowanych badań wskazywały na następujące korzyści z pracy asystentów:</w:t>
      </w:r>
    </w:p>
    <w:p w14:paraId="74F59BA2" w14:textId="77777777" w:rsidR="00715A60" w:rsidRDefault="009A54EC">
      <w:pPr>
        <w:pStyle w:val="Akapitzlist"/>
        <w:numPr>
          <w:ilvl w:val="0"/>
          <w:numId w:val="5"/>
        </w:numPr>
        <w:spacing w:before="0"/>
        <w:jc w:val="left"/>
      </w:pPr>
      <w:r>
        <w:t>w czasie pobytu w szkole dzieci ze SPE, osoby dorosłe poświęcają im więcej uwagi,</w:t>
      </w:r>
    </w:p>
    <w:p w14:paraId="0D607BD5" w14:textId="77777777" w:rsidR="00715A60" w:rsidRDefault="009A54EC">
      <w:pPr>
        <w:pStyle w:val="Akapitzlist"/>
        <w:numPr>
          <w:ilvl w:val="0"/>
          <w:numId w:val="5"/>
        </w:numPr>
        <w:jc w:val="left"/>
      </w:pPr>
      <w:r>
        <w:t>dzieci ze SPE mają więcej możliwości relacji z dorosłą osobą,</w:t>
      </w:r>
    </w:p>
    <w:p w14:paraId="497B5619" w14:textId="77777777" w:rsidR="00715A60" w:rsidRDefault="009A54EC">
      <w:pPr>
        <w:pStyle w:val="Akapitzlist"/>
        <w:numPr>
          <w:ilvl w:val="0"/>
          <w:numId w:val="5"/>
        </w:numPr>
        <w:jc w:val="left"/>
      </w:pPr>
      <w:r>
        <w:t>dzieci ze SPE są bardziej zaangażowane w czasie lekcji,</w:t>
      </w:r>
    </w:p>
    <w:p w14:paraId="1BA2CE02" w14:textId="77777777" w:rsidR="00715A60" w:rsidRDefault="009A54EC">
      <w:pPr>
        <w:pStyle w:val="Akapitzlist"/>
        <w:numPr>
          <w:ilvl w:val="0"/>
          <w:numId w:val="5"/>
        </w:numPr>
        <w:jc w:val="left"/>
      </w:pPr>
      <w:r>
        <w:t>nauczyciele potwierdzają, że łatwiej można utrzymać dyscyplinę w klasie,</w:t>
      </w:r>
    </w:p>
    <w:p w14:paraId="4FC5DCCC" w14:textId="77777777" w:rsidR="00715A60" w:rsidRDefault="009A54EC">
      <w:pPr>
        <w:pStyle w:val="Akapitzlist"/>
        <w:numPr>
          <w:ilvl w:val="0"/>
          <w:numId w:val="5"/>
        </w:numPr>
        <w:jc w:val="left"/>
      </w:pPr>
      <w:r>
        <w:t>uczniowie pracujący z asystentem są bardziej zaangażowani w proces nauczania.</w:t>
      </w:r>
    </w:p>
    <w:p w14:paraId="74B44F2E" w14:textId="77777777" w:rsidR="00715A60" w:rsidRDefault="009A54EC">
      <w:pPr>
        <w:spacing w:after="0"/>
        <w:jc w:val="left"/>
      </w:pPr>
      <w:r>
        <w:t>Autorzy analiz wskazują jednak także na negatywne aspekty pracy asystenta:</w:t>
      </w:r>
    </w:p>
    <w:p w14:paraId="444E8615" w14:textId="77777777" w:rsidR="00715A60" w:rsidRDefault="009A54EC">
      <w:pPr>
        <w:pStyle w:val="Akapitzlist"/>
        <w:numPr>
          <w:ilvl w:val="0"/>
          <w:numId w:val="6"/>
        </w:numPr>
        <w:spacing w:before="0"/>
        <w:ind w:left="714" w:hanging="357"/>
        <w:jc w:val="left"/>
      </w:pPr>
      <w:r>
        <w:t>uczniowie ze SPE spędzają czas głównie z asystentem, nauczyciel prowadzący ma dla nich mniej czasu, rzadziej wchodzi z nimi w interakcje,</w:t>
      </w:r>
    </w:p>
    <w:p w14:paraId="137A9C8A" w14:textId="77777777" w:rsidR="00715A60" w:rsidRDefault="009A54EC">
      <w:pPr>
        <w:pStyle w:val="Akapitzlist"/>
        <w:numPr>
          <w:ilvl w:val="0"/>
          <w:numId w:val="6"/>
        </w:numPr>
        <w:jc w:val="left"/>
      </w:pPr>
      <w:r>
        <w:t>w badaniach nie wykazano poprawy w zakresie poziomu osiągnięć szkolnych dzieci ze SPE.</w:t>
      </w:r>
    </w:p>
    <w:p w14:paraId="61D4037E" w14:textId="77777777" w:rsidR="00715A60" w:rsidRDefault="009A54EC">
      <w:pPr>
        <w:jc w:val="left"/>
      </w:pPr>
      <w:r>
        <w:t>W dokumencie pt. „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on learning </w:t>
      </w:r>
      <w:proofErr w:type="spellStart"/>
      <w:r>
        <w:t>support</w:t>
      </w:r>
      <w:proofErr w:type="spellEnd"/>
      <w:r>
        <w:t xml:space="preserve">/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assistants</w:t>
      </w:r>
      <w:proofErr w:type="spellEnd"/>
      <w:r>
        <w:t>”, przygotowanym przez Europejską Agencję do spraw Specjalnych Potrzeb i Edukacji Włączającej, zebrano badania z ostatnich lat wskazujące na wyzwania związane z zatrudnianiem asystentów. Najważniejsze wnioski z tych badań zebrano w poniższym fragmencie.</w:t>
      </w:r>
    </w:p>
    <w:p w14:paraId="1D96DCCE" w14:textId="77777777" w:rsidR="00715A60" w:rsidRDefault="009A54EC">
      <w:pPr>
        <w:pStyle w:val="Nagwek2"/>
        <w:jc w:val="left"/>
      </w:pPr>
      <w:r>
        <w:t>1. Korzyści</w:t>
      </w:r>
    </w:p>
    <w:p w14:paraId="3FA1911E" w14:textId="77777777" w:rsidR="00715A60" w:rsidRDefault="009A54EC">
      <w:pPr>
        <w:jc w:val="left"/>
      </w:pPr>
      <w:r>
        <w:t>Dzięki obecności asystentów zwiększa się ilość czasu, którą uczniowie ze SPE spędzają w klasie z innymi uczniami (</w:t>
      </w:r>
      <w:proofErr w:type="spellStart"/>
      <w:r>
        <w:t>Rose</w:t>
      </w:r>
      <w:proofErr w:type="spellEnd"/>
      <w:r>
        <w:t xml:space="preserve"> and O’Neill 2009). Mają pozytywny wpływ na postępy w uczeniu się młodszych dzieci (</w:t>
      </w:r>
      <w:proofErr w:type="spellStart"/>
      <w:r>
        <w:t>Farrell</w:t>
      </w:r>
      <w:proofErr w:type="spellEnd"/>
      <w:r>
        <w:t xml:space="preserve"> 2010). Wspierane przez asystentów dzieci są w stanie dłużej koncentrować się na zadaniach (</w:t>
      </w:r>
      <w:proofErr w:type="spellStart"/>
      <w:r>
        <w:t>Ware</w:t>
      </w:r>
      <w:proofErr w:type="spellEnd"/>
      <w:r>
        <w:t xml:space="preserve"> i in. 2011).</w:t>
      </w:r>
    </w:p>
    <w:p w14:paraId="34491446" w14:textId="77777777" w:rsidR="00715A60" w:rsidRDefault="009A54EC">
      <w:pPr>
        <w:pStyle w:val="Nagwek2"/>
        <w:jc w:val="left"/>
      </w:pPr>
      <w:r>
        <w:t>2. Ograniczenia</w:t>
      </w:r>
    </w:p>
    <w:p w14:paraId="729B9C3D" w14:textId="77777777" w:rsidR="00715A60" w:rsidRDefault="009A54EC">
      <w:pPr>
        <w:jc w:val="left"/>
      </w:pPr>
      <w:r>
        <w:t xml:space="preserve">Stałe wspieranie dziecka przez asystenta oznaczać może stygmatyzację ze strony rówieśników, narastanie poczucia zależności oraz trudności w relacjach z rówieśnikami. Na niebezpieczeństwa te zwracają także uwagę </w:t>
      </w:r>
      <w:proofErr w:type="spellStart"/>
      <w:r>
        <w:t>Ware</w:t>
      </w:r>
      <w:proofErr w:type="spellEnd"/>
      <w:r>
        <w:t xml:space="preserve"> i in. 2011, </w:t>
      </w:r>
      <w:proofErr w:type="spellStart"/>
      <w:r>
        <w:t>Giangreco</w:t>
      </w:r>
      <w:proofErr w:type="spellEnd"/>
      <w:r>
        <w:t xml:space="preserve"> i in. 2010, </w:t>
      </w:r>
      <w:proofErr w:type="spellStart"/>
      <w:r>
        <w:t>Rose</w:t>
      </w:r>
      <w:proofErr w:type="spellEnd"/>
      <w:r>
        <w:t xml:space="preserve"> i O’Neill (2009). Natomiast </w:t>
      </w:r>
      <w:proofErr w:type="spellStart"/>
      <w:r>
        <w:t>Broer</w:t>
      </w:r>
      <w:proofErr w:type="spellEnd"/>
      <w:r>
        <w:t xml:space="preserve"> (2005) wskazuje, że błędne pojmowanie roli asystenta może prowadzić do postrzegania go jako opiekuna, nauczyciela, rodzica i przyjaciela, co utrudnia dziecku nawiązywanie relacji rówieśniczych.</w:t>
      </w:r>
    </w:p>
    <w:p w14:paraId="56C5D60E" w14:textId="77777777" w:rsidR="00715A60" w:rsidRDefault="009A54EC">
      <w:pPr>
        <w:jc w:val="left"/>
      </w:pPr>
      <w:r>
        <w:t>Stała asystencja może być postrzegana przez ucznia ze SPE jako forma nadmiernej kontroli, przez co nie może on eksperymentować i podejmować niezależnych decyzji, natomiast narasta w nim poczucie zależności, niedowartościowania i „inności” (</w:t>
      </w:r>
      <w:proofErr w:type="spellStart"/>
      <w:r>
        <w:t>Mortier</w:t>
      </w:r>
      <w:proofErr w:type="spellEnd"/>
      <w:r>
        <w:t xml:space="preserve"> i in. 2011).</w:t>
      </w:r>
    </w:p>
    <w:p w14:paraId="7EB1C7B3" w14:textId="77777777" w:rsidR="00715A60" w:rsidRDefault="009A54EC">
      <w:pPr>
        <w:pStyle w:val="Nagwek2"/>
        <w:jc w:val="left"/>
      </w:pPr>
      <w:r>
        <w:lastRenderedPageBreak/>
        <w:t>3. Kwalifikacje i poziom kompetencji asystentów</w:t>
      </w:r>
    </w:p>
    <w:p w14:paraId="05471E75" w14:textId="77777777" w:rsidR="00715A60" w:rsidRDefault="009A54EC">
      <w:pPr>
        <w:jc w:val="left"/>
      </w:pPr>
      <w:r>
        <w:t>W wielu krajach asystentami często są osoby o niższym wykształceniu niż nauczyciele. Obserwuje się także rozszerzanie się zakresu zadań asystentów – od zadań opiekuńczych do zadań związanych z nauczaniem. Indywidualne wspieranie ucznia przez asystenta często oznacza, że uczeń ze SPE nie jest nauczany przez nauczyciela prowadzącego, lecz przez asystenta. Prowadzi to do paradoksu - uczniowie o najbardziej złożonych potrzebach wspierani są przez osoby o najniższych kwalifikacjach (</w:t>
      </w:r>
      <w:proofErr w:type="spellStart"/>
      <w:r>
        <w:t>Giangreco</w:t>
      </w:r>
      <w:proofErr w:type="spellEnd"/>
      <w:r>
        <w:t xml:space="preserve"> 2010), tymczasem podstawowe założenie edukacji włączającej to prawo ucznia ze SPE do bycia nauczanym przez wykwalifikowanego nauczyciela i otrzymanie profesjonalnego wsparcia w uczeniu się (</w:t>
      </w:r>
      <w:proofErr w:type="spellStart"/>
      <w:r>
        <w:t>MacBeath</w:t>
      </w:r>
      <w:proofErr w:type="spellEnd"/>
      <w:r>
        <w:t xml:space="preserve"> i in. 2006). W Wielkiej Brytanii stwierdzono, że uczniowie ze SPE pracujący z asystentami częściej skarżą się na niską jakość edukacji (Webster and </w:t>
      </w:r>
      <w:proofErr w:type="spellStart"/>
      <w:r>
        <w:t>Blatchford</w:t>
      </w:r>
      <w:proofErr w:type="spellEnd"/>
      <w:r>
        <w:t xml:space="preserve"> 2013).</w:t>
      </w:r>
    </w:p>
    <w:p w14:paraId="14682EDF" w14:textId="77777777" w:rsidR="00715A60" w:rsidRDefault="009A54EC">
      <w:pPr>
        <w:jc w:val="left"/>
      </w:pPr>
      <w:r>
        <w:t>Asystenci uczą inaczej niż nauczyciele – koncentrują się bardziej na ukończeniu zadania niż rozwijaniu samodzielności myślenia, nadmiernie upraszczają materiał, zadają więcej pytań-rozstrzygnięć (</w:t>
      </w:r>
      <w:proofErr w:type="spellStart"/>
      <w:r>
        <w:t>Ware</w:t>
      </w:r>
      <w:proofErr w:type="spellEnd"/>
      <w:r>
        <w:t xml:space="preserve"> i in. 2011).</w:t>
      </w:r>
    </w:p>
    <w:p w14:paraId="7BDAD59C" w14:textId="77777777" w:rsidR="00715A60" w:rsidRDefault="009A54EC">
      <w:pPr>
        <w:pStyle w:val="Nagwek2"/>
        <w:jc w:val="left"/>
      </w:pPr>
      <w:r>
        <w:t>4. Współpraca asystenta i nauczyciela prowadzącego</w:t>
      </w:r>
    </w:p>
    <w:p w14:paraId="1541AF25" w14:textId="77777777" w:rsidR="00715A60" w:rsidRDefault="009A54EC">
      <w:pPr>
        <w:jc w:val="left"/>
      </w:pPr>
      <w:r>
        <w:t>Nauczyciele często nie wyobrażają sobie pracy w klasie z innym dorosłym – dlatego ograniczają rolę asystentów np. do zadań związanych z utrzymaniem dyscypliny (</w:t>
      </w:r>
      <w:proofErr w:type="spellStart"/>
      <w:r>
        <w:t>Bourke</w:t>
      </w:r>
      <w:proofErr w:type="spellEnd"/>
      <w:r>
        <w:t xml:space="preserve"> 2010). Nauczyciele uważają także, że rolą asystentów jest pełna opieka nad uczniami ze SPE i nie podejmują wobec nich takich działań, jak wobec innych uczniów (</w:t>
      </w:r>
      <w:proofErr w:type="spellStart"/>
      <w:r>
        <w:t>Tutty</w:t>
      </w:r>
      <w:proofErr w:type="spellEnd"/>
      <w:r>
        <w:t xml:space="preserve"> and </w:t>
      </w:r>
      <w:proofErr w:type="spellStart"/>
      <w:r>
        <w:t>Hocking</w:t>
      </w:r>
      <w:proofErr w:type="spellEnd"/>
      <w:r>
        <w:t xml:space="preserve"> 2004). Im więcej czasu uczeń spędza z asystentem, tym mniej czasu spędza z klasą i nauczycielem prowadzącym.</w:t>
      </w:r>
    </w:p>
    <w:p w14:paraId="13E8E075" w14:textId="77777777" w:rsidR="00715A60" w:rsidRDefault="009A54EC">
      <w:pPr>
        <w:pStyle w:val="Nagwek2"/>
        <w:jc w:val="left"/>
      </w:pPr>
      <w:r>
        <w:t>5. Osiągnięcia edukacyjne</w:t>
      </w:r>
    </w:p>
    <w:p w14:paraId="67F79CF4" w14:textId="77777777" w:rsidR="00715A60" w:rsidRDefault="009A54EC">
      <w:pPr>
        <w:jc w:val="left"/>
      </w:pPr>
      <w:r>
        <w:t>Osiągnięcia edukacyjne uczniów pracujących z asystentami są niższe niż tych uczniów, którzy nauczani są bezpośrednio przez nauczycieli (</w:t>
      </w:r>
      <w:proofErr w:type="spellStart"/>
      <w:r>
        <w:t>Ainscow</w:t>
      </w:r>
      <w:proofErr w:type="spellEnd"/>
      <w:r>
        <w:t xml:space="preserve">, 2000; </w:t>
      </w:r>
      <w:proofErr w:type="spellStart"/>
      <w:r>
        <w:t>Giangreco</w:t>
      </w:r>
      <w:proofErr w:type="spellEnd"/>
      <w:r>
        <w:t xml:space="preserve"> and Doyle, 2007). Im więcej wsparcia uczniowie otrzymywali ze strony asystenta, tym niższe były ich wyniki edukacyjne. Stwierdzono, że uczniowie pracujący z asystentami wykonywali często zupełnie inne zadania niż pozostali uczniowie, tak więc asystenci nie wspierali nauczyciela, ale prowadzili „alternatywną lekcję” (Webster et al, 2010).</w:t>
      </w:r>
    </w:p>
    <w:p w14:paraId="214D1C2D" w14:textId="77777777" w:rsidR="00715A60" w:rsidRDefault="009A54EC">
      <w:pPr>
        <w:pStyle w:val="Nagwek1"/>
        <w:jc w:val="left"/>
      </w:pPr>
      <w:r>
        <w:t>Rekomendacje końcowe</w:t>
      </w:r>
    </w:p>
    <w:p w14:paraId="263EB487" w14:textId="77777777" w:rsidR="00715A60" w:rsidRDefault="009A54EC">
      <w:pPr>
        <w:jc w:val="left"/>
      </w:pPr>
      <w:r>
        <w:t>Na podstawie przeglądu badań dotyczących wyzwań związanych z zatrudnianiem asystentów edukacyjnych dla uczniów ze specjalnymi potrzebami edukacyjnymi można sformułować następujące rekomendacje, które powinny być wzięte pod uwagę przy planowaniu tego typu wsparcia w polskich szkołach ogólnodostępnych (włączających):</w:t>
      </w:r>
    </w:p>
    <w:p w14:paraId="4EA07223" w14:textId="77777777" w:rsidR="00715A60" w:rsidRDefault="009A54EC">
      <w:pPr>
        <w:numPr>
          <w:ilvl w:val="0"/>
          <w:numId w:val="9"/>
        </w:numPr>
        <w:ind w:left="284" w:hanging="284"/>
        <w:jc w:val="left"/>
      </w:pPr>
      <w:r>
        <w:t xml:space="preserve">Nauczyciel prowadzący powinien być odpowiedzialny za </w:t>
      </w:r>
      <w:r w:rsidRPr="00711046">
        <w:t xml:space="preserve">nauczanie </w:t>
      </w:r>
      <w:r w:rsidRPr="00711046">
        <w:rPr>
          <w:bCs/>
        </w:rPr>
        <w:t>wszystkich uczniów w klasie,</w:t>
      </w:r>
      <w:r>
        <w:t xml:space="preserve"> także uczniów ze SPE. Powinien być do tego przygotowywany w czasie studiów oraz kursów podnoszących kwalifikacje. Wymaga to zmiany postrzegania roli nauczyciela w szkole włączającej – jako nauczyciela wszystkich uczniów.</w:t>
      </w:r>
    </w:p>
    <w:p w14:paraId="7C479369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lastRenderedPageBreak/>
        <w:t xml:space="preserve">Asystenci o wysokich kwalifikacjach mogą pełnić istotną rolę </w:t>
      </w:r>
      <w:r w:rsidRPr="00711046">
        <w:rPr>
          <w:bCs/>
        </w:rPr>
        <w:t>we wspieraniu edukacji</w:t>
      </w:r>
      <w:r w:rsidRPr="00711046">
        <w:t xml:space="preserve"> włączającej, zarówno w zakresie promowania osiągnięć szkolnych, jak też kompetencji społeczno-emocjonalnych i uczestnictwa dzieci ze SPE w życiu szkoły.</w:t>
      </w:r>
    </w:p>
    <w:p w14:paraId="60EF1628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Rolą asystenta powinno być </w:t>
      </w:r>
      <w:r w:rsidRPr="00711046">
        <w:rPr>
          <w:bCs/>
        </w:rPr>
        <w:t>wspieranie nauczyciela</w:t>
      </w:r>
      <w:r w:rsidRPr="00711046">
        <w:t xml:space="preserve"> w procesie nauczania, a nie pojedynczego dziecka w procesie uczenia się. Zaleca się więc, aby asystenci pracowali z całą klasą, co redukuje stygmatyzację oraz poczucie zależności uczniów ze SPE. Nauczyciel i asystent nauczyciela powinni pracować wspólnie. Asystent powinien realizować szerszą strategię pracy w klasie tak, aby umożliwiać osiąganie sukcesu wszystkim uczniom, nie może być „przypisany” do udzielania wsparcia pojedynczemu uczniowi. Takie stanowisko wyrażane jest w krajach o długiej tradycji zatrudniania asystentów: Kanadzie (</w:t>
      </w:r>
      <w:proofErr w:type="spellStart"/>
      <w:r w:rsidRPr="00711046">
        <w:t>Brunswick</w:t>
      </w:r>
      <w:proofErr w:type="spellEnd"/>
      <w:r w:rsidRPr="00711046">
        <w:t xml:space="preserve"> </w:t>
      </w:r>
      <w:proofErr w:type="spellStart"/>
      <w:r w:rsidRPr="00711046">
        <w:t>Association</w:t>
      </w:r>
      <w:proofErr w:type="spellEnd"/>
      <w:r w:rsidRPr="00711046">
        <w:t xml:space="preserve"> for </w:t>
      </w:r>
      <w:proofErr w:type="spellStart"/>
      <w:r w:rsidRPr="00711046">
        <w:t>Community</w:t>
      </w:r>
      <w:proofErr w:type="spellEnd"/>
      <w:r w:rsidRPr="00711046">
        <w:t xml:space="preserve"> </w:t>
      </w:r>
      <w:proofErr w:type="spellStart"/>
      <w:r w:rsidRPr="00711046">
        <w:t>Living</w:t>
      </w:r>
      <w:proofErr w:type="spellEnd"/>
      <w:r w:rsidRPr="00711046">
        <w:t xml:space="preserve"> 2007) i Finlandii (</w:t>
      </w:r>
      <w:proofErr w:type="spellStart"/>
      <w:r w:rsidRPr="00711046">
        <w:t>Takala</w:t>
      </w:r>
      <w:proofErr w:type="spellEnd"/>
      <w:r w:rsidRPr="00711046">
        <w:t xml:space="preserve"> 2007). Pytani o opinię, uczniowie wolą pracować bez pomocy asystenta tak często jak to możliwe (</w:t>
      </w:r>
      <w:proofErr w:type="spellStart"/>
      <w:r w:rsidRPr="00711046">
        <w:t>Broer</w:t>
      </w:r>
      <w:proofErr w:type="spellEnd"/>
      <w:r w:rsidRPr="00711046">
        <w:t xml:space="preserve">, Doyle, </w:t>
      </w:r>
      <w:proofErr w:type="spellStart"/>
      <w:r w:rsidRPr="00711046">
        <w:t>Giangreco</w:t>
      </w:r>
      <w:proofErr w:type="spellEnd"/>
      <w:r w:rsidRPr="00711046">
        <w:t xml:space="preserve"> 2005).</w:t>
      </w:r>
    </w:p>
    <w:p w14:paraId="4F31F5D7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Asystent </w:t>
      </w:r>
      <w:r w:rsidRPr="00711046">
        <w:rPr>
          <w:bCs/>
        </w:rPr>
        <w:t xml:space="preserve">nie może zastępować nauczyciela </w:t>
      </w:r>
      <w:r w:rsidRPr="00711046">
        <w:t>w jego roli, ale go wspierać.</w:t>
      </w:r>
    </w:p>
    <w:p w14:paraId="4AB115DE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Asystent </w:t>
      </w:r>
      <w:r w:rsidRPr="00711046">
        <w:rPr>
          <w:bCs/>
        </w:rPr>
        <w:t>nie może działać zamiast ucznia</w:t>
      </w:r>
      <w:r w:rsidRPr="00711046">
        <w:t xml:space="preserve"> - wspiera ucznia w niezależnym uczeniu się i samodzielnym rozwiązywaniu problemów, nie wyręcza go.</w:t>
      </w:r>
    </w:p>
    <w:p w14:paraId="06A0BA8C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Ważne jest </w:t>
      </w:r>
      <w:r w:rsidRPr="00711046">
        <w:rPr>
          <w:bCs/>
        </w:rPr>
        <w:t>dobre przygotowanie asystentów,</w:t>
      </w:r>
      <w:r w:rsidRPr="00711046">
        <w:t xml:space="preserve"> tak, aby wspierali ucznia dyskretnie, we współpracy z nauczycielem prowadzącym, stwarzając uczniowi szanse na nawiązywanie relacji rówieśniczych i uczenie się samodzielności. Wskazane jest wyodrębnienie różnych typów asystentów i określenie wymagań dotyczących ich kwalifikacji.</w:t>
      </w:r>
    </w:p>
    <w:p w14:paraId="5F21389E" w14:textId="77777777" w:rsidR="00715A60" w:rsidRPr="00711046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Uczniom należy także zapewnić inne formy wsparcia - cenią oni sobie </w:t>
      </w:r>
      <w:r w:rsidRPr="00711046">
        <w:rPr>
          <w:bCs/>
        </w:rPr>
        <w:t>alternatywne formy wsparcia</w:t>
      </w:r>
      <w:r w:rsidRPr="00711046">
        <w:t>, które nie są tak stygmatyzujące (np. wsparcie technologiczne – korzystanie z komputerów i innych urządzeń (</w:t>
      </w:r>
      <w:proofErr w:type="spellStart"/>
      <w:r w:rsidRPr="00711046">
        <w:t>Broer</w:t>
      </w:r>
      <w:proofErr w:type="spellEnd"/>
      <w:r w:rsidRPr="00711046">
        <w:t xml:space="preserve">, Doyle, </w:t>
      </w:r>
      <w:proofErr w:type="spellStart"/>
      <w:r w:rsidRPr="00711046">
        <w:t>Giangreco</w:t>
      </w:r>
      <w:proofErr w:type="spellEnd"/>
      <w:r w:rsidRPr="00711046">
        <w:t xml:space="preserve"> 2005). Kluczowe znaczenie ma tutaj stosowanie modelu projektowania uniwersalnego w uczeniu się i nauczaniu.</w:t>
      </w:r>
    </w:p>
    <w:p w14:paraId="1885E23D" w14:textId="47DA37E6" w:rsidR="00727F29" w:rsidRDefault="009A54EC">
      <w:pPr>
        <w:numPr>
          <w:ilvl w:val="0"/>
          <w:numId w:val="9"/>
        </w:numPr>
        <w:ind w:left="284" w:hanging="284"/>
        <w:jc w:val="left"/>
      </w:pPr>
      <w:r w:rsidRPr="00711046">
        <w:t xml:space="preserve">Praca asystenta jest tym bardziej efektywna, im bardziej jest on traktowany </w:t>
      </w:r>
      <w:r w:rsidRPr="00711046">
        <w:rPr>
          <w:bCs/>
        </w:rPr>
        <w:t>jako pracownik szkoły,</w:t>
      </w:r>
      <w:r w:rsidRPr="00711046">
        <w:t xml:space="preserve"> członek grona pedagogicznego, kiedy bierze udział w podejmowaniu decyzji i opracowywaniu strategii pracy szkoły, kiedy jego rola jest dokładnie określona</w:t>
      </w:r>
      <w:r>
        <w:t xml:space="preserve"> i podlega ewaluacji.</w:t>
      </w:r>
    </w:p>
    <w:p w14:paraId="199F43A1" w14:textId="77777777" w:rsidR="00727F29" w:rsidRDefault="00727F29">
      <w:pPr>
        <w:spacing w:before="0" w:after="0" w:line="240" w:lineRule="auto"/>
        <w:jc w:val="left"/>
      </w:pPr>
      <w:r>
        <w:br w:type="page"/>
      </w:r>
    </w:p>
    <w:p w14:paraId="6344F3A8" w14:textId="77777777" w:rsidR="00715A60" w:rsidRDefault="009A54EC">
      <w:pPr>
        <w:pStyle w:val="Nagwek1"/>
        <w:jc w:val="left"/>
        <w:rPr>
          <w:lang w:val="en-GB"/>
        </w:rPr>
      </w:pPr>
      <w:proofErr w:type="spellStart"/>
      <w:r>
        <w:rPr>
          <w:lang w:val="en-GB"/>
        </w:rPr>
        <w:lastRenderedPageBreak/>
        <w:t>Bibliografia</w:t>
      </w:r>
      <w:proofErr w:type="spellEnd"/>
    </w:p>
    <w:p w14:paraId="67446865" w14:textId="77777777" w:rsidR="00715A60" w:rsidRDefault="009A54EC">
      <w:pPr>
        <w:jc w:val="left"/>
        <w:rPr>
          <w:lang w:val="en-GB" w:eastAsia="pl-PL"/>
        </w:rPr>
      </w:pPr>
      <w:r>
        <w:rPr>
          <w:lang w:val="en-GB" w:eastAsia="pl-PL"/>
        </w:rPr>
        <w:t xml:space="preserve">Blatchford P., Bassett P., Brown P., </w:t>
      </w:r>
      <w:proofErr w:type="spellStart"/>
      <w:r>
        <w:rPr>
          <w:lang w:val="en-GB" w:eastAsia="pl-PL"/>
        </w:rPr>
        <w:t>Koutsoubou</w:t>
      </w:r>
      <w:proofErr w:type="spellEnd"/>
      <w:r>
        <w:rPr>
          <w:lang w:val="en-GB" w:eastAsia="pl-PL"/>
        </w:rPr>
        <w:t xml:space="preserve"> M., Russell A., Webster R., </w:t>
      </w:r>
      <w:proofErr w:type="spellStart"/>
      <w:r>
        <w:rPr>
          <w:lang w:val="en-GB" w:eastAsia="pl-PL"/>
        </w:rPr>
        <w:t>Rubie</w:t>
      </w:r>
      <w:proofErr w:type="spellEnd"/>
      <w:r>
        <w:rPr>
          <w:lang w:val="en-GB" w:eastAsia="pl-PL"/>
        </w:rPr>
        <w:t xml:space="preserve">-Davies C. (2009). </w:t>
      </w:r>
      <w:r>
        <w:rPr>
          <w:i/>
          <w:lang w:val="en-GB" w:eastAsia="pl-PL"/>
        </w:rPr>
        <w:t>The impact of support staff in Schools. Results from the deployment and impact of support staff (DISS) project Strand 2</w:t>
      </w:r>
      <w:r>
        <w:rPr>
          <w:lang w:val="en-GB" w:eastAsia="pl-PL"/>
        </w:rPr>
        <w:t>, Wave 2, DCSF.</w:t>
      </w:r>
    </w:p>
    <w:p w14:paraId="4665C7E7" w14:textId="77777777" w:rsidR="00715A60" w:rsidRDefault="009A54EC">
      <w:pPr>
        <w:jc w:val="left"/>
        <w:rPr>
          <w:lang w:val="en-US" w:eastAsia="pl-PL"/>
        </w:rPr>
      </w:pPr>
      <w:r>
        <w:rPr>
          <w:lang w:val="en-GB" w:eastAsia="pl-PL"/>
        </w:rPr>
        <w:t xml:space="preserve">Alborz A., Pearson D., Farrell P., </w:t>
      </w:r>
      <w:proofErr w:type="spellStart"/>
      <w:r>
        <w:rPr>
          <w:lang w:val="en-GB" w:eastAsia="pl-PL"/>
        </w:rPr>
        <w:t>Howes</w:t>
      </w:r>
      <w:proofErr w:type="spellEnd"/>
      <w:r>
        <w:rPr>
          <w:lang w:val="en-GB" w:eastAsia="pl-PL"/>
        </w:rPr>
        <w:t xml:space="preserve"> A. (2009). </w:t>
      </w:r>
      <w:r>
        <w:rPr>
          <w:i/>
          <w:iCs/>
          <w:lang w:val="en-GB" w:eastAsia="pl-PL"/>
        </w:rPr>
        <w:t>The impact of adult support staff on pupils and mainstream schools. Technical Report.</w:t>
      </w:r>
      <w:r>
        <w:rPr>
          <w:lang w:val="en-GB" w:eastAsia="pl-PL"/>
        </w:rPr>
        <w:t xml:space="preserve"> W: </w:t>
      </w:r>
      <w:r>
        <w:rPr>
          <w:iCs/>
          <w:lang w:val="en-GB" w:eastAsia="pl-PL"/>
        </w:rPr>
        <w:t>Research evidence in education library</w:t>
      </w:r>
      <w:r>
        <w:rPr>
          <w:lang w:val="en-GB" w:eastAsia="pl-PL"/>
        </w:rPr>
        <w:t>. London: EPPI-Centre, Social Science Research Unit, Institute of Education, University of London.</w:t>
      </w:r>
    </w:p>
    <w:p w14:paraId="49B2C142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Blatchford, P., Russell, A. and Webster, R., 2012. </w:t>
      </w:r>
      <w:r>
        <w:rPr>
          <w:i/>
          <w:iCs/>
          <w:lang w:val="en-US" w:eastAsia="pl-PL"/>
        </w:rPr>
        <w:t>Re-assessing the impact of teaching assistants. How research challenges practice and policy</w:t>
      </w:r>
      <w:r>
        <w:rPr>
          <w:lang w:val="en-US" w:eastAsia="pl-PL"/>
        </w:rPr>
        <w:t>. Abingdon: Routledge.</w:t>
      </w:r>
    </w:p>
    <w:p w14:paraId="69ACE0BC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Bourke, P., 2010. </w:t>
      </w:r>
      <w:r>
        <w:rPr>
          <w:i/>
          <w:lang w:val="en-US" w:eastAsia="pl-PL"/>
        </w:rPr>
        <w:t>Inclusive education reform in Queensland: Implications for policy and practice</w:t>
      </w:r>
      <w:r>
        <w:rPr>
          <w:lang w:val="en-US" w:eastAsia="pl-PL"/>
        </w:rPr>
        <w:t xml:space="preserve">. </w:t>
      </w:r>
      <w:r>
        <w:rPr>
          <w:iCs/>
          <w:lang w:val="en-US" w:eastAsia="pl-PL"/>
        </w:rPr>
        <w:t>International Journal of Inclusive Education</w:t>
      </w:r>
      <w:r>
        <w:rPr>
          <w:lang w:val="en-US" w:eastAsia="pl-PL"/>
        </w:rPr>
        <w:t>, 14 (2), s. 183–193.</w:t>
      </w:r>
    </w:p>
    <w:p w14:paraId="28366B62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Broer</w:t>
      </w:r>
      <w:proofErr w:type="spellEnd"/>
      <w:r>
        <w:rPr>
          <w:lang w:val="en-US" w:eastAsia="pl-PL"/>
        </w:rPr>
        <w:t xml:space="preserve">, M., Doyle, M. and </w:t>
      </w:r>
      <w:proofErr w:type="spellStart"/>
      <w:r>
        <w:rPr>
          <w:lang w:val="en-US" w:eastAsia="pl-PL"/>
        </w:rPr>
        <w:t>Giangreco</w:t>
      </w:r>
      <w:proofErr w:type="spellEnd"/>
      <w:r>
        <w:rPr>
          <w:lang w:val="en-US" w:eastAsia="pl-PL"/>
        </w:rPr>
        <w:t xml:space="preserve">, M., 2005. </w:t>
      </w:r>
      <w:r>
        <w:rPr>
          <w:i/>
          <w:lang w:val="en-US" w:eastAsia="pl-PL"/>
        </w:rPr>
        <w:t>Perspectives of students with intellectual disabilities about their experiences with paraprofessional support</w:t>
      </w:r>
      <w:r>
        <w:rPr>
          <w:lang w:val="en-US" w:eastAsia="pl-PL"/>
        </w:rPr>
        <w:t xml:space="preserve">. </w:t>
      </w:r>
      <w:r>
        <w:rPr>
          <w:iCs/>
          <w:lang w:val="en-US" w:eastAsia="pl-PL"/>
        </w:rPr>
        <w:t>Exceptional Children,</w:t>
      </w:r>
      <w:r>
        <w:rPr>
          <w:lang w:val="en-US" w:eastAsia="pl-PL"/>
        </w:rPr>
        <w:t xml:space="preserve"> 71 (4), s. 415–30.</w:t>
      </w:r>
    </w:p>
    <w:p w14:paraId="4AC25555" w14:textId="77777777" w:rsidR="00715A60" w:rsidRDefault="009A54EC">
      <w:pPr>
        <w:jc w:val="left"/>
        <w:rPr>
          <w:lang w:eastAsia="pl-PL"/>
        </w:rPr>
      </w:pPr>
      <w:proofErr w:type="spellStart"/>
      <w:r>
        <w:rPr>
          <w:lang w:val="en-US" w:eastAsia="pl-PL"/>
        </w:rPr>
        <w:t>Causton-Theoharis</w:t>
      </w:r>
      <w:proofErr w:type="spellEnd"/>
      <w:r>
        <w:rPr>
          <w:lang w:val="en-US" w:eastAsia="pl-PL"/>
        </w:rPr>
        <w:t xml:space="preserve">, J. 2009. </w:t>
      </w:r>
      <w:r>
        <w:rPr>
          <w:i/>
          <w:lang w:val="en-US" w:eastAsia="pl-PL"/>
        </w:rPr>
        <w:t>The Golden Rule of Providing Support in Inclusive Classrooms: Support others as you would wish to be supported</w:t>
      </w:r>
      <w:r>
        <w:rPr>
          <w:lang w:val="en-US" w:eastAsia="pl-PL"/>
        </w:rPr>
        <w:t xml:space="preserve">. </w:t>
      </w:r>
      <w:proofErr w:type="spellStart"/>
      <w:r>
        <w:rPr>
          <w:lang w:eastAsia="pl-PL"/>
        </w:rPr>
        <w:t>Teaching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Exceptional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Children</w:t>
      </w:r>
      <w:proofErr w:type="spellEnd"/>
      <w:r>
        <w:rPr>
          <w:lang w:eastAsia="pl-PL"/>
        </w:rPr>
        <w:t>,</w:t>
      </w:r>
      <w:r>
        <w:rPr>
          <w:i/>
          <w:lang w:eastAsia="pl-PL"/>
        </w:rPr>
        <w:t xml:space="preserve"> </w:t>
      </w:r>
      <w:r>
        <w:rPr>
          <w:lang w:eastAsia="pl-PL"/>
        </w:rPr>
        <w:t>42, s. 2, 36-43.</w:t>
      </w:r>
    </w:p>
    <w:p w14:paraId="1C5089B4" w14:textId="77777777" w:rsidR="00715A60" w:rsidRDefault="009A54EC">
      <w:pPr>
        <w:jc w:val="left"/>
        <w:rPr>
          <w:lang w:val="en-GB" w:eastAsia="pl-PL"/>
        </w:rPr>
      </w:pPr>
      <w:bookmarkStart w:id="1" w:name="__DdeLink__826_2494525704"/>
      <w:r>
        <w:rPr>
          <w:lang w:eastAsia="pl-PL"/>
        </w:rPr>
        <w:t xml:space="preserve">Domagała-Zyśk, E. (2018). </w:t>
      </w:r>
      <w:r>
        <w:rPr>
          <w:i/>
          <w:lang w:eastAsia="pl-PL"/>
        </w:rPr>
        <w:t>Dostosowanie lekcji języka angielskiego jako obcego do potrzeb uczniów z dysfunkcją słuchu w nauczaniu wczesnoszkolnym</w:t>
      </w:r>
      <w:r>
        <w:rPr>
          <w:lang w:eastAsia="pl-PL"/>
        </w:rPr>
        <w:t xml:space="preserve">. </w:t>
      </w:r>
      <w:proofErr w:type="spellStart"/>
      <w:r>
        <w:rPr>
          <w:lang w:val="en-GB" w:eastAsia="pl-PL"/>
        </w:rPr>
        <w:t>Szkoła</w:t>
      </w:r>
      <w:proofErr w:type="spellEnd"/>
      <w:r>
        <w:rPr>
          <w:lang w:val="en-GB" w:eastAsia="pl-PL"/>
        </w:rPr>
        <w:t xml:space="preserve"> </w:t>
      </w:r>
      <w:proofErr w:type="spellStart"/>
      <w:r>
        <w:rPr>
          <w:lang w:val="en-GB" w:eastAsia="pl-PL"/>
        </w:rPr>
        <w:t>Specjalna</w:t>
      </w:r>
      <w:proofErr w:type="spellEnd"/>
      <w:r>
        <w:rPr>
          <w:lang w:val="en-GB" w:eastAsia="pl-PL"/>
        </w:rPr>
        <w:t xml:space="preserve"> 1, s. 12-20.</w:t>
      </w:r>
      <w:bookmarkEnd w:id="1"/>
    </w:p>
    <w:p w14:paraId="58BF807A" w14:textId="77777777" w:rsidR="00715A60" w:rsidRDefault="009A54EC">
      <w:pPr>
        <w:jc w:val="left"/>
        <w:rPr>
          <w:lang w:val="en-US" w:eastAsia="pl-PL"/>
        </w:rPr>
      </w:pPr>
      <w:r>
        <w:rPr>
          <w:i/>
          <w:lang w:val="en-GB" w:eastAsia="pl-PL"/>
        </w:rPr>
        <w:t>Education for all. Special needs and inclusive education in Malta</w:t>
      </w:r>
      <w:r>
        <w:rPr>
          <w:lang w:val="en-GB" w:eastAsia="pl-PL"/>
        </w:rPr>
        <w:t>. Annex 2: Desk Research Report. European Agency for Special Needs and Inclusive Education.</w:t>
      </w:r>
    </w:p>
    <w:p w14:paraId="45B0AA1A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Farrell, P., Alborz, A., </w:t>
      </w:r>
      <w:proofErr w:type="spellStart"/>
      <w:r>
        <w:rPr>
          <w:lang w:val="en-US" w:eastAsia="pl-PL"/>
        </w:rPr>
        <w:t>Howes</w:t>
      </w:r>
      <w:proofErr w:type="spellEnd"/>
      <w:r>
        <w:rPr>
          <w:lang w:val="en-US" w:eastAsia="pl-PL"/>
        </w:rPr>
        <w:t xml:space="preserve">, A., and Pearson, D., 2010. </w:t>
      </w:r>
      <w:r>
        <w:rPr>
          <w:i/>
          <w:lang w:val="en-US" w:eastAsia="pl-PL"/>
        </w:rPr>
        <w:t>The Impact of Teaching Assistants on Improving Pupils Academic Achievement in Mainstream School: A Review of the Literature</w:t>
      </w:r>
      <w:r>
        <w:rPr>
          <w:lang w:val="en-US" w:eastAsia="pl-PL"/>
        </w:rPr>
        <w:t>. Educational Review. Vol. 62 (4), s. 435- 448.</w:t>
      </w:r>
    </w:p>
    <w:p w14:paraId="257A82DC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Giangreco</w:t>
      </w:r>
      <w:proofErr w:type="spellEnd"/>
      <w:r>
        <w:rPr>
          <w:lang w:val="en-US" w:eastAsia="pl-PL"/>
        </w:rPr>
        <w:t xml:space="preserve">, M.F., 2010. </w:t>
      </w:r>
      <w:r>
        <w:rPr>
          <w:i/>
          <w:lang w:val="en-US" w:eastAsia="pl-PL"/>
        </w:rPr>
        <w:t>One-to-one paraprofessionals for students with disabilities in inclusive classrooms: Is conventional wisdom wrong?</w:t>
      </w:r>
      <w:r>
        <w:rPr>
          <w:lang w:val="en-US" w:eastAsia="pl-PL"/>
        </w:rPr>
        <w:t xml:space="preserve">, </w:t>
      </w:r>
      <w:r>
        <w:rPr>
          <w:iCs/>
          <w:lang w:val="en-US" w:eastAsia="pl-PL"/>
        </w:rPr>
        <w:t>Intellectual and Developmental Disabilitie</w:t>
      </w:r>
      <w:r>
        <w:rPr>
          <w:lang w:val="en-US" w:eastAsia="pl-PL"/>
        </w:rPr>
        <w:t>s, 48 (1), s. 1–13.</w:t>
      </w:r>
    </w:p>
    <w:p w14:paraId="67FAFC79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Giangreco</w:t>
      </w:r>
      <w:proofErr w:type="spellEnd"/>
      <w:r>
        <w:rPr>
          <w:lang w:val="en-US" w:eastAsia="pl-PL"/>
        </w:rPr>
        <w:t xml:space="preserve">, M.F. and Doyle, M.B., 2007. </w:t>
      </w:r>
      <w:r>
        <w:rPr>
          <w:i/>
          <w:lang w:val="en-US" w:eastAsia="pl-PL"/>
        </w:rPr>
        <w:t>Teacher Assistants in Inclusive Schools</w:t>
      </w:r>
      <w:r>
        <w:rPr>
          <w:lang w:val="en-US" w:eastAsia="pl-PL"/>
        </w:rPr>
        <w:t xml:space="preserve">. W: L. Florian (Ed.), </w:t>
      </w:r>
      <w:r>
        <w:rPr>
          <w:iCs/>
          <w:lang w:val="en-US" w:eastAsia="pl-PL"/>
        </w:rPr>
        <w:t>The SAGE Handbook of Special Education</w:t>
      </w:r>
      <w:r>
        <w:rPr>
          <w:lang w:val="en-US" w:eastAsia="pl-PL"/>
        </w:rPr>
        <w:t>. London: SAGE Publications.</w:t>
      </w:r>
    </w:p>
    <w:p w14:paraId="22B4A3E5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Giangreco</w:t>
      </w:r>
      <w:proofErr w:type="spellEnd"/>
      <w:r>
        <w:rPr>
          <w:lang w:val="en-US" w:eastAsia="pl-PL"/>
        </w:rPr>
        <w:t xml:space="preserve">, M.F. and Suter, J.C., 2009. </w:t>
      </w:r>
      <w:r>
        <w:rPr>
          <w:i/>
          <w:lang w:val="en-US" w:eastAsia="pl-PL"/>
        </w:rPr>
        <w:t>Numbers that count: Exploring special education and paraprofessional service delivery in Inclusion-oriented schools</w:t>
      </w:r>
      <w:r>
        <w:rPr>
          <w:lang w:val="en-US" w:eastAsia="pl-PL"/>
        </w:rPr>
        <w:t xml:space="preserve">. </w:t>
      </w:r>
      <w:r>
        <w:rPr>
          <w:iCs/>
          <w:lang w:val="en-US" w:eastAsia="pl-PL"/>
        </w:rPr>
        <w:t>Journal of Special Education,</w:t>
      </w:r>
      <w:r>
        <w:rPr>
          <w:i/>
          <w:iCs/>
          <w:lang w:val="en-US" w:eastAsia="pl-PL"/>
        </w:rPr>
        <w:t xml:space="preserve"> </w:t>
      </w:r>
      <w:r>
        <w:rPr>
          <w:lang w:val="en-US" w:eastAsia="pl-PL"/>
        </w:rPr>
        <w:t>43 (2), s. 81–93.</w:t>
      </w:r>
    </w:p>
    <w:p w14:paraId="07005E4A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Groom, B., 2006. </w:t>
      </w:r>
      <w:r>
        <w:rPr>
          <w:i/>
          <w:lang w:val="en-US" w:eastAsia="pl-PL"/>
        </w:rPr>
        <w:t>Building relationships for learning: the developing role of the teaching assistant</w:t>
      </w:r>
      <w:r>
        <w:rPr>
          <w:lang w:val="en-US" w:eastAsia="pl-PL"/>
        </w:rPr>
        <w:t>. Support for Learning, 21 (4), s. 199-203.</w:t>
      </w:r>
    </w:p>
    <w:p w14:paraId="342DE50C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lastRenderedPageBreak/>
        <w:t xml:space="preserve">Kerry, T. 2005. </w:t>
      </w:r>
      <w:r>
        <w:rPr>
          <w:i/>
          <w:lang w:val="en-US" w:eastAsia="pl-PL"/>
        </w:rPr>
        <w:t>Towards a Typology for Conceptualizing the Roles of Teaching Assistants</w:t>
      </w:r>
      <w:r>
        <w:rPr>
          <w:lang w:val="en-US" w:eastAsia="pl-PL"/>
        </w:rPr>
        <w:t>. Educational Review. Exceptional Children. Vol. 57 (3), s. 373- 384.</w:t>
      </w:r>
    </w:p>
    <w:p w14:paraId="5FB8BE9F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MacBeath</w:t>
      </w:r>
      <w:proofErr w:type="spellEnd"/>
      <w:r>
        <w:rPr>
          <w:lang w:val="en-US" w:eastAsia="pl-PL"/>
        </w:rPr>
        <w:t xml:space="preserve">, J. Galton, M. </w:t>
      </w:r>
      <w:proofErr w:type="spellStart"/>
      <w:r>
        <w:rPr>
          <w:lang w:val="en-US" w:eastAsia="pl-PL"/>
        </w:rPr>
        <w:t>Steward,S</w:t>
      </w:r>
      <w:proofErr w:type="spellEnd"/>
      <w:r>
        <w:rPr>
          <w:lang w:val="en-US" w:eastAsia="pl-PL"/>
        </w:rPr>
        <w:t xml:space="preserve">. </w:t>
      </w:r>
      <w:proofErr w:type="spellStart"/>
      <w:r>
        <w:rPr>
          <w:lang w:val="en-US" w:eastAsia="pl-PL"/>
        </w:rPr>
        <w:t>MacBeath</w:t>
      </w:r>
      <w:proofErr w:type="spellEnd"/>
      <w:r>
        <w:rPr>
          <w:lang w:val="en-US" w:eastAsia="pl-PL"/>
        </w:rPr>
        <w:t xml:space="preserve">, A. Page, C. 2006. </w:t>
      </w:r>
      <w:r>
        <w:rPr>
          <w:i/>
          <w:lang w:val="en-US" w:eastAsia="pl-PL"/>
        </w:rPr>
        <w:t>The Costs of Inclusion – a report commissioned by the National Union of Teachers concerning inclusion in schools</w:t>
      </w:r>
      <w:r>
        <w:rPr>
          <w:lang w:val="en-US" w:eastAsia="pl-PL"/>
        </w:rPr>
        <w:t>. Cambridge : University of Cambridge.</w:t>
      </w:r>
    </w:p>
    <w:p w14:paraId="4D75BB9E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Mortier</w:t>
      </w:r>
      <w:proofErr w:type="spellEnd"/>
      <w:r>
        <w:rPr>
          <w:lang w:val="en-US" w:eastAsia="pl-PL"/>
        </w:rPr>
        <w:t xml:space="preserve">, K., </w:t>
      </w:r>
      <w:proofErr w:type="spellStart"/>
      <w:r>
        <w:rPr>
          <w:lang w:val="en-US" w:eastAsia="pl-PL"/>
        </w:rPr>
        <w:t>Desimpel</w:t>
      </w:r>
      <w:proofErr w:type="spellEnd"/>
      <w:r>
        <w:rPr>
          <w:lang w:val="en-US" w:eastAsia="pl-PL"/>
        </w:rPr>
        <w:t xml:space="preserve">, L., De </w:t>
      </w:r>
      <w:proofErr w:type="spellStart"/>
      <w:r>
        <w:rPr>
          <w:lang w:val="en-US" w:eastAsia="pl-PL"/>
        </w:rPr>
        <w:t>Schauwer</w:t>
      </w:r>
      <w:proofErr w:type="spellEnd"/>
      <w:r>
        <w:rPr>
          <w:lang w:val="en-US" w:eastAsia="pl-PL"/>
        </w:rPr>
        <w:t>, E. and Van Hove, G., 2011</w:t>
      </w:r>
      <w:r>
        <w:rPr>
          <w:i/>
          <w:lang w:val="en-US" w:eastAsia="pl-PL"/>
        </w:rPr>
        <w:t>. I want support, not comments: children’s perspectives on supports in their life.</w:t>
      </w:r>
      <w:r>
        <w:rPr>
          <w:lang w:val="en-US" w:eastAsia="pl-PL"/>
        </w:rPr>
        <w:t xml:space="preserve"> </w:t>
      </w:r>
      <w:r>
        <w:rPr>
          <w:iCs/>
          <w:lang w:val="en-US" w:eastAsia="pl-PL"/>
        </w:rPr>
        <w:t>Disability &amp; Society</w:t>
      </w:r>
      <w:r>
        <w:rPr>
          <w:lang w:val="en-US" w:eastAsia="pl-PL"/>
        </w:rPr>
        <w:t>, 26 (2), s. 207–221.</w:t>
      </w:r>
    </w:p>
    <w:p w14:paraId="38AB7EC8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New Brunswick Association for Community Living, 2007. </w:t>
      </w:r>
      <w:r>
        <w:rPr>
          <w:i/>
          <w:iCs/>
          <w:lang w:val="en-US" w:eastAsia="pl-PL"/>
        </w:rPr>
        <w:t>Brief on Systemic Barriers to Implementing Inclusive Education in New Brunswick.</w:t>
      </w:r>
    </w:p>
    <w:p w14:paraId="262B8517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Rose, R. and O’Neill, A., 2009. </w:t>
      </w:r>
      <w:r>
        <w:rPr>
          <w:i/>
          <w:lang w:val="en-US" w:eastAsia="pl-PL"/>
        </w:rPr>
        <w:t>Classroom Support for Inclusion in England and Ireland: an evaluation of contrasting models.</w:t>
      </w:r>
      <w:r>
        <w:rPr>
          <w:lang w:val="en-US" w:eastAsia="pl-PL"/>
        </w:rPr>
        <w:t xml:space="preserve"> </w:t>
      </w:r>
      <w:r>
        <w:rPr>
          <w:iCs/>
          <w:lang w:val="en-US" w:eastAsia="pl-PL"/>
        </w:rPr>
        <w:t>Research in Comparative and International Studies</w:t>
      </w:r>
      <w:r>
        <w:rPr>
          <w:lang w:val="en-US" w:eastAsia="pl-PL"/>
        </w:rPr>
        <w:t>, 4 (3), s. 250–261.</w:t>
      </w:r>
    </w:p>
    <w:p w14:paraId="6E9D934D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Saddler, H. 2013. </w:t>
      </w:r>
      <w:r>
        <w:rPr>
          <w:i/>
          <w:lang w:val="en-US" w:eastAsia="pl-PL"/>
        </w:rPr>
        <w:t xml:space="preserve">Researching the influence of teaching assistants on the learning of pupils identified with special educational needs in mainstream primary schools: exploring social inclusion. </w:t>
      </w:r>
      <w:r>
        <w:rPr>
          <w:lang w:val="en-US" w:eastAsia="pl-PL"/>
        </w:rPr>
        <w:t>Journal of Research in Special Educational Needs DOI: 10.1111/1471-3802.12019</w:t>
      </w:r>
    </w:p>
    <w:p w14:paraId="2E28E9E9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Takala</w:t>
      </w:r>
      <w:proofErr w:type="spellEnd"/>
      <w:r>
        <w:rPr>
          <w:lang w:val="en-US" w:eastAsia="pl-PL"/>
        </w:rPr>
        <w:t xml:space="preserve">, M (2007). </w:t>
      </w:r>
      <w:r>
        <w:rPr>
          <w:i/>
          <w:lang w:val="en-US" w:eastAsia="pl-PL"/>
        </w:rPr>
        <w:t>The work of Classroom Assistants in Special and Mainstream Education in Finland</w:t>
      </w:r>
      <w:r>
        <w:rPr>
          <w:lang w:val="en-US" w:eastAsia="pl-PL"/>
        </w:rPr>
        <w:t>. British Journal of Special Education. Vol. 34 (1), s. 50-57.</w:t>
      </w:r>
    </w:p>
    <w:p w14:paraId="72A249B6" w14:textId="77777777" w:rsidR="00715A60" w:rsidRDefault="009A54EC">
      <w:pPr>
        <w:jc w:val="left"/>
        <w:rPr>
          <w:lang w:val="en-GB" w:eastAsia="pl-PL"/>
        </w:rPr>
      </w:pPr>
      <w:r>
        <w:rPr>
          <w:i/>
          <w:iCs/>
          <w:lang w:val="en-GB" w:eastAsia="pl-PL"/>
        </w:rPr>
        <w:t>The impact of classroom support: new evidence.</w:t>
      </w:r>
      <w:r>
        <w:rPr>
          <w:lang w:val="en-GB" w:eastAsia="pl-PL"/>
        </w:rPr>
        <w:t xml:space="preserve"> General Teaching Council for England. Research for Teachers. Published online: 1.10.2010.</w:t>
      </w:r>
    </w:p>
    <w:p w14:paraId="56F2C28D" w14:textId="77777777" w:rsidR="00715A60" w:rsidRDefault="009A54EC">
      <w:pPr>
        <w:jc w:val="left"/>
        <w:rPr>
          <w:lang w:val="en-US" w:eastAsia="pl-PL"/>
        </w:rPr>
      </w:pPr>
      <w:proofErr w:type="spellStart"/>
      <w:r>
        <w:rPr>
          <w:lang w:val="en-US" w:eastAsia="pl-PL"/>
        </w:rPr>
        <w:t>Tutty</w:t>
      </w:r>
      <w:proofErr w:type="spellEnd"/>
      <w:r>
        <w:rPr>
          <w:lang w:val="en-US" w:eastAsia="pl-PL"/>
        </w:rPr>
        <w:t xml:space="preserve">, C and Hocking, C. 2004. </w:t>
      </w:r>
      <w:r>
        <w:rPr>
          <w:i/>
          <w:lang w:val="en-US" w:eastAsia="pl-PL"/>
        </w:rPr>
        <w:t>A Shackled Heart: Teacher Aides’ Experience of Supporting Students with High Needs in Regular Classes</w:t>
      </w:r>
      <w:r>
        <w:rPr>
          <w:lang w:val="en-US" w:eastAsia="pl-PL"/>
        </w:rPr>
        <w:t xml:space="preserve">. </w:t>
      </w:r>
      <w:proofErr w:type="spellStart"/>
      <w:r>
        <w:rPr>
          <w:lang w:val="en-US" w:eastAsia="pl-PL"/>
        </w:rPr>
        <w:t>Kairaranga</w:t>
      </w:r>
      <w:proofErr w:type="spellEnd"/>
      <w:r>
        <w:rPr>
          <w:lang w:val="en-US" w:eastAsia="pl-PL"/>
        </w:rPr>
        <w:t>, 5 (2), s. 3-9.</w:t>
      </w:r>
    </w:p>
    <w:p w14:paraId="3A1E89BE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Ware, J., Balfe, T., Butler, C., Day, T., </w:t>
      </w:r>
      <w:proofErr w:type="spellStart"/>
      <w:r>
        <w:rPr>
          <w:lang w:val="en-US" w:eastAsia="pl-PL"/>
        </w:rPr>
        <w:t>Dupont</w:t>
      </w:r>
      <w:proofErr w:type="spellEnd"/>
      <w:r>
        <w:rPr>
          <w:lang w:val="en-US" w:eastAsia="pl-PL"/>
        </w:rPr>
        <w:t xml:space="preserve">, M., </w:t>
      </w:r>
      <w:proofErr w:type="spellStart"/>
      <w:r>
        <w:rPr>
          <w:lang w:val="en-US" w:eastAsia="pl-PL"/>
        </w:rPr>
        <w:t>Harten</w:t>
      </w:r>
      <w:proofErr w:type="spellEnd"/>
      <w:r>
        <w:rPr>
          <w:lang w:val="en-US" w:eastAsia="pl-PL"/>
        </w:rPr>
        <w:t xml:space="preserve">, C., Farrell, A.M., McDaid, R., </w:t>
      </w:r>
      <w:proofErr w:type="spellStart"/>
      <w:r>
        <w:rPr>
          <w:lang w:val="en-US" w:eastAsia="pl-PL"/>
        </w:rPr>
        <w:t>O’Riordan</w:t>
      </w:r>
      <w:proofErr w:type="spellEnd"/>
      <w:r>
        <w:rPr>
          <w:lang w:val="en-US" w:eastAsia="pl-PL"/>
        </w:rPr>
        <w:t xml:space="preserve">, M., </w:t>
      </w:r>
      <w:proofErr w:type="spellStart"/>
      <w:r>
        <w:rPr>
          <w:lang w:val="en-US" w:eastAsia="pl-PL"/>
        </w:rPr>
        <w:t>Prunty</w:t>
      </w:r>
      <w:proofErr w:type="spellEnd"/>
      <w:r>
        <w:rPr>
          <w:lang w:val="en-US" w:eastAsia="pl-PL"/>
        </w:rPr>
        <w:t xml:space="preserve">, A. and Travers, J., 2009. </w:t>
      </w:r>
      <w:r>
        <w:rPr>
          <w:i/>
          <w:iCs/>
          <w:lang w:val="en-US" w:eastAsia="pl-PL"/>
        </w:rPr>
        <w:t>Research Report on the Role of Special Schools and Classes in Ireland</w:t>
      </w:r>
      <w:r>
        <w:rPr>
          <w:lang w:val="en-US" w:eastAsia="pl-PL"/>
        </w:rPr>
        <w:t xml:space="preserve">. NCSE Research Report no. 4. Trim, Co. </w:t>
      </w:r>
      <w:proofErr w:type="spellStart"/>
      <w:r>
        <w:rPr>
          <w:lang w:val="en-US" w:eastAsia="pl-PL"/>
        </w:rPr>
        <w:t>Meath</w:t>
      </w:r>
      <w:proofErr w:type="spellEnd"/>
      <w:r>
        <w:rPr>
          <w:lang w:val="en-US" w:eastAsia="pl-PL"/>
        </w:rPr>
        <w:t>: National Council for Special Education.</w:t>
      </w:r>
    </w:p>
    <w:p w14:paraId="409714CA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Webster, R., Blatchford, P., Bassett, P., Brown, P., Martin, C. and Russell, A. 2010. </w:t>
      </w:r>
      <w:r>
        <w:rPr>
          <w:i/>
          <w:lang w:val="en-US" w:eastAsia="pl-PL"/>
        </w:rPr>
        <w:t xml:space="preserve">Double standards and first principles framing teacher assistant support for pupils with special educational needs. </w:t>
      </w:r>
      <w:r>
        <w:rPr>
          <w:lang w:val="en-US" w:eastAsia="pl-PL"/>
        </w:rPr>
        <w:t>European Journal of Special Educational Needs, 25(4), s. 319-336.</w:t>
      </w:r>
    </w:p>
    <w:p w14:paraId="7F057041" w14:textId="77777777" w:rsidR="00715A60" w:rsidRDefault="009A54EC">
      <w:pPr>
        <w:jc w:val="left"/>
        <w:rPr>
          <w:lang w:val="en-US" w:eastAsia="pl-PL"/>
        </w:rPr>
      </w:pPr>
      <w:r>
        <w:rPr>
          <w:lang w:val="en-US" w:eastAsia="pl-PL"/>
        </w:rPr>
        <w:t xml:space="preserve">Webster, R. and Blatchford, P., 2012. </w:t>
      </w:r>
      <w:r>
        <w:rPr>
          <w:i/>
          <w:lang w:val="en-US" w:eastAsia="pl-PL"/>
        </w:rPr>
        <w:t>Supporting Learning? How effective are teaching assistants</w:t>
      </w:r>
      <w:r>
        <w:rPr>
          <w:lang w:val="en-US" w:eastAsia="pl-PL"/>
        </w:rPr>
        <w:t>. In P Adey and J Dillon (eds.). Bad Education. Debunking myths in education. Maidenhead OUP.</w:t>
      </w:r>
    </w:p>
    <w:p w14:paraId="0EB07CE1" w14:textId="77777777" w:rsidR="00715A60" w:rsidRDefault="009A54EC">
      <w:pPr>
        <w:jc w:val="left"/>
      </w:pPr>
      <w:r>
        <w:rPr>
          <w:lang w:val="en-GB" w:eastAsia="pl-PL"/>
        </w:rPr>
        <w:t xml:space="preserve">Webster, R. and Blatchford, P., 2013. </w:t>
      </w:r>
      <w:r>
        <w:rPr>
          <w:i/>
          <w:iCs/>
          <w:lang w:val="en-GB" w:eastAsia="pl-PL"/>
        </w:rPr>
        <w:t xml:space="preserve">The Making a Statement project. </w:t>
      </w:r>
      <w:proofErr w:type="spellStart"/>
      <w:r>
        <w:rPr>
          <w:i/>
          <w:iCs/>
          <w:lang w:eastAsia="pl-PL"/>
        </w:rPr>
        <w:t>Final</w:t>
      </w:r>
      <w:proofErr w:type="spellEnd"/>
      <w:r>
        <w:rPr>
          <w:i/>
          <w:iCs/>
          <w:lang w:eastAsia="pl-PL"/>
        </w:rPr>
        <w:t xml:space="preserve"> Report</w:t>
      </w:r>
      <w:r>
        <w:rPr>
          <w:lang w:eastAsia="pl-PL"/>
        </w:rPr>
        <w:t xml:space="preserve">. London: </w:t>
      </w:r>
      <w:proofErr w:type="spellStart"/>
      <w:r>
        <w:rPr>
          <w:lang w:eastAsia="pl-PL"/>
        </w:rPr>
        <w:t>Institute</w:t>
      </w:r>
      <w:proofErr w:type="spellEnd"/>
      <w:r>
        <w:rPr>
          <w:lang w:eastAsia="pl-PL"/>
        </w:rPr>
        <w:t xml:space="preserve"> of </w:t>
      </w:r>
      <w:proofErr w:type="spellStart"/>
      <w:r>
        <w:rPr>
          <w:lang w:eastAsia="pl-PL"/>
        </w:rPr>
        <w:t>Education</w:t>
      </w:r>
      <w:proofErr w:type="spellEnd"/>
      <w:r>
        <w:rPr>
          <w:lang w:eastAsia="pl-PL"/>
        </w:rPr>
        <w:t xml:space="preserve"> and </w:t>
      </w:r>
      <w:proofErr w:type="spellStart"/>
      <w:r>
        <w:rPr>
          <w:lang w:eastAsia="pl-PL"/>
        </w:rPr>
        <w:t>Nuffield</w:t>
      </w:r>
      <w:proofErr w:type="spellEnd"/>
      <w:r>
        <w:rPr>
          <w:lang w:eastAsia="pl-PL"/>
        </w:rPr>
        <w:t xml:space="preserve"> Foundation</w:t>
      </w:r>
      <w:r>
        <w:rPr>
          <w:lang w:val="en-US" w:eastAsia="pl-PL"/>
        </w:rPr>
        <w:t>.</w:t>
      </w:r>
    </w:p>
    <w:sectPr w:rsidR="00715A60">
      <w:footerReference w:type="default" r:id="rId14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6117F" w14:textId="77777777" w:rsidR="007E7975" w:rsidRDefault="007E7975">
      <w:pPr>
        <w:spacing w:before="0" w:after="0" w:line="240" w:lineRule="auto"/>
      </w:pPr>
      <w:r>
        <w:separator/>
      </w:r>
    </w:p>
  </w:endnote>
  <w:endnote w:type="continuationSeparator" w:id="0">
    <w:p w14:paraId="65BEB285" w14:textId="77777777" w:rsidR="007E7975" w:rsidRDefault="007E79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ourier New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A959A" w14:textId="77777777" w:rsidR="00AF6193" w:rsidRDefault="00AF61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647"/>
      <w:gridCol w:w="425"/>
    </w:tblGrid>
    <w:tr w:rsidR="00715A60" w14:paraId="33FC1C5A" w14:textId="77777777">
      <w:trPr>
        <w:trHeight w:hRule="exact" w:val="115"/>
        <w:jc w:val="center"/>
      </w:trPr>
      <w:tc>
        <w:tcPr>
          <w:tcW w:w="8646" w:type="dxa"/>
          <w:shd w:val="clear" w:color="auto" w:fill="5B9BD5" w:themeFill="accent1"/>
        </w:tcPr>
        <w:p w14:paraId="4413B967" w14:textId="77777777" w:rsidR="00715A60" w:rsidRDefault="00715A60">
          <w:pPr>
            <w:pStyle w:val="Nagwek"/>
            <w:rPr>
              <w:caps/>
              <w:sz w:val="18"/>
            </w:rPr>
          </w:pPr>
        </w:p>
      </w:tc>
      <w:tc>
        <w:tcPr>
          <w:tcW w:w="425" w:type="dxa"/>
          <w:shd w:val="clear" w:color="auto" w:fill="5B9BD5" w:themeFill="accent1"/>
        </w:tcPr>
        <w:p w14:paraId="43BC9064" w14:textId="77777777" w:rsidR="00715A60" w:rsidRDefault="00715A60">
          <w:pPr>
            <w:pStyle w:val="Nagwek"/>
            <w:jc w:val="right"/>
            <w:rPr>
              <w:caps/>
              <w:sz w:val="18"/>
            </w:rPr>
          </w:pPr>
        </w:p>
      </w:tc>
    </w:tr>
    <w:tr w:rsidR="00715A60" w14:paraId="214F87E1" w14:textId="77777777">
      <w:trPr>
        <w:jc w:val="center"/>
      </w:trPr>
      <w:tc>
        <w:tcPr>
          <w:tcW w:w="8646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69D8823B" w14:textId="7461B7D4" w:rsidR="00715A60" w:rsidRDefault="00AF6193" w:rsidP="00AF6193">
          <w:pPr>
            <w:pStyle w:val="Stopka"/>
            <w:jc w:val="left"/>
            <w:rPr>
              <w:caps/>
              <w:color w:val="808080" w:themeColor="background1" w:themeShade="80"/>
              <w:sz w:val="18"/>
              <w:szCs w:val="18"/>
            </w:rPr>
          </w:pPr>
          <w:r w:rsidRPr="00AF6193">
            <w:rPr>
              <w:color w:val="808080" w:themeColor="background1" w:themeShade="80"/>
              <w:sz w:val="18"/>
              <w:szCs w:val="18"/>
            </w:rPr>
            <w:t xml:space="preserve">Projekt </w:t>
          </w:r>
          <w:r>
            <w:rPr>
              <w:color w:val="808080" w:themeColor="background1" w:themeShade="80"/>
              <w:sz w:val="18"/>
              <w:szCs w:val="18"/>
            </w:rPr>
            <w:t>M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inisterstwa </w:t>
          </w:r>
          <w:r>
            <w:rPr>
              <w:color w:val="808080" w:themeColor="background1" w:themeShade="80"/>
              <w:sz w:val="18"/>
              <w:szCs w:val="18"/>
            </w:rPr>
            <w:t>E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dukacji </w:t>
          </w:r>
          <w:r>
            <w:rPr>
              <w:color w:val="808080" w:themeColor="background1" w:themeShade="80"/>
              <w:sz w:val="18"/>
              <w:szCs w:val="18"/>
            </w:rPr>
            <w:t>N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arodowej pn. Wspieranie edukacji włączającej w </w:t>
          </w:r>
          <w:r>
            <w:rPr>
              <w:color w:val="808080" w:themeColor="background1" w:themeShade="80"/>
              <w:sz w:val="18"/>
              <w:szCs w:val="18"/>
            </w:rPr>
            <w:t>P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olsce realizowany w ramach </w:t>
          </w:r>
          <w:r>
            <w:rPr>
              <w:color w:val="808080" w:themeColor="background1" w:themeShade="80"/>
              <w:sz w:val="18"/>
              <w:szCs w:val="18"/>
            </w:rPr>
            <w:t>P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rogramu </w:t>
          </w:r>
          <w:r>
            <w:rPr>
              <w:color w:val="808080" w:themeColor="background1" w:themeShade="80"/>
              <w:sz w:val="18"/>
              <w:szCs w:val="18"/>
            </w:rPr>
            <w:t>W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sparcia </w:t>
          </w:r>
          <w:r>
            <w:rPr>
              <w:color w:val="808080" w:themeColor="background1" w:themeShade="80"/>
              <w:sz w:val="18"/>
              <w:szCs w:val="18"/>
            </w:rPr>
            <w:t>R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eform </w:t>
          </w:r>
          <w:r>
            <w:rPr>
              <w:color w:val="808080" w:themeColor="background1" w:themeShade="80"/>
              <w:sz w:val="18"/>
              <w:szCs w:val="18"/>
            </w:rPr>
            <w:t>S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trukturalnych </w:t>
          </w:r>
          <w:r>
            <w:rPr>
              <w:color w:val="808080" w:themeColor="background1" w:themeShade="80"/>
              <w:sz w:val="18"/>
              <w:szCs w:val="18"/>
            </w:rPr>
            <w:t>K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omisji </w:t>
          </w:r>
          <w:r>
            <w:rPr>
              <w:color w:val="808080" w:themeColor="background1" w:themeShade="80"/>
              <w:sz w:val="18"/>
              <w:szCs w:val="18"/>
            </w:rPr>
            <w:t>E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uropejskiej we współpracy z </w:t>
          </w:r>
          <w:r>
            <w:rPr>
              <w:color w:val="808080" w:themeColor="background1" w:themeShade="80"/>
              <w:sz w:val="18"/>
              <w:szCs w:val="18"/>
            </w:rPr>
            <w:t>E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uropejską </w:t>
          </w:r>
          <w:r>
            <w:rPr>
              <w:color w:val="808080" w:themeColor="background1" w:themeShade="80"/>
              <w:sz w:val="18"/>
              <w:szCs w:val="18"/>
            </w:rPr>
            <w:t>A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gencją do </w:t>
          </w:r>
          <w:r>
            <w:rPr>
              <w:color w:val="808080" w:themeColor="background1" w:themeShade="80"/>
              <w:sz w:val="18"/>
              <w:szCs w:val="18"/>
            </w:rPr>
            <w:t>S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praw </w:t>
          </w:r>
          <w:r>
            <w:rPr>
              <w:color w:val="808080" w:themeColor="background1" w:themeShade="80"/>
              <w:sz w:val="18"/>
              <w:szCs w:val="18"/>
            </w:rPr>
            <w:t>S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pecjalnych </w:t>
          </w:r>
          <w:r>
            <w:rPr>
              <w:color w:val="808080" w:themeColor="background1" w:themeShade="80"/>
              <w:sz w:val="18"/>
              <w:szCs w:val="18"/>
            </w:rPr>
            <w:t>P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otrzeb i </w:t>
          </w:r>
          <w:r>
            <w:rPr>
              <w:color w:val="808080" w:themeColor="background1" w:themeShade="80"/>
              <w:sz w:val="18"/>
              <w:szCs w:val="18"/>
            </w:rPr>
            <w:t>E</w:t>
          </w:r>
          <w:r w:rsidRPr="00AF6193">
            <w:rPr>
              <w:color w:val="808080" w:themeColor="background1" w:themeShade="80"/>
              <w:sz w:val="18"/>
              <w:szCs w:val="18"/>
            </w:rPr>
            <w:t xml:space="preserve">dukacji </w:t>
          </w:r>
          <w:r>
            <w:rPr>
              <w:color w:val="808080" w:themeColor="background1" w:themeShade="80"/>
              <w:sz w:val="18"/>
              <w:szCs w:val="18"/>
            </w:rPr>
            <w:t>W</w:t>
          </w:r>
          <w:r w:rsidRPr="00AF6193">
            <w:rPr>
              <w:color w:val="808080" w:themeColor="background1" w:themeShade="80"/>
              <w:sz w:val="18"/>
              <w:szCs w:val="18"/>
            </w:rPr>
            <w:t>łączającej</w:t>
          </w:r>
        </w:p>
      </w:tc>
      <w:tc>
        <w:tcPr>
          <w:tcW w:w="425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320913F6" w14:textId="2EA3AD1B" w:rsidR="00715A60" w:rsidRDefault="009A54EC">
          <w:pPr>
            <w:pStyle w:val="Stopka"/>
            <w:jc w:val="right"/>
          </w:pPr>
          <w:r>
            <w:rPr>
              <w:caps/>
              <w:sz w:val="18"/>
              <w:szCs w:val="18"/>
            </w:rPr>
            <w:fldChar w:fldCharType="begin"/>
          </w:r>
          <w:r>
            <w:rPr>
              <w:caps/>
              <w:sz w:val="18"/>
              <w:szCs w:val="18"/>
            </w:rPr>
            <w:instrText>PAGE</w:instrText>
          </w:r>
          <w:r>
            <w:rPr>
              <w:caps/>
              <w:sz w:val="18"/>
              <w:szCs w:val="18"/>
            </w:rPr>
            <w:fldChar w:fldCharType="separate"/>
          </w:r>
          <w:r w:rsidR="00B16B03">
            <w:rPr>
              <w:caps/>
              <w:noProof/>
              <w:sz w:val="18"/>
              <w:szCs w:val="18"/>
            </w:rPr>
            <w:t>2</w:t>
          </w:r>
          <w:r>
            <w:rPr>
              <w:caps/>
              <w:sz w:val="18"/>
              <w:szCs w:val="18"/>
            </w:rPr>
            <w:fldChar w:fldCharType="end"/>
          </w:r>
        </w:p>
      </w:tc>
    </w:tr>
  </w:tbl>
  <w:p w14:paraId="031C8F78" w14:textId="77777777" w:rsidR="00715A60" w:rsidRDefault="00715A60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0D90" w14:textId="77777777" w:rsidR="00AF6193" w:rsidRDefault="00AF619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E5E37" w14:textId="77777777" w:rsidR="00715A60" w:rsidRDefault="00715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6BBCC" w14:textId="77777777" w:rsidR="007E7975" w:rsidRDefault="007E7975">
      <w:pPr>
        <w:spacing w:before="0" w:after="0" w:line="240" w:lineRule="auto"/>
      </w:pPr>
      <w:r>
        <w:separator/>
      </w:r>
    </w:p>
  </w:footnote>
  <w:footnote w:type="continuationSeparator" w:id="0">
    <w:p w14:paraId="38BECAC6" w14:textId="77777777" w:rsidR="007E7975" w:rsidRDefault="007E79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55FF" w14:textId="77777777" w:rsidR="00AF6193" w:rsidRDefault="00AF61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EF87" w14:textId="77777777" w:rsidR="00AF6193" w:rsidRDefault="00AF61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FDB1F" w14:textId="77777777" w:rsidR="00AF6193" w:rsidRDefault="00AF61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636"/>
    <w:multiLevelType w:val="multilevel"/>
    <w:tmpl w:val="49B66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ED466A"/>
    <w:multiLevelType w:val="multilevel"/>
    <w:tmpl w:val="4474993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D57219"/>
    <w:multiLevelType w:val="multilevel"/>
    <w:tmpl w:val="0AF6E4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25122C"/>
    <w:multiLevelType w:val="multilevel"/>
    <w:tmpl w:val="A88C8B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086995"/>
    <w:multiLevelType w:val="multilevel"/>
    <w:tmpl w:val="7BC84D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0E5F73"/>
    <w:multiLevelType w:val="multilevel"/>
    <w:tmpl w:val="F7807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134DE"/>
    <w:multiLevelType w:val="multilevel"/>
    <w:tmpl w:val="6820F8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470C1E"/>
    <w:multiLevelType w:val="multilevel"/>
    <w:tmpl w:val="17AEB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F268B"/>
    <w:multiLevelType w:val="multilevel"/>
    <w:tmpl w:val="B1049A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E1A2BC1"/>
    <w:multiLevelType w:val="multilevel"/>
    <w:tmpl w:val="AE28A9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1C7F43"/>
    <w:multiLevelType w:val="multilevel"/>
    <w:tmpl w:val="6820F8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60"/>
    <w:rsid w:val="00107CA3"/>
    <w:rsid w:val="002C2B46"/>
    <w:rsid w:val="00711046"/>
    <w:rsid w:val="00715A60"/>
    <w:rsid w:val="00727F29"/>
    <w:rsid w:val="007E7975"/>
    <w:rsid w:val="00885466"/>
    <w:rsid w:val="009A54EC"/>
    <w:rsid w:val="00AF6193"/>
    <w:rsid w:val="00B16B03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3DDF"/>
  <w15:docId w15:val="{DB9D1D58-EBE3-4046-AEEB-75C98D72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2A0"/>
    <w:pPr>
      <w:spacing w:before="120" w:after="120" w:line="276" w:lineRule="auto"/>
      <w:jc w:val="both"/>
    </w:pPr>
    <w:rPr>
      <w:sz w:val="24"/>
    </w:rPr>
  </w:style>
  <w:style w:type="paragraph" w:styleId="Nagwek1">
    <w:name w:val="heading 1"/>
    <w:basedOn w:val="Normalny"/>
    <w:link w:val="Nagwek1Znak"/>
    <w:uiPriority w:val="9"/>
    <w:qFormat/>
    <w:rsid w:val="002722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C02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722A0"/>
  </w:style>
  <w:style w:type="character" w:customStyle="1" w:styleId="StopkaZnak">
    <w:name w:val="Stopka Znak"/>
    <w:basedOn w:val="Domylnaczcionkaakapitu"/>
    <w:link w:val="Stopka"/>
    <w:uiPriority w:val="99"/>
    <w:qFormat/>
    <w:rsid w:val="002722A0"/>
  </w:style>
  <w:style w:type="character" w:customStyle="1" w:styleId="Zakotwiczenieprzypisudolnego">
    <w:name w:val="Zakotwiczenie przypisu dolnego"/>
    <w:rsid w:val="002722A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722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272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C02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andardZnak">
    <w:name w:val="Standard Znak"/>
    <w:basedOn w:val="Domylnaczcionkaakapitu"/>
    <w:link w:val="Standard"/>
    <w:qFormat/>
    <w:rsid w:val="00FA5C0E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TextbodyZnak">
    <w:name w:val="Text body Znak"/>
    <w:basedOn w:val="StandardZnak"/>
    <w:link w:val="Textbody"/>
    <w:qFormat/>
    <w:rsid w:val="00FA5C0E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pistabeliZnak">
    <w:name w:val="opis tabeli Znak"/>
    <w:basedOn w:val="TextbodyZnak"/>
    <w:qFormat/>
    <w:rsid w:val="00FA5C0E"/>
    <w:rPr>
      <w:rFonts w:ascii="Liberation Serif" w:eastAsia="SimSun" w:hAnsi="Liberation Serif" w:cstheme="minorHAnsi"/>
      <w:kern w:val="2"/>
      <w:sz w:val="20"/>
      <w:szCs w:val="24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856E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OpenSymbol" w:cs="OpenSymbol"/>
    </w:rPr>
  </w:style>
  <w:style w:type="character" w:customStyle="1" w:styleId="ListLabel2">
    <w:name w:val="ListLabel 2"/>
    <w:qFormat/>
    <w:rPr>
      <w:rFonts w:eastAsia="OpenSymbol" w:cs="OpenSymbol"/>
    </w:rPr>
  </w:style>
  <w:style w:type="character" w:customStyle="1" w:styleId="ListLabel3">
    <w:name w:val="ListLabel 3"/>
    <w:qFormat/>
    <w:rPr>
      <w:rFonts w:eastAsia="OpenSymbol" w:cs="OpenSymbol"/>
    </w:rPr>
  </w:style>
  <w:style w:type="character" w:customStyle="1" w:styleId="ListLabel4">
    <w:name w:val="ListLabel 4"/>
    <w:qFormat/>
    <w:rPr>
      <w:rFonts w:eastAsia="OpenSymbol" w:cs="OpenSymbol"/>
    </w:rPr>
  </w:style>
  <w:style w:type="character" w:customStyle="1" w:styleId="ListLabel5">
    <w:name w:val="ListLabel 5"/>
    <w:qFormat/>
    <w:rPr>
      <w:rFonts w:eastAsia="OpenSymbol" w:cs="OpenSymbol"/>
    </w:rPr>
  </w:style>
  <w:style w:type="character" w:customStyle="1" w:styleId="ListLabel6">
    <w:name w:val="ListLabel 6"/>
    <w:qFormat/>
    <w:rPr>
      <w:rFonts w:eastAsia="OpenSymbol" w:cs="OpenSymbol"/>
    </w:rPr>
  </w:style>
  <w:style w:type="character" w:customStyle="1" w:styleId="ListLabel7">
    <w:name w:val="ListLabel 7"/>
    <w:qFormat/>
    <w:rPr>
      <w:rFonts w:eastAsia="OpenSymbol" w:cs="OpenSymbol"/>
    </w:rPr>
  </w:style>
  <w:style w:type="character" w:customStyle="1" w:styleId="ListLabel8">
    <w:name w:val="ListLabel 8"/>
    <w:qFormat/>
    <w:rPr>
      <w:rFonts w:eastAsia="OpenSymbol" w:cs="OpenSymbol"/>
    </w:rPr>
  </w:style>
  <w:style w:type="character" w:customStyle="1" w:styleId="ListLabel9">
    <w:name w:val="ListLabel 9"/>
    <w:qFormat/>
    <w:rPr>
      <w:rFonts w:eastAsia="OpenSymbol" w:cs="OpenSymbol"/>
    </w:rPr>
  </w:style>
  <w:style w:type="character" w:customStyle="1" w:styleId="ListLabel10">
    <w:name w:val="ListLabel 10"/>
    <w:qFormat/>
    <w:rPr>
      <w:rFonts w:eastAsia="OpenSymbol" w:cs="OpenSymbol"/>
    </w:rPr>
  </w:style>
  <w:style w:type="character" w:customStyle="1" w:styleId="ListLabel11">
    <w:name w:val="ListLabel 11"/>
    <w:qFormat/>
    <w:rPr>
      <w:rFonts w:eastAsia="OpenSymbol" w:cs="OpenSymbol"/>
    </w:rPr>
  </w:style>
  <w:style w:type="character" w:customStyle="1" w:styleId="ListLabel12">
    <w:name w:val="ListLabel 12"/>
    <w:qFormat/>
    <w:rPr>
      <w:rFonts w:eastAsia="OpenSymbol" w:cs="OpenSymbol"/>
    </w:rPr>
  </w:style>
  <w:style w:type="character" w:customStyle="1" w:styleId="ListLabel13">
    <w:name w:val="ListLabel 13"/>
    <w:qFormat/>
    <w:rPr>
      <w:rFonts w:eastAsia="OpenSymbol" w:cs="OpenSymbol"/>
    </w:rPr>
  </w:style>
  <w:style w:type="character" w:customStyle="1" w:styleId="ListLabel14">
    <w:name w:val="ListLabel 14"/>
    <w:qFormat/>
    <w:rPr>
      <w:rFonts w:eastAsia="OpenSymbol" w:cs="OpenSymbol"/>
    </w:rPr>
  </w:style>
  <w:style w:type="character" w:customStyle="1" w:styleId="ListLabel15">
    <w:name w:val="ListLabel 15"/>
    <w:qFormat/>
    <w:rPr>
      <w:rFonts w:eastAsia="OpenSymbol" w:cs="OpenSymbol"/>
    </w:rPr>
  </w:style>
  <w:style w:type="character" w:customStyle="1" w:styleId="ListLabel16">
    <w:name w:val="ListLabel 16"/>
    <w:qFormat/>
    <w:rPr>
      <w:rFonts w:eastAsia="OpenSymbol" w:cs="OpenSymbol"/>
    </w:rPr>
  </w:style>
  <w:style w:type="character" w:customStyle="1" w:styleId="ListLabel17">
    <w:name w:val="ListLabel 17"/>
    <w:qFormat/>
    <w:rPr>
      <w:rFonts w:eastAsia="OpenSymbol" w:cs="OpenSymbol"/>
    </w:rPr>
  </w:style>
  <w:style w:type="character" w:customStyle="1" w:styleId="ListLabel18">
    <w:name w:val="ListLabel 18"/>
    <w:qFormat/>
    <w:rPr>
      <w:rFonts w:eastAsia="OpenSymbol" w:cs="Open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OpenSymbol" w:cs="OpenSymbol"/>
    </w:rPr>
  </w:style>
  <w:style w:type="character" w:customStyle="1" w:styleId="ListLabel26">
    <w:name w:val="ListLabel 26"/>
    <w:qFormat/>
    <w:rPr>
      <w:rFonts w:eastAsia="OpenSymbol" w:cs="OpenSymbol"/>
    </w:rPr>
  </w:style>
  <w:style w:type="character" w:customStyle="1" w:styleId="ListLabel27">
    <w:name w:val="ListLabel 27"/>
    <w:qFormat/>
    <w:rPr>
      <w:rFonts w:eastAsia="OpenSymbol" w:cs="OpenSymbol"/>
    </w:rPr>
  </w:style>
  <w:style w:type="character" w:customStyle="1" w:styleId="ListLabel28">
    <w:name w:val="ListLabel 28"/>
    <w:qFormat/>
    <w:rPr>
      <w:rFonts w:eastAsia="OpenSymbol" w:cs="OpenSymbol"/>
    </w:rPr>
  </w:style>
  <w:style w:type="character" w:customStyle="1" w:styleId="ListLabel29">
    <w:name w:val="ListLabel 29"/>
    <w:qFormat/>
    <w:rPr>
      <w:rFonts w:eastAsia="OpenSymbol" w:cs="OpenSymbol"/>
    </w:rPr>
  </w:style>
  <w:style w:type="character" w:customStyle="1" w:styleId="ListLabel30">
    <w:name w:val="ListLabel 30"/>
    <w:qFormat/>
    <w:rPr>
      <w:rFonts w:eastAsia="OpenSymbol" w:cs="OpenSymbol"/>
    </w:rPr>
  </w:style>
  <w:style w:type="character" w:customStyle="1" w:styleId="ListLabel31">
    <w:name w:val="ListLabel 31"/>
    <w:qFormat/>
    <w:rPr>
      <w:rFonts w:eastAsia="OpenSymbol" w:cs="OpenSymbol"/>
    </w:rPr>
  </w:style>
  <w:style w:type="character" w:customStyle="1" w:styleId="ListLabel32">
    <w:name w:val="ListLabel 32"/>
    <w:qFormat/>
    <w:rPr>
      <w:rFonts w:eastAsia="OpenSymbol" w:cs="OpenSymbol"/>
    </w:rPr>
  </w:style>
  <w:style w:type="character" w:customStyle="1" w:styleId="ListLabel33">
    <w:name w:val="ListLabel 33"/>
    <w:qFormat/>
    <w:rPr>
      <w:rFonts w:eastAsia="OpenSymbol" w:cs="OpenSymbol"/>
    </w:rPr>
  </w:style>
  <w:style w:type="character" w:customStyle="1" w:styleId="ListLabel34">
    <w:name w:val="ListLabel 34"/>
    <w:qFormat/>
    <w:rPr>
      <w:rFonts w:eastAsia="OpenSymbol" w:cs="OpenSymbol"/>
    </w:rPr>
  </w:style>
  <w:style w:type="character" w:customStyle="1" w:styleId="ListLabel35">
    <w:name w:val="ListLabel 35"/>
    <w:qFormat/>
    <w:rPr>
      <w:rFonts w:eastAsia="OpenSymbol" w:cs="OpenSymbol"/>
    </w:rPr>
  </w:style>
  <w:style w:type="character" w:customStyle="1" w:styleId="ListLabel36">
    <w:name w:val="ListLabel 36"/>
    <w:qFormat/>
    <w:rPr>
      <w:rFonts w:eastAsia="OpenSymbol" w:cs="OpenSymbol"/>
    </w:rPr>
  </w:style>
  <w:style w:type="character" w:customStyle="1" w:styleId="ListLabel37">
    <w:name w:val="ListLabel 37"/>
    <w:qFormat/>
    <w:rPr>
      <w:rFonts w:eastAsia="OpenSymbol" w:cs="OpenSymbol"/>
    </w:rPr>
  </w:style>
  <w:style w:type="character" w:customStyle="1" w:styleId="ListLabel38">
    <w:name w:val="ListLabel 38"/>
    <w:qFormat/>
    <w:rPr>
      <w:rFonts w:eastAsia="OpenSymbol" w:cs="OpenSymbol"/>
    </w:rPr>
  </w:style>
  <w:style w:type="character" w:customStyle="1" w:styleId="ListLabel39">
    <w:name w:val="ListLabel 39"/>
    <w:qFormat/>
    <w:rPr>
      <w:rFonts w:eastAsia="OpenSymbol" w:cs="OpenSymbol"/>
    </w:rPr>
  </w:style>
  <w:style w:type="character" w:customStyle="1" w:styleId="ListLabel40">
    <w:name w:val="ListLabel 40"/>
    <w:qFormat/>
    <w:rPr>
      <w:rFonts w:eastAsia="OpenSymbol" w:cs="OpenSymbol"/>
    </w:rPr>
  </w:style>
  <w:style w:type="character" w:customStyle="1" w:styleId="ListLabel41">
    <w:name w:val="ListLabel 41"/>
    <w:qFormat/>
    <w:rPr>
      <w:rFonts w:eastAsia="OpenSymbol" w:cs="OpenSymbol"/>
    </w:rPr>
  </w:style>
  <w:style w:type="character" w:customStyle="1" w:styleId="ListLabel42">
    <w:name w:val="ListLabel 42"/>
    <w:qFormat/>
    <w:rPr>
      <w:rFonts w:eastAsia="OpenSymbol" w:cs="Open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TytuZnak">
    <w:name w:val="Tytuł Znak"/>
    <w:basedOn w:val="Domylnaczcionkaakapitu"/>
    <w:link w:val="Tytu"/>
    <w:uiPriority w:val="10"/>
    <w:qFormat/>
    <w:rsid w:val="00B56997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87D7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627C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627CA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627CA"/>
    <w:rPr>
      <w:b/>
      <w:bCs/>
      <w:szCs w:val="20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22A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722A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link w:val="StandardZnak"/>
    <w:qFormat/>
    <w:rsid w:val="002722A0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Znak"/>
    <w:qFormat/>
    <w:rsid w:val="002722A0"/>
    <w:pPr>
      <w:spacing w:after="140" w:line="288" w:lineRule="auto"/>
    </w:pPr>
  </w:style>
  <w:style w:type="paragraph" w:customStyle="1" w:styleId="Footnote">
    <w:name w:val="Footnote"/>
    <w:basedOn w:val="Standard"/>
    <w:qFormat/>
    <w:rsid w:val="002722A0"/>
    <w:pPr>
      <w:suppressLineNumbers/>
      <w:ind w:left="339" w:hanging="339"/>
    </w:pPr>
    <w:rPr>
      <w:sz w:val="20"/>
      <w:szCs w:val="20"/>
    </w:rPr>
  </w:style>
  <w:style w:type="paragraph" w:customStyle="1" w:styleId="TYTU0">
    <w:name w:val="TYTUŁ"/>
    <w:basedOn w:val="Podtytu"/>
    <w:qFormat/>
    <w:rsid w:val="00987D79"/>
    <w:pPr>
      <w:suppressAutoHyphens/>
      <w:spacing w:line="360" w:lineRule="auto"/>
      <w:jc w:val="center"/>
      <w:textAlignment w:val="baseline"/>
    </w:pPr>
    <w:rPr>
      <w:rFonts w:ascii="Calibri" w:eastAsia="Tahoma" w:hAnsi="Calibri" w:cs="Liberation Sans"/>
      <w:b/>
      <w:i w:val="0"/>
      <w:color w:val="000000"/>
      <w:kern w:val="2"/>
      <w:sz w:val="36"/>
      <w:lang w:eastAsia="zh-CN" w:bidi="hi-IN"/>
    </w:rPr>
  </w:style>
  <w:style w:type="paragraph" w:styleId="Podtytu">
    <w:name w:val="Subtitle"/>
    <w:basedOn w:val="Normalny"/>
    <w:link w:val="PodtytuZnak"/>
    <w:uiPriority w:val="11"/>
    <w:qFormat/>
    <w:rsid w:val="00987D79"/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paragraph" w:customStyle="1" w:styleId="Zawartotabeli">
    <w:name w:val="Zawartość tabeli"/>
    <w:basedOn w:val="Standard"/>
    <w:qFormat/>
    <w:rsid w:val="002722A0"/>
    <w:pPr>
      <w:suppressLineNumbers/>
    </w:pPr>
  </w:style>
  <w:style w:type="paragraph" w:customStyle="1" w:styleId="opistabeli">
    <w:name w:val="opis tabeli"/>
    <w:basedOn w:val="Textbody"/>
    <w:qFormat/>
    <w:rsid w:val="00FA5C0E"/>
    <w:pPr>
      <w:spacing w:before="120" w:after="120" w:line="276" w:lineRule="auto"/>
    </w:pPr>
    <w:rPr>
      <w:rFonts w:asciiTheme="minorHAnsi" w:hAnsiTheme="minorHAnsi" w:cstheme="minorHAnsi"/>
      <w:sz w:val="20"/>
    </w:rPr>
  </w:style>
  <w:style w:type="paragraph" w:styleId="Akapitzlist">
    <w:name w:val="List Paragraph"/>
    <w:basedOn w:val="Normalny"/>
    <w:uiPriority w:val="34"/>
    <w:qFormat/>
    <w:rsid w:val="00FA5C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856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ytu">
    <w:name w:val="Title"/>
    <w:basedOn w:val="Normalny"/>
    <w:link w:val="TytuZnak"/>
    <w:uiPriority w:val="10"/>
    <w:qFormat/>
    <w:rsid w:val="00B56997"/>
    <w:pPr>
      <w:pBdr>
        <w:bottom w:val="single" w:sz="8" w:space="4" w:color="5B9BD5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627C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62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0E969-FA63-4FEB-8F53-D6F171CC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3348</Words>
  <Characters>20092</Characters>
  <Application>Microsoft Office Word</Application>
  <DocSecurity>0</DocSecurity>
  <Lines>167</Lines>
  <Paragraphs>46</Paragraphs>
  <ScaleCrop>false</ScaleCrop>
  <Company>Microsoft</Company>
  <LinksUpToDate>false</LinksUpToDate>
  <CharactersWithSpaces>23394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Materiał opracowany w projekcie Ministerstwa Edukacji Narodowej pn. Wspieranie Edukacji Włączającej w Polsce, realizowany w ramach Programu Wsparcia Reform Strukturalnych Komisji Europejskiej we współpracy z Europejską Agencją do Spraw Specjalnych Potrzeb I Edukacji Włączającej</dc:creator>
  <dc:description/>
  <cp:lastModifiedBy>Kosiński-Gortych Jan</cp:lastModifiedBy>
  <cp:revision>10</cp:revision>
  <cp:lastPrinted>2019-05-31T07:56:00Z</cp:lastPrinted>
  <dcterms:created xsi:type="dcterms:W3CDTF">2019-09-06T12:17:00Z</dcterms:created>
  <dcterms:modified xsi:type="dcterms:W3CDTF">2019-10-04T12:35:00Z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