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3257C" w14:textId="7DA99F2F" w:rsidR="002414B8" w:rsidRPr="004F7A82" w:rsidRDefault="004F7A82" w:rsidP="00925A62">
      <w:pPr>
        <w:spacing w:before="161" w:after="161" w:line="240" w:lineRule="auto"/>
        <w:jc w:val="center"/>
        <w:outlineLvl w:val="0"/>
        <w:rPr>
          <w:rFonts w:ascii="Lato" w:eastAsia="Times New Roman" w:hAnsi="Lato" w:cs="Open Sans"/>
          <w:b/>
          <w:bCs/>
          <w:color w:val="222222"/>
          <w:kern w:val="36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b/>
          <w:bCs/>
          <w:color w:val="222222"/>
          <w:kern w:val="36"/>
          <w:sz w:val="20"/>
          <w:szCs w:val="20"/>
          <w:lang w:eastAsia="pl-PL"/>
          <w14:ligatures w14:val="none"/>
        </w:rPr>
        <w:t>OBOWIĄZEK STOSOWANIA USTAWY PRAWO ZAMÓWIEŃ PUBLICZNYCH PRZEZ FUNDACJE ORAZ STOWARZYSZENIA</w:t>
      </w:r>
      <w:r w:rsidR="00446DDD">
        <w:rPr>
          <w:rFonts w:ascii="Lato" w:eastAsia="Times New Roman" w:hAnsi="Lato" w:cs="Open Sans"/>
          <w:b/>
          <w:bCs/>
          <w:color w:val="222222"/>
          <w:kern w:val="36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b/>
          <w:bCs/>
          <w:color w:val="222222"/>
          <w:kern w:val="36"/>
          <w:sz w:val="20"/>
          <w:szCs w:val="20"/>
          <w:lang w:eastAsia="pl-PL"/>
          <w14:ligatures w14:val="none"/>
        </w:rPr>
        <w:t>W KONTEKŚCIE ART. 4 PKT 3 i ART. 6</w:t>
      </w:r>
      <w:r>
        <w:rPr>
          <w:rFonts w:ascii="Lato" w:eastAsia="Times New Roman" w:hAnsi="Lato" w:cs="Open Sans"/>
          <w:b/>
          <w:bCs/>
          <w:color w:val="222222"/>
          <w:kern w:val="36"/>
          <w:sz w:val="20"/>
          <w:szCs w:val="20"/>
          <w:lang w:eastAsia="pl-PL"/>
          <w14:ligatures w14:val="none"/>
        </w:rPr>
        <w:t xml:space="preserve"> TEJ USTAWY</w:t>
      </w:r>
    </w:p>
    <w:p w14:paraId="4F78E3D8" w14:textId="54CD090C" w:rsidR="00293D5C" w:rsidRPr="00925A62" w:rsidRDefault="0071046B" w:rsidP="00925A6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Fundacje i stowarzyszenia jako podmioty prawa publicznego</w:t>
      </w:r>
    </w:p>
    <w:p w14:paraId="7150E732" w14:textId="471AADBC" w:rsidR="003C30C3" w:rsidRPr="001C2EB0" w:rsidRDefault="00890C2A" w:rsidP="00925A62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hAnsi="Lato" w:cs="Arial"/>
          <w:sz w:val="20"/>
          <w:szCs w:val="20"/>
        </w:rPr>
        <w:t xml:space="preserve">Zgodnie z art. 4 pkt 3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ustawy z dnia 11 września 2019 r. – Prawo zamówień publicznych (Dz. U. z 2023 r., poz. 1605 z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 zm., zwanej dalej „</w:t>
      </w: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ustawą </w:t>
      </w:r>
      <w:proofErr w:type="spellStart"/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”</w:t>
      </w:r>
      <w:r w:rsidR="007E2271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)</w:t>
      </w:r>
      <w:r w:rsidRPr="001C2EB0">
        <w:rPr>
          <w:rFonts w:ascii="Lato" w:hAnsi="Lato" w:cs="Arial"/>
          <w:sz w:val="20"/>
          <w:szCs w:val="20"/>
        </w:rPr>
        <w:t xml:space="preserve">, ustawę </w:t>
      </w:r>
      <w:proofErr w:type="spellStart"/>
      <w:r w:rsidR="007E2271">
        <w:rPr>
          <w:rFonts w:ascii="Lato" w:hAnsi="Lato" w:cs="Arial"/>
          <w:sz w:val="20"/>
          <w:szCs w:val="20"/>
        </w:rPr>
        <w:t>Pzp</w:t>
      </w:r>
      <w:proofErr w:type="spellEnd"/>
      <w:r w:rsidRPr="001C2EB0">
        <w:rPr>
          <w:rFonts w:ascii="Lato" w:hAnsi="Lato" w:cs="Arial"/>
          <w:sz w:val="20"/>
          <w:szCs w:val="20"/>
        </w:rPr>
        <w:t xml:space="preserve"> stosuje się do udzielania zamówień publicznych przez </w:t>
      </w:r>
      <w:r w:rsidR="003C30C3" w:rsidRPr="001C2EB0">
        <w:rPr>
          <w:rFonts w:ascii="Lato" w:eastAsia="Times New Roman" w:hAnsi="Lato" w:cs="Noto Sans"/>
          <w:kern w:val="0"/>
          <w:sz w:val="20"/>
          <w:szCs w:val="20"/>
          <w:shd w:val="clear" w:color="auto" w:fill="FFFFFF"/>
          <w:lang w:eastAsia="pl-PL"/>
          <w14:ligatures w14:val="none"/>
        </w:rPr>
        <w:t>inne, niż</w:t>
      </w:r>
      <w:r w:rsidR="00424916" w:rsidRPr="001C2EB0">
        <w:rPr>
          <w:rFonts w:ascii="Lato" w:hAnsi="Lato" w:cs="Noto Sans"/>
          <w:sz w:val="20"/>
          <w:szCs w:val="20"/>
          <w:shd w:val="clear" w:color="auto" w:fill="FFFFFF"/>
        </w:rPr>
        <w:t> jednostki sektora finansów publicznych w rozumieniu przepisów ustawy z dnia 27 sierpnia 2009 r. o finansach publicznych (Dz.U. z 2023 r. </w:t>
      </w:r>
      <w:hyperlink r:id="rId8" w:history="1">
        <w:r w:rsidR="00424916" w:rsidRPr="001C2EB0">
          <w:rPr>
            <w:rFonts w:ascii="Lato" w:hAnsi="Lato" w:cs="Noto Sans"/>
            <w:sz w:val="20"/>
            <w:szCs w:val="20"/>
            <w:shd w:val="clear" w:color="auto" w:fill="FFFFFF"/>
          </w:rPr>
          <w:t>poz. 1270</w:t>
        </w:r>
      </w:hyperlink>
      <w:r w:rsidR="00424916" w:rsidRPr="001C2EB0">
        <w:rPr>
          <w:rFonts w:ascii="Lato" w:hAnsi="Lato" w:cs="Noto Sans"/>
          <w:sz w:val="20"/>
          <w:szCs w:val="20"/>
          <w:shd w:val="clear" w:color="auto" w:fill="FFFFFF"/>
        </w:rPr>
        <w:t> i </w:t>
      </w:r>
      <w:hyperlink r:id="rId9" w:history="1">
        <w:r w:rsidR="00424916" w:rsidRPr="001C2EB0">
          <w:rPr>
            <w:rFonts w:ascii="Lato" w:hAnsi="Lato" w:cs="Noto Sans"/>
            <w:sz w:val="20"/>
            <w:szCs w:val="20"/>
            <w:shd w:val="clear" w:color="auto" w:fill="FFFFFF"/>
          </w:rPr>
          <w:t>1273</w:t>
        </w:r>
      </w:hyperlink>
      <w:r w:rsidR="00424916" w:rsidRPr="001C2EB0">
        <w:rPr>
          <w:rFonts w:ascii="Lato" w:hAnsi="Lato" w:cs="Noto Sans"/>
          <w:sz w:val="20"/>
          <w:szCs w:val="20"/>
          <w:shd w:val="clear" w:color="auto" w:fill="FFFFFF"/>
        </w:rPr>
        <w:t>)</w:t>
      </w:r>
      <w:r w:rsidR="003C30C3" w:rsidRPr="001C2EB0">
        <w:rPr>
          <w:rFonts w:ascii="Lato" w:eastAsia="Times New Roman" w:hAnsi="Lato" w:cs="Noto Sans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, </w:t>
      </w:r>
      <w:r w:rsidR="003C30C3" w:rsidRPr="001C2EB0">
        <w:rPr>
          <w:rFonts w:ascii="Lato" w:eastAsia="Times New Roman" w:hAnsi="Lato" w:cs="Noto Sans"/>
          <w:color w:val="333333"/>
          <w:kern w:val="0"/>
          <w:sz w:val="20"/>
          <w:szCs w:val="20"/>
          <w:shd w:val="clear" w:color="auto" w:fill="FFFFFF"/>
          <w:lang w:eastAsia="pl-PL"/>
          <w14:ligatures w14:val="none"/>
        </w:rPr>
        <w:t>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</w:t>
      </w:r>
    </w:p>
    <w:p w14:paraId="07C9F2E7" w14:textId="6C9CB69D" w:rsidR="003C30C3" w:rsidRPr="001C2EB0" w:rsidRDefault="003C30C3" w:rsidP="00925A62">
      <w:pPr>
        <w:shd w:val="clear" w:color="auto" w:fill="FFFFFF"/>
        <w:spacing w:after="0" w:line="240" w:lineRule="auto"/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a)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ab/>
      </w: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finansują je w ponad 50% lub</w:t>
      </w:r>
    </w:p>
    <w:p w14:paraId="44C200E8" w14:textId="091F7E4F" w:rsidR="003C30C3" w:rsidRPr="001C2EB0" w:rsidRDefault="003C30C3" w:rsidP="00925A62">
      <w:pPr>
        <w:shd w:val="clear" w:color="auto" w:fill="FFFFFF"/>
        <w:spacing w:after="0" w:line="240" w:lineRule="auto"/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b)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ab/>
      </w: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posiadają ponad połowę udziałów albo akcji, lub</w:t>
      </w:r>
    </w:p>
    <w:p w14:paraId="42D6406D" w14:textId="370634E2" w:rsidR="003C30C3" w:rsidRPr="001C2EB0" w:rsidRDefault="003C30C3" w:rsidP="00925A62">
      <w:pPr>
        <w:shd w:val="clear" w:color="auto" w:fill="FFFFFF"/>
        <w:spacing w:after="0" w:line="240" w:lineRule="auto"/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c)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ab/>
      </w: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sprawują nadzór nad organem zarządzającym, lub</w:t>
      </w:r>
    </w:p>
    <w:p w14:paraId="308614BB" w14:textId="79FEB9E0" w:rsidR="003C30C3" w:rsidRPr="004F7A82" w:rsidRDefault="003C30C3" w:rsidP="00925A62">
      <w:pPr>
        <w:shd w:val="clear" w:color="auto" w:fill="FFFFFF"/>
        <w:spacing w:after="0" w:line="240" w:lineRule="auto"/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d)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E7E79"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ab/>
      </w:r>
      <w:r w:rsidRPr="001C2EB0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mają prawo do powoływania ponad połowy składu organu nadzorczego lub zarządzającego</w:t>
      </w:r>
      <w:r w:rsidR="00605C10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0BEFE2E9" w14:textId="36417A6B" w:rsidR="00605C10" w:rsidRPr="001C2EB0" w:rsidRDefault="00605C10" w:rsidP="00925A62">
      <w:pPr>
        <w:spacing w:before="100" w:beforeAutospacing="1" w:after="100" w:afterAutospacing="1" w:line="240" w:lineRule="auto"/>
        <w:rPr>
          <w:rFonts w:ascii="Lato" w:hAnsi="Lato"/>
          <w:sz w:val="20"/>
          <w:szCs w:val="20"/>
        </w:rPr>
      </w:pPr>
      <w:r w:rsidRPr="004F7A82">
        <w:rPr>
          <w:rFonts w:ascii="Lato" w:hAnsi="Lato" w:cs="Open Sans"/>
          <w:color w:val="222222"/>
          <w:sz w:val="20"/>
          <w:szCs w:val="20"/>
        </w:rPr>
        <w:t xml:space="preserve">Kategoria zamawiających wskazanych dyspozycją art. 4 pkt 3 ustawy </w:t>
      </w:r>
      <w:proofErr w:type="spellStart"/>
      <w:r w:rsidRPr="004F7A82">
        <w:rPr>
          <w:rFonts w:ascii="Lato" w:hAnsi="Lato" w:cs="Open Sans"/>
          <w:color w:val="222222"/>
          <w:sz w:val="20"/>
          <w:szCs w:val="20"/>
        </w:rPr>
        <w:t>Pzp</w:t>
      </w:r>
      <w:proofErr w:type="spellEnd"/>
      <w:r w:rsidRPr="004F7A82">
        <w:rPr>
          <w:rFonts w:ascii="Lato" w:hAnsi="Lato" w:cs="Open Sans"/>
          <w:color w:val="222222"/>
          <w:sz w:val="20"/>
          <w:szCs w:val="20"/>
        </w:rPr>
        <w:t xml:space="preserve"> określana jest mianem </w:t>
      </w:r>
      <w:r w:rsidRPr="009D7363">
        <w:rPr>
          <w:rFonts w:ascii="Lato" w:hAnsi="Lato" w:cs="Open Sans"/>
          <w:color w:val="222222"/>
          <w:sz w:val="20"/>
          <w:szCs w:val="20"/>
        </w:rPr>
        <w:t>podmiotów prawa publicznego</w:t>
      </w:r>
      <w:r w:rsidRPr="004F7A82">
        <w:rPr>
          <w:rFonts w:ascii="Lato" w:hAnsi="Lato" w:cs="Open Sans"/>
          <w:color w:val="222222"/>
          <w:sz w:val="20"/>
          <w:szCs w:val="20"/>
        </w:rPr>
        <w:t xml:space="preserve">. Pojęcie to na gruncie ustawy </w:t>
      </w:r>
      <w:proofErr w:type="spellStart"/>
      <w:r w:rsidRPr="004F7A82">
        <w:rPr>
          <w:rFonts w:ascii="Lato" w:hAnsi="Lato" w:cs="Open Sans"/>
          <w:color w:val="222222"/>
          <w:sz w:val="20"/>
          <w:szCs w:val="20"/>
        </w:rPr>
        <w:t>Pzp</w:t>
      </w:r>
      <w:proofErr w:type="spellEnd"/>
      <w:r w:rsidRPr="004F7A82">
        <w:rPr>
          <w:rFonts w:ascii="Lato" w:hAnsi="Lato" w:cs="Open Sans"/>
          <w:color w:val="222222"/>
          <w:sz w:val="20"/>
          <w:szCs w:val="20"/>
        </w:rPr>
        <w:t xml:space="preserve"> nie ma charakteru normatywnego </w:t>
      </w:r>
      <w:r w:rsidR="008113E6">
        <w:rPr>
          <w:rFonts w:ascii="Lato" w:hAnsi="Lato" w:cs="Open Sans"/>
          <w:color w:val="222222"/>
          <w:sz w:val="20"/>
          <w:szCs w:val="20"/>
        </w:rPr>
        <w:t xml:space="preserve">- </w:t>
      </w:r>
      <w:r w:rsidRPr="004F7A82">
        <w:rPr>
          <w:rFonts w:ascii="Lato" w:hAnsi="Lato" w:cs="Open Sans"/>
          <w:color w:val="222222"/>
          <w:sz w:val="20"/>
          <w:szCs w:val="20"/>
        </w:rPr>
        <w:t xml:space="preserve">ustawa </w:t>
      </w:r>
      <w:proofErr w:type="spellStart"/>
      <w:r w:rsidRPr="004F7A82">
        <w:rPr>
          <w:rFonts w:ascii="Lato" w:hAnsi="Lato" w:cs="Open Sans"/>
          <w:color w:val="222222"/>
          <w:sz w:val="20"/>
          <w:szCs w:val="20"/>
        </w:rPr>
        <w:t>Pzp</w:t>
      </w:r>
      <w:proofErr w:type="spellEnd"/>
      <w:r w:rsidRPr="004F7A82">
        <w:rPr>
          <w:rFonts w:ascii="Lato" w:hAnsi="Lato" w:cs="Open Sans"/>
          <w:color w:val="222222"/>
          <w:sz w:val="20"/>
          <w:szCs w:val="20"/>
        </w:rPr>
        <w:t xml:space="preserve"> nie posługuje się bowiem takim określeniem. Pojęcie podmiotu prawa publicznego występuje natomiast na gruncie prawodawstwa unijnego (zob. art. 2 ust. 1 pkt 4 dyrektywy 2014/24/UE</w:t>
      </w:r>
      <w:r w:rsidR="00014B6A">
        <w:rPr>
          <w:rStyle w:val="Odwoanieprzypisudolnego"/>
          <w:rFonts w:ascii="Lato" w:hAnsi="Lato" w:cs="Open Sans"/>
          <w:color w:val="222222"/>
          <w:sz w:val="20"/>
          <w:szCs w:val="20"/>
        </w:rPr>
        <w:footnoteReference w:id="1"/>
      </w:r>
      <w:r w:rsidRPr="004F7A82">
        <w:rPr>
          <w:rFonts w:ascii="Lato" w:hAnsi="Lato" w:cs="Open Sans"/>
          <w:color w:val="222222"/>
          <w:sz w:val="20"/>
          <w:szCs w:val="20"/>
        </w:rPr>
        <w:t xml:space="preserve"> oraz art. 3 ust. 4 dyrektywy 2014/25/UE</w:t>
      </w:r>
      <w:r w:rsidR="00014B6A">
        <w:rPr>
          <w:rStyle w:val="Odwoanieprzypisudolnego"/>
          <w:rFonts w:ascii="Lato" w:hAnsi="Lato" w:cs="Open Sans"/>
          <w:color w:val="222222"/>
          <w:sz w:val="20"/>
          <w:szCs w:val="20"/>
        </w:rPr>
        <w:footnoteReference w:id="2"/>
      </w:r>
      <w:r w:rsidRPr="004F7A82">
        <w:rPr>
          <w:rFonts w:ascii="Lato" w:hAnsi="Lato" w:cs="Open Sans"/>
          <w:color w:val="222222"/>
          <w:sz w:val="20"/>
          <w:szCs w:val="20"/>
        </w:rPr>
        <w:t xml:space="preserve">). </w:t>
      </w:r>
    </w:p>
    <w:p w14:paraId="6BC451B6" w14:textId="7FE381F6" w:rsidR="00C86F66" w:rsidRPr="001C2EB0" w:rsidRDefault="00890C2A" w:rsidP="00925A62">
      <w:pPr>
        <w:spacing w:after="120"/>
        <w:rPr>
          <w:rFonts w:ascii="Lato" w:hAnsi="Lato" w:cs="Arial"/>
          <w:sz w:val="20"/>
          <w:szCs w:val="20"/>
        </w:rPr>
      </w:pPr>
      <w:r w:rsidRPr="001C2EB0">
        <w:rPr>
          <w:rFonts w:ascii="Lato" w:hAnsi="Lato" w:cs="Arial"/>
          <w:sz w:val="20"/>
          <w:szCs w:val="20"/>
        </w:rPr>
        <w:t xml:space="preserve">Dla </w:t>
      </w:r>
      <w:r w:rsidR="00424916" w:rsidRPr="001C2EB0">
        <w:rPr>
          <w:rFonts w:ascii="Lato" w:hAnsi="Lato" w:cs="Arial"/>
          <w:sz w:val="20"/>
          <w:szCs w:val="20"/>
        </w:rPr>
        <w:t xml:space="preserve">zakwalifikowania </w:t>
      </w:r>
      <w:r w:rsidR="0042491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fundacji oraz stowarzyszeń </w:t>
      </w:r>
      <w:r w:rsidR="00424916" w:rsidRPr="001C2EB0">
        <w:rPr>
          <w:rFonts w:ascii="Lato" w:hAnsi="Lato" w:cs="Arial"/>
          <w:sz w:val="20"/>
          <w:szCs w:val="20"/>
        </w:rPr>
        <w:t xml:space="preserve">do </w:t>
      </w:r>
      <w:r w:rsidR="007A20DF" w:rsidRPr="004F7A82">
        <w:rPr>
          <w:rFonts w:ascii="Lato" w:hAnsi="Lato" w:cs="Arial"/>
          <w:sz w:val="20"/>
          <w:szCs w:val="20"/>
        </w:rPr>
        <w:t xml:space="preserve">tej </w:t>
      </w:r>
      <w:r w:rsidR="00424916" w:rsidRPr="001C2EB0">
        <w:rPr>
          <w:rFonts w:ascii="Lato" w:hAnsi="Lato" w:cs="Arial"/>
          <w:sz w:val="20"/>
          <w:szCs w:val="20"/>
        </w:rPr>
        <w:t xml:space="preserve">kategorii </w:t>
      </w:r>
      <w:r w:rsidRPr="001C2EB0">
        <w:rPr>
          <w:rFonts w:ascii="Lato" w:hAnsi="Lato" w:cs="Arial"/>
          <w:sz w:val="20"/>
          <w:szCs w:val="20"/>
        </w:rPr>
        <w:t>zamawiając</w:t>
      </w:r>
      <w:r w:rsidR="00424916" w:rsidRPr="001C2EB0">
        <w:rPr>
          <w:rFonts w:ascii="Lato" w:hAnsi="Lato" w:cs="Arial"/>
          <w:sz w:val="20"/>
          <w:szCs w:val="20"/>
        </w:rPr>
        <w:t>ych</w:t>
      </w:r>
      <w:r w:rsidR="001975DC" w:rsidRPr="001C2EB0">
        <w:rPr>
          <w:rFonts w:ascii="Lato" w:hAnsi="Lato" w:cs="Arial"/>
          <w:sz w:val="20"/>
          <w:szCs w:val="20"/>
        </w:rPr>
        <w:t xml:space="preserve"> </w:t>
      </w:r>
      <w:r w:rsidRPr="001C2EB0">
        <w:rPr>
          <w:rFonts w:ascii="Lato" w:hAnsi="Lato" w:cs="Arial"/>
          <w:sz w:val="20"/>
          <w:szCs w:val="20"/>
        </w:rPr>
        <w:t xml:space="preserve">konieczne jest spełnienie warunku </w:t>
      </w:r>
      <w:r w:rsidRPr="001C2EB0">
        <w:rPr>
          <w:rFonts w:ascii="Lato" w:hAnsi="Lato" w:cs="Arial"/>
          <w:b/>
          <w:bCs/>
          <w:sz w:val="20"/>
          <w:szCs w:val="20"/>
        </w:rPr>
        <w:t>posiadania osobowości prawnej</w:t>
      </w:r>
      <w:r w:rsidR="00E200D6" w:rsidRPr="001C2EB0">
        <w:rPr>
          <w:rFonts w:ascii="Lato" w:hAnsi="Lato" w:cs="Arial"/>
          <w:sz w:val="20"/>
          <w:szCs w:val="20"/>
        </w:rPr>
        <w:t xml:space="preserve">, </w:t>
      </w:r>
      <w:r w:rsidR="00B66372" w:rsidRPr="004F7A82">
        <w:rPr>
          <w:rFonts w:ascii="Lato" w:hAnsi="Lato" w:cs="Arial"/>
          <w:sz w:val="20"/>
          <w:szCs w:val="20"/>
        </w:rPr>
        <w:t xml:space="preserve">warunku </w:t>
      </w:r>
      <w:r w:rsidRPr="001C2EB0">
        <w:rPr>
          <w:rFonts w:ascii="Lato" w:hAnsi="Lato" w:cs="Arial"/>
          <w:b/>
          <w:bCs/>
          <w:sz w:val="20"/>
          <w:szCs w:val="20"/>
        </w:rPr>
        <w:t>szczególn</w:t>
      </w:r>
      <w:r w:rsidR="00B66372" w:rsidRPr="004F7A82">
        <w:rPr>
          <w:rFonts w:ascii="Lato" w:hAnsi="Lato" w:cs="Arial"/>
          <w:b/>
          <w:bCs/>
          <w:sz w:val="20"/>
          <w:szCs w:val="20"/>
        </w:rPr>
        <w:t xml:space="preserve">ego </w:t>
      </w:r>
      <w:r w:rsidRPr="001C2EB0">
        <w:rPr>
          <w:rFonts w:ascii="Lato" w:hAnsi="Lato" w:cs="Arial"/>
          <w:b/>
          <w:bCs/>
          <w:sz w:val="20"/>
          <w:szCs w:val="20"/>
        </w:rPr>
        <w:t>cel</w:t>
      </w:r>
      <w:r w:rsidR="00B66372" w:rsidRPr="004F7A82">
        <w:rPr>
          <w:rFonts w:ascii="Lato" w:hAnsi="Lato" w:cs="Arial"/>
          <w:b/>
          <w:bCs/>
          <w:sz w:val="20"/>
          <w:szCs w:val="20"/>
        </w:rPr>
        <w:t>u</w:t>
      </w:r>
      <w:r w:rsidRPr="001C2EB0">
        <w:rPr>
          <w:rFonts w:ascii="Lato" w:hAnsi="Lato" w:cs="Arial"/>
          <w:b/>
          <w:bCs/>
          <w:sz w:val="20"/>
          <w:szCs w:val="20"/>
        </w:rPr>
        <w:t xml:space="preserve"> działalności</w:t>
      </w:r>
      <w:r w:rsidRPr="001C2EB0">
        <w:rPr>
          <w:rFonts w:ascii="Lato" w:hAnsi="Lato" w:cs="Arial"/>
          <w:sz w:val="20"/>
          <w:szCs w:val="20"/>
        </w:rPr>
        <w:t xml:space="preserve"> oraz </w:t>
      </w:r>
      <w:r w:rsidR="00E200D6" w:rsidRPr="001C2EB0">
        <w:rPr>
          <w:rFonts w:ascii="Lato" w:hAnsi="Lato" w:cs="Arial"/>
          <w:sz w:val="20"/>
          <w:szCs w:val="20"/>
        </w:rPr>
        <w:t xml:space="preserve">co najmniej </w:t>
      </w:r>
      <w:r w:rsidRPr="001C2EB0">
        <w:rPr>
          <w:rFonts w:ascii="Lato" w:hAnsi="Lato" w:cs="Arial"/>
          <w:sz w:val="20"/>
          <w:szCs w:val="20"/>
        </w:rPr>
        <w:t xml:space="preserve">jednego z warunków określonych w </w:t>
      </w:r>
      <w:r w:rsidR="00E200D6" w:rsidRPr="001C2EB0">
        <w:rPr>
          <w:rFonts w:ascii="Lato" w:hAnsi="Lato" w:cs="Arial"/>
          <w:sz w:val="20"/>
          <w:szCs w:val="20"/>
        </w:rPr>
        <w:t xml:space="preserve">podpunktach </w:t>
      </w:r>
      <w:r w:rsidRPr="001C2EB0">
        <w:rPr>
          <w:rFonts w:ascii="Lato" w:hAnsi="Lato" w:cs="Arial"/>
          <w:sz w:val="20"/>
          <w:szCs w:val="20"/>
        </w:rPr>
        <w:t>a) – d), czyli przesłanki</w:t>
      </w:r>
      <w:r w:rsidR="0079460C">
        <w:rPr>
          <w:rFonts w:ascii="Lato" w:hAnsi="Lato" w:cs="Arial"/>
          <w:sz w:val="20"/>
          <w:szCs w:val="20"/>
        </w:rPr>
        <w:t xml:space="preserve"> dotyczącej </w:t>
      </w:r>
      <w:r w:rsidRPr="001C2EB0">
        <w:rPr>
          <w:rFonts w:ascii="Lato" w:hAnsi="Lato" w:cs="Arial"/>
          <w:sz w:val="20"/>
          <w:szCs w:val="20"/>
        </w:rPr>
        <w:t xml:space="preserve"> </w:t>
      </w:r>
      <w:r w:rsidRPr="001C2EB0">
        <w:rPr>
          <w:rFonts w:ascii="Lato" w:hAnsi="Lato" w:cs="Arial"/>
          <w:b/>
          <w:bCs/>
          <w:sz w:val="20"/>
          <w:szCs w:val="20"/>
        </w:rPr>
        <w:t>wywierania wpływu</w:t>
      </w:r>
      <w:r w:rsidR="004E539B" w:rsidRPr="004F7A82">
        <w:rPr>
          <w:rFonts w:ascii="Lato" w:hAnsi="Lato" w:cs="Arial"/>
          <w:b/>
          <w:bCs/>
          <w:sz w:val="20"/>
          <w:szCs w:val="20"/>
        </w:rPr>
        <w:t xml:space="preserve"> </w:t>
      </w:r>
      <w:r w:rsidRPr="001C2EB0">
        <w:rPr>
          <w:rFonts w:ascii="Lato" w:hAnsi="Lato" w:cs="Arial"/>
          <w:sz w:val="20"/>
          <w:szCs w:val="20"/>
        </w:rPr>
        <w:t xml:space="preserve">na </w:t>
      </w:r>
      <w:r w:rsidR="00A6773B" w:rsidRPr="001C2EB0">
        <w:rPr>
          <w:rFonts w:ascii="Lato" w:hAnsi="Lato" w:cs="Arial"/>
          <w:sz w:val="20"/>
          <w:szCs w:val="20"/>
        </w:rPr>
        <w:t>podmioty prawa publicznego</w:t>
      </w:r>
      <w:r w:rsidR="001975DC" w:rsidRPr="001C2EB0">
        <w:rPr>
          <w:rFonts w:ascii="Lato" w:hAnsi="Lato" w:cs="Arial"/>
          <w:sz w:val="20"/>
          <w:szCs w:val="20"/>
        </w:rPr>
        <w:t xml:space="preserve"> przez </w:t>
      </w:r>
      <w:r w:rsidR="002429EC" w:rsidRPr="001C2EB0">
        <w:rPr>
          <w:rFonts w:ascii="Lato" w:hAnsi="Lato" w:cs="Arial"/>
          <w:sz w:val="20"/>
          <w:szCs w:val="20"/>
        </w:rPr>
        <w:t xml:space="preserve">inne </w:t>
      </w:r>
      <w:r w:rsidR="00CD0BD7" w:rsidRPr="001C2EB0">
        <w:rPr>
          <w:rFonts w:ascii="Lato" w:hAnsi="Lato" w:cs="Arial"/>
          <w:sz w:val="20"/>
          <w:szCs w:val="20"/>
        </w:rPr>
        <w:t>podmioty prawa publicznego</w:t>
      </w:r>
      <w:r w:rsidRPr="001C2EB0">
        <w:rPr>
          <w:rFonts w:ascii="Lato" w:hAnsi="Lato" w:cs="Arial"/>
          <w:sz w:val="20"/>
          <w:szCs w:val="20"/>
        </w:rPr>
        <w:t xml:space="preserve"> </w:t>
      </w:r>
      <w:r w:rsidR="00315E1E">
        <w:rPr>
          <w:rFonts w:ascii="Lato" w:hAnsi="Lato" w:cs="Arial"/>
          <w:sz w:val="20"/>
          <w:szCs w:val="20"/>
        </w:rPr>
        <w:t xml:space="preserve">lub </w:t>
      </w:r>
      <w:r w:rsidRPr="001C2EB0">
        <w:rPr>
          <w:rFonts w:ascii="Lato" w:hAnsi="Lato" w:cs="Arial"/>
          <w:sz w:val="20"/>
          <w:szCs w:val="20"/>
        </w:rPr>
        <w:t>jednostki sektora finansów publicznych</w:t>
      </w:r>
      <w:r w:rsidR="00315E1E">
        <w:rPr>
          <w:rFonts w:ascii="Lato" w:hAnsi="Lato" w:cs="Arial"/>
          <w:sz w:val="20"/>
          <w:szCs w:val="20"/>
        </w:rPr>
        <w:t xml:space="preserve"> lub </w:t>
      </w:r>
      <w:r w:rsidR="00CD0BD7" w:rsidRPr="001C2EB0">
        <w:rPr>
          <w:rFonts w:ascii="Lato" w:hAnsi="Lato" w:cs="Arial"/>
          <w:sz w:val="20"/>
          <w:szCs w:val="20"/>
        </w:rPr>
        <w:t xml:space="preserve">inne niż jednostki sektora finansów publicznych </w:t>
      </w:r>
      <w:r w:rsidRPr="001C2EB0">
        <w:rPr>
          <w:rFonts w:ascii="Lato" w:hAnsi="Lato" w:cs="Arial"/>
          <w:sz w:val="20"/>
          <w:szCs w:val="20"/>
        </w:rPr>
        <w:t>państwowe jednostki organizacyjne nieosiadające osobowości prawnej</w:t>
      </w:r>
      <w:r w:rsidR="0079460C">
        <w:rPr>
          <w:rFonts w:ascii="Lato" w:hAnsi="Lato" w:cs="Arial"/>
          <w:sz w:val="20"/>
          <w:szCs w:val="20"/>
        </w:rPr>
        <w:t xml:space="preserve">. </w:t>
      </w:r>
      <w:r w:rsidR="00300114">
        <w:rPr>
          <w:rFonts w:ascii="Lato" w:hAnsi="Lato" w:cs="Arial"/>
          <w:sz w:val="20"/>
          <w:szCs w:val="20"/>
        </w:rPr>
        <w:t xml:space="preserve">Wpływ ten może przybrać formę </w:t>
      </w:r>
      <w:r w:rsidR="00D92E76">
        <w:rPr>
          <w:rFonts w:ascii="Lato" w:hAnsi="Lato" w:cs="Arial"/>
          <w:sz w:val="20"/>
          <w:szCs w:val="20"/>
        </w:rPr>
        <w:t>wpływu</w:t>
      </w:r>
      <w:r w:rsidR="00E77A08">
        <w:rPr>
          <w:rFonts w:ascii="Lato" w:hAnsi="Lato" w:cs="Arial"/>
          <w:sz w:val="20"/>
          <w:szCs w:val="20"/>
        </w:rPr>
        <w:t>:</w:t>
      </w:r>
      <w:r w:rsidR="00D92E76">
        <w:rPr>
          <w:rFonts w:ascii="Lato" w:hAnsi="Lato" w:cs="Arial"/>
          <w:sz w:val="20"/>
          <w:szCs w:val="20"/>
        </w:rPr>
        <w:t xml:space="preserve"> </w:t>
      </w:r>
      <w:r w:rsidR="00300114" w:rsidRPr="004F7A82">
        <w:rPr>
          <w:rFonts w:ascii="Lato" w:hAnsi="Lato" w:cs="Arial"/>
          <w:b/>
          <w:bCs/>
          <w:sz w:val="20"/>
          <w:szCs w:val="20"/>
        </w:rPr>
        <w:t xml:space="preserve">finansowego </w:t>
      </w:r>
      <w:r w:rsidR="00300114" w:rsidRPr="00226931">
        <w:rPr>
          <w:rFonts w:ascii="Lato" w:hAnsi="Lato" w:cs="Arial"/>
          <w:sz w:val="20"/>
          <w:szCs w:val="20"/>
        </w:rPr>
        <w:t xml:space="preserve">(art. 4 pkt 3 lit. a) ustawy </w:t>
      </w:r>
      <w:proofErr w:type="spellStart"/>
      <w:r w:rsidR="00300114" w:rsidRPr="00226931">
        <w:rPr>
          <w:rFonts w:ascii="Lato" w:hAnsi="Lato" w:cs="Arial"/>
          <w:sz w:val="20"/>
          <w:szCs w:val="20"/>
        </w:rPr>
        <w:t>Pzp</w:t>
      </w:r>
      <w:proofErr w:type="spellEnd"/>
      <w:r w:rsidR="00300114" w:rsidRPr="00226931">
        <w:rPr>
          <w:rFonts w:ascii="Lato" w:hAnsi="Lato" w:cs="Arial"/>
          <w:sz w:val="20"/>
          <w:szCs w:val="20"/>
        </w:rPr>
        <w:t>)</w:t>
      </w:r>
      <w:r w:rsidR="00300114" w:rsidRPr="004F7A82">
        <w:rPr>
          <w:rFonts w:ascii="Lato" w:hAnsi="Lato" w:cs="Arial"/>
          <w:b/>
          <w:bCs/>
          <w:sz w:val="20"/>
          <w:szCs w:val="20"/>
        </w:rPr>
        <w:t xml:space="preserve"> lub kapitałowego </w:t>
      </w:r>
      <w:r w:rsidR="00300114" w:rsidRPr="00226931">
        <w:rPr>
          <w:rFonts w:ascii="Lato" w:hAnsi="Lato" w:cs="Arial"/>
          <w:sz w:val="20"/>
          <w:szCs w:val="20"/>
        </w:rPr>
        <w:t xml:space="preserve">(art. 4 pkt 3 lit. b) ustawy </w:t>
      </w:r>
      <w:proofErr w:type="spellStart"/>
      <w:r w:rsidR="00300114" w:rsidRPr="00226931">
        <w:rPr>
          <w:rFonts w:ascii="Lato" w:hAnsi="Lato" w:cs="Arial"/>
          <w:sz w:val="20"/>
          <w:szCs w:val="20"/>
        </w:rPr>
        <w:t>Pzp</w:t>
      </w:r>
      <w:proofErr w:type="spellEnd"/>
      <w:r w:rsidR="00300114" w:rsidRPr="00226931">
        <w:rPr>
          <w:rFonts w:ascii="Lato" w:hAnsi="Lato" w:cs="Arial"/>
          <w:sz w:val="20"/>
          <w:szCs w:val="20"/>
        </w:rPr>
        <w:t xml:space="preserve">) </w:t>
      </w:r>
      <w:r w:rsidR="00300114" w:rsidRPr="004F7A82">
        <w:rPr>
          <w:rFonts w:ascii="Lato" w:hAnsi="Lato" w:cs="Arial"/>
          <w:b/>
          <w:bCs/>
          <w:sz w:val="20"/>
          <w:szCs w:val="20"/>
        </w:rPr>
        <w:t xml:space="preserve">lub nadzorczego </w:t>
      </w:r>
      <w:r w:rsidR="00300114" w:rsidRPr="00226931">
        <w:rPr>
          <w:rFonts w:ascii="Lato" w:hAnsi="Lato" w:cs="Arial"/>
          <w:sz w:val="20"/>
          <w:szCs w:val="20"/>
        </w:rPr>
        <w:t xml:space="preserve">(art. 4 pkt 3 lit. c) ustawy </w:t>
      </w:r>
      <w:proofErr w:type="spellStart"/>
      <w:r w:rsidR="00300114" w:rsidRPr="00226931">
        <w:rPr>
          <w:rFonts w:ascii="Lato" w:hAnsi="Lato" w:cs="Arial"/>
          <w:sz w:val="20"/>
          <w:szCs w:val="20"/>
        </w:rPr>
        <w:t>Pzp</w:t>
      </w:r>
      <w:proofErr w:type="spellEnd"/>
      <w:r w:rsidR="00300114" w:rsidRPr="00226931">
        <w:rPr>
          <w:rFonts w:ascii="Lato" w:hAnsi="Lato" w:cs="Arial"/>
          <w:sz w:val="20"/>
          <w:szCs w:val="20"/>
        </w:rPr>
        <w:t xml:space="preserve">) </w:t>
      </w:r>
      <w:r w:rsidR="00300114" w:rsidRPr="004F7A82">
        <w:rPr>
          <w:rFonts w:ascii="Lato" w:hAnsi="Lato" w:cs="Arial"/>
          <w:b/>
          <w:bCs/>
          <w:sz w:val="20"/>
          <w:szCs w:val="20"/>
        </w:rPr>
        <w:t xml:space="preserve">lub </w:t>
      </w:r>
      <w:r w:rsidR="00300114" w:rsidRPr="00226931">
        <w:rPr>
          <w:rFonts w:ascii="Lato" w:hAnsi="Lato" w:cs="Arial"/>
          <w:sz w:val="20"/>
          <w:szCs w:val="20"/>
        </w:rPr>
        <w:t xml:space="preserve"> </w:t>
      </w:r>
      <w:r w:rsidR="00300114" w:rsidRPr="00226931">
        <w:rPr>
          <w:rFonts w:ascii="Lato" w:hAnsi="Lato" w:cs="Arial"/>
          <w:b/>
          <w:bCs/>
          <w:sz w:val="20"/>
          <w:szCs w:val="20"/>
        </w:rPr>
        <w:t xml:space="preserve">osobowego </w:t>
      </w:r>
      <w:r w:rsidR="00300114" w:rsidRPr="004F7A82">
        <w:rPr>
          <w:rFonts w:ascii="Lato" w:hAnsi="Lato" w:cs="Arial"/>
          <w:sz w:val="20"/>
          <w:szCs w:val="20"/>
        </w:rPr>
        <w:t xml:space="preserve">(art. 4 pkt 3 </w:t>
      </w:r>
      <w:r w:rsidR="00D92E76" w:rsidRPr="004F7A82">
        <w:rPr>
          <w:rFonts w:ascii="Lato" w:hAnsi="Lato" w:cs="Arial"/>
          <w:sz w:val="20"/>
          <w:szCs w:val="20"/>
        </w:rPr>
        <w:t>l</w:t>
      </w:r>
      <w:r w:rsidR="00D92E76">
        <w:rPr>
          <w:rFonts w:ascii="Lato" w:hAnsi="Lato" w:cs="Arial"/>
          <w:sz w:val="20"/>
          <w:szCs w:val="20"/>
        </w:rPr>
        <w:t>i</w:t>
      </w:r>
      <w:r w:rsidR="00D92E76" w:rsidRPr="004F7A82">
        <w:rPr>
          <w:rFonts w:ascii="Lato" w:hAnsi="Lato" w:cs="Arial"/>
          <w:sz w:val="20"/>
          <w:szCs w:val="20"/>
        </w:rPr>
        <w:t>t.</w:t>
      </w:r>
      <w:r w:rsidR="00300114" w:rsidRPr="004F7A82">
        <w:rPr>
          <w:rFonts w:ascii="Lato" w:hAnsi="Lato" w:cs="Arial"/>
          <w:sz w:val="20"/>
          <w:szCs w:val="20"/>
        </w:rPr>
        <w:t xml:space="preserve"> d) ustawy </w:t>
      </w:r>
      <w:proofErr w:type="spellStart"/>
      <w:r w:rsidR="00300114" w:rsidRPr="004F7A82">
        <w:rPr>
          <w:rFonts w:ascii="Lato" w:hAnsi="Lato" w:cs="Arial"/>
          <w:sz w:val="20"/>
          <w:szCs w:val="20"/>
        </w:rPr>
        <w:t>Pzp</w:t>
      </w:r>
      <w:proofErr w:type="spellEnd"/>
      <w:r w:rsidR="00300114" w:rsidRPr="004F7A82">
        <w:rPr>
          <w:rFonts w:ascii="Lato" w:hAnsi="Lato" w:cs="Arial"/>
          <w:sz w:val="20"/>
          <w:szCs w:val="20"/>
        </w:rPr>
        <w:t>)</w:t>
      </w:r>
      <w:r w:rsidR="00D92E76">
        <w:rPr>
          <w:rFonts w:ascii="Lato" w:hAnsi="Lato" w:cs="Arial"/>
          <w:sz w:val="20"/>
          <w:szCs w:val="20"/>
        </w:rPr>
        <w:t>.</w:t>
      </w:r>
    </w:p>
    <w:p w14:paraId="665B345E" w14:textId="1248F2F9" w:rsidR="0071046B" w:rsidRPr="00925A62" w:rsidRDefault="0071046B" w:rsidP="00925A6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925A62">
        <w:rPr>
          <w:rFonts w:ascii="Lato" w:eastAsia="Times New Roman" w:hAnsi="Lato" w:cs="Open Sans"/>
          <w:b/>
          <w:bCs/>
          <w:kern w:val="0"/>
          <w:sz w:val="20"/>
          <w:szCs w:val="20"/>
          <w:lang w:eastAsia="pl-PL"/>
          <w14:ligatures w14:val="none"/>
        </w:rPr>
        <w:t>Warunek posiadania osobowości prawnej</w:t>
      </w:r>
    </w:p>
    <w:p w14:paraId="7EE9F13F" w14:textId="50E0C3A7" w:rsidR="00C86F66" w:rsidRPr="001C2EB0" w:rsidRDefault="0071046B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F</w:t>
      </w:r>
      <w:r w:rsidR="00C16FC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undacje i stowarzyszenia </w:t>
      </w:r>
      <w:r w:rsidR="0061414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uzyskują</w:t>
      </w:r>
      <w:r w:rsidR="00B77B71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61414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osobowość prawn</w:t>
      </w:r>
      <w:r w:rsidR="00977D5D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ą</w:t>
      </w:r>
      <w:r w:rsidR="0061414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z chwilą </w:t>
      </w:r>
      <w:r w:rsidR="00251286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wpisu do Krajowego Rejestru Sądowego (KRS)</w:t>
      </w:r>
      <w:r w:rsidR="00105A2B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, co wynika z następujących norm prawnych:</w:t>
      </w:r>
    </w:p>
    <w:p w14:paraId="00CEBD36" w14:textId="44E0EE21" w:rsidR="00FB0BA2" w:rsidRPr="001C2EB0" w:rsidRDefault="00C24C88" w:rsidP="00925A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zgodnie z art. 7 </w:t>
      </w:r>
      <w:r w:rsidR="00170543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pkt 1 i 2 </w:t>
      </w: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442D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6 kwietnia 1984 r. o fundacjach (Dz. U. z 2023 r.</w:t>
      </w:r>
      <w:r w:rsidR="00105A2B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</w:t>
      </w:r>
      <w:r w:rsidR="009442D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poz. 166</w:t>
      </w:r>
      <w:r w:rsidR="00CA35D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) fundacja podlega obowiązkowi wpisu do </w:t>
      </w:r>
      <w:r w:rsidR="00E66AE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KRS i uzyskuje osobowość prawną z chwilą wpisania do KRS</w:t>
      </w:r>
      <w:r w:rsidR="00FB0BA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;</w:t>
      </w:r>
    </w:p>
    <w:p w14:paraId="32D841BC" w14:textId="347FE1A5" w:rsidR="00251286" w:rsidRPr="001C2EB0" w:rsidRDefault="00257244" w:rsidP="00925A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zgodnie z art. </w:t>
      </w:r>
      <w:r w:rsidR="00733A8E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8</w:t>
      </w:r>
      <w:r w:rsidR="00CF7968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E95277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ust. 1 </w:t>
      </w:r>
      <w:r w:rsidR="00CF7968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i art. 17 ust. 1</w:t>
      </w:r>
      <w:r w:rsidR="00F4543C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ustawy z dnia </w:t>
      </w:r>
      <w:r w:rsidR="005423CD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7 kwietnia 1989 r. </w:t>
      </w:r>
      <w:r w:rsidR="0012254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Prawo </w:t>
      </w:r>
      <w:r w:rsidR="005423CD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o stowarzyszeniach (Dz. U. z</w:t>
      </w:r>
      <w:r w:rsidR="005477E0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2020 r.</w:t>
      </w:r>
      <w:r w:rsidR="00105A2B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</w:t>
      </w:r>
      <w:r w:rsidR="005477E0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poz. 2261</w:t>
      </w:r>
      <w:r w:rsidR="00A13F1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)</w:t>
      </w:r>
      <w:r w:rsidR="00733A8E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A13F1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s</w:t>
      </w:r>
      <w:r w:rsidR="00F4543C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towarzyszenie podlega obowiązkowi wpisu do</w:t>
      </w:r>
      <w:r w:rsidR="00251286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KRS</w:t>
      </w:r>
      <w:r w:rsidR="00F4543C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, o ile przepis ustawy nie stanowi inaczej.</w:t>
      </w:r>
      <w:r w:rsidR="00DB777C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Stowarzyszenie uzyskuje osobowość prawną i może rozpocząć działalność po wpisie do</w:t>
      </w:r>
      <w:r w:rsidR="00251286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KRS</w:t>
      </w:r>
      <w:r w:rsidR="00DB777C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.</w:t>
      </w:r>
      <w:r w:rsidR="00CF7968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60E15FC" w14:textId="72D5DD2A" w:rsidR="00C1488B" w:rsidRPr="001C2EB0" w:rsidRDefault="002C1F0C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N</w:t>
      </w:r>
      <w:r w:rsidR="00D56500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a marginesie </w:t>
      </w: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warto wspomnieć</w:t>
      </w:r>
      <w:r w:rsidR="00C7039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, że obowiązek wpisu</w:t>
      </w:r>
      <w:r w:rsidR="00D56500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do KRS</w:t>
      </w:r>
      <w:r w:rsidR="00C7039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nie dotyczy</w:t>
      </w:r>
      <w:r w:rsidR="0023056D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C70393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stowarzyszeń zwykłych</w:t>
      </w:r>
      <w:r w:rsidR="0023056D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o których mowa w </w:t>
      </w:r>
      <w:r w:rsidR="009D5CAF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art. 40 ustawy </w:t>
      </w:r>
      <w:r w:rsidR="0012254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Prawo </w:t>
      </w:r>
      <w:r w:rsidR="009D5CAF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o stow</w:t>
      </w:r>
      <w:r w:rsidR="00CE4798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arzyszeniach</w:t>
      </w:r>
      <w:r w:rsidR="0065685F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które </w:t>
      </w:r>
      <w:r w:rsidR="00555805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są uproszczoną formą stowarzyszenia </w:t>
      </w:r>
      <w:r w:rsidR="00555805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lastRenderedPageBreak/>
        <w:t xml:space="preserve">i </w:t>
      </w:r>
      <w:r w:rsidR="0065685F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nie posiadają osobowości prawnej</w:t>
      </w:r>
      <w:r w:rsidR="007D2574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8423AA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oraz </w:t>
      </w:r>
      <w:r w:rsidR="000922D4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działających w formie stowarzyszenia </w:t>
      </w:r>
      <w:r w:rsidR="008423AA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klubów </w:t>
      </w:r>
      <w:r w:rsidR="003D6A6F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sportowych, o których mowa w art. </w:t>
      </w:r>
      <w:r w:rsidR="0064493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4 ustawy z dnia </w:t>
      </w:r>
      <w:r w:rsidR="00CD17EF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25 czerwca 2010 r. o sporcie (Dz. U. z 2023 r.</w:t>
      </w:r>
      <w:r w:rsidR="00E0478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,</w:t>
      </w:r>
      <w:r w:rsidR="00CD17EF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poz. 2048</w:t>
      </w:r>
      <w:r w:rsidR="00D56500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)</w:t>
      </w:r>
      <w:r w:rsidR="00842979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</w:t>
      </w:r>
      <w:r w:rsidR="00AB67D4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które </w:t>
      </w:r>
      <w:r w:rsidR="00E55585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zgodnie z ustawą </w:t>
      </w:r>
      <w:r w:rsidR="00AB67D4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o</w:t>
      </w:r>
      <w:r w:rsidR="00E55585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sporcie podlegają wpisowi do </w:t>
      </w:r>
      <w:r w:rsidR="00AB67D4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ewidencji </w:t>
      </w:r>
      <w:r w:rsidR="002D1CC7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uczniowskich klubów sportowych </w:t>
      </w:r>
      <w:r w:rsidR="00AB67D4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prowadzonej przez starostę</w:t>
      </w:r>
      <w:r w:rsidR="00842979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.</w:t>
      </w:r>
      <w:r w:rsidR="009D3DB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A24E87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648617" w14:textId="274175EC" w:rsidR="00170B7E" w:rsidRPr="001C2EB0" w:rsidRDefault="00170B7E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Fundacje oraz zasadniczo stowarzyszenia spełniają </w:t>
      </w:r>
      <w:r w:rsidR="00F52AB7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zatem przesłankę posiadania osobowości prawnej, któ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ra </w:t>
      </w:r>
      <w:r w:rsidR="0079460C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łącznie z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pozostały</w:t>
      </w:r>
      <w:r w:rsidR="0079460C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mi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8F147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przesła</w:t>
      </w:r>
      <w:r w:rsidR="0079460C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nkami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  <w:r w:rsidR="00212A4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wyróżni</w:t>
      </w:r>
      <w:r w:rsidR="00FF5DD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o</w:t>
      </w:r>
      <w:r w:rsidR="00212A4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n</w:t>
      </w:r>
      <w:r w:rsidR="0079460C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ymi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w </w:t>
      </w:r>
      <w:r w:rsidR="00212A45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art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. 4 </w:t>
      </w:r>
      <w:r w:rsidR="00FF5DD1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kt 3 ustawy </w:t>
      </w:r>
      <w:proofErr w:type="spellStart"/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0F4F36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, </w:t>
      </w:r>
      <w:r w:rsidR="000F4F36" w:rsidRPr="008C4CE2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pozwala zaliczyć dany podmiot do kategorii zamawiających z art. 4 pkt 3 ustawy </w:t>
      </w:r>
      <w:proofErr w:type="spellStart"/>
      <w:r w:rsidR="000F4F36" w:rsidRPr="008C4CE2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0F4F36" w:rsidRPr="008C4CE2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. </w:t>
      </w:r>
      <w:r w:rsidR="00B77B71" w:rsidRPr="00E04949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Przy dokonywaniu analizy w zakresie obowiązku stosowania ustawy </w:t>
      </w:r>
      <w:proofErr w:type="spellStart"/>
      <w:r w:rsidR="00B77B71" w:rsidRPr="00E04949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B77B71" w:rsidRPr="00E04949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przez stowarzyszenie należy zbadać, czy stowarzyszenie to posiada osobowość prawną</w:t>
      </w:r>
      <w:r w:rsidR="00B77B71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. </w:t>
      </w:r>
      <w:r w:rsidR="002D3902" w:rsidRPr="001C2EB0"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08A21C6" w14:textId="3BEB6FDE" w:rsidR="00B66372" w:rsidRPr="00925A62" w:rsidRDefault="00B66372" w:rsidP="00925A6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Warun</w:t>
      </w:r>
      <w:r w:rsidR="004C5D52"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e</w:t>
      </w:r>
      <w:r w:rsidR="003127ED"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k</w:t>
      </w:r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1A4B37"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szczególnego celu działalności</w:t>
      </w:r>
      <w:r w:rsidR="001A4B37" w:rsidRPr="00925A6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38D67D2" w14:textId="5ED99559" w:rsidR="0009309D" w:rsidRDefault="00941888" w:rsidP="00925A62">
      <w:pPr>
        <w:spacing w:before="100" w:beforeAutospacing="1" w:after="100" w:afterAutospacing="1" w:line="240" w:lineRule="auto"/>
        <w:rPr>
          <w:rFonts w:ascii="Lato" w:hAnsi="Lato" w:cs="Arial"/>
          <w:sz w:val="20"/>
          <w:szCs w:val="20"/>
        </w:rPr>
      </w:pPr>
      <w:r w:rsidRPr="001C2EB0">
        <w:rPr>
          <w:rFonts w:ascii="Lato" w:hAnsi="Lato" w:cs="Arial"/>
          <w:sz w:val="20"/>
          <w:szCs w:val="20"/>
        </w:rPr>
        <w:t xml:space="preserve">Przepis art. 4 pkt 3 ustawy </w:t>
      </w:r>
      <w:proofErr w:type="spellStart"/>
      <w:r w:rsidRPr="001C2EB0">
        <w:rPr>
          <w:rFonts w:ascii="Lato" w:hAnsi="Lato" w:cs="Arial"/>
          <w:sz w:val="20"/>
          <w:szCs w:val="20"/>
        </w:rPr>
        <w:t>Pzp</w:t>
      </w:r>
      <w:proofErr w:type="spellEnd"/>
      <w:r w:rsidRPr="001C2EB0">
        <w:rPr>
          <w:rFonts w:ascii="Lato" w:hAnsi="Lato" w:cs="Arial"/>
          <w:sz w:val="20"/>
          <w:szCs w:val="20"/>
        </w:rPr>
        <w:t xml:space="preserve"> wymaga, aby </w:t>
      </w:r>
      <w:r w:rsidR="008E4722" w:rsidRPr="001C2EB0">
        <w:rPr>
          <w:rFonts w:ascii="Lato" w:hAnsi="Lato" w:cs="Arial"/>
          <w:sz w:val="20"/>
          <w:szCs w:val="20"/>
        </w:rPr>
        <w:t xml:space="preserve">podmiot prawa publicznego spełniał również przesłankę </w:t>
      </w:r>
      <w:r w:rsidRPr="001C2EB0">
        <w:rPr>
          <w:rFonts w:ascii="Lato" w:hAnsi="Lato" w:cs="Arial"/>
          <w:b/>
          <w:bCs/>
          <w:sz w:val="20"/>
          <w:szCs w:val="20"/>
        </w:rPr>
        <w:t>utworzenia w</w:t>
      </w:r>
      <w:r w:rsidRPr="001C2EB0">
        <w:rPr>
          <w:rFonts w:ascii="Lato" w:hAnsi="Lato" w:cs="Arial"/>
          <w:sz w:val="20"/>
          <w:szCs w:val="20"/>
        </w:rPr>
        <w:t xml:space="preserve"> </w:t>
      </w:r>
      <w:r w:rsidRPr="001C2EB0">
        <w:rPr>
          <w:rFonts w:ascii="Lato" w:hAnsi="Lato" w:cs="Arial"/>
          <w:b/>
          <w:bCs/>
          <w:sz w:val="20"/>
          <w:szCs w:val="20"/>
        </w:rPr>
        <w:t>szczególnym celu zaspakajania potrzeb o charakterze powszechnym niemających charakteru przemysłowego ani handlowego</w:t>
      </w:r>
      <w:r w:rsidR="009838FF" w:rsidRPr="001C2EB0">
        <w:rPr>
          <w:rFonts w:ascii="Lato" w:hAnsi="Lato" w:cs="Arial"/>
          <w:b/>
          <w:bCs/>
          <w:sz w:val="20"/>
          <w:szCs w:val="20"/>
        </w:rPr>
        <w:t>.</w:t>
      </w:r>
      <w:r w:rsidR="009838FF" w:rsidRPr="001C2EB0">
        <w:rPr>
          <w:rFonts w:ascii="Lato" w:hAnsi="Lato" w:cs="Arial"/>
          <w:sz w:val="20"/>
          <w:szCs w:val="20"/>
        </w:rPr>
        <w:t xml:space="preserve"> </w:t>
      </w:r>
      <w:r w:rsidR="006D18DA" w:rsidRPr="006D18DA">
        <w:rPr>
          <w:rFonts w:ascii="Lato" w:hAnsi="Lato" w:cs="Arial"/>
          <w:sz w:val="20"/>
          <w:szCs w:val="20"/>
        </w:rPr>
        <w:t xml:space="preserve">Dokonując interpretacji </w:t>
      </w:r>
      <w:r w:rsidR="00CD308A">
        <w:rPr>
          <w:rFonts w:ascii="Lato" w:hAnsi="Lato" w:cs="Arial"/>
          <w:sz w:val="20"/>
          <w:szCs w:val="20"/>
        </w:rPr>
        <w:t xml:space="preserve">pojęcia </w:t>
      </w:r>
      <w:r w:rsidR="00CD308A" w:rsidRPr="006D18DA">
        <w:rPr>
          <w:rFonts w:ascii="Lato" w:hAnsi="Lato" w:cs="Arial"/>
          <w:sz w:val="20"/>
          <w:szCs w:val="20"/>
        </w:rPr>
        <w:t xml:space="preserve">„potrzeb o charakterze powszechnym” </w:t>
      </w:r>
      <w:r w:rsidR="00CD308A">
        <w:rPr>
          <w:rFonts w:ascii="Lato" w:hAnsi="Lato" w:cs="Arial"/>
          <w:sz w:val="20"/>
          <w:szCs w:val="20"/>
        </w:rPr>
        <w:t xml:space="preserve"> </w:t>
      </w:r>
      <w:r w:rsidR="006D18DA" w:rsidRPr="006D18DA">
        <w:rPr>
          <w:rFonts w:ascii="Lato" w:hAnsi="Lato" w:cs="Arial"/>
          <w:sz w:val="20"/>
          <w:szCs w:val="20"/>
        </w:rPr>
        <w:t>należy się odwołać do stanowiska TSUE.</w:t>
      </w:r>
      <w:r w:rsidR="006D18DA" w:rsidRPr="006D18DA" w:rsidDel="00655906">
        <w:rPr>
          <w:rFonts w:ascii="Lato" w:hAnsi="Lato" w:cs="Arial"/>
          <w:sz w:val="20"/>
          <w:szCs w:val="20"/>
        </w:rPr>
        <w:t xml:space="preserve"> </w:t>
      </w:r>
      <w:r w:rsidR="00066A93">
        <w:rPr>
          <w:rFonts w:ascii="Lato" w:hAnsi="Lato" w:cs="Arial"/>
          <w:sz w:val="20"/>
          <w:szCs w:val="20"/>
        </w:rPr>
        <w:t xml:space="preserve">Trybunał </w:t>
      </w:r>
      <w:r w:rsidR="000C6EE8" w:rsidRPr="000C6EE8">
        <w:rPr>
          <w:rFonts w:ascii="Lato" w:hAnsi="Lato" w:cs="Arial"/>
          <w:sz w:val="20"/>
          <w:szCs w:val="20"/>
        </w:rPr>
        <w:t>stwierdził</w:t>
      </w:r>
      <w:r w:rsidR="002A676E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="000C6EE8" w:rsidRPr="000C6EE8">
        <w:rPr>
          <w:rFonts w:ascii="Lato" w:hAnsi="Lato" w:cs="Arial"/>
          <w:sz w:val="20"/>
          <w:szCs w:val="20"/>
        </w:rPr>
        <w:t>, że z potrzebami tego typu mamy zwykle do czynienia wtedy, gdy z przyczyn związanych z interesem publicznym państwo zdecydowało się samo świadczyć usługi, których celem jest zaspokojenie tych potrzeb (związanych ściśle z jego instytucjonalną działalnością; które to zaspokajanie powinno służyć społeczeństwu jako całości i dlatego leży w interesie ogólnospołecznym), albo zachować na ich świadczenie decydujący wpływ. Tak więc przyjmując interpretację TSUE, tworząc instytucje prawa publicznego, państwo decyduje się (z przyczyn związanych z interesem ogólnym) pewne potrzeby zaspokajać samo lub mieć decydujący wpływ na sposób zaspokajania tych potrzeb. Niezależnie od formy organizacyjno-prawnej, za pomocą której zaspokajana jest taka potrzeba, objęte tym pojęciem będą wszystkie zadania z istoty swojej uważane za mające charakter publiczny. Przez pojęcie zaspokajania potrzeb o charakterze powszechnym należy rozumieć zasadniczo każdą aktywność, która nie jest wykonywana wyłącznie dla zaspokojenia pojedynczego, prywatnego celu.</w:t>
      </w:r>
      <w:r w:rsidR="00315E1E">
        <w:rPr>
          <w:rFonts w:ascii="Lato" w:hAnsi="Lato" w:cs="Arial"/>
          <w:sz w:val="20"/>
          <w:szCs w:val="20"/>
        </w:rPr>
        <w:t xml:space="preserve"> </w:t>
      </w:r>
      <w:r w:rsidR="004B2C90">
        <w:rPr>
          <w:rFonts w:ascii="Lato" w:hAnsi="Lato" w:cs="Arial"/>
          <w:sz w:val="20"/>
          <w:szCs w:val="20"/>
        </w:rPr>
        <w:t xml:space="preserve">Ponadto </w:t>
      </w:r>
      <w:r w:rsidR="0009309D" w:rsidRPr="001C2EB0">
        <w:rPr>
          <w:rFonts w:ascii="Lato" w:hAnsi="Lato" w:cs="Arial"/>
          <w:sz w:val="20"/>
          <w:szCs w:val="20"/>
        </w:rPr>
        <w:t xml:space="preserve">nieistotne jest to, </w:t>
      </w:r>
      <w:r w:rsidR="008667A1">
        <w:rPr>
          <w:rFonts w:ascii="Lato" w:hAnsi="Lato" w:cs="Arial"/>
          <w:sz w:val="20"/>
          <w:szCs w:val="20"/>
        </w:rPr>
        <w:t>że</w:t>
      </w:r>
      <w:r w:rsidR="0009309D" w:rsidRPr="001C2EB0">
        <w:rPr>
          <w:rFonts w:ascii="Lato" w:hAnsi="Lato" w:cs="Arial"/>
          <w:sz w:val="20"/>
          <w:szCs w:val="20"/>
        </w:rPr>
        <w:t xml:space="preserve"> poza zadaniami w interesie ogólnym omawiany podmiot wykonuje również inną działalność w celach zarobkowych, jeżeli nadal zajmuje się zaspokajaniem potrzeb w interesie ogólnym, które ma on szczególny obowiązek zaspokaja</w:t>
      </w:r>
      <w:r w:rsidR="008667A1">
        <w:rPr>
          <w:rFonts w:ascii="Lato" w:hAnsi="Lato" w:cs="Arial"/>
          <w:sz w:val="20"/>
          <w:szCs w:val="20"/>
        </w:rPr>
        <w:t>ć.</w:t>
      </w:r>
      <w:r w:rsidR="00F7461E">
        <w:rPr>
          <w:rStyle w:val="Odwoanieprzypisudolnego"/>
          <w:rFonts w:ascii="Lato" w:hAnsi="Lato" w:cs="Arial"/>
          <w:sz w:val="20"/>
          <w:szCs w:val="20"/>
        </w:rPr>
        <w:footnoteReference w:id="4"/>
      </w:r>
    </w:p>
    <w:p w14:paraId="12171FC9" w14:textId="1624C2D3" w:rsidR="005C1A10" w:rsidRPr="004F7A82" w:rsidRDefault="00AB1979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rzesłanka </w:t>
      </w:r>
      <w:r w:rsidR="00E57E6A" w:rsidRPr="001C2EB0">
        <w:rPr>
          <w:rFonts w:ascii="Lato" w:eastAsia="Times New Roman" w:hAnsi="Lato" w:cs="Open Sans"/>
          <w:i/>
          <w:iCs/>
          <w:color w:val="222222"/>
          <w:kern w:val="0"/>
          <w:sz w:val="20"/>
          <w:szCs w:val="20"/>
          <w:lang w:eastAsia="pl-PL"/>
          <w14:ligatures w14:val="none"/>
        </w:rPr>
        <w:t>„</w:t>
      </w:r>
      <w:r w:rsidR="002414B8" w:rsidRPr="001C2EB0">
        <w:rPr>
          <w:rFonts w:ascii="Lato" w:eastAsia="Times New Roman" w:hAnsi="Lato" w:cs="Open Sans"/>
          <w:i/>
          <w:iCs/>
          <w:color w:val="222222"/>
          <w:kern w:val="0"/>
          <w:sz w:val="20"/>
          <w:szCs w:val="20"/>
          <w:lang w:eastAsia="pl-PL"/>
          <w14:ligatures w14:val="none"/>
        </w:rPr>
        <w:t>utworzenia w szczególnym celu zaspokajania potrzeb o charakterze powszechnym nie mających charakteru przemysłowego ani handlowego</w:t>
      </w:r>
      <w:r w:rsidR="00E57E6A" w:rsidRPr="001C2EB0">
        <w:rPr>
          <w:rFonts w:ascii="Lato" w:eastAsia="Times New Roman" w:hAnsi="Lato" w:cs="Open Sans"/>
          <w:i/>
          <w:iCs/>
          <w:color w:val="222222"/>
          <w:kern w:val="0"/>
          <w:sz w:val="20"/>
          <w:szCs w:val="20"/>
          <w:lang w:eastAsia="pl-PL"/>
          <w14:ligatures w14:val="none"/>
        </w:rPr>
        <w:t>”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realizuje się </w:t>
      </w:r>
      <w:r w:rsidR="00120D55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zwłaszcza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 przypadku </w:t>
      </w:r>
      <w:r w:rsidR="003F6C19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fundacji </w:t>
      </w:r>
      <w:r w:rsidR="00FE16B6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oraz stowarzyszeń </w:t>
      </w:r>
      <w:r w:rsidR="002414B8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będących organizacjami pożytku publicznego</w:t>
      </w:r>
      <w:r w:rsidR="000F5DE3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.</w:t>
      </w:r>
      <w:r w:rsidR="000F5DE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Stosownie do brzmienia </w:t>
      </w:r>
      <w:r w:rsidR="00902E8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art. 3</w:t>
      </w:r>
      <w:r w:rsidR="005807AE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ust. 2</w:t>
      </w:r>
      <w:r w:rsidR="00374779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i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art. 20</w:t>
      </w:r>
      <w:r w:rsidR="00170C3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ust. 1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</w:t>
      </w:r>
      <w:r w:rsidR="000F5DE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z dnia 24 kwietnia 2003 r. o działalności pożytku publicznego i o wolontariacie (Dz. U. z 2023 r., poz. 571)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</w:t>
      </w:r>
      <w:r w:rsidR="00072FF5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zwanej dalej „ustawą</w:t>
      </w:r>
      <w:r w:rsidR="003B2774" w:rsidRPr="003B277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3B2774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o działalności pożytku publicznego i o wolontariacie</w:t>
      </w:r>
      <w:r w:rsidR="00072FF5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”,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organizacją pożytku publicznego może być organizacja pozarządowa</w:t>
      </w:r>
      <w:r w:rsidR="00E6377A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(w tym fundacja oraz stowarzyszenie</w:t>
      </w:r>
      <w:r w:rsidR="00902E8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)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jeżeli łącznie spełnia warunki, o których mowa w </w:t>
      </w:r>
      <w:r w:rsidR="00057D1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art. 2</w:t>
      </w:r>
      <w:r w:rsidR="00F8327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0 ust. 1</w:t>
      </w:r>
      <w:r w:rsidR="007B152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ww. ustawy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w tym m. in. prowadz</w:t>
      </w:r>
      <w:r w:rsidR="00EB1CB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i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działalność pożytku publicznego na rzecz ogółu społeczności lub określonej grupy podmiotów, pod warunkiem, że grupa ta jest wyodrębniona z</w:t>
      </w:r>
      <w:r w:rsidR="001172F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względu na szczególnie trudną sytuację życiową lub materialną w stosunku do społeczeństwa</w:t>
      </w:r>
      <w:r w:rsidR="00343F55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Należy podkreślić, </w:t>
      </w:r>
      <w:r w:rsidR="00B77B71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że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organizacje pożytku publicznego powołane </w:t>
      </w:r>
      <w:r w:rsidR="002414B8" w:rsidRPr="001C2EB0">
        <w:rPr>
          <w:rFonts w:ascii="Lato" w:eastAsia="Times New Roman" w:hAnsi="Lato" w:cs="Open Sans"/>
          <w:color w:val="222222"/>
          <w:kern w:val="0"/>
          <w:sz w:val="20"/>
          <w:szCs w:val="20"/>
          <w:u w:val="single"/>
          <w:lang w:eastAsia="pl-PL"/>
          <w14:ligatures w14:val="none"/>
        </w:rPr>
        <w:t>są wyłącznie do realizowania celów społecznie użytecznych na rzecz ogółu społeczności lub określonej grupy podmiotów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2405DACF" w14:textId="469A102C" w:rsidR="00B71C96" w:rsidRPr="004F7A82" w:rsidRDefault="00272BBE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Działalność na rzecz pożytku publicznego w sensie prawnym oznacza działalność społecznie użyteczną, prowadzoną przez organizacje pozarządowe w sferze realizacji zadań publicznych, z zasady nie mającą</w:t>
      </w:r>
      <w:r w:rsidR="00A84B7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charakteru indywidualnego. Zatem, fundacj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 oraz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stowarzyszeni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a,</w:t>
      </w:r>
      <w:r w:rsidR="00DD7198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będące</w:t>
      </w:r>
      <w:r w:rsidR="00A84B7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jednocześnie  organizacj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ami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  pożytku publicznego z racji swojego statusu wypełnia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ją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zadania o</w:t>
      </w:r>
      <w:r w:rsidR="00103A3B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charakterze publicznym na rzecz ogółu społeczeństwa bądź określonej, szczególnej jego grupy. Rola </w:t>
      </w:r>
      <w:r w:rsidR="0017008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ta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szczególnie wyraźnie przedstawia się w okolicznościach, gdy na realizację tych zadań 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fundacje lub stowarzyszenia </w:t>
      </w:r>
      <w:r w:rsidR="0017008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otrzymuj</w:t>
      </w:r>
      <w:r w:rsidR="00FB70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ą</w:t>
      </w:r>
      <w:r w:rsidR="0017008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środki publiczne, które przeznaczone mogą być wyłącznie na realizację zadań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lastRenderedPageBreak/>
        <w:t xml:space="preserve">o takim właśnie charakterze. Jednocześnie uzasadnione jest stwierdzenie, </w:t>
      </w:r>
      <w:r w:rsidR="00B77B71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że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działania o charakterze publicznym są co do zasady działaniami powszechnymi. Podmioty realizujące te zadania zasadniczo nie decydują, w oparciu o subiektywne przesłanki, kto zostanie beneficjentem ich pomocy, są zobowiązane do prowadzenia działalności, której efekty wywierają wpływ na wszystkie osoby, na rzecz których działają.</w:t>
      </w:r>
    </w:p>
    <w:p w14:paraId="5004723E" w14:textId="5BB9114F" w:rsidR="003600D7" w:rsidRPr="004F7A82" w:rsidRDefault="00CF108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W</w:t>
      </w:r>
      <w:r w:rsidR="003600D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arunkiem koniecznym dla uznania powszechności określonych działań nie musi być okoliczność, ż</w:t>
      </w:r>
      <w:r w:rsidR="00A41843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="003600D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są one skierowane do całego społeczeństwa, wystarczające jest, aby określone świadczenia skierowane były do osób spełniających określone generalne warunki. Słowa „powszechny” użytego w art. 4 pkt 3 ustawy </w:t>
      </w:r>
      <w:proofErr w:type="spellStart"/>
      <w:r w:rsidR="003600D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DC2756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3600D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nie należy interpretować jako dostępny dla wszystkich, ale w znaczeniu „dotyczący wielu”, „dostępny dla wielu” czy też dla tych, którzy spełniają warunki określone w odpowiedniej rangi przepisach.</w:t>
      </w:r>
    </w:p>
    <w:p w14:paraId="14EDD3F5" w14:textId="72FB2293" w:rsidR="00DC2756" w:rsidRPr="004F7A82" w:rsidRDefault="003600D7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 omawianym art. 4 ust. 3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doprecyzowane przy tym zostało, by zaspokajan</w:t>
      </w:r>
      <w:r w:rsidR="004F7A8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ie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potrzeb o charakterze powszechnym nie miał</w:t>
      </w:r>
      <w:r w:rsidR="004F7A8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o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charakteru przemysłowego ani handlowego. </w:t>
      </w:r>
    </w:p>
    <w:p w14:paraId="2D807ECC" w14:textId="7E6D26C9" w:rsidR="0023367B" w:rsidRPr="00925A62" w:rsidRDefault="0054053E" w:rsidP="00925A6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Warunki wywierania wpływu – art. 4 pkt 3 lit. a) i c) ustawy </w:t>
      </w:r>
      <w:proofErr w:type="spellStart"/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</w:p>
    <w:p w14:paraId="64FDD23B" w14:textId="1C42A9EF" w:rsidR="008D3FF7" w:rsidRPr="001C2EB0" w:rsidRDefault="00E70705" w:rsidP="00925A62">
      <w:pPr>
        <w:spacing w:before="100" w:beforeAutospacing="1" w:after="100" w:afterAutospacing="1" w:line="240" w:lineRule="auto"/>
        <w:rPr>
          <w:rFonts w:ascii="Lato" w:hAnsi="Lato" w:cs="Open Sans"/>
          <w:color w:val="222222"/>
          <w:sz w:val="20"/>
          <w:szCs w:val="20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Jedną z form wywierania wpływu na podmioty prawa publicznego</w:t>
      </w:r>
      <w:r w:rsidR="00AC46B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jest </w:t>
      </w:r>
      <w:r w:rsidR="00774DE9" w:rsidRPr="004F7A82">
        <w:rPr>
          <w:rFonts w:ascii="Lato" w:eastAsia="Times New Roman" w:hAnsi="Lato" w:cs="Noto Sans"/>
          <w:color w:val="333333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pojedyncze lub wspólne, bezpośrednie lub pośrednie </w:t>
      </w:r>
      <w:r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ich </w:t>
      </w:r>
      <w:r w:rsidR="00BF1EB4" w:rsidRPr="004F7A82">
        <w:rPr>
          <w:rFonts w:ascii="Lato" w:eastAsia="Times New Roman" w:hAnsi="Lato" w:cs="Noto Sans"/>
          <w:color w:val="333333"/>
          <w:kern w:val="0"/>
          <w:sz w:val="20"/>
          <w:szCs w:val="20"/>
          <w:shd w:val="clear" w:color="auto" w:fill="FFFFFF"/>
          <w:lang w:eastAsia="pl-PL"/>
          <w14:ligatures w14:val="none"/>
        </w:rPr>
        <w:t>f</w:t>
      </w:r>
      <w:r w:rsidR="00BF1EB4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inansowanie </w:t>
      </w:r>
      <w:r w:rsidR="00D12C02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w ponad 50% </w:t>
      </w:r>
      <w:r w:rsidR="00AC46B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przez jednostki sektora finansów publicznych </w:t>
      </w:r>
      <w:r w:rsidR="00D12C0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lub</w:t>
      </w:r>
      <w:r w:rsidR="00AC46B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przez inne państwowe jednostki organizacyjne nieposiadające osobowości prawnej, a także przez inne podmioty prawa publicznego </w:t>
      </w:r>
      <w:r w:rsidR="00B00285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(art. 4 pkt 3 lit. a) ustawy </w:t>
      </w:r>
      <w:proofErr w:type="spellStart"/>
      <w:r w:rsidR="00B00285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B00285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>)</w:t>
      </w:r>
      <w:r w:rsidR="00774DE9" w:rsidRPr="004F7A82">
        <w:rPr>
          <w:rFonts w:ascii="Lato" w:eastAsia="Times New Roman" w:hAnsi="Lato" w:cs="Noto Sans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49A5B7C" w14:textId="4A0A7FC5" w:rsidR="00BD2B1C" w:rsidRPr="004F7A82" w:rsidRDefault="005E06F7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Pod pojęciem </w:t>
      </w:r>
      <w:r w:rsidR="00BD2B1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„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finansowania</w:t>
      </w:r>
      <w:r w:rsidR="00BD2B1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”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należy rozumieć przypadki </w:t>
      </w:r>
      <w:r w:rsidRPr="000F4F36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przekazywania środków finansowych danej instytucji na jej ogólne funkcjonowanie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co powoduje powstanie stosunku bliskiej zależności lub podporządkowania beneficjenta podmiotom publicznym. </w:t>
      </w:r>
      <w:r w:rsidR="00E57954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Nie każdy przypadek przekazywania środków publicznych danej instytucji przez państwo (jednostki samorządu terytorialnego) można zatem uznać za finansowanie podmiotu w rozumieniu art. 4 pkt 3 lit. a</w:t>
      </w:r>
      <w:r w:rsidR="00E5795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)</w:t>
      </w:r>
      <w:r w:rsidR="00E57954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="00E57954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E57954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</w:t>
      </w:r>
      <w:r w:rsidR="00E5795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Finansowanie, o którym mowa w </w:t>
      </w:r>
      <w:r w:rsidR="008B460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art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 4 pkt 3 lit. a</w:t>
      </w:r>
      <w:r w:rsidR="008B4604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)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nie może być utożsamiane z przekazywaniem środków w zamian za konkretne świadczenie do jakiego zobowiązuje się beneficjent na podstawie np. umowy o wykonywanie zadań publicznych.</w:t>
      </w:r>
    </w:p>
    <w:p w14:paraId="6D418BF3" w14:textId="20C5A65C" w:rsidR="002D7DBF" w:rsidRPr="004F7A82" w:rsidRDefault="00BD2B1C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Mając na uwadze powyższe, należy wskazać, że o</w:t>
      </w:r>
      <w:r w:rsidR="002D7DB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rganizacje pożytku publicznego, w celu realizacji określonych zadań mogą otrzymywać dotacje pochodzące z budżetu państwa bądź z budżetu jednostki samorządu terytorialnego. Jak wynika z art. 112 ust. 1 pkt 7 w związku z art. 127 ust. 1 pkt 1 lit. e oraz art. 221 ust. 1 ustawy z dnia 27 sierpnia 2009 r. o finansach publicznych (Dz. U. z 2023 r. poz. 1270 z </w:t>
      </w:r>
      <w:proofErr w:type="spellStart"/>
      <w:r w:rsidR="002D7DB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="002D7DB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zm. ), </w:t>
      </w:r>
      <w:r w:rsidR="0081313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zwanej dalej „ustawą o finansach publicznych”, </w:t>
      </w:r>
      <w:r w:rsidR="002D7DB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odpowiednio w budżecie państwa oraz budżecie jednostki samorządu terytorialnego mogą być zabezpieczane sumy na dotacje przeznaczone m. in. dla organizacji pozarządowych posiadających status organizacji pożytku publicznego</w:t>
      </w:r>
      <w:r w:rsidR="004218B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a zatem również fundacji i stowarzyszeń</w:t>
      </w:r>
      <w:r w:rsidR="002D7DB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Dotacje pochodzące z budżetu państwa mogą być przekazywane w celu finansowania bądź dofinansowania zadań zleconych im do realizacji, a które to zadania znajdują się zasadniczo w sferze działań państwa. </w:t>
      </w:r>
    </w:p>
    <w:p w14:paraId="06A2D63A" w14:textId="78298D18" w:rsidR="002D7DBF" w:rsidRPr="004F7A82" w:rsidRDefault="002D7DBF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Natomiast, jeśli chodzi o dotacje pochodzące od jednostek samorządu terytorialnego, to zgodnie z treścią art. 221 ust. 1 ustawy o finansach publicznych</w:t>
      </w:r>
      <w:r w:rsidR="003902C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podmioty niezaliczane do sektora finansów publicznych i niedziałające w celu osiągnięcia zysku mogą otrzymywać z budżetu jednostki samorządu terytorialnego dotacje wyłącznie na cele publiczne związane z realizacją zadań tej jednostki, a także na dofinansowanie inwestycji związanych z realizacją tych zadań.  </w:t>
      </w:r>
    </w:p>
    <w:p w14:paraId="75999198" w14:textId="05A287FF" w:rsidR="002558F9" w:rsidRPr="004F7A82" w:rsidRDefault="002558F9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Jednocześnie, stosownie do treści art. 11 ust. 2 ustawy o działalności pożytku publicznego i o wolontariacie, zlecenie zadań publicznych instytucji pozarządowej odbywa się po przeprowadzeniu otwartego konkursu ofert, i może przybrać formę powierzenia lub wspierania wykonywania zadań publicznych, wraz z udzieleniem dotacji na finansowanie ich realizacji (art. 5 ust. 4 ustawy o działalności pożytku publicznego i o wolontariacie).</w:t>
      </w:r>
    </w:p>
    <w:p w14:paraId="300126BE" w14:textId="744FEC7F" w:rsidR="002D7DBF" w:rsidRPr="001C2EB0" w:rsidRDefault="002D7DBF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lastRenderedPageBreak/>
        <w:t xml:space="preserve">Zatem przyznanie środków finansowych w postaci dotacji pochodzących z budżetu państwa lub jednostki samorządu terytorialnego uzależnione jest od przeznaczenia ich wyłącznie na cele wskazane w ustawie o finansach publicznych – tj. wyłącznie na cele publiczne. </w:t>
      </w:r>
      <w:r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Jeżeli zatem określona instytucja otrzymuje ww. środki finansowe, to </w:t>
      </w:r>
      <w:r w:rsidR="00B7769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można wnioskować</w:t>
      </w:r>
      <w:r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że jest zobowiązana do prowadzenia działalności o charakterze społecznie użytecznym – publicznym.</w:t>
      </w:r>
    </w:p>
    <w:p w14:paraId="6BFBDFF4" w14:textId="4CFA6B8B" w:rsidR="00E008C1" w:rsidRPr="004F7A82" w:rsidRDefault="002414B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Odnośnie przesłanki, o której mowa w art. </w:t>
      </w:r>
      <w:r w:rsidR="00BB179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4 pkt 3 lit. c</w:t>
      </w:r>
      <w:r w:rsidR="002558F9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)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C665C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tj. </w:t>
      </w:r>
      <w:r w:rsidRPr="00490F1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sprawowania nadzoru nad organem </w:t>
      </w:r>
      <w:r w:rsidR="00793681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nadzorczym lub </w:t>
      </w:r>
      <w:r w:rsidRPr="00490F1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zarządzającym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należy wskazać, ż</w:t>
      </w:r>
      <w:r w:rsidR="00CA466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przesłankę tę należy oceniać z zastosowaniem kryterium możliwości wywierania wpływu na decyzje </w:t>
      </w:r>
      <w:r w:rsidR="0079368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danego podmiotu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przy użyciu określonych środków oddziaływania przysługujących innym zamawiającym, o których mowa w art. </w:t>
      </w:r>
      <w:r w:rsidR="004C060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4 pkt 1 i 2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0D4B3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jak również innym podmiotom prawa publicznego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46E4FDB" w14:textId="1BC15EAE" w:rsidR="002414B8" w:rsidRPr="004F7A82" w:rsidRDefault="00710CA7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Podkreślić </w:t>
      </w:r>
      <w:r w:rsidR="006D0C1D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należy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że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nie wystarczy tu nadzór, o którym mowa w art. 8</w:t>
      </w:r>
      <w:r w:rsidR="00DD467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ust. 5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Prawo o stowarzyszeniach oraz w art. 1</w:t>
      </w:r>
      <w:r w:rsidR="008677EB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2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o fundacjach. Nadzór, o którym mowa wyżej</w:t>
      </w:r>
      <w:r w:rsidR="00616F4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jest nadzorem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administracyjny</w:t>
      </w:r>
      <w:r w:rsidR="00616F4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m</w:t>
      </w:r>
      <w:r w:rsidR="001F606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i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nie </w:t>
      </w:r>
      <w:r w:rsidR="001F606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oznacza on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koordynowan</w:t>
      </w:r>
      <w:r w:rsidR="001F606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czy kierowanie działalnością fundacji bądź stowarzyszenia. Organ realizujący uprawnienia nadzorcze nie ponosi bowiem odpowiedzialności za działalność podmiotów podległych temu nadzorowi. Działają one "na własny rachunek i własną odpowiedzialność". Ponadto, jest to nadzór nad fundacją oraz stowarzyszeniem jako całością, a nie nad jej organem zarządzającym. </w:t>
      </w:r>
      <w:r w:rsidR="0047020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rzesłanka nadzoru </w:t>
      </w:r>
      <w:r w:rsidR="007C7889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zdaniem </w:t>
      </w:r>
      <w:r w:rsidR="00B60BD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TSUE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jest spełniona, jeżeli nadzór oznacza takie powiązanie z sektorem publicznym, które byłoby równe w skutkach z powiązaniem towarzyszącym występowaniu pozostałych dwóch przesłanek, których istnienie daje sektorowi publicznemu możliwość wywierania wpływu na decyzje zamawiającego</w:t>
      </w:r>
      <w:r w:rsidR="00470200" w:rsidRPr="004F7A82">
        <w:rPr>
          <w:rStyle w:val="Odwoanieprzypisudolnego"/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footnoteReference w:id="5"/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</w:t>
      </w:r>
    </w:p>
    <w:p w14:paraId="36C9A020" w14:textId="4B1953D5" w:rsidR="00363618" w:rsidRDefault="004C10EC" w:rsidP="00925A62">
      <w:pPr>
        <w:pStyle w:val="NormalnyWeb"/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 w:rsidRPr="00226931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Fundacje i stowarzyszenia</w:t>
      </w:r>
      <w:r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jako zamawiający subsydiowani </w:t>
      </w:r>
    </w:p>
    <w:p w14:paraId="32841CD5" w14:textId="77777777" w:rsidR="00026134" w:rsidRPr="004F7A82" w:rsidRDefault="00026134" w:rsidP="00925A62">
      <w:pPr>
        <w:pStyle w:val="NormalnyWeb"/>
        <w:shd w:val="clear" w:color="auto" w:fill="FFFFFF"/>
        <w:spacing w:after="0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</w:p>
    <w:p w14:paraId="2E96C9ED" w14:textId="70A64511" w:rsidR="008356B3" w:rsidRDefault="002414B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Obowiązek stosowania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przez podmioty, które co do zasady nie są zobowiązane do stosowania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8230E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przy odpłatnym nabywaniu dostaw, usług lub robót budowlanych, </w:t>
      </w:r>
      <w:r w:rsidR="00161E65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 tym przez fundacje i stowarzyszenia,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może powstać w okolicznościach określonych w art.</w:t>
      </w:r>
      <w:r w:rsidR="002A5F0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6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3757B82" w14:textId="77E8872D" w:rsidR="00664756" w:rsidRPr="004F7A82" w:rsidRDefault="002414B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333333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Stosownie do dyspozycji art. </w:t>
      </w:r>
      <w:r w:rsidR="002A5F0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6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</w:t>
      </w:r>
      <w:r w:rsidR="00C72E06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</w:t>
      </w:r>
      <w:r w:rsidR="00664756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rzepisy </w:t>
      </w:r>
      <w:r w:rsidR="00C72E06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tej </w:t>
      </w:r>
      <w:r w:rsidR="00664756" w:rsidRPr="001C2EB0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ustawy stosuje się do zamawiających subsydiowanych, którymi są zamawiający inni niż zamawiający publiczni lub zamawiający sektorowi, jeżeli zachodzą</w:t>
      </w:r>
      <w:r w:rsidR="00664756" w:rsidRPr="004F7A82">
        <w:rPr>
          <w:rFonts w:ascii="Lato" w:eastAsia="Times New Roman" w:hAnsi="Lato" w:cs="Open Sans"/>
          <w:color w:val="333333"/>
          <w:kern w:val="0"/>
          <w:sz w:val="20"/>
          <w:szCs w:val="20"/>
          <w:lang w:eastAsia="pl-PL"/>
          <w14:ligatures w14:val="none"/>
        </w:rPr>
        <w:t xml:space="preserve"> łącznie następujące okoliczności:</w:t>
      </w:r>
    </w:p>
    <w:p w14:paraId="73ADEAD6" w14:textId="21B0388D" w:rsidR="00C87563" w:rsidRPr="004F7A82" w:rsidRDefault="00C87563" w:rsidP="00925A62">
      <w:pPr>
        <w:pStyle w:val="NormalnyWeb"/>
        <w:numPr>
          <w:ilvl w:val="0"/>
          <w:numId w:val="6"/>
        </w:numPr>
        <w:shd w:val="clear" w:color="auto" w:fill="FFFFFF"/>
        <w:spacing w:after="0" w:line="240" w:lineRule="auto"/>
        <w:rPr>
          <w:rFonts w:ascii="Lato" w:hAnsi="Lato" w:cs="Open Sans"/>
          <w:color w:val="333333"/>
          <w:sz w:val="20"/>
          <w:szCs w:val="20"/>
          <w:shd w:val="clear" w:color="auto" w:fill="FFFFFF"/>
        </w:rPr>
      </w:pPr>
      <w:r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>ponad 50% wartości udzielanego przez ten podmiot zamówienia jest finansowane ze środków publicznych lub zamawiających</w:t>
      </w:r>
      <w:r w:rsidR="00357EE7"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, </w:t>
      </w:r>
      <w:r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>o których mowa w art. 4 i art. 5 ust. 1 pkt 1;</w:t>
      </w:r>
    </w:p>
    <w:p w14:paraId="71ACEDD0" w14:textId="007632B2" w:rsidR="00357EE7" w:rsidRPr="004F7A82" w:rsidRDefault="00357EE7" w:rsidP="00925A62">
      <w:pPr>
        <w:pStyle w:val="NormalnyWeb"/>
        <w:numPr>
          <w:ilvl w:val="0"/>
          <w:numId w:val="6"/>
        </w:numPr>
        <w:shd w:val="clear" w:color="auto" w:fill="FFFFFF"/>
        <w:spacing w:after="0" w:line="240" w:lineRule="auto"/>
        <w:rPr>
          <w:rFonts w:ascii="Lato" w:hAnsi="Lato" w:cs="Open Sans"/>
          <w:color w:val="333333"/>
          <w:sz w:val="20"/>
          <w:szCs w:val="20"/>
          <w:shd w:val="clear" w:color="auto" w:fill="FFFFFF"/>
        </w:rPr>
      </w:pPr>
      <w:r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wartość zamówienia jest równa </w:t>
      </w:r>
      <w:r w:rsidR="00621081"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>lub przekracza progi unijne;</w:t>
      </w:r>
    </w:p>
    <w:p w14:paraId="635C9B1B" w14:textId="5183965A" w:rsidR="00621081" w:rsidRPr="004F7A82" w:rsidRDefault="00621081" w:rsidP="00925A62">
      <w:pPr>
        <w:pStyle w:val="NormalnyWeb"/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Open Sans"/>
          <w:color w:val="333333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przedmiotem </w:t>
      </w:r>
      <w:r w:rsidRPr="001C2EB0">
        <w:rPr>
          <w:rFonts w:ascii="Lato" w:hAnsi="Lato" w:cs="Open Sans"/>
          <w:sz w:val="20"/>
          <w:szCs w:val="20"/>
          <w:shd w:val="clear" w:color="auto" w:fill="FFFFFF"/>
        </w:rPr>
        <w:t xml:space="preserve">zamówienia są roboty budowlane w zakresie inżynierii lądowej lub wodnej określone w </w:t>
      </w:r>
      <w:hyperlink r:id="rId10" w:anchor="/document/68413979?unitId=zal(II)&amp;cm=DOCUMENT" w:tgtFrame="_blank" w:history="1">
        <w:r w:rsidRPr="001C2EB0">
          <w:rPr>
            <w:rStyle w:val="Hipercze"/>
            <w:rFonts w:ascii="Lato" w:hAnsi="Lato" w:cs="Open Sans"/>
            <w:color w:val="auto"/>
            <w:sz w:val="20"/>
            <w:szCs w:val="20"/>
            <w:u w:val="none"/>
            <w:shd w:val="clear" w:color="auto" w:fill="FFFFFF"/>
          </w:rPr>
          <w:t>załączniku II</w:t>
        </w:r>
      </w:hyperlink>
      <w:r w:rsidRPr="001C2EB0">
        <w:rPr>
          <w:rFonts w:ascii="Lato" w:hAnsi="Lato" w:cs="Open Sans"/>
          <w:sz w:val="20"/>
          <w:szCs w:val="20"/>
          <w:shd w:val="clear" w:color="auto" w:fill="FFFFFF"/>
        </w:rPr>
        <w:t xml:space="preserve">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276EAFA1" w14:textId="077A7541" w:rsidR="002414B8" w:rsidRPr="004F7A82" w:rsidRDefault="002414B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Analizując poszczególne przesłanki klasyfikacji</w:t>
      </w:r>
      <w:r w:rsidR="00DD214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wskazanych</w:t>
      </w:r>
      <w:r w:rsidR="00E31E2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DD214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wyżej podmiotów,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określon</w:t>
      </w:r>
      <w:r w:rsidR="00DD214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ych jako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zamawiający</w:t>
      </w:r>
      <w:r w:rsidR="0062108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su</w:t>
      </w:r>
      <w:r w:rsidR="00D3185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bsydiowan</w:t>
      </w:r>
      <w:r w:rsidR="00D13B7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i,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należy w pierwszej kolejności wskazać, ż</w:t>
      </w:r>
      <w:r w:rsidR="000C5DAE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pojęcie „finansowania zamówienia” w rozumieniu tego przepisu oznacza okoliczność przekazywania środków </w:t>
      </w:r>
      <w:r w:rsidRPr="000F4F36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na konkretne świadczenie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nie zaś ogólnie na funkcjonowanie danego podmiotu. Środki publiczne lub też środki finansowe pochodzące od wskazanych ustawą podmiotów publicznych podlegają rozliczeniu w ramach wsparcia realizacji konkretnego przedsięwzięcia.</w:t>
      </w:r>
      <w:r w:rsidR="00386256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547EDD" w14:textId="3C658AD8" w:rsidR="002414B8" w:rsidRPr="004F7A82" w:rsidRDefault="002466E5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Dla objęcia obowiązkiem stosowania przepisów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o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prócz finansowania zamówienia w ponad 50% ze środków publicznych, w rozumieniu art. </w:t>
      </w:r>
      <w:r w:rsidR="001C097F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5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ust. 1 ustawy o finansach publicznych lub przez podmioty zobowiązane do stosowania ustawy przy udzielaniu zamówień, określone w art. </w:t>
      </w:r>
      <w:r w:rsidR="008745F7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4</w:t>
      </w:r>
      <w:r w:rsidR="00E8195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i </w:t>
      </w:r>
      <w:r w:rsidR="002B5C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art. 5 ust. 1 pkt 1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ustawy </w:t>
      </w:r>
      <w:proofErr w:type="spellStart"/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ustawodawca wymaga, aby wartość zamówienia była równa lub przekraczała</w:t>
      </w:r>
      <w:r w:rsidR="002B5C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progi </w:t>
      </w:r>
      <w:r w:rsidR="002B5C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lastRenderedPageBreak/>
        <w:t>unijne.</w:t>
      </w:r>
      <w:r w:rsidR="009E521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Progi unijne to kwoty wartości zamówień </w:t>
      </w:r>
      <w:r w:rsidR="00A3537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lub konkursów wskazane w art. 3 ustawy </w:t>
      </w:r>
      <w:proofErr w:type="spellStart"/>
      <w:r w:rsidR="00A35373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</w:t>
      </w:r>
      <w:r w:rsidR="00420479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Informacja o aktualnych progach unijnych jest podawana przez Prezesa Urzędu Zamówień Publicznych </w:t>
      </w:r>
      <w:r w:rsidR="001009C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w drodze obwieszczenia, w Dzienniku Urzędowym Rzeczypospolitej Polskiej „Monitor Polski”, oraz zamieszczane na stronie internetowej Urzędu Zamówień Publicznych.</w:t>
      </w:r>
      <w:r w:rsidR="001009C6" w:rsidRPr="004F7A82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Jeżeli wartość udzielanego zamówienia jest mniejsza</w:t>
      </w:r>
      <w:r w:rsidR="008A2674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niż p</w:t>
      </w:r>
      <w:r w:rsidR="00E9665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rogi unijne,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podmiot nie </w:t>
      </w:r>
      <w:r w:rsidR="003B31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będzie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m</w:t>
      </w:r>
      <w:r w:rsidR="003B31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i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</w:t>
      </w:r>
      <w:r w:rsidR="003B31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ł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obowiązku stosowania ustawy </w:t>
      </w:r>
      <w:proofErr w:type="spellStart"/>
      <w:r w:rsidR="00AB433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AB4331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na podstawie art. </w:t>
      </w:r>
      <w:r w:rsidR="00E9665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6</w:t>
      </w:r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2414B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nawet jeśli pozostałe przesłanki określone tym przepisem są spełnione.</w:t>
      </w:r>
    </w:p>
    <w:p w14:paraId="3093DA26" w14:textId="799A51A9" w:rsidR="002414B8" w:rsidRPr="004F7A82" w:rsidRDefault="002414B8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Kolejną przesłanką </w:t>
      </w:r>
      <w:r w:rsidR="00A52A54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wskazaną w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art.</w:t>
      </w:r>
      <w:r w:rsidR="00FE2C0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6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</w:t>
      </w:r>
      <w:r w:rsidR="00FE2C0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FE2C02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jest wymóg</w:t>
      </w:r>
      <w:r w:rsidR="0068573D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68573D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by przedmiotem zamówienia były roboty budowlane w zakresie inżynierii lądowej lub wodnej określone w załączniku II do dyrektywy 2014/24/UE, budowy szpitali, obiektów sportowych, rekreacyjnych lub wypoczynkowych, budynków szkolnych, budynków szkół wyższych lub budynków wykorzystywanych przez administrację publiczną lub usługi związane z takimi robotami budowlanymi. Przepis ten nie obejmuje zatem wszystkich robót budowlanych, o których mowa w art. </w:t>
      </w:r>
      <w:r w:rsidR="0040791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7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pkt </w:t>
      </w:r>
      <w:r w:rsidR="0040791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21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. Określony podmiot będzie </w:t>
      </w:r>
      <w:r w:rsidR="0075126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zobowiązany do 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stosow</w:t>
      </w:r>
      <w:r w:rsidR="0075126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ania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jedynie w sytuacji, gdy przedmiotem zamówienia będą roboty budowlane</w:t>
      </w:r>
      <w:r w:rsidR="005C5B7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, o których mowa w art. 6 pkt 3 ustawy </w:t>
      </w:r>
      <w:proofErr w:type="spellStart"/>
      <w:r w:rsidR="005C5B7A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lub usługi związane z tymi robotami budowlanymi. </w:t>
      </w:r>
    </w:p>
    <w:p w14:paraId="54F67317" w14:textId="6000A37E" w:rsidR="004C353C" w:rsidRPr="004F7A82" w:rsidRDefault="00580110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Zauważyć trz</w:t>
      </w:r>
      <w:r w:rsidR="005C252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ba</w:t>
      </w:r>
      <w:r w:rsidR="00DE1E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, ż</w:t>
      </w:r>
      <w:r w:rsidR="003C3E05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e</w:t>
      </w:r>
      <w:r w:rsidR="00DE1E30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z</w:t>
      </w:r>
      <w:r w:rsidR="00904814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amawiający subsydiowani to kategoria podmiotów, które nie mają na stałe statusu zamawiających (nie są ani zamawiającymi publicznymi, ani sektorowymi), ale </w:t>
      </w:r>
      <w:r w:rsidR="00904814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okazjonalnie stają się zamawiającymi ze względu na udzielanie konkretnych zamówień i ich sfinansowanie lub dofinansowanie ze środków publicznych lub przez zamawiających publicznych</w:t>
      </w:r>
      <w:r w:rsidR="00904814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</w:t>
      </w:r>
      <w:r w:rsidR="005C252C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52FD4FF" w14:textId="21CE3C80" w:rsidR="00904814" w:rsidRPr="004F7A82" w:rsidRDefault="00482D73" w:rsidP="00925A62">
      <w:p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Tym samym </w:t>
      </w:r>
      <w:r w:rsidR="00E706CB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uzyskiwanie przez dany podmiot dotacji ze środków publicznych lub przekazywanych przez zamawiających publicznych, nie stanowi samodzielnej przesłanki zakwalifikowania danego podmiotu do kategorii zamawiających zobowiązanych do stosowania przepisów ustawy </w:t>
      </w:r>
      <w:proofErr w:type="spellStart"/>
      <w:r w:rsidR="00E706CB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593B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– aby zakwalifikować dany podmiot jako zamawiającego subsydiowanego konieczne jest jednoczesne spełnienie </w:t>
      </w:r>
      <w:r w:rsidR="00123F0B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wszystkich </w:t>
      </w:r>
      <w:r w:rsidR="00593B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warunków wymienionych w art. </w:t>
      </w:r>
      <w:r w:rsidR="00DD64F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6 ustawy </w:t>
      </w:r>
      <w:proofErr w:type="spellStart"/>
      <w:r w:rsidR="00DD64F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="00DD64F6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>.</w:t>
      </w:r>
      <w:r w:rsidR="00593B58" w:rsidRPr="004F7A82"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324B2EE" w14:textId="7F84256C" w:rsidR="002414B8" w:rsidRPr="00925A62" w:rsidRDefault="00446DDD" w:rsidP="00925A6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Podsumowanie</w:t>
      </w:r>
      <w:r w:rsidR="002414B8" w:rsidRPr="00925A6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:</w:t>
      </w:r>
    </w:p>
    <w:p w14:paraId="27D78A65" w14:textId="4C1E26EE" w:rsidR="003D70F0" w:rsidRPr="00446DDD" w:rsidRDefault="002414B8" w:rsidP="00925A62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W obowiązującym stanie prawnym podmioty prowadzące działalność w formie fundacji bądź stowarzyszeń mogą być zobowiązane do stosowania ustawy </w:t>
      </w:r>
      <w:proofErr w:type="spellStart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w okolicznościach wskazanych w art. </w:t>
      </w:r>
      <w:r w:rsidR="00A9215C"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4 pkt 3 </w:t>
      </w: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oraz art.</w:t>
      </w:r>
      <w:r w:rsidR="00A9215C"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6</w:t>
      </w: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.</w:t>
      </w:r>
    </w:p>
    <w:p w14:paraId="12B9E063" w14:textId="33F181F7" w:rsidR="003D70F0" w:rsidRPr="003D70F0" w:rsidRDefault="002414B8" w:rsidP="00925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Open Sans"/>
          <w:color w:val="222222"/>
          <w:kern w:val="0"/>
          <w:sz w:val="20"/>
          <w:szCs w:val="20"/>
          <w:lang w:eastAsia="pl-PL"/>
          <w14:ligatures w14:val="none"/>
        </w:rPr>
      </w:pP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Finansowanie, o którym mowa w art. </w:t>
      </w:r>
      <w:r w:rsidR="00073C6F"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  <w:r w:rsidR="00D0104A"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4</w:t>
      </w: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pkt 3 lit. a</w:t>
      </w:r>
      <w:r w:rsidR="00AC5407"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)</w:t>
      </w: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ustawy </w:t>
      </w:r>
      <w:proofErr w:type="spellStart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, należy utożsamiać z przekazywaniem danej instytucji środków finansowych przeznaczonych na jej ogólne funkcjonowanie, co powoduje powstanie stosunku bliskiej zależności lub podporządkowania beneficjenta tych środków podmiotom publicznym lub państwu. </w:t>
      </w:r>
    </w:p>
    <w:p w14:paraId="509369DE" w14:textId="3CC29934" w:rsidR="003D70F0" w:rsidRDefault="004E3C65" w:rsidP="00925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Obowiązek stosowania ustawy </w:t>
      </w:r>
      <w:proofErr w:type="spellStart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przez podmioty, które co do zasady nie są zobowiązane do stosowania ustawy </w:t>
      </w:r>
      <w:proofErr w:type="spellStart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przy odpłatnym nabywaniu dostaw, usług lub robót budowlanych, w tym przez fundacje i stowarzyszenia, może powstać w okolicznościach określonych w art. 6 ustawy </w:t>
      </w:r>
      <w:proofErr w:type="spellStart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.</w:t>
      </w:r>
      <w:r w:rsidR="004C18A0" w:rsidRPr="001C2EB0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E974AA7" w14:textId="6B2BAC73" w:rsidR="009A5115" w:rsidRPr="009A5115" w:rsidRDefault="009A5115" w:rsidP="00925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F</w:t>
      </w:r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inansowanie zamówienia w rozumieniu art. 6 ustawy </w:t>
      </w:r>
      <w:proofErr w:type="spellStart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F7A82">
        <w:rPr>
          <w:rFonts w:ascii="Lato" w:eastAsia="Times New Roman" w:hAnsi="Lato" w:cs="Open Sans"/>
          <w:b/>
          <w:bCs/>
          <w:color w:val="222222"/>
          <w:kern w:val="0"/>
          <w:sz w:val="20"/>
          <w:szCs w:val="20"/>
          <w:lang w:eastAsia="pl-PL"/>
          <w14:ligatures w14:val="none"/>
        </w:rPr>
        <w:t xml:space="preserve"> oznacza okoliczność przekazywania środków na konkretne świadczenie, nie zaś ogólnie na funkcjonowanie danego podmiotu.</w:t>
      </w:r>
    </w:p>
    <w:sectPr w:rsidR="009A5115" w:rsidRPr="009A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47A5D" w14:textId="77777777" w:rsidR="004163D5" w:rsidRDefault="004163D5" w:rsidP="00035706">
      <w:pPr>
        <w:spacing w:after="0" w:line="240" w:lineRule="auto"/>
      </w:pPr>
      <w:r>
        <w:separator/>
      </w:r>
    </w:p>
  </w:endnote>
  <w:endnote w:type="continuationSeparator" w:id="0">
    <w:p w14:paraId="327FE9A7" w14:textId="77777777" w:rsidR="004163D5" w:rsidRDefault="004163D5" w:rsidP="0003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54EA2" w14:textId="77777777" w:rsidR="004163D5" w:rsidRDefault="004163D5" w:rsidP="00035706">
      <w:pPr>
        <w:spacing w:after="0" w:line="240" w:lineRule="auto"/>
      </w:pPr>
      <w:r>
        <w:separator/>
      </w:r>
    </w:p>
  </w:footnote>
  <w:footnote w:type="continuationSeparator" w:id="0">
    <w:p w14:paraId="67451E2D" w14:textId="77777777" w:rsidR="004163D5" w:rsidRDefault="004163D5" w:rsidP="00035706">
      <w:pPr>
        <w:spacing w:after="0" w:line="240" w:lineRule="auto"/>
      </w:pPr>
      <w:r>
        <w:continuationSeparator/>
      </w:r>
    </w:p>
  </w:footnote>
  <w:footnote w:id="1">
    <w:p w14:paraId="4791C0C8" w14:textId="6FFB9F5B" w:rsidR="00014B6A" w:rsidRPr="001C2EB0" w:rsidRDefault="00014B6A" w:rsidP="001C2EB0">
      <w:pPr>
        <w:pStyle w:val="Nagwek2"/>
        <w:shd w:val="clear" w:color="auto" w:fill="FFFFFF"/>
        <w:spacing w:before="0"/>
        <w:jc w:val="both"/>
        <w:rPr>
          <w:rFonts w:ascii="Lato" w:hAnsi="Lato"/>
          <w:sz w:val="18"/>
          <w:szCs w:val="18"/>
        </w:rPr>
      </w:pPr>
      <w:r w:rsidRPr="001C2EB0">
        <w:rPr>
          <w:rStyle w:val="Odwoanieprzypisudolnego"/>
          <w:rFonts w:ascii="Lato" w:hAnsi="Lato"/>
          <w:color w:val="auto"/>
          <w:sz w:val="18"/>
          <w:szCs w:val="18"/>
        </w:rPr>
        <w:footnoteRef/>
      </w:r>
      <w:r w:rsidRPr="001C2EB0">
        <w:rPr>
          <w:rFonts w:ascii="Lato" w:hAnsi="Lato"/>
          <w:color w:val="auto"/>
          <w:sz w:val="18"/>
          <w:szCs w:val="18"/>
        </w:rPr>
        <w:t xml:space="preserve"> </w:t>
      </w:r>
      <w:r w:rsidRPr="001C2EB0">
        <w:rPr>
          <w:rFonts w:ascii="Lato" w:eastAsia="Times New Roman" w:hAnsi="Lato" w:cs="Times New Roman"/>
          <w:color w:val="auto"/>
          <w:kern w:val="0"/>
          <w:sz w:val="18"/>
          <w:szCs w:val="18"/>
          <w:lang w:eastAsia="pl-PL"/>
          <w14:ligatures w14:val="none"/>
        </w:rPr>
        <w:t>Dyrektywa Parlamentu Europejskiego i Rady 2014/24/UE z dnia 26 lutego 2014 r. w sprawie zamówień publicznych, uchylająca dyrektywę 2004/18/WE (</w:t>
      </w:r>
      <w:r w:rsidRPr="001C2EB0">
        <w:rPr>
          <w:rFonts w:ascii="Lato" w:hAnsi="Lato"/>
          <w:color w:val="auto"/>
          <w:sz w:val="18"/>
          <w:szCs w:val="18"/>
          <w:shd w:val="clear" w:color="auto" w:fill="FFFFFF"/>
        </w:rPr>
        <w:t xml:space="preserve">Dz.U.UE.L.2014.94.65). </w:t>
      </w:r>
    </w:p>
  </w:footnote>
  <w:footnote w:id="2">
    <w:p w14:paraId="66C30DC7" w14:textId="77777777" w:rsidR="00014B6A" w:rsidRPr="001C2EB0" w:rsidRDefault="00014B6A" w:rsidP="00014B6A">
      <w:pPr>
        <w:pStyle w:val="Tekstprzypisudolnego"/>
        <w:jc w:val="both"/>
        <w:rPr>
          <w:rFonts w:ascii="Lato" w:hAnsi="Lato"/>
          <w:sz w:val="18"/>
          <w:szCs w:val="18"/>
        </w:rPr>
      </w:pPr>
      <w:r w:rsidRPr="001C2EB0">
        <w:rPr>
          <w:rStyle w:val="Odwoanieprzypisudolnego"/>
          <w:rFonts w:ascii="Lato" w:hAnsi="Lato"/>
          <w:sz w:val="18"/>
          <w:szCs w:val="18"/>
        </w:rPr>
        <w:footnoteRef/>
      </w:r>
      <w:r w:rsidRPr="001C2EB0">
        <w:rPr>
          <w:rFonts w:ascii="Lato" w:hAnsi="Lato"/>
          <w:sz w:val="18"/>
          <w:szCs w:val="18"/>
        </w:rPr>
        <w:t xml:space="preserve"> </w:t>
      </w:r>
      <w:r w:rsidRPr="001C2EB0">
        <w:rPr>
          <w:rFonts w:ascii="Lato" w:hAnsi="Lato"/>
          <w:sz w:val="18"/>
          <w:szCs w:val="18"/>
          <w:shd w:val="clear" w:color="auto" w:fill="FFFFFF"/>
        </w:rPr>
        <w:t xml:space="preserve">Dyrektywa Parlamentu Europejskiego i Rady 2014/25/UE z dnia 26 lutego 2014 r. w sprawie udzielania zamówień przez podmioty działające w sektorach gospodarki wodnej, energetyki, transportu i usług pocztowych, uchylająca dyrektywę 2004/17/WE </w:t>
      </w:r>
      <w:r w:rsidRPr="001C2EB0">
        <w:rPr>
          <w:rFonts w:ascii="Lato" w:hAnsi="Lato"/>
          <w:sz w:val="18"/>
          <w:szCs w:val="18"/>
        </w:rPr>
        <w:t>(</w:t>
      </w:r>
      <w:r w:rsidRPr="001C2EB0">
        <w:rPr>
          <w:rFonts w:ascii="Lato" w:hAnsi="Lato"/>
          <w:sz w:val="18"/>
          <w:szCs w:val="18"/>
          <w:shd w:val="clear" w:color="auto" w:fill="FFFFFF"/>
        </w:rPr>
        <w:t>Dz.U.UE.L.2014.94.243).</w:t>
      </w:r>
    </w:p>
    <w:p w14:paraId="090218FE" w14:textId="63F484E6" w:rsidR="00014B6A" w:rsidRPr="005574C0" w:rsidRDefault="00014B6A">
      <w:pPr>
        <w:pStyle w:val="Tekstprzypisudolnego"/>
      </w:pPr>
    </w:p>
  </w:footnote>
  <w:footnote w:id="3">
    <w:p w14:paraId="60EE5305" w14:textId="25F8F296" w:rsidR="002A676E" w:rsidRDefault="002A67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2E15" w:rsidRPr="00792E15">
        <w:t xml:space="preserve">Por. wyrok z dnia 10 listopada 1998 r. w sprawie C-360/96 </w:t>
      </w:r>
      <w:proofErr w:type="spellStart"/>
      <w:r w:rsidR="00792E15" w:rsidRPr="00792E15">
        <w:t>Gemeente</w:t>
      </w:r>
      <w:proofErr w:type="spellEnd"/>
      <w:r w:rsidR="00792E15" w:rsidRPr="00792E15">
        <w:t xml:space="preserve"> Arnhem i </w:t>
      </w:r>
      <w:proofErr w:type="spellStart"/>
      <w:r w:rsidR="00792E15" w:rsidRPr="00792E15">
        <w:t>Gemeente</w:t>
      </w:r>
      <w:proofErr w:type="spellEnd"/>
      <w:r w:rsidR="00792E15" w:rsidRPr="00792E15">
        <w:t xml:space="preserve"> Rheden przeciwko BFI Holding BV, ECLI:EU:C:1998:525; wyrok z dnia 15 stycznia 1998 r. w sprawie C – 44 /96 </w:t>
      </w:r>
      <w:proofErr w:type="spellStart"/>
      <w:r w:rsidR="00792E15" w:rsidRPr="00792E15">
        <w:t>Mannesman</w:t>
      </w:r>
      <w:proofErr w:type="spellEnd"/>
      <w:r w:rsidR="00792E15" w:rsidRPr="00792E15">
        <w:t xml:space="preserve"> </w:t>
      </w:r>
      <w:proofErr w:type="spellStart"/>
      <w:r w:rsidR="00792E15" w:rsidRPr="00792E15">
        <w:t>Anlagenbau</w:t>
      </w:r>
      <w:proofErr w:type="spellEnd"/>
      <w:r w:rsidR="00792E15" w:rsidRPr="00792E15">
        <w:t xml:space="preserve"> Austria AG and </w:t>
      </w:r>
      <w:proofErr w:type="spellStart"/>
      <w:r w:rsidR="00792E15" w:rsidRPr="00792E15">
        <w:t>Others</w:t>
      </w:r>
      <w:proofErr w:type="spellEnd"/>
      <w:r w:rsidR="00792E15" w:rsidRPr="00792E15">
        <w:t xml:space="preserve"> vs. </w:t>
      </w:r>
      <w:proofErr w:type="spellStart"/>
      <w:r w:rsidR="00792E15" w:rsidRPr="00792E15">
        <w:t>Strohal</w:t>
      </w:r>
      <w:proofErr w:type="spellEnd"/>
      <w:r w:rsidR="00792E15" w:rsidRPr="00792E15">
        <w:t xml:space="preserve"> </w:t>
      </w:r>
      <w:proofErr w:type="spellStart"/>
      <w:r w:rsidR="00792E15" w:rsidRPr="00792E15">
        <w:t>Rotationsdruck</w:t>
      </w:r>
      <w:proofErr w:type="spellEnd"/>
      <w:r w:rsidR="00792E15" w:rsidRPr="00792E15">
        <w:t xml:space="preserve"> </w:t>
      </w:r>
      <w:proofErr w:type="spellStart"/>
      <w:r w:rsidR="00792E15" w:rsidRPr="00792E15">
        <w:t>GesmbH</w:t>
      </w:r>
      <w:proofErr w:type="spellEnd"/>
      <w:r w:rsidR="00792E15" w:rsidRPr="00792E15">
        <w:t>, ECLI:EU:C:1998:4</w:t>
      </w:r>
    </w:p>
  </w:footnote>
  <w:footnote w:id="4">
    <w:p w14:paraId="11F796F2" w14:textId="797782B8" w:rsidR="00F7461E" w:rsidRDefault="00F7461E" w:rsidP="00B52AFE">
      <w:pPr>
        <w:pStyle w:val="Tekstprzypisudolnego"/>
      </w:pPr>
      <w:r>
        <w:rPr>
          <w:rStyle w:val="Odwoanieprzypisudolnego"/>
        </w:rPr>
        <w:footnoteRef/>
      </w:r>
      <w:r w:rsidR="00B52AFE">
        <w:t xml:space="preserve"> </w:t>
      </w:r>
      <w:r w:rsidR="00B52AFE" w:rsidRPr="00B52AFE">
        <w:t xml:space="preserve">Wyrok z dnia 10 kwietnia 2008 r. w sprawie C-393/06 </w:t>
      </w:r>
      <w:r w:rsidR="00B52AFE" w:rsidRPr="00B52AFE">
        <w:rPr>
          <w:i/>
          <w:iCs/>
        </w:rPr>
        <w:t xml:space="preserve">Ing. </w:t>
      </w:r>
      <w:proofErr w:type="spellStart"/>
      <w:r w:rsidR="00B52AFE" w:rsidRPr="00B52AFE">
        <w:rPr>
          <w:i/>
          <w:iCs/>
        </w:rPr>
        <w:t>Aigner</w:t>
      </w:r>
      <w:proofErr w:type="spellEnd"/>
      <w:r w:rsidR="00B52AFE" w:rsidRPr="00B52AFE">
        <w:rPr>
          <w:i/>
          <w:iCs/>
        </w:rPr>
        <w:t xml:space="preserve">, </w:t>
      </w:r>
      <w:proofErr w:type="spellStart"/>
      <w:r w:rsidR="00B52AFE" w:rsidRPr="00B52AFE">
        <w:rPr>
          <w:i/>
          <w:iCs/>
        </w:rPr>
        <w:t>Wasser-Wärme-Umwelt</w:t>
      </w:r>
      <w:proofErr w:type="spellEnd"/>
      <w:r w:rsidR="00B52AFE" w:rsidRPr="00B52AFE">
        <w:rPr>
          <w:i/>
          <w:iCs/>
        </w:rPr>
        <w:t xml:space="preserve"> GmbH przeciwko </w:t>
      </w:r>
      <w:proofErr w:type="spellStart"/>
      <w:r w:rsidR="00B52AFE" w:rsidRPr="00B52AFE">
        <w:rPr>
          <w:i/>
          <w:iCs/>
        </w:rPr>
        <w:t>Fern</w:t>
      </w:r>
      <w:r w:rsidR="00B52AFE" w:rsidRPr="00B52AFE">
        <w:rPr>
          <w:i/>
          <w:iCs/>
        </w:rPr>
        <w:softHyphen/>
        <w:t>wärme</w:t>
      </w:r>
      <w:proofErr w:type="spellEnd"/>
      <w:r w:rsidR="00B52AFE" w:rsidRPr="00B52AFE">
        <w:rPr>
          <w:i/>
          <w:iCs/>
        </w:rPr>
        <w:t xml:space="preserve"> Wien GmbH</w:t>
      </w:r>
      <w:r w:rsidR="00B52AFE" w:rsidRPr="00B52AFE">
        <w:t>, ECLI:EU:C:2008:213, pkt 47</w:t>
      </w:r>
    </w:p>
  </w:footnote>
  <w:footnote w:id="5">
    <w:p w14:paraId="7EC571D8" w14:textId="5668BFF2" w:rsidR="00470200" w:rsidRPr="001C2EB0" w:rsidRDefault="00470200">
      <w:pPr>
        <w:pStyle w:val="Tekstprzypisudolnego"/>
        <w:rPr>
          <w:rFonts w:ascii="Lato" w:hAnsi="Lato"/>
          <w:sz w:val="18"/>
          <w:szCs w:val="18"/>
        </w:rPr>
      </w:pPr>
      <w:r w:rsidRPr="001C2EB0">
        <w:rPr>
          <w:rStyle w:val="Odwoanieprzypisudolnego"/>
          <w:rFonts w:ascii="Lato" w:hAnsi="Lato"/>
          <w:sz w:val="18"/>
          <w:szCs w:val="18"/>
        </w:rPr>
        <w:footnoteRef/>
      </w:r>
      <w:r w:rsidRPr="001C2EB0">
        <w:rPr>
          <w:rFonts w:ascii="Lato" w:hAnsi="Lato"/>
          <w:sz w:val="18"/>
          <w:szCs w:val="18"/>
        </w:rPr>
        <w:t xml:space="preserve"> </w:t>
      </w:r>
      <w:r w:rsidRPr="001C2EB0">
        <w:rPr>
          <w:rFonts w:ascii="Lato" w:hAnsi="Lato" w:cs="Open Sans"/>
          <w:sz w:val="18"/>
          <w:szCs w:val="18"/>
        </w:rPr>
        <w:t xml:space="preserve">wyrok </w:t>
      </w:r>
      <w:r w:rsidR="00B03182" w:rsidRPr="00226931">
        <w:rPr>
          <w:rFonts w:ascii="Lato" w:hAnsi="Lato" w:cs="Arial"/>
          <w:sz w:val="18"/>
          <w:szCs w:val="18"/>
        </w:rPr>
        <w:t xml:space="preserve">Trybunału Sprawiedliwości Unii Europejskiej </w:t>
      </w:r>
      <w:r w:rsidRPr="001C2EB0">
        <w:rPr>
          <w:rFonts w:ascii="Lato" w:hAnsi="Lato" w:cs="Open Sans"/>
          <w:sz w:val="18"/>
          <w:szCs w:val="18"/>
        </w:rPr>
        <w:t xml:space="preserve">z dnia 1 lutego 2001 r. </w:t>
      </w:r>
      <w:r w:rsidR="00B03182">
        <w:rPr>
          <w:rFonts w:ascii="Lato" w:hAnsi="Lato" w:cs="Open Sans"/>
          <w:sz w:val="18"/>
          <w:szCs w:val="18"/>
        </w:rPr>
        <w:t xml:space="preserve">w sprawie </w:t>
      </w:r>
      <w:r w:rsidRPr="001C2EB0">
        <w:rPr>
          <w:rFonts w:ascii="Lato" w:hAnsi="Lato" w:cs="Open Sans"/>
          <w:sz w:val="18"/>
          <w:szCs w:val="18"/>
        </w:rPr>
        <w:t xml:space="preserve">C-237/99.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90649"/>
    <w:multiLevelType w:val="hybridMultilevel"/>
    <w:tmpl w:val="DBBA1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BDF"/>
    <w:multiLevelType w:val="multilevel"/>
    <w:tmpl w:val="EF88E5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51F2B"/>
    <w:multiLevelType w:val="hybridMultilevel"/>
    <w:tmpl w:val="170EC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1DC4"/>
    <w:multiLevelType w:val="multilevel"/>
    <w:tmpl w:val="5CCA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E7192"/>
    <w:multiLevelType w:val="hybridMultilevel"/>
    <w:tmpl w:val="690EB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569E"/>
    <w:multiLevelType w:val="hybridMultilevel"/>
    <w:tmpl w:val="EFC60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37852"/>
    <w:multiLevelType w:val="hybridMultilevel"/>
    <w:tmpl w:val="2220B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B006C"/>
    <w:multiLevelType w:val="hybridMultilevel"/>
    <w:tmpl w:val="47E8120E"/>
    <w:lvl w:ilvl="0" w:tplc="71D0D2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960042">
    <w:abstractNumId w:val="3"/>
  </w:num>
  <w:num w:numId="2" w16cid:durableId="1140079643">
    <w:abstractNumId w:val="1"/>
  </w:num>
  <w:num w:numId="3" w16cid:durableId="804397549">
    <w:abstractNumId w:val="7"/>
  </w:num>
  <w:num w:numId="4" w16cid:durableId="2039088040">
    <w:abstractNumId w:val="6"/>
  </w:num>
  <w:num w:numId="5" w16cid:durableId="1285112966">
    <w:abstractNumId w:val="2"/>
  </w:num>
  <w:num w:numId="6" w16cid:durableId="1142891583">
    <w:abstractNumId w:val="4"/>
  </w:num>
  <w:num w:numId="7" w16cid:durableId="454326156">
    <w:abstractNumId w:val="5"/>
  </w:num>
  <w:num w:numId="8" w16cid:durableId="12937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B8"/>
    <w:rsid w:val="00001ABF"/>
    <w:rsid w:val="0001255B"/>
    <w:rsid w:val="00014B6A"/>
    <w:rsid w:val="00016377"/>
    <w:rsid w:val="000251DA"/>
    <w:rsid w:val="00026134"/>
    <w:rsid w:val="00027C96"/>
    <w:rsid w:val="00035706"/>
    <w:rsid w:val="00043AFF"/>
    <w:rsid w:val="00043CED"/>
    <w:rsid w:val="0004687E"/>
    <w:rsid w:val="000509CE"/>
    <w:rsid w:val="00057D18"/>
    <w:rsid w:val="000606C6"/>
    <w:rsid w:val="00061884"/>
    <w:rsid w:val="0006336B"/>
    <w:rsid w:val="00066A93"/>
    <w:rsid w:val="00072FF5"/>
    <w:rsid w:val="00073C6F"/>
    <w:rsid w:val="00073E7C"/>
    <w:rsid w:val="00074B9C"/>
    <w:rsid w:val="0008018B"/>
    <w:rsid w:val="000823FD"/>
    <w:rsid w:val="0008714A"/>
    <w:rsid w:val="000922D4"/>
    <w:rsid w:val="0009309D"/>
    <w:rsid w:val="00094BDA"/>
    <w:rsid w:val="00094F09"/>
    <w:rsid w:val="00095F2B"/>
    <w:rsid w:val="000A7E86"/>
    <w:rsid w:val="000B0112"/>
    <w:rsid w:val="000B34AB"/>
    <w:rsid w:val="000C5DAE"/>
    <w:rsid w:val="000C6EE8"/>
    <w:rsid w:val="000D11A8"/>
    <w:rsid w:val="000D4B33"/>
    <w:rsid w:val="000E3CEB"/>
    <w:rsid w:val="000F4F36"/>
    <w:rsid w:val="000F5DE3"/>
    <w:rsid w:val="001007DE"/>
    <w:rsid w:val="001009C6"/>
    <w:rsid w:val="00103A3B"/>
    <w:rsid w:val="00105A2B"/>
    <w:rsid w:val="00106E4B"/>
    <w:rsid w:val="001103E4"/>
    <w:rsid w:val="001135FF"/>
    <w:rsid w:val="001172F6"/>
    <w:rsid w:val="00120D55"/>
    <w:rsid w:val="00122541"/>
    <w:rsid w:val="00123F0B"/>
    <w:rsid w:val="00131CAE"/>
    <w:rsid w:val="001366E0"/>
    <w:rsid w:val="00137E1B"/>
    <w:rsid w:val="00142469"/>
    <w:rsid w:val="00145C1C"/>
    <w:rsid w:val="00155095"/>
    <w:rsid w:val="00160504"/>
    <w:rsid w:val="00160571"/>
    <w:rsid w:val="00161E65"/>
    <w:rsid w:val="0017008F"/>
    <w:rsid w:val="00170543"/>
    <w:rsid w:val="00170B7E"/>
    <w:rsid w:val="00170C37"/>
    <w:rsid w:val="001725EF"/>
    <w:rsid w:val="00174B1D"/>
    <w:rsid w:val="001761F2"/>
    <w:rsid w:val="00182781"/>
    <w:rsid w:val="00182F7B"/>
    <w:rsid w:val="001857AC"/>
    <w:rsid w:val="001871BB"/>
    <w:rsid w:val="00196448"/>
    <w:rsid w:val="001975DC"/>
    <w:rsid w:val="001A4B37"/>
    <w:rsid w:val="001B126E"/>
    <w:rsid w:val="001B236B"/>
    <w:rsid w:val="001B6EEB"/>
    <w:rsid w:val="001C097F"/>
    <w:rsid w:val="001C2EB0"/>
    <w:rsid w:val="001D18D4"/>
    <w:rsid w:val="001E0BE1"/>
    <w:rsid w:val="001E1806"/>
    <w:rsid w:val="001F21AC"/>
    <w:rsid w:val="001F48C8"/>
    <w:rsid w:val="001F5D4E"/>
    <w:rsid w:val="001F606A"/>
    <w:rsid w:val="001F714B"/>
    <w:rsid w:val="00202854"/>
    <w:rsid w:val="0020460C"/>
    <w:rsid w:val="00210B2A"/>
    <w:rsid w:val="002129DD"/>
    <w:rsid w:val="00212A45"/>
    <w:rsid w:val="002133B2"/>
    <w:rsid w:val="002175AA"/>
    <w:rsid w:val="00220CE3"/>
    <w:rsid w:val="0023056D"/>
    <w:rsid w:val="00230CA1"/>
    <w:rsid w:val="00232885"/>
    <w:rsid w:val="0023367B"/>
    <w:rsid w:val="002414B8"/>
    <w:rsid w:val="00241678"/>
    <w:rsid w:val="002429EC"/>
    <w:rsid w:val="002439F5"/>
    <w:rsid w:val="002466E5"/>
    <w:rsid w:val="00251033"/>
    <w:rsid w:val="00251286"/>
    <w:rsid w:val="00251D40"/>
    <w:rsid w:val="002558F9"/>
    <w:rsid w:val="00257244"/>
    <w:rsid w:val="002609F9"/>
    <w:rsid w:val="00264431"/>
    <w:rsid w:val="00272BBE"/>
    <w:rsid w:val="0027782C"/>
    <w:rsid w:val="00291841"/>
    <w:rsid w:val="00293D5C"/>
    <w:rsid w:val="002961A3"/>
    <w:rsid w:val="002A03A0"/>
    <w:rsid w:val="002A182E"/>
    <w:rsid w:val="002A18F6"/>
    <w:rsid w:val="002A5CBE"/>
    <w:rsid w:val="002A5F0C"/>
    <w:rsid w:val="002A676E"/>
    <w:rsid w:val="002B29F8"/>
    <w:rsid w:val="002B5C30"/>
    <w:rsid w:val="002C1F0C"/>
    <w:rsid w:val="002D1CC7"/>
    <w:rsid w:val="002D2CA3"/>
    <w:rsid w:val="002D3902"/>
    <w:rsid w:val="002D7DBF"/>
    <w:rsid w:val="002E2972"/>
    <w:rsid w:val="002E3B74"/>
    <w:rsid w:val="002E7705"/>
    <w:rsid w:val="002F10C8"/>
    <w:rsid w:val="002F2326"/>
    <w:rsid w:val="002F2733"/>
    <w:rsid w:val="00300114"/>
    <w:rsid w:val="003127ED"/>
    <w:rsid w:val="00315E1E"/>
    <w:rsid w:val="00317B86"/>
    <w:rsid w:val="00321623"/>
    <w:rsid w:val="00323E15"/>
    <w:rsid w:val="003247E2"/>
    <w:rsid w:val="00326417"/>
    <w:rsid w:val="00335C69"/>
    <w:rsid w:val="00340AB3"/>
    <w:rsid w:val="00343F55"/>
    <w:rsid w:val="00352AB9"/>
    <w:rsid w:val="0035414E"/>
    <w:rsid w:val="00357EE7"/>
    <w:rsid w:val="003600D7"/>
    <w:rsid w:val="0036182E"/>
    <w:rsid w:val="00363618"/>
    <w:rsid w:val="003723FB"/>
    <w:rsid w:val="00374779"/>
    <w:rsid w:val="00386256"/>
    <w:rsid w:val="00386FFE"/>
    <w:rsid w:val="003902C1"/>
    <w:rsid w:val="00391642"/>
    <w:rsid w:val="0039456B"/>
    <w:rsid w:val="00396FB1"/>
    <w:rsid w:val="00397156"/>
    <w:rsid w:val="00397BA2"/>
    <w:rsid w:val="003A29BA"/>
    <w:rsid w:val="003B2774"/>
    <w:rsid w:val="003B3158"/>
    <w:rsid w:val="003C00E2"/>
    <w:rsid w:val="003C30C3"/>
    <w:rsid w:val="003C3E05"/>
    <w:rsid w:val="003D6A6F"/>
    <w:rsid w:val="003D70F0"/>
    <w:rsid w:val="003F3623"/>
    <w:rsid w:val="003F39FE"/>
    <w:rsid w:val="003F3DCF"/>
    <w:rsid w:val="003F5CFE"/>
    <w:rsid w:val="003F6C19"/>
    <w:rsid w:val="00401368"/>
    <w:rsid w:val="004025A1"/>
    <w:rsid w:val="00407910"/>
    <w:rsid w:val="004163D5"/>
    <w:rsid w:val="00420479"/>
    <w:rsid w:val="004218B0"/>
    <w:rsid w:val="00424916"/>
    <w:rsid w:val="0042571C"/>
    <w:rsid w:val="00425DF2"/>
    <w:rsid w:val="0042604B"/>
    <w:rsid w:val="00446DDD"/>
    <w:rsid w:val="00451BFA"/>
    <w:rsid w:val="00456783"/>
    <w:rsid w:val="00470200"/>
    <w:rsid w:val="004703F0"/>
    <w:rsid w:val="00472BD4"/>
    <w:rsid w:val="00474D71"/>
    <w:rsid w:val="00482D73"/>
    <w:rsid w:val="00483CEF"/>
    <w:rsid w:val="00483EA7"/>
    <w:rsid w:val="004849F4"/>
    <w:rsid w:val="00490F1A"/>
    <w:rsid w:val="004968C2"/>
    <w:rsid w:val="004A05D0"/>
    <w:rsid w:val="004A28CA"/>
    <w:rsid w:val="004B0282"/>
    <w:rsid w:val="004B10FE"/>
    <w:rsid w:val="004B2C90"/>
    <w:rsid w:val="004C0602"/>
    <w:rsid w:val="004C10EC"/>
    <w:rsid w:val="004C13E5"/>
    <w:rsid w:val="004C18A0"/>
    <w:rsid w:val="004C353C"/>
    <w:rsid w:val="004C3859"/>
    <w:rsid w:val="004C519E"/>
    <w:rsid w:val="004C5D52"/>
    <w:rsid w:val="004D3E32"/>
    <w:rsid w:val="004E0110"/>
    <w:rsid w:val="004E3C65"/>
    <w:rsid w:val="004E539B"/>
    <w:rsid w:val="004F2FA7"/>
    <w:rsid w:val="004F38FB"/>
    <w:rsid w:val="004F45AE"/>
    <w:rsid w:val="004F7A82"/>
    <w:rsid w:val="00506AED"/>
    <w:rsid w:val="00510B14"/>
    <w:rsid w:val="0051396E"/>
    <w:rsid w:val="005203EA"/>
    <w:rsid w:val="0052216B"/>
    <w:rsid w:val="0053664E"/>
    <w:rsid w:val="0054053E"/>
    <w:rsid w:val="005423CD"/>
    <w:rsid w:val="00546694"/>
    <w:rsid w:val="005477E0"/>
    <w:rsid w:val="00551506"/>
    <w:rsid w:val="00555805"/>
    <w:rsid w:val="005574C0"/>
    <w:rsid w:val="005613EE"/>
    <w:rsid w:val="005621FA"/>
    <w:rsid w:val="00563333"/>
    <w:rsid w:val="00565D5B"/>
    <w:rsid w:val="00575858"/>
    <w:rsid w:val="00580110"/>
    <w:rsid w:val="005807AE"/>
    <w:rsid w:val="005863BF"/>
    <w:rsid w:val="00593B58"/>
    <w:rsid w:val="00593E52"/>
    <w:rsid w:val="00593F6C"/>
    <w:rsid w:val="00595F38"/>
    <w:rsid w:val="005A0E92"/>
    <w:rsid w:val="005A499F"/>
    <w:rsid w:val="005C1A10"/>
    <w:rsid w:val="005C252C"/>
    <w:rsid w:val="005C3FEC"/>
    <w:rsid w:val="005C5B7A"/>
    <w:rsid w:val="005C7948"/>
    <w:rsid w:val="005C79C7"/>
    <w:rsid w:val="005C7A91"/>
    <w:rsid w:val="005D5940"/>
    <w:rsid w:val="005D7D26"/>
    <w:rsid w:val="005E06F7"/>
    <w:rsid w:val="005E3A75"/>
    <w:rsid w:val="005E4A17"/>
    <w:rsid w:val="005F2AC8"/>
    <w:rsid w:val="005F428F"/>
    <w:rsid w:val="00605C10"/>
    <w:rsid w:val="00605F09"/>
    <w:rsid w:val="006116EF"/>
    <w:rsid w:val="00614143"/>
    <w:rsid w:val="00616F42"/>
    <w:rsid w:val="0061756F"/>
    <w:rsid w:val="00621081"/>
    <w:rsid w:val="00625A95"/>
    <w:rsid w:val="006308A6"/>
    <w:rsid w:val="00631004"/>
    <w:rsid w:val="0063595A"/>
    <w:rsid w:val="00635C7A"/>
    <w:rsid w:val="006364DF"/>
    <w:rsid w:val="00643490"/>
    <w:rsid w:val="00644935"/>
    <w:rsid w:val="00653D51"/>
    <w:rsid w:val="00655906"/>
    <w:rsid w:val="0065685F"/>
    <w:rsid w:val="00664756"/>
    <w:rsid w:val="0068573D"/>
    <w:rsid w:val="00690CC6"/>
    <w:rsid w:val="006917DA"/>
    <w:rsid w:val="006919E8"/>
    <w:rsid w:val="00693348"/>
    <w:rsid w:val="006A556F"/>
    <w:rsid w:val="006B11F1"/>
    <w:rsid w:val="006B2B04"/>
    <w:rsid w:val="006C26F2"/>
    <w:rsid w:val="006C3EDA"/>
    <w:rsid w:val="006C40A5"/>
    <w:rsid w:val="006D0C1D"/>
    <w:rsid w:val="006D18DA"/>
    <w:rsid w:val="006D49B9"/>
    <w:rsid w:val="006D7990"/>
    <w:rsid w:val="006E136B"/>
    <w:rsid w:val="006E3DF0"/>
    <w:rsid w:val="006E7EC6"/>
    <w:rsid w:val="006F1BD0"/>
    <w:rsid w:val="006F562B"/>
    <w:rsid w:val="0070202A"/>
    <w:rsid w:val="0070379C"/>
    <w:rsid w:val="00703EFC"/>
    <w:rsid w:val="007079A1"/>
    <w:rsid w:val="0071046B"/>
    <w:rsid w:val="00710A2A"/>
    <w:rsid w:val="00710CA7"/>
    <w:rsid w:val="0071221F"/>
    <w:rsid w:val="00717905"/>
    <w:rsid w:val="00721E0B"/>
    <w:rsid w:val="007328CA"/>
    <w:rsid w:val="00733A8E"/>
    <w:rsid w:val="00751268"/>
    <w:rsid w:val="00774CEA"/>
    <w:rsid w:val="00774DE9"/>
    <w:rsid w:val="00782D6A"/>
    <w:rsid w:val="00784157"/>
    <w:rsid w:val="0078662C"/>
    <w:rsid w:val="00792E15"/>
    <w:rsid w:val="00793681"/>
    <w:rsid w:val="0079456D"/>
    <w:rsid w:val="0079460C"/>
    <w:rsid w:val="00795CF1"/>
    <w:rsid w:val="007A0D4D"/>
    <w:rsid w:val="007A20DF"/>
    <w:rsid w:val="007A461E"/>
    <w:rsid w:val="007B1526"/>
    <w:rsid w:val="007C0596"/>
    <w:rsid w:val="007C7889"/>
    <w:rsid w:val="007D02A3"/>
    <w:rsid w:val="007D191F"/>
    <w:rsid w:val="007D2574"/>
    <w:rsid w:val="007D3E63"/>
    <w:rsid w:val="007E2271"/>
    <w:rsid w:val="007E336D"/>
    <w:rsid w:val="008033B9"/>
    <w:rsid w:val="008113E6"/>
    <w:rsid w:val="00813136"/>
    <w:rsid w:val="008132F8"/>
    <w:rsid w:val="0081660A"/>
    <w:rsid w:val="008230E2"/>
    <w:rsid w:val="00832A59"/>
    <w:rsid w:val="008356B3"/>
    <w:rsid w:val="008415BB"/>
    <w:rsid w:val="008423AA"/>
    <w:rsid w:val="00842979"/>
    <w:rsid w:val="00843C40"/>
    <w:rsid w:val="0084555B"/>
    <w:rsid w:val="008460E4"/>
    <w:rsid w:val="00852C1B"/>
    <w:rsid w:val="0085643F"/>
    <w:rsid w:val="00857C9A"/>
    <w:rsid w:val="00866750"/>
    <w:rsid w:val="008667A1"/>
    <w:rsid w:val="008677EB"/>
    <w:rsid w:val="00867A4B"/>
    <w:rsid w:val="00871310"/>
    <w:rsid w:val="00871DBA"/>
    <w:rsid w:val="0087202C"/>
    <w:rsid w:val="00872C80"/>
    <w:rsid w:val="008745F7"/>
    <w:rsid w:val="00887C72"/>
    <w:rsid w:val="00890C2A"/>
    <w:rsid w:val="0089574C"/>
    <w:rsid w:val="008A1521"/>
    <w:rsid w:val="008A2674"/>
    <w:rsid w:val="008B4604"/>
    <w:rsid w:val="008B5683"/>
    <w:rsid w:val="008B5AB3"/>
    <w:rsid w:val="008C35D7"/>
    <w:rsid w:val="008D3D6B"/>
    <w:rsid w:val="008D3FF7"/>
    <w:rsid w:val="008D40B2"/>
    <w:rsid w:val="008E4722"/>
    <w:rsid w:val="008E50C8"/>
    <w:rsid w:val="008F02A2"/>
    <w:rsid w:val="008F1472"/>
    <w:rsid w:val="008F2C24"/>
    <w:rsid w:val="008F36C2"/>
    <w:rsid w:val="00901C8F"/>
    <w:rsid w:val="00901E9F"/>
    <w:rsid w:val="00902E87"/>
    <w:rsid w:val="00904814"/>
    <w:rsid w:val="00914FA2"/>
    <w:rsid w:val="009211D6"/>
    <w:rsid w:val="00925A62"/>
    <w:rsid w:val="00941888"/>
    <w:rsid w:val="009442D3"/>
    <w:rsid w:val="00944911"/>
    <w:rsid w:val="00960BE0"/>
    <w:rsid w:val="00960F23"/>
    <w:rsid w:val="00967721"/>
    <w:rsid w:val="0097065C"/>
    <w:rsid w:val="009724AD"/>
    <w:rsid w:val="00977D5D"/>
    <w:rsid w:val="009838FF"/>
    <w:rsid w:val="00987C1D"/>
    <w:rsid w:val="0099440E"/>
    <w:rsid w:val="009967E8"/>
    <w:rsid w:val="009A5115"/>
    <w:rsid w:val="009B16DF"/>
    <w:rsid w:val="009B1754"/>
    <w:rsid w:val="009C0570"/>
    <w:rsid w:val="009C18D7"/>
    <w:rsid w:val="009D3DB1"/>
    <w:rsid w:val="009D5CAF"/>
    <w:rsid w:val="009D65DB"/>
    <w:rsid w:val="009D7363"/>
    <w:rsid w:val="009E5211"/>
    <w:rsid w:val="009E594C"/>
    <w:rsid w:val="009F008E"/>
    <w:rsid w:val="009F3560"/>
    <w:rsid w:val="009F40F9"/>
    <w:rsid w:val="00A04245"/>
    <w:rsid w:val="00A0750C"/>
    <w:rsid w:val="00A124EF"/>
    <w:rsid w:val="00A12892"/>
    <w:rsid w:val="00A13F15"/>
    <w:rsid w:val="00A169ED"/>
    <w:rsid w:val="00A24E87"/>
    <w:rsid w:val="00A35373"/>
    <w:rsid w:val="00A413A4"/>
    <w:rsid w:val="00A41843"/>
    <w:rsid w:val="00A41FFB"/>
    <w:rsid w:val="00A421E8"/>
    <w:rsid w:val="00A42D84"/>
    <w:rsid w:val="00A52A54"/>
    <w:rsid w:val="00A55513"/>
    <w:rsid w:val="00A60050"/>
    <w:rsid w:val="00A6069C"/>
    <w:rsid w:val="00A62F55"/>
    <w:rsid w:val="00A63E25"/>
    <w:rsid w:val="00A6773B"/>
    <w:rsid w:val="00A72124"/>
    <w:rsid w:val="00A761FE"/>
    <w:rsid w:val="00A806C5"/>
    <w:rsid w:val="00A84B74"/>
    <w:rsid w:val="00A9215C"/>
    <w:rsid w:val="00A96F56"/>
    <w:rsid w:val="00AB1979"/>
    <w:rsid w:val="00AB3F7D"/>
    <w:rsid w:val="00AB4331"/>
    <w:rsid w:val="00AB49B0"/>
    <w:rsid w:val="00AB67D4"/>
    <w:rsid w:val="00AC0586"/>
    <w:rsid w:val="00AC46B6"/>
    <w:rsid w:val="00AC5407"/>
    <w:rsid w:val="00AF3B5B"/>
    <w:rsid w:val="00B00285"/>
    <w:rsid w:val="00B03182"/>
    <w:rsid w:val="00B136E9"/>
    <w:rsid w:val="00B15DE7"/>
    <w:rsid w:val="00B216AD"/>
    <w:rsid w:val="00B23DAC"/>
    <w:rsid w:val="00B31A93"/>
    <w:rsid w:val="00B42A41"/>
    <w:rsid w:val="00B43706"/>
    <w:rsid w:val="00B5273C"/>
    <w:rsid w:val="00B52AAD"/>
    <w:rsid w:val="00B52AFE"/>
    <w:rsid w:val="00B60BDA"/>
    <w:rsid w:val="00B644DC"/>
    <w:rsid w:val="00B66372"/>
    <w:rsid w:val="00B71C96"/>
    <w:rsid w:val="00B72CF3"/>
    <w:rsid w:val="00B76828"/>
    <w:rsid w:val="00B77690"/>
    <w:rsid w:val="00B77B71"/>
    <w:rsid w:val="00B80D61"/>
    <w:rsid w:val="00B8209D"/>
    <w:rsid w:val="00B87299"/>
    <w:rsid w:val="00B9595D"/>
    <w:rsid w:val="00BB1792"/>
    <w:rsid w:val="00BB1844"/>
    <w:rsid w:val="00BC5C23"/>
    <w:rsid w:val="00BC62E5"/>
    <w:rsid w:val="00BD0094"/>
    <w:rsid w:val="00BD2B1C"/>
    <w:rsid w:val="00BD3193"/>
    <w:rsid w:val="00BD3EAB"/>
    <w:rsid w:val="00BF1EB4"/>
    <w:rsid w:val="00BF2FF0"/>
    <w:rsid w:val="00BF6622"/>
    <w:rsid w:val="00C013FD"/>
    <w:rsid w:val="00C1488B"/>
    <w:rsid w:val="00C1590F"/>
    <w:rsid w:val="00C16FC1"/>
    <w:rsid w:val="00C20408"/>
    <w:rsid w:val="00C21976"/>
    <w:rsid w:val="00C22021"/>
    <w:rsid w:val="00C24C88"/>
    <w:rsid w:val="00C2718F"/>
    <w:rsid w:val="00C30070"/>
    <w:rsid w:val="00C309BF"/>
    <w:rsid w:val="00C375F2"/>
    <w:rsid w:val="00C40048"/>
    <w:rsid w:val="00C42F56"/>
    <w:rsid w:val="00C44F0A"/>
    <w:rsid w:val="00C53A30"/>
    <w:rsid w:val="00C626B8"/>
    <w:rsid w:val="00C64E5A"/>
    <w:rsid w:val="00C65288"/>
    <w:rsid w:val="00C665C3"/>
    <w:rsid w:val="00C70393"/>
    <w:rsid w:val="00C70C8C"/>
    <w:rsid w:val="00C72020"/>
    <w:rsid w:val="00C72E06"/>
    <w:rsid w:val="00C81C3D"/>
    <w:rsid w:val="00C84652"/>
    <w:rsid w:val="00C86F66"/>
    <w:rsid w:val="00C87239"/>
    <w:rsid w:val="00C87563"/>
    <w:rsid w:val="00C90AE6"/>
    <w:rsid w:val="00CA35D3"/>
    <w:rsid w:val="00CA4660"/>
    <w:rsid w:val="00CA6DF8"/>
    <w:rsid w:val="00CB32FF"/>
    <w:rsid w:val="00CB4330"/>
    <w:rsid w:val="00CC02D2"/>
    <w:rsid w:val="00CC207F"/>
    <w:rsid w:val="00CC261D"/>
    <w:rsid w:val="00CD0BD7"/>
    <w:rsid w:val="00CD17EF"/>
    <w:rsid w:val="00CD308A"/>
    <w:rsid w:val="00CE0DB1"/>
    <w:rsid w:val="00CE4798"/>
    <w:rsid w:val="00CE581F"/>
    <w:rsid w:val="00CE73FD"/>
    <w:rsid w:val="00CE7E79"/>
    <w:rsid w:val="00CF1088"/>
    <w:rsid w:val="00CF69CB"/>
    <w:rsid w:val="00CF7968"/>
    <w:rsid w:val="00CF7DF9"/>
    <w:rsid w:val="00D0104A"/>
    <w:rsid w:val="00D04B74"/>
    <w:rsid w:val="00D12221"/>
    <w:rsid w:val="00D12A44"/>
    <w:rsid w:val="00D12C02"/>
    <w:rsid w:val="00D12D04"/>
    <w:rsid w:val="00D13B73"/>
    <w:rsid w:val="00D31850"/>
    <w:rsid w:val="00D34ED7"/>
    <w:rsid w:val="00D42519"/>
    <w:rsid w:val="00D46784"/>
    <w:rsid w:val="00D56500"/>
    <w:rsid w:val="00D662E3"/>
    <w:rsid w:val="00D815AC"/>
    <w:rsid w:val="00D8617A"/>
    <w:rsid w:val="00D90C79"/>
    <w:rsid w:val="00D92E76"/>
    <w:rsid w:val="00D93C04"/>
    <w:rsid w:val="00DA4CF1"/>
    <w:rsid w:val="00DA68A0"/>
    <w:rsid w:val="00DB777C"/>
    <w:rsid w:val="00DC2756"/>
    <w:rsid w:val="00DC3866"/>
    <w:rsid w:val="00DC417F"/>
    <w:rsid w:val="00DD2148"/>
    <w:rsid w:val="00DD4530"/>
    <w:rsid w:val="00DD4671"/>
    <w:rsid w:val="00DD5AE3"/>
    <w:rsid w:val="00DD64F6"/>
    <w:rsid w:val="00DD7198"/>
    <w:rsid w:val="00DE08AE"/>
    <w:rsid w:val="00DE1E30"/>
    <w:rsid w:val="00DE45EF"/>
    <w:rsid w:val="00DE6C54"/>
    <w:rsid w:val="00DF1154"/>
    <w:rsid w:val="00DF5D6C"/>
    <w:rsid w:val="00DF7A49"/>
    <w:rsid w:val="00E008C1"/>
    <w:rsid w:val="00E02F97"/>
    <w:rsid w:val="00E03BC9"/>
    <w:rsid w:val="00E04782"/>
    <w:rsid w:val="00E04949"/>
    <w:rsid w:val="00E06B8C"/>
    <w:rsid w:val="00E200D6"/>
    <w:rsid w:val="00E25D90"/>
    <w:rsid w:val="00E31E26"/>
    <w:rsid w:val="00E35113"/>
    <w:rsid w:val="00E55585"/>
    <w:rsid w:val="00E55DD2"/>
    <w:rsid w:val="00E570C7"/>
    <w:rsid w:val="00E57954"/>
    <w:rsid w:val="00E57E6A"/>
    <w:rsid w:val="00E612FC"/>
    <w:rsid w:val="00E62390"/>
    <w:rsid w:val="00E6377A"/>
    <w:rsid w:val="00E64547"/>
    <w:rsid w:val="00E66AE1"/>
    <w:rsid w:val="00E67C3D"/>
    <w:rsid w:val="00E706CB"/>
    <w:rsid w:val="00E70705"/>
    <w:rsid w:val="00E70A67"/>
    <w:rsid w:val="00E77A08"/>
    <w:rsid w:val="00E8195C"/>
    <w:rsid w:val="00E90F2B"/>
    <w:rsid w:val="00E95277"/>
    <w:rsid w:val="00E95F87"/>
    <w:rsid w:val="00E9665C"/>
    <w:rsid w:val="00EA00E4"/>
    <w:rsid w:val="00EA075A"/>
    <w:rsid w:val="00EA40D5"/>
    <w:rsid w:val="00EA45F9"/>
    <w:rsid w:val="00EB0796"/>
    <w:rsid w:val="00EB0D3A"/>
    <w:rsid w:val="00EB1CB1"/>
    <w:rsid w:val="00EC19AA"/>
    <w:rsid w:val="00EC3F29"/>
    <w:rsid w:val="00EC7E41"/>
    <w:rsid w:val="00ED3629"/>
    <w:rsid w:val="00EE0DAB"/>
    <w:rsid w:val="00EE12D2"/>
    <w:rsid w:val="00EF5D38"/>
    <w:rsid w:val="00EF7C26"/>
    <w:rsid w:val="00F029D0"/>
    <w:rsid w:val="00F067F8"/>
    <w:rsid w:val="00F10E02"/>
    <w:rsid w:val="00F16AA1"/>
    <w:rsid w:val="00F23BA4"/>
    <w:rsid w:val="00F23F90"/>
    <w:rsid w:val="00F30CC4"/>
    <w:rsid w:val="00F41216"/>
    <w:rsid w:val="00F4543C"/>
    <w:rsid w:val="00F50784"/>
    <w:rsid w:val="00F50887"/>
    <w:rsid w:val="00F52AB7"/>
    <w:rsid w:val="00F54CE8"/>
    <w:rsid w:val="00F7461E"/>
    <w:rsid w:val="00F74B78"/>
    <w:rsid w:val="00F7548D"/>
    <w:rsid w:val="00F76AC2"/>
    <w:rsid w:val="00F8327C"/>
    <w:rsid w:val="00F920CD"/>
    <w:rsid w:val="00F92223"/>
    <w:rsid w:val="00FA019B"/>
    <w:rsid w:val="00FB0BA2"/>
    <w:rsid w:val="00FB4B1D"/>
    <w:rsid w:val="00FB7030"/>
    <w:rsid w:val="00FB73F8"/>
    <w:rsid w:val="00FC33EC"/>
    <w:rsid w:val="00FC779B"/>
    <w:rsid w:val="00FD4A88"/>
    <w:rsid w:val="00FD5268"/>
    <w:rsid w:val="00FE1504"/>
    <w:rsid w:val="00FE16B6"/>
    <w:rsid w:val="00FE2C02"/>
    <w:rsid w:val="00FE2E4D"/>
    <w:rsid w:val="00FF0531"/>
    <w:rsid w:val="00FF5DD1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3DFA"/>
  <w15:chartTrackingRefBased/>
  <w15:docId w15:val="{D1B9CF53-D951-4FE9-8137-9CDDEBC1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7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857A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74C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4756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87563"/>
    <w:rPr>
      <w:i/>
      <w:iCs/>
    </w:rPr>
  </w:style>
  <w:style w:type="paragraph" w:styleId="Akapitzlist">
    <w:name w:val="List Paragraph"/>
    <w:basedOn w:val="Normalny"/>
    <w:uiPriority w:val="34"/>
    <w:qFormat/>
    <w:rsid w:val="00293D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B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357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57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3570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F7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9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11">
    <w:name w:val="A11"/>
    <w:uiPriority w:val="99"/>
    <w:rsid w:val="0009309D"/>
    <w:rPr>
      <w:color w:val="000000"/>
      <w:sz w:val="10"/>
      <w:szCs w:val="10"/>
    </w:rPr>
  </w:style>
  <w:style w:type="character" w:customStyle="1" w:styleId="cf01">
    <w:name w:val="cf01"/>
    <w:basedOn w:val="Domylnaczcionkaakapitu"/>
    <w:rsid w:val="00B77B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19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2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0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0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0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42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6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vguydiltqmfyc4nryheytambz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vguydaltqmfyc4nryheydsmzy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7E58-FE8D-40A6-8BDA-99FE7D45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2667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STOSOWANIA USTAWY PRAWO ZAMÓWIEŃ PUBLICZNYCH PRZEZ FUNDACJE ORAZ STOWARZYSZENIA W KONTEKŚCIE ART. 4 PKT 3 i ART. 6 TEJ USTAWY</dc:title>
  <dc:subject/>
  <dc:creator>Magdalena Sender</dc:creator>
  <cp:keywords/>
  <dc:description/>
  <cp:lastModifiedBy>Trybusz Michał</cp:lastModifiedBy>
  <cp:revision>2</cp:revision>
  <dcterms:created xsi:type="dcterms:W3CDTF">2024-06-10T06:03:00Z</dcterms:created>
  <dcterms:modified xsi:type="dcterms:W3CDTF">2024-06-10T06:03:00Z</dcterms:modified>
</cp:coreProperties>
</file>