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2BE" w:rsidRDefault="00824794" w:rsidP="00E71715">
      <w:pPr>
        <w:autoSpaceDE w:val="0"/>
        <w:autoSpaceDN w:val="0"/>
        <w:adjustRightInd w:val="0"/>
        <w:rPr>
          <w:sz w:val="22"/>
          <w:szCs w:val="28"/>
        </w:rPr>
      </w:pPr>
      <w:r>
        <w:rPr>
          <w:sz w:val="22"/>
          <w:szCs w:val="28"/>
        </w:rPr>
        <w:t>Załącznik B.103.</w:t>
      </w:r>
    </w:p>
    <w:p w:rsidR="008821A8" w:rsidRDefault="008821A8" w:rsidP="004602BE">
      <w:pPr>
        <w:autoSpaceDE w:val="0"/>
        <w:autoSpaceDN w:val="0"/>
        <w:adjustRightInd w:val="0"/>
        <w:rPr>
          <w:sz w:val="22"/>
        </w:rPr>
      </w:pPr>
    </w:p>
    <w:p w:rsidR="004301CA" w:rsidRPr="008821A8" w:rsidRDefault="004301CA" w:rsidP="004602BE">
      <w:pPr>
        <w:spacing w:after="240"/>
        <w:rPr>
          <w:b/>
          <w:sz w:val="28"/>
        </w:rPr>
      </w:pPr>
      <w:r w:rsidRPr="008821A8">
        <w:rPr>
          <w:b/>
          <w:sz w:val="28"/>
        </w:rPr>
        <w:t xml:space="preserve">LECZENIE </w:t>
      </w:r>
      <w:r w:rsidR="00EE540B">
        <w:rPr>
          <w:b/>
          <w:bCs/>
          <w:sz w:val="28"/>
        </w:rPr>
        <w:t>PRZEWLEKŁEJ BIAŁACZKI LIMFOCYTOWEJ</w:t>
      </w:r>
      <w:r w:rsidR="00D41EF0">
        <w:rPr>
          <w:b/>
          <w:bCs/>
          <w:sz w:val="28"/>
        </w:rPr>
        <w:t xml:space="preserve"> </w:t>
      </w:r>
      <w:r w:rsidR="00E60817">
        <w:rPr>
          <w:b/>
          <w:bCs/>
          <w:sz w:val="28"/>
        </w:rPr>
        <w:t>WENETOK</w:t>
      </w:r>
      <w:r w:rsidR="00F6545E">
        <w:rPr>
          <w:b/>
          <w:bCs/>
          <w:sz w:val="28"/>
        </w:rPr>
        <w:t>LAKSEM</w:t>
      </w:r>
      <w:r w:rsidR="00EE540B" w:rsidRPr="00EE540B">
        <w:rPr>
          <w:b/>
          <w:bCs/>
          <w:sz w:val="28"/>
        </w:rPr>
        <w:t xml:space="preserve"> (ICD 10: C91.1)</w:t>
      </w:r>
    </w:p>
    <w:tbl>
      <w:tblPr>
        <w:tblW w:w="5000" w:type="pct"/>
        <w:tblCellMar>
          <w:left w:w="70" w:type="dxa"/>
          <w:right w:w="70" w:type="dxa"/>
        </w:tblCellMar>
        <w:tblLook w:val="0000" w:firstRow="0" w:lastRow="0" w:firstColumn="0" w:lastColumn="0" w:noHBand="0" w:noVBand="0"/>
      </w:tblPr>
      <w:tblGrid>
        <w:gridCol w:w="5260"/>
        <w:gridCol w:w="4492"/>
        <w:gridCol w:w="5630"/>
      </w:tblGrid>
      <w:tr w:rsidR="001C600E" w:rsidRPr="004E2E0D" w:rsidTr="004E2E0D">
        <w:trPr>
          <w:trHeight w:val="482"/>
        </w:trPr>
        <w:tc>
          <w:tcPr>
            <w:tcW w:w="5000" w:type="pct"/>
            <w:gridSpan w:val="3"/>
            <w:tcBorders>
              <w:top w:val="single" w:sz="6" w:space="0" w:color="auto"/>
              <w:left w:val="single" w:sz="6" w:space="0" w:color="auto"/>
              <w:bottom w:val="single" w:sz="6" w:space="0" w:color="auto"/>
              <w:right w:val="single" w:sz="6" w:space="0" w:color="auto"/>
            </w:tcBorders>
            <w:vAlign w:val="center"/>
          </w:tcPr>
          <w:p w:rsidR="001C600E" w:rsidRPr="004E2E0D" w:rsidRDefault="001C600E" w:rsidP="00EF1F15">
            <w:pPr>
              <w:autoSpaceDE w:val="0"/>
              <w:autoSpaceDN w:val="0"/>
              <w:adjustRightInd w:val="0"/>
              <w:spacing w:line="276" w:lineRule="auto"/>
              <w:jc w:val="center"/>
              <w:rPr>
                <w:sz w:val="20"/>
                <w:szCs w:val="20"/>
              </w:rPr>
            </w:pPr>
            <w:r w:rsidRPr="004E2E0D">
              <w:rPr>
                <w:b/>
                <w:bCs/>
                <w:sz w:val="20"/>
                <w:szCs w:val="20"/>
              </w:rPr>
              <w:t>ZAKRES ŚWIADCZENIA GWARANTOWANEGO</w:t>
            </w:r>
          </w:p>
        </w:tc>
      </w:tr>
      <w:tr w:rsidR="001C600E" w:rsidRPr="004E2E0D" w:rsidTr="006D0D6B">
        <w:tc>
          <w:tcPr>
            <w:tcW w:w="1710" w:type="pct"/>
            <w:tcBorders>
              <w:top w:val="single" w:sz="6" w:space="0" w:color="auto"/>
              <w:left w:val="single" w:sz="6" w:space="0" w:color="auto"/>
              <w:bottom w:val="single" w:sz="6" w:space="0" w:color="auto"/>
              <w:right w:val="single" w:sz="6" w:space="0" w:color="auto"/>
            </w:tcBorders>
            <w:vAlign w:val="center"/>
          </w:tcPr>
          <w:p w:rsidR="001C600E" w:rsidRPr="004E2E0D" w:rsidRDefault="001C600E" w:rsidP="00EF1F15">
            <w:pPr>
              <w:autoSpaceDE w:val="0"/>
              <w:autoSpaceDN w:val="0"/>
              <w:adjustRightInd w:val="0"/>
              <w:spacing w:line="276" w:lineRule="auto"/>
              <w:jc w:val="center"/>
              <w:rPr>
                <w:sz w:val="20"/>
                <w:szCs w:val="20"/>
              </w:rPr>
            </w:pPr>
            <w:r w:rsidRPr="004E2E0D">
              <w:rPr>
                <w:b/>
                <w:bCs/>
                <w:sz w:val="20"/>
                <w:szCs w:val="20"/>
              </w:rPr>
              <w:t>ŚWIADCZENIOBIORCY</w:t>
            </w:r>
          </w:p>
        </w:tc>
        <w:tc>
          <w:tcPr>
            <w:tcW w:w="1460" w:type="pct"/>
            <w:tcBorders>
              <w:top w:val="single" w:sz="6" w:space="0" w:color="auto"/>
              <w:left w:val="single" w:sz="6" w:space="0" w:color="auto"/>
              <w:bottom w:val="single" w:sz="6" w:space="0" w:color="auto"/>
              <w:right w:val="single" w:sz="6" w:space="0" w:color="auto"/>
            </w:tcBorders>
            <w:vAlign w:val="center"/>
          </w:tcPr>
          <w:p w:rsidR="001C600E" w:rsidRPr="004E2E0D" w:rsidRDefault="001C600E" w:rsidP="00E849DD">
            <w:pPr>
              <w:autoSpaceDE w:val="0"/>
              <w:autoSpaceDN w:val="0"/>
              <w:adjustRightInd w:val="0"/>
              <w:spacing w:line="276" w:lineRule="auto"/>
              <w:jc w:val="center"/>
              <w:rPr>
                <w:sz w:val="20"/>
                <w:szCs w:val="20"/>
              </w:rPr>
            </w:pPr>
            <w:r w:rsidRPr="004E2E0D">
              <w:rPr>
                <w:b/>
                <w:bCs/>
                <w:sz w:val="20"/>
                <w:szCs w:val="20"/>
              </w:rPr>
              <w:t>SCHEMAT DAWKOWANIA LEKÓW W</w:t>
            </w:r>
            <w:r w:rsidR="00E849DD">
              <w:rPr>
                <w:b/>
                <w:bCs/>
                <w:sz w:val="20"/>
                <w:szCs w:val="20"/>
              </w:rPr>
              <w:t> </w:t>
            </w:r>
            <w:r w:rsidRPr="004E2E0D">
              <w:rPr>
                <w:b/>
                <w:bCs/>
                <w:sz w:val="20"/>
                <w:szCs w:val="20"/>
              </w:rPr>
              <w:t>PROGRAMIE</w:t>
            </w:r>
          </w:p>
        </w:tc>
        <w:tc>
          <w:tcPr>
            <w:tcW w:w="1830" w:type="pct"/>
            <w:tcBorders>
              <w:top w:val="single" w:sz="6" w:space="0" w:color="auto"/>
              <w:left w:val="single" w:sz="6" w:space="0" w:color="auto"/>
              <w:bottom w:val="single" w:sz="6" w:space="0" w:color="auto"/>
              <w:right w:val="single" w:sz="6" w:space="0" w:color="auto"/>
            </w:tcBorders>
            <w:vAlign w:val="center"/>
          </w:tcPr>
          <w:p w:rsidR="001C600E" w:rsidRPr="004E2E0D" w:rsidRDefault="001C600E" w:rsidP="00E849DD">
            <w:pPr>
              <w:autoSpaceDE w:val="0"/>
              <w:autoSpaceDN w:val="0"/>
              <w:adjustRightInd w:val="0"/>
              <w:spacing w:line="276" w:lineRule="auto"/>
              <w:jc w:val="center"/>
              <w:rPr>
                <w:sz w:val="20"/>
                <w:szCs w:val="20"/>
              </w:rPr>
            </w:pPr>
            <w:r w:rsidRPr="004E2E0D">
              <w:rPr>
                <w:b/>
                <w:bCs/>
                <w:sz w:val="20"/>
                <w:szCs w:val="20"/>
              </w:rPr>
              <w:t>BADANIA DIAGNOSTYCZNE WYKONYWANE W</w:t>
            </w:r>
            <w:r w:rsidR="00E849DD">
              <w:rPr>
                <w:b/>
                <w:bCs/>
                <w:sz w:val="20"/>
                <w:szCs w:val="20"/>
              </w:rPr>
              <w:t> </w:t>
            </w:r>
            <w:r w:rsidRPr="004E2E0D">
              <w:rPr>
                <w:b/>
                <w:bCs/>
                <w:sz w:val="20"/>
                <w:szCs w:val="20"/>
              </w:rPr>
              <w:t>RAMACH PROGRAMU</w:t>
            </w:r>
          </w:p>
        </w:tc>
      </w:tr>
      <w:tr w:rsidR="001C600E" w:rsidRPr="004E2E0D" w:rsidTr="006D0D6B">
        <w:tc>
          <w:tcPr>
            <w:tcW w:w="1710" w:type="pct"/>
            <w:tcBorders>
              <w:top w:val="single" w:sz="6" w:space="0" w:color="auto"/>
              <w:left w:val="single" w:sz="6" w:space="0" w:color="auto"/>
              <w:bottom w:val="single" w:sz="6" w:space="0" w:color="auto"/>
              <w:right w:val="single" w:sz="6" w:space="0" w:color="auto"/>
            </w:tcBorders>
          </w:tcPr>
          <w:p w:rsidR="001C600E" w:rsidRDefault="00C17A2E" w:rsidP="005F2228">
            <w:pPr>
              <w:numPr>
                <w:ilvl w:val="0"/>
                <w:numId w:val="6"/>
              </w:numPr>
              <w:autoSpaceDE w:val="0"/>
              <w:autoSpaceDN w:val="0"/>
              <w:adjustRightInd w:val="0"/>
              <w:spacing w:after="120" w:line="276" w:lineRule="auto"/>
              <w:ind w:left="284" w:hanging="284"/>
              <w:rPr>
                <w:b/>
                <w:bCs/>
                <w:sz w:val="20"/>
                <w:szCs w:val="20"/>
              </w:rPr>
            </w:pPr>
            <w:r w:rsidRPr="00CD0236">
              <w:rPr>
                <w:b/>
                <w:bCs/>
                <w:sz w:val="20"/>
                <w:szCs w:val="20"/>
              </w:rPr>
              <w:t>Kryteria kwalifikacji</w:t>
            </w:r>
            <w:r w:rsidR="00884C81" w:rsidRPr="00CD0236">
              <w:rPr>
                <w:b/>
                <w:bCs/>
                <w:sz w:val="20"/>
                <w:szCs w:val="20"/>
              </w:rPr>
              <w:t>:</w:t>
            </w:r>
          </w:p>
          <w:p w:rsidR="00EE540B" w:rsidRDefault="00EE540B" w:rsidP="004602BE">
            <w:pPr>
              <w:autoSpaceDE w:val="0"/>
              <w:autoSpaceDN w:val="0"/>
              <w:adjustRightInd w:val="0"/>
              <w:spacing w:line="276" w:lineRule="auto"/>
              <w:rPr>
                <w:sz w:val="20"/>
                <w:szCs w:val="20"/>
              </w:rPr>
            </w:pPr>
            <w:r>
              <w:rPr>
                <w:sz w:val="20"/>
                <w:szCs w:val="20"/>
              </w:rPr>
              <w:t xml:space="preserve">Do leczenia kwalifikowani są pacjenci ze </w:t>
            </w:r>
            <w:r w:rsidR="00950513">
              <w:rPr>
                <w:sz w:val="20"/>
                <w:szCs w:val="20"/>
              </w:rPr>
              <w:t>zdiagnozowaną przewlekłą</w:t>
            </w:r>
            <w:r w:rsidR="00001C99">
              <w:rPr>
                <w:sz w:val="20"/>
                <w:szCs w:val="20"/>
              </w:rPr>
              <w:t xml:space="preserve"> białaczką </w:t>
            </w:r>
            <w:r w:rsidR="00950513">
              <w:rPr>
                <w:sz w:val="20"/>
                <w:szCs w:val="20"/>
              </w:rPr>
              <w:t>limfocytową spełniający</w:t>
            </w:r>
            <w:r w:rsidR="00001C99">
              <w:rPr>
                <w:sz w:val="20"/>
                <w:szCs w:val="20"/>
              </w:rPr>
              <w:t xml:space="preserve"> łącznie wszystkie poniższe kryteria:</w:t>
            </w:r>
          </w:p>
          <w:p w:rsidR="008810DC" w:rsidRDefault="008810DC" w:rsidP="005F2228">
            <w:pPr>
              <w:pStyle w:val="Akapitzlist"/>
              <w:numPr>
                <w:ilvl w:val="0"/>
                <w:numId w:val="11"/>
              </w:numPr>
              <w:autoSpaceDE w:val="0"/>
              <w:autoSpaceDN w:val="0"/>
              <w:adjustRightInd w:val="0"/>
              <w:spacing w:line="276" w:lineRule="auto"/>
              <w:rPr>
                <w:sz w:val="20"/>
                <w:szCs w:val="20"/>
              </w:rPr>
            </w:pPr>
          </w:p>
          <w:p w:rsidR="00F101A4" w:rsidRPr="008810DC" w:rsidRDefault="00001C99" w:rsidP="005F2228">
            <w:pPr>
              <w:pStyle w:val="Akapitzlist"/>
              <w:numPr>
                <w:ilvl w:val="0"/>
                <w:numId w:val="12"/>
              </w:numPr>
              <w:autoSpaceDE w:val="0"/>
              <w:autoSpaceDN w:val="0"/>
              <w:adjustRightInd w:val="0"/>
              <w:spacing w:line="276" w:lineRule="auto"/>
              <w:rPr>
                <w:sz w:val="20"/>
                <w:szCs w:val="20"/>
              </w:rPr>
            </w:pPr>
            <w:r w:rsidRPr="008810DC">
              <w:rPr>
                <w:sz w:val="20"/>
                <w:szCs w:val="20"/>
              </w:rPr>
              <w:t>wiek</w:t>
            </w:r>
            <w:r w:rsidR="00EE540B" w:rsidRPr="008810DC">
              <w:rPr>
                <w:sz w:val="20"/>
                <w:szCs w:val="20"/>
              </w:rPr>
              <w:t xml:space="preserve"> 18 lat i powyż</w:t>
            </w:r>
            <w:r w:rsidRPr="008810DC">
              <w:rPr>
                <w:sz w:val="20"/>
                <w:szCs w:val="20"/>
              </w:rPr>
              <w:t>ej</w:t>
            </w:r>
            <w:r w:rsidR="00F101A4" w:rsidRPr="008810DC">
              <w:rPr>
                <w:sz w:val="20"/>
                <w:szCs w:val="20"/>
              </w:rPr>
              <w:t>;</w:t>
            </w:r>
          </w:p>
          <w:p w:rsidR="009A4412" w:rsidRPr="00272896" w:rsidRDefault="009A4412" w:rsidP="005F2228">
            <w:pPr>
              <w:numPr>
                <w:ilvl w:val="0"/>
                <w:numId w:val="12"/>
              </w:numPr>
              <w:autoSpaceDE w:val="0"/>
              <w:autoSpaceDN w:val="0"/>
              <w:adjustRightInd w:val="0"/>
              <w:spacing w:line="276" w:lineRule="auto"/>
              <w:rPr>
                <w:bCs/>
                <w:sz w:val="20"/>
                <w:szCs w:val="20"/>
              </w:rPr>
            </w:pPr>
            <w:r w:rsidRPr="00272896">
              <w:rPr>
                <w:bCs/>
                <w:sz w:val="20"/>
                <w:szCs w:val="20"/>
              </w:rPr>
              <w:t xml:space="preserve">obecność wskazań do leczenia wg propozycji International Workshop on </w:t>
            </w:r>
            <w:proofErr w:type="spellStart"/>
            <w:r w:rsidRPr="00272896">
              <w:rPr>
                <w:bCs/>
                <w:sz w:val="20"/>
                <w:szCs w:val="20"/>
              </w:rPr>
              <w:t>Chronic</w:t>
            </w:r>
            <w:proofErr w:type="spellEnd"/>
            <w:r w:rsidRPr="00272896">
              <w:rPr>
                <w:bCs/>
                <w:sz w:val="20"/>
                <w:szCs w:val="20"/>
              </w:rPr>
              <w:t xml:space="preserve"> </w:t>
            </w:r>
            <w:proofErr w:type="spellStart"/>
            <w:r w:rsidRPr="00272896">
              <w:rPr>
                <w:bCs/>
                <w:sz w:val="20"/>
                <w:szCs w:val="20"/>
              </w:rPr>
              <w:t>Lymphocytic</w:t>
            </w:r>
            <w:proofErr w:type="spellEnd"/>
            <w:r w:rsidRPr="00272896">
              <w:rPr>
                <w:bCs/>
                <w:sz w:val="20"/>
                <w:szCs w:val="20"/>
              </w:rPr>
              <w:t xml:space="preserve"> Leukemia (</w:t>
            </w:r>
            <w:r w:rsidR="00272896" w:rsidRPr="00272896">
              <w:rPr>
                <w:bCs/>
                <w:sz w:val="20"/>
                <w:szCs w:val="20"/>
              </w:rPr>
              <w:t>IWCLL</w:t>
            </w:r>
            <w:r w:rsidR="00B40A40" w:rsidRPr="00272896">
              <w:rPr>
                <w:bCs/>
                <w:sz w:val="20"/>
                <w:szCs w:val="20"/>
              </w:rPr>
              <w:t>)</w:t>
            </w:r>
            <w:r w:rsidRPr="00272896">
              <w:rPr>
                <w:bCs/>
                <w:sz w:val="20"/>
                <w:szCs w:val="20"/>
              </w:rPr>
              <w:t>;</w:t>
            </w:r>
          </w:p>
          <w:p w:rsidR="00001C99" w:rsidRPr="000A6A89" w:rsidRDefault="00B40A40" w:rsidP="005F2228">
            <w:pPr>
              <w:numPr>
                <w:ilvl w:val="0"/>
                <w:numId w:val="12"/>
              </w:numPr>
              <w:autoSpaceDE w:val="0"/>
              <w:autoSpaceDN w:val="0"/>
              <w:adjustRightInd w:val="0"/>
              <w:spacing w:line="276" w:lineRule="auto"/>
              <w:rPr>
                <w:sz w:val="20"/>
                <w:szCs w:val="20"/>
              </w:rPr>
            </w:pPr>
            <w:r w:rsidRPr="000A6A89">
              <w:rPr>
                <w:bCs/>
                <w:sz w:val="20"/>
                <w:szCs w:val="20"/>
              </w:rPr>
              <w:t xml:space="preserve">pacjenci z obecnością delecji w obszarze 17p lub mutacją </w:t>
            </w:r>
            <w:r w:rsidRPr="00CB1259">
              <w:rPr>
                <w:bCs/>
                <w:i/>
                <w:sz w:val="20"/>
                <w:szCs w:val="20"/>
              </w:rPr>
              <w:t>TP53</w:t>
            </w:r>
            <w:r w:rsidRPr="000A6A89">
              <w:rPr>
                <w:bCs/>
                <w:sz w:val="20"/>
                <w:szCs w:val="20"/>
              </w:rPr>
              <w:t>, u których</w:t>
            </w:r>
            <w:r w:rsidR="00A34C09">
              <w:rPr>
                <w:bCs/>
                <w:sz w:val="20"/>
                <w:szCs w:val="20"/>
              </w:rPr>
              <w:t xml:space="preserve"> nie powiodło się</w:t>
            </w:r>
            <w:r w:rsidRPr="000A6A89">
              <w:rPr>
                <w:bCs/>
                <w:sz w:val="20"/>
                <w:szCs w:val="20"/>
              </w:rPr>
              <w:t xml:space="preserve"> leczenie </w:t>
            </w:r>
            <w:proofErr w:type="spellStart"/>
            <w:r w:rsidR="005913B5">
              <w:rPr>
                <w:bCs/>
                <w:sz w:val="20"/>
                <w:szCs w:val="20"/>
              </w:rPr>
              <w:t>ibrutynibem</w:t>
            </w:r>
            <w:proofErr w:type="spellEnd"/>
          </w:p>
          <w:p w:rsidR="00BE2107" w:rsidRPr="00BE2107" w:rsidRDefault="00782BB2" w:rsidP="00BE2107">
            <w:pPr>
              <w:numPr>
                <w:ilvl w:val="0"/>
                <w:numId w:val="12"/>
              </w:numPr>
              <w:autoSpaceDE w:val="0"/>
              <w:autoSpaceDN w:val="0"/>
              <w:adjustRightInd w:val="0"/>
              <w:spacing w:line="276" w:lineRule="auto"/>
              <w:rPr>
                <w:bCs/>
                <w:sz w:val="20"/>
                <w:szCs w:val="20"/>
              </w:rPr>
            </w:pPr>
            <w:r w:rsidRPr="00B72457">
              <w:rPr>
                <w:sz w:val="20"/>
                <w:szCs w:val="20"/>
              </w:rPr>
              <w:t>brak przeciwskazań wynikających z Charakterystyki Produktu Leczniczego</w:t>
            </w:r>
            <w:r w:rsidR="006B5C32" w:rsidRPr="00782BB2">
              <w:rPr>
                <w:bCs/>
                <w:sz w:val="20"/>
                <w:szCs w:val="20"/>
              </w:rPr>
              <w:t>.</w:t>
            </w:r>
          </w:p>
          <w:p w:rsidR="00B40A40" w:rsidRDefault="00B40A40" w:rsidP="00B40A40">
            <w:pPr>
              <w:autoSpaceDE w:val="0"/>
              <w:autoSpaceDN w:val="0"/>
              <w:adjustRightInd w:val="0"/>
              <w:spacing w:line="276" w:lineRule="auto"/>
              <w:ind w:left="720"/>
              <w:rPr>
                <w:bCs/>
                <w:sz w:val="20"/>
                <w:szCs w:val="20"/>
              </w:rPr>
            </w:pPr>
          </w:p>
          <w:p w:rsidR="009916D3" w:rsidRDefault="009916D3" w:rsidP="00B40A40">
            <w:pPr>
              <w:autoSpaceDE w:val="0"/>
              <w:autoSpaceDN w:val="0"/>
              <w:adjustRightInd w:val="0"/>
              <w:spacing w:line="276" w:lineRule="auto"/>
              <w:ind w:left="720"/>
              <w:rPr>
                <w:bCs/>
                <w:sz w:val="20"/>
                <w:szCs w:val="20"/>
              </w:rPr>
            </w:pPr>
            <w:r>
              <w:rPr>
                <w:bCs/>
                <w:sz w:val="20"/>
                <w:szCs w:val="20"/>
              </w:rPr>
              <w:t>lub</w:t>
            </w:r>
          </w:p>
          <w:p w:rsidR="009916D3" w:rsidRPr="00EF66BC" w:rsidRDefault="009916D3" w:rsidP="005F2228">
            <w:pPr>
              <w:pStyle w:val="Akapitzlist"/>
              <w:numPr>
                <w:ilvl w:val="0"/>
                <w:numId w:val="11"/>
              </w:numPr>
              <w:autoSpaceDE w:val="0"/>
              <w:autoSpaceDN w:val="0"/>
              <w:adjustRightInd w:val="0"/>
              <w:spacing w:line="276" w:lineRule="auto"/>
              <w:rPr>
                <w:bCs/>
                <w:sz w:val="20"/>
                <w:szCs w:val="20"/>
              </w:rPr>
            </w:pPr>
          </w:p>
          <w:p w:rsidR="009916D3" w:rsidRDefault="00BE2107" w:rsidP="00CB1259">
            <w:pPr>
              <w:autoSpaceDE w:val="0"/>
              <w:autoSpaceDN w:val="0"/>
              <w:adjustRightInd w:val="0"/>
              <w:spacing w:line="276" w:lineRule="auto"/>
              <w:ind w:left="360"/>
              <w:jc w:val="both"/>
              <w:rPr>
                <w:bCs/>
                <w:sz w:val="20"/>
                <w:szCs w:val="20"/>
              </w:rPr>
            </w:pPr>
            <w:r w:rsidRPr="00BE2788">
              <w:rPr>
                <w:bCs/>
                <w:sz w:val="20"/>
                <w:szCs w:val="20"/>
              </w:rPr>
              <w:t xml:space="preserve">Pacjenci, którzy  rozpoczęli leczenie </w:t>
            </w:r>
            <w:proofErr w:type="spellStart"/>
            <w:r w:rsidRPr="00BE2788">
              <w:rPr>
                <w:bCs/>
                <w:sz w:val="20"/>
                <w:szCs w:val="20"/>
              </w:rPr>
              <w:t>wenetoklaksem</w:t>
            </w:r>
            <w:proofErr w:type="spellEnd"/>
            <w:r w:rsidRPr="00BE2788">
              <w:rPr>
                <w:bCs/>
                <w:sz w:val="20"/>
                <w:szCs w:val="20"/>
              </w:rPr>
              <w:t xml:space="preserve"> </w:t>
            </w:r>
            <w:r w:rsidR="00950513">
              <w:rPr>
                <w:bCs/>
                <w:sz w:val="20"/>
                <w:szCs w:val="20"/>
              </w:rPr>
              <w:t xml:space="preserve">         </w:t>
            </w:r>
            <w:r w:rsidR="00CB1259">
              <w:rPr>
                <w:bCs/>
                <w:sz w:val="20"/>
                <w:szCs w:val="20"/>
              </w:rPr>
              <w:t xml:space="preserve">     </w:t>
            </w:r>
            <w:r w:rsidRPr="00BE2788">
              <w:rPr>
                <w:bCs/>
                <w:sz w:val="20"/>
                <w:szCs w:val="20"/>
              </w:rPr>
              <w:t>w ramach innych źródeł finansowania pod warunkiem spełniania</w:t>
            </w:r>
            <w:r w:rsidR="00950513">
              <w:rPr>
                <w:bCs/>
                <w:sz w:val="20"/>
                <w:szCs w:val="20"/>
              </w:rPr>
              <w:t xml:space="preserve"> kryteriów kwalifikacji (pkt A</w:t>
            </w:r>
            <w:r w:rsidRPr="00BE2788">
              <w:rPr>
                <w:bCs/>
                <w:sz w:val="20"/>
                <w:szCs w:val="20"/>
              </w:rPr>
              <w:t xml:space="preserve">) przed pierwszorazowym podaniem </w:t>
            </w:r>
            <w:proofErr w:type="spellStart"/>
            <w:r w:rsidRPr="00BE2788">
              <w:rPr>
                <w:bCs/>
                <w:sz w:val="20"/>
                <w:szCs w:val="20"/>
              </w:rPr>
              <w:t>wenetoklaksu</w:t>
            </w:r>
            <w:proofErr w:type="spellEnd"/>
            <w:r w:rsidR="00CB1259">
              <w:rPr>
                <w:bCs/>
                <w:sz w:val="20"/>
                <w:szCs w:val="20"/>
              </w:rPr>
              <w:t xml:space="preserve">. </w:t>
            </w:r>
          </w:p>
          <w:p w:rsidR="00BE2788" w:rsidRPr="00BE2788" w:rsidRDefault="00BE2788" w:rsidP="00950513">
            <w:pPr>
              <w:autoSpaceDE w:val="0"/>
              <w:autoSpaceDN w:val="0"/>
              <w:adjustRightInd w:val="0"/>
              <w:spacing w:line="276" w:lineRule="auto"/>
              <w:ind w:left="360"/>
              <w:jc w:val="both"/>
              <w:rPr>
                <w:bCs/>
                <w:sz w:val="20"/>
                <w:szCs w:val="20"/>
              </w:rPr>
            </w:pPr>
          </w:p>
          <w:p w:rsidR="007B2C52" w:rsidRDefault="007B2C52" w:rsidP="00831B44">
            <w:pPr>
              <w:autoSpaceDE w:val="0"/>
              <w:autoSpaceDN w:val="0"/>
              <w:adjustRightInd w:val="0"/>
              <w:spacing w:line="276" w:lineRule="auto"/>
              <w:jc w:val="both"/>
              <w:rPr>
                <w:bCs/>
                <w:sz w:val="20"/>
                <w:szCs w:val="20"/>
              </w:rPr>
            </w:pPr>
            <w:r>
              <w:rPr>
                <w:bCs/>
                <w:sz w:val="20"/>
                <w:szCs w:val="20"/>
              </w:rPr>
              <w:t xml:space="preserve">Kobiety w wieku rozrodczym </w:t>
            </w:r>
            <w:r w:rsidR="00614BE8">
              <w:rPr>
                <w:bCs/>
                <w:sz w:val="20"/>
                <w:szCs w:val="20"/>
              </w:rPr>
              <w:t>muszą</w:t>
            </w:r>
            <w:r>
              <w:rPr>
                <w:bCs/>
                <w:sz w:val="20"/>
                <w:szCs w:val="20"/>
              </w:rPr>
              <w:t xml:space="preserve"> stosować </w:t>
            </w:r>
            <w:r w:rsidR="00614BE8">
              <w:rPr>
                <w:bCs/>
                <w:sz w:val="20"/>
                <w:szCs w:val="20"/>
              </w:rPr>
              <w:t xml:space="preserve">wysoce skuteczne metody zapobiegania ciąży podczas stosowania </w:t>
            </w:r>
            <w:proofErr w:type="spellStart"/>
            <w:r w:rsidR="00614BE8">
              <w:rPr>
                <w:bCs/>
                <w:sz w:val="20"/>
                <w:szCs w:val="20"/>
              </w:rPr>
              <w:t>wenetoklaksu</w:t>
            </w:r>
            <w:proofErr w:type="spellEnd"/>
            <w:r w:rsidR="00614BE8">
              <w:rPr>
                <w:bCs/>
                <w:sz w:val="20"/>
                <w:szCs w:val="20"/>
              </w:rPr>
              <w:t xml:space="preserve"> </w:t>
            </w:r>
            <w:r>
              <w:rPr>
                <w:bCs/>
                <w:sz w:val="20"/>
                <w:szCs w:val="20"/>
              </w:rPr>
              <w:t xml:space="preserve">i </w:t>
            </w:r>
            <w:r w:rsidR="00614BE8">
              <w:rPr>
                <w:bCs/>
                <w:sz w:val="20"/>
                <w:szCs w:val="20"/>
              </w:rPr>
              <w:t>przez 30 dni po zaprzestaniu leczenia.</w:t>
            </w:r>
          </w:p>
          <w:p w:rsidR="000A6A89" w:rsidRDefault="00950513" w:rsidP="007B2C52">
            <w:pPr>
              <w:autoSpaceDE w:val="0"/>
              <w:autoSpaceDN w:val="0"/>
              <w:adjustRightInd w:val="0"/>
              <w:spacing w:line="276" w:lineRule="auto"/>
              <w:rPr>
                <w:bCs/>
                <w:sz w:val="20"/>
                <w:szCs w:val="20"/>
              </w:rPr>
            </w:pPr>
            <w:r>
              <w:rPr>
                <w:bCs/>
                <w:sz w:val="20"/>
                <w:szCs w:val="20"/>
              </w:rPr>
              <w:lastRenderedPageBreak/>
              <w:t>Do programu lekowego nie kwalifikuje się kobiet w ciąży.</w:t>
            </w:r>
          </w:p>
          <w:p w:rsidR="00F363F5" w:rsidRPr="00CD0236" w:rsidRDefault="00F363F5" w:rsidP="005F2228">
            <w:pPr>
              <w:numPr>
                <w:ilvl w:val="0"/>
                <w:numId w:val="6"/>
              </w:numPr>
              <w:autoSpaceDE w:val="0"/>
              <w:autoSpaceDN w:val="0"/>
              <w:adjustRightInd w:val="0"/>
              <w:spacing w:before="240" w:after="120" w:line="276" w:lineRule="auto"/>
              <w:ind w:left="284" w:hanging="284"/>
              <w:rPr>
                <w:b/>
                <w:sz w:val="20"/>
                <w:szCs w:val="20"/>
              </w:rPr>
            </w:pPr>
            <w:r w:rsidRPr="00CD0236">
              <w:rPr>
                <w:b/>
                <w:sz w:val="20"/>
                <w:szCs w:val="20"/>
              </w:rPr>
              <w:t>Określenie czasu leczenia w programie</w:t>
            </w:r>
            <w:r w:rsidR="00A8669E" w:rsidRPr="00CD0236">
              <w:rPr>
                <w:b/>
                <w:sz w:val="20"/>
                <w:szCs w:val="20"/>
              </w:rPr>
              <w:t>:</w:t>
            </w:r>
          </w:p>
          <w:p w:rsidR="00001C99" w:rsidRDefault="007B2C52" w:rsidP="0009183D">
            <w:pPr>
              <w:autoSpaceDE w:val="0"/>
              <w:autoSpaceDN w:val="0"/>
              <w:adjustRightInd w:val="0"/>
              <w:spacing w:line="276" w:lineRule="auto"/>
              <w:rPr>
                <w:sz w:val="20"/>
                <w:szCs w:val="20"/>
              </w:rPr>
            </w:pPr>
            <w:r w:rsidRPr="00EF52C7">
              <w:rPr>
                <w:sz w:val="20"/>
                <w:szCs w:val="20"/>
              </w:rPr>
              <w:t>Czas leczenia w programie określa lekarz na podstawie kryteriów wyłączenia</w:t>
            </w:r>
            <w:r>
              <w:rPr>
                <w:sz w:val="20"/>
                <w:szCs w:val="20"/>
              </w:rPr>
              <w:t>.</w:t>
            </w:r>
          </w:p>
          <w:p w:rsidR="00BD71B6" w:rsidRPr="00014BBB" w:rsidRDefault="002E3866" w:rsidP="005F2228">
            <w:pPr>
              <w:numPr>
                <w:ilvl w:val="0"/>
                <w:numId w:val="6"/>
              </w:numPr>
              <w:autoSpaceDE w:val="0"/>
              <w:autoSpaceDN w:val="0"/>
              <w:adjustRightInd w:val="0"/>
              <w:spacing w:before="240" w:after="120" w:line="276" w:lineRule="auto"/>
              <w:ind w:left="284" w:hanging="284"/>
              <w:rPr>
                <w:b/>
                <w:bCs/>
                <w:sz w:val="20"/>
                <w:szCs w:val="20"/>
              </w:rPr>
            </w:pPr>
            <w:r w:rsidRPr="00014BBB">
              <w:rPr>
                <w:b/>
                <w:bCs/>
                <w:sz w:val="20"/>
                <w:szCs w:val="20"/>
              </w:rPr>
              <w:t xml:space="preserve">Kryteria wyłączenia z </w:t>
            </w:r>
            <w:r w:rsidR="009E3788" w:rsidRPr="00014BBB">
              <w:rPr>
                <w:b/>
                <w:bCs/>
                <w:sz w:val="20"/>
                <w:szCs w:val="20"/>
              </w:rPr>
              <w:t>programu</w:t>
            </w:r>
            <w:r w:rsidR="004C75C0" w:rsidRPr="00014BBB">
              <w:rPr>
                <w:b/>
                <w:bCs/>
                <w:sz w:val="20"/>
                <w:szCs w:val="20"/>
              </w:rPr>
              <w:t>:</w:t>
            </w:r>
          </w:p>
          <w:p w:rsidR="00910A7F" w:rsidRPr="00014BBB" w:rsidRDefault="00910A7F" w:rsidP="005F2228">
            <w:pPr>
              <w:pStyle w:val="Akapitzlist"/>
              <w:numPr>
                <w:ilvl w:val="0"/>
                <w:numId w:val="3"/>
              </w:numPr>
              <w:autoSpaceDE w:val="0"/>
              <w:autoSpaceDN w:val="0"/>
              <w:adjustRightInd w:val="0"/>
              <w:spacing w:line="276" w:lineRule="auto"/>
              <w:ind w:left="489" w:hanging="307"/>
            </w:pPr>
            <w:r w:rsidRPr="00014BBB">
              <w:rPr>
                <w:sz w:val="20"/>
                <w:szCs w:val="20"/>
              </w:rPr>
              <w:t>nieakceptowalna toksyczność;</w:t>
            </w:r>
          </w:p>
          <w:p w:rsidR="001C600E" w:rsidRPr="00014BBB" w:rsidRDefault="00455021" w:rsidP="005F2228">
            <w:pPr>
              <w:pStyle w:val="Akapitzlist"/>
              <w:numPr>
                <w:ilvl w:val="0"/>
                <w:numId w:val="3"/>
              </w:numPr>
              <w:autoSpaceDE w:val="0"/>
              <w:autoSpaceDN w:val="0"/>
              <w:adjustRightInd w:val="0"/>
              <w:spacing w:line="276" w:lineRule="auto"/>
              <w:ind w:left="489" w:hanging="307"/>
              <w:rPr>
                <w:sz w:val="20"/>
                <w:szCs w:val="20"/>
              </w:rPr>
            </w:pPr>
            <w:r w:rsidRPr="00014BBB">
              <w:rPr>
                <w:sz w:val="20"/>
                <w:szCs w:val="20"/>
              </w:rPr>
              <w:t>progresja choroby w trakcie leczenia</w:t>
            </w:r>
            <w:r w:rsidR="00790B0C" w:rsidRPr="00014BBB">
              <w:rPr>
                <w:sz w:val="20"/>
                <w:szCs w:val="20"/>
              </w:rPr>
              <w:t>;</w:t>
            </w:r>
          </w:p>
          <w:p w:rsidR="001C600E" w:rsidRPr="00014BBB" w:rsidRDefault="00455021" w:rsidP="005F2228">
            <w:pPr>
              <w:pStyle w:val="Akapitzlist"/>
              <w:numPr>
                <w:ilvl w:val="0"/>
                <w:numId w:val="3"/>
              </w:numPr>
              <w:autoSpaceDE w:val="0"/>
              <w:autoSpaceDN w:val="0"/>
              <w:adjustRightInd w:val="0"/>
              <w:spacing w:line="276" w:lineRule="auto"/>
              <w:ind w:left="489" w:hanging="307"/>
              <w:rPr>
                <w:sz w:val="20"/>
                <w:szCs w:val="20"/>
              </w:rPr>
            </w:pPr>
            <w:r w:rsidRPr="00014BBB">
              <w:rPr>
                <w:sz w:val="20"/>
                <w:szCs w:val="20"/>
              </w:rPr>
              <w:t>ciąża</w:t>
            </w:r>
            <w:r w:rsidR="00BF76F5" w:rsidRPr="00014BBB">
              <w:rPr>
                <w:sz w:val="20"/>
                <w:szCs w:val="20"/>
              </w:rPr>
              <w:t xml:space="preserve"> lub karmienie piersią;</w:t>
            </w:r>
          </w:p>
          <w:p w:rsidR="007B2C52" w:rsidRPr="00972A12" w:rsidRDefault="007B2C52" w:rsidP="005F2228">
            <w:pPr>
              <w:pStyle w:val="Akapitzlist"/>
              <w:numPr>
                <w:ilvl w:val="0"/>
                <w:numId w:val="3"/>
              </w:numPr>
              <w:autoSpaceDE w:val="0"/>
              <w:autoSpaceDN w:val="0"/>
              <w:adjustRightInd w:val="0"/>
              <w:spacing w:line="276" w:lineRule="auto"/>
              <w:ind w:left="489" w:hanging="307"/>
              <w:rPr>
                <w:sz w:val="20"/>
                <w:szCs w:val="20"/>
              </w:rPr>
            </w:pPr>
            <w:r w:rsidRPr="00014BBB">
              <w:rPr>
                <w:sz w:val="20"/>
                <w:szCs w:val="20"/>
              </w:rPr>
              <w:t>rezygnacja pacjenta.</w:t>
            </w:r>
          </w:p>
        </w:tc>
        <w:tc>
          <w:tcPr>
            <w:tcW w:w="1460" w:type="pct"/>
            <w:tcBorders>
              <w:top w:val="single" w:sz="6" w:space="0" w:color="auto"/>
              <w:left w:val="single" w:sz="6" w:space="0" w:color="auto"/>
              <w:bottom w:val="single" w:sz="6" w:space="0" w:color="auto"/>
              <w:right w:val="single" w:sz="6" w:space="0" w:color="auto"/>
            </w:tcBorders>
          </w:tcPr>
          <w:p w:rsidR="00341316" w:rsidRDefault="00341316" w:rsidP="00EF1F15">
            <w:pPr>
              <w:autoSpaceDE w:val="0"/>
              <w:autoSpaceDN w:val="0"/>
              <w:adjustRightInd w:val="0"/>
              <w:spacing w:line="276" w:lineRule="auto"/>
              <w:rPr>
                <w:b/>
                <w:sz w:val="20"/>
                <w:szCs w:val="20"/>
              </w:rPr>
            </w:pPr>
            <w:r w:rsidRPr="00CD0236">
              <w:rPr>
                <w:b/>
                <w:sz w:val="20"/>
                <w:szCs w:val="20"/>
              </w:rPr>
              <w:lastRenderedPageBreak/>
              <w:t xml:space="preserve">Dawkowanie </w:t>
            </w:r>
            <w:proofErr w:type="spellStart"/>
            <w:r w:rsidR="00F6545E">
              <w:rPr>
                <w:b/>
                <w:sz w:val="20"/>
                <w:szCs w:val="20"/>
              </w:rPr>
              <w:t>wenetoklaksu</w:t>
            </w:r>
            <w:proofErr w:type="spellEnd"/>
            <w:r w:rsidRPr="00CD0236">
              <w:rPr>
                <w:b/>
                <w:sz w:val="20"/>
                <w:szCs w:val="20"/>
              </w:rPr>
              <w:t>:</w:t>
            </w:r>
          </w:p>
          <w:p w:rsidR="00910A7F" w:rsidRPr="00910A7F" w:rsidRDefault="00956117" w:rsidP="00831B44">
            <w:pPr>
              <w:autoSpaceDE w:val="0"/>
              <w:autoSpaceDN w:val="0"/>
              <w:adjustRightInd w:val="0"/>
              <w:spacing w:line="276" w:lineRule="auto"/>
              <w:jc w:val="both"/>
              <w:rPr>
                <w:sz w:val="20"/>
                <w:szCs w:val="20"/>
              </w:rPr>
            </w:pPr>
            <w:r>
              <w:rPr>
                <w:sz w:val="20"/>
                <w:szCs w:val="20"/>
              </w:rPr>
              <w:t xml:space="preserve">Dawka początkowa wynosi 20 mg </w:t>
            </w:r>
            <w:proofErr w:type="spellStart"/>
            <w:r>
              <w:rPr>
                <w:sz w:val="20"/>
                <w:szCs w:val="20"/>
              </w:rPr>
              <w:t>wenetoklaksu</w:t>
            </w:r>
            <w:proofErr w:type="spellEnd"/>
            <w:r>
              <w:rPr>
                <w:sz w:val="20"/>
                <w:szCs w:val="20"/>
              </w:rPr>
              <w:t xml:space="preserve"> raz na dobę przez 7 dni. Dawkę należy stopniowo zwiększać przez okres 5 tygodni</w:t>
            </w:r>
            <w:bookmarkStart w:id="0" w:name="_GoBack"/>
            <w:bookmarkEnd w:id="0"/>
            <w:r>
              <w:rPr>
                <w:sz w:val="20"/>
                <w:szCs w:val="20"/>
              </w:rPr>
              <w:t xml:space="preserve"> aż do osiągnięcia zalecanej dawki dobowej 400 mg</w:t>
            </w:r>
            <w:r w:rsidR="00D41EF0">
              <w:rPr>
                <w:sz w:val="20"/>
                <w:szCs w:val="20"/>
              </w:rPr>
              <w:t xml:space="preserve"> wg poniższego schematu:</w:t>
            </w:r>
            <w:r>
              <w:rPr>
                <w:sz w:val="20"/>
                <w:szCs w:val="20"/>
              </w:rPr>
              <w:t>:</w:t>
            </w:r>
          </w:p>
          <w:p w:rsidR="009E3788" w:rsidRDefault="00775D67" w:rsidP="005F2228">
            <w:pPr>
              <w:numPr>
                <w:ilvl w:val="0"/>
                <w:numId w:val="7"/>
              </w:numPr>
              <w:autoSpaceDE w:val="0"/>
              <w:autoSpaceDN w:val="0"/>
              <w:adjustRightInd w:val="0"/>
              <w:spacing w:line="276" w:lineRule="auto"/>
              <w:ind w:left="354" w:hanging="284"/>
              <w:rPr>
                <w:b/>
                <w:sz w:val="20"/>
                <w:szCs w:val="20"/>
              </w:rPr>
            </w:pPr>
            <w:r>
              <w:rPr>
                <w:b/>
                <w:sz w:val="20"/>
                <w:szCs w:val="20"/>
              </w:rPr>
              <w:t>T</w:t>
            </w:r>
            <w:r w:rsidR="00910A7F">
              <w:rPr>
                <w:b/>
                <w:sz w:val="20"/>
                <w:szCs w:val="20"/>
              </w:rPr>
              <w:t>ydzień 1</w:t>
            </w:r>
          </w:p>
          <w:p w:rsidR="009E3788" w:rsidRPr="009E3788" w:rsidRDefault="009E3788" w:rsidP="008B409B">
            <w:pPr>
              <w:autoSpaceDE w:val="0"/>
              <w:autoSpaceDN w:val="0"/>
              <w:adjustRightInd w:val="0"/>
              <w:spacing w:line="276" w:lineRule="auto"/>
              <w:rPr>
                <w:sz w:val="20"/>
                <w:szCs w:val="20"/>
              </w:rPr>
            </w:pPr>
            <w:r w:rsidRPr="009E3788">
              <w:rPr>
                <w:sz w:val="20"/>
                <w:szCs w:val="20"/>
              </w:rPr>
              <w:t xml:space="preserve">Zalecaną dawkę </w:t>
            </w:r>
            <w:proofErr w:type="spellStart"/>
            <w:r w:rsidR="008B409B">
              <w:rPr>
                <w:sz w:val="20"/>
                <w:szCs w:val="20"/>
              </w:rPr>
              <w:t>wenetoklaksu</w:t>
            </w:r>
            <w:proofErr w:type="spellEnd"/>
            <w:r w:rsidR="008B409B">
              <w:rPr>
                <w:sz w:val="20"/>
                <w:szCs w:val="20"/>
              </w:rPr>
              <w:t>– doustnie</w:t>
            </w:r>
            <w:r w:rsidR="00D41EF0">
              <w:rPr>
                <w:sz w:val="20"/>
                <w:szCs w:val="20"/>
              </w:rPr>
              <w:t xml:space="preserve"> </w:t>
            </w:r>
            <w:r w:rsidR="008B409B">
              <w:rPr>
                <w:sz w:val="20"/>
                <w:szCs w:val="20"/>
              </w:rPr>
              <w:t xml:space="preserve">20 </w:t>
            </w:r>
            <w:r w:rsidRPr="009E3788">
              <w:rPr>
                <w:sz w:val="20"/>
                <w:szCs w:val="20"/>
              </w:rPr>
              <w:t xml:space="preserve">mg </w:t>
            </w:r>
            <w:r w:rsidR="008B409B">
              <w:rPr>
                <w:sz w:val="20"/>
                <w:szCs w:val="20"/>
              </w:rPr>
              <w:t>na dobę w jednej dawce.</w:t>
            </w:r>
          </w:p>
          <w:p w:rsidR="009E3788" w:rsidRDefault="00775D67" w:rsidP="005F2228">
            <w:pPr>
              <w:numPr>
                <w:ilvl w:val="0"/>
                <w:numId w:val="7"/>
              </w:numPr>
              <w:autoSpaceDE w:val="0"/>
              <w:autoSpaceDN w:val="0"/>
              <w:adjustRightInd w:val="0"/>
              <w:spacing w:line="276" w:lineRule="auto"/>
              <w:ind w:left="354" w:hanging="284"/>
              <w:rPr>
                <w:b/>
                <w:sz w:val="20"/>
                <w:szCs w:val="20"/>
              </w:rPr>
            </w:pPr>
            <w:r>
              <w:rPr>
                <w:b/>
                <w:sz w:val="20"/>
                <w:szCs w:val="20"/>
              </w:rPr>
              <w:t>T</w:t>
            </w:r>
            <w:r w:rsidR="00910A7F">
              <w:rPr>
                <w:b/>
                <w:sz w:val="20"/>
                <w:szCs w:val="20"/>
              </w:rPr>
              <w:t>ydzień</w:t>
            </w:r>
            <w:r w:rsidR="008B409B">
              <w:rPr>
                <w:b/>
                <w:sz w:val="20"/>
                <w:szCs w:val="20"/>
              </w:rPr>
              <w:t>2</w:t>
            </w:r>
          </w:p>
          <w:p w:rsidR="008B409B" w:rsidRDefault="008B409B" w:rsidP="008B409B">
            <w:pPr>
              <w:autoSpaceDE w:val="0"/>
              <w:autoSpaceDN w:val="0"/>
              <w:adjustRightInd w:val="0"/>
              <w:spacing w:line="276" w:lineRule="auto"/>
              <w:rPr>
                <w:sz w:val="20"/>
                <w:szCs w:val="20"/>
              </w:rPr>
            </w:pPr>
            <w:r w:rsidRPr="009E3788">
              <w:rPr>
                <w:sz w:val="20"/>
                <w:szCs w:val="20"/>
              </w:rPr>
              <w:t xml:space="preserve">Zalecaną dawkę </w:t>
            </w:r>
            <w:proofErr w:type="spellStart"/>
            <w:r>
              <w:rPr>
                <w:sz w:val="20"/>
                <w:szCs w:val="20"/>
              </w:rPr>
              <w:t>wenetoklaksu</w:t>
            </w:r>
            <w:proofErr w:type="spellEnd"/>
            <w:r>
              <w:rPr>
                <w:sz w:val="20"/>
                <w:szCs w:val="20"/>
              </w:rPr>
              <w:t>– doustnie</w:t>
            </w:r>
            <w:r w:rsidR="00D41EF0">
              <w:rPr>
                <w:sz w:val="20"/>
                <w:szCs w:val="20"/>
              </w:rPr>
              <w:t xml:space="preserve"> </w:t>
            </w:r>
            <w:r>
              <w:rPr>
                <w:sz w:val="20"/>
                <w:szCs w:val="20"/>
              </w:rPr>
              <w:t xml:space="preserve">50 </w:t>
            </w:r>
            <w:r w:rsidRPr="009E3788">
              <w:rPr>
                <w:sz w:val="20"/>
                <w:szCs w:val="20"/>
              </w:rPr>
              <w:t xml:space="preserve">mg </w:t>
            </w:r>
            <w:r>
              <w:rPr>
                <w:sz w:val="20"/>
                <w:szCs w:val="20"/>
              </w:rPr>
              <w:t>na dobę w jednej dawce.</w:t>
            </w:r>
          </w:p>
          <w:p w:rsidR="000D570F" w:rsidRPr="008B409B" w:rsidRDefault="00775D67" w:rsidP="005F2228">
            <w:pPr>
              <w:numPr>
                <w:ilvl w:val="0"/>
                <w:numId w:val="7"/>
              </w:numPr>
              <w:autoSpaceDE w:val="0"/>
              <w:autoSpaceDN w:val="0"/>
              <w:adjustRightInd w:val="0"/>
              <w:spacing w:line="276" w:lineRule="auto"/>
              <w:ind w:left="354" w:hanging="284"/>
              <w:rPr>
                <w:b/>
                <w:sz w:val="20"/>
                <w:szCs w:val="20"/>
              </w:rPr>
            </w:pPr>
            <w:r>
              <w:rPr>
                <w:b/>
                <w:sz w:val="20"/>
                <w:szCs w:val="20"/>
              </w:rPr>
              <w:t>T</w:t>
            </w:r>
            <w:r w:rsidR="00910A7F">
              <w:rPr>
                <w:b/>
                <w:sz w:val="20"/>
                <w:szCs w:val="20"/>
              </w:rPr>
              <w:t>ydzień</w:t>
            </w:r>
            <w:r w:rsidR="008B409B" w:rsidRPr="008B409B">
              <w:rPr>
                <w:b/>
                <w:sz w:val="20"/>
                <w:szCs w:val="20"/>
              </w:rPr>
              <w:t xml:space="preserve"> 3</w:t>
            </w:r>
          </w:p>
          <w:p w:rsidR="008B409B" w:rsidRDefault="008B409B" w:rsidP="008B409B">
            <w:pPr>
              <w:autoSpaceDE w:val="0"/>
              <w:autoSpaceDN w:val="0"/>
              <w:adjustRightInd w:val="0"/>
              <w:spacing w:line="276" w:lineRule="auto"/>
              <w:rPr>
                <w:sz w:val="20"/>
                <w:szCs w:val="20"/>
              </w:rPr>
            </w:pPr>
            <w:r w:rsidRPr="009E3788">
              <w:rPr>
                <w:sz w:val="20"/>
                <w:szCs w:val="20"/>
              </w:rPr>
              <w:t xml:space="preserve">Zalecaną dawkę </w:t>
            </w:r>
            <w:proofErr w:type="spellStart"/>
            <w:r>
              <w:rPr>
                <w:sz w:val="20"/>
                <w:szCs w:val="20"/>
              </w:rPr>
              <w:t>wenetoklaksu</w:t>
            </w:r>
            <w:proofErr w:type="spellEnd"/>
            <w:r>
              <w:rPr>
                <w:sz w:val="20"/>
                <w:szCs w:val="20"/>
              </w:rPr>
              <w:t>– doustnie</w:t>
            </w:r>
            <w:r w:rsidR="00D41EF0">
              <w:rPr>
                <w:sz w:val="20"/>
                <w:szCs w:val="20"/>
              </w:rPr>
              <w:t xml:space="preserve"> </w:t>
            </w:r>
            <w:r w:rsidR="00F555F7">
              <w:rPr>
                <w:sz w:val="20"/>
                <w:szCs w:val="20"/>
              </w:rPr>
              <w:t>10</w:t>
            </w:r>
            <w:r>
              <w:rPr>
                <w:sz w:val="20"/>
                <w:szCs w:val="20"/>
              </w:rPr>
              <w:t xml:space="preserve">0 </w:t>
            </w:r>
            <w:r w:rsidRPr="009E3788">
              <w:rPr>
                <w:sz w:val="20"/>
                <w:szCs w:val="20"/>
              </w:rPr>
              <w:t xml:space="preserve">mg </w:t>
            </w:r>
            <w:r>
              <w:rPr>
                <w:sz w:val="20"/>
                <w:szCs w:val="20"/>
              </w:rPr>
              <w:t>na dobę w jednej dawce.</w:t>
            </w:r>
          </w:p>
          <w:p w:rsidR="008B409B" w:rsidRPr="008B409B" w:rsidRDefault="00775D67" w:rsidP="005F2228">
            <w:pPr>
              <w:numPr>
                <w:ilvl w:val="0"/>
                <w:numId w:val="7"/>
              </w:numPr>
              <w:autoSpaceDE w:val="0"/>
              <w:autoSpaceDN w:val="0"/>
              <w:adjustRightInd w:val="0"/>
              <w:spacing w:line="276" w:lineRule="auto"/>
              <w:ind w:left="354" w:hanging="284"/>
              <w:rPr>
                <w:b/>
                <w:sz w:val="20"/>
                <w:szCs w:val="20"/>
              </w:rPr>
            </w:pPr>
            <w:r>
              <w:rPr>
                <w:b/>
                <w:sz w:val="20"/>
                <w:szCs w:val="20"/>
              </w:rPr>
              <w:t>T</w:t>
            </w:r>
            <w:r w:rsidR="00910A7F">
              <w:rPr>
                <w:b/>
                <w:sz w:val="20"/>
                <w:szCs w:val="20"/>
              </w:rPr>
              <w:t>ydzień</w:t>
            </w:r>
            <w:r w:rsidR="008B409B" w:rsidRPr="008B409B">
              <w:rPr>
                <w:b/>
                <w:sz w:val="20"/>
                <w:szCs w:val="20"/>
              </w:rPr>
              <w:t xml:space="preserve"> 4</w:t>
            </w:r>
          </w:p>
          <w:p w:rsidR="008B409B" w:rsidRDefault="008B409B" w:rsidP="008B409B">
            <w:pPr>
              <w:autoSpaceDE w:val="0"/>
              <w:autoSpaceDN w:val="0"/>
              <w:adjustRightInd w:val="0"/>
              <w:spacing w:line="276" w:lineRule="auto"/>
              <w:rPr>
                <w:sz w:val="20"/>
                <w:szCs w:val="20"/>
              </w:rPr>
            </w:pPr>
            <w:r w:rsidRPr="009E3788">
              <w:rPr>
                <w:sz w:val="20"/>
                <w:szCs w:val="20"/>
              </w:rPr>
              <w:t xml:space="preserve">Zalecaną dawkę </w:t>
            </w:r>
            <w:proofErr w:type="spellStart"/>
            <w:r>
              <w:rPr>
                <w:sz w:val="20"/>
                <w:szCs w:val="20"/>
              </w:rPr>
              <w:t>wenetoklaksu</w:t>
            </w:r>
            <w:proofErr w:type="spellEnd"/>
            <w:r>
              <w:rPr>
                <w:sz w:val="20"/>
                <w:szCs w:val="20"/>
              </w:rPr>
              <w:t>– doustnie</w:t>
            </w:r>
            <w:r w:rsidR="00D41EF0">
              <w:rPr>
                <w:sz w:val="20"/>
                <w:szCs w:val="20"/>
              </w:rPr>
              <w:t xml:space="preserve"> </w:t>
            </w:r>
            <w:r w:rsidR="00F555F7">
              <w:rPr>
                <w:sz w:val="20"/>
                <w:szCs w:val="20"/>
              </w:rPr>
              <w:t>200</w:t>
            </w:r>
            <w:r w:rsidRPr="009E3788">
              <w:rPr>
                <w:sz w:val="20"/>
                <w:szCs w:val="20"/>
              </w:rPr>
              <w:t xml:space="preserve">mg </w:t>
            </w:r>
            <w:r>
              <w:rPr>
                <w:sz w:val="20"/>
                <w:szCs w:val="20"/>
              </w:rPr>
              <w:t>na dobę w jednej dawce.</w:t>
            </w:r>
          </w:p>
          <w:p w:rsidR="008B409B" w:rsidRPr="008B409B" w:rsidRDefault="00775D67" w:rsidP="005F2228">
            <w:pPr>
              <w:numPr>
                <w:ilvl w:val="0"/>
                <w:numId w:val="7"/>
              </w:numPr>
              <w:autoSpaceDE w:val="0"/>
              <w:autoSpaceDN w:val="0"/>
              <w:adjustRightInd w:val="0"/>
              <w:spacing w:line="276" w:lineRule="auto"/>
              <w:ind w:left="354" w:hanging="284"/>
              <w:rPr>
                <w:b/>
                <w:sz w:val="20"/>
                <w:szCs w:val="20"/>
              </w:rPr>
            </w:pPr>
            <w:r>
              <w:rPr>
                <w:b/>
                <w:sz w:val="20"/>
                <w:szCs w:val="20"/>
              </w:rPr>
              <w:t>T</w:t>
            </w:r>
            <w:r w:rsidR="00910A7F">
              <w:rPr>
                <w:b/>
                <w:sz w:val="20"/>
                <w:szCs w:val="20"/>
              </w:rPr>
              <w:t>ydzień</w:t>
            </w:r>
            <w:r w:rsidR="008B409B" w:rsidRPr="008B409B">
              <w:rPr>
                <w:b/>
                <w:sz w:val="20"/>
                <w:szCs w:val="20"/>
              </w:rPr>
              <w:t xml:space="preserve"> 5</w:t>
            </w:r>
            <w:r w:rsidR="008B409B">
              <w:rPr>
                <w:b/>
                <w:sz w:val="20"/>
                <w:szCs w:val="20"/>
              </w:rPr>
              <w:t xml:space="preserve"> i kolejne</w:t>
            </w:r>
          </w:p>
          <w:p w:rsidR="008B409B" w:rsidRDefault="008B409B" w:rsidP="008B409B">
            <w:pPr>
              <w:autoSpaceDE w:val="0"/>
              <w:autoSpaceDN w:val="0"/>
              <w:adjustRightInd w:val="0"/>
              <w:spacing w:line="276" w:lineRule="auto"/>
              <w:rPr>
                <w:sz w:val="20"/>
                <w:szCs w:val="20"/>
              </w:rPr>
            </w:pPr>
            <w:r w:rsidRPr="009E3788">
              <w:rPr>
                <w:sz w:val="20"/>
                <w:szCs w:val="20"/>
              </w:rPr>
              <w:t xml:space="preserve">Zalecaną dawkę </w:t>
            </w:r>
            <w:proofErr w:type="spellStart"/>
            <w:r>
              <w:rPr>
                <w:sz w:val="20"/>
                <w:szCs w:val="20"/>
              </w:rPr>
              <w:t>wenetoklaksu</w:t>
            </w:r>
            <w:proofErr w:type="spellEnd"/>
            <w:r>
              <w:rPr>
                <w:sz w:val="20"/>
                <w:szCs w:val="20"/>
              </w:rPr>
              <w:t>– doustnie</w:t>
            </w:r>
            <w:r w:rsidR="00D41EF0">
              <w:rPr>
                <w:sz w:val="20"/>
                <w:szCs w:val="20"/>
              </w:rPr>
              <w:t xml:space="preserve"> </w:t>
            </w:r>
            <w:r w:rsidR="00F555F7">
              <w:rPr>
                <w:sz w:val="20"/>
                <w:szCs w:val="20"/>
              </w:rPr>
              <w:t>40</w:t>
            </w:r>
            <w:r>
              <w:rPr>
                <w:sz w:val="20"/>
                <w:szCs w:val="20"/>
              </w:rPr>
              <w:t xml:space="preserve">0 </w:t>
            </w:r>
            <w:r w:rsidRPr="009E3788">
              <w:rPr>
                <w:sz w:val="20"/>
                <w:szCs w:val="20"/>
              </w:rPr>
              <w:t xml:space="preserve">mg </w:t>
            </w:r>
            <w:r>
              <w:rPr>
                <w:sz w:val="20"/>
                <w:szCs w:val="20"/>
              </w:rPr>
              <w:t>na dobę w jednej dawce.</w:t>
            </w:r>
          </w:p>
          <w:p w:rsidR="008B409B" w:rsidRPr="00151C39" w:rsidRDefault="008B409B" w:rsidP="008B409B">
            <w:pPr>
              <w:autoSpaceDE w:val="0"/>
              <w:autoSpaceDN w:val="0"/>
              <w:adjustRightInd w:val="0"/>
              <w:spacing w:line="276" w:lineRule="auto"/>
              <w:rPr>
                <w:sz w:val="8"/>
                <w:szCs w:val="20"/>
              </w:rPr>
            </w:pPr>
          </w:p>
          <w:p w:rsidR="00DB2CE9" w:rsidRDefault="00DB2CE9" w:rsidP="007138CA">
            <w:pPr>
              <w:autoSpaceDE w:val="0"/>
              <w:autoSpaceDN w:val="0"/>
              <w:adjustRightInd w:val="0"/>
              <w:spacing w:line="276" w:lineRule="auto"/>
              <w:rPr>
                <w:sz w:val="20"/>
                <w:szCs w:val="20"/>
              </w:rPr>
            </w:pPr>
            <w:r>
              <w:rPr>
                <w:sz w:val="20"/>
                <w:szCs w:val="20"/>
              </w:rPr>
              <w:t xml:space="preserve">Dopuszcza się </w:t>
            </w:r>
            <w:r w:rsidR="002226DF">
              <w:rPr>
                <w:sz w:val="20"/>
                <w:szCs w:val="20"/>
              </w:rPr>
              <w:t xml:space="preserve">modyfikacje </w:t>
            </w:r>
            <w:r>
              <w:rPr>
                <w:sz w:val="20"/>
                <w:szCs w:val="20"/>
              </w:rPr>
              <w:t>dawkowania zgodnie z Charakterystyką Produktu Leczniczego.</w:t>
            </w:r>
          </w:p>
          <w:p w:rsidR="00B22E20" w:rsidRPr="00151C39" w:rsidRDefault="00B22E20" w:rsidP="007138CA">
            <w:pPr>
              <w:autoSpaceDE w:val="0"/>
              <w:autoSpaceDN w:val="0"/>
              <w:adjustRightInd w:val="0"/>
              <w:spacing w:line="276" w:lineRule="auto"/>
              <w:rPr>
                <w:sz w:val="6"/>
                <w:szCs w:val="20"/>
              </w:rPr>
            </w:pPr>
          </w:p>
          <w:p w:rsidR="000C7DDF" w:rsidRDefault="00F87303" w:rsidP="00640244">
            <w:pPr>
              <w:autoSpaceDE w:val="0"/>
              <w:autoSpaceDN w:val="0"/>
              <w:adjustRightInd w:val="0"/>
              <w:spacing w:line="276" w:lineRule="auto"/>
              <w:rPr>
                <w:sz w:val="20"/>
                <w:szCs w:val="20"/>
              </w:rPr>
            </w:pPr>
            <w:r>
              <w:rPr>
                <w:sz w:val="20"/>
                <w:szCs w:val="20"/>
              </w:rPr>
              <w:t xml:space="preserve">Przed rozpoczęciem leczenia </w:t>
            </w:r>
            <w:proofErr w:type="spellStart"/>
            <w:r>
              <w:rPr>
                <w:sz w:val="20"/>
                <w:szCs w:val="20"/>
              </w:rPr>
              <w:t>wenetoklaksem</w:t>
            </w:r>
            <w:proofErr w:type="spellEnd"/>
            <w:r>
              <w:rPr>
                <w:sz w:val="20"/>
                <w:szCs w:val="20"/>
              </w:rPr>
              <w:t xml:space="preserve"> należy dokonać oceny ryzyka zespołu rozpadu guza (TLS)</w:t>
            </w:r>
            <w:r w:rsidR="001663D7" w:rsidRPr="001663D7">
              <w:rPr>
                <w:sz w:val="20"/>
                <w:szCs w:val="20"/>
              </w:rPr>
              <w:t xml:space="preserve">. </w:t>
            </w:r>
          </w:p>
          <w:p w:rsidR="000C7DDF" w:rsidRPr="00151C39" w:rsidRDefault="000C7DDF" w:rsidP="000C7DDF">
            <w:pPr>
              <w:autoSpaceDE w:val="0"/>
              <w:autoSpaceDN w:val="0"/>
              <w:adjustRightInd w:val="0"/>
              <w:spacing w:line="276" w:lineRule="auto"/>
              <w:rPr>
                <w:sz w:val="8"/>
                <w:szCs w:val="20"/>
              </w:rPr>
            </w:pPr>
          </w:p>
          <w:p w:rsidR="000C7DDF" w:rsidRPr="008B409B" w:rsidRDefault="00A501C1" w:rsidP="00831B44">
            <w:pPr>
              <w:autoSpaceDE w:val="0"/>
              <w:autoSpaceDN w:val="0"/>
              <w:adjustRightInd w:val="0"/>
              <w:spacing w:line="276" w:lineRule="auto"/>
              <w:jc w:val="both"/>
              <w:rPr>
                <w:sz w:val="20"/>
                <w:szCs w:val="20"/>
              </w:rPr>
            </w:pPr>
            <w:r w:rsidRPr="00A501C1">
              <w:rPr>
                <w:sz w:val="20"/>
                <w:szCs w:val="20"/>
              </w:rPr>
              <w:lastRenderedPageBreak/>
              <w:t xml:space="preserve">Na podstawie oceny lekarza, u niektórych pacjentów, zwłaszcza tych ze zwiększonym ryzykiem wystąpienia TLS może być konieczne leczenie szpitalne w dniu przyjęcia pierwszej dawki </w:t>
            </w:r>
            <w:proofErr w:type="spellStart"/>
            <w:r w:rsidRPr="00A501C1">
              <w:rPr>
                <w:sz w:val="20"/>
                <w:szCs w:val="20"/>
              </w:rPr>
              <w:t>wenetoklaksu</w:t>
            </w:r>
            <w:proofErr w:type="spellEnd"/>
            <w:r w:rsidRPr="00A501C1">
              <w:rPr>
                <w:sz w:val="20"/>
                <w:szCs w:val="20"/>
              </w:rPr>
              <w:t xml:space="preserve"> w celu intensywnej profilaktyki i monitorowania w ciągu pierwszych 24 godzin. Po powtórnej ocenie ryzyka należy rozważyć hospitalizację podczas kolejnego zwiększania dawki.</w:t>
            </w:r>
          </w:p>
        </w:tc>
        <w:tc>
          <w:tcPr>
            <w:tcW w:w="1830" w:type="pct"/>
            <w:tcBorders>
              <w:top w:val="single" w:sz="6" w:space="0" w:color="auto"/>
              <w:left w:val="single" w:sz="6" w:space="0" w:color="auto"/>
              <w:bottom w:val="single" w:sz="6" w:space="0" w:color="auto"/>
              <w:right w:val="single" w:sz="6" w:space="0" w:color="auto"/>
            </w:tcBorders>
          </w:tcPr>
          <w:p w:rsidR="001C600E" w:rsidRPr="00F441C9" w:rsidRDefault="001C600E" w:rsidP="005F2228">
            <w:pPr>
              <w:numPr>
                <w:ilvl w:val="0"/>
                <w:numId w:val="5"/>
              </w:numPr>
              <w:autoSpaceDE w:val="0"/>
              <w:autoSpaceDN w:val="0"/>
              <w:adjustRightInd w:val="0"/>
              <w:spacing w:after="120" w:line="276" w:lineRule="auto"/>
              <w:ind w:left="294" w:hanging="266"/>
              <w:rPr>
                <w:b/>
                <w:sz w:val="20"/>
                <w:szCs w:val="20"/>
              </w:rPr>
            </w:pPr>
            <w:r w:rsidRPr="00F441C9">
              <w:rPr>
                <w:b/>
                <w:bCs/>
                <w:sz w:val="20"/>
                <w:szCs w:val="20"/>
              </w:rPr>
              <w:lastRenderedPageBreak/>
              <w:t>Badania przy kwalifikacji</w:t>
            </w:r>
          </w:p>
          <w:p w:rsidR="009E3788" w:rsidRDefault="00F441C9" w:rsidP="005F2228">
            <w:pPr>
              <w:numPr>
                <w:ilvl w:val="0"/>
                <w:numId w:val="4"/>
              </w:numPr>
              <w:autoSpaceDE w:val="0"/>
              <w:autoSpaceDN w:val="0"/>
              <w:adjustRightInd w:val="0"/>
              <w:spacing w:line="276" w:lineRule="auto"/>
              <w:ind w:left="496" w:hanging="425"/>
              <w:rPr>
                <w:bCs/>
                <w:sz w:val="20"/>
                <w:szCs w:val="20"/>
              </w:rPr>
            </w:pPr>
            <w:r w:rsidRPr="009E3788">
              <w:rPr>
                <w:bCs/>
                <w:sz w:val="20"/>
                <w:szCs w:val="20"/>
              </w:rPr>
              <w:t>B</w:t>
            </w:r>
            <w:r w:rsidR="001C600E" w:rsidRPr="009E3788">
              <w:rPr>
                <w:bCs/>
                <w:sz w:val="20"/>
                <w:szCs w:val="20"/>
              </w:rPr>
              <w:t xml:space="preserve">adania </w:t>
            </w:r>
            <w:r w:rsidR="009E3788" w:rsidRPr="009E3788">
              <w:rPr>
                <w:bCs/>
                <w:sz w:val="20"/>
                <w:szCs w:val="20"/>
              </w:rPr>
              <w:t xml:space="preserve">niezbędne do ustalenia </w:t>
            </w:r>
            <w:r w:rsidR="00616F33">
              <w:rPr>
                <w:bCs/>
                <w:sz w:val="20"/>
                <w:szCs w:val="20"/>
              </w:rPr>
              <w:t xml:space="preserve">progresji </w:t>
            </w:r>
            <w:r w:rsidR="009E3788" w:rsidRPr="009E3788">
              <w:rPr>
                <w:sz w:val="20"/>
                <w:szCs w:val="20"/>
              </w:rPr>
              <w:t>przewlekłej białaczki limfocytowej,</w:t>
            </w:r>
            <w:r w:rsidR="009E3788" w:rsidRPr="009E3788">
              <w:rPr>
                <w:bCs/>
                <w:sz w:val="20"/>
                <w:szCs w:val="20"/>
              </w:rPr>
              <w:t xml:space="preserve"> o ile nie były wykonane wcześniej:</w:t>
            </w:r>
          </w:p>
          <w:p w:rsidR="00E5774D" w:rsidRDefault="00E5774D" w:rsidP="005F2228">
            <w:pPr>
              <w:numPr>
                <w:ilvl w:val="0"/>
                <w:numId w:val="8"/>
              </w:numPr>
              <w:autoSpaceDE w:val="0"/>
              <w:autoSpaceDN w:val="0"/>
              <w:adjustRightInd w:val="0"/>
              <w:spacing w:line="276" w:lineRule="auto"/>
              <w:ind w:left="638" w:hanging="278"/>
              <w:rPr>
                <w:bCs/>
                <w:sz w:val="20"/>
                <w:szCs w:val="20"/>
              </w:rPr>
            </w:pPr>
            <w:r>
              <w:rPr>
                <w:bCs/>
                <w:sz w:val="20"/>
                <w:szCs w:val="20"/>
              </w:rPr>
              <w:t>morfo</w:t>
            </w:r>
            <w:r w:rsidR="00406B79">
              <w:rPr>
                <w:bCs/>
                <w:sz w:val="20"/>
                <w:szCs w:val="20"/>
              </w:rPr>
              <w:t>logia krwi obwodowej z rozmazem;</w:t>
            </w:r>
          </w:p>
          <w:p w:rsidR="00B26313" w:rsidRDefault="00B26313" w:rsidP="005F2228">
            <w:pPr>
              <w:numPr>
                <w:ilvl w:val="0"/>
                <w:numId w:val="8"/>
              </w:numPr>
              <w:autoSpaceDE w:val="0"/>
              <w:autoSpaceDN w:val="0"/>
              <w:adjustRightInd w:val="0"/>
              <w:spacing w:line="276" w:lineRule="auto"/>
              <w:ind w:left="638" w:hanging="278"/>
              <w:rPr>
                <w:bCs/>
                <w:sz w:val="20"/>
                <w:szCs w:val="20"/>
              </w:rPr>
            </w:pPr>
            <w:r>
              <w:rPr>
                <w:bCs/>
                <w:sz w:val="20"/>
                <w:szCs w:val="20"/>
              </w:rPr>
              <w:t xml:space="preserve">badanie na obecność delecji 17p </w:t>
            </w:r>
            <w:r w:rsidR="00775D67">
              <w:rPr>
                <w:bCs/>
                <w:sz w:val="20"/>
                <w:szCs w:val="20"/>
              </w:rPr>
              <w:t>(opcjonalnie również</w:t>
            </w:r>
            <w:r>
              <w:rPr>
                <w:bCs/>
                <w:sz w:val="20"/>
                <w:szCs w:val="20"/>
              </w:rPr>
              <w:t xml:space="preserve"> mutacji </w:t>
            </w:r>
            <w:r w:rsidRPr="00CB1259">
              <w:rPr>
                <w:bCs/>
                <w:i/>
                <w:sz w:val="20"/>
                <w:szCs w:val="20"/>
              </w:rPr>
              <w:t>TP53</w:t>
            </w:r>
            <w:r w:rsidR="007138CA">
              <w:rPr>
                <w:bCs/>
                <w:sz w:val="20"/>
                <w:szCs w:val="20"/>
              </w:rPr>
              <w:t>)</w:t>
            </w:r>
            <w:r w:rsidR="00406B79">
              <w:rPr>
                <w:bCs/>
                <w:sz w:val="20"/>
                <w:szCs w:val="20"/>
              </w:rPr>
              <w:t>;</w:t>
            </w:r>
          </w:p>
          <w:p w:rsidR="009E3788" w:rsidRDefault="009E3788" w:rsidP="005F2228">
            <w:pPr>
              <w:numPr>
                <w:ilvl w:val="0"/>
                <w:numId w:val="8"/>
              </w:numPr>
              <w:autoSpaceDE w:val="0"/>
              <w:autoSpaceDN w:val="0"/>
              <w:adjustRightInd w:val="0"/>
              <w:spacing w:line="276" w:lineRule="auto"/>
              <w:ind w:left="638" w:hanging="278"/>
              <w:rPr>
                <w:bCs/>
                <w:sz w:val="20"/>
                <w:szCs w:val="20"/>
              </w:rPr>
            </w:pPr>
            <w:r w:rsidRPr="00242213">
              <w:rPr>
                <w:bCs/>
                <w:sz w:val="20"/>
                <w:szCs w:val="20"/>
              </w:rPr>
              <w:t xml:space="preserve">ocena wydolności nerek </w:t>
            </w:r>
            <w:r w:rsidR="00A40512" w:rsidRPr="00242213">
              <w:rPr>
                <w:bCs/>
                <w:sz w:val="20"/>
                <w:szCs w:val="20"/>
              </w:rPr>
              <w:t xml:space="preserve">i wątroby </w:t>
            </w:r>
            <w:r w:rsidRPr="00242213">
              <w:rPr>
                <w:bCs/>
                <w:sz w:val="20"/>
                <w:szCs w:val="20"/>
              </w:rPr>
              <w:t>(</w:t>
            </w:r>
            <w:r w:rsidR="00242213" w:rsidRPr="00242213">
              <w:rPr>
                <w:bCs/>
                <w:sz w:val="20"/>
                <w:szCs w:val="20"/>
              </w:rPr>
              <w:t xml:space="preserve">kreatynina, </w:t>
            </w:r>
            <w:proofErr w:type="spellStart"/>
            <w:r w:rsidR="00242213" w:rsidRPr="00242213">
              <w:rPr>
                <w:bCs/>
                <w:sz w:val="20"/>
                <w:szCs w:val="20"/>
              </w:rPr>
              <w:t>eGFR</w:t>
            </w:r>
            <w:proofErr w:type="spellEnd"/>
            <w:r w:rsidR="00242213" w:rsidRPr="00242213">
              <w:rPr>
                <w:bCs/>
                <w:sz w:val="20"/>
                <w:szCs w:val="20"/>
              </w:rPr>
              <w:t>,</w:t>
            </w:r>
            <w:r w:rsidR="00D41EF0">
              <w:rPr>
                <w:bCs/>
                <w:sz w:val="20"/>
                <w:szCs w:val="20"/>
              </w:rPr>
              <w:t xml:space="preserve"> </w:t>
            </w:r>
            <w:r w:rsidR="00242213" w:rsidRPr="00242213">
              <w:rPr>
                <w:bCs/>
                <w:sz w:val="20"/>
                <w:szCs w:val="20"/>
              </w:rPr>
              <w:t>kwas moczowy</w:t>
            </w:r>
            <w:r w:rsidR="00F87303">
              <w:rPr>
                <w:bCs/>
                <w:sz w:val="20"/>
                <w:szCs w:val="20"/>
              </w:rPr>
              <w:t>, mocznik</w:t>
            </w:r>
            <w:r w:rsidR="00242213" w:rsidRPr="00242213">
              <w:rPr>
                <w:bCs/>
                <w:sz w:val="20"/>
                <w:szCs w:val="20"/>
              </w:rPr>
              <w:t>, AST, ALT, bilirubina całkowita</w:t>
            </w:r>
            <w:r w:rsidRPr="00242213">
              <w:rPr>
                <w:bCs/>
                <w:sz w:val="20"/>
                <w:szCs w:val="20"/>
              </w:rPr>
              <w:t>);</w:t>
            </w:r>
          </w:p>
          <w:p w:rsidR="00242213" w:rsidRPr="00242213" w:rsidRDefault="00242213" w:rsidP="00F87303">
            <w:pPr>
              <w:numPr>
                <w:ilvl w:val="0"/>
                <w:numId w:val="8"/>
              </w:numPr>
              <w:autoSpaceDE w:val="0"/>
              <w:autoSpaceDN w:val="0"/>
              <w:adjustRightInd w:val="0"/>
              <w:spacing w:line="276" w:lineRule="auto"/>
              <w:rPr>
                <w:bCs/>
                <w:sz w:val="20"/>
                <w:szCs w:val="20"/>
              </w:rPr>
            </w:pPr>
            <w:r>
              <w:rPr>
                <w:bCs/>
                <w:sz w:val="20"/>
                <w:szCs w:val="20"/>
              </w:rPr>
              <w:t xml:space="preserve">badania </w:t>
            </w:r>
            <w:r w:rsidR="00220FEE">
              <w:rPr>
                <w:bCs/>
                <w:sz w:val="20"/>
                <w:szCs w:val="20"/>
              </w:rPr>
              <w:t>krwi</w:t>
            </w:r>
            <w:r w:rsidR="001E723E">
              <w:rPr>
                <w:bCs/>
                <w:sz w:val="20"/>
                <w:szCs w:val="20"/>
              </w:rPr>
              <w:t xml:space="preserve"> </w:t>
            </w:r>
            <w:r w:rsidR="00950513">
              <w:rPr>
                <w:bCs/>
                <w:sz w:val="20"/>
                <w:szCs w:val="20"/>
              </w:rPr>
              <w:t>obejmujące: stężenie</w:t>
            </w:r>
            <w:r w:rsidR="001E723E">
              <w:rPr>
                <w:bCs/>
                <w:sz w:val="20"/>
                <w:szCs w:val="20"/>
              </w:rPr>
              <w:t xml:space="preserve"> </w:t>
            </w:r>
            <w:r w:rsidR="00220FEE">
              <w:rPr>
                <w:bCs/>
                <w:sz w:val="20"/>
                <w:szCs w:val="20"/>
              </w:rPr>
              <w:t>potas</w:t>
            </w:r>
            <w:r w:rsidR="001E723E">
              <w:rPr>
                <w:bCs/>
                <w:sz w:val="20"/>
                <w:szCs w:val="20"/>
              </w:rPr>
              <w:t>u</w:t>
            </w:r>
            <w:r w:rsidR="00220FEE">
              <w:rPr>
                <w:bCs/>
                <w:sz w:val="20"/>
                <w:szCs w:val="20"/>
              </w:rPr>
              <w:t xml:space="preserve">, </w:t>
            </w:r>
            <w:r w:rsidR="001E723E">
              <w:rPr>
                <w:bCs/>
                <w:sz w:val="20"/>
                <w:szCs w:val="20"/>
              </w:rPr>
              <w:t xml:space="preserve">stężenie </w:t>
            </w:r>
            <w:r w:rsidR="00220FEE">
              <w:rPr>
                <w:bCs/>
                <w:sz w:val="20"/>
                <w:szCs w:val="20"/>
              </w:rPr>
              <w:t>fosfor</w:t>
            </w:r>
            <w:r w:rsidR="001E723E">
              <w:rPr>
                <w:bCs/>
                <w:sz w:val="20"/>
                <w:szCs w:val="20"/>
              </w:rPr>
              <w:t>u</w:t>
            </w:r>
            <w:r w:rsidR="00220FEE">
              <w:rPr>
                <w:bCs/>
                <w:sz w:val="20"/>
                <w:szCs w:val="20"/>
              </w:rPr>
              <w:t xml:space="preserve">, </w:t>
            </w:r>
            <w:r w:rsidR="001E723E">
              <w:rPr>
                <w:bCs/>
                <w:sz w:val="20"/>
                <w:szCs w:val="20"/>
              </w:rPr>
              <w:t xml:space="preserve">stężenie </w:t>
            </w:r>
            <w:r w:rsidR="00220FEE">
              <w:rPr>
                <w:bCs/>
                <w:sz w:val="20"/>
                <w:szCs w:val="20"/>
              </w:rPr>
              <w:t>wap</w:t>
            </w:r>
            <w:r w:rsidR="001E723E">
              <w:rPr>
                <w:bCs/>
                <w:sz w:val="20"/>
                <w:szCs w:val="20"/>
              </w:rPr>
              <w:t>nia</w:t>
            </w:r>
            <w:r w:rsidR="00F87303">
              <w:rPr>
                <w:bCs/>
                <w:sz w:val="20"/>
                <w:szCs w:val="20"/>
              </w:rPr>
              <w:t xml:space="preserve">, </w:t>
            </w:r>
            <w:r w:rsidR="00D41EF0">
              <w:rPr>
                <w:bCs/>
                <w:sz w:val="20"/>
                <w:szCs w:val="20"/>
              </w:rPr>
              <w:t xml:space="preserve">aktywność </w:t>
            </w:r>
            <w:r w:rsidR="001E723E">
              <w:rPr>
                <w:bCs/>
                <w:sz w:val="20"/>
                <w:szCs w:val="20"/>
              </w:rPr>
              <w:t xml:space="preserve"> </w:t>
            </w:r>
            <w:r w:rsidR="00F87303" w:rsidRPr="00F87303">
              <w:rPr>
                <w:bCs/>
                <w:sz w:val="20"/>
                <w:szCs w:val="20"/>
              </w:rPr>
              <w:t>dehydrogenaz</w:t>
            </w:r>
            <w:r w:rsidR="001E723E">
              <w:rPr>
                <w:bCs/>
                <w:sz w:val="20"/>
                <w:szCs w:val="20"/>
              </w:rPr>
              <w:t>y</w:t>
            </w:r>
            <w:r w:rsidR="00F87303" w:rsidRPr="00F87303">
              <w:rPr>
                <w:bCs/>
                <w:sz w:val="20"/>
                <w:szCs w:val="20"/>
              </w:rPr>
              <w:t xml:space="preserve"> mleczanow</w:t>
            </w:r>
            <w:r w:rsidR="001E723E">
              <w:rPr>
                <w:bCs/>
                <w:sz w:val="20"/>
                <w:szCs w:val="20"/>
              </w:rPr>
              <w:t>ej</w:t>
            </w:r>
            <w:r w:rsidR="00F87303">
              <w:rPr>
                <w:bCs/>
                <w:sz w:val="20"/>
                <w:szCs w:val="20"/>
              </w:rPr>
              <w:t xml:space="preserve"> (LDH) </w:t>
            </w:r>
            <w:r w:rsidR="00220FEE">
              <w:rPr>
                <w:bCs/>
                <w:sz w:val="20"/>
                <w:szCs w:val="20"/>
              </w:rPr>
              <w:t>;</w:t>
            </w:r>
          </w:p>
          <w:p w:rsidR="000350DE" w:rsidRPr="000350DE" w:rsidRDefault="009E3788" w:rsidP="005F2228">
            <w:pPr>
              <w:numPr>
                <w:ilvl w:val="0"/>
                <w:numId w:val="8"/>
              </w:numPr>
              <w:autoSpaceDE w:val="0"/>
              <w:autoSpaceDN w:val="0"/>
              <w:adjustRightInd w:val="0"/>
              <w:spacing w:line="276" w:lineRule="auto"/>
              <w:ind w:left="638" w:hanging="278"/>
              <w:rPr>
                <w:bCs/>
                <w:sz w:val="20"/>
                <w:szCs w:val="20"/>
              </w:rPr>
            </w:pPr>
            <w:r w:rsidRPr="009E3788">
              <w:rPr>
                <w:bCs/>
                <w:sz w:val="20"/>
                <w:szCs w:val="20"/>
              </w:rPr>
              <w:t>ocena stopnia zaawansowania klinicznego w</w:t>
            </w:r>
            <w:r w:rsidR="00406B79">
              <w:rPr>
                <w:bCs/>
                <w:sz w:val="20"/>
                <w:szCs w:val="20"/>
              </w:rPr>
              <w:t xml:space="preserve">g klasyfikacji </w:t>
            </w:r>
            <w:proofErr w:type="spellStart"/>
            <w:r w:rsidR="00406B79">
              <w:rPr>
                <w:bCs/>
                <w:sz w:val="20"/>
                <w:szCs w:val="20"/>
              </w:rPr>
              <w:t>Rai'a</w:t>
            </w:r>
            <w:proofErr w:type="spellEnd"/>
            <w:r w:rsidR="00406B79">
              <w:rPr>
                <w:bCs/>
                <w:sz w:val="20"/>
                <w:szCs w:val="20"/>
              </w:rPr>
              <w:t xml:space="preserve"> lub </w:t>
            </w:r>
            <w:proofErr w:type="spellStart"/>
            <w:r w:rsidR="00406B79">
              <w:rPr>
                <w:bCs/>
                <w:sz w:val="20"/>
                <w:szCs w:val="20"/>
              </w:rPr>
              <w:t>Bineta</w:t>
            </w:r>
            <w:proofErr w:type="spellEnd"/>
            <w:r w:rsidR="00406B79">
              <w:rPr>
                <w:bCs/>
                <w:sz w:val="20"/>
                <w:szCs w:val="20"/>
              </w:rPr>
              <w:t>;</w:t>
            </w:r>
          </w:p>
          <w:p w:rsidR="000350DE" w:rsidRDefault="008A2BEC" w:rsidP="005F2228">
            <w:pPr>
              <w:numPr>
                <w:ilvl w:val="0"/>
                <w:numId w:val="8"/>
              </w:numPr>
              <w:autoSpaceDE w:val="0"/>
              <w:autoSpaceDN w:val="0"/>
              <w:adjustRightInd w:val="0"/>
              <w:spacing w:line="276" w:lineRule="auto"/>
              <w:ind w:left="638" w:hanging="278"/>
              <w:rPr>
                <w:bCs/>
                <w:sz w:val="20"/>
                <w:szCs w:val="20"/>
              </w:rPr>
            </w:pPr>
            <w:r>
              <w:rPr>
                <w:bCs/>
                <w:sz w:val="20"/>
                <w:szCs w:val="20"/>
              </w:rPr>
              <w:t>ocena masy guza, w tym badani</w:t>
            </w:r>
            <w:r w:rsidR="00D41EF0">
              <w:rPr>
                <w:bCs/>
                <w:sz w:val="20"/>
                <w:szCs w:val="20"/>
              </w:rPr>
              <w:t>a</w:t>
            </w:r>
            <w:r w:rsidR="000350DE">
              <w:rPr>
                <w:bCs/>
                <w:sz w:val="20"/>
                <w:szCs w:val="20"/>
              </w:rPr>
              <w:t xml:space="preserve"> obrazowe</w:t>
            </w:r>
            <w:r w:rsidR="002B76B1">
              <w:rPr>
                <w:bCs/>
                <w:sz w:val="20"/>
                <w:szCs w:val="20"/>
              </w:rPr>
              <w:t xml:space="preserve"> (USG j.</w:t>
            </w:r>
            <w:r w:rsidR="003952C9">
              <w:rPr>
                <w:bCs/>
                <w:sz w:val="20"/>
                <w:szCs w:val="20"/>
              </w:rPr>
              <w:t> </w:t>
            </w:r>
            <w:r w:rsidR="002B76B1">
              <w:rPr>
                <w:bCs/>
                <w:sz w:val="20"/>
                <w:szCs w:val="20"/>
              </w:rPr>
              <w:t xml:space="preserve">brzusznej i </w:t>
            </w:r>
            <w:proofErr w:type="spellStart"/>
            <w:r w:rsidR="002B76B1">
              <w:rPr>
                <w:bCs/>
                <w:sz w:val="20"/>
                <w:szCs w:val="20"/>
              </w:rPr>
              <w:t>rtg</w:t>
            </w:r>
            <w:proofErr w:type="spellEnd"/>
            <w:r w:rsidR="002B76B1">
              <w:rPr>
                <w:bCs/>
                <w:sz w:val="20"/>
                <w:szCs w:val="20"/>
              </w:rPr>
              <w:t xml:space="preserve"> klatki piersiowej lub w przypadkach uzasadnionych klinicznie TK lub MRI)</w:t>
            </w:r>
            <w:r w:rsidR="000350DE">
              <w:rPr>
                <w:bCs/>
                <w:sz w:val="20"/>
                <w:szCs w:val="20"/>
              </w:rPr>
              <w:t xml:space="preserve">. </w:t>
            </w:r>
          </w:p>
          <w:p w:rsidR="00E52D7F" w:rsidRPr="009E3788" w:rsidRDefault="00E52D7F" w:rsidP="00E52D7F">
            <w:pPr>
              <w:autoSpaceDE w:val="0"/>
              <w:autoSpaceDN w:val="0"/>
              <w:adjustRightInd w:val="0"/>
              <w:spacing w:line="276" w:lineRule="auto"/>
              <w:ind w:left="638"/>
              <w:rPr>
                <w:bCs/>
                <w:sz w:val="20"/>
                <w:szCs w:val="20"/>
              </w:rPr>
            </w:pPr>
          </w:p>
          <w:p w:rsidR="000350DE" w:rsidRPr="000350DE" w:rsidRDefault="009E3788" w:rsidP="005F2228">
            <w:pPr>
              <w:numPr>
                <w:ilvl w:val="0"/>
                <w:numId w:val="4"/>
              </w:numPr>
              <w:autoSpaceDE w:val="0"/>
              <w:autoSpaceDN w:val="0"/>
              <w:adjustRightInd w:val="0"/>
              <w:spacing w:after="120" w:line="276" w:lineRule="auto"/>
              <w:ind w:left="499" w:hanging="425"/>
              <w:rPr>
                <w:bCs/>
                <w:sz w:val="20"/>
                <w:szCs w:val="20"/>
              </w:rPr>
            </w:pPr>
            <w:r w:rsidRPr="000350DE">
              <w:rPr>
                <w:bCs/>
                <w:sz w:val="20"/>
                <w:szCs w:val="20"/>
              </w:rPr>
              <w:t>Test ciążowy</w:t>
            </w:r>
            <w:r w:rsidR="00A626FE">
              <w:rPr>
                <w:bCs/>
                <w:sz w:val="20"/>
                <w:szCs w:val="20"/>
              </w:rPr>
              <w:t>.</w:t>
            </w:r>
          </w:p>
          <w:p w:rsidR="001C600E" w:rsidRPr="00455021" w:rsidRDefault="009E3788" w:rsidP="005F2228">
            <w:pPr>
              <w:numPr>
                <w:ilvl w:val="0"/>
                <w:numId w:val="5"/>
              </w:numPr>
              <w:autoSpaceDE w:val="0"/>
              <w:autoSpaceDN w:val="0"/>
              <w:adjustRightInd w:val="0"/>
              <w:spacing w:after="120" w:line="276" w:lineRule="auto"/>
              <w:ind w:left="294" w:hanging="266"/>
              <w:rPr>
                <w:b/>
                <w:sz w:val="20"/>
                <w:szCs w:val="20"/>
              </w:rPr>
            </w:pPr>
            <w:r w:rsidRPr="009E3788">
              <w:rPr>
                <w:b/>
                <w:bCs/>
                <w:sz w:val="20"/>
                <w:szCs w:val="20"/>
              </w:rPr>
              <w:t>Monitorowanie</w:t>
            </w:r>
            <w:r>
              <w:rPr>
                <w:b/>
                <w:bCs/>
                <w:sz w:val="20"/>
                <w:szCs w:val="20"/>
              </w:rPr>
              <w:t xml:space="preserve"> leczenia</w:t>
            </w:r>
            <w:r w:rsidR="001C600E" w:rsidRPr="00F441C9">
              <w:rPr>
                <w:b/>
                <w:bCs/>
                <w:sz w:val="20"/>
                <w:szCs w:val="20"/>
              </w:rPr>
              <w:t>:</w:t>
            </w:r>
          </w:p>
          <w:p w:rsidR="009A4F50" w:rsidRPr="00B76376" w:rsidRDefault="009A4F50" w:rsidP="001E723E">
            <w:pPr>
              <w:pStyle w:val="Akapitzlist"/>
              <w:numPr>
                <w:ilvl w:val="1"/>
                <w:numId w:val="5"/>
              </w:numPr>
              <w:autoSpaceDE w:val="0"/>
              <w:autoSpaceDN w:val="0"/>
              <w:adjustRightInd w:val="0"/>
              <w:spacing w:after="120" w:line="276" w:lineRule="auto"/>
              <w:rPr>
                <w:bCs/>
                <w:sz w:val="20"/>
                <w:szCs w:val="20"/>
              </w:rPr>
            </w:pPr>
            <w:r w:rsidRPr="00B76376">
              <w:rPr>
                <w:bCs/>
                <w:sz w:val="20"/>
                <w:szCs w:val="20"/>
              </w:rPr>
              <w:t xml:space="preserve">Każdego tygodnia przez okres dostosowania dawki wszystkie wymienione poniżej badania: </w:t>
            </w:r>
          </w:p>
          <w:p w:rsidR="009A4F50" w:rsidRDefault="009A4F50" w:rsidP="009A4F50">
            <w:pPr>
              <w:pStyle w:val="Akapitzlist"/>
              <w:numPr>
                <w:ilvl w:val="0"/>
                <w:numId w:val="15"/>
              </w:numPr>
              <w:autoSpaceDE w:val="0"/>
              <w:autoSpaceDN w:val="0"/>
              <w:adjustRightInd w:val="0"/>
              <w:spacing w:after="120" w:line="276" w:lineRule="auto"/>
              <w:rPr>
                <w:sz w:val="20"/>
                <w:szCs w:val="20"/>
              </w:rPr>
            </w:pPr>
            <w:r w:rsidRPr="009A4F50">
              <w:rPr>
                <w:bCs/>
                <w:sz w:val="20"/>
                <w:szCs w:val="20"/>
              </w:rPr>
              <w:t>mo</w:t>
            </w:r>
            <w:r w:rsidRPr="009A4F50">
              <w:rPr>
                <w:sz w:val="20"/>
                <w:szCs w:val="20"/>
              </w:rPr>
              <w:t>rfologia krwi z rozmazem;</w:t>
            </w:r>
          </w:p>
          <w:p w:rsidR="009A4F50" w:rsidRPr="009A4F50" w:rsidRDefault="009A4F50" w:rsidP="009A4F50">
            <w:pPr>
              <w:pStyle w:val="Akapitzlist"/>
              <w:numPr>
                <w:ilvl w:val="0"/>
                <w:numId w:val="15"/>
              </w:numPr>
              <w:autoSpaceDE w:val="0"/>
              <w:autoSpaceDN w:val="0"/>
              <w:adjustRightInd w:val="0"/>
              <w:spacing w:after="120" w:line="276" w:lineRule="auto"/>
              <w:rPr>
                <w:sz w:val="20"/>
                <w:szCs w:val="20"/>
              </w:rPr>
            </w:pPr>
            <w:r w:rsidRPr="009A4F50">
              <w:rPr>
                <w:sz w:val="20"/>
                <w:szCs w:val="20"/>
              </w:rPr>
              <w:t>stężenie potasu,</w:t>
            </w:r>
          </w:p>
          <w:p w:rsidR="00F87303" w:rsidRDefault="009A4F50" w:rsidP="009A4F50">
            <w:pPr>
              <w:pStyle w:val="Akapitzlist"/>
              <w:numPr>
                <w:ilvl w:val="0"/>
                <w:numId w:val="15"/>
              </w:numPr>
              <w:autoSpaceDE w:val="0"/>
              <w:autoSpaceDN w:val="0"/>
              <w:adjustRightInd w:val="0"/>
              <w:spacing w:line="276" w:lineRule="auto"/>
              <w:rPr>
                <w:sz w:val="20"/>
                <w:szCs w:val="20"/>
              </w:rPr>
            </w:pPr>
            <w:r w:rsidRPr="00014BBB">
              <w:rPr>
                <w:sz w:val="20"/>
                <w:szCs w:val="20"/>
              </w:rPr>
              <w:t>stężenie kwasu moczowego</w:t>
            </w:r>
          </w:p>
          <w:p w:rsidR="009A4F50" w:rsidRDefault="00F87303" w:rsidP="009A4F50">
            <w:pPr>
              <w:pStyle w:val="Akapitzlist"/>
              <w:numPr>
                <w:ilvl w:val="0"/>
                <w:numId w:val="15"/>
              </w:numPr>
              <w:autoSpaceDE w:val="0"/>
              <w:autoSpaceDN w:val="0"/>
              <w:adjustRightInd w:val="0"/>
              <w:spacing w:line="276" w:lineRule="auto"/>
              <w:rPr>
                <w:sz w:val="20"/>
                <w:szCs w:val="20"/>
              </w:rPr>
            </w:pPr>
            <w:r>
              <w:rPr>
                <w:sz w:val="20"/>
                <w:szCs w:val="20"/>
              </w:rPr>
              <w:lastRenderedPageBreak/>
              <w:t>stężenie mocznika</w:t>
            </w:r>
            <w:r w:rsidR="009A4F50" w:rsidRPr="00014BBB">
              <w:rPr>
                <w:sz w:val="20"/>
                <w:szCs w:val="20"/>
              </w:rPr>
              <w:t>;</w:t>
            </w:r>
          </w:p>
          <w:p w:rsidR="009A4F50" w:rsidRDefault="009A4F50" w:rsidP="009A4F50">
            <w:pPr>
              <w:pStyle w:val="Akapitzlist"/>
              <w:numPr>
                <w:ilvl w:val="0"/>
                <w:numId w:val="15"/>
              </w:numPr>
              <w:autoSpaceDE w:val="0"/>
              <w:autoSpaceDN w:val="0"/>
              <w:adjustRightInd w:val="0"/>
              <w:spacing w:line="276" w:lineRule="auto"/>
              <w:rPr>
                <w:sz w:val="20"/>
                <w:szCs w:val="20"/>
              </w:rPr>
            </w:pPr>
            <w:r w:rsidRPr="00014BBB">
              <w:rPr>
                <w:sz w:val="20"/>
                <w:szCs w:val="20"/>
              </w:rPr>
              <w:t>stężenie fosforu;</w:t>
            </w:r>
          </w:p>
          <w:p w:rsidR="009A4F50" w:rsidRDefault="009A4F50" w:rsidP="009A4F50">
            <w:pPr>
              <w:pStyle w:val="Akapitzlist"/>
              <w:numPr>
                <w:ilvl w:val="0"/>
                <w:numId w:val="15"/>
              </w:numPr>
              <w:autoSpaceDE w:val="0"/>
              <w:autoSpaceDN w:val="0"/>
              <w:adjustRightInd w:val="0"/>
              <w:spacing w:line="276" w:lineRule="auto"/>
              <w:rPr>
                <w:sz w:val="20"/>
                <w:szCs w:val="20"/>
              </w:rPr>
            </w:pPr>
            <w:r w:rsidRPr="00014BBB">
              <w:rPr>
                <w:sz w:val="20"/>
                <w:szCs w:val="20"/>
              </w:rPr>
              <w:t>stężenie wapnia;</w:t>
            </w:r>
          </w:p>
          <w:p w:rsidR="009A4F50" w:rsidRDefault="009A4F50" w:rsidP="009A4F50">
            <w:pPr>
              <w:pStyle w:val="Akapitzlist"/>
              <w:numPr>
                <w:ilvl w:val="0"/>
                <w:numId w:val="15"/>
              </w:numPr>
              <w:autoSpaceDE w:val="0"/>
              <w:autoSpaceDN w:val="0"/>
              <w:adjustRightInd w:val="0"/>
              <w:spacing w:line="276" w:lineRule="auto"/>
              <w:rPr>
                <w:sz w:val="20"/>
                <w:szCs w:val="20"/>
              </w:rPr>
            </w:pPr>
            <w:r w:rsidRPr="00014BBB">
              <w:rPr>
                <w:sz w:val="20"/>
                <w:szCs w:val="20"/>
              </w:rPr>
              <w:t>stężenie kreatyniny;</w:t>
            </w:r>
          </w:p>
          <w:p w:rsidR="009A4F50" w:rsidRDefault="009A4F50" w:rsidP="009A4F50">
            <w:pPr>
              <w:pStyle w:val="Akapitzlist"/>
              <w:numPr>
                <w:ilvl w:val="0"/>
                <w:numId w:val="15"/>
              </w:numPr>
              <w:autoSpaceDE w:val="0"/>
              <w:autoSpaceDN w:val="0"/>
              <w:adjustRightInd w:val="0"/>
              <w:spacing w:line="276" w:lineRule="auto"/>
              <w:rPr>
                <w:sz w:val="20"/>
                <w:szCs w:val="20"/>
              </w:rPr>
            </w:pPr>
            <w:r w:rsidRPr="00014BBB">
              <w:rPr>
                <w:sz w:val="20"/>
                <w:szCs w:val="20"/>
              </w:rPr>
              <w:t>ALT, AST;</w:t>
            </w:r>
          </w:p>
          <w:p w:rsidR="009A4F50" w:rsidRPr="00014BBB" w:rsidRDefault="009A4F50" w:rsidP="009A4F50">
            <w:pPr>
              <w:pStyle w:val="Akapitzlist"/>
              <w:numPr>
                <w:ilvl w:val="0"/>
                <w:numId w:val="15"/>
              </w:numPr>
              <w:autoSpaceDE w:val="0"/>
              <w:autoSpaceDN w:val="0"/>
              <w:adjustRightInd w:val="0"/>
              <w:spacing w:line="276" w:lineRule="auto"/>
              <w:rPr>
                <w:sz w:val="20"/>
                <w:szCs w:val="20"/>
              </w:rPr>
            </w:pPr>
            <w:r w:rsidRPr="00014BBB">
              <w:rPr>
                <w:sz w:val="20"/>
                <w:szCs w:val="20"/>
              </w:rPr>
              <w:t>stężenie bilirubiny całkowitej.</w:t>
            </w:r>
          </w:p>
          <w:p w:rsidR="007B5485" w:rsidRDefault="009A4F50" w:rsidP="00FB0A51">
            <w:pPr>
              <w:autoSpaceDE w:val="0"/>
              <w:autoSpaceDN w:val="0"/>
              <w:adjustRightInd w:val="0"/>
              <w:spacing w:before="240" w:after="120" w:line="276" w:lineRule="auto"/>
              <w:ind w:left="212"/>
              <w:rPr>
                <w:bCs/>
                <w:sz w:val="20"/>
                <w:szCs w:val="20"/>
              </w:rPr>
            </w:pPr>
            <w:r>
              <w:rPr>
                <w:bCs/>
                <w:sz w:val="20"/>
                <w:szCs w:val="20"/>
              </w:rPr>
              <w:t>Po okresie dostosowywania dawki poniższe badania wg schematu poniżej</w:t>
            </w:r>
            <w:r w:rsidR="009E2BC4">
              <w:rPr>
                <w:bCs/>
                <w:sz w:val="20"/>
                <w:szCs w:val="20"/>
              </w:rPr>
              <w:t>:</w:t>
            </w:r>
          </w:p>
          <w:p w:rsidR="00455021" w:rsidRPr="007B5485" w:rsidRDefault="009D69C8" w:rsidP="009E2BC4">
            <w:pPr>
              <w:pStyle w:val="Akapitzlist"/>
              <w:numPr>
                <w:ilvl w:val="0"/>
                <w:numId w:val="13"/>
              </w:numPr>
              <w:autoSpaceDE w:val="0"/>
              <w:autoSpaceDN w:val="0"/>
              <w:adjustRightInd w:val="0"/>
              <w:spacing w:after="120" w:line="276" w:lineRule="auto"/>
              <w:ind w:left="356" w:hanging="99"/>
              <w:rPr>
                <w:sz w:val="20"/>
                <w:szCs w:val="20"/>
              </w:rPr>
            </w:pPr>
            <w:r w:rsidRPr="007B5485">
              <w:rPr>
                <w:bCs/>
                <w:sz w:val="20"/>
                <w:szCs w:val="20"/>
              </w:rPr>
              <w:t>co miesiąc</w:t>
            </w:r>
            <w:r w:rsidR="00455021" w:rsidRPr="007B5485">
              <w:rPr>
                <w:bCs/>
                <w:sz w:val="20"/>
                <w:szCs w:val="20"/>
              </w:rPr>
              <w:t>:</w:t>
            </w:r>
          </w:p>
          <w:p w:rsidR="00EA3E52" w:rsidRDefault="009D69C8" w:rsidP="00EA3E52">
            <w:pPr>
              <w:pStyle w:val="Akapitzlist"/>
              <w:numPr>
                <w:ilvl w:val="0"/>
                <w:numId w:val="1"/>
              </w:numPr>
              <w:autoSpaceDE w:val="0"/>
              <w:autoSpaceDN w:val="0"/>
              <w:adjustRightInd w:val="0"/>
              <w:spacing w:line="276" w:lineRule="auto"/>
              <w:ind w:left="496" w:hanging="284"/>
              <w:rPr>
                <w:bCs/>
                <w:sz w:val="20"/>
                <w:szCs w:val="20"/>
              </w:rPr>
            </w:pPr>
            <w:r>
              <w:rPr>
                <w:sz w:val="20"/>
                <w:szCs w:val="20"/>
              </w:rPr>
              <w:t xml:space="preserve">morfologia krwi </w:t>
            </w:r>
            <w:r w:rsidR="00820F34">
              <w:rPr>
                <w:sz w:val="20"/>
                <w:szCs w:val="20"/>
              </w:rPr>
              <w:t>z rozmazem</w:t>
            </w:r>
            <w:r w:rsidR="00F441C9">
              <w:rPr>
                <w:sz w:val="20"/>
                <w:szCs w:val="20"/>
              </w:rPr>
              <w:t>;</w:t>
            </w:r>
            <w:r w:rsidR="002B76B1">
              <w:rPr>
                <w:sz w:val="20"/>
                <w:szCs w:val="20"/>
              </w:rPr>
              <w:br/>
            </w:r>
          </w:p>
          <w:p w:rsidR="00951773" w:rsidRPr="00527E59" w:rsidRDefault="00951773" w:rsidP="009E2BC4">
            <w:pPr>
              <w:pStyle w:val="Akapitzlist"/>
              <w:numPr>
                <w:ilvl w:val="0"/>
                <w:numId w:val="13"/>
              </w:numPr>
              <w:autoSpaceDE w:val="0"/>
              <w:autoSpaceDN w:val="0"/>
              <w:adjustRightInd w:val="0"/>
              <w:spacing w:after="120" w:line="276" w:lineRule="auto"/>
              <w:ind w:left="356" w:hanging="99"/>
              <w:rPr>
                <w:bCs/>
                <w:sz w:val="20"/>
                <w:szCs w:val="20"/>
              </w:rPr>
            </w:pPr>
            <w:r w:rsidRPr="00527E59">
              <w:rPr>
                <w:bCs/>
                <w:sz w:val="20"/>
                <w:szCs w:val="20"/>
              </w:rPr>
              <w:t>co 3 miesiące:</w:t>
            </w:r>
          </w:p>
          <w:p w:rsidR="00014BBB" w:rsidRDefault="00455021" w:rsidP="00EA3E52">
            <w:pPr>
              <w:pStyle w:val="Akapitzlist"/>
              <w:numPr>
                <w:ilvl w:val="0"/>
                <w:numId w:val="16"/>
              </w:numPr>
              <w:autoSpaceDE w:val="0"/>
              <w:autoSpaceDN w:val="0"/>
              <w:adjustRightInd w:val="0"/>
              <w:spacing w:line="276" w:lineRule="auto"/>
              <w:rPr>
                <w:sz w:val="20"/>
                <w:szCs w:val="20"/>
              </w:rPr>
            </w:pPr>
            <w:r>
              <w:rPr>
                <w:sz w:val="20"/>
                <w:szCs w:val="20"/>
              </w:rPr>
              <w:t xml:space="preserve">stężenie </w:t>
            </w:r>
            <w:r w:rsidR="00BD2DD5">
              <w:rPr>
                <w:sz w:val="20"/>
                <w:szCs w:val="20"/>
              </w:rPr>
              <w:t>potasu,</w:t>
            </w:r>
          </w:p>
          <w:p w:rsidR="00F87303" w:rsidRDefault="00BD2DD5" w:rsidP="00EA3E52">
            <w:pPr>
              <w:pStyle w:val="Akapitzlist"/>
              <w:numPr>
                <w:ilvl w:val="0"/>
                <w:numId w:val="16"/>
              </w:numPr>
              <w:autoSpaceDE w:val="0"/>
              <w:autoSpaceDN w:val="0"/>
              <w:adjustRightInd w:val="0"/>
              <w:spacing w:line="276" w:lineRule="auto"/>
              <w:rPr>
                <w:sz w:val="20"/>
                <w:szCs w:val="20"/>
              </w:rPr>
            </w:pPr>
            <w:r w:rsidRPr="00014BBB">
              <w:rPr>
                <w:sz w:val="20"/>
                <w:szCs w:val="20"/>
              </w:rPr>
              <w:t>stężenie kwasu moczowego</w:t>
            </w:r>
          </w:p>
          <w:p w:rsidR="00014BBB" w:rsidRDefault="00F87303" w:rsidP="00EA3E52">
            <w:pPr>
              <w:pStyle w:val="Akapitzlist"/>
              <w:numPr>
                <w:ilvl w:val="0"/>
                <w:numId w:val="16"/>
              </w:numPr>
              <w:autoSpaceDE w:val="0"/>
              <w:autoSpaceDN w:val="0"/>
              <w:adjustRightInd w:val="0"/>
              <w:spacing w:line="276" w:lineRule="auto"/>
              <w:rPr>
                <w:sz w:val="20"/>
                <w:szCs w:val="20"/>
              </w:rPr>
            </w:pPr>
            <w:r>
              <w:rPr>
                <w:sz w:val="20"/>
                <w:szCs w:val="20"/>
              </w:rPr>
              <w:t>stężenie mocznika</w:t>
            </w:r>
            <w:r w:rsidR="00BD2DD5" w:rsidRPr="00014BBB">
              <w:rPr>
                <w:sz w:val="20"/>
                <w:szCs w:val="20"/>
              </w:rPr>
              <w:t>;</w:t>
            </w:r>
          </w:p>
          <w:p w:rsidR="00014BBB" w:rsidRDefault="00BD2DD5" w:rsidP="00EA3E52">
            <w:pPr>
              <w:pStyle w:val="Akapitzlist"/>
              <w:numPr>
                <w:ilvl w:val="0"/>
                <w:numId w:val="16"/>
              </w:numPr>
              <w:autoSpaceDE w:val="0"/>
              <w:autoSpaceDN w:val="0"/>
              <w:adjustRightInd w:val="0"/>
              <w:spacing w:line="276" w:lineRule="auto"/>
              <w:rPr>
                <w:sz w:val="20"/>
                <w:szCs w:val="20"/>
              </w:rPr>
            </w:pPr>
            <w:r w:rsidRPr="00014BBB">
              <w:rPr>
                <w:sz w:val="20"/>
                <w:szCs w:val="20"/>
              </w:rPr>
              <w:t>stężenie fosforu;</w:t>
            </w:r>
          </w:p>
          <w:p w:rsidR="00014BBB" w:rsidRDefault="00BD2DD5" w:rsidP="00EA3E52">
            <w:pPr>
              <w:pStyle w:val="Akapitzlist"/>
              <w:numPr>
                <w:ilvl w:val="0"/>
                <w:numId w:val="16"/>
              </w:numPr>
              <w:autoSpaceDE w:val="0"/>
              <w:autoSpaceDN w:val="0"/>
              <w:adjustRightInd w:val="0"/>
              <w:spacing w:line="276" w:lineRule="auto"/>
              <w:rPr>
                <w:sz w:val="20"/>
                <w:szCs w:val="20"/>
              </w:rPr>
            </w:pPr>
            <w:r w:rsidRPr="00014BBB">
              <w:rPr>
                <w:sz w:val="20"/>
                <w:szCs w:val="20"/>
              </w:rPr>
              <w:t>stężenie wapnia;</w:t>
            </w:r>
          </w:p>
          <w:p w:rsidR="00014BBB" w:rsidRDefault="00BD2DD5" w:rsidP="00EA3E52">
            <w:pPr>
              <w:pStyle w:val="Akapitzlist"/>
              <w:numPr>
                <w:ilvl w:val="0"/>
                <w:numId w:val="16"/>
              </w:numPr>
              <w:autoSpaceDE w:val="0"/>
              <w:autoSpaceDN w:val="0"/>
              <w:adjustRightInd w:val="0"/>
              <w:spacing w:line="276" w:lineRule="auto"/>
              <w:rPr>
                <w:sz w:val="20"/>
                <w:szCs w:val="20"/>
              </w:rPr>
            </w:pPr>
            <w:r w:rsidRPr="00014BBB">
              <w:rPr>
                <w:sz w:val="20"/>
                <w:szCs w:val="20"/>
              </w:rPr>
              <w:t xml:space="preserve">stężenie </w:t>
            </w:r>
            <w:r w:rsidR="00455021" w:rsidRPr="00014BBB">
              <w:rPr>
                <w:sz w:val="20"/>
                <w:szCs w:val="20"/>
              </w:rPr>
              <w:t>kreatyniny;</w:t>
            </w:r>
          </w:p>
          <w:p w:rsidR="00014BBB" w:rsidRDefault="00A40512" w:rsidP="00EA3E52">
            <w:pPr>
              <w:pStyle w:val="Akapitzlist"/>
              <w:numPr>
                <w:ilvl w:val="0"/>
                <w:numId w:val="16"/>
              </w:numPr>
              <w:autoSpaceDE w:val="0"/>
              <w:autoSpaceDN w:val="0"/>
              <w:adjustRightInd w:val="0"/>
              <w:spacing w:line="276" w:lineRule="auto"/>
              <w:rPr>
                <w:sz w:val="20"/>
                <w:szCs w:val="20"/>
              </w:rPr>
            </w:pPr>
            <w:r w:rsidRPr="00014BBB">
              <w:rPr>
                <w:sz w:val="20"/>
                <w:szCs w:val="20"/>
              </w:rPr>
              <w:t>ALT, AST;</w:t>
            </w:r>
          </w:p>
          <w:p w:rsidR="00F87303" w:rsidRDefault="00EC20AE" w:rsidP="00EA3E52">
            <w:pPr>
              <w:pStyle w:val="Akapitzlist"/>
              <w:numPr>
                <w:ilvl w:val="0"/>
                <w:numId w:val="16"/>
              </w:numPr>
              <w:autoSpaceDE w:val="0"/>
              <w:autoSpaceDN w:val="0"/>
              <w:adjustRightInd w:val="0"/>
              <w:spacing w:line="276" w:lineRule="auto"/>
              <w:rPr>
                <w:sz w:val="20"/>
                <w:szCs w:val="20"/>
              </w:rPr>
            </w:pPr>
            <w:r w:rsidRPr="00014BBB">
              <w:rPr>
                <w:sz w:val="20"/>
                <w:szCs w:val="20"/>
              </w:rPr>
              <w:t>stężenie bilirubiny</w:t>
            </w:r>
            <w:r w:rsidR="004B46F0" w:rsidRPr="00014BBB">
              <w:rPr>
                <w:sz w:val="20"/>
                <w:szCs w:val="20"/>
              </w:rPr>
              <w:t xml:space="preserve"> całkowitej</w:t>
            </w:r>
          </w:p>
          <w:p w:rsidR="00820F34" w:rsidRPr="00AA5B77" w:rsidRDefault="00D41EF0" w:rsidP="00AA5B77">
            <w:pPr>
              <w:pStyle w:val="Akapitzlist"/>
              <w:numPr>
                <w:ilvl w:val="0"/>
                <w:numId w:val="16"/>
              </w:numPr>
              <w:autoSpaceDE w:val="0"/>
              <w:autoSpaceDN w:val="0"/>
              <w:adjustRightInd w:val="0"/>
              <w:spacing w:line="276" w:lineRule="auto"/>
              <w:rPr>
                <w:sz w:val="20"/>
                <w:szCs w:val="20"/>
              </w:rPr>
            </w:pPr>
            <w:r>
              <w:rPr>
                <w:sz w:val="20"/>
                <w:szCs w:val="20"/>
              </w:rPr>
              <w:t xml:space="preserve">aktywność </w:t>
            </w:r>
            <w:r w:rsidR="00F87303">
              <w:rPr>
                <w:sz w:val="20"/>
                <w:szCs w:val="20"/>
              </w:rPr>
              <w:t xml:space="preserve"> LDH</w:t>
            </w:r>
            <w:r w:rsidR="00EC20AE" w:rsidRPr="00014BBB">
              <w:rPr>
                <w:sz w:val="20"/>
                <w:szCs w:val="20"/>
              </w:rPr>
              <w:t>.</w:t>
            </w:r>
          </w:p>
          <w:p w:rsidR="009B7E25" w:rsidRPr="00AA5B77" w:rsidRDefault="009B7E25" w:rsidP="009B7E25">
            <w:pPr>
              <w:widowControl w:val="0"/>
              <w:autoSpaceDE w:val="0"/>
              <w:autoSpaceDN w:val="0"/>
              <w:adjustRightInd w:val="0"/>
              <w:spacing w:before="34" w:line="276" w:lineRule="auto"/>
              <w:ind w:left="398" w:right="56" w:hanging="283"/>
              <w:jc w:val="both"/>
              <w:rPr>
                <w:spacing w:val="2"/>
                <w:sz w:val="20"/>
                <w:szCs w:val="20"/>
              </w:rPr>
            </w:pPr>
            <w:r w:rsidRPr="00AA5B77">
              <w:rPr>
                <w:spacing w:val="2"/>
                <w:sz w:val="20"/>
                <w:szCs w:val="20"/>
              </w:rPr>
              <w:t>2.2 Ocena odpowiedzi na leczenie</w:t>
            </w:r>
          </w:p>
          <w:p w:rsidR="009B7E25" w:rsidRPr="00AA5B77" w:rsidRDefault="009B7E25" w:rsidP="005F4DB0">
            <w:pPr>
              <w:widowControl w:val="0"/>
              <w:autoSpaceDE w:val="0"/>
              <w:autoSpaceDN w:val="0"/>
              <w:adjustRightInd w:val="0"/>
              <w:spacing w:before="34" w:line="276" w:lineRule="auto"/>
              <w:ind w:left="72" w:right="56"/>
              <w:rPr>
                <w:sz w:val="20"/>
                <w:szCs w:val="20"/>
              </w:rPr>
            </w:pPr>
            <w:r w:rsidRPr="00AA5B77">
              <w:rPr>
                <w:spacing w:val="2"/>
                <w:sz w:val="20"/>
                <w:szCs w:val="20"/>
              </w:rPr>
              <w:t>P</w:t>
            </w:r>
            <w:r w:rsidRPr="00AA5B77">
              <w:rPr>
                <w:spacing w:val="-1"/>
                <w:sz w:val="20"/>
                <w:szCs w:val="20"/>
              </w:rPr>
              <w:t>i</w:t>
            </w:r>
            <w:r w:rsidRPr="00AA5B77">
              <w:rPr>
                <w:sz w:val="20"/>
                <w:szCs w:val="20"/>
              </w:rPr>
              <w:t>e</w:t>
            </w:r>
            <w:r w:rsidRPr="00AA5B77">
              <w:rPr>
                <w:spacing w:val="-1"/>
                <w:sz w:val="20"/>
                <w:szCs w:val="20"/>
              </w:rPr>
              <w:t>rw</w:t>
            </w:r>
            <w:r w:rsidRPr="00AA5B77">
              <w:rPr>
                <w:sz w:val="20"/>
                <w:szCs w:val="20"/>
              </w:rPr>
              <w:t>s</w:t>
            </w:r>
            <w:r w:rsidRPr="00AA5B77">
              <w:rPr>
                <w:spacing w:val="-1"/>
                <w:sz w:val="20"/>
                <w:szCs w:val="20"/>
              </w:rPr>
              <w:t>z</w:t>
            </w:r>
            <w:r w:rsidRPr="00AA5B77">
              <w:rPr>
                <w:sz w:val="20"/>
                <w:szCs w:val="20"/>
              </w:rPr>
              <w:t>a</w:t>
            </w:r>
            <w:r w:rsidR="00950513">
              <w:rPr>
                <w:sz w:val="20"/>
                <w:szCs w:val="20"/>
              </w:rPr>
              <w:t xml:space="preserve"> </w:t>
            </w:r>
            <w:r w:rsidRPr="00AA5B77">
              <w:rPr>
                <w:spacing w:val="-2"/>
                <w:sz w:val="20"/>
                <w:szCs w:val="20"/>
              </w:rPr>
              <w:t>o</w:t>
            </w:r>
            <w:r w:rsidRPr="00AA5B77">
              <w:rPr>
                <w:sz w:val="20"/>
                <w:szCs w:val="20"/>
              </w:rPr>
              <w:t>cena odpo</w:t>
            </w:r>
            <w:r w:rsidRPr="00AA5B77">
              <w:rPr>
                <w:spacing w:val="-1"/>
                <w:sz w:val="20"/>
                <w:szCs w:val="20"/>
              </w:rPr>
              <w:t>w</w:t>
            </w:r>
            <w:r w:rsidRPr="00AA5B77">
              <w:rPr>
                <w:spacing w:val="-4"/>
                <w:sz w:val="20"/>
                <w:szCs w:val="20"/>
              </w:rPr>
              <w:t>i</w:t>
            </w:r>
            <w:r w:rsidRPr="00AA5B77">
              <w:rPr>
                <w:sz w:val="20"/>
                <w:szCs w:val="20"/>
              </w:rPr>
              <w:t>edzi na</w:t>
            </w:r>
            <w:r w:rsidR="00950513">
              <w:rPr>
                <w:sz w:val="20"/>
                <w:szCs w:val="20"/>
              </w:rPr>
              <w:t xml:space="preserve"> </w:t>
            </w:r>
            <w:r w:rsidRPr="00AA5B77">
              <w:rPr>
                <w:spacing w:val="-1"/>
                <w:sz w:val="20"/>
                <w:szCs w:val="20"/>
              </w:rPr>
              <w:t>l</w:t>
            </w:r>
            <w:r w:rsidRPr="00AA5B77">
              <w:rPr>
                <w:sz w:val="20"/>
                <w:szCs w:val="20"/>
              </w:rPr>
              <w:t>ecz</w:t>
            </w:r>
            <w:r w:rsidRPr="00AA5B77">
              <w:rPr>
                <w:spacing w:val="-1"/>
                <w:sz w:val="20"/>
                <w:szCs w:val="20"/>
              </w:rPr>
              <w:t>e</w:t>
            </w:r>
            <w:r w:rsidRPr="00AA5B77">
              <w:rPr>
                <w:sz w:val="20"/>
                <w:szCs w:val="20"/>
              </w:rPr>
              <w:t>n</w:t>
            </w:r>
            <w:r w:rsidRPr="00AA5B77">
              <w:rPr>
                <w:spacing w:val="-1"/>
                <w:sz w:val="20"/>
                <w:szCs w:val="20"/>
              </w:rPr>
              <w:t>i</w:t>
            </w:r>
            <w:r w:rsidRPr="00AA5B77">
              <w:rPr>
                <w:sz w:val="20"/>
                <w:szCs w:val="20"/>
              </w:rPr>
              <w:t>e p</w:t>
            </w:r>
            <w:r w:rsidRPr="00AA5B77">
              <w:rPr>
                <w:spacing w:val="-1"/>
                <w:sz w:val="20"/>
                <w:szCs w:val="20"/>
              </w:rPr>
              <w:t>r</w:t>
            </w:r>
            <w:r w:rsidRPr="00AA5B77">
              <w:rPr>
                <w:sz w:val="20"/>
                <w:szCs w:val="20"/>
              </w:rPr>
              <w:t>zep</w:t>
            </w:r>
            <w:r w:rsidRPr="00AA5B77">
              <w:rPr>
                <w:spacing w:val="-1"/>
                <w:sz w:val="20"/>
                <w:szCs w:val="20"/>
              </w:rPr>
              <w:t>r</w:t>
            </w:r>
            <w:r w:rsidRPr="00AA5B77">
              <w:rPr>
                <w:sz w:val="20"/>
                <w:szCs w:val="20"/>
              </w:rPr>
              <w:t>o</w:t>
            </w:r>
            <w:r w:rsidRPr="00AA5B77">
              <w:rPr>
                <w:spacing w:val="-1"/>
                <w:sz w:val="20"/>
                <w:szCs w:val="20"/>
              </w:rPr>
              <w:t>w</w:t>
            </w:r>
            <w:r w:rsidRPr="00AA5B77">
              <w:rPr>
                <w:sz w:val="20"/>
                <w:szCs w:val="20"/>
              </w:rPr>
              <w:t>adz</w:t>
            </w:r>
            <w:r w:rsidRPr="00AA5B77">
              <w:rPr>
                <w:spacing w:val="-3"/>
                <w:sz w:val="20"/>
                <w:szCs w:val="20"/>
              </w:rPr>
              <w:t>o</w:t>
            </w:r>
            <w:r w:rsidRPr="00AA5B77">
              <w:rPr>
                <w:sz w:val="20"/>
                <w:szCs w:val="20"/>
              </w:rPr>
              <w:t>na</w:t>
            </w:r>
            <w:r w:rsidR="00950513">
              <w:rPr>
                <w:sz w:val="20"/>
                <w:szCs w:val="20"/>
              </w:rPr>
              <w:t xml:space="preserve">                </w:t>
            </w:r>
            <w:r w:rsidRPr="00AA5B77">
              <w:rPr>
                <w:sz w:val="20"/>
                <w:szCs w:val="20"/>
              </w:rPr>
              <w:t>po 3</w:t>
            </w:r>
            <w:r w:rsidR="00950513">
              <w:rPr>
                <w:sz w:val="20"/>
                <w:szCs w:val="20"/>
              </w:rPr>
              <w:t xml:space="preserve"> </w:t>
            </w:r>
            <w:r w:rsidRPr="00AA5B77">
              <w:rPr>
                <w:spacing w:val="-4"/>
                <w:sz w:val="20"/>
                <w:szCs w:val="20"/>
              </w:rPr>
              <w:t>m</w:t>
            </w:r>
            <w:r w:rsidRPr="00AA5B77">
              <w:rPr>
                <w:spacing w:val="-1"/>
                <w:sz w:val="20"/>
                <w:szCs w:val="20"/>
              </w:rPr>
              <w:t>i</w:t>
            </w:r>
            <w:r w:rsidRPr="00AA5B77">
              <w:rPr>
                <w:sz w:val="20"/>
                <w:szCs w:val="20"/>
              </w:rPr>
              <w:t>e</w:t>
            </w:r>
            <w:r w:rsidRPr="00AA5B77">
              <w:rPr>
                <w:spacing w:val="-1"/>
                <w:sz w:val="20"/>
                <w:szCs w:val="20"/>
              </w:rPr>
              <w:t>s</w:t>
            </w:r>
            <w:r w:rsidRPr="00AA5B77">
              <w:rPr>
                <w:spacing w:val="1"/>
                <w:sz w:val="20"/>
                <w:szCs w:val="20"/>
              </w:rPr>
              <w:t>i</w:t>
            </w:r>
            <w:r w:rsidRPr="00AA5B77">
              <w:rPr>
                <w:sz w:val="20"/>
                <w:szCs w:val="20"/>
              </w:rPr>
              <w:t>ąca</w:t>
            </w:r>
            <w:r w:rsidRPr="00AA5B77">
              <w:rPr>
                <w:spacing w:val="-1"/>
                <w:sz w:val="20"/>
                <w:szCs w:val="20"/>
              </w:rPr>
              <w:t>c</w:t>
            </w:r>
            <w:r w:rsidRPr="00AA5B77">
              <w:rPr>
                <w:sz w:val="20"/>
                <w:szCs w:val="20"/>
              </w:rPr>
              <w:t>h</w:t>
            </w:r>
            <w:r w:rsidR="00950513">
              <w:rPr>
                <w:sz w:val="20"/>
                <w:szCs w:val="20"/>
              </w:rPr>
              <w:t xml:space="preserve"> </w:t>
            </w:r>
            <w:r w:rsidRPr="00AA5B77">
              <w:rPr>
                <w:spacing w:val="-1"/>
                <w:sz w:val="20"/>
                <w:szCs w:val="20"/>
              </w:rPr>
              <w:t>t</w:t>
            </w:r>
            <w:r w:rsidRPr="00AA5B77">
              <w:rPr>
                <w:sz w:val="20"/>
                <w:szCs w:val="20"/>
              </w:rPr>
              <w:t>e</w:t>
            </w:r>
            <w:r w:rsidRPr="00AA5B77">
              <w:rPr>
                <w:spacing w:val="-1"/>
                <w:sz w:val="20"/>
                <w:szCs w:val="20"/>
              </w:rPr>
              <w:t>r</w:t>
            </w:r>
            <w:r w:rsidRPr="00AA5B77">
              <w:rPr>
                <w:sz w:val="20"/>
                <w:szCs w:val="20"/>
              </w:rPr>
              <w:t>api</w:t>
            </w:r>
            <w:r w:rsidRPr="00AA5B77">
              <w:rPr>
                <w:spacing w:val="-1"/>
                <w:sz w:val="20"/>
                <w:szCs w:val="20"/>
              </w:rPr>
              <w:t>i</w:t>
            </w:r>
            <w:r w:rsidRPr="00AA5B77">
              <w:rPr>
                <w:sz w:val="20"/>
                <w:szCs w:val="20"/>
              </w:rPr>
              <w:t>,</w:t>
            </w:r>
            <w:r w:rsidR="00950513">
              <w:rPr>
                <w:sz w:val="20"/>
                <w:szCs w:val="20"/>
              </w:rPr>
              <w:t xml:space="preserve"> </w:t>
            </w:r>
            <w:r w:rsidRPr="00AA5B77">
              <w:rPr>
                <w:sz w:val="20"/>
                <w:szCs w:val="20"/>
              </w:rPr>
              <w:t>ko</w:t>
            </w:r>
            <w:r w:rsidRPr="00AA5B77">
              <w:rPr>
                <w:spacing w:val="-1"/>
                <w:sz w:val="20"/>
                <w:szCs w:val="20"/>
              </w:rPr>
              <w:t>l</w:t>
            </w:r>
            <w:r w:rsidRPr="00AA5B77">
              <w:rPr>
                <w:sz w:val="20"/>
                <w:szCs w:val="20"/>
              </w:rPr>
              <w:t>e</w:t>
            </w:r>
            <w:r w:rsidRPr="00AA5B77">
              <w:rPr>
                <w:spacing w:val="-1"/>
                <w:sz w:val="20"/>
                <w:szCs w:val="20"/>
              </w:rPr>
              <w:t>j</w:t>
            </w:r>
            <w:r w:rsidR="00950513">
              <w:rPr>
                <w:sz w:val="20"/>
                <w:szCs w:val="20"/>
              </w:rPr>
              <w:t xml:space="preserve">ne </w:t>
            </w:r>
            <w:r w:rsidRPr="00AA5B77">
              <w:rPr>
                <w:sz w:val="20"/>
                <w:szCs w:val="20"/>
              </w:rPr>
              <w:t>co</w:t>
            </w:r>
            <w:r w:rsidR="00950513">
              <w:rPr>
                <w:sz w:val="20"/>
                <w:szCs w:val="20"/>
              </w:rPr>
              <w:t xml:space="preserve"> </w:t>
            </w:r>
            <w:r w:rsidRPr="00AA5B77">
              <w:rPr>
                <w:sz w:val="20"/>
                <w:szCs w:val="20"/>
              </w:rPr>
              <w:t>3</w:t>
            </w:r>
            <w:r w:rsidR="00950513">
              <w:rPr>
                <w:sz w:val="20"/>
                <w:szCs w:val="20"/>
              </w:rPr>
              <w:t xml:space="preserve"> </w:t>
            </w:r>
            <w:r w:rsidRPr="00AA5B77">
              <w:rPr>
                <w:spacing w:val="-4"/>
                <w:sz w:val="20"/>
                <w:szCs w:val="20"/>
              </w:rPr>
              <w:t>m</w:t>
            </w:r>
            <w:r w:rsidRPr="00AA5B77">
              <w:rPr>
                <w:spacing w:val="-1"/>
                <w:sz w:val="20"/>
                <w:szCs w:val="20"/>
              </w:rPr>
              <w:t>i</w:t>
            </w:r>
            <w:r w:rsidRPr="00AA5B77">
              <w:rPr>
                <w:sz w:val="20"/>
                <w:szCs w:val="20"/>
              </w:rPr>
              <w:t>e</w:t>
            </w:r>
            <w:r w:rsidRPr="00AA5B77">
              <w:rPr>
                <w:spacing w:val="-1"/>
                <w:sz w:val="20"/>
                <w:szCs w:val="20"/>
              </w:rPr>
              <w:t>si</w:t>
            </w:r>
            <w:r w:rsidRPr="00AA5B77">
              <w:rPr>
                <w:sz w:val="20"/>
                <w:szCs w:val="20"/>
              </w:rPr>
              <w:t>ące</w:t>
            </w:r>
            <w:r w:rsidR="00950513">
              <w:rPr>
                <w:sz w:val="20"/>
                <w:szCs w:val="20"/>
              </w:rPr>
              <w:t xml:space="preserve"> </w:t>
            </w:r>
            <w:r w:rsidRPr="00AA5B77">
              <w:rPr>
                <w:sz w:val="20"/>
                <w:szCs w:val="20"/>
              </w:rPr>
              <w:t>p</w:t>
            </w:r>
            <w:r w:rsidRPr="00AA5B77">
              <w:rPr>
                <w:spacing w:val="-1"/>
                <w:sz w:val="20"/>
                <w:szCs w:val="20"/>
              </w:rPr>
              <w:t>r</w:t>
            </w:r>
            <w:r w:rsidRPr="00AA5B77">
              <w:rPr>
                <w:sz w:val="20"/>
                <w:szCs w:val="20"/>
              </w:rPr>
              <w:t>zez</w:t>
            </w:r>
            <w:r w:rsidR="00950513">
              <w:rPr>
                <w:sz w:val="20"/>
                <w:szCs w:val="20"/>
              </w:rPr>
              <w:t xml:space="preserve"> </w:t>
            </w:r>
            <w:r w:rsidRPr="00AA5B77">
              <w:rPr>
                <w:sz w:val="20"/>
                <w:szCs w:val="20"/>
              </w:rPr>
              <w:t>p</w:t>
            </w:r>
            <w:r w:rsidRPr="00AA5B77">
              <w:rPr>
                <w:spacing w:val="-1"/>
                <w:sz w:val="20"/>
                <w:szCs w:val="20"/>
              </w:rPr>
              <w:t>i</w:t>
            </w:r>
            <w:r w:rsidRPr="00AA5B77">
              <w:rPr>
                <w:sz w:val="20"/>
                <w:szCs w:val="20"/>
              </w:rPr>
              <w:t>e</w:t>
            </w:r>
            <w:r w:rsidRPr="00AA5B77">
              <w:rPr>
                <w:spacing w:val="-1"/>
                <w:sz w:val="20"/>
                <w:szCs w:val="20"/>
              </w:rPr>
              <w:t>rw</w:t>
            </w:r>
            <w:r w:rsidRPr="00AA5B77">
              <w:rPr>
                <w:sz w:val="20"/>
                <w:szCs w:val="20"/>
              </w:rPr>
              <w:t>s</w:t>
            </w:r>
            <w:r w:rsidRPr="00AA5B77">
              <w:rPr>
                <w:spacing w:val="-3"/>
                <w:sz w:val="20"/>
                <w:szCs w:val="20"/>
              </w:rPr>
              <w:t>z</w:t>
            </w:r>
            <w:r w:rsidRPr="00AA5B77">
              <w:rPr>
                <w:sz w:val="20"/>
                <w:szCs w:val="20"/>
              </w:rPr>
              <w:t xml:space="preserve">y </w:t>
            </w:r>
            <w:r w:rsidRPr="00AA5B77">
              <w:rPr>
                <w:spacing w:val="-1"/>
                <w:sz w:val="20"/>
                <w:szCs w:val="20"/>
              </w:rPr>
              <w:t>r</w:t>
            </w:r>
            <w:r w:rsidRPr="00AA5B77">
              <w:rPr>
                <w:sz w:val="20"/>
                <w:szCs w:val="20"/>
              </w:rPr>
              <w:t>ok</w:t>
            </w:r>
            <w:r w:rsidR="00950513">
              <w:rPr>
                <w:sz w:val="20"/>
                <w:szCs w:val="20"/>
              </w:rPr>
              <w:t xml:space="preserve"> </w:t>
            </w:r>
            <w:r w:rsidRPr="00AA5B77">
              <w:rPr>
                <w:sz w:val="20"/>
                <w:szCs w:val="20"/>
              </w:rPr>
              <w:t>od</w:t>
            </w:r>
            <w:r w:rsidR="00950513">
              <w:rPr>
                <w:sz w:val="20"/>
                <w:szCs w:val="20"/>
              </w:rPr>
              <w:t xml:space="preserve"> </w:t>
            </w:r>
            <w:r w:rsidRPr="00AA5B77">
              <w:rPr>
                <w:spacing w:val="-1"/>
                <w:sz w:val="20"/>
                <w:szCs w:val="20"/>
              </w:rPr>
              <w:t>r</w:t>
            </w:r>
            <w:r w:rsidRPr="00AA5B77">
              <w:rPr>
                <w:sz w:val="20"/>
                <w:szCs w:val="20"/>
              </w:rPr>
              <w:t>oz</w:t>
            </w:r>
            <w:r w:rsidRPr="00AA5B77">
              <w:rPr>
                <w:spacing w:val="-3"/>
                <w:sz w:val="20"/>
                <w:szCs w:val="20"/>
              </w:rPr>
              <w:t>p</w:t>
            </w:r>
            <w:r w:rsidRPr="00AA5B77">
              <w:rPr>
                <w:sz w:val="20"/>
                <w:szCs w:val="20"/>
              </w:rPr>
              <w:t>oczę</w:t>
            </w:r>
            <w:r w:rsidRPr="00AA5B77">
              <w:rPr>
                <w:spacing w:val="-1"/>
                <w:sz w:val="20"/>
                <w:szCs w:val="20"/>
              </w:rPr>
              <w:t>ci</w:t>
            </w:r>
            <w:r w:rsidRPr="00AA5B77">
              <w:rPr>
                <w:sz w:val="20"/>
                <w:szCs w:val="20"/>
              </w:rPr>
              <w:t xml:space="preserve">a </w:t>
            </w:r>
            <w:r w:rsidRPr="00AA5B77">
              <w:rPr>
                <w:spacing w:val="-1"/>
                <w:sz w:val="20"/>
                <w:szCs w:val="20"/>
              </w:rPr>
              <w:t>t</w:t>
            </w:r>
            <w:r w:rsidRPr="00AA5B77">
              <w:rPr>
                <w:sz w:val="20"/>
                <w:szCs w:val="20"/>
              </w:rPr>
              <w:t>e</w:t>
            </w:r>
            <w:r w:rsidRPr="00AA5B77">
              <w:rPr>
                <w:spacing w:val="-1"/>
                <w:sz w:val="20"/>
                <w:szCs w:val="20"/>
              </w:rPr>
              <w:t>r</w:t>
            </w:r>
            <w:r w:rsidRPr="00AA5B77">
              <w:rPr>
                <w:sz w:val="20"/>
                <w:szCs w:val="20"/>
              </w:rPr>
              <w:t>ap</w:t>
            </w:r>
            <w:r w:rsidRPr="00AA5B77">
              <w:rPr>
                <w:spacing w:val="-1"/>
                <w:sz w:val="20"/>
                <w:szCs w:val="20"/>
              </w:rPr>
              <w:t>ii</w:t>
            </w:r>
            <w:r w:rsidRPr="00AA5B77">
              <w:rPr>
                <w:sz w:val="20"/>
                <w:szCs w:val="20"/>
              </w:rPr>
              <w:t>, na</w:t>
            </w:r>
            <w:r w:rsidRPr="00AA5B77">
              <w:rPr>
                <w:spacing w:val="-1"/>
                <w:sz w:val="20"/>
                <w:szCs w:val="20"/>
              </w:rPr>
              <w:t>st</w:t>
            </w:r>
            <w:r w:rsidRPr="00AA5B77">
              <w:rPr>
                <w:sz w:val="20"/>
                <w:szCs w:val="20"/>
              </w:rPr>
              <w:t>ępn</w:t>
            </w:r>
            <w:r w:rsidRPr="00AA5B77">
              <w:rPr>
                <w:spacing w:val="-1"/>
                <w:sz w:val="20"/>
                <w:szCs w:val="20"/>
              </w:rPr>
              <w:t>i</w:t>
            </w:r>
            <w:r w:rsidRPr="00AA5B77">
              <w:rPr>
                <w:sz w:val="20"/>
                <w:szCs w:val="20"/>
              </w:rPr>
              <w:t xml:space="preserve">e co 6 </w:t>
            </w:r>
            <w:r w:rsidRPr="00AA5B77">
              <w:rPr>
                <w:spacing w:val="-4"/>
                <w:sz w:val="20"/>
                <w:szCs w:val="20"/>
              </w:rPr>
              <w:t>m</w:t>
            </w:r>
            <w:r w:rsidRPr="00AA5B77">
              <w:rPr>
                <w:spacing w:val="-1"/>
                <w:sz w:val="20"/>
                <w:szCs w:val="20"/>
              </w:rPr>
              <w:t>i</w:t>
            </w:r>
            <w:r w:rsidRPr="00AA5B77">
              <w:rPr>
                <w:sz w:val="20"/>
                <w:szCs w:val="20"/>
              </w:rPr>
              <w:t>e</w:t>
            </w:r>
            <w:r w:rsidRPr="00AA5B77">
              <w:rPr>
                <w:spacing w:val="-1"/>
                <w:sz w:val="20"/>
                <w:szCs w:val="20"/>
              </w:rPr>
              <w:t>si</w:t>
            </w:r>
            <w:r w:rsidRPr="00AA5B77">
              <w:rPr>
                <w:sz w:val="20"/>
                <w:szCs w:val="20"/>
              </w:rPr>
              <w:t>ę</w:t>
            </w:r>
            <w:r w:rsidRPr="00AA5B77">
              <w:rPr>
                <w:spacing w:val="2"/>
                <w:sz w:val="20"/>
                <w:szCs w:val="20"/>
              </w:rPr>
              <w:t>c</w:t>
            </w:r>
            <w:r w:rsidRPr="00AA5B77">
              <w:rPr>
                <w:sz w:val="20"/>
                <w:szCs w:val="20"/>
              </w:rPr>
              <w:t>y</w:t>
            </w:r>
            <w:r w:rsidR="00950513">
              <w:rPr>
                <w:sz w:val="20"/>
                <w:szCs w:val="20"/>
              </w:rPr>
              <w:t>.</w:t>
            </w:r>
          </w:p>
          <w:p w:rsidR="009B7E25" w:rsidRPr="00AA5B77" w:rsidRDefault="009B7E25" w:rsidP="00950513">
            <w:pPr>
              <w:pStyle w:val="Akapitzlist"/>
              <w:spacing w:line="276" w:lineRule="auto"/>
              <w:ind w:left="71"/>
              <w:jc w:val="both"/>
              <w:rPr>
                <w:sz w:val="20"/>
                <w:szCs w:val="20"/>
              </w:rPr>
            </w:pPr>
          </w:p>
          <w:p w:rsidR="00455021" w:rsidRPr="001E723E" w:rsidRDefault="00455021" w:rsidP="00950513">
            <w:pPr>
              <w:spacing w:line="276" w:lineRule="auto"/>
              <w:jc w:val="both"/>
              <w:rPr>
                <w:sz w:val="20"/>
                <w:szCs w:val="20"/>
              </w:rPr>
            </w:pPr>
            <w:r w:rsidRPr="001E723E">
              <w:rPr>
                <w:sz w:val="20"/>
                <w:szCs w:val="20"/>
              </w:rPr>
              <w:t xml:space="preserve">Ocena odpowiedzi na leczenie powinna być przeprowadzona zgodnie </w:t>
            </w:r>
            <w:r w:rsidR="0003236A" w:rsidRPr="001E723E">
              <w:rPr>
                <w:sz w:val="20"/>
                <w:szCs w:val="20"/>
              </w:rPr>
              <w:t xml:space="preserve">z </w:t>
            </w:r>
            <w:r w:rsidR="00510D27" w:rsidRPr="001E723E">
              <w:rPr>
                <w:sz w:val="20"/>
                <w:szCs w:val="20"/>
              </w:rPr>
              <w:t>zaleceniami</w:t>
            </w:r>
            <w:r w:rsidRPr="001E723E">
              <w:rPr>
                <w:sz w:val="20"/>
                <w:szCs w:val="20"/>
              </w:rPr>
              <w:t xml:space="preserve"> Polskiego Towarzys</w:t>
            </w:r>
            <w:r w:rsidR="00E52D7F" w:rsidRPr="001E723E">
              <w:rPr>
                <w:sz w:val="20"/>
                <w:szCs w:val="20"/>
              </w:rPr>
              <w:t xml:space="preserve">twa </w:t>
            </w:r>
            <w:r w:rsidR="00EC063F">
              <w:rPr>
                <w:sz w:val="20"/>
                <w:szCs w:val="20"/>
              </w:rPr>
              <w:t>Hematologów</w:t>
            </w:r>
            <w:r w:rsidR="00CB1259">
              <w:rPr>
                <w:sz w:val="20"/>
                <w:szCs w:val="20"/>
              </w:rPr>
              <w:t xml:space="preserve"> </w:t>
            </w:r>
            <w:r w:rsidR="00EC063F">
              <w:rPr>
                <w:sz w:val="20"/>
                <w:szCs w:val="20"/>
              </w:rPr>
              <w:t>i Transfuzjologów (</w:t>
            </w:r>
            <w:proofErr w:type="spellStart"/>
            <w:r w:rsidR="00EC063F">
              <w:rPr>
                <w:sz w:val="20"/>
                <w:szCs w:val="20"/>
              </w:rPr>
              <w:t>PTHiT</w:t>
            </w:r>
            <w:proofErr w:type="spellEnd"/>
            <w:r w:rsidR="00EC063F">
              <w:rPr>
                <w:sz w:val="20"/>
                <w:szCs w:val="20"/>
              </w:rPr>
              <w:t>)</w:t>
            </w:r>
            <w:r w:rsidR="00D41EF0">
              <w:rPr>
                <w:sz w:val="20"/>
                <w:szCs w:val="20"/>
              </w:rPr>
              <w:t xml:space="preserve">, </w:t>
            </w:r>
            <w:r w:rsidR="00EC063F">
              <w:rPr>
                <w:sz w:val="20"/>
                <w:szCs w:val="20"/>
              </w:rPr>
              <w:t xml:space="preserve">Polskiej Grupy </w:t>
            </w:r>
            <w:r w:rsidR="00D41EF0">
              <w:rPr>
                <w:sz w:val="20"/>
                <w:szCs w:val="20"/>
              </w:rPr>
              <w:t xml:space="preserve">ds. Leczenia </w:t>
            </w:r>
            <w:r w:rsidR="00EC063F">
              <w:rPr>
                <w:sz w:val="20"/>
                <w:szCs w:val="20"/>
              </w:rPr>
              <w:t xml:space="preserve">Białaczek </w:t>
            </w:r>
            <w:r w:rsidR="00D41EF0">
              <w:rPr>
                <w:sz w:val="20"/>
                <w:szCs w:val="20"/>
              </w:rPr>
              <w:t xml:space="preserve">u </w:t>
            </w:r>
            <w:r w:rsidR="00EC063F">
              <w:rPr>
                <w:sz w:val="20"/>
                <w:szCs w:val="20"/>
              </w:rPr>
              <w:t>Dorosłych (PALG)</w:t>
            </w:r>
            <w:r w:rsidR="00D41EF0">
              <w:rPr>
                <w:sz w:val="20"/>
                <w:szCs w:val="20"/>
              </w:rPr>
              <w:t xml:space="preserve"> czy</w:t>
            </w:r>
            <w:r w:rsidR="00CB1259">
              <w:rPr>
                <w:sz w:val="20"/>
                <w:szCs w:val="20"/>
              </w:rPr>
              <w:t xml:space="preserve"> </w:t>
            </w:r>
            <w:r w:rsidR="00EC063F">
              <w:rPr>
                <w:sz w:val="20"/>
                <w:szCs w:val="20"/>
              </w:rPr>
              <w:t>Polskiego Towarzystwa Onkologii Klinicznej</w:t>
            </w:r>
            <w:r w:rsidR="00D41EF0">
              <w:rPr>
                <w:sz w:val="20"/>
                <w:szCs w:val="20"/>
              </w:rPr>
              <w:t xml:space="preserve"> (PTOK)</w:t>
            </w:r>
            <w:r w:rsidR="00EC063F">
              <w:rPr>
                <w:sz w:val="20"/>
                <w:szCs w:val="20"/>
              </w:rPr>
              <w:t>.</w:t>
            </w:r>
          </w:p>
          <w:p w:rsidR="007C7773" w:rsidRPr="00542DBC" w:rsidRDefault="007C7773" w:rsidP="00EF1F15">
            <w:pPr>
              <w:autoSpaceDE w:val="0"/>
              <w:autoSpaceDN w:val="0"/>
              <w:adjustRightInd w:val="0"/>
              <w:spacing w:line="276" w:lineRule="auto"/>
              <w:rPr>
                <w:sz w:val="20"/>
                <w:szCs w:val="20"/>
              </w:rPr>
            </w:pPr>
          </w:p>
          <w:p w:rsidR="00EF52C7" w:rsidRPr="00F441C9" w:rsidRDefault="00EF52C7" w:rsidP="005F2228">
            <w:pPr>
              <w:numPr>
                <w:ilvl w:val="0"/>
                <w:numId w:val="5"/>
              </w:numPr>
              <w:autoSpaceDE w:val="0"/>
              <w:autoSpaceDN w:val="0"/>
              <w:adjustRightInd w:val="0"/>
              <w:spacing w:after="120" w:line="276" w:lineRule="auto"/>
              <w:ind w:left="294" w:hanging="266"/>
              <w:rPr>
                <w:b/>
                <w:sz w:val="20"/>
                <w:szCs w:val="20"/>
              </w:rPr>
            </w:pPr>
            <w:r w:rsidRPr="00F441C9">
              <w:rPr>
                <w:b/>
                <w:sz w:val="20"/>
                <w:szCs w:val="20"/>
              </w:rPr>
              <w:t>Monitorowanie programu:</w:t>
            </w:r>
          </w:p>
          <w:p w:rsidR="00EF52C7" w:rsidRDefault="00EF52C7" w:rsidP="005F2228">
            <w:pPr>
              <w:pStyle w:val="Akapitzlist"/>
              <w:numPr>
                <w:ilvl w:val="0"/>
                <w:numId w:val="2"/>
              </w:numPr>
              <w:autoSpaceDE w:val="0"/>
              <w:autoSpaceDN w:val="0"/>
              <w:adjustRightInd w:val="0"/>
              <w:spacing w:line="276" w:lineRule="auto"/>
              <w:ind w:left="376" w:hanging="283"/>
              <w:rPr>
                <w:sz w:val="20"/>
                <w:szCs w:val="20"/>
              </w:rPr>
            </w:pPr>
            <w:r>
              <w:rPr>
                <w:sz w:val="20"/>
                <w:szCs w:val="20"/>
              </w:rPr>
              <w:t xml:space="preserve">gromadzenie </w:t>
            </w:r>
            <w:r w:rsidR="0040253D">
              <w:rPr>
                <w:sz w:val="20"/>
                <w:szCs w:val="20"/>
              </w:rPr>
              <w:t xml:space="preserve">w </w:t>
            </w:r>
            <w:r>
              <w:rPr>
                <w:sz w:val="20"/>
                <w:szCs w:val="20"/>
              </w:rPr>
              <w:t>dokumentacji</w:t>
            </w:r>
            <w:r w:rsidRPr="00EF52C7">
              <w:rPr>
                <w:sz w:val="20"/>
                <w:szCs w:val="20"/>
              </w:rPr>
              <w:t xml:space="preserve"> medycznej pacje</w:t>
            </w:r>
            <w:r w:rsidR="004133D9">
              <w:rPr>
                <w:sz w:val="20"/>
                <w:szCs w:val="20"/>
              </w:rPr>
              <w:t>n</w:t>
            </w:r>
            <w:r w:rsidRPr="00EF52C7">
              <w:rPr>
                <w:sz w:val="20"/>
                <w:szCs w:val="20"/>
              </w:rPr>
              <w:t xml:space="preserve">ta </w:t>
            </w:r>
            <w:r>
              <w:rPr>
                <w:sz w:val="20"/>
                <w:szCs w:val="20"/>
              </w:rPr>
              <w:t>danych dotyczących</w:t>
            </w:r>
            <w:r w:rsidRPr="00EF52C7">
              <w:rPr>
                <w:sz w:val="20"/>
                <w:szCs w:val="20"/>
              </w:rPr>
              <w:t xml:space="preserve"> monitorowania leczenia i każdorazowo przedstawia</w:t>
            </w:r>
            <w:r>
              <w:rPr>
                <w:sz w:val="20"/>
                <w:szCs w:val="20"/>
              </w:rPr>
              <w:t>nie</w:t>
            </w:r>
            <w:r w:rsidRPr="00EF52C7">
              <w:rPr>
                <w:sz w:val="20"/>
                <w:szCs w:val="20"/>
              </w:rPr>
              <w:t xml:space="preserve"> na żądanie kontroler</w:t>
            </w:r>
            <w:r>
              <w:rPr>
                <w:sz w:val="20"/>
                <w:szCs w:val="20"/>
              </w:rPr>
              <w:t>ów</w:t>
            </w:r>
            <w:r w:rsidR="00734A11">
              <w:rPr>
                <w:sz w:val="20"/>
                <w:szCs w:val="20"/>
              </w:rPr>
              <w:t xml:space="preserve"> NFZ;</w:t>
            </w:r>
          </w:p>
          <w:p w:rsidR="00EF52C7" w:rsidRPr="00EF52C7" w:rsidRDefault="00EF52C7" w:rsidP="005F2228">
            <w:pPr>
              <w:pStyle w:val="Akapitzlist"/>
              <w:numPr>
                <w:ilvl w:val="0"/>
                <w:numId w:val="2"/>
              </w:numPr>
              <w:autoSpaceDE w:val="0"/>
              <w:autoSpaceDN w:val="0"/>
              <w:adjustRightInd w:val="0"/>
              <w:spacing w:line="276" w:lineRule="auto"/>
              <w:ind w:left="376" w:hanging="283"/>
              <w:rPr>
                <w:sz w:val="20"/>
                <w:szCs w:val="20"/>
              </w:rPr>
            </w:pPr>
            <w:r w:rsidRPr="00EF52C7">
              <w:rPr>
                <w:sz w:val="20"/>
                <w:szCs w:val="20"/>
              </w:rPr>
              <w:t xml:space="preserve">uzupełnianie danych zawartych w rejestrze </w:t>
            </w:r>
            <w:r>
              <w:rPr>
                <w:sz w:val="20"/>
                <w:szCs w:val="20"/>
              </w:rPr>
              <w:t xml:space="preserve">(SMPT) </w:t>
            </w:r>
            <w:r w:rsidRPr="00EF52C7">
              <w:rPr>
                <w:sz w:val="20"/>
                <w:szCs w:val="20"/>
              </w:rPr>
              <w:t>dostępnym za pomocą aplikacji internetowej udostępnionej przez OW NFZ</w:t>
            </w:r>
            <w:r w:rsidR="00455021">
              <w:rPr>
                <w:sz w:val="20"/>
                <w:szCs w:val="20"/>
              </w:rPr>
              <w:t>,</w:t>
            </w:r>
            <w:r w:rsidR="00950513">
              <w:rPr>
                <w:sz w:val="20"/>
                <w:szCs w:val="20"/>
              </w:rPr>
              <w:t xml:space="preserve"> </w:t>
            </w:r>
            <w:r w:rsidR="00734A11">
              <w:rPr>
                <w:sz w:val="20"/>
                <w:szCs w:val="20"/>
              </w:rPr>
              <w:t>z częstotliwością zgodną</w:t>
            </w:r>
            <w:r>
              <w:rPr>
                <w:sz w:val="20"/>
                <w:szCs w:val="20"/>
              </w:rPr>
              <w:t xml:space="preserve"> z opisem programu</w:t>
            </w:r>
            <w:r w:rsidRPr="00EF52C7">
              <w:rPr>
                <w:sz w:val="20"/>
                <w:szCs w:val="20"/>
              </w:rPr>
              <w:t xml:space="preserve"> oraz na zakończenie leczenia</w:t>
            </w:r>
            <w:r w:rsidR="00734A11">
              <w:rPr>
                <w:sz w:val="20"/>
                <w:szCs w:val="20"/>
              </w:rPr>
              <w:t>;</w:t>
            </w:r>
          </w:p>
          <w:p w:rsidR="001C600E" w:rsidRPr="00EF52C7" w:rsidRDefault="0040253D" w:rsidP="00950513">
            <w:pPr>
              <w:pStyle w:val="Akapitzlist"/>
              <w:numPr>
                <w:ilvl w:val="0"/>
                <w:numId w:val="2"/>
              </w:numPr>
              <w:autoSpaceDE w:val="0"/>
              <w:autoSpaceDN w:val="0"/>
              <w:adjustRightInd w:val="0"/>
              <w:spacing w:line="276" w:lineRule="auto"/>
              <w:ind w:left="376" w:hanging="283"/>
              <w:jc w:val="both"/>
              <w:rPr>
                <w:sz w:val="20"/>
                <w:szCs w:val="20"/>
              </w:rPr>
            </w:pPr>
            <w:r>
              <w:rPr>
                <w:sz w:val="20"/>
                <w:szCs w:val="20"/>
              </w:rPr>
              <w:t>p</w:t>
            </w:r>
            <w:r w:rsidR="001C600E" w:rsidRPr="00EF52C7">
              <w:rPr>
                <w:sz w:val="20"/>
                <w:szCs w:val="20"/>
              </w:rPr>
              <w:t>rzekazywani</w:t>
            </w:r>
            <w:r w:rsidR="00EF52C7" w:rsidRPr="00EF52C7">
              <w:rPr>
                <w:sz w:val="20"/>
                <w:szCs w:val="20"/>
              </w:rPr>
              <w:t>e</w:t>
            </w:r>
            <w:r w:rsidR="00FC243F">
              <w:rPr>
                <w:sz w:val="20"/>
                <w:szCs w:val="20"/>
              </w:rPr>
              <w:t xml:space="preserve"> informacji sprawozdawczo-</w:t>
            </w:r>
            <w:r w:rsidR="001C600E" w:rsidRPr="00EF52C7">
              <w:rPr>
                <w:sz w:val="20"/>
                <w:szCs w:val="20"/>
              </w:rPr>
              <w:t>rozliczeniowych</w:t>
            </w:r>
            <w:r w:rsidR="00EF52C7" w:rsidRPr="00EF52C7">
              <w:rPr>
                <w:sz w:val="20"/>
                <w:szCs w:val="20"/>
              </w:rPr>
              <w:t xml:space="preserve"> </w:t>
            </w:r>
            <w:r w:rsidR="00950513">
              <w:rPr>
                <w:sz w:val="20"/>
                <w:szCs w:val="20"/>
              </w:rPr>
              <w:t xml:space="preserve">    </w:t>
            </w:r>
            <w:r w:rsidR="00EF52C7" w:rsidRPr="00EF52C7">
              <w:rPr>
                <w:sz w:val="20"/>
                <w:szCs w:val="20"/>
              </w:rPr>
              <w:t xml:space="preserve">do NFZ: </w:t>
            </w:r>
            <w:r w:rsidR="00950513">
              <w:rPr>
                <w:sz w:val="20"/>
                <w:szCs w:val="20"/>
              </w:rPr>
              <w:t>i</w:t>
            </w:r>
            <w:r w:rsidR="001C600E" w:rsidRPr="00EF52C7">
              <w:rPr>
                <w:sz w:val="20"/>
                <w:szCs w:val="20"/>
              </w:rPr>
              <w:t>nformacje przekaz</w:t>
            </w:r>
            <w:r w:rsidR="00EF52C7" w:rsidRPr="00EF52C7">
              <w:rPr>
                <w:sz w:val="20"/>
                <w:szCs w:val="20"/>
              </w:rPr>
              <w:t xml:space="preserve">uje się </w:t>
            </w:r>
            <w:r w:rsidR="001C600E" w:rsidRPr="00EF52C7">
              <w:rPr>
                <w:sz w:val="20"/>
                <w:szCs w:val="20"/>
              </w:rPr>
              <w:t>w formie papierowej i/lub w</w:t>
            </w:r>
            <w:r w:rsidR="00B90A15" w:rsidRPr="00EF52C7">
              <w:rPr>
                <w:sz w:val="20"/>
                <w:szCs w:val="20"/>
              </w:rPr>
              <w:t> </w:t>
            </w:r>
            <w:r w:rsidR="001C600E" w:rsidRPr="00EF52C7">
              <w:rPr>
                <w:sz w:val="20"/>
                <w:szCs w:val="20"/>
              </w:rPr>
              <w:t>formie elektronicznej, zgodnie z wymaganiami opublikowanymi przez Narodowy Fundusz Zdrowia.</w:t>
            </w:r>
          </w:p>
        </w:tc>
      </w:tr>
    </w:tbl>
    <w:p w:rsidR="00743C43" w:rsidRPr="00A8669E" w:rsidRDefault="00743C43" w:rsidP="00EF1F15">
      <w:pPr>
        <w:spacing w:line="276" w:lineRule="auto"/>
        <w:rPr>
          <w:sz w:val="2"/>
          <w:szCs w:val="20"/>
        </w:rPr>
      </w:pPr>
    </w:p>
    <w:sectPr w:rsidR="00743C43" w:rsidRPr="00A8669E" w:rsidSect="00824794">
      <w:footerReference w:type="default" r:id="rId8"/>
      <w:pgSz w:w="16838" w:h="11906" w:orient="landscape" w:code="9"/>
      <w:pgMar w:top="1588" w:right="720" w:bottom="1418" w:left="720" w:header="709" w:footer="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A40" w:rsidRDefault="00363A40" w:rsidP="00C71DD3">
      <w:r>
        <w:separator/>
      </w:r>
    </w:p>
  </w:endnote>
  <w:endnote w:type="continuationSeparator" w:id="0">
    <w:p w:rsidR="00363A40" w:rsidRDefault="00363A40" w:rsidP="00C71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KBKDC+Arial">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2348642"/>
      <w:docPartObj>
        <w:docPartGallery w:val="Page Numbers (Bottom of Page)"/>
        <w:docPartUnique/>
      </w:docPartObj>
    </w:sdtPr>
    <w:sdtEndPr/>
    <w:sdtContent>
      <w:p w:rsidR="00FB0A51" w:rsidRDefault="00200D26">
        <w:pPr>
          <w:pStyle w:val="Stopka"/>
          <w:jc w:val="center"/>
        </w:pPr>
        <w:r>
          <w:fldChar w:fldCharType="begin"/>
        </w:r>
        <w:r w:rsidR="00FB0A51">
          <w:instrText>PAGE   \* MERGEFORMAT</w:instrText>
        </w:r>
        <w:r>
          <w:fldChar w:fldCharType="separate"/>
        </w:r>
        <w:r w:rsidR="00824794">
          <w:rPr>
            <w:noProof/>
          </w:rPr>
          <w:t>1</w:t>
        </w:r>
        <w:r>
          <w:fldChar w:fldCharType="end"/>
        </w:r>
      </w:p>
    </w:sdtContent>
  </w:sdt>
  <w:p w:rsidR="00FB0A51" w:rsidRDefault="00FB0A5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A40" w:rsidRDefault="00363A40" w:rsidP="00C71DD3">
      <w:r>
        <w:separator/>
      </w:r>
    </w:p>
  </w:footnote>
  <w:footnote w:type="continuationSeparator" w:id="0">
    <w:p w:rsidR="00363A40" w:rsidRDefault="00363A40" w:rsidP="00C71D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73707"/>
    <w:multiLevelType w:val="hybridMultilevel"/>
    <w:tmpl w:val="A4FCC32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52A4795"/>
    <w:multiLevelType w:val="hybridMultilevel"/>
    <w:tmpl w:val="581CB68C"/>
    <w:lvl w:ilvl="0" w:tplc="A434C728">
      <w:start w:val="1"/>
      <w:numFmt w:val="decimal"/>
      <w:lvlText w:val="%1)"/>
      <w:lvlJc w:val="left"/>
      <w:pPr>
        <w:ind w:left="856" w:hanging="360"/>
      </w:pPr>
      <w:rPr>
        <w:rFonts w:ascii="Times New Roman" w:eastAsia="Times New Roman" w:hAnsi="Times New Roman" w:cs="Times New Roman"/>
      </w:rPr>
    </w:lvl>
    <w:lvl w:ilvl="1" w:tplc="04090019" w:tentative="1">
      <w:start w:val="1"/>
      <w:numFmt w:val="lowerLetter"/>
      <w:lvlText w:val="%2."/>
      <w:lvlJc w:val="left"/>
      <w:pPr>
        <w:ind w:left="1576" w:hanging="360"/>
      </w:pPr>
    </w:lvl>
    <w:lvl w:ilvl="2" w:tplc="0409001B" w:tentative="1">
      <w:start w:val="1"/>
      <w:numFmt w:val="lowerRoman"/>
      <w:lvlText w:val="%3."/>
      <w:lvlJc w:val="right"/>
      <w:pPr>
        <w:ind w:left="2296" w:hanging="180"/>
      </w:pPr>
    </w:lvl>
    <w:lvl w:ilvl="3" w:tplc="0409000F" w:tentative="1">
      <w:start w:val="1"/>
      <w:numFmt w:val="decimal"/>
      <w:lvlText w:val="%4."/>
      <w:lvlJc w:val="left"/>
      <w:pPr>
        <w:ind w:left="3016" w:hanging="360"/>
      </w:pPr>
    </w:lvl>
    <w:lvl w:ilvl="4" w:tplc="04090019" w:tentative="1">
      <w:start w:val="1"/>
      <w:numFmt w:val="lowerLetter"/>
      <w:lvlText w:val="%5."/>
      <w:lvlJc w:val="left"/>
      <w:pPr>
        <w:ind w:left="3736" w:hanging="360"/>
      </w:pPr>
    </w:lvl>
    <w:lvl w:ilvl="5" w:tplc="0409001B" w:tentative="1">
      <w:start w:val="1"/>
      <w:numFmt w:val="lowerRoman"/>
      <w:lvlText w:val="%6."/>
      <w:lvlJc w:val="right"/>
      <w:pPr>
        <w:ind w:left="4456" w:hanging="180"/>
      </w:pPr>
    </w:lvl>
    <w:lvl w:ilvl="6" w:tplc="0409000F" w:tentative="1">
      <w:start w:val="1"/>
      <w:numFmt w:val="decimal"/>
      <w:lvlText w:val="%7."/>
      <w:lvlJc w:val="left"/>
      <w:pPr>
        <w:ind w:left="5176" w:hanging="360"/>
      </w:pPr>
    </w:lvl>
    <w:lvl w:ilvl="7" w:tplc="04090019" w:tentative="1">
      <w:start w:val="1"/>
      <w:numFmt w:val="lowerLetter"/>
      <w:lvlText w:val="%8."/>
      <w:lvlJc w:val="left"/>
      <w:pPr>
        <w:ind w:left="5896" w:hanging="360"/>
      </w:pPr>
    </w:lvl>
    <w:lvl w:ilvl="8" w:tplc="0409001B" w:tentative="1">
      <w:start w:val="1"/>
      <w:numFmt w:val="lowerRoman"/>
      <w:lvlText w:val="%9."/>
      <w:lvlJc w:val="right"/>
      <w:pPr>
        <w:ind w:left="6616" w:hanging="180"/>
      </w:pPr>
    </w:lvl>
  </w:abstractNum>
  <w:abstractNum w:abstractNumId="2" w15:restartNumberingAfterBreak="0">
    <w:nsid w:val="0EF9268D"/>
    <w:multiLevelType w:val="hybridMultilevel"/>
    <w:tmpl w:val="3EE2EA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5A298E"/>
    <w:multiLevelType w:val="hybridMultilevel"/>
    <w:tmpl w:val="0598134E"/>
    <w:lvl w:ilvl="0" w:tplc="FD961592">
      <w:start w:val="1"/>
      <w:numFmt w:val="decimal"/>
      <w:lvlText w:val="1.%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8D1B51"/>
    <w:multiLevelType w:val="hybridMultilevel"/>
    <w:tmpl w:val="49BE6ECE"/>
    <w:lvl w:ilvl="0" w:tplc="0CCC28BC">
      <w:start w:val="1"/>
      <w:numFmt w:val="decimal"/>
      <w:lvlText w:val="%1)"/>
      <w:lvlJc w:val="left"/>
      <w:pPr>
        <w:ind w:left="617"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931F81"/>
    <w:multiLevelType w:val="hybridMultilevel"/>
    <w:tmpl w:val="85CA08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EEA7FE4"/>
    <w:multiLevelType w:val="hybridMultilevel"/>
    <w:tmpl w:val="0194EAA0"/>
    <w:lvl w:ilvl="0" w:tplc="B2B68838">
      <w:start w:val="1"/>
      <w:numFmt w:val="decimal"/>
      <w:lvlText w:val="%1)"/>
      <w:lvlJc w:val="left"/>
      <w:pPr>
        <w:ind w:left="1068" w:hanging="360"/>
      </w:pPr>
      <w:rPr>
        <w:sz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36092DE8"/>
    <w:multiLevelType w:val="hybridMultilevel"/>
    <w:tmpl w:val="A36CF8D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38857428"/>
    <w:multiLevelType w:val="hybridMultilevel"/>
    <w:tmpl w:val="F5F0BBAA"/>
    <w:lvl w:ilvl="0" w:tplc="0B8071A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3C77E05"/>
    <w:multiLevelType w:val="hybridMultilevel"/>
    <w:tmpl w:val="099C04F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BC72B5"/>
    <w:multiLevelType w:val="hybridMultilevel"/>
    <w:tmpl w:val="650E61D2"/>
    <w:lvl w:ilvl="0" w:tplc="04090013">
      <w:start w:val="1"/>
      <w:numFmt w:val="upperRoman"/>
      <w:lvlText w:val="%1."/>
      <w:lvlJc w:val="right"/>
      <w:pPr>
        <w:ind w:left="617" w:hanging="360"/>
      </w:pPr>
      <w:rPr>
        <w:rFonts w:hint="default"/>
      </w:rPr>
    </w:lvl>
    <w:lvl w:ilvl="1" w:tplc="04090019" w:tentative="1">
      <w:start w:val="1"/>
      <w:numFmt w:val="lowerLetter"/>
      <w:lvlText w:val="%2."/>
      <w:lvlJc w:val="left"/>
      <w:pPr>
        <w:ind w:left="1337" w:hanging="360"/>
      </w:pPr>
    </w:lvl>
    <w:lvl w:ilvl="2" w:tplc="0409001B" w:tentative="1">
      <w:start w:val="1"/>
      <w:numFmt w:val="lowerRoman"/>
      <w:lvlText w:val="%3."/>
      <w:lvlJc w:val="right"/>
      <w:pPr>
        <w:ind w:left="2057" w:hanging="180"/>
      </w:pPr>
    </w:lvl>
    <w:lvl w:ilvl="3" w:tplc="0409000F" w:tentative="1">
      <w:start w:val="1"/>
      <w:numFmt w:val="decimal"/>
      <w:lvlText w:val="%4."/>
      <w:lvlJc w:val="left"/>
      <w:pPr>
        <w:ind w:left="2777" w:hanging="360"/>
      </w:pPr>
    </w:lvl>
    <w:lvl w:ilvl="4" w:tplc="04090019" w:tentative="1">
      <w:start w:val="1"/>
      <w:numFmt w:val="lowerLetter"/>
      <w:lvlText w:val="%5."/>
      <w:lvlJc w:val="left"/>
      <w:pPr>
        <w:ind w:left="3497" w:hanging="360"/>
      </w:pPr>
    </w:lvl>
    <w:lvl w:ilvl="5" w:tplc="0409001B" w:tentative="1">
      <w:start w:val="1"/>
      <w:numFmt w:val="lowerRoman"/>
      <w:lvlText w:val="%6."/>
      <w:lvlJc w:val="right"/>
      <w:pPr>
        <w:ind w:left="4217" w:hanging="180"/>
      </w:pPr>
    </w:lvl>
    <w:lvl w:ilvl="6" w:tplc="0409000F" w:tentative="1">
      <w:start w:val="1"/>
      <w:numFmt w:val="decimal"/>
      <w:lvlText w:val="%7."/>
      <w:lvlJc w:val="left"/>
      <w:pPr>
        <w:ind w:left="4937" w:hanging="360"/>
      </w:pPr>
    </w:lvl>
    <w:lvl w:ilvl="7" w:tplc="04090019" w:tentative="1">
      <w:start w:val="1"/>
      <w:numFmt w:val="lowerLetter"/>
      <w:lvlText w:val="%8."/>
      <w:lvlJc w:val="left"/>
      <w:pPr>
        <w:ind w:left="5657" w:hanging="360"/>
      </w:pPr>
    </w:lvl>
    <w:lvl w:ilvl="8" w:tplc="0409001B" w:tentative="1">
      <w:start w:val="1"/>
      <w:numFmt w:val="lowerRoman"/>
      <w:lvlText w:val="%9."/>
      <w:lvlJc w:val="right"/>
      <w:pPr>
        <w:ind w:left="6377" w:hanging="180"/>
      </w:pPr>
    </w:lvl>
  </w:abstractNum>
  <w:abstractNum w:abstractNumId="11" w15:restartNumberingAfterBreak="0">
    <w:nsid w:val="56501461"/>
    <w:multiLevelType w:val="multilevel"/>
    <w:tmpl w:val="5C9C221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565D7A13"/>
    <w:multiLevelType w:val="hybridMultilevel"/>
    <w:tmpl w:val="C9AE92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7511824"/>
    <w:multiLevelType w:val="hybridMultilevel"/>
    <w:tmpl w:val="79BA5DB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CC3497"/>
    <w:multiLevelType w:val="hybridMultilevel"/>
    <w:tmpl w:val="83A4B826"/>
    <w:lvl w:ilvl="0" w:tplc="B4385FEE">
      <w:start w:val="2"/>
      <w:numFmt w:val="decimal"/>
      <w:lvlText w:val="%1)"/>
      <w:lvlJc w:val="left"/>
      <w:pPr>
        <w:ind w:left="617"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97069A"/>
    <w:multiLevelType w:val="hybridMultilevel"/>
    <w:tmpl w:val="EE747CE4"/>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9B61924"/>
    <w:multiLevelType w:val="hybridMultilevel"/>
    <w:tmpl w:val="412CBA58"/>
    <w:lvl w:ilvl="0" w:tplc="16CE2C76">
      <w:start w:val="1"/>
      <w:numFmt w:val="decimal"/>
      <w:lvlText w:val="%1)"/>
      <w:lvlJc w:val="left"/>
      <w:pPr>
        <w:ind w:left="617"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C94F89"/>
    <w:multiLevelType w:val="hybridMultilevel"/>
    <w:tmpl w:val="FF2AB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0"/>
  </w:num>
  <w:num w:numId="3">
    <w:abstractNumId w:val="6"/>
  </w:num>
  <w:num w:numId="4">
    <w:abstractNumId w:val="3"/>
  </w:num>
  <w:num w:numId="5">
    <w:abstractNumId w:val="11"/>
  </w:num>
  <w:num w:numId="6">
    <w:abstractNumId w:val="5"/>
  </w:num>
  <w:num w:numId="7">
    <w:abstractNumId w:val="12"/>
  </w:num>
  <w:num w:numId="8">
    <w:abstractNumId w:val="8"/>
  </w:num>
  <w:num w:numId="9">
    <w:abstractNumId w:val="7"/>
  </w:num>
  <w:num w:numId="10">
    <w:abstractNumId w:val="1"/>
  </w:num>
  <w:num w:numId="11">
    <w:abstractNumId w:val="13"/>
  </w:num>
  <w:num w:numId="12">
    <w:abstractNumId w:val="2"/>
  </w:num>
  <w:num w:numId="13">
    <w:abstractNumId w:val="10"/>
  </w:num>
  <w:num w:numId="14">
    <w:abstractNumId w:val="14"/>
  </w:num>
  <w:num w:numId="15">
    <w:abstractNumId w:val="4"/>
  </w:num>
  <w:num w:numId="16">
    <w:abstractNumId w:val="16"/>
  </w:num>
  <w:num w:numId="17">
    <w:abstractNumId w:val="9"/>
  </w:num>
  <w:num w:numId="18">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C43"/>
    <w:rsid w:val="00001AF1"/>
    <w:rsid w:val="00001C99"/>
    <w:rsid w:val="000108D0"/>
    <w:rsid w:val="000131AF"/>
    <w:rsid w:val="00014BBB"/>
    <w:rsid w:val="000155E5"/>
    <w:rsid w:val="00022845"/>
    <w:rsid w:val="0003236A"/>
    <w:rsid w:val="000335EE"/>
    <w:rsid w:val="000347B4"/>
    <w:rsid w:val="000350DE"/>
    <w:rsid w:val="000357A7"/>
    <w:rsid w:val="00035DE7"/>
    <w:rsid w:val="00050F22"/>
    <w:rsid w:val="00052E99"/>
    <w:rsid w:val="00053C61"/>
    <w:rsid w:val="0005664B"/>
    <w:rsid w:val="0006484E"/>
    <w:rsid w:val="000659CD"/>
    <w:rsid w:val="00066941"/>
    <w:rsid w:val="00067E41"/>
    <w:rsid w:val="00080003"/>
    <w:rsid w:val="000837E1"/>
    <w:rsid w:val="0009183D"/>
    <w:rsid w:val="000970FD"/>
    <w:rsid w:val="000A11B3"/>
    <w:rsid w:val="000A6A89"/>
    <w:rsid w:val="000C3750"/>
    <w:rsid w:val="000C4131"/>
    <w:rsid w:val="000C7DDF"/>
    <w:rsid w:val="000D297D"/>
    <w:rsid w:val="000D570F"/>
    <w:rsid w:val="000D66EC"/>
    <w:rsid w:val="000E520E"/>
    <w:rsid w:val="000E52DA"/>
    <w:rsid w:val="000E5433"/>
    <w:rsid w:val="000E5E8F"/>
    <w:rsid w:val="000F001B"/>
    <w:rsid w:val="000F2F27"/>
    <w:rsid w:val="00102297"/>
    <w:rsid w:val="001046AB"/>
    <w:rsid w:val="00114BB7"/>
    <w:rsid w:val="00122037"/>
    <w:rsid w:val="00124ED1"/>
    <w:rsid w:val="00131AE6"/>
    <w:rsid w:val="00131BE3"/>
    <w:rsid w:val="00134211"/>
    <w:rsid w:val="00134B96"/>
    <w:rsid w:val="00137AEA"/>
    <w:rsid w:val="001417F2"/>
    <w:rsid w:val="00141F0B"/>
    <w:rsid w:val="001426AF"/>
    <w:rsid w:val="00143FA9"/>
    <w:rsid w:val="0014400A"/>
    <w:rsid w:val="00144C47"/>
    <w:rsid w:val="0015001C"/>
    <w:rsid w:val="00151C39"/>
    <w:rsid w:val="00152609"/>
    <w:rsid w:val="00157B64"/>
    <w:rsid w:val="001620DC"/>
    <w:rsid w:val="00162BC0"/>
    <w:rsid w:val="001663D7"/>
    <w:rsid w:val="001713F0"/>
    <w:rsid w:val="00177058"/>
    <w:rsid w:val="001770EC"/>
    <w:rsid w:val="001771F3"/>
    <w:rsid w:val="001840B0"/>
    <w:rsid w:val="001A41E3"/>
    <w:rsid w:val="001A4DE7"/>
    <w:rsid w:val="001A51D3"/>
    <w:rsid w:val="001A7452"/>
    <w:rsid w:val="001A78D2"/>
    <w:rsid w:val="001B25AC"/>
    <w:rsid w:val="001B27E1"/>
    <w:rsid w:val="001B4545"/>
    <w:rsid w:val="001B6AC3"/>
    <w:rsid w:val="001C0A40"/>
    <w:rsid w:val="001C12FC"/>
    <w:rsid w:val="001C577E"/>
    <w:rsid w:val="001C600E"/>
    <w:rsid w:val="001C6084"/>
    <w:rsid w:val="001D0A38"/>
    <w:rsid w:val="001D1D3C"/>
    <w:rsid w:val="001D6BF6"/>
    <w:rsid w:val="001E1B53"/>
    <w:rsid w:val="001E4FAC"/>
    <w:rsid w:val="001E723E"/>
    <w:rsid w:val="001E7709"/>
    <w:rsid w:val="001F6840"/>
    <w:rsid w:val="001F6BE7"/>
    <w:rsid w:val="00200D26"/>
    <w:rsid w:val="00205BB8"/>
    <w:rsid w:val="002069A7"/>
    <w:rsid w:val="00206AF6"/>
    <w:rsid w:val="00220FEE"/>
    <w:rsid w:val="00221D34"/>
    <w:rsid w:val="002226DF"/>
    <w:rsid w:val="00231093"/>
    <w:rsid w:val="0023185C"/>
    <w:rsid w:val="0023451B"/>
    <w:rsid w:val="002364E0"/>
    <w:rsid w:val="00236CE0"/>
    <w:rsid w:val="00242213"/>
    <w:rsid w:val="00250318"/>
    <w:rsid w:val="00252BCA"/>
    <w:rsid w:val="002653E3"/>
    <w:rsid w:val="002671B7"/>
    <w:rsid w:val="0027128F"/>
    <w:rsid w:val="00272896"/>
    <w:rsid w:val="00273010"/>
    <w:rsid w:val="00276645"/>
    <w:rsid w:val="00276ED9"/>
    <w:rsid w:val="00280404"/>
    <w:rsid w:val="002818A1"/>
    <w:rsid w:val="0028464D"/>
    <w:rsid w:val="002853E3"/>
    <w:rsid w:val="00295889"/>
    <w:rsid w:val="002B5D13"/>
    <w:rsid w:val="002B76B1"/>
    <w:rsid w:val="002C376B"/>
    <w:rsid w:val="002C754B"/>
    <w:rsid w:val="002D6556"/>
    <w:rsid w:val="002E0871"/>
    <w:rsid w:val="002E14E5"/>
    <w:rsid w:val="002E3866"/>
    <w:rsid w:val="002E6FD2"/>
    <w:rsid w:val="002F3FBD"/>
    <w:rsid w:val="002F5FC2"/>
    <w:rsid w:val="002F6423"/>
    <w:rsid w:val="003004A8"/>
    <w:rsid w:val="003018B7"/>
    <w:rsid w:val="003042D5"/>
    <w:rsid w:val="00311BCA"/>
    <w:rsid w:val="00315833"/>
    <w:rsid w:val="003230F3"/>
    <w:rsid w:val="003254C9"/>
    <w:rsid w:val="00330E03"/>
    <w:rsid w:val="00335926"/>
    <w:rsid w:val="003365F1"/>
    <w:rsid w:val="00341316"/>
    <w:rsid w:val="00341F76"/>
    <w:rsid w:val="003526FC"/>
    <w:rsid w:val="00354B6E"/>
    <w:rsid w:val="00357EA5"/>
    <w:rsid w:val="003601B7"/>
    <w:rsid w:val="0036230C"/>
    <w:rsid w:val="00363A40"/>
    <w:rsid w:val="00364F7D"/>
    <w:rsid w:val="00367C29"/>
    <w:rsid w:val="003722F3"/>
    <w:rsid w:val="003732E6"/>
    <w:rsid w:val="003779C6"/>
    <w:rsid w:val="003830B4"/>
    <w:rsid w:val="00390647"/>
    <w:rsid w:val="00392C85"/>
    <w:rsid w:val="003945E8"/>
    <w:rsid w:val="003952C9"/>
    <w:rsid w:val="003A767F"/>
    <w:rsid w:val="003C273A"/>
    <w:rsid w:val="003C2AF8"/>
    <w:rsid w:val="003D1FBE"/>
    <w:rsid w:val="003D5CBA"/>
    <w:rsid w:val="003D652D"/>
    <w:rsid w:val="003F4A58"/>
    <w:rsid w:val="004001F9"/>
    <w:rsid w:val="00402147"/>
    <w:rsid w:val="0040253D"/>
    <w:rsid w:val="004046CF"/>
    <w:rsid w:val="004066E8"/>
    <w:rsid w:val="00406B79"/>
    <w:rsid w:val="00410BEA"/>
    <w:rsid w:val="004133D9"/>
    <w:rsid w:val="00422C1D"/>
    <w:rsid w:val="0042485C"/>
    <w:rsid w:val="004301CA"/>
    <w:rsid w:val="004311BB"/>
    <w:rsid w:val="00442851"/>
    <w:rsid w:val="00454394"/>
    <w:rsid w:val="00455021"/>
    <w:rsid w:val="00455D4C"/>
    <w:rsid w:val="004602BE"/>
    <w:rsid w:val="00461971"/>
    <w:rsid w:val="00463158"/>
    <w:rsid w:val="00466415"/>
    <w:rsid w:val="004665A3"/>
    <w:rsid w:val="00472B65"/>
    <w:rsid w:val="004762BA"/>
    <w:rsid w:val="00481D1E"/>
    <w:rsid w:val="00483452"/>
    <w:rsid w:val="00497A25"/>
    <w:rsid w:val="004A201C"/>
    <w:rsid w:val="004A4560"/>
    <w:rsid w:val="004A4662"/>
    <w:rsid w:val="004A52CD"/>
    <w:rsid w:val="004A7B89"/>
    <w:rsid w:val="004A7F6A"/>
    <w:rsid w:val="004B0715"/>
    <w:rsid w:val="004B17A9"/>
    <w:rsid w:val="004B46F0"/>
    <w:rsid w:val="004C1DAE"/>
    <w:rsid w:val="004C2150"/>
    <w:rsid w:val="004C7201"/>
    <w:rsid w:val="004C75C0"/>
    <w:rsid w:val="004D0A45"/>
    <w:rsid w:val="004D13F8"/>
    <w:rsid w:val="004D5850"/>
    <w:rsid w:val="004E21F8"/>
    <w:rsid w:val="004E2E0D"/>
    <w:rsid w:val="004E661F"/>
    <w:rsid w:val="004E6781"/>
    <w:rsid w:val="004F1C83"/>
    <w:rsid w:val="004F2647"/>
    <w:rsid w:val="004F68A2"/>
    <w:rsid w:val="00510D27"/>
    <w:rsid w:val="00512DEE"/>
    <w:rsid w:val="00517F79"/>
    <w:rsid w:val="005206CC"/>
    <w:rsid w:val="00520DF5"/>
    <w:rsid w:val="00524EB5"/>
    <w:rsid w:val="00525A1F"/>
    <w:rsid w:val="00527E59"/>
    <w:rsid w:val="005367DB"/>
    <w:rsid w:val="00542DBC"/>
    <w:rsid w:val="0054374E"/>
    <w:rsid w:val="00544347"/>
    <w:rsid w:val="00551E44"/>
    <w:rsid w:val="00552A72"/>
    <w:rsid w:val="00560949"/>
    <w:rsid w:val="00571B63"/>
    <w:rsid w:val="00574019"/>
    <w:rsid w:val="00575FA7"/>
    <w:rsid w:val="00581261"/>
    <w:rsid w:val="00581E5B"/>
    <w:rsid w:val="00584BE8"/>
    <w:rsid w:val="005900E6"/>
    <w:rsid w:val="005913B5"/>
    <w:rsid w:val="00592AD2"/>
    <w:rsid w:val="005A2252"/>
    <w:rsid w:val="005A6E5B"/>
    <w:rsid w:val="005B09D0"/>
    <w:rsid w:val="005B3F03"/>
    <w:rsid w:val="005B7A99"/>
    <w:rsid w:val="005C345F"/>
    <w:rsid w:val="005D439B"/>
    <w:rsid w:val="005D4509"/>
    <w:rsid w:val="005D6A1C"/>
    <w:rsid w:val="005D75D6"/>
    <w:rsid w:val="005E3784"/>
    <w:rsid w:val="005E432B"/>
    <w:rsid w:val="005F2228"/>
    <w:rsid w:val="005F4DB0"/>
    <w:rsid w:val="005F5596"/>
    <w:rsid w:val="005F5AD7"/>
    <w:rsid w:val="005F75DD"/>
    <w:rsid w:val="0060648E"/>
    <w:rsid w:val="00614BE8"/>
    <w:rsid w:val="00616F33"/>
    <w:rsid w:val="00617BCB"/>
    <w:rsid w:val="0062375D"/>
    <w:rsid w:val="00625911"/>
    <w:rsid w:val="00626EF8"/>
    <w:rsid w:val="00627542"/>
    <w:rsid w:val="00630C94"/>
    <w:rsid w:val="00632670"/>
    <w:rsid w:val="00633E44"/>
    <w:rsid w:val="0063776D"/>
    <w:rsid w:val="00640244"/>
    <w:rsid w:val="00643A77"/>
    <w:rsid w:val="00646F8A"/>
    <w:rsid w:val="00660F17"/>
    <w:rsid w:val="006673AB"/>
    <w:rsid w:val="00667436"/>
    <w:rsid w:val="0067139A"/>
    <w:rsid w:val="00672AB3"/>
    <w:rsid w:val="0067374A"/>
    <w:rsid w:val="00677EBB"/>
    <w:rsid w:val="00683FDB"/>
    <w:rsid w:val="00687F3C"/>
    <w:rsid w:val="00696696"/>
    <w:rsid w:val="006A49B2"/>
    <w:rsid w:val="006A6DDE"/>
    <w:rsid w:val="006B5C32"/>
    <w:rsid w:val="006B5F18"/>
    <w:rsid w:val="006B6EE5"/>
    <w:rsid w:val="006C6435"/>
    <w:rsid w:val="006D0D6B"/>
    <w:rsid w:val="006D12E2"/>
    <w:rsid w:val="006D1F57"/>
    <w:rsid w:val="006E0B55"/>
    <w:rsid w:val="006E27C7"/>
    <w:rsid w:val="006E43D9"/>
    <w:rsid w:val="006E7E5C"/>
    <w:rsid w:val="006F0E49"/>
    <w:rsid w:val="006F535C"/>
    <w:rsid w:val="006F7CB6"/>
    <w:rsid w:val="00707C6B"/>
    <w:rsid w:val="007138CA"/>
    <w:rsid w:val="00714F7D"/>
    <w:rsid w:val="00720577"/>
    <w:rsid w:val="00722E16"/>
    <w:rsid w:val="0073270E"/>
    <w:rsid w:val="00732C93"/>
    <w:rsid w:val="0073331B"/>
    <w:rsid w:val="00734A11"/>
    <w:rsid w:val="00734EB0"/>
    <w:rsid w:val="00735634"/>
    <w:rsid w:val="007365E3"/>
    <w:rsid w:val="007410FE"/>
    <w:rsid w:val="00742111"/>
    <w:rsid w:val="00742B41"/>
    <w:rsid w:val="00743C43"/>
    <w:rsid w:val="007535F8"/>
    <w:rsid w:val="00753B08"/>
    <w:rsid w:val="007544AC"/>
    <w:rsid w:val="00766689"/>
    <w:rsid w:val="00766B8D"/>
    <w:rsid w:val="00775545"/>
    <w:rsid w:val="00775D67"/>
    <w:rsid w:val="00780773"/>
    <w:rsid w:val="00782BB2"/>
    <w:rsid w:val="00786B05"/>
    <w:rsid w:val="00790B0C"/>
    <w:rsid w:val="00792670"/>
    <w:rsid w:val="00795177"/>
    <w:rsid w:val="00797D89"/>
    <w:rsid w:val="007A0DC1"/>
    <w:rsid w:val="007A6F1E"/>
    <w:rsid w:val="007B2C52"/>
    <w:rsid w:val="007B34F4"/>
    <w:rsid w:val="007B3B6F"/>
    <w:rsid w:val="007B5485"/>
    <w:rsid w:val="007B615C"/>
    <w:rsid w:val="007C7773"/>
    <w:rsid w:val="007D188D"/>
    <w:rsid w:val="007D32BD"/>
    <w:rsid w:val="007D6617"/>
    <w:rsid w:val="007D762E"/>
    <w:rsid w:val="007E68D8"/>
    <w:rsid w:val="007F0F14"/>
    <w:rsid w:val="00805AC6"/>
    <w:rsid w:val="00816181"/>
    <w:rsid w:val="00817787"/>
    <w:rsid w:val="00817FED"/>
    <w:rsid w:val="00820F34"/>
    <w:rsid w:val="008234A7"/>
    <w:rsid w:val="00824794"/>
    <w:rsid w:val="0082498E"/>
    <w:rsid w:val="00827BB4"/>
    <w:rsid w:val="00831B44"/>
    <w:rsid w:val="00832253"/>
    <w:rsid w:val="00832328"/>
    <w:rsid w:val="00862D10"/>
    <w:rsid w:val="00863284"/>
    <w:rsid w:val="00863C98"/>
    <w:rsid w:val="00866FD4"/>
    <w:rsid w:val="0087266A"/>
    <w:rsid w:val="008810DC"/>
    <w:rsid w:val="008821A8"/>
    <w:rsid w:val="00884C81"/>
    <w:rsid w:val="00891AD3"/>
    <w:rsid w:val="0089419C"/>
    <w:rsid w:val="00894B99"/>
    <w:rsid w:val="008969BF"/>
    <w:rsid w:val="008A0DA0"/>
    <w:rsid w:val="008A2BEC"/>
    <w:rsid w:val="008A6051"/>
    <w:rsid w:val="008A6ECD"/>
    <w:rsid w:val="008B409B"/>
    <w:rsid w:val="008C7C26"/>
    <w:rsid w:val="008E0EEB"/>
    <w:rsid w:val="008E233B"/>
    <w:rsid w:val="008E4A1B"/>
    <w:rsid w:val="008E7757"/>
    <w:rsid w:val="008E79B7"/>
    <w:rsid w:val="008F09DD"/>
    <w:rsid w:val="008F166B"/>
    <w:rsid w:val="008F3843"/>
    <w:rsid w:val="008F406E"/>
    <w:rsid w:val="008F41C4"/>
    <w:rsid w:val="008F4549"/>
    <w:rsid w:val="008F4CD0"/>
    <w:rsid w:val="008F7ECE"/>
    <w:rsid w:val="009007E8"/>
    <w:rsid w:val="00904162"/>
    <w:rsid w:val="00905EAA"/>
    <w:rsid w:val="0091089D"/>
    <w:rsid w:val="00910A7F"/>
    <w:rsid w:val="009114E2"/>
    <w:rsid w:val="00911C85"/>
    <w:rsid w:val="00914E7C"/>
    <w:rsid w:val="00922B83"/>
    <w:rsid w:val="00923944"/>
    <w:rsid w:val="00933F54"/>
    <w:rsid w:val="00941BFC"/>
    <w:rsid w:val="00942541"/>
    <w:rsid w:val="0095002A"/>
    <w:rsid w:val="00950513"/>
    <w:rsid w:val="0095111A"/>
    <w:rsid w:val="00951773"/>
    <w:rsid w:val="00951D34"/>
    <w:rsid w:val="009530A8"/>
    <w:rsid w:val="00954F48"/>
    <w:rsid w:val="00956117"/>
    <w:rsid w:val="00962FBF"/>
    <w:rsid w:val="00972A12"/>
    <w:rsid w:val="009745E9"/>
    <w:rsid w:val="00977203"/>
    <w:rsid w:val="00983815"/>
    <w:rsid w:val="009838C9"/>
    <w:rsid w:val="009916D3"/>
    <w:rsid w:val="00991CCB"/>
    <w:rsid w:val="009A1302"/>
    <w:rsid w:val="009A13EC"/>
    <w:rsid w:val="009A338C"/>
    <w:rsid w:val="009A3D10"/>
    <w:rsid w:val="009A4412"/>
    <w:rsid w:val="009A4DD5"/>
    <w:rsid w:val="009A4F50"/>
    <w:rsid w:val="009A7836"/>
    <w:rsid w:val="009B1F8F"/>
    <w:rsid w:val="009B26FE"/>
    <w:rsid w:val="009B40BD"/>
    <w:rsid w:val="009B4755"/>
    <w:rsid w:val="009B7E25"/>
    <w:rsid w:val="009C3538"/>
    <w:rsid w:val="009C6A28"/>
    <w:rsid w:val="009D69C8"/>
    <w:rsid w:val="009E0262"/>
    <w:rsid w:val="009E2489"/>
    <w:rsid w:val="009E2BC4"/>
    <w:rsid w:val="009E3788"/>
    <w:rsid w:val="009E7CB8"/>
    <w:rsid w:val="009F06FA"/>
    <w:rsid w:val="009F1582"/>
    <w:rsid w:val="00A01ABA"/>
    <w:rsid w:val="00A04FC3"/>
    <w:rsid w:val="00A11479"/>
    <w:rsid w:val="00A12058"/>
    <w:rsid w:val="00A23F3F"/>
    <w:rsid w:val="00A34C09"/>
    <w:rsid w:val="00A3730E"/>
    <w:rsid w:val="00A40512"/>
    <w:rsid w:val="00A431F4"/>
    <w:rsid w:val="00A45124"/>
    <w:rsid w:val="00A455FC"/>
    <w:rsid w:val="00A501C1"/>
    <w:rsid w:val="00A5355C"/>
    <w:rsid w:val="00A53D59"/>
    <w:rsid w:val="00A574AF"/>
    <w:rsid w:val="00A626FE"/>
    <w:rsid w:val="00A651D0"/>
    <w:rsid w:val="00A75603"/>
    <w:rsid w:val="00A82E56"/>
    <w:rsid w:val="00A8669E"/>
    <w:rsid w:val="00A910DF"/>
    <w:rsid w:val="00A9202D"/>
    <w:rsid w:val="00A92D9B"/>
    <w:rsid w:val="00A92E53"/>
    <w:rsid w:val="00A96EE2"/>
    <w:rsid w:val="00AA1CB0"/>
    <w:rsid w:val="00AA3130"/>
    <w:rsid w:val="00AA5B77"/>
    <w:rsid w:val="00AA73DB"/>
    <w:rsid w:val="00AB2281"/>
    <w:rsid w:val="00AB342B"/>
    <w:rsid w:val="00AB69FA"/>
    <w:rsid w:val="00AC2920"/>
    <w:rsid w:val="00AC30CB"/>
    <w:rsid w:val="00AD0C71"/>
    <w:rsid w:val="00AD1099"/>
    <w:rsid w:val="00AD4CBF"/>
    <w:rsid w:val="00AD7858"/>
    <w:rsid w:val="00AD792F"/>
    <w:rsid w:val="00AE262E"/>
    <w:rsid w:val="00AE3BB6"/>
    <w:rsid w:val="00AF2FB3"/>
    <w:rsid w:val="00AF3EB7"/>
    <w:rsid w:val="00B01E02"/>
    <w:rsid w:val="00B04169"/>
    <w:rsid w:val="00B06A05"/>
    <w:rsid w:val="00B12FE6"/>
    <w:rsid w:val="00B13533"/>
    <w:rsid w:val="00B15091"/>
    <w:rsid w:val="00B15F0A"/>
    <w:rsid w:val="00B17C9F"/>
    <w:rsid w:val="00B22174"/>
    <w:rsid w:val="00B22E20"/>
    <w:rsid w:val="00B24289"/>
    <w:rsid w:val="00B244A2"/>
    <w:rsid w:val="00B26024"/>
    <w:rsid w:val="00B26313"/>
    <w:rsid w:val="00B33365"/>
    <w:rsid w:val="00B33519"/>
    <w:rsid w:val="00B36057"/>
    <w:rsid w:val="00B40A40"/>
    <w:rsid w:val="00B5168B"/>
    <w:rsid w:val="00B52A8C"/>
    <w:rsid w:val="00B56CD6"/>
    <w:rsid w:val="00B631B3"/>
    <w:rsid w:val="00B64EF5"/>
    <w:rsid w:val="00B66368"/>
    <w:rsid w:val="00B66D95"/>
    <w:rsid w:val="00B6744E"/>
    <w:rsid w:val="00B71615"/>
    <w:rsid w:val="00B76376"/>
    <w:rsid w:val="00B85ED5"/>
    <w:rsid w:val="00B90A15"/>
    <w:rsid w:val="00B920D6"/>
    <w:rsid w:val="00B934A4"/>
    <w:rsid w:val="00B959E6"/>
    <w:rsid w:val="00B9658D"/>
    <w:rsid w:val="00B977A2"/>
    <w:rsid w:val="00BA03E5"/>
    <w:rsid w:val="00BA346A"/>
    <w:rsid w:val="00BA47C1"/>
    <w:rsid w:val="00BA5DA0"/>
    <w:rsid w:val="00BA714A"/>
    <w:rsid w:val="00BC28CD"/>
    <w:rsid w:val="00BC2EBE"/>
    <w:rsid w:val="00BD2DD5"/>
    <w:rsid w:val="00BD3E36"/>
    <w:rsid w:val="00BD71B6"/>
    <w:rsid w:val="00BD7F1F"/>
    <w:rsid w:val="00BE0262"/>
    <w:rsid w:val="00BE0CC4"/>
    <w:rsid w:val="00BE2107"/>
    <w:rsid w:val="00BE2788"/>
    <w:rsid w:val="00BE5D06"/>
    <w:rsid w:val="00BE6D31"/>
    <w:rsid w:val="00BE7E21"/>
    <w:rsid w:val="00BF0695"/>
    <w:rsid w:val="00BF66F2"/>
    <w:rsid w:val="00BF7577"/>
    <w:rsid w:val="00BF76F5"/>
    <w:rsid w:val="00BF7A8B"/>
    <w:rsid w:val="00C0138B"/>
    <w:rsid w:val="00C0215D"/>
    <w:rsid w:val="00C03C04"/>
    <w:rsid w:val="00C0454F"/>
    <w:rsid w:val="00C14466"/>
    <w:rsid w:val="00C164B3"/>
    <w:rsid w:val="00C17A2E"/>
    <w:rsid w:val="00C21AB2"/>
    <w:rsid w:val="00C248C7"/>
    <w:rsid w:val="00C256F6"/>
    <w:rsid w:val="00C259DC"/>
    <w:rsid w:val="00C2602F"/>
    <w:rsid w:val="00C430F2"/>
    <w:rsid w:val="00C47979"/>
    <w:rsid w:val="00C47A60"/>
    <w:rsid w:val="00C51A83"/>
    <w:rsid w:val="00C71DD3"/>
    <w:rsid w:val="00C74577"/>
    <w:rsid w:val="00C75B95"/>
    <w:rsid w:val="00C77310"/>
    <w:rsid w:val="00C81421"/>
    <w:rsid w:val="00C83818"/>
    <w:rsid w:val="00C85668"/>
    <w:rsid w:val="00C85FBE"/>
    <w:rsid w:val="00C87143"/>
    <w:rsid w:val="00C93E9A"/>
    <w:rsid w:val="00C95C1B"/>
    <w:rsid w:val="00C96D19"/>
    <w:rsid w:val="00CA0F56"/>
    <w:rsid w:val="00CA491B"/>
    <w:rsid w:val="00CA558E"/>
    <w:rsid w:val="00CB04E6"/>
    <w:rsid w:val="00CB1259"/>
    <w:rsid w:val="00CB16B7"/>
    <w:rsid w:val="00CB24C0"/>
    <w:rsid w:val="00CB37F0"/>
    <w:rsid w:val="00CB3F07"/>
    <w:rsid w:val="00CC03FF"/>
    <w:rsid w:val="00CC3993"/>
    <w:rsid w:val="00CD0236"/>
    <w:rsid w:val="00CD5209"/>
    <w:rsid w:val="00CE36F2"/>
    <w:rsid w:val="00CF4389"/>
    <w:rsid w:val="00CF720F"/>
    <w:rsid w:val="00D035EF"/>
    <w:rsid w:val="00D048CE"/>
    <w:rsid w:val="00D04A66"/>
    <w:rsid w:val="00D0655B"/>
    <w:rsid w:val="00D17A6F"/>
    <w:rsid w:val="00D22D91"/>
    <w:rsid w:val="00D2343E"/>
    <w:rsid w:val="00D246B5"/>
    <w:rsid w:val="00D24D72"/>
    <w:rsid w:val="00D25705"/>
    <w:rsid w:val="00D341FA"/>
    <w:rsid w:val="00D41EF0"/>
    <w:rsid w:val="00D45051"/>
    <w:rsid w:val="00D4583D"/>
    <w:rsid w:val="00D504ED"/>
    <w:rsid w:val="00D52487"/>
    <w:rsid w:val="00D52854"/>
    <w:rsid w:val="00D548B6"/>
    <w:rsid w:val="00D66EB9"/>
    <w:rsid w:val="00D7190F"/>
    <w:rsid w:val="00D7413D"/>
    <w:rsid w:val="00D80F5B"/>
    <w:rsid w:val="00D85690"/>
    <w:rsid w:val="00D90E3E"/>
    <w:rsid w:val="00D933FF"/>
    <w:rsid w:val="00D93CDC"/>
    <w:rsid w:val="00D94AFD"/>
    <w:rsid w:val="00D957BF"/>
    <w:rsid w:val="00D96BC3"/>
    <w:rsid w:val="00DA0018"/>
    <w:rsid w:val="00DA06B5"/>
    <w:rsid w:val="00DA1CE8"/>
    <w:rsid w:val="00DA41CC"/>
    <w:rsid w:val="00DA5B94"/>
    <w:rsid w:val="00DA6460"/>
    <w:rsid w:val="00DA6C55"/>
    <w:rsid w:val="00DB1520"/>
    <w:rsid w:val="00DB29CB"/>
    <w:rsid w:val="00DB2CE9"/>
    <w:rsid w:val="00DC184B"/>
    <w:rsid w:val="00DC2F40"/>
    <w:rsid w:val="00DC423C"/>
    <w:rsid w:val="00DD0E25"/>
    <w:rsid w:val="00DD1CB0"/>
    <w:rsid w:val="00DD27A9"/>
    <w:rsid w:val="00DD754D"/>
    <w:rsid w:val="00DE3C2E"/>
    <w:rsid w:val="00DE5575"/>
    <w:rsid w:val="00DE7EBF"/>
    <w:rsid w:val="00DF2823"/>
    <w:rsid w:val="00DF48D1"/>
    <w:rsid w:val="00E00C67"/>
    <w:rsid w:val="00E00CEF"/>
    <w:rsid w:val="00E01A4E"/>
    <w:rsid w:val="00E10B16"/>
    <w:rsid w:val="00E1117C"/>
    <w:rsid w:val="00E16603"/>
    <w:rsid w:val="00E3563E"/>
    <w:rsid w:val="00E369B2"/>
    <w:rsid w:val="00E44FDB"/>
    <w:rsid w:val="00E50C4F"/>
    <w:rsid w:val="00E52D7F"/>
    <w:rsid w:val="00E535EE"/>
    <w:rsid w:val="00E53DA7"/>
    <w:rsid w:val="00E576FF"/>
    <w:rsid w:val="00E5774D"/>
    <w:rsid w:val="00E5797B"/>
    <w:rsid w:val="00E60817"/>
    <w:rsid w:val="00E679DB"/>
    <w:rsid w:val="00E706DF"/>
    <w:rsid w:val="00E71715"/>
    <w:rsid w:val="00E726B6"/>
    <w:rsid w:val="00E73B2D"/>
    <w:rsid w:val="00E819A0"/>
    <w:rsid w:val="00E844C2"/>
    <w:rsid w:val="00E849DD"/>
    <w:rsid w:val="00E84E4B"/>
    <w:rsid w:val="00E85EE3"/>
    <w:rsid w:val="00E87671"/>
    <w:rsid w:val="00E87ACB"/>
    <w:rsid w:val="00E917B9"/>
    <w:rsid w:val="00E91B89"/>
    <w:rsid w:val="00E921C9"/>
    <w:rsid w:val="00E94087"/>
    <w:rsid w:val="00E979E1"/>
    <w:rsid w:val="00EA3E52"/>
    <w:rsid w:val="00EA4673"/>
    <w:rsid w:val="00EB0061"/>
    <w:rsid w:val="00EC01FA"/>
    <w:rsid w:val="00EC063F"/>
    <w:rsid w:val="00EC20AE"/>
    <w:rsid w:val="00EC2D7B"/>
    <w:rsid w:val="00EC43C8"/>
    <w:rsid w:val="00EC4DB6"/>
    <w:rsid w:val="00ED03EE"/>
    <w:rsid w:val="00ED3DDC"/>
    <w:rsid w:val="00ED6ED3"/>
    <w:rsid w:val="00ED75A0"/>
    <w:rsid w:val="00EE43B3"/>
    <w:rsid w:val="00EE540B"/>
    <w:rsid w:val="00EF0AAD"/>
    <w:rsid w:val="00EF1F15"/>
    <w:rsid w:val="00EF26CE"/>
    <w:rsid w:val="00EF52C7"/>
    <w:rsid w:val="00EF66BC"/>
    <w:rsid w:val="00F0071B"/>
    <w:rsid w:val="00F02275"/>
    <w:rsid w:val="00F0363C"/>
    <w:rsid w:val="00F0521F"/>
    <w:rsid w:val="00F101A4"/>
    <w:rsid w:val="00F12A4A"/>
    <w:rsid w:val="00F14430"/>
    <w:rsid w:val="00F15C0E"/>
    <w:rsid w:val="00F223E3"/>
    <w:rsid w:val="00F2243D"/>
    <w:rsid w:val="00F3005E"/>
    <w:rsid w:val="00F34C63"/>
    <w:rsid w:val="00F35A1F"/>
    <w:rsid w:val="00F363F5"/>
    <w:rsid w:val="00F409A7"/>
    <w:rsid w:val="00F41B95"/>
    <w:rsid w:val="00F43F55"/>
    <w:rsid w:val="00F441C9"/>
    <w:rsid w:val="00F51EBE"/>
    <w:rsid w:val="00F54B3F"/>
    <w:rsid w:val="00F555F7"/>
    <w:rsid w:val="00F56358"/>
    <w:rsid w:val="00F5643A"/>
    <w:rsid w:val="00F61654"/>
    <w:rsid w:val="00F61E52"/>
    <w:rsid w:val="00F64F48"/>
    <w:rsid w:val="00F6545E"/>
    <w:rsid w:val="00F65793"/>
    <w:rsid w:val="00F73465"/>
    <w:rsid w:val="00F73840"/>
    <w:rsid w:val="00F742D8"/>
    <w:rsid w:val="00F85FD0"/>
    <w:rsid w:val="00F87303"/>
    <w:rsid w:val="00F938A8"/>
    <w:rsid w:val="00F95DBE"/>
    <w:rsid w:val="00FA41A1"/>
    <w:rsid w:val="00FA4CA3"/>
    <w:rsid w:val="00FA6A11"/>
    <w:rsid w:val="00FB0A51"/>
    <w:rsid w:val="00FB0B14"/>
    <w:rsid w:val="00FB11F9"/>
    <w:rsid w:val="00FB4A35"/>
    <w:rsid w:val="00FC0551"/>
    <w:rsid w:val="00FC08EE"/>
    <w:rsid w:val="00FC243F"/>
    <w:rsid w:val="00FC66A3"/>
    <w:rsid w:val="00FC7652"/>
    <w:rsid w:val="00FD1A76"/>
    <w:rsid w:val="00FD1EEE"/>
    <w:rsid w:val="00FD43C9"/>
    <w:rsid w:val="00FD5013"/>
    <w:rsid w:val="00FD608A"/>
    <w:rsid w:val="00FD77E7"/>
    <w:rsid w:val="00FE20FE"/>
    <w:rsid w:val="00FE5181"/>
    <w:rsid w:val="00FE75F5"/>
    <w:rsid w:val="00FF01C2"/>
    <w:rsid w:val="00FF56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6A85BFD-90B0-4C57-9385-6D765030E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F52C7"/>
    <w:rPr>
      <w:sz w:val="24"/>
      <w:szCs w:val="24"/>
    </w:rPr>
  </w:style>
  <w:style w:type="paragraph" w:styleId="Nagwek1">
    <w:name w:val="heading 1"/>
    <w:basedOn w:val="Normalny"/>
    <w:next w:val="Normalny"/>
    <w:link w:val="Nagwek1Znak"/>
    <w:qFormat/>
    <w:rsid w:val="005F75DD"/>
    <w:pPr>
      <w:keepNext/>
      <w:keepLines/>
      <w:spacing w:before="480"/>
      <w:outlineLvl w:val="0"/>
    </w:pPr>
    <w:rPr>
      <w:rFonts w:ascii="Cambria" w:hAnsi="Cambria"/>
      <w:b/>
      <w:bCs/>
      <w:color w:val="365F9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rsid w:val="00F41B95"/>
    <w:rPr>
      <w:rFonts w:ascii="Tahoma" w:hAnsi="Tahoma"/>
      <w:sz w:val="16"/>
      <w:szCs w:val="16"/>
    </w:rPr>
  </w:style>
  <w:style w:type="character" w:customStyle="1" w:styleId="TekstdymkaZnak">
    <w:name w:val="Tekst dymka Znak"/>
    <w:link w:val="Tekstdymka"/>
    <w:rsid w:val="00F41B95"/>
    <w:rPr>
      <w:rFonts w:ascii="Tahoma" w:hAnsi="Tahoma" w:cs="Tahoma"/>
      <w:sz w:val="16"/>
      <w:szCs w:val="16"/>
    </w:rPr>
  </w:style>
  <w:style w:type="character" w:styleId="Odwoaniedokomentarza">
    <w:name w:val="annotation reference"/>
    <w:rsid w:val="006A6DDE"/>
    <w:rPr>
      <w:sz w:val="16"/>
      <w:szCs w:val="16"/>
    </w:rPr>
  </w:style>
  <w:style w:type="paragraph" w:styleId="Tekstkomentarza">
    <w:name w:val="annotation text"/>
    <w:basedOn w:val="Normalny"/>
    <w:link w:val="TekstkomentarzaZnak"/>
    <w:rsid w:val="006A6DDE"/>
    <w:rPr>
      <w:sz w:val="20"/>
      <w:szCs w:val="20"/>
    </w:rPr>
  </w:style>
  <w:style w:type="character" w:customStyle="1" w:styleId="TekstkomentarzaZnak">
    <w:name w:val="Tekst komentarza Znak"/>
    <w:basedOn w:val="Domylnaczcionkaakapitu"/>
    <w:link w:val="Tekstkomentarza"/>
    <w:rsid w:val="006A6DDE"/>
  </w:style>
  <w:style w:type="paragraph" w:styleId="Tematkomentarza">
    <w:name w:val="annotation subject"/>
    <w:basedOn w:val="Tekstkomentarza"/>
    <w:next w:val="Tekstkomentarza"/>
    <w:link w:val="TematkomentarzaZnak"/>
    <w:rsid w:val="006A6DDE"/>
    <w:rPr>
      <w:b/>
      <w:bCs/>
    </w:rPr>
  </w:style>
  <w:style w:type="character" w:customStyle="1" w:styleId="TematkomentarzaZnak">
    <w:name w:val="Temat komentarza Znak"/>
    <w:link w:val="Tematkomentarza"/>
    <w:rsid w:val="006A6DDE"/>
    <w:rPr>
      <w:b/>
      <w:bCs/>
    </w:rPr>
  </w:style>
  <w:style w:type="paragraph" w:styleId="Nagwek">
    <w:name w:val="header"/>
    <w:basedOn w:val="Normalny"/>
    <w:link w:val="NagwekZnak"/>
    <w:rsid w:val="00C71DD3"/>
    <w:pPr>
      <w:tabs>
        <w:tab w:val="center" w:pos="4536"/>
        <w:tab w:val="right" w:pos="9072"/>
      </w:tabs>
    </w:pPr>
  </w:style>
  <w:style w:type="character" w:customStyle="1" w:styleId="NagwekZnak">
    <w:name w:val="Nagłówek Znak"/>
    <w:link w:val="Nagwek"/>
    <w:rsid w:val="00C71DD3"/>
    <w:rPr>
      <w:sz w:val="24"/>
      <w:szCs w:val="24"/>
    </w:rPr>
  </w:style>
  <w:style w:type="paragraph" w:styleId="Stopka">
    <w:name w:val="footer"/>
    <w:basedOn w:val="Normalny"/>
    <w:link w:val="StopkaZnak"/>
    <w:uiPriority w:val="99"/>
    <w:rsid w:val="00C71DD3"/>
    <w:pPr>
      <w:tabs>
        <w:tab w:val="center" w:pos="4536"/>
        <w:tab w:val="right" w:pos="9072"/>
      </w:tabs>
    </w:pPr>
  </w:style>
  <w:style w:type="character" w:customStyle="1" w:styleId="StopkaZnak">
    <w:name w:val="Stopka Znak"/>
    <w:link w:val="Stopka"/>
    <w:uiPriority w:val="99"/>
    <w:rsid w:val="00C71DD3"/>
    <w:rPr>
      <w:sz w:val="24"/>
      <w:szCs w:val="24"/>
    </w:rPr>
  </w:style>
  <w:style w:type="paragraph" w:styleId="Akapitzlist">
    <w:name w:val="List Paragraph"/>
    <w:basedOn w:val="Normalny"/>
    <w:uiPriority w:val="34"/>
    <w:qFormat/>
    <w:rsid w:val="00EF26CE"/>
    <w:pPr>
      <w:ind w:left="720"/>
      <w:contextualSpacing/>
    </w:pPr>
  </w:style>
  <w:style w:type="paragraph" w:styleId="Poprawka">
    <w:name w:val="Revision"/>
    <w:hidden/>
    <w:uiPriority w:val="99"/>
    <w:semiHidden/>
    <w:rsid w:val="001417F2"/>
    <w:rPr>
      <w:sz w:val="24"/>
      <w:szCs w:val="24"/>
    </w:rPr>
  </w:style>
  <w:style w:type="character" w:customStyle="1" w:styleId="Nagwek1Znak">
    <w:name w:val="Nagłówek 1 Znak"/>
    <w:link w:val="Nagwek1"/>
    <w:rsid w:val="005F75DD"/>
    <w:rPr>
      <w:rFonts w:ascii="Cambria" w:eastAsia="Times New Roman" w:hAnsi="Cambria" w:cs="Times New Roman"/>
      <w:b/>
      <w:bCs/>
      <w:color w:val="365F91"/>
      <w:sz w:val="28"/>
      <w:szCs w:val="28"/>
    </w:rPr>
  </w:style>
  <w:style w:type="paragraph" w:customStyle="1" w:styleId="Default">
    <w:name w:val="Default"/>
    <w:uiPriority w:val="99"/>
    <w:rsid w:val="00D035EF"/>
    <w:pPr>
      <w:widowControl w:val="0"/>
      <w:autoSpaceDE w:val="0"/>
      <w:autoSpaceDN w:val="0"/>
      <w:adjustRightInd w:val="0"/>
    </w:pPr>
    <w:rPr>
      <w:rFonts w:ascii="CKBKDC+Arial" w:hAnsi="CKBKDC+Arial" w:cs="CKBKDC+Arial"/>
      <w:color w:val="000000"/>
      <w:sz w:val="24"/>
      <w:szCs w:val="24"/>
    </w:rPr>
  </w:style>
  <w:style w:type="paragraph" w:styleId="HTML-wstpniesformatowany">
    <w:name w:val="HTML Preformatted"/>
    <w:basedOn w:val="Normalny"/>
    <w:link w:val="HTML-wstpniesformatowanyZnak"/>
    <w:uiPriority w:val="99"/>
    <w:unhideWhenUsed/>
    <w:rsid w:val="00050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link w:val="HTML-wstpniesformatowany"/>
    <w:uiPriority w:val="99"/>
    <w:rsid w:val="00050F22"/>
    <w:rPr>
      <w:rFonts w:ascii="Courier New" w:hAnsi="Courier New" w:cs="Courier New"/>
    </w:rPr>
  </w:style>
  <w:style w:type="paragraph" w:styleId="Tekstpodstawowy">
    <w:name w:val="Body Text"/>
    <w:aliases w:val="Body Text Char1,Body Text Char Char,Body Text Char1 Char Char,Body Text Char Char Char Char,Body Text Char1 Char Char Char Char,Body Text Char Char Char Char Char Char,Body Text Char1 Char Char Char Char Char Char"/>
    <w:basedOn w:val="Normalny"/>
    <w:link w:val="TekstpodstawowyZnak"/>
    <w:rsid w:val="003042D5"/>
    <w:pPr>
      <w:jc w:val="both"/>
    </w:pPr>
  </w:style>
  <w:style w:type="character" w:customStyle="1" w:styleId="TekstpodstawowyZnak">
    <w:name w:val="Tekst podstawowy Znak"/>
    <w:aliases w:val="Body Text Char1 Znak,Body Text Char Char Znak,Body Text Char1 Char Char Znak,Body Text Char Char Char Char Znak,Body Text Char1 Char Char Char Char Znak,Body Text Char Char Char Char Char Char Znak"/>
    <w:link w:val="Tekstpodstawowy"/>
    <w:rsid w:val="003042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682352">
      <w:bodyDiv w:val="1"/>
      <w:marLeft w:val="0"/>
      <w:marRight w:val="0"/>
      <w:marTop w:val="0"/>
      <w:marBottom w:val="0"/>
      <w:divBdr>
        <w:top w:val="none" w:sz="0" w:space="0" w:color="auto"/>
        <w:left w:val="none" w:sz="0" w:space="0" w:color="auto"/>
        <w:bottom w:val="none" w:sz="0" w:space="0" w:color="auto"/>
        <w:right w:val="none" w:sz="0" w:space="0" w:color="auto"/>
      </w:divBdr>
    </w:div>
    <w:div w:id="1234781387">
      <w:bodyDiv w:val="1"/>
      <w:marLeft w:val="0"/>
      <w:marRight w:val="0"/>
      <w:marTop w:val="0"/>
      <w:marBottom w:val="0"/>
      <w:divBdr>
        <w:top w:val="none" w:sz="0" w:space="0" w:color="auto"/>
        <w:left w:val="none" w:sz="0" w:space="0" w:color="auto"/>
        <w:bottom w:val="none" w:sz="0" w:space="0" w:color="auto"/>
        <w:right w:val="none" w:sz="0" w:space="0" w:color="auto"/>
      </w:divBdr>
    </w:div>
    <w:div w:id="193378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5E14D-49C1-49A1-B499-CBB2F5260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677</Words>
  <Characters>4241</Characters>
  <Application>Microsoft Office Word</Application>
  <DocSecurity>0</DocSecurity>
  <Lines>35</Lines>
  <Paragraphs>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HTA Consulting</Company>
  <LinksUpToDate>false</LinksUpToDate>
  <CharactersWithSpaces>4909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bgad</dc:creator>
  <cp:lastModifiedBy>Królak-Buzakowska Joanna</cp:lastModifiedBy>
  <cp:revision>4</cp:revision>
  <cp:lastPrinted>2018-12-19T14:08:00Z</cp:lastPrinted>
  <dcterms:created xsi:type="dcterms:W3CDTF">2018-12-19T11:53:00Z</dcterms:created>
  <dcterms:modified xsi:type="dcterms:W3CDTF">2018-12-20T17:26:00Z</dcterms:modified>
</cp:coreProperties>
</file>