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653F" w:rsidRPr="002A653F" w:rsidRDefault="004B2ED5" w:rsidP="002A653F">
      <w:pPr>
        <w:jc w:val="both"/>
        <w:rPr>
          <w:rFonts w:ascii="Times New Roman" w:hAnsi="Times New Roman"/>
        </w:rPr>
      </w:pPr>
    </w:p>
    <w:p w:rsidR="001D34EE" w:rsidRDefault="001D34EE" w:rsidP="0036081A">
      <w:pPr>
        <w:spacing w:line="264" w:lineRule="auto"/>
        <w:jc w:val="center"/>
        <w:rPr>
          <w:rFonts w:asciiTheme="minorHAnsi" w:hAnsiTheme="minorHAnsi"/>
          <w:b/>
          <w:u w:val="single"/>
        </w:rPr>
      </w:pPr>
    </w:p>
    <w:p w:rsidR="0036081A" w:rsidRPr="00756FA6" w:rsidRDefault="0036081A" w:rsidP="0036081A">
      <w:pPr>
        <w:spacing w:line="264" w:lineRule="auto"/>
        <w:jc w:val="center"/>
        <w:rPr>
          <w:rFonts w:asciiTheme="minorHAnsi" w:eastAsia="Times New Roman" w:hAnsiTheme="minorHAnsi"/>
          <w:b/>
          <w:u w:val="single"/>
          <w:lang w:eastAsia="pl-PL"/>
        </w:rPr>
      </w:pPr>
      <w:r w:rsidRPr="00756FA6">
        <w:rPr>
          <w:rFonts w:asciiTheme="minorHAnsi" w:hAnsiTheme="minorHAnsi"/>
          <w:b/>
          <w:u w:val="single"/>
        </w:rPr>
        <w:t>TRANSFERY FINANSOWE POMIĘDZY POLSKĄ A BUDŻETEM UE WEDŁUG STANU NA DZIEŃ</w:t>
      </w:r>
    </w:p>
    <w:p w:rsidR="0036081A" w:rsidRPr="00756FA6" w:rsidRDefault="0036081A" w:rsidP="0036081A">
      <w:pPr>
        <w:pStyle w:val="Tekstpodstawowy"/>
        <w:tabs>
          <w:tab w:val="left" w:pos="357"/>
        </w:tabs>
        <w:spacing w:line="264" w:lineRule="auto"/>
        <w:jc w:val="center"/>
        <w:rPr>
          <w:rFonts w:asciiTheme="minorHAnsi" w:hAnsiTheme="minorHAnsi"/>
          <w:b/>
          <w:szCs w:val="24"/>
          <w:u w:val="single"/>
        </w:rPr>
      </w:pPr>
      <w:r>
        <w:rPr>
          <w:rFonts w:asciiTheme="minorHAnsi" w:hAnsiTheme="minorHAnsi"/>
          <w:b/>
          <w:szCs w:val="24"/>
          <w:u w:val="single"/>
        </w:rPr>
        <w:t>30 WRZEŚNIA</w:t>
      </w:r>
      <w:r w:rsidRPr="00756FA6">
        <w:rPr>
          <w:rFonts w:asciiTheme="minorHAnsi" w:hAnsiTheme="minorHAnsi"/>
          <w:b/>
          <w:szCs w:val="24"/>
          <w:u w:val="single"/>
        </w:rPr>
        <w:t xml:space="preserve"> 2020 R.</w:t>
      </w: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</w:rPr>
      </w:pP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</w:rPr>
      </w:pPr>
    </w:p>
    <w:p w:rsidR="001D34EE" w:rsidRPr="00756FA6" w:rsidRDefault="001D34EE" w:rsidP="001D34EE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  <w:r w:rsidRPr="00756FA6">
        <w:rPr>
          <w:rFonts w:asciiTheme="minorHAnsi" w:hAnsiTheme="minorHAnsi"/>
          <w:b/>
          <w:szCs w:val="24"/>
          <w:u w:val="single"/>
        </w:rPr>
        <w:t>I.</w:t>
      </w:r>
      <w:r w:rsidRPr="00756FA6">
        <w:rPr>
          <w:rFonts w:asciiTheme="minorHAnsi" w:hAnsiTheme="minorHAnsi"/>
          <w:b/>
          <w:szCs w:val="24"/>
          <w:u w:val="single"/>
        </w:rPr>
        <w:tab/>
        <w:t>ROZLICZENIA POLSKI Z UE</w:t>
      </w:r>
      <w:r>
        <w:rPr>
          <w:rFonts w:asciiTheme="minorHAnsi" w:hAnsiTheme="minorHAnsi"/>
          <w:b/>
          <w:szCs w:val="24"/>
          <w:u w:val="single"/>
        </w:rPr>
        <w:t xml:space="preserve"> </w:t>
      </w: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  <w:b/>
          <w:sz w:val="20"/>
          <w:szCs w:val="20"/>
        </w:rPr>
      </w:pP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  <w:b/>
          <w:sz w:val="10"/>
          <w:szCs w:val="10"/>
        </w:rPr>
      </w:pPr>
      <w:bookmarkStart w:id="0" w:name="_GoBack"/>
      <w:bookmarkEnd w:id="0"/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  <w:b/>
          <w:sz w:val="10"/>
          <w:szCs w:val="10"/>
        </w:rPr>
      </w:pPr>
    </w:p>
    <w:p w:rsidR="001D34EE" w:rsidRPr="00756FA6" w:rsidRDefault="001D34EE" w:rsidP="001D34EE">
      <w:pPr>
        <w:tabs>
          <w:tab w:val="left" w:pos="709"/>
        </w:tabs>
        <w:spacing w:line="264" w:lineRule="auto"/>
        <w:jc w:val="both"/>
        <w:rPr>
          <w:rFonts w:asciiTheme="minorHAnsi" w:hAnsiTheme="minorHAnsi"/>
          <w:b/>
          <w:u w:val="single"/>
        </w:rPr>
      </w:pPr>
      <w:r w:rsidRPr="00756FA6">
        <w:rPr>
          <w:rFonts w:asciiTheme="minorHAnsi" w:hAnsiTheme="minorHAnsi"/>
          <w:b/>
          <w:u w:val="single"/>
        </w:rPr>
        <w:t>I.1</w:t>
      </w:r>
      <w:r w:rsidRPr="00756FA6">
        <w:rPr>
          <w:rFonts w:asciiTheme="minorHAnsi" w:hAnsiTheme="minorHAnsi"/>
          <w:b/>
          <w:u w:val="single"/>
        </w:rPr>
        <w:tab/>
        <w:t>Roz</w:t>
      </w:r>
      <w:r>
        <w:rPr>
          <w:rFonts w:asciiTheme="minorHAnsi" w:hAnsiTheme="minorHAnsi"/>
          <w:b/>
          <w:u w:val="single"/>
        </w:rPr>
        <w:t>liczenia Polski z budżetem UE we wrześniu</w:t>
      </w:r>
      <w:r w:rsidRPr="00756FA6">
        <w:rPr>
          <w:rFonts w:asciiTheme="minorHAnsi" w:hAnsiTheme="minorHAnsi"/>
          <w:b/>
          <w:u w:val="single"/>
        </w:rPr>
        <w:t xml:space="preserve"> 2020 r. </w:t>
      </w: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We wrześniu</w:t>
      </w:r>
      <w:r w:rsidRPr="00756FA6">
        <w:rPr>
          <w:rFonts w:asciiTheme="minorHAnsi" w:hAnsiTheme="minorHAnsi"/>
        </w:rPr>
        <w:t xml:space="preserve"> z budżetu UE do Polski w formie transferów finansowych wpłynęło </w:t>
      </w:r>
      <w:r>
        <w:rPr>
          <w:rFonts w:asciiTheme="minorHAnsi" w:hAnsiTheme="minorHAnsi"/>
          <w:b/>
        </w:rPr>
        <w:t>223 mln</w:t>
      </w:r>
      <w:r w:rsidRPr="00756FA6">
        <w:rPr>
          <w:rFonts w:asciiTheme="minorHAnsi" w:hAnsiTheme="minorHAnsi"/>
          <w:b/>
        </w:rPr>
        <w:t> EUR</w:t>
      </w:r>
      <w:r w:rsidRPr="00756FA6">
        <w:rPr>
          <w:rFonts w:asciiTheme="minorHAnsi" w:hAnsiTheme="minorHAnsi"/>
        </w:rPr>
        <w:t xml:space="preserve">. </w:t>
      </w: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  <w:sz w:val="16"/>
          <w:szCs w:val="16"/>
        </w:rPr>
      </w:pP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  <w:u w:val="single"/>
        </w:rPr>
      </w:pP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  <w:u w:val="single"/>
        </w:rPr>
      </w:pPr>
      <w:r w:rsidRPr="00756FA6">
        <w:rPr>
          <w:rFonts w:asciiTheme="minorHAnsi" w:hAnsiTheme="minorHAnsi"/>
          <w:u w:val="single"/>
        </w:rPr>
        <w:t xml:space="preserve">Polityka spójności </w:t>
      </w: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</w:rPr>
      </w:pPr>
      <w:r w:rsidRPr="00756FA6">
        <w:rPr>
          <w:rFonts w:asciiTheme="minorHAnsi" w:hAnsiTheme="minorHAnsi"/>
        </w:rPr>
        <w:t xml:space="preserve">W ramach polityki spójności Polska otrzymała </w:t>
      </w:r>
      <w:r>
        <w:rPr>
          <w:rFonts w:asciiTheme="minorHAnsi" w:hAnsiTheme="minorHAnsi"/>
          <w:b/>
        </w:rPr>
        <w:t>186</w:t>
      </w:r>
      <w:r w:rsidRPr="00756FA6">
        <w:rPr>
          <w:rFonts w:asciiTheme="minorHAnsi" w:hAnsiTheme="minorHAnsi"/>
          <w:b/>
        </w:rPr>
        <w:t xml:space="preserve"> ml</w:t>
      </w:r>
      <w:r>
        <w:rPr>
          <w:rFonts w:asciiTheme="minorHAnsi" w:hAnsiTheme="minorHAnsi"/>
          <w:b/>
        </w:rPr>
        <w:t>n</w:t>
      </w:r>
      <w:r w:rsidRPr="00756FA6">
        <w:rPr>
          <w:rFonts w:asciiTheme="minorHAnsi" w:hAnsiTheme="minorHAnsi"/>
          <w:b/>
        </w:rPr>
        <w:t xml:space="preserve"> EUR</w:t>
      </w:r>
      <w:r w:rsidRPr="00756FA6">
        <w:rPr>
          <w:rFonts w:asciiTheme="minorHAnsi" w:hAnsiTheme="minorHAnsi"/>
        </w:rPr>
        <w:t>, w tym:</w:t>
      </w:r>
    </w:p>
    <w:p w:rsidR="001D34EE" w:rsidRDefault="001D34EE" w:rsidP="001D34EE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116</w:t>
      </w:r>
      <w:r w:rsidRPr="00756FA6">
        <w:rPr>
          <w:rFonts w:asciiTheme="minorHAnsi" w:hAnsiTheme="minorHAnsi"/>
          <w:b/>
        </w:rPr>
        <w:t xml:space="preserve"> mln EUR </w:t>
      </w:r>
      <w:r w:rsidRPr="00756FA6">
        <w:rPr>
          <w:rFonts w:asciiTheme="minorHAnsi" w:hAnsiTheme="minorHAnsi"/>
        </w:rPr>
        <w:t>z Europejskiego Funduszu Rozwoju Regionalnego,</w:t>
      </w:r>
    </w:p>
    <w:p w:rsidR="001D34EE" w:rsidRPr="00A110AB" w:rsidRDefault="001D34EE" w:rsidP="001D34EE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70</w:t>
      </w:r>
      <w:r w:rsidRPr="00756FA6">
        <w:rPr>
          <w:rFonts w:asciiTheme="minorHAnsi" w:hAnsiTheme="minorHAnsi"/>
          <w:b/>
        </w:rPr>
        <w:t xml:space="preserve"> mln EUR </w:t>
      </w:r>
      <w:r w:rsidRPr="00756FA6">
        <w:rPr>
          <w:rFonts w:asciiTheme="minorHAnsi" w:hAnsiTheme="minorHAnsi"/>
        </w:rPr>
        <w:t>z Eur</w:t>
      </w:r>
      <w:r>
        <w:rPr>
          <w:rFonts w:asciiTheme="minorHAnsi" w:hAnsiTheme="minorHAnsi"/>
        </w:rPr>
        <w:t>opejskiego Funduszu Społecznego.</w:t>
      </w:r>
    </w:p>
    <w:p w:rsidR="001D34EE" w:rsidRPr="00756FA6" w:rsidRDefault="001D34EE" w:rsidP="001D34EE">
      <w:pPr>
        <w:tabs>
          <w:tab w:val="left" w:pos="709"/>
        </w:tabs>
        <w:spacing w:line="264" w:lineRule="auto"/>
        <w:jc w:val="both"/>
        <w:rPr>
          <w:rFonts w:asciiTheme="minorHAnsi" w:hAnsiTheme="minorHAnsi"/>
          <w:sz w:val="20"/>
          <w:szCs w:val="20"/>
          <w:u w:val="single"/>
        </w:rPr>
      </w:pPr>
    </w:p>
    <w:p w:rsidR="001D34EE" w:rsidRDefault="001D34EE" w:rsidP="001D34EE">
      <w:pPr>
        <w:spacing w:line="264" w:lineRule="auto"/>
        <w:jc w:val="both"/>
        <w:rPr>
          <w:rFonts w:asciiTheme="minorHAnsi" w:hAnsiTheme="minorHAnsi"/>
          <w:u w:val="single"/>
        </w:rPr>
      </w:pPr>
      <w:r w:rsidRPr="00756FA6">
        <w:rPr>
          <w:rFonts w:asciiTheme="minorHAnsi" w:hAnsiTheme="minorHAnsi"/>
          <w:u w:val="single"/>
        </w:rPr>
        <w:t>Wspólna polityka rolna</w:t>
      </w:r>
    </w:p>
    <w:p w:rsidR="001D34EE" w:rsidRDefault="001D34EE" w:rsidP="001D34EE">
      <w:pPr>
        <w:spacing w:line="264" w:lineRule="auto"/>
        <w:jc w:val="both"/>
        <w:rPr>
          <w:rFonts w:asciiTheme="minorHAnsi" w:hAnsiTheme="minorHAnsi"/>
        </w:rPr>
      </w:pPr>
      <w:r w:rsidRPr="00756FA6">
        <w:rPr>
          <w:rFonts w:asciiTheme="minorHAnsi" w:hAnsiTheme="minorHAnsi"/>
        </w:rPr>
        <w:t>W ramach wspólnej polityki rolnej do Polski wpłynęło</w:t>
      </w:r>
      <w:r>
        <w:rPr>
          <w:rFonts w:asciiTheme="minorHAnsi" w:hAnsiTheme="minorHAnsi"/>
          <w:b/>
        </w:rPr>
        <w:t xml:space="preserve"> 2</w:t>
      </w:r>
      <w:r w:rsidRPr="00756FA6">
        <w:rPr>
          <w:rFonts w:asciiTheme="minorHAnsi" w:hAnsiTheme="minorHAnsi"/>
          <w:b/>
        </w:rPr>
        <w:t xml:space="preserve"> mln EUR</w:t>
      </w:r>
      <w:r>
        <w:rPr>
          <w:rFonts w:asciiTheme="minorHAnsi" w:hAnsiTheme="minorHAnsi"/>
        </w:rPr>
        <w:t xml:space="preserve"> </w:t>
      </w:r>
      <w:r w:rsidRPr="00756FA6">
        <w:rPr>
          <w:rFonts w:asciiTheme="minorHAnsi" w:hAnsiTheme="minorHAnsi"/>
        </w:rPr>
        <w:t>z tytułu działań realizowanych przez</w:t>
      </w:r>
      <w:r>
        <w:rPr>
          <w:rFonts w:asciiTheme="minorHAnsi" w:hAnsiTheme="minorHAnsi"/>
        </w:rPr>
        <w:t xml:space="preserve"> ARiMR (płatności bezpośrednie).</w:t>
      </w:r>
    </w:p>
    <w:p w:rsidR="001D34EE" w:rsidRPr="007E2A83" w:rsidRDefault="001D34EE" w:rsidP="001D34EE">
      <w:pPr>
        <w:spacing w:line="264" w:lineRule="auto"/>
        <w:jc w:val="both"/>
        <w:rPr>
          <w:rFonts w:asciiTheme="minorHAnsi" w:hAnsiTheme="minorHAnsi"/>
        </w:rPr>
      </w:pPr>
    </w:p>
    <w:p w:rsidR="001D34EE" w:rsidRPr="00765360" w:rsidRDefault="001D34EE" w:rsidP="001D34EE">
      <w:pPr>
        <w:tabs>
          <w:tab w:val="left" w:pos="709"/>
        </w:tabs>
        <w:spacing w:line="264" w:lineRule="auto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</w:rPr>
        <w:t xml:space="preserve">Napłynęły także środki z </w:t>
      </w:r>
      <w:r w:rsidRPr="00765360">
        <w:rPr>
          <w:rFonts w:asciiTheme="minorHAnsi" w:hAnsiTheme="minorHAnsi"/>
        </w:rPr>
        <w:t>Instrument</w:t>
      </w:r>
      <w:r>
        <w:rPr>
          <w:rFonts w:asciiTheme="minorHAnsi" w:hAnsiTheme="minorHAnsi"/>
        </w:rPr>
        <w:t>u</w:t>
      </w:r>
      <w:r w:rsidRPr="00765360">
        <w:rPr>
          <w:rFonts w:asciiTheme="minorHAnsi" w:hAnsiTheme="minorHAnsi"/>
        </w:rPr>
        <w:t xml:space="preserve"> "Łącząc Europę" (CEF)</w:t>
      </w:r>
      <w:r>
        <w:rPr>
          <w:rFonts w:asciiTheme="minorHAnsi" w:hAnsiTheme="minorHAnsi"/>
        </w:rPr>
        <w:t xml:space="preserve"> w wysokości </w:t>
      </w:r>
      <w:r>
        <w:rPr>
          <w:rFonts w:asciiTheme="minorHAnsi" w:hAnsiTheme="minorHAnsi"/>
          <w:b/>
        </w:rPr>
        <w:t>35</w:t>
      </w:r>
      <w:r w:rsidRPr="00765360">
        <w:rPr>
          <w:rFonts w:asciiTheme="minorHAnsi" w:hAnsiTheme="minorHAnsi"/>
          <w:b/>
        </w:rPr>
        <w:t xml:space="preserve"> mln EUR.</w:t>
      </w:r>
    </w:p>
    <w:p w:rsidR="001D34EE" w:rsidRDefault="001D34EE" w:rsidP="001D34EE">
      <w:pPr>
        <w:spacing w:line="264" w:lineRule="auto"/>
        <w:jc w:val="both"/>
        <w:rPr>
          <w:rFonts w:asciiTheme="minorHAnsi" w:hAnsiTheme="minorHAnsi"/>
          <w:sz w:val="20"/>
          <w:szCs w:val="20"/>
        </w:rPr>
      </w:pP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  <w:sz w:val="20"/>
          <w:szCs w:val="20"/>
        </w:rPr>
      </w:pP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  <w:u w:val="single"/>
        </w:rPr>
      </w:pPr>
      <w:r w:rsidRPr="00756FA6">
        <w:rPr>
          <w:rFonts w:asciiTheme="minorHAnsi" w:hAnsiTheme="minorHAnsi"/>
          <w:u w:val="single"/>
        </w:rPr>
        <w:t>Wpłaty do budżetu ogólnego UE</w:t>
      </w: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</w:rPr>
      </w:pPr>
      <w:r w:rsidRPr="00756FA6">
        <w:rPr>
          <w:rFonts w:asciiTheme="minorHAnsi" w:hAnsiTheme="minorHAnsi"/>
        </w:rPr>
        <w:t>Składka przekazana przez Polskę do budżetu ogólnego UE wyniosła</w:t>
      </w:r>
      <w:r>
        <w:rPr>
          <w:rFonts w:asciiTheme="minorHAnsi" w:hAnsiTheme="minorHAnsi"/>
          <w:b/>
        </w:rPr>
        <w:t xml:space="preserve"> 377</w:t>
      </w:r>
      <w:r w:rsidRPr="00756FA6">
        <w:rPr>
          <w:rFonts w:asciiTheme="minorHAnsi" w:hAnsiTheme="minorHAnsi"/>
          <w:b/>
        </w:rPr>
        <w:t xml:space="preserve"> mln EUR</w:t>
      </w:r>
      <w:r w:rsidRPr="00756FA6">
        <w:rPr>
          <w:rFonts w:asciiTheme="minorHAnsi" w:hAnsiTheme="minorHAnsi"/>
        </w:rPr>
        <w:t>.</w:t>
      </w: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  <w:u w:val="single"/>
        </w:rPr>
      </w:pP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756FA6">
        <w:rPr>
          <w:rFonts w:asciiTheme="minorHAnsi" w:hAnsiTheme="minorHAnsi"/>
          <w:b/>
          <w:u w:val="single"/>
        </w:rPr>
        <w:t>Podsumowanie</w:t>
      </w:r>
    </w:p>
    <w:p w:rsidR="001D34EE" w:rsidRDefault="001D34EE" w:rsidP="001D34EE">
      <w:pPr>
        <w:pStyle w:val="Tekstpodstawowy"/>
        <w:tabs>
          <w:tab w:val="left" w:pos="284"/>
        </w:tabs>
        <w:spacing w:line="264" w:lineRule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We wrześniu</w:t>
      </w:r>
      <w:r w:rsidRPr="00756FA6">
        <w:rPr>
          <w:rFonts w:asciiTheme="minorHAnsi" w:hAnsiTheme="minorHAnsi"/>
          <w:szCs w:val="24"/>
        </w:rPr>
        <w:t xml:space="preserve"> saldo rozliczeń pomiędzy Polską a budżetem UE </w:t>
      </w:r>
      <w:r>
        <w:rPr>
          <w:rFonts w:asciiTheme="minorHAnsi" w:hAnsiTheme="minorHAnsi"/>
          <w:szCs w:val="24"/>
        </w:rPr>
        <w:t xml:space="preserve">było ujemne i </w:t>
      </w:r>
      <w:r w:rsidRPr="00756FA6">
        <w:rPr>
          <w:rFonts w:asciiTheme="minorHAnsi" w:hAnsiTheme="minorHAnsi"/>
          <w:szCs w:val="24"/>
        </w:rPr>
        <w:t>wyniosło</w:t>
      </w:r>
      <w:r w:rsidRPr="00300FF8">
        <w:rPr>
          <w:rFonts w:asciiTheme="minorHAnsi" w:hAnsiTheme="minorHAnsi"/>
          <w:szCs w:val="24"/>
        </w:rPr>
        <w:t xml:space="preserve">: </w:t>
      </w:r>
    </w:p>
    <w:p w:rsidR="001D34EE" w:rsidRPr="00756FA6" w:rsidRDefault="001D34EE" w:rsidP="001D34EE">
      <w:pPr>
        <w:pStyle w:val="Tekstpodstawowy"/>
        <w:tabs>
          <w:tab w:val="left" w:pos="284"/>
        </w:tabs>
        <w:spacing w:line="264" w:lineRule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- </w:t>
      </w:r>
      <w:r>
        <w:rPr>
          <w:rFonts w:asciiTheme="minorHAnsi" w:hAnsiTheme="minorHAnsi"/>
          <w:b/>
          <w:szCs w:val="24"/>
        </w:rPr>
        <w:t>154 mln</w:t>
      </w:r>
      <w:r w:rsidRPr="00756FA6">
        <w:rPr>
          <w:rFonts w:asciiTheme="minorHAnsi" w:hAnsiTheme="minorHAnsi"/>
          <w:b/>
          <w:szCs w:val="24"/>
        </w:rPr>
        <w:t> EUR</w:t>
      </w:r>
      <w:r w:rsidRPr="00756FA6">
        <w:rPr>
          <w:rFonts w:asciiTheme="minorHAnsi" w:hAnsiTheme="minorHAnsi"/>
          <w:szCs w:val="24"/>
        </w:rPr>
        <w:t>.</w:t>
      </w:r>
    </w:p>
    <w:p w:rsidR="001D34EE" w:rsidRPr="005B5D33" w:rsidRDefault="001D34EE" w:rsidP="001D34EE">
      <w:pPr>
        <w:pStyle w:val="Tekstpodstawowy"/>
        <w:tabs>
          <w:tab w:val="left" w:pos="709"/>
        </w:tabs>
        <w:spacing w:line="264" w:lineRule="auto"/>
        <w:rPr>
          <w:rFonts w:asciiTheme="minorHAnsi" w:hAnsiTheme="minorHAnsi"/>
          <w:szCs w:val="24"/>
        </w:rPr>
      </w:pPr>
    </w:p>
    <w:p w:rsidR="001D34EE" w:rsidRDefault="001D34EE" w:rsidP="001D34EE">
      <w:pPr>
        <w:pStyle w:val="Tekstpodstawowy"/>
        <w:tabs>
          <w:tab w:val="left" w:pos="709"/>
        </w:tabs>
        <w:spacing w:line="264" w:lineRule="auto"/>
        <w:rPr>
          <w:rFonts w:asciiTheme="minorHAnsi" w:hAnsiTheme="minorHAnsi"/>
          <w:b/>
          <w:u w:val="single"/>
        </w:rPr>
      </w:pP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756FA6">
        <w:rPr>
          <w:rFonts w:asciiTheme="minorHAnsi" w:hAnsiTheme="minorHAnsi"/>
          <w:b/>
          <w:u w:val="single"/>
        </w:rPr>
        <w:t>I.2</w:t>
      </w:r>
      <w:r w:rsidRPr="00756FA6">
        <w:rPr>
          <w:rFonts w:asciiTheme="minorHAnsi" w:hAnsiTheme="minorHAnsi"/>
          <w:b/>
          <w:u w:val="single"/>
        </w:rPr>
        <w:tab/>
        <w:t xml:space="preserve">Rozliczenia Polski z budżetem UE od początku członkostwa Polski w UE </w:t>
      </w:r>
    </w:p>
    <w:p w:rsidR="001D34EE" w:rsidRDefault="001D34EE" w:rsidP="001D34EE">
      <w:pPr>
        <w:pStyle w:val="Tekstpodstawowy"/>
        <w:spacing w:line="264" w:lineRule="auto"/>
        <w:rPr>
          <w:rFonts w:asciiTheme="minorHAnsi" w:hAnsiTheme="minorHAnsi"/>
        </w:rPr>
      </w:pPr>
      <w:r>
        <w:rPr>
          <w:rFonts w:asciiTheme="minorHAnsi" w:hAnsiTheme="minorHAnsi"/>
        </w:rPr>
        <w:t>We wrześniu</w:t>
      </w:r>
      <w:r w:rsidRPr="00756FA6">
        <w:rPr>
          <w:rFonts w:asciiTheme="minorHAnsi" w:hAnsiTheme="minorHAnsi"/>
        </w:rPr>
        <w:t xml:space="preserve"> saldo rozliczeń pomiędzy Polską a budżetem UE osiągnęło </w:t>
      </w:r>
      <w:r>
        <w:rPr>
          <w:rFonts w:asciiTheme="minorHAnsi" w:hAnsiTheme="minorHAnsi"/>
          <w:b/>
        </w:rPr>
        <w:t>+127,769</w:t>
      </w:r>
      <w:r w:rsidRPr="00756FA6">
        <w:rPr>
          <w:rFonts w:asciiTheme="minorHAnsi" w:hAnsiTheme="minorHAnsi"/>
          <w:b/>
        </w:rPr>
        <w:t xml:space="preserve"> mld EUR</w:t>
      </w:r>
      <w:r w:rsidRPr="00756FA6">
        <w:rPr>
          <w:rFonts w:asciiTheme="minorHAnsi" w:hAnsiTheme="minorHAnsi"/>
        </w:rPr>
        <w:t xml:space="preserve">. Całkowita wartość transferów z budżetu UE do Polski wyniosła </w:t>
      </w:r>
      <w:r>
        <w:rPr>
          <w:rFonts w:asciiTheme="minorHAnsi" w:hAnsiTheme="minorHAnsi"/>
          <w:b/>
        </w:rPr>
        <w:t>188,845</w:t>
      </w:r>
      <w:r w:rsidRPr="00756FA6">
        <w:rPr>
          <w:rFonts w:asciiTheme="minorHAnsi" w:hAnsiTheme="minorHAnsi"/>
        </w:rPr>
        <w:t xml:space="preserve"> </w:t>
      </w:r>
      <w:r w:rsidRPr="00756FA6">
        <w:rPr>
          <w:rFonts w:asciiTheme="minorHAnsi" w:hAnsiTheme="minorHAnsi"/>
          <w:b/>
        </w:rPr>
        <w:t>mld EUR</w:t>
      </w:r>
      <w:r w:rsidRPr="00756FA6">
        <w:rPr>
          <w:rFonts w:asciiTheme="minorHAnsi" w:hAnsiTheme="minorHAnsi"/>
        </w:rPr>
        <w:t>. Składka odprowadzona do budżetu UE osiągnęła</w:t>
      </w:r>
      <w:r>
        <w:rPr>
          <w:rFonts w:asciiTheme="minorHAnsi" w:hAnsiTheme="minorHAnsi"/>
          <w:b/>
        </w:rPr>
        <w:t xml:space="preserve"> 60,906</w:t>
      </w:r>
      <w:r w:rsidRPr="00756FA6">
        <w:rPr>
          <w:rFonts w:asciiTheme="minorHAnsi" w:hAnsiTheme="minorHAnsi"/>
          <w:b/>
        </w:rPr>
        <w:t xml:space="preserve"> mld EUR</w:t>
      </w:r>
      <w:r w:rsidRPr="00756FA6">
        <w:rPr>
          <w:rFonts w:asciiTheme="minorHAnsi" w:hAnsiTheme="minorHAnsi"/>
        </w:rPr>
        <w:t xml:space="preserve">, natomiast kwota zwrócona do budżetu UE wyniosła </w:t>
      </w:r>
      <w:r w:rsidRPr="00756FA6">
        <w:rPr>
          <w:rFonts w:asciiTheme="minorHAnsi" w:hAnsiTheme="minorHAnsi"/>
          <w:b/>
        </w:rPr>
        <w:t>170 mln EUR</w:t>
      </w:r>
      <w:r w:rsidRPr="00756FA6">
        <w:rPr>
          <w:rFonts w:asciiTheme="minorHAnsi" w:hAnsiTheme="minorHAnsi"/>
        </w:rPr>
        <w:t>.</w:t>
      </w:r>
    </w:p>
    <w:p w:rsidR="001D34EE" w:rsidRDefault="001D34EE" w:rsidP="001D34EE">
      <w:pPr>
        <w:pStyle w:val="Tekstpodstawowy"/>
        <w:spacing w:line="264" w:lineRule="auto"/>
        <w:rPr>
          <w:rFonts w:asciiTheme="minorHAnsi" w:hAnsiTheme="minorHAnsi"/>
        </w:rPr>
      </w:pPr>
    </w:p>
    <w:p w:rsidR="001D34EE" w:rsidRDefault="001D34EE" w:rsidP="001D34EE">
      <w:pPr>
        <w:pStyle w:val="Tekstpodstawowy"/>
        <w:spacing w:line="264" w:lineRule="auto"/>
        <w:rPr>
          <w:rFonts w:asciiTheme="minorHAnsi" w:hAnsiTheme="minorHAnsi"/>
        </w:rPr>
      </w:pPr>
    </w:p>
    <w:p w:rsidR="001D34EE" w:rsidRDefault="001D34EE" w:rsidP="001D34EE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</w:p>
    <w:p w:rsidR="001D34EE" w:rsidRDefault="001D34EE" w:rsidP="001D34EE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</w:p>
    <w:p w:rsidR="001D34EE" w:rsidRPr="00756FA6" w:rsidRDefault="001D34EE" w:rsidP="001D34EE">
      <w:pPr>
        <w:pStyle w:val="Tekstpodstawowy"/>
        <w:spacing w:line="264" w:lineRule="auto"/>
        <w:ind w:left="567" w:hanging="567"/>
        <w:rPr>
          <w:rFonts w:asciiTheme="minorHAnsi" w:hAnsiTheme="minorHAnsi"/>
          <w:b/>
          <w:szCs w:val="24"/>
          <w:u w:val="single"/>
        </w:rPr>
      </w:pPr>
      <w:r w:rsidRPr="00756FA6">
        <w:rPr>
          <w:rFonts w:asciiTheme="minorHAnsi" w:hAnsiTheme="minorHAnsi"/>
          <w:b/>
          <w:szCs w:val="24"/>
          <w:u w:val="single"/>
        </w:rPr>
        <w:lastRenderedPageBreak/>
        <w:t>II.</w:t>
      </w:r>
      <w:r w:rsidRPr="00756FA6">
        <w:rPr>
          <w:rFonts w:asciiTheme="minorHAnsi" w:hAnsiTheme="minorHAnsi"/>
          <w:b/>
          <w:szCs w:val="24"/>
          <w:u w:val="single"/>
        </w:rPr>
        <w:tab/>
        <w:t>ZAGADNIENIA ZWIĄZANE Z BUDŻETEM UNII EUROPEJSKIEJ, TRANSFERY FINANSOWE BUDŻET UE – PAŃSTWA CZŁONKOWSKIE</w:t>
      </w:r>
    </w:p>
    <w:p w:rsidR="001D34EE" w:rsidRDefault="001D34EE" w:rsidP="001D34EE">
      <w:pPr>
        <w:tabs>
          <w:tab w:val="left" w:pos="567"/>
        </w:tabs>
        <w:jc w:val="both"/>
        <w:rPr>
          <w:rFonts w:asciiTheme="minorHAnsi" w:eastAsia="Times New Roman" w:hAnsiTheme="minorHAnsi"/>
          <w:b/>
          <w:szCs w:val="20"/>
          <w:u w:val="single"/>
          <w:lang w:eastAsia="pl-PL"/>
        </w:rPr>
      </w:pPr>
    </w:p>
    <w:p w:rsidR="001D34EE" w:rsidRPr="00BF12EC" w:rsidRDefault="001D34EE" w:rsidP="001D34EE">
      <w:pPr>
        <w:tabs>
          <w:tab w:val="left" w:pos="567"/>
        </w:tabs>
        <w:jc w:val="both"/>
        <w:rPr>
          <w:rFonts w:asciiTheme="minorHAnsi" w:eastAsia="Times New Roman" w:hAnsiTheme="minorHAnsi"/>
          <w:b/>
          <w:szCs w:val="20"/>
          <w:u w:val="single"/>
          <w:lang w:eastAsia="pl-PL"/>
        </w:rPr>
      </w:pPr>
    </w:p>
    <w:p w:rsidR="001D34EE" w:rsidRPr="00D24FE7" w:rsidRDefault="001D34EE" w:rsidP="001D34EE">
      <w:pPr>
        <w:pStyle w:val="Text1"/>
        <w:tabs>
          <w:tab w:val="left" w:pos="709"/>
        </w:tabs>
        <w:suppressAutoHyphens/>
        <w:spacing w:before="0" w:after="0" w:line="264" w:lineRule="auto"/>
        <w:ind w:left="0"/>
        <w:rPr>
          <w:rFonts w:asciiTheme="minorHAnsi" w:hAnsiTheme="minorHAnsi"/>
          <w:b/>
          <w:u w:val="single"/>
          <w:lang w:val="pl-PL"/>
        </w:rPr>
      </w:pPr>
      <w:r w:rsidRPr="00D24FE7">
        <w:rPr>
          <w:rFonts w:asciiTheme="minorHAnsi" w:hAnsiTheme="minorHAnsi"/>
          <w:b/>
          <w:u w:val="single"/>
          <w:lang w:val="pl-PL"/>
        </w:rPr>
        <w:t xml:space="preserve">II.1   </w:t>
      </w:r>
      <w:r w:rsidRPr="00D24FE7">
        <w:rPr>
          <w:rFonts w:asciiTheme="minorHAnsi" w:hAnsiTheme="minorHAnsi"/>
          <w:b/>
          <w:u w:val="single"/>
          <w:lang w:val="pl-PL"/>
        </w:rPr>
        <w:tab/>
        <w:t xml:space="preserve">Projekt </w:t>
      </w:r>
      <w:r w:rsidRPr="005F4AC4">
        <w:rPr>
          <w:rFonts w:asciiTheme="minorHAnsi" w:eastAsia="Cambria" w:hAnsiTheme="minorHAnsi"/>
          <w:b/>
          <w:u w:val="single"/>
          <w:lang w:val="pl-PL" w:eastAsia="en-US"/>
        </w:rPr>
        <w:t>tzw. Global Transfer</w:t>
      </w:r>
      <w:r w:rsidRPr="00D24FE7">
        <w:rPr>
          <w:rFonts w:asciiTheme="minorHAnsi" w:hAnsiTheme="minorHAnsi"/>
          <w:b/>
          <w:u w:val="single"/>
          <w:lang w:val="pl-PL"/>
        </w:rPr>
        <w:t xml:space="preserve"> (DEC 16/2020) na rok 2020</w:t>
      </w:r>
      <w:r>
        <w:rPr>
          <w:rFonts w:asciiTheme="minorHAnsi" w:hAnsiTheme="minorHAnsi"/>
          <w:b/>
          <w:u w:val="single"/>
          <w:lang w:val="pl-PL"/>
        </w:rPr>
        <w:t xml:space="preserve"> w wysokości 595,4</w:t>
      </w:r>
      <w:r w:rsidRPr="00D24FE7">
        <w:rPr>
          <w:rFonts w:asciiTheme="minorHAnsi" w:hAnsiTheme="minorHAnsi"/>
          <w:b/>
          <w:u w:val="single"/>
          <w:lang w:val="pl-PL"/>
        </w:rPr>
        <w:t xml:space="preserve"> mln EUR </w:t>
      </w:r>
    </w:p>
    <w:p w:rsidR="001D34EE" w:rsidRPr="00D24FE7" w:rsidRDefault="001D34EE" w:rsidP="001D34EE">
      <w:pPr>
        <w:pStyle w:val="Tekstpodstawowy"/>
        <w:spacing w:line="264" w:lineRule="auto"/>
        <w:rPr>
          <w:rFonts w:asciiTheme="minorHAnsi" w:hAnsiTheme="minorHAnsi"/>
          <w:b/>
          <w:sz w:val="20"/>
          <w:u w:val="single"/>
        </w:rPr>
      </w:pPr>
    </w:p>
    <w:p w:rsidR="001D34EE" w:rsidRDefault="001D34EE" w:rsidP="001D34EE">
      <w:pPr>
        <w:spacing w:line="276" w:lineRule="auto"/>
        <w:jc w:val="both"/>
        <w:rPr>
          <w:rFonts w:asciiTheme="minorHAnsi" w:hAnsiTheme="minorHAnsi"/>
        </w:rPr>
      </w:pPr>
      <w:r w:rsidRPr="00D24FE7">
        <w:rPr>
          <w:rFonts w:asciiTheme="minorHAnsi" w:hAnsiTheme="minorHAnsi"/>
        </w:rPr>
        <w:t xml:space="preserve">W celu efektywnego wykorzystania środków na płatności w budżecie UE na rok 2020 Komisja Europejska (KE) w dokumencie DEC 16/2020 z 5 października zaproponowała przeniesienie pomiędzy wybranymi liniami budżetowymi środków na płatności (PA – ang. payment appropriations) w wysokości </w:t>
      </w:r>
      <w:r w:rsidRPr="00D24FE7">
        <w:rPr>
          <w:rFonts w:asciiTheme="minorHAnsi" w:hAnsiTheme="minorHAnsi"/>
          <w:b/>
        </w:rPr>
        <w:t>595,4 mln EUR</w:t>
      </w:r>
      <w:r w:rsidRPr="00D24FE7">
        <w:rPr>
          <w:rFonts w:asciiTheme="minorHAnsi" w:hAnsiTheme="minorHAnsi"/>
        </w:rPr>
        <w:t>. Odbywa się to w corocznym procesie (roboczo określanym jako „Global Transfer”)</w:t>
      </w:r>
      <w:r>
        <w:rPr>
          <w:rFonts w:asciiTheme="minorHAnsi" w:hAnsiTheme="minorHAnsi"/>
        </w:rPr>
        <w:t>,</w:t>
      </w:r>
      <w:r w:rsidRPr="00D24FE7">
        <w:rPr>
          <w:rFonts w:asciiTheme="minorHAnsi" w:hAnsiTheme="minorHAnsi"/>
        </w:rPr>
        <w:t xml:space="preserve"> w ramach którego KE zidentyfikowała</w:t>
      </w:r>
      <w:r>
        <w:rPr>
          <w:rFonts w:asciiTheme="minorHAnsi" w:hAnsiTheme="minorHAnsi"/>
        </w:rPr>
        <w:t xml:space="preserve"> linie budżetowe</w:t>
      </w:r>
      <w:r w:rsidR="00DA486E">
        <w:rPr>
          <w:rFonts w:asciiTheme="minorHAnsi" w:hAnsiTheme="minorHAnsi"/>
        </w:rPr>
        <w:t>,</w:t>
      </w:r>
      <w:r>
        <w:rPr>
          <w:rFonts w:asciiTheme="minorHAnsi" w:hAnsiTheme="minorHAnsi"/>
        </w:rPr>
        <w:t xml:space="preserve"> w </w:t>
      </w:r>
      <w:r w:rsidRPr="00D24FE7">
        <w:rPr>
          <w:rFonts w:asciiTheme="minorHAnsi" w:hAnsiTheme="minorHAnsi"/>
        </w:rPr>
        <w:t xml:space="preserve">których PA na koniec roku </w:t>
      </w:r>
      <w:r>
        <w:rPr>
          <w:rFonts w:asciiTheme="minorHAnsi" w:hAnsiTheme="minorHAnsi"/>
        </w:rPr>
        <w:t>będą niewystarczające</w:t>
      </w:r>
      <w:r w:rsidRPr="00D24FE7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oraz</w:t>
      </w:r>
      <w:r w:rsidRPr="00D24FE7">
        <w:rPr>
          <w:rFonts w:asciiTheme="minorHAnsi" w:hAnsiTheme="minorHAnsi"/>
        </w:rPr>
        <w:t xml:space="preserve"> w których</w:t>
      </w:r>
      <w:r>
        <w:rPr>
          <w:rFonts w:asciiTheme="minorHAnsi" w:hAnsiTheme="minorHAnsi"/>
        </w:rPr>
        <w:t>,</w:t>
      </w:r>
      <w:r w:rsidRPr="00D24FE7">
        <w:rPr>
          <w:rFonts w:asciiTheme="minorHAnsi" w:hAnsiTheme="minorHAnsi"/>
        </w:rPr>
        <w:t xml:space="preserve"> ze względu na wolniejsze wdrażanie</w:t>
      </w:r>
      <w:r>
        <w:rPr>
          <w:rFonts w:asciiTheme="minorHAnsi" w:hAnsiTheme="minorHAnsi"/>
        </w:rPr>
        <w:t>,</w:t>
      </w:r>
      <w:r w:rsidRPr="00D24FE7">
        <w:rPr>
          <w:rFonts w:asciiTheme="minorHAnsi" w:hAnsiTheme="minorHAnsi"/>
        </w:rPr>
        <w:t xml:space="preserve"> nie wszystkie środki </w:t>
      </w:r>
      <w:r>
        <w:rPr>
          <w:rFonts w:asciiTheme="minorHAnsi" w:hAnsiTheme="minorHAnsi"/>
        </w:rPr>
        <w:t>zostaną</w:t>
      </w:r>
      <w:r w:rsidRPr="00D24FE7">
        <w:rPr>
          <w:rFonts w:asciiTheme="minorHAnsi" w:hAnsiTheme="minorHAnsi"/>
        </w:rPr>
        <w:t xml:space="preserve"> wykorzystane. Global Transfer jest przesunięciem neutralnym pod względem budżetowym, tzn. nie wymaga uchwalania dodatkowych środków. Jednocześnie KE sygnalizuje, że transfer ten nie będzie wystarczający dla zaspokojenia </w:t>
      </w:r>
      <w:r>
        <w:rPr>
          <w:rFonts w:asciiTheme="minorHAnsi" w:hAnsiTheme="minorHAnsi"/>
        </w:rPr>
        <w:t xml:space="preserve">całego </w:t>
      </w:r>
      <w:r w:rsidRPr="00D24FE7">
        <w:rPr>
          <w:rFonts w:asciiTheme="minorHAnsi" w:hAnsiTheme="minorHAnsi"/>
        </w:rPr>
        <w:t>zapotrzebowania na PA w budżecie UE w bież</w:t>
      </w:r>
      <w:r>
        <w:rPr>
          <w:rFonts w:asciiTheme="minorHAnsi" w:hAnsiTheme="minorHAnsi"/>
        </w:rPr>
        <w:t xml:space="preserve">ącym roku. W związku z tym KE zaproponowała także </w:t>
      </w:r>
      <w:r w:rsidRPr="00D24FE7">
        <w:rPr>
          <w:rFonts w:asciiTheme="minorHAnsi" w:hAnsiTheme="minorHAnsi"/>
        </w:rPr>
        <w:t xml:space="preserve">budżet korygujący nr 10 do budżetu UE (DAB 10/2020) </w:t>
      </w:r>
      <w:r w:rsidRPr="00452893">
        <w:rPr>
          <w:rFonts w:asciiTheme="minorHAnsi" w:hAnsiTheme="minorHAnsi"/>
        </w:rPr>
        <w:t>przewidujący 1,57 mld EUR</w:t>
      </w:r>
      <w:r w:rsidRPr="00D24FE7">
        <w:rPr>
          <w:rFonts w:asciiTheme="minorHAnsi" w:hAnsiTheme="minorHAnsi"/>
        </w:rPr>
        <w:t xml:space="preserve"> dodatkowych środków na PA</w:t>
      </w:r>
      <w:r>
        <w:rPr>
          <w:rFonts w:asciiTheme="minorHAnsi" w:hAnsiTheme="minorHAnsi"/>
        </w:rPr>
        <w:t xml:space="preserve"> (patrz niżej)</w:t>
      </w:r>
      <w:r w:rsidRPr="00D24FE7">
        <w:rPr>
          <w:rFonts w:asciiTheme="minorHAnsi" w:hAnsiTheme="minorHAnsi"/>
        </w:rPr>
        <w:t>.</w:t>
      </w:r>
    </w:p>
    <w:p w:rsidR="001D34EE" w:rsidRDefault="001D34EE" w:rsidP="001D34EE">
      <w:pPr>
        <w:spacing w:line="276" w:lineRule="auto"/>
        <w:jc w:val="both"/>
        <w:rPr>
          <w:rFonts w:asciiTheme="minorHAnsi" w:hAnsiTheme="minorHAnsi"/>
        </w:rPr>
      </w:pPr>
      <w:r w:rsidRPr="00D24FE7">
        <w:rPr>
          <w:rFonts w:asciiTheme="minorHAnsi" w:hAnsiTheme="minorHAnsi"/>
        </w:rPr>
        <w:t>W bieżący</w:t>
      </w:r>
      <w:r>
        <w:rPr>
          <w:rFonts w:asciiTheme="minorHAnsi" w:hAnsiTheme="minorHAnsi"/>
        </w:rPr>
        <w:t>m</w:t>
      </w:r>
      <w:r w:rsidRPr="00D24FE7">
        <w:rPr>
          <w:rFonts w:asciiTheme="minorHAnsi" w:hAnsiTheme="minorHAnsi"/>
        </w:rPr>
        <w:t xml:space="preserve"> roku </w:t>
      </w:r>
      <w:r>
        <w:rPr>
          <w:rFonts w:asciiTheme="minorHAnsi" w:hAnsiTheme="minorHAnsi"/>
        </w:rPr>
        <w:t xml:space="preserve">kwota Global Transfer </w:t>
      </w:r>
      <w:r w:rsidRPr="00D24FE7">
        <w:rPr>
          <w:rFonts w:asciiTheme="minorHAnsi" w:hAnsiTheme="minorHAnsi"/>
        </w:rPr>
        <w:t xml:space="preserve">jest </w:t>
      </w:r>
      <w:r>
        <w:rPr>
          <w:rFonts w:asciiTheme="minorHAnsi" w:hAnsiTheme="minorHAnsi"/>
        </w:rPr>
        <w:t>mniejsza</w:t>
      </w:r>
      <w:r w:rsidRPr="00D24FE7">
        <w:rPr>
          <w:rFonts w:asciiTheme="minorHAnsi" w:hAnsiTheme="minorHAnsi"/>
        </w:rPr>
        <w:t xml:space="preserve"> od kwot w latach ubiegłych</w:t>
      </w:r>
      <w:r>
        <w:rPr>
          <w:rFonts w:asciiTheme="minorHAnsi" w:hAnsiTheme="minorHAnsi"/>
        </w:rPr>
        <w:t>.</w:t>
      </w:r>
    </w:p>
    <w:p w:rsidR="001D34EE" w:rsidRPr="00D24FE7" w:rsidRDefault="001D34EE" w:rsidP="001D34EE">
      <w:pPr>
        <w:spacing w:line="264" w:lineRule="auto"/>
        <w:jc w:val="both"/>
        <w:rPr>
          <w:rFonts w:asciiTheme="minorHAnsi" w:hAnsi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38"/>
        <w:gridCol w:w="2977"/>
      </w:tblGrid>
      <w:tr w:rsidR="001D34EE" w:rsidRPr="00D24FE7" w:rsidTr="00455AF8">
        <w:tc>
          <w:tcPr>
            <w:tcW w:w="1838" w:type="dxa"/>
          </w:tcPr>
          <w:p w:rsidR="001D34EE" w:rsidRPr="005F4AC4" w:rsidRDefault="001D34EE" w:rsidP="00455AF8">
            <w:pPr>
              <w:spacing w:line="264" w:lineRule="auto"/>
              <w:jc w:val="both"/>
            </w:pPr>
            <w:r w:rsidRPr="005F4AC4">
              <w:t xml:space="preserve">Rok </w:t>
            </w:r>
          </w:p>
        </w:tc>
        <w:tc>
          <w:tcPr>
            <w:tcW w:w="2977" w:type="dxa"/>
          </w:tcPr>
          <w:p w:rsidR="001D34EE" w:rsidRPr="005F4AC4" w:rsidRDefault="001D34EE" w:rsidP="00455AF8">
            <w:pPr>
              <w:spacing w:line="264" w:lineRule="auto"/>
              <w:jc w:val="both"/>
            </w:pPr>
            <w:r w:rsidRPr="005F4AC4">
              <w:t xml:space="preserve">Kwota Global Transfer </w:t>
            </w:r>
          </w:p>
          <w:p w:rsidR="001D34EE" w:rsidRPr="005F4AC4" w:rsidRDefault="001D34EE" w:rsidP="00455AF8">
            <w:pPr>
              <w:spacing w:line="264" w:lineRule="auto"/>
              <w:jc w:val="both"/>
              <w:rPr>
                <w:i/>
                <w:sz w:val="20"/>
                <w:szCs w:val="20"/>
              </w:rPr>
            </w:pPr>
            <w:r w:rsidRPr="005F4AC4">
              <w:rPr>
                <w:i/>
                <w:sz w:val="20"/>
                <w:szCs w:val="20"/>
              </w:rPr>
              <w:t>(w mln EUR)</w:t>
            </w:r>
          </w:p>
        </w:tc>
      </w:tr>
      <w:tr w:rsidR="001D34EE" w:rsidRPr="00D24FE7" w:rsidTr="00455AF8">
        <w:trPr>
          <w:trHeight w:hRule="exact" w:val="340"/>
        </w:trPr>
        <w:tc>
          <w:tcPr>
            <w:tcW w:w="1838" w:type="dxa"/>
          </w:tcPr>
          <w:p w:rsidR="001D34EE" w:rsidRPr="00D24FE7" w:rsidRDefault="001D34EE" w:rsidP="00455AF8">
            <w:pPr>
              <w:pStyle w:val="Default"/>
              <w:rPr>
                <w:rFonts w:asciiTheme="minorHAnsi" w:hAnsiTheme="minorHAnsi"/>
              </w:rPr>
            </w:pPr>
            <w:r w:rsidRPr="00D24FE7">
              <w:rPr>
                <w:rFonts w:asciiTheme="minorHAnsi" w:hAnsiTheme="minorHAnsi"/>
              </w:rPr>
              <w:t xml:space="preserve">2016 </w:t>
            </w:r>
          </w:p>
        </w:tc>
        <w:tc>
          <w:tcPr>
            <w:tcW w:w="2977" w:type="dxa"/>
          </w:tcPr>
          <w:p w:rsidR="001D34EE" w:rsidRPr="00D24FE7" w:rsidRDefault="001D34EE" w:rsidP="00455AF8">
            <w:pPr>
              <w:pStyle w:val="Default"/>
              <w:rPr>
                <w:rFonts w:asciiTheme="minorHAnsi" w:hAnsiTheme="minorHAnsi"/>
              </w:rPr>
            </w:pPr>
            <w:r w:rsidRPr="00D24FE7">
              <w:rPr>
                <w:rFonts w:asciiTheme="minorHAnsi" w:hAnsiTheme="minorHAnsi"/>
              </w:rPr>
              <w:t xml:space="preserve">855,9 </w:t>
            </w:r>
          </w:p>
        </w:tc>
      </w:tr>
      <w:tr w:rsidR="001D34EE" w:rsidRPr="00D24FE7" w:rsidTr="00455AF8">
        <w:trPr>
          <w:trHeight w:hRule="exact" w:val="340"/>
        </w:trPr>
        <w:tc>
          <w:tcPr>
            <w:tcW w:w="1838" w:type="dxa"/>
          </w:tcPr>
          <w:p w:rsidR="001D34EE" w:rsidRPr="00D24FE7" w:rsidRDefault="001D34EE" w:rsidP="00455AF8">
            <w:pPr>
              <w:pStyle w:val="Default"/>
              <w:rPr>
                <w:rFonts w:asciiTheme="minorHAnsi" w:hAnsiTheme="minorHAnsi"/>
              </w:rPr>
            </w:pPr>
            <w:r w:rsidRPr="00D24FE7">
              <w:rPr>
                <w:rFonts w:asciiTheme="minorHAnsi" w:hAnsiTheme="minorHAnsi"/>
              </w:rPr>
              <w:t xml:space="preserve">2017 </w:t>
            </w:r>
          </w:p>
        </w:tc>
        <w:tc>
          <w:tcPr>
            <w:tcW w:w="2977" w:type="dxa"/>
          </w:tcPr>
          <w:p w:rsidR="001D34EE" w:rsidRPr="00D24FE7" w:rsidRDefault="001D34EE" w:rsidP="00455AF8">
            <w:pPr>
              <w:pStyle w:val="Default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682</w:t>
            </w:r>
          </w:p>
        </w:tc>
      </w:tr>
      <w:tr w:rsidR="001D34EE" w:rsidRPr="00D24FE7" w:rsidTr="00455AF8">
        <w:trPr>
          <w:trHeight w:hRule="exact" w:val="340"/>
        </w:trPr>
        <w:tc>
          <w:tcPr>
            <w:tcW w:w="1838" w:type="dxa"/>
          </w:tcPr>
          <w:p w:rsidR="001D34EE" w:rsidRPr="00D24FE7" w:rsidRDefault="001D34EE" w:rsidP="00455AF8">
            <w:pPr>
              <w:pStyle w:val="Default"/>
              <w:rPr>
                <w:rFonts w:asciiTheme="minorHAnsi" w:hAnsiTheme="minorHAnsi"/>
              </w:rPr>
            </w:pPr>
            <w:r w:rsidRPr="00D24FE7">
              <w:rPr>
                <w:rFonts w:asciiTheme="minorHAnsi" w:hAnsiTheme="minorHAnsi"/>
              </w:rPr>
              <w:t xml:space="preserve">2018 </w:t>
            </w:r>
          </w:p>
        </w:tc>
        <w:tc>
          <w:tcPr>
            <w:tcW w:w="2977" w:type="dxa"/>
          </w:tcPr>
          <w:p w:rsidR="001D34EE" w:rsidRPr="00D24FE7" w:rsidRDefault="001D34EE" w:rsidP="00455AF8">
            <w:pPr>
              <w:pStyle w:val="Default"/>
              <w:rPr>
                <w:rFonts w:asciiTheme="minorHAnsi" w:hAnsiTheme="minorHAnsi"/>
              </w:rPr>
            </w:pPr>
            <w:r w:rsidRPr="00D24FE7">
              <w:rPr>
                <w:rFonts w:asciiTheme="minorHAnsi" w:hAnsiTheme="minorHAnsi"/>
              </w:rPr>
              <w:t xml:space="preserve">952,7 </w:t>
            </w:r>
          </w:p>
        </w:tc>
      </w:tr>
      <w:tr w:rsidR="001D34EE" w:rsidRPr="00D24FE7" w:rsidTr="00455AF8">
        <w:trPr>
          <w:trHeight w:hRule="exact" w:val="340"/>
        </w:trPr>
        <w:tc>
          <w:tcPr>
            <w:tcW w:w="1838" w:type="dxa"/>
          </w:tcPr>
          <w:p w:rsidR="001D34EE" w:rsidRPr="00D24FE7" w:rsidRDefault="001D34EE" w:rsidP="00455AF8">
            <w:pPr>
              <w:pStyle w:val="Default"/>
              <w:rPr>
                <w:rFonts w:asciiTheme="minorHAnsi" w:hAnsiTheme="minorHAnsi"/>
              </w:rPr>
            </w:pPr>
            <w:r w:rsidRPr="00D24FE7">
              <w:rPr>
                <w:rFonts w:asciiTheme="minorHAnsi" w:hAnsiTheme="minorHAnsi"/>
              </w:rPr>
              <w:t xml:space="preserve">2019 </w:t>
            </w:r>
          </w:p>
        </w:tc>
        <w:tc>
          <w:tcPr>
            <w:tcW w:w="2977" w:type="dxa"/>
          </w:tcPr>
          <w:p w:rsidR="001D34EE" w:rsidRPr="00D24FE7" w:rsidRDefault="001D34EE" w:rsidP="00455AF8">
            <w:pPr>
              <w:pStyle w:val="Default"/>
              <w:rPr>
                <w:rFonts w:asciiTheme="minorHAnsi" w:hAnsiTheme="minorHAnsi"/>
              </w:rPr>
            </w:pPr>
            <w:r w:rsidRPr="00D24FE7">
              <w:rPr>
                <w:rFonts w:asciiTheme="minorHAnsi" w:hAnsiTheme="minorHAnsi"/>
              </w:rPr>
              <w:t xml:space="preserve">1 077,6 </w:t>
            </w:r>
          </w:p>
        </w:tc>
      </w:tr>
      <w:tr w:rsidR="001D34EE" w:rsidRPr="00D24FE7" w:rsidTr="00455AF8">
        <w:trPr>
          <w:trHeight w:hRule="exact" w:val="340"/>
        </w:trPr>
        <w:tc>
          <w:tcPr>
            <w:tcW w:w="1838" w:type="dxa"/>
          </w:tcPr>
          <w:p w:rsidR="001D34EE" w:rsidRPr="001A0D85" w:rsidRDefault="001D34EE" w:rsidP="00455AF8">
            <w:pPr>
              <w:pStyle w:val="Default"/>
              <w:rPr>
                <w:rFonts w:asciiTheme="minorHAnsi" w:hAnsiTheme="minorHAnsi"/>
                <w:b/>
              </w:rPr>
            </w:pPr>
            <w:r w:rsidRPr="001A0D85">
              <w:rPr>
                <w:rFonts w:asciiTheme="minorHAnsi" w:hAnsiTheme="minorHAnsi"/>
                <w:b/>
              </w:rPr>
              <w:t xml:space="preserve">2020 </w:t>
            </w:r>
          </w:p>
        </w:tc>
        <w:tc>
          <w:tcPr>
            <w:tcW w:w="2977" w:type="dxa"/>
          </w:tcPr>
          <w:p w:rsidR="001D34EE" w:rsidRPr="001A0D85" w:rsidRDefault="001D34EE" w:rsidP="00455AF8">
            <w:pPr>
              <w:pStyle w:val="Default"/>
              <w:rPr>
                <w:rFonts w:asciiTheme="minorHAnsi" w:hAnsiTheme="minorHAnsi"/>
                <w:b/>
              </w:rPr>
            </w:pPr>
            <w:r w:rsidRPr="001A0D85">
              <w:rPr>
                <w:rFonts w:asciiTheme="minorHAnsi" w:hAnsiTheme="minorHAnsi"/>
                <w:b/>
              </w:rPr>
              <w:t xml:space="preserve">595,4 </w:t>
            </w:r>
          </w:p>
        </w:tc>
      </w:tr>
    </w:tbl>
    <w:p w:rsidR="001D34EE" w:rsidRPr="00D24FE7" w:rsidRDefault="001D34EE" w:rsidP="001D34EE">
      <w:pPr>
        <w:spacing w:line="276" w:lineRule="auto"/>
        <w:jc w:val="both"/>
        <w:rPr>
          <w:rFonts w:asciiTheme="minorHAnsi" w:hAnsiTheme="minorHAnsi"/>
        </w:rPr>
      </w:pPr>
      <w:r w:rsidRPr="000A6FF2">
        <w:rPr>
          <w:rFonts w:asciiTheme="minorHAnsi" w:hAnsiTheme="minorHAnsi"/>
        </w:rPr>
        <w:br/>
      </w:r>
      <w:r w:rsidRPr="005F4AC4">
        <w:rPr>
          <w:rFonts w:asciiTheme="minorHAnsi" w:hAnsiTheme="minorHAnsi"/>
        </w:rPr>
        <w:t>Global Transfer dotyczy 101 linii budżetowych; alokacje w 6</w:t>
      </w:r>
      <w:r w:rsidR="00DA486E">
        <w:rPr>
          <w:rFonts w:asciiTheme="minorHAnsi" w:hAnsiTheme="minorHAnsi"/>
        </w:rPr>
        <w:t>5 liniach zostały zmniejszone a </w:t>
      </w:r>
      <w:r w:rsidRPr="005F4AC4">
        <w:rPr>
          <w:rFonts w:asciiTheme="minorHAnsi" w:hAnsiTheme="minorHAnsi"/>
        </w:rPr>
        <w:t xml:space="preserve">środki pozyskane w ten sposób </w:t>
      </w:r>
      <w:r>
        <w:rPr>
          <w:rFonts w:asciiTheme="minorHAnsi" w:hAnsiTheme="minorHAnsi"/>
        </w:rPr>
        <w:t>przeniesiono</w:t>
      </w:r>
      <w:r w:rsidRPr="005F4AC4">
        <w:rPr>
          <w:rFonts w:asciiTheme="minorHAnsi" w:hAnsiTheme="minorHAnsi"/>
        </w:rPr>
        <w:t xml:space="preserve"> do 36 innych linii. W 2020 r. </w:t>
      </w:r>
      <w:r>
        <w:rPr>
          <w:rFonts w:asciiTheme="minorHAnsi" w:hAnsiTheme="minorHAnsi"/>
        </w:rPr>
        <w:t>transfery środków w </w:t>
      </w:r>
      <w:r w:rsidRPr="005F4AC4">
        <w:rPr>
          <w:rFonts w:asciiTheme="minorHAnsi" w:hAnsiTheme="minorHAnsi"/>
        </w:rPr>
        <w:t>największym stopniu dotyczą działu 1A</w:t>
      </w:r>
      <w:r>
        <w:rPr>
          <w:rFonts w:asciiTheme="minorHAnsi" w:hAnsiTheme="minorHAnsi"/>
        </w:rPr>
        <w:t xml:space="preserve"> - </w:t>
      </w:r>
      <w:r w:rsidRPr="005F4AC4">
        <w:rPr>
          <w:rFonts w:asciiTheme="minorHAnsi" w:hAnsiTheme="minorHAnsi"/>
        </w:rPr>
        <w:t>Konkurencyjność dla wzrostu i zatrudnienia</w:t>
      </w:r>
      <w:r>
        <w:rPr>
          <w:rFonts w:asciiTheme="minorHAnsi" w:hAnsiTheme="minorHAnsi"/>
        </w:rPr>
        <w:t xml:space="preserve"> </w:t>
      </w:r>
      <w:r w:rsidR="00DA486E">
        <w:rPr>
          <w:rFonts w:asciiTheme="minorHAnsi" w:hAnsiTheme="minorHAnsi"/>
        </w:rPr>
        <w:t xml:space="preserve">(zmniejszenie ogółem o 306,6 </w:t>
      </w:r>
      <w:r w:rsidRPr="005F4AC4">
        <w:rPr>
          <w:rFonts w:asciiTheme="minorHAnsi" w:hAnsiTheme="minorHAnsi"/>
        </w:rPr>
        <w:t>mln EUR) oraz działu 4</w:t>
      </w:r>
      <w:r>
        <w:rPr>
          <w:rFonts w:asciiTheme="minorHAnsi" w:hAnsiTheme="minorHAnsi"/>
        </w:rPr>
        <w:t xml:space="preserve"> - </w:t>
      </w:r>
      <w:r w:rsidRPr="005F4AC4">
        <w:rPr>
          <w:rFonts w:asciiTheme="minorHAnsi" w:hAnsiTheme="minorHAnsi"/>
        </w:rPr>
        <w:t>Globalny wymiar Europy (</w:t>
      </w:r>
      <w:r>
        <w:rPr>
          <w:rFonts w:asciiTheme="minorHAnsi" w:hAnsiTheme="minorHAnsi"/>
        </w:rPr>
        <w:t xml:space="preserve">zwiększenie ogółem o </w:t>
      </w:r>
      <w:r w:rsidRPr="005F4AC4">
        <w:rPr>
          <w:rFonts w:asciiTheme="minorHAnsi" w:hAnsiTheme="minorHAnsi"/>
        </w:rPr>
        <w:t>341,9 mln EUR). Propozycja KE nie przewiduje zwiększenia środków dla dział</w:t>
      </w:r>
      <w:r>
        <w:rPr>
          <w:rFonts w:asciiTheme="minorHAnsi" w:hAnsiTheme="minorHAnsi"/>
        </w:rPr>
        <w:t>u</w:t>
      </w:r>
      <w:r w:rsidRPr="005F4AC4">
        <w:rPr>
          <w:rFonts w:asciiTheme="minorHAnsi" w:hAnsiTheme="minorHAnsi"/>
        </w:rPr>
        <w:t xml:space="preserve"> 1B</w:t>
      </w:r>
      <w:r>
        <w:rPr>
          <w:rFonts w:asciiTheme="minorHAnsi" w:hAnsiTheme="minorHAnsi"/>
        </w:rPr>
        <w:t xml:space="preserve"> - </w:t>
      </w:r>
      <w:r w:rsidRPr="0054244F">
        <w:rPr>
          <w:rFonts w:asciiTheme="minorHAnsi" w:hAnsiTheme="minorHAnsi"/>
        </w:rPr>
        <w:t>Spójność gospodarcza, społeczna i terytorialna</w:t>
      </w:r>
      <w:r w:rsidRPr="005F4AC4">
        <w:rPr>
          <w:rFonts w:asciiTheme="minorHAnsi" w:hAnsiTheme="minorHAnsi"/>
        </w:rPr>
        <w:t xml:space="preserve"> (</w:t>
      </w:r>
      <w:r w:rsidR="00DA486E">
        <w:rPr>
          <w:rFonts w:asciiTheme="minorHAnsi" w:hAnsiTheme="minorHAnsi"/>
        </w:rPr>
        <w:t xml:space="preserve">a </w:t>
      </w:r>
      <w:r w:rsidRPr="005F4AC4">
        <w:rPr>
          <w:rFonts w:asciiTheme="minorHAnsi" w:hAnsiTheme="minorHAnsi"/>
        </w:rPr>
        <w:t>jedynie nieznaczne zmniejszenie jednej linii budżetowej w tym dziale)</w:t>
      </w:r>
      <w:r>
        <w:rPr>
          <w:rFonts w:asciiTheme="minorHAnsi" w:hAnsiTheme="minorHAnsi"/>
        </w:rPr>
        <w:t>. Środki działu</w:t>
      </w:r>
      <w:r w:rsidR="00DA486E">
        <w:rPr>
          <w:rFonts w:asciiTheme="minorHAnsi" w:hAnsiTheme="minorHAnsi"/>
        </w:rPr>
        <w:t xml:space="preserve"> 1B</w:t>
      </w:r>
      <w:r>
        <w:rPr>
          <w:rFonts w:asciiTheme="minorHAnsi" w:hAnsiTheme="minorHAnsi"/>
        </w:rPr>
        <w:t xml:space="preserve"> zostały zasilone poprzez DAB 8/2020, który został już zaakceptowany przez Parlament i Radę.</w:t>
      </w:r>
    </w:p>
    <w:p w:rsidR="00DA486E" w:rsidRDefault="00DA486E">
      <w:pPr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:rsidR="001D34EE" w:rsidRPr="00AF2673" w:rsidRDefault="001D34EE" w:rsidP="001D34EE">
      <w:pPr>
        <w:spacing w:line="264" w:lineRule="auto"/>
        <w:jc w:val="both"/>
        <w:rPr>
          <w:rFonts w:asciiTheme="minorHAnsi" w:hAnsiTheme="minorHAnsi"/>
          <w:sz w:val="6"/>
          <w:szCs w:val="6"/>
        </w:rPr>
      </w:pPr>
    </w:p>
    <w:p w:rsidR="001D34EE" w:rsidRPr="00AF2673" w:rsidRDefault="001D34EE" w:rsidP="001D34EE">
      <w:pPr>
        <w:autoSpaceDE w:val="0"/>
        <w:autoSpaceDN w:val="0"/>
        <w:adjustRightInd w:val="0"/>
        <w:spacing w:line="264" w:lineRule="auto"/>
        <w:jc w:val="both"/>
        <w:rPr>
          <w:rFonts w:asciiTheme="minorHAnsi" w:hAnsiTheme="minorHAnsi"/>
        </w:rPr>
      </w:pPr>
      <w:r w:rsidRPr="00AF2673">
        <w:rPr>
          <w:rFonts w:asciiTheme="minorHAnsi" w:hAnsiTheme="minorHAnsi"/>
        </w:rPr>
        <w:t>Tabela przedstawia kwoty transferów w poszczególnych działach budżetu UE.</w:t>
      </w:r>
    </w:p>
    <w:tbl>
      <w:tblPr>
        <w:tblW w:w="9498" w:type="dxa"/>
        <w:tblInd w:w="108" w:type="dxa"/>
        <w:tblLook w:val="04A0" w:firstRow="1" w:lastRow="0" w:firstColumn="1" w:lastColumn="0" w:noHBand="0" w:noVBand="1"/>
      </w:tblPr>
      <w:tblGrid>
        <w:gridCol w:w="511"/>
        <w:gridCol w:w="4451"/>
        <w:gridCol w:w="1559"/>
        <w:gridCol w:w="1417"/>
        <w:gridCol w:w="1560"/>
      </w:tblGrid>
      <w:tr w:rsidR="001D34EE" w:rsidRPr="00AF2673" w:rsidTr="00455AF8">
        <w:trPr>
          <w:trHeight w:hRule="exact" w:val="284"/>
        </w:trPr>
        <w:tc>
          <w:tcPr>
            <w:tcW w:w="496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D34EE" w:rsidRPr="00AF2673" w:rsidRDefault="001D34EE" w:rsidP="00455AF8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AF2673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Działy budżetu UE</w:t>
            </w:r>
          </w:p>
        </w:tc>
        <w:tc>
          <w:tcPr>
            <w:tcW w:w="4536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AF2673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Global Transfer (w EUR)</w:t>
            </w:r>
          </w:p>
        </w:tc>
      </w:tr>
      <w:tr w:rsidR="001D34EE" w:rsidRPr="00AF2673" w:rsidTr="00455AF8">
        <w:trPr>
          <w:trHeight w:hRule="exact" w:val="284"/>
        </w:trPr>
        <w:tc>
          <w:tcPr>
            <w:tcW w:w="496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>Zwiększenie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>Zmniejszenie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 xml:space="preserve">Zmiana </w:t>
            </w:r>
          </w:p>
        </w:tc>
      </w:tr>
      <w:tr w:rsidR="001D34EE" w:rsidRPr="00AF2673" w:rsidTr="00455AF8">
        <w:trPr>
          <w:trHeight w:hRule="exact" w:val="340"/>
        </w:trPr>
        <w:tc>
          <w:tcPr>
            <w:tcW w:w="511" w:type="dxa"/>
            <w:tcBorders>
              <w:top w:val="nil"/>
              <w:left w:val="single" w:sz="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  <w:r w:rsidRPr="00AF2673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1.A</w:t>
            </w:r>
          </w:p>
        </w:tc>
        <w:tc>
          <w:tcPr>
            <w:tcW w:w="4451" w:type="dxa"/>
            <w:tcBorders>
              <w:top w:val="nil"/>
              <w:left w:val="nil"/>
              <w:bottom w:val="dotted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rPr>
                <w:rFonts w:asciiTheme="minorHAnsi" w:hAnsiTheme="minorHAnsi"/>
                <w:bCs/>
                <w:sz w:val="22"/>
                <w:szCs w:val="22"/>
              </w:rPr>
            </w:pPr>
            <w:r w:rsidRPr="00AF2673">
              <w:rPr>
                <w:rFonts w:asciiTheme="minorHAnsi" w:hAnsiTheme="minorHAnsi"/>
                <w:sz w:val="22"/>
                <w:szCs w:val="22"/>
              </w:rPr>
              <w:t>Konkurencyjność dla wzrostu i zatrudnienia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dotted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iCs/>
                <w:sz w:val="20"/>
                <w:szCs w:val="20"/>
              </w:rPr>
              <w:t>66 379 560</w:t>
            </w:r>
          </w:p>
        </w:tc>
        <w:tc>
          <w:tcPr>
            <w:tcW w:w="1417" w:type="dxa"/>
            <w:tcBorders>
              <w:top w:val="nil"/>
              <w:left w:val="nil"/>
              <w:bottom w:val="dotted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iCs/>
                <w:sz w:val="20"/>
                <w:szCs w:val="20"/>
              </w:rPr>
              <w:t>-373 025 121</w:t>
            </w:r>
          </w:p>
        </w:tc>
        <w:tc>
          <w:tcPr>
            <w:tcW w:w="1560" w:type="dxa"/>
            <w:tcBorders>
              <w:top w:val="nil"/>
              <w:left w:val="nil"/>
              <w:bottom w:val="dotted" w:sz="4" w:space="0" w:color="000000"/>
              <w:right w:val="single" w:sz="8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iCs/>
                <w:sz w:val="20"/>
                <w:szCs w:val="20"/>
              </w:rPr>
              <w:t>-306 645 562</w:t>
            </w:r>
          </w:p>
        </w:tc>
      </w:tr>
      <w:tr w:rsidR="001D34EE" w:rsidRPr="00AF2673" w:rsidTr="00455AF8">
        <w:trPr>
          <w:trHeight w:hRule="exact" w:val="340"/>
        </w:trPr>
        <w:tc>
          <w:tcPr>
            <w:tcW w:w="51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  <w:r w:rsidRPr="00AF2673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1.B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rPr>
                <w:rFonts w:asciiTheme="minorHAnsi" w:hAnsiTheme="minorHAnsi"/>
                <w:bCs/>
                <w:sz w:val="22"/>
                <w:szCs w:val="22"/>
              </w:rPr>
            </w:pPr>
            <w:r w:rsidRPr="00AF2673">
              <w:rPr>
                <w:rFonts w:asciiTheme="minorHAnsi" w:hAnsiTheme="minorHAnsi"/>
                <w:sz w:val="22"/>
                <w:szCs w:val="22"/>
              </w:rPr>
              <w:t>Spójność gospodarcza, społeczna i terytorialna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iCs/>
                <w:sz w:val="20"/>
                <w:szCs w:val="20"/>
              </w:rPr>
              <w:t>-147 000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iCs/>
                <w:sz w:val="20"/>
                <w:szCs w:val="20"/>
              </w:rPr>
              <w:t>-147 000</w:t>
            </w:r>
          </w:p>
        </w:tc>
      </w:tr>
      <w:tr w:rsidR="001D34EE" w:rsidRPr="00AF2673" w:rsidTr="00455AF8">
        <w:trPr>
          <w:trHeight w:hRule="exact" w:val="340"/>
        </w:trPr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  <w:r w:rsidRPr="00AF2673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2.</w:t>
            </w:r>
          </w:p>
        </w:tc>
        <w:tc>
          <w:tcPr>
            <w:tcW w:w="4451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rPr>
                <w:rFonts w:asciiTheme="minorHAnsi" w:hAnsiTheme="minorHAnsi"/>
                <w:bCs/>
                <w:sz w:val="22"/>
                <w:szCs w:val="22"/>
                <w:lang w:val="en-GB"/>
              </w:rPr>
            </w:pPr>
            <w:r w:rsidRPr="00AF2673">
              <w:rPr>
                <w:rFonts w:asciiTheme="minorHAnsi" w:hAnsiTheme="minorHAnsi"/>
                <w:sz w:val="22"/>
                <w:szCs w:val="22"/>
              </w:rPr>
              <w:t>Trwały wzrost: zasoby naturalne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40 500 000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40 500 000</w:t>
            </w:r>
          </w:p>
        </w:tc>
      </w:tr>
      <w:tr w:rsidR="001D34EE" w:rsidRPr="00AF2673" w:rsidTr="00455AF8">
        <w:trPr>
          <w:trHeight w:hRule="exact" w:val="340"/>
        </w:trPr>
        <w:tc>
          <w:tcPr>
            <w:tcW w:w="51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  <w:r w:rsidRPr="00AF2673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3.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rPr>
                <w:rFonts w:asciiTheme="minorHAnsi" w:hAnsiTheme="minorHAnsi"/>
                <w:bCs/>
                <w:sz w:val="22"/>
                <w:szCs w:val="22"/>
                <w:lang w:val="en-GB"/>
              </w:rPr>
            </w:pPr>
            <w:r w:rsidRPr="00AF2673">
              <w:rPr>
                <w:rFonts w:asciiTheme="minorHAnsi" w:hAnsiTheme="minorHAnsi"/>
                <w:sz w:val="22"/>
                <w:szCs w:val="22"/>
              </w:rPr>
              <w:t>Bezpieczeństwo i obywatelstwo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18 300 000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-77 611 718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-59 311 718</w:t>
            </w:r>
          </w:p>
        </w:tc>
      </w:tr>
      <w:tr w:rsidR="001D34EE" w:rsidRPr="00AF2673" w:rsidTr="00455AF8">
        <w:trPr>
          <w:trHeight w:hRule="exact" w:val="340"/>
        </w:trPr>
        <w:tc>
          <w:tcPr>
            <w:tcW w:w="51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  <w:r w:rsidRPr="00AF2673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4.</w:t>
            </w:r>
          </w:p>
        </w:tc>
        <w:tc>
          <w:tcPr>
            <w:tcW w:w="44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rPr>
                <w:rFonts w:asciiTheme="minorHAnsi" w:hAnsiTheme="minorHAnsi"/>
                <w:bCs/>
                <w:sz w:val="22"/>
                <w:szCs w:val="22"/>
                <w:lang w:val="en-GB"/>
              </w:rPr>
            </w:pPr>
            <w:r w:rsidRPr="00AF2673">
              <w:rPr>
                <w:rFonts w:asciiTheme="minorHAnsi" w:hAnsiTheme="minorHAnsi"/>
                <w:sz w:val="22"/>
                <w:szCs w:val="22"/>
              </w:rPr>
              <w:t>Globalny wymiar Europy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470 007 757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-128 040 847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341 966 911</w:t>
            </w:r>
          </w:p>
        </w:tc>
      </w:tr>
      <w:tr w:rsidR="001D34EE" w:rsidRPr="00AF2673" w:rsidTr="00455AF8">
        <w:trPr>
          <w:trHeight w:hRule="exact" w:val="340"/>
        </w:trPr>
        <w:tc>
          <w:tcPr>
            <w:tcW w:w="51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4EE" w:rsidRPr="00AF2673" w:rsidRDefault="001D34EE" w:rsidP="00455AF8">
            <w:pP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  <w:r w:rsidRPr="00AF2673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5.</w:t>
            </w:r>
          </w:p>
        </w:tc>
        <w:tc>
          <w:tcPr>
            <w:tcW w:w="44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D34EE" w:rsidRPr="00AF2673" w:rsidRDefault="001D34EE" w:rsidP="00455AF8">
            <w:pPr>
              <w:rPr>
                <w:rFonts w:asciiTheme="minorHAnsi" w:hAnsiTheme="minorHAnsi"/>
                <w:sz w:val="22"/>
                <w:szCs w:val="22"/>
              </w:rPr>
            </w:pPr>
            <w:r w:rsidRPr="00AF2673">
              <w:rPr>
                <w:rFonts w:asciiTheme="minorHAnsi" w:hAnsiTheme="minorHAnsi"/>
                <w:sz w:val="22"/>
                <w:szCs w:val="22"/>
              </w:rPr>
              <w:t>Administracja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187 000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-900 000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-713 000</w:t>
            </w:r>
          </w:p>
        </w:tc>
      </w:tr>
      <w:tr w:rsidR="001D34EE" w:rsidRPr="00AF2673" w:rsidTr="00455AF8">
        <w:trPr>
          <w:trHeight w:hRule="exact" w:val="340"/>
        </w:trPr>
        <w:tc>
          <w:tcPr>
            <w:tcW w:w="51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4EE" w:rsidRPr="00AF2673" w:rsidRDefault="001D34EE" w:rsidP="00455AF8">
            <w:pP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44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D34EE" w:rsidRPr="00AF2673" w:rsidRDefault="001D34EE" w:rsidP="00455AF8">
            <w:pPr>
              <w:rPr>
                <w:rFonts w:asciiTheme="minorHAnsi" w:hAnsiTheme="minorHAnsi"/>
                <w:sz w:val="22"/>
                <w:szCs w:val="22"/>
              </w:rPr>
            </w:pPr>
            <w:r w:rsidRPr="00AF2673">
              <w:rPr>
                <w:rFonts w:asciiTheme="minorHAnsi" w:hAnsiTheme="minorHAnsi"/>
                <w:sz w:val="22"/>
                <w:szCs w:val="22"/>
              </w:rPr>
              <w:t>Instrumenty Specjalne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-15 649 631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sz w:val="20"/>
                <w:szCs w:val="20"/>
              </w:rPr>
              <w:t>-15 649 631</w:t>
            </w:r>
          </w:p>
        </w:tc>
      </w:tr>
      <w:tr w:rsidR="001D34EE" w:rsidRPr="00AF2673" w:rsidTr="00455AF8">
        <w:trPr>
          <w:trHeight w:hRule="exact" w:val="340"/>
        </w:trPr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jc w:val="right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AF2673"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> </w:t>
            </w:r>
          </w:p>
        </w:tc>
        <w:tc>
          <w:tcPr>
            <w:tcW w:w="4451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34EE" w:rsidRPr="00AF2673" w:rsidRDefault="001D34EE" w:rsidP="00455AF8">
            <w:pPr>
              <w:rPr>
                <w:rFonts w:asciiTheme="minorHAnsi" w:hAnsiTheme="minorHAnsi"/>
                <w:b/>
                <w:bCs/>
                <w:sz w:val="22"/>
                <w:szCs w:val="22"/>
                <w:lang w:val="en-GB"/>
              </w:rPr>
            </w:pPr>
            <w:r w:rsidRPr="00AF2673">
              <w:rPr>
                <w:rFonts w:asciiTheme="minorHAnsi" w:hAnsiTheme="minorHAnsi"/>
                <w:b/>
                <w:bCs/>
                <w:sz w:val="22"/>
                <w:szCs w:val="22"/>
                <w:lang w:val="en-GB"/>
              </w:rPr>
              <w:t>RAZEM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b/>
                <w:bCs/>
                <w:sz w:val="20"/>
                <w:szCs w:val="20"/>
              </w:rPr>
              <w:t>595 374 317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b/>
                <w:bCs/>
                <w:sz w:val="20"/>
                <w:szCs w:val="20"/>
              </w:rPr>
              <w:t>-595 374 317</w:t>
            </w:r>
          </w:p>
        </w:tc>
        <w:tc>
          <w:tcPr>
            <w:tcW w:w="15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1D34EE" w:rsidRPr="00AF2673" w:rsidRDefault="001D34EE" w:rsidP="00455AF8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AF2673">
              <w:rPr>
                <w:rFonts w:asciiTheme="minorHAnsi" w:hAnsiTheme="minorHAnsi"/>
                <w:b/>
                <w:bCs/>
                <w:sz w:val="20"/>
                <w:szCs w:val="20"/>
              </w:rPr>
              <w:t>0</w:t>
            </w:r>
          </w:p>
        </w:tc>
      </w:tr>
    </w:tbl>
    <w:p w:rsidR="001D34EE" w:rsidRPr="00AF2673" w:rsidRDefault="001D34EE" w:rsidP="001D34EE">
      <w:pPr>
        <w:rPr>
          <w:rFonts w:asciiTheme="minorHAnsi" w:hAnsiTheme="minorHAnsi"/>
        </w:rPr>
      </w:pPr>
    </w:p>
    <w:p w:rsidR="001D34EE" w:rsidRPr="00AF2673" w:rsidRDefault="001D34EE" w:rsidP="001D34EE">
      <w:pPr>
        <w:pStyle w:val="Text1"/>
        <w:tabs>
          <w:tab w:val="left" w:pos="709"/>
        </w:tabs>
        <w:suppressAutoHyphens/>
        <w:spacing w:before="0" w:after="0" w:line="264" w:lineRule="auto"/>
        <w:ind w:left="705" w:hanging="705"/>
        <w:rPr>
          <w:rFonts w:asciiTheme="minorHAnsi" w:eastAsia="Cambria" w:hAnsiTheme="minorHAnsi"/>
          <w:b/>
          <w:u w:val="single"/>
          <w:lang w:val="pl-PL" w:eastAsia="en-US"/>
        </w:rPr>
      </w:pPr>
      <w:r w:rsidRPr="00AF2673">
        <w:rPr>
          <w:rFonts w:asciiTheme="minorHAnsi" w:eastAsia="Cambria" w:hAnsiTheme="minorHAnsi"/>
          <w:b/>
          <w:u w:val="single"/>
          <w:lang w:val="pl-PL" w:eastAsia="en-US"/>
        </w:rPr>
        <w:t xml:space="preserve">II.2 </w:t>
      </w:r>
      <w:r w:rsidRPr="00AF2673">
        <w:rPr>
          <w:rFonts w:asciiTheme="minorHAnsi" w:eastAsia="Cambria" w:hAnsiTheme="minorHAnsi"/>
          <w:b/>
          <w:u w:val="single"/>
          <w:lang w:val="pl-PL" w:eastAsia="en-US"/>
        </w:rPr>
        <w:tab/>
        <w:t>Projekt</w:t>
      </w:r>
      <w:r>
        <w:rPr>
          <w:rFonts w:asciiTheme="minorHAnsi" w:eastAsia="Cambria" w:hAnsiTheme="minorHAnsi"/>
          <w:b/>
          <w:u w:val="single"/>
          <w:lang w:val="pl-PL" w:eastAsia="en-US"/>
        </w:rPr>
        <w:t>y</w:t>
      </w:r>
      <w:r w:rsidRPr="00AF2673">
        <w:rPr>
          <w:rFonts w:asciiTheme="minorHAnsi" w:eastAsia="Cambria" w:hAnsiTheme="minorHAnsi"/>
          <w:b/>
          <w:u w:val="single"/>
          <w:lang w:val="pl-PL" w:eastAsia="en-US"/>
        </w:rPr>
        <w:t xml:space="preserve"> budżet</w:t>
      </w:r>
      <w:r>
        <w:rPr>
          <w:rFonts w:asciiTheme="minorHAnsi" w:eastAsia="Cambria" w:hAnsiTheme="minorHAnsi"/>
          <w:b/>
          <w:u w:val="single"/>
          <w:lang w:val="pl-PL" w:eastAsia="en-US"/>
        </w:rPr>
        <w:t>ów</w:t>
      </w:r>
      <w:r w:rsidRPr="00AF2673">
        <w:rPr>
          <w:rFonts w:asciiTheme="minorHAnsi" w:eastAsia="Cambria" w:hAnsiTheme="minorHAnsi"/>
          <w:b/>
          <w:u w:val="single"/>
          <w:lang w:val="pl-PL" w:eastAsia="en-US"/>
        </w:rPr>
        <w:t xml:space="preserve"> korygując</w:t>
      </w:r>
      <w:r>
        <w:rPr>
          <w:rFonts w:asciiTheme="minorHAnsi" w:eastAsia="Cambria" w:hAnsiTheme="minorHAnsi"/>
          <w:b/>
          <w:u w:val="single"/>
          <w:lang w:val="pl-PL" w:eastAsia="en-US"/>
        </w:rPr>
        <w:t>ych</w:t>
      </w:r>
      <w:r w:rsidRPr="00AF2673">
        <w:rPr>
          <w:rFonts w:asciiTheme="minorHAnsi" w:eastAsia="Cambria" w:hAnsiTheme="minorHAnsi"/>
          <w:b/>
          <w:u w:val="single"/>
          <w:lang w:val="pl-PL" w:eastAsia="en-US"/>
        </w:rPr>
        <w:t xml:space="preserve"> nr 9 i 10 do budżetu UE na rok 2020</w:t>
      </w:r>
    </w:p>
    <w:p w:rsidR="001D34EE" w:rsidRPr="00AF2673" w:rsidRDefault="001D34EE" w:rsidP="001D34EE">
      <w:pPr>
        <w:jc w:val="both"/>
        <w:rPr>
          <w:rFonts w:asciiTheme="minorHAnsi" w:hAnsiTheme="minorHAnsi"/>
          <w:sz w:val="22"/>
          <w:szCs w:val="22"/>
        </w:rPr>
      </w:pPr>
    </w:p>
    <w:p w:rsidR="001D34EE" w:rsidRPr="00AF2673" w:rsidRDefault="001D34EE" w:rsidP="001D34EE">
      <w:pPr>
        <w:spacing w:line="276" w:lineRule="auto"/>
        <w:jc w:val="both"/>
        <w:rPr>
          <w:rFonts w:asciiTheme="minorHAnsi" w:hAnsiTheme="minorHAnsi"/>
        </w:rPr>
      </w:pPr>
      <w:r w:rsidRPr="00AF2673">
        <w:rPr>
          <w:rFonts w:asciiTheme="minorHAnsi" w:hAnsiTheme="minorHAnsi"/>
        </w:rPr>
        <w:t>9 października Komisja Europejska (KE) przedstawiła projekt budżetu korygującego nr 9 do budżetu ogólnego UE na rok 2020 (DAB9/2020)</w:t>
      </w:r>
      <w:r w:rsidRPr="00C00B75">
        <w:rPr>
          <w:rFonts w:asciiTheme="minorHAnsi" w:hAnsiTheme="minorHAnsi"/>
          <w:vertAlign w:val="superscript"/>
        </w:rPr>
        <w:footnoteReference w:id="1"/>
      </w:r>
      <w:r w:rsidRPr="00C00B75">
        <w:rPr>
          <w:rFonts w:asciiTheme="minorHAnsi" w:hAnsiTheme="minorHAnsi"/>
          <w:vertAlign w:val="superscript"/>
        </w:rPr>
        <w:t xml:space="preserve"> </w:t>
      </w:r>
      <w:r w:rsidRPr="00AF2673">
        <w:rPr>
          <w:rFonts w:asciiTheme="minorHAnsi" w:hAnsiTheme="minorHAnsi"/>
        </w:rPr>
        <w:t>przewidujący wzrost środków na zobowiązania i na płatności w wysokości 734,6 mln EUR.</w:t>
      </w:r>
      <w:r>
        <w:rPr>
          <w:rFonts w:asciiTheme="minorHAnsi" w:hAnsiTheme="minorHAnsi"/>
        </w:rPr>
        <w:t xml:space="preserve"> </w:t>
      </w:r>
      <w:r w:rsidRPr="00AF2673">
        <w:rPr>
          <w:rFonts w:asciiTheme="minorHAnsi" w:hAnsiTheme="minorHAnsi"/>
        </w:rPr>
        <w:t>Projekt ten stanowi uzupełnienie propozycji uruchomienia Funduszu Solidarności UE</w:t>
      </w:r>
      <w:r w:rsidRPr="00C00B75">
        <w:rPr>
          <w:rFonts w:asciiTheme="minorHAnsi" w:hAnsiTheme="minorHAnsi"/>
          <w:vertAlign w:val="superscript"/>
        </w:rPr>
        <w:footnoteReference w:id="2"/>
      </w:r>
      <w:r w:rsidRPr="00C00B75">
        <w:rPr>
          <w:rFonts w:asciiTheme="minorHAnsi" w:hAnsiTheme="minorHAnsi"/>
          <w:vertAlign w:val="superscript"/>
        </w:rPr>
        <w:t xml:space="preserve"> </w:t>
      </w:r>
      <w:r w:rsidRPr="00AF2673">
        <w:rPr>
          <w:rFonts w:asciiTheme="minorHAnsi" w:hAnsiTheme="minorHAnsi"/>
        </w:rPr>
        <w:t>na kwotę 823,5 mln EUR (środki na zobowiązania i na płatności) w celu udzielenia pomocy Chorwacji i</w:t>
      </w:r>
      <w:r>
        <w:rPr>
          <w:rFonts w:asciiTheme="minorHAnsi" w:hAnsiTheme="minorHAnsi"/>
        </w:rPr>
        <w:t> </w:t>
      </w:r>
      <w:r w:rsidRPr="00AF2673">
        <w:rPr>
          <w:rFonts w:asciiTheme="minorHAnsi" w:hAnsiTheme="minorHAnsi"/>
        </w:rPr>
        <w:t xml:space="preserve">Polsce </w:t>
      </w:r>
      <w:r w:rsidRPr="00A05573">
        <w:rPr>
          <w:rFonts w:asciiTheme="minorHAnsi" w:hAnsiTheme="minorHAnsi"/>
        </w:rPr>
        <w:t xml:space="preserve">(w wysokości 690,8 mln EUR) </w:t>
      </w:r>
      <w:r>
        <w:rPr>
          <w:rFonts w:asciiTheme="minorHAnsi" w:hAnsiTheme="minorHAnsi"/>
        </w:rPr>
        <w:t>w </w:t>
      </w:r>
      <w:r w:rsidRPr="00AF2673">
        <w:rPr>
          <w:rFonts w:asciiTheme="minorHAnsi" w:hAnsiTheme="minorHAnsi"/>
        </w:rPr>
        <w:t>następstwie klęsk żywiołowych, które miały miejsce w</w:t>
      </w:r>
      <w:r>
        <w:rPr>
          <w:rFonts w:asciiTheme="minorHAnsi" w:hAnsiTheme="minorHAnsi"/>
        </w:rPr>
        <w:t> </w:t>
      </w:r>
      <w:r w:rsidRPr="00AF2673">
        <w:rPr>
          <w:rFonts w:asciiTheme="minorHAnsi" w:hAnsiTheme="minorHAnsi"/>
        </w:rPr>
        <w:t>tych krajach w 2020 r.</w:t>
      </w:r>
      <w:r w:rsidRPr="00A05573">
        <w:t xml:space="preserve"> </w:t>
      </w:r>
      <w:r>
        <w:rPr>
          <w:rFonts w:asciiTheme="minorHAnsi" w:hAnsiTheme="minorHAnsi"/>
        </w:rPr>
        <w:t>W</w:t>
      </w:r>
      <w:r w:rsidR="00DA486E">
        <w:rPr>
          <w:rFonts w:asciiTheme="minorHAnsi" w:hAnsiTheme="minorHAnsi"/>
        </w:rPr>
        <w:t>obec wcześniejszego udostę</w:t>
      </w:r>
      <w:r w:rsidRPr="00A05573">
        <w:rPr>
          <w:rFonts w:asciiTheme="minorHAnsi" w:hAnsiTheme="minorHAnsi"/>
        </w:rPr>
        <w:t>pnienia Chorwacji 89 mln EUR zaliczki, kwota o</w:t>
      </w:r>
      <w:r>
        <w:rPr>
          <w:rFonts w:asciiTheme="minorHAnsi" w:hAnsiTheme="minorHAnsi"/>
        </w:rPr>
        <w:t>be</w:t>
      </w:r>
      <w:r w:rsidRPr="00A05573">
        <w:rPr>
          <w:rFonts w:asciiTheme="minorHAnsi" w:hAnsiTheme="minorHAnsi"/>
        </w:rPr>
        <w:t>cnie ud</w:t>
      </w:r>
      <w:r>
        <w:rPr>
          <w:rFonts w:asciiTheme="minorHAnsi" w:hAnsiTheme="minorHAnsi"/>
        </w:rPr>
        <w:t>ostępniana wynosi 601,8 mln EUR. DAB9/2020 zwiera także</w:t>
      </w:r>
      <w:r w:rsidRPr="00AF2673">
        <w:rPr>
          <w:rFonts w:asciiTheme="minorHAnsi" w:hAnsiTheme="minorHAnsi"/>
        </w:rPr>
        <w:t xml:space="preserve"> odp</w:t>
      </w:r>
      <w:r>
        <w:rPr>
          <w:rFonts w:asciiTheme="minorHAnsi" w:hAnsiTheme="minorHAnsi"/>
        </w:rPr>
        <w:t>owiedź</w:t>
      </w:r>
      <w:r w:rsidRPr="00AF2673">
        <w:rPr>
          <w:rFonts w:asciiTheme="minorHAnsi" w:hAnsiTheme="minorHAnsi"/>
        </w:rPr>
        <w:t xml:space="preserve"> na wnioski o zaliczki dla siedmiu państw członkowskich (Chorwacji, Niemiec, Grecji, Węgier, Irl</w:t>
      </w:r>
      <w:r>
        <w:rPr>
          <w:rFonts w:asciiTheme="minorHAnsi" w:hAnsiTheme="minorHAnsi"/>
        </w:rPr>
        <w:t>andii, Portugalii, Hiszpanii) z </w:t>
      </w:r>
      <w:r w:rsidRPr="00AF2673">
        <w:rPr>
          <w:rFonts w:asciiTheme="minorHAnsi" w:hAnsiTheme="minorHAnsi"/>
        </w:rPr>
        <w:t>powodu stanu zagrożenia zdrowia publicznego spowodowanego pandemią Covid-19 na początku 2020 r.</w:t>
      </w:r>
      <w:r w:rsidRPr="00A05573">
        <w:t xml:space="preserve"> </w:t>
      </w:r>
      <w:r w:rsidRPr="00A05573">
        <w:rPr>
          <w:rFonts w:asciiTheme="minorHAnsi" w:hAnsiTheme="minorHAnsi"/>
        </w:rPr>
        <w:t>(w łącznej kwocie 132,7 mln EUR). Pozostała część środkó</w:t>
      </w:r>
      <w:r>
        <w:rPr>
          <w:rFonts w:asciiTheme="minorHAnsi" w:hAnsiTheme="minorHAnsi"/>
        </w:rPr>
        <w:t xml:space="preserve">w, o które wnioskowało </w:t>
      </w:r>
      <w:r w:rsidRPr="00A05573">
        <w:rPr>
          <w:rFonts w:asciiTheme="minorHAnsi" w:hAnsiTheme="minorHAnsi"/>
        </w:rPr>
        <w:t>19 państw członkows</w:t>
      </w:r>
      <w:r>
        <w:rPr>
          <w:rFonts w:asciiTheme="minorHAnsi" w:hAnsiTheme="minorHAnsi"/>
        </w:rPr>
        <w:t>kich oraz 3 państwa kandydujące, zostanie wypłacona z </w:t>
      </w:r>
      <w:r w:rsidRPr="00A05573">
        <w:rPr>
          <w:rFonts w:asciiTheme="minorHAnsi" w:hAnsiTheme="minorHAnsi"/>
        </w:rPr>
        <w:t xml:space="preserve">budżetu UE na rok 2021. Odpowiedni wniosek </w:t>
      </w:r>
      <w:r>
        <w:rPr>
          <w:rFonts w:asciiTheme="minorHAnsi" w:hAnsiTheme="minorHAnsi"/>
        </w:rPr>
        <w:t>KE</w:t>
      </w:r>
      <w:r w:rsidRPr="00A05573">
        <w:rPr>
          <w:rFonts w:asciiTheme="minorHAnsi" w:hAnsiTheme="minorHAnsi"/>
        </w:rPr>
        <w:t xml:space="preserve"> o uruchomienie środków ma być przedłożony na początku przyszłego roku.</w:t>
      </w:r>
    </w:p>
    <w:p w:rsidR="001D34EE" w:rsidRPr="00AF2673" w:rsidRDefault="00083653" w:rsidP="00DA486E">
      <w:pPr>
        <w:spacing w:before="12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Wniosek P</w:t>
      </w:r>
      <w:r w:rsidR="001D34EE" w:rsidRPr="00AF2673">
        <w:rPr>
          <w:rFonts w:asciiTheme="minorHAnsi" w:hAnsiTheme="minorHAnsi"/>
        </w:rPr>
        <w:t>olski, w wysokości 7,1 mln EUR</w:t>
      </w:r>
      <w:r w:rsidR="001D34EE">
        <w:rPr>
          <w:rFonts w:asciiTheme="minorHAnsi" w:hAnsiTheme="minorHAnsi"/>
        </w:rPr>
        <w:t>,</w:t>
      </w:r>
      <w:r w:rsidR="001D34EE" w:rsidRPr="00AF2673">
        <w:rPr>
          <w:rFonts w:asciiTheme="minorHAnsi" w:hAnsiTheme="minorHAnsi"/>
        </w:rPr>
        <w:t xml:space="preserve"> dotyczył </w:t>
      </w:r>
      <w:r w:rsidR="001D34EE">
        <w:rPr>
          <w:rFonts w:asciiTheme="minorHAnsi" w:hAnsiTheme="minorHAnsi"/>
        </w:rPr>
        <w:t xml:space="preserve">usuwania skutków </w:t>
      </w:r>
      <w:r w:rsidR="00DA486E">
        <w:rPr>
          <w:rFonts w:asciiTheme="minorHAnsi" w:hAnsiTheme="minorHAnsi"/>
        </w:rPr>
        <w:t>powodzi w </w:t>
      </w:r>
      <w:r w:rsidR="001D34EE" w:rsidRPr="00AF2673">
        <w:rPr>
          <w:rFonts w:asciiTheme="minorHAnsi" w:hAnsiTheme="minorHAnsi"/>
        </w:rPr>
        <w:t>województwie podkarpackim, które miały miejsce w czer</w:t>
      </w:r>
      <w:r w:rsidR="00DA486E">
        <w:rPr>
          <w:rFonts w:asciiTheme="minorHAnsi" w:hAnsiTheme="minorHAnsi"/>
        </w:rPr>
        <w:t>wcu 2020 r. Wniosek chorwacki w </w:t>
      </w:r>
      <w:r w:rsidR="001D34EE" w:rsidRPr="00AF2673">
        <w:rPr>
          <w:rFonts w:asciiTheme="minorHAnsi" w:hAnsiTheme="minorHAnsi"/>
        </w:rPr>
        <w:t xml:space="preserve">wysokości 683,7 mln EUR dotyczył </w:t>
      </w:r>
      <w:r w:rsidR="001D34EE">
        <w:rPr>
          <w:rFonts w:asciiTheme="minorHAnsi" w:hAnsiTheme="minorHAnsi"/>
        </w:rPr>
        <w:t xml:space="preserve">usuwania skutków </w:t>
      </w:r>
      <w:r w:rsidR="001D34EE" w:rsidRPr="00AF2673">
        <w:rPr>
          <w:rFonts w:asciiTheme="minorHAnsi" w:hAnsiTheme="minorHAnsi"/>
        </w:rPr>
        <w:t xml:space="preserve">trzęsienia ziemi </w:t>
      </w:r>
      <w:r w:rsidR="001D34EE">
        <w:rPr>
          <w:rFonts w:asciiTheme="minorHAnsi" w:hAnsiTheme="minorHAnsi"/>
        </w:rPr>
        <w:t>z</w:t>
      </w:r>
      <w:r w:rsidR="001D34EE" w:rsidRPr="00AF2673">
        <w:rPr>
          <w:rFonts w:asciiTheme="minorHAnsi" w:hAnsiTheme="minorHAnsi"/>
        </w:rPr>
        <w:t xml:space="preserve"> marc</w:t>
      </w:r>
      <w:r w:rsidR="001D34EE">
        <w:rPr>
          <w:rFonts w:asciiTheme="minorHAnsi" w:hAnsiTheme="minorHAnsi"/>
        </w:rPr>
        <w:t>a</w:t>
      </w:r>
      <w:r w:rsidR="001D34EE" w:rsidRPr="00AF2673">
        <w:rPr>
          <w:rFonts w:asciiTheme="minorHAnsi" w:hAnsiTheme="minorHAnsi"/>
        </w:rPr>
        <w:t xml:space="preserve"> 2020 r.</w:t>
      </w:r>
    </w:p>
    <w:p w:rsidR="001D34EE" w:rsidRDefault="001D34EE" w:rsidP="00DA486E">
      <w:pPr>
        <w:spacing w:before="12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Przyjęcie DAB9/2020</w:t>
      </w:r>
      <w:r w:rsidRPr="00AF2673">
        <w:rPr>
          <w:rFonts w:asciiTheme="minorHAnsi" w:hAnsiTheme="minorHAnsi"/>
        </w:rPr>
        <w:t xml:space="preserve"> spowoduje podniesienie składki Polski do</w:t>
      </w:r>
      <w:r>
        <w:rPr>
          <w:rFonts w:asciiTheme="minorHAnsi" w:hAnsiTheme="minorHAnsi"/>
        </w:rPr>
        <w:t xml:space="preserve"> budżetu UE z tytułu DNB o 23,6 </w:t>
      </w:r>
      <w:r w:rsidRPr="00AF2673">
        <w:rPr>
          <w:rFonts w:asciiTheme="minorHAnsi" w:hAnsiTheme="minorHAnsi"/>
        </w:rPr>
        <w:t>mln EUR.</w:t>
      </w:r>
    </w:p>
    <w:p w:rsidR="001D34EE" w:rsidRDefault="001D34EE" w:rsidP="001D34EE">
      <w:pPr>
        <w:spacing w:line="276" w:lineRule="auto"/>
        <w:jc w:val="both"/>
        <w:rPr>
          <w:rFonts w:asciiTheme="minorHAnsi" w:hAnsiTheme="minorHAnsi"/>
        </w:rPr>
      </w:pPr>
    </w:p>
    <w:p w:rsidR="001D34EE" w:rsidRDefault="001D34EE" w:rsidP="001D34EE">
      <w:pPr>
        <w:spacing w:line="276" w:lineRule="auto"/>
        <w:jc w:val="both"/>
        <w:rPr>
          <w:rFonts w:asciiTheme="minorHAnsi" w:hAnsiTheme="minorHAnsi"/>
        </w:rPr>
      </w:pPr>
      <w:r w:rsidRPr="00AF2673">
        <w:rPr>
          <w:rFonts w:asciiTheme="minorHAnsi" w:hAnsiTheme="minorHAnsi"/>
        </w:rPr>
        <w:t>9 października Komisja Europejska (KE) przedstawiła także projekt budżetu korygującego nr 10 do budżetu ogólnego UE na rok 2020 (DAB10/2020)</w:t>
      </w:r>
      <w:r w:rsidRPr="00FF76D0">
        <w:rPr>
          <w:rFonts w:asciiTheme="minorHAnsi" w:hAnsiTheme="minorHAnsi"/>
          <w:vertAlign w:val="superscript"/>
        </w:rPr>
        <w:footnoteReference w:id="3"/>
      </w:r>
      <w:r w:rsidRPr="00AF2673">
        <w:rPr>
          <w:rFonts w:asciiTheme="minorHAnsi" w:hAnsiTheme="minorHAnsi"/>
        </w:rPr>
        <w:t xml:space="preserve"> przewidujący wzrost środków na </w:t>
      </w:r>
      <w:r w:rsidRPr="00AF2673">
        <w:rPr>
          <w:rFonts w:asciiTheme="minorHAnsi" w:hAnsiTheme="minorHAnsi"/>
        </w:rPr>
        <w:lastRenderedPageBreak/>
        <w:t xml:space="preserve">zobowiązania o 36,4 mln EUR i środków na płatności </w:t>
      </w:r>
      <w:r w:rsidR="00DA486E">
        <w:rPr>
          <w:rFonts w:asciiTheme="minorHAnsi" w:hAnsiTheme="minorHAnsi"/>
        </w:rPr>
        <w:t xml:space="preserve">(PA) </w:t>
      </w:r>
      <w:r w:rsidRPr="00AF2673">
        <w:rPr>
          <w:rFonts w:asciiTheme="minorHAnsi" w:hAnsiTheme="minorHAnsi"/>
        </w:rPr>
        <w:t>o 1 mld 569 mln EUR. Zaproponowanie DAB 10/2020 wynika z konieczności dostosowania poziomu PA</w:t>
      </w:r>
      <w:r w:rsidR="00DA486E">
        <w:rPr>
          <w:rFonts w:asciiTheme="minorHAnsi" w:hAnsiTheme="minorHAnsi"/>
        </w:rPr>
        <w:t>,</w:t>
      </w:r>
      <w:r w:rsidRPr="00AF2673">
        <w:rPr>
          <w:rFonts w:asciiTheme="minorHAnsi" w:hAnsiTheme="minorHAnsi"/>
        </w:rPr>
        <w:t xml:space="preserve"> po uwzględnieniu wpływu </w:t>
      </w:r>
      <w:r>
        <w:rPr>
          <w:rFonts w:asciiTheme="minorHAnsi" w:hAnsiTheme="minorHAnsi"/>
        </w:rPr>
        <w:t xml:space="preserve">ww. </w:t>
      </w:r>
      <w:r w:rsidRPr="00AF2673">
        <w:rPr>
          <w:rFonts w:asciiTheme="minorHAnsi" w:hAnsiTheme="minorHAnsi"/>
        </w:rPr>
        <w:t xml:space="preserve">Global Transfer. Chodzi o zapewnienie dodatkowych PA, których nie udało się wygenerować poprzez przesunięcia w ramach budżetu 2020. </w:t>
      </w:r>
    </w:p>
    <w:p w:rsidR="001D34EE" w:rsidRDefault="001D34EE" w:rsidP="00DA486E">
      <w:pPr>
        <w:spacing w:before="120" w:line="276" w:lineRule="auto"/>
        <w:jc w:val="both"/>
        <w:rPr>
          <w:rFonts w:asciiTheme="minorHAnsi" w:hAnsiTheme="minorHAnsi"/>
        </w:rPr>
      </w:pPr>
      <w:r w:rsidRPr="00AF2673">
        <w:rPr>
          <w:rFonts w:asciiTheme="minorHAnsi" w:hAnsiTheme="minorHAnsi"/>
        </w:rPr>
        <w:t xml:space="preserve">Na ww. kwotę PA składają się m.in.: </w:t>
      </w:r>
    </w:p>
    <w:p w:rsidR="001D34EE" w:rsidRDefault="001D34EE" w:rsidP="00DA486E">
      <w:pPr>
        <w:pStyle w:val="Akapitzlist"/>
        <w:numPr>
          <w:ilvl w:val="0"/>
          <w:numId w:val="2"/>
        </w:numPr>
        <w:spacing w:line="276" w:lineRule="auto"/>
        <w:jc w:val="both"/>
        <w:rPr>
          <w:rFonts w:asciiTheme="minorHAnsi" w:hAnsiTheme="minorHAnsi"/>
        </w:rPr>
      </w:pPr>
      <w:r w:rsidRPr="00C00B75">
        <w:rPr>
          <w:rFonts w:asciiTheme="minorHAnsi" w:hAnsiTheme="minorHAnsi"/>
        </w:rPr>
        <w:t>wsparcie dla M</w:t>
      </w:r>
      <w:r>
        <w:rPr>
          <w:rFonts w:asciiTheme="minorHAnsi" w:hAnsiTheme="minorHAnsi"/>
        </w:rPr>
        <w:t>Ś</w:t>
      </w:r>
      <w:r w:rsidRPr="00C00B75">
        <w:rPr>
          <w:rFonts w:asciiTheme="minorHAnsi" w:hAnsiTheme="minorHAnsi"/>
        </w:rPr>
        <w:t>P w ramach programu COSME</w:t>
      </w:r>
      <w:r w:rsidR="00DA486E">
        <w:rPr>
          <w:rFonts w:asciiTheme="minorHAnsi" w:hAnsiTheme="minorHAnsi"/>
        </w:rPr>
        <w:t xml:space="preserve"> - </w:t>
      </w:r>
      <w:r w:rsidR="00DA486E" w:rsidRPr="00DA486E">
        <w:rPr>
          <w:rFonts w:asciiTheme="minorHAnsi" w:hAnsiTheme="minorHAnsi"/>
        </w:rPr>
        <w:t>Program ramowy na rzecz konkurencyjności przedsiębiorstw oraz małych i średnich pr</w:t>
      </w:r>
      <w:r w:rsidR="00DA486E">
        <w:rPr>
          <w:rFonts w:asciiTheme="minorHAnsi" w:hAnsiTheme="minorHAnsi"/>
        </w:rPr>
        <w:t>zedsiębiorstw na lata 2014-2020</w:t>
      </w:r>
      <w:r w:rsidRPr="00C00B75">
        <w:rPr>
          <w:rFonts w:asciiTheme="minorHAnsi" w:hAnsiTheme="minorHAnsi"/>
        </w:rPr>
        <w:t xml:space="preserve"> (93,8 mln EUR), </w:t>
      </w:r>
    </w:p>
    <w:p w:rsidR="001D34EE" w:rsidRDefault="001D34EE" w:rsidP="001D34EE">
      <w:pPr>
        <w:pStyle w:val="Akapitzlist"/>
        <w:numPr>
          <w:ilvl w:val="0"/>
          <w:numId w:val="2"/>
        </w:numPr>
        <w:spacing w:line="276" w:lineRule="auto"/>
        <w:jc w:val="both"/>
        <w:rPr>
          <w:rFonts w:asciiTheme="minorHAnsi" w:hAnsiTheme="minorHAnsi"/>
        </w:rPr>
      </w:pPr>
      <w:r w:rsidRPr="00C00B75">
        <w:rPr>
          <w:rFonts w:asciiTheme="minorHAnsi" w:hAnsiTheme="minorHAnsi"/>
        </w:rPr>
        <w:t xml:space="preserve">środki na inicjatywę Łącząc Europę (CEF Transport) w związku z szybszą niż się spodziewano implementacją (100 mln EUR), </w:t>
      </w:r>
    </w:p>
    <w:p w:rsidR="001D34EE" w:rsidRDefault="001D34EE" w:rsidP="001D34EE">
      <w:pPr>
        <w:pStyle w:val="Akapitzlist"/>
        <w:numPr>
          <w:ilvl w:val="0"/>
          <w:numId w:val="2"/>
        </w:numPr>
        <w:spacing w:line="276" w:lineRule="auto"/>
        <w:jc w:val="both"/>
        <w:rPr>
          <w:rFonts w:asciiTheme="minorHAnsi" w:hAnsiTheme="minorHAnsi"/>
        </w:rPr>
      </w:pPr>
      <w:r w:rsidRPr="00C00B75">
        <w:rPr>
          <w:rFonts w:asciiTheme="minorHAnsi" w:hAnsiTheme="minorHAnsi"/>
        </w:rPr>
        <w:t xml:space="preserve">środki na rozwój obszarów wiejskich w związku z szybką implementacją oraz na zwalczanie skutków COVID-19 (750 mln EUR), </w:t>
      </w:r>
    </w:p>
    <w:p w:rsidR="001D34EE" w:rsidRDefault="001D34EE" w:rsidP="001D34EE">
      <w:pPr>
        <w:pStyle w:val="Akapitzlist"/>
        <w:numPr>
          <w:ilvl w:val="0"/>
          <w:numId w:val="2"/>
        </w:numPr>
        <w:spacing w:line="276" w:lineRule="auto"/>
        <w:jc w:val="both"/>
        <w:rPr>
          <w:rFonts w:asciiTheme="minorHAnsi" w:hAnsiTheme="minorHAnsi"/>
        </w:rPr>
      </w:pPr>
      <w:r w:rsidRPr="00C00B75">
        <w:rPr>
          <w:rFonts w:asciiTheme="minorHAnsi" w:hAnsiTheme="minorHAnsi"/>
        </w:rPr>
        <w:t>środki na In</w:t>
      </w:r>
      <w:r>
        <w:rPr>
          <w:rFonts w:asciiTheme="minorHAnsi" w:hAnsiTheme="minorHAnsi"/>
        </w:rPr>
        <w:t>strument Pomocy Przedakcesyjnej</w:t>
      </w:r>
      <w:r w:rsidRPr="00C00B75">
        <w:rPr>
          <w:rFonts w:asciiTheme="minorHAnsi" w:hAnsiTheme="minorHAnsi"/>
        </w:rPr>
        <w:t xml:space="preserve"> w zw</w:t>
      </w:r>
      <w:r>
        <w:rPr>
          <w:rFonts w:asciiTheme="minorHAnsi" w:hAnsiTheme="minorHAnsi"/>
        </w:rPr>
        <w:t>iązku z potrzebami związanymi z </w:t>
      </w:r>
      <w:r w:rsidRPr="00C00B75">
        <w:rPr>
          <w:rFonts w:asciiTheme="minorHAnsi" w:hAnsiTheme="minorHAnsi"/>
        </w:rPr>
        <w:t xml:space="preserve">COVID-19 dla Bałkanów Zachodnich i Turcji (210 mln EUR), </w:t>
      </w:r>
    </w:p>
    <w:p w:rsidR="001D34EE" w:rsidRDefault="001D34EE" w:rsidP="001D34EE">
      <w:pPr>
        <w:pStyle w:val="Akapitzlist"/>
        <w:numPr>
          <w:ilvl w:val="0"/>
          <w:numId w:val="2"/>
        </w:numPr>
        <w:spacing w:line="276" w:lineRule="auto"/>
        <w:jc w:val="both"/>
        <w:rPr>
          <w:rFonts w:asciiTheme="minorHAnsi" w:hAnsiTheme="minorHAnsi"/>
        </w:rPr>
      </w:pPr>
      <w:r w:rsidRPr="00C00B75">
        <w:rPr>
          <w:rFonts w:asciiTheme="minorHAnsi" w:hAnsiTheme="minorHAnsi"/>
        </w:rPr>
        <w:t xml:space="preserve">środki na Europejski Instrument Sąsiedztwa m.in. dla Afryki Północnej, Gruzji, Armenii, Ukrainy (286 mln EUR), </w:t>
      </w:r>
    </w:p>
    <w:p w:rsidR="001D34EE" w:rsidRPr="00C00B75" w:rsidRDefault="001D34EE" w:rsidP="001D34EE">
      <w:pPr>
        <w:pStyle w:val="Akapitzlist"/>
        <w:numPr>
          <w:ilvl w:val="0"/>
          <w:numId w:val="2"/>
        </w:numPr>
        <w:spacing w:line="276" w:lineRule="auto"/>
        <w:jc w:val="both"/>
        <w:rPr>
          <w:rFonts w:asciiTheme="minorHAnsi" w:hAnsiTheme="minorHAnsi"/>
        </w:rPr>
      </w:pPr>
      <w:r w:rsidRPr="00C00B75">
        <w:rPr>
          <w:rFonts w:asciiTheme="minorHAnsi" w:hAnsiTheme="minorHAnsi"/>
        </w:rPr>
        <w:t>środki w ramach instrumentu współpracy rozwojowej dla Nepalu, Mjanmy, Kambodży, Tadżykistanu, Afga</w:t>
      </w:r>
      <w:r>
        <w:rPr>
          <w:rFonts w:asciiTheme="minorHAnsi" w:hAnsiTheme="minorHAnsi"/>
        </w:rPr>
        <w:t>nistanu i</w:t>
      </w:r>
      <w:r w:rsidRPr="00C00B75">
        <w:rPr>
          <w:rFonts w:asciiTheme="minorHAnsi" w:hAnsiTheme="minorHAnsi"/>
        </w:rPr>
        <w:t xml:space="preserve"> Uzbekistanu (90 mln EUR).</w:t>
      </w:r>
    </w:p>
    <w:p w:rsidR="001D34EE" w:rsidRDefault="001D34EE" w:rsidP="00DA486E">
      <w:pPr>
        <w:spacing w:before="120" w:line="276" w:lineRule="auto"/>
        <w:jc w:val="both"/>
        <w:rPr>
          <w:rFonts w:asciiTheme="minorHAnsi" w:hAnsiTheme="minorHAnsi"/>
        </w:rPr>
      </w:pPr>
      <w:r w:rsidRPr="00AF2673">
        <w:rPr>
          <w:rFonts w:asciiTheme="minorHAnsi" w:hAnsiTheme="minorHAnsi"/>
        </w:rPr>
        <w:t xml:space="preserve">DAB 10/2020 przewiduje także dodatkowe 48,6 mln EUR </w:t>
      </w:r>
      <w:r>
        <w:rPr>
          <w:rFonts w:asciiTheme="minorHAnsi" w:hAnsiTheme="minorHAnsi"/>
        </w:rPr>
        <w:t xml:space="preserve">dla </w:t>
      </w:r>
      <w:r w:rsidRPr="009F1DC3">
        <w:rPr>
          <w:rFonts w:asciiTheme="minorHAnsi" w:hAnsiTheme="minorHAnsi"/>
        </w:rPr>
        <w:t>Europejskiego Fundu</w:t>
      </w:r>
      <w:r>
        <w:rPr>
          <w:rFonts w:asciiTheme="minorHAnsi" w:hAnsiTheme="minorHAnsi"/>
        </w:rPr>
        <w:t xml:space="preserve">szu Rolniczego Gwarancji </w:t>
      </w:r>
      <w:r w:rsidRPr="00AF2673">
        <w:rPr>
          <w:rFonts w:asciiTheme="minorHAnsi" w:hAnsiTheme="minorHAnsi"/>
        </w:rPr>
        <w:t>z powodu niższych niż przewidziano wpływów z dochodów przeznaczonych na określony cel z przeznaczeniem dla organizacji producentów w sektorze owoców i warzyw.</w:t>
      </w:r>
      <w:r>
        <w:rPr>
          <w:rFonts w:asciiTheme="minorHAnsi" w:hAnsiTheme="minorHAnsi"/>
        </w:rPr>
        <w:t xml:space="preserve"> </w:t>
      </w:r>
      <w:r w:rsidRPr="00AF2673">
        <w:rPr>
          <w:rFonts w:asciiTheme="minorHAnsi" w:hAnsiTheme="minorHAnsi"/>
        </w:rPr>
        <w:t>Ponadto DAB 10/2020 obejmuje dostosowanie strony dochodowej budżetu UE poprzez ujęcie kwoty ujemnej -716 mln EUR w celu zamortyzowania niekorzystnych, z punktu widzenia budżetu UE, zmian w kursach walut oraz ujęcie dodatkowych wpływów z tytułu kar w kwocie 128 mln EUR.</w:t>
      </w:r>
      <w:r>
        <w:rPr>
          <w:rFonts w:asciiTheme="minorHAnsi" w:hAnsiTheme="minorHAnsi"/>
        </w:rPr>
        <w:t xml:space="preserve"> </w:t>
      </w:r>
    </w:p>
    <w:p w:rsidR="001D34EE" w:rsidRPr="00AF2673" w:rsidRDefault="001D34EE" w:rsidP="00DA486E">
      <w:pPr>
        <w:spacing w:before="120" w:line="276" w:lineRule="auto"/>
        <w:jc w:val="both"/>
        <w:rPr>
          <w:rFonts w:asciiTheme="minorHAnsi" w:hAnsiTheme="minorHAnsi"/>
        </w:rPr>
      </w:pPr>
      <w:r w:rsidRPr="00AF2673">
        <w:rPr>
          <w:rFonts w:asciiTheme="minorHAnsi" w:hAnsiTheme="minorHAnsi"/>
        </w:rPr>
        <w:t>Przyjęcie DAB10/2020 skutkowało będzie wzrostem składki Polski o 69,3 mln EUR.</w:t>
      </w:r>
    </w:p>
    <w:p w:rsidR="00DA486E" w:rsidRDefault="00DA486E">
      <w:pPr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:rsidR="001D34EE" w:rsidRPr="00AF2673" w:rsidRDefault="001D34EE" w:rsidP="001D34EE">
      <w:pPr>
        <w:tabs>
          <w:tab w:val="left" w:pos="567"/>
        </w:tabs>
        <w:spacing w:line="264" w:lineRule="auto"/>
        <w:ind w:left="567" w:hanging="567"/>
        <w:jc w:val="both"/>
        <w:rPr>
          <w:rFonts w:asciiTheme="minorHAnsi" w:hAnsiTheme="minorHAnsi"/>
          <w:b/>
        </w:rPr>
      </w:pPr>
      <w:r w:rsidRPr="00AF2673">
        <w:rPr>
          <w:rFonts w:asciiTheme="minorHAnsi" w:hAnsiTheme="minorHAnsi"/>
          <w:b/>
          <w:u w:val="single"/>
        </w:rPr>
        <w:lastRenderedPageBreak/>
        <w:t>II.4</w:t>
      </w:r>
      <w:r w:rsidRPr="00AF2673">
        <w:rPr>
          <w:rFonts w:asciiTheme="minorHAnsi" w:hAnsiTheme="minorHAnsi"/>
          <w:b/>
          <w:u w:val="single"/>
        </w:rPr>
        <w:tab/>
        <w:t>Informacja KE nt. płatności pośrednich dla Europejskich Funduszy Strukturalnych</w:t>
      </w:r>
      <w:r w:rsidRPr="00AF2673">
        <w:rPr>
          <w:rFonts w:asciiTheme="minorHAnsi" w:hAnsiTheme="minorHAnsi"/>
          <w:b/>
        </w:rPr>
        <w:t xml:space="preserve"> </w:t>
      </w:r>
      <w:r w:rsidRPr="00AF2673">
        <w:rPr>
          <w:rFonts w:asciiTheme="minorHAnsi" w:hAnsiTheme="minorHAnsi"/>
          <w:b/>
          <w:u w:val="single"/>
        </w:rPr>
        <w:t>i Inwestycyjnych</w:t>
      </w:r>
      <w:r w:rsidRPr="00AF2673">
        <w:rPr>
          <w:rStyle w:val="Odwoanieprzypisudolnego"/>
          <w:rFonts w:asciiTheme="minorHAnsi" w:hAnsiTheme="minorHAnsi"/>
          <w:b/>
          <w:u w:val="single"/>
        </w:rPr>
        <w:footnoteReference w:id="4"/>
      </w:r>
      <w:r w:rsidRPr="00AF2673">
        <w:rPr>
          <w:rFonts w:asciiTheme="minorHAnsi" w:hAnsiTheme="minorHAnsi"/>
          <w:b/>
          <w:u w:val="single"/>
        </w:rPr>
        <w:t xml:space="preserve"> (EFSI), w ramach alokacji 2014 – 2020 na koniec września 2020 r.</w:t>
      </w:r>
    </w:p>
    <w:p w:rsidR="001D34EE" w:rsidRPr="00AF2673" w:rsidRDefault="001D34EE" w:rsidP="001D34EE">
      <w:pPr>
        <w:spacing w:line="264" w:lineRule="auto"/>
        <w:jc w:val="both"/>
        <w:rPr>
          <w:rFonts w:asciiTheme="minorHAnsi" w:hAnsiTheme="minorHAnsi"/>
          <w:sz w:val="10"/>
          <w:szCs w:val="10"/>
        </w:rPr>
      </w:pP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</w:rPr>
      </w:pPr>
      <w:r w:rsidRPr="00AF2673">
        <w:rPr>
          <w:rFonts w:asciiTheme="minorHAnsi" w:hAnsiTheme="minorHAnsi"/>
        </w:rPr>
        <w:t>Poniższa tabela zawiera informacje nt. płatności pośrednich dla programów EFSI w podziale na państwa członkowskie (P.Cz</w:t>
      </w:r>
      <w:r w:rsidRPr="00756FA6">
        <w:rPr>
          <w:rFonts w:asciiTheme="minorHAnsi" w:hAnsiTheme="minorHAnsi"/>
        </w:rPr>
        <w:t xml:space="preserve">.). Od roku 2014 w formie płatności pośrednich za zobowiązania z okresu programowania 2014-2020 do P.Cz. napłynęło </w:t>
      </w:r>
      <w:r>
        <w:rPr>
          <w:rFonts w:asciiTheme="minorHAnsi" w:hAnsiTheme="minorHAnsi" w:cs="Arial"/>
          <w:b/>
          <w:bCs/>
        </w:rPr>
        <w:t>197,6</w:t>
      </w:r>
      <w:r w:rsidRPr="00756FA6">
        <w:rPr>
          <w:rFonts w:asciiTheme="minorHAnsi" w:hAnsiTheme="minorHAnsi"/>
        </w:rPr>
        <w:t xml:space="preserve"> </w:t>
      </w:r>
      <w:r w:rsidRPr="00756FA6">
        <w:rPr>
          <w:rFonts w:asciiTheme="minorHAnsi" w:hAnsiTheme="minorHAnsi"/>
          <w:b/>
        </w:rPr>
        <w:t>mld EUR</w:t>
      </w:r>
      <w:r w:rsidRPr="00756FA6">
        <w:rPr>
          <w:rFonts w:asciiTheme="minorHAnsi" w:hAnsiTheme="minorHAnsi"/>
        </w:rPr>
        <w:t>. W samym roku 2020 płatności te wyniosły</w:t>
      </w:r>
      <w:r>
        <w:rPr>
          <w:rFonts w:asciiTheme="minorHAnsi" w:hAnsiTheme="minorHAnsi"/>
          <w:b/>
        </w:rPr>
        <w:t xml:space="preserve"> 39,3</w:t>
      </w:r>
      <w:r w:rsidRPr="00756FA6">
        <w:rPr>
          <w:rFonts w:asciiTheme="minorHAnsi" w:hAnsiTheme="minorHAnsi"/>
          <w:b/>
        </w:rPr>
        <w:t xml:space="preserve"> mld EUR.</w:t>
      </w:r>
      <w:r w:rsidRPr="00756FA6">
        <w:rPr>
          <w:rFonts w:asciiTheme="minorHAnsi" w:hAnsiTheme="minorHAnsi"/>
        </w:rPr>
        <w:t xml:space="preserve"> Od roku 2014 do Polski napłynęło najwięcej środków: </w:t>
      </w:r>
      <w:r>
        <w:rPr>
          <w:rFonts w:asciiTheme="minorHAnsi" w:hAnsiTheme="minorHAnsi"/>
          <w:b/>
        </w:rPr>
        <w:t xml:space="preserve"> 7,9 </w:t>
      </w:r>
      <w:r w:rsidRPr="00756FA6">
        <w:rPr>
          <w:rFonts w:asciiTheme="minorHAnsi" w:hAnsiTheme="minorHAnsi"/>
          <w:b/>
        </w:rPr>
        <w:t>mld EUR</w:t>
      </w:r>
      <w:r w:rsidRPr="00756FA6">
        <w:rPr>
          <w:rFonts w:asciiTheme="minorHAnsi" w:hAnsiTheme="minorHAnsi"/>
        </w:rPr>
        <w:t xml:space="preserve">, co stanowi </w:t>
      </w:r>
      <w:r w:rsidRPr="00756FA6">
        <w:rPr>
          <w:rFonts w:asciiTheme="minorHAnsi" w:hAnsiTheme="minorHAnsi"/>
          <w:b/>
        </w:rPr>
        <w:t>20%</w:t>
      </w:r>
      <w:r w:rsidRPr="00756FA6">
        <w:rPr>
          <w:rFonts w:asciiTheme="minorHAnsi" w:hAnsiTheme="minorHAnsi"/>
        </w:rPr>
        <w:t xml:space="preserve"> kwoty płatności pośrednich dotychczas przekazanych P.Cz.</w:t>
      </w:r>
    </w:p>
    <w:p w:rsidR="001D34EE" w:rsidRPr="00405D58" w:rsidRDefault="001D34EE" w:rsidP="001D34EE">
      <w:pPr>
        <w:spacing w:line="264" w:lineRule="auto"/>
        <w:jc w:val="both"/>
        <w:rPr>
          <w:rFonts w:asciiTheme="minorHAnsi" w:hAnsiTheme="minorHAnsi"/>
          <w:sz w:val="10"/>
          <w:szCs w:val="10"/>
        </w:rPr>
      </w:pPr>
    </w:p>
    <w:p w:rsidR="001D34EE" w:rsidRPr="00756FA6" w:rsidRDefault="001D34EE" w:rsidP="001D34EE">
      <w:pPr>
        <w:spacing w:line="264" w:lineRule="auto"/>
        <w:jc w:val="both"/>
        <w:rPr>
          <w:rFonts w:asciiTheme="minorHAnsi" w:hAnsiTheme="minorHAnsi"/>
          <w:sz w:val="2"/>
          <w:szCs w:val="2"/>
        </w:rPr>
      </w:pPr>
    </w:p>
    <w:tbl>
      <w:tblPr>
        <w:tblW w:w="93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3"/>
        <w:gridCol w:w="1341"/>
        <w:gridCol w:w="1701"/>
        <w:gridCol w:w="1706"/>
        <w:gridCol w:w="1984"/>
      </w:tblGrid>
      <w:tr w:rsidR="001D34EE" w:rsidRPr="00756FA6" w:rsidTr="00455AF8">
        <w:trPr>
          <w:trHeight w:hRule="exact" w:val="579"/>
          <w:jc w:val="center"/>
        </w:trPr>
        <w:tc>
          <w:tcPr>
            <w:tcW w:w="2623" w:type="dxa"/>
            <w:vMerge w:val="restart"/>
            <w:shd w:val="clear" w:color="auto" w:fill="auto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eastAsia="Times New Roman" w:hAnsiTheme="minorHAnsi"/>
                <w:i/>
                <w:sz w:val="22"/>
                <w:szCs w:val="22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i/>
                <w:sz w:val="22"/>
                <w:szCs w:val="22"/>
                <w:lang w:eastAsia="pl-PL"/>
              </w:rPr>
              <w:t>(W mln EUR)</w:t>
            </w:r>
          </w:p>
        </w:tc>
        <w:tc>
          <w:tcPr>
            <w:tcW w:w="1341" w:type="dxa"/>
            <w:vMerge w:val="restart"/>
            <w:shd w:val="clear" w:color="auto" w:fill="auto"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lang w:eastAsia="pl-PL"/>
              </w:rPr>
              <w:t>Całkowita alokacja</w:t>
            </w:r>
          </w:p>
        </w:tc>
        <w:tc>
          <w:tcPr>
            <w:tcW w:w="3407" w:type="dxa"/>
            <w:gridSpan w:val="2"/>
            <w:shd w:val="clear" w:color="auto" w:fill="auto"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Płatności pośrednie w latach</w:t>
            </w:r>
          </w:p>
          <w:p w:rsidR="001D34EE" w:rsidRPr="00756FA6" w:rsidRDefault="001D34EE" w:rsidP="00455AF8">
            <w:pPr>
              <w:spacing w:line="264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2014 - 2020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lang w:eastAsia="pl-PL"/>
              </w:rPr>
              <w:t>W tym płatności pośrednie w roku 2020</w:t>
            </w:r>
          </w:p>
        </w:tc>
      </w:tr>
      <w:tr w:rsidR="001D34EE" w:rsidRPr="00756FA6" w:rsidTr="00455AF8">
        <w:trPr>
          <w:trHeight w:hRule="exact" w:val="561"/>
          <w:jc w:val="center"/>
        </w:trPr>
        <w:tc>
          <w:tcPr>
            <w:tcW w:w="2623" w:type="dxa"/>
            <w:vMerge/>
            <w:shd w:val="clear" w:color="auto" w:fill="auto"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  <w:tc>
          <w:tcPr>
            <w:tcW w:w="1341" w:type="dxa"/>
            <w:vMerge/>
            <w:shd w:val="clear" w:color="auto" w:fill="auto"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Kwota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 xml:space="preserve">Jako % płatności </w:t>
            </w:r>
          </w:p>
          <w:p w:rsidR="001D34EE" w:rsidRPr="00756FA6" w:rsidRDefault="001D34EE" w:rsidP="00455AF8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dla P.Cz.</w:t>
            </w:r>
          </w:p>
        </w:tc>
        <w:tc>
          <w:tcPr>
            <w:tcW w:w="1984" w:type="dxa"/>
            <w:vMerge/>
            <w:shd w:val="clear" w:color="auto" w:fill="auto"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  <w:b/>
                <w:bCs/>
              </w:rPr>
            </w:pPr>
            <w:r w:rsidRPr="00756FA6">
              <w:rPr>
                <w:rFonts w:asciiTheme="minorHAnsi" w:hAnsiTheme="minorHAnsi" w:cs="Arial"/>
                <w:b/>
                <w:bCs/>
              </w:rPr>
              <w:t>Polska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b/>
                <w:bCs/>
                <w:lang w:eastAsia="pl-PL"/>
              </w:rPr>
            </w:pPr>
            <w:r>
              <w:rPr>
                <w:rFonts w:ascii="Calibri" w:hAnsi="Calibri" w:cs="Arial"/>
                <w:b/>
                <w:bCs/>
              </w:rPr>
              <w:t>86 587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39 499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Pr="004C1BE3" w:rsidRDefault="001D34EE" w:rsidP="00455AF8">
            <w:pPr>
              <w:jc w:val="center"/>
              <w:rPr>
                <w:rFonts w:ascii="Calibri" w:hAnsi="Calibri" w:cs="Arial"/>
                <w:b/>
                <w:color w:val="000000"/>
              </w:rPr>
            </w:pPr>
            <w:r w:rsidRPr="004C1BE3">
              <w:rPr>
                <w:rFonts w:ascii="Calibri" w:hAnsi="Calibri" w:cs="Arial"/>
                <w:b/>
                <w:color w:val="000000"/>
              </w:rPr>
              <w:t>20%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7 953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Włochy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45 330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14 952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8%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3 536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Hiszpania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40 448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13 124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2 007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Rumunia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30 824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11 227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2 085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Niemcy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28 014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12 286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2 150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Francja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27 999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13 693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2 500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Portugalia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26 036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12 764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2 051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Węgry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25 107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11 488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2 114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Czechy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23 888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11 013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2 628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Grecja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21 660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9 510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5%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2 507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Wlk. Brytania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16 402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7 676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4%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1 559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Słowacja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15 193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4 887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620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  <w:bCs/>
              </w:rPr>
            </w:pPr>
            <w:r w:rsidRPr="00756FA6">
              <w:rPr>
                <w:rFonts w:asciiTheme="minorHAnsi" w:hAnsiTheme="minorHAnsi" w:cs="Arial"/>
                <w:bCs/>
              </w:rPr>
              <w:t>Chorwacja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10 768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3 465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800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Bułgaria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9 859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4 050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912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Współpraca terytorialna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9 410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3 075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856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Litwa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8 514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4 451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1 379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Łotwa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5 675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2 770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558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Austria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4 941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3 204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589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Estonia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4 432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2 340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402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Słowenia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3 949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1 799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427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Finlandia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3 788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2 724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368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Szwecja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3 634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2 005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480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Irlandia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3 384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2 180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279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Belgia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2 818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1 152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0,6%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187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Holandia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1 951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794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0,4%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139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Dania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1 551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691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0,3%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131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Cypr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921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420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0,2%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35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Malta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832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313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0,2%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69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Luksemburg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144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93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0,0%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17</w:t>
            </w:r>
          </w:p>
        </w:tc>
      </w:tr>
      <w:tr w:rsidR="001D34EE" w:rsidRPr="00756FA6" w:rsidTr="00455AF8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vAlign w:val="center"/>
            <w:hideMark/>
          </w:tcPr>
          <w:p w:rsidR="001D34EE" w:rsidRPr="00756FA6" w:rsidRDefault="001D34EE" w:rsidP="00455AF8">
            <w:pPr>
              <w:spacing w:line="264" w:lineRule="auto"/>
              <w:rPr>
                <w:rFonts w:asciiTheme="minorHAnsi" w:hAnsiTheme="minorHAnsi" w:cs="Arial"/>
                <w:b/>
                <w:bCs/>
              </w:rPr>
            </w:pPr>
            <w:r w:rsidRPr="00756FA6">
              <w:rPr>
                <w:rFonts w:asciiTheme="minorHAnsi" w:hAnsiTheme="minorHAnsi" w:cs="Arial"/>
                <w:b/>
                <w:bCs/>
              </w:rPr>
              <w:t>RAZEM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464 059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197 645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1D34EE" w:rsidRPr="004C1BE3" w:rsidRDefault="001D34EE" w:rsidP="00455AF8">
            <w:pPr>
              <w:jc w:val="center"/>
              <w:rPr>
                <w:rFonts w:ascii="Calibri" w:hAnsi="Calibri" w:cs="Arial"/>
                <w:b/>
                <w:color w:val="000000"/>
              </w:rPr>
            </w:pPr>
            <w:r w:rsidRPr="004C1BE3">
              <w:rPr>
                <w:rFonts w:ascii="Calibri" w:hAnsi="Calibri" w:cs="Arial"/>
                <w:b/>
                <w:color w:val="000000"/>
              </w:rPr>
              <w:t>100%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34EE" w:rsidRDefault="001D34EE" w:rsidP="00455AF8">
            <w:pPr>
              <w:jc w:val="center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39 338</w:t>
            </w:r>
          </w:p>
        </w:tc>
      </w:tr>
    </w:tbl>
    <w:p w:rsidR="0036081A" w:rsidRPr="00756FA6" w:rsidRDefault="0036081A" w:rsidP="0036081A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</w:p>
    <w:sectPr w:rsidR="0036081A" w:rsidRPr="00756FA6" w:rsidSect="000A78C7">
      <w:footerReference w:type="default" r:id="rId8"/>
      <w:footerReference w:type="first" r:id="rId9"/>
      <w:pgSz w:w="11900" w:h="16840"/>
      <w:pgMar w:top="1701" w:right="1134" w:bottom="1701" w:left="1418" w:header="709" w:footer="70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2ED5" w:rsidRDefault="004B2ED5">
      <w:r>
        <w:separator/>
      </w:r>
    </w:p>
  </w:endnote>
  <w:endnote w:type="continuationSeparator" w:id="0">
    <w:p w:rsidR="004B2ED5" w:rsidRDefault="004B2E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6D4D" w:rsidRDefault="0077006F" w:rsidP="006F6D4D">
    <w:pPr>
      <w:pStyle w:val="Stopka"/>
      <w:jc w:val="right"/>
      <w:rPr>
        <w:rFonts w:ascii="Arial" w:hAnsi="Arial" w:cs="Arial"/>
        <w:color w:val="7F7F7F"/>
        <w:sz w:val="16"/>
        <w:szCs w:val="16"/>
      </w:rPr>
    </w:pPr>
    <w:r>
      <w:rPr>
        <w:rFonts w:ascii="Arial" w:hAnsi="Arial" w:cs="Arial"/>
        <w:color w:val="7F7F7F"/>
        <w:sz w:val="16"/>
        <w:szCs w:val="16"/>
      </w:rPr>
      <w:fldChar w:fldCharType="begin"/>
    </w:r>
    <w:r>
      <w:rPr>
        <w:rFonts w:ascii="Arial" w:hAnsi="Arial" w:cs="Arial"/>
        <w:color w:val="7F7F7F"/>
        <w:sz w:val="16"/>
        <w:szCs w:val="16"/>
      </w:rPr>
      <w:instrText xml:space="preserve"> PAGE   \* MERGEFORMAT </w:instrText>
    </w:r>
    <w:r>
      <w:rPr>
        <w:rFonts w:ascii="Arial" w:hAnsi="Arial" w:cs="Arial"/>
        <w:color w:val="7F7F7F"/>
        <w:sz w:val="16"/>
        <w:szCs w:val="16"/>
      </w:rPr>
      <w:fldChar w:fldCharType="separate"/>
    </w:r>
    <w:r w:rsidR="009C236D">
      <w:rPr>
        <w:rFonts w:ascii="Arial" w:hAnsi="Arial" w:cs="Arial"/>
        <w:noProof/>
        <w:color w:val="7F7F7F"/>
        <w:sz w:val="16"/>
        <w:szCs w:val="16"/>
      </w:rPr>
      <w:t>5</w:t>
    </w:r>
    <w:r>
      <w:rPr>
        <w:rFonts w:ascii="Arial" w:hAnsi="Arial" w:cs="Arial"/>
        <w:color w:val="7F7F7F"/>
        <w:sz w:val="16"/>
        <w:szCs w:val="16"/>
      </w:rPr>
      <w:fldChar w:fldCharType="end"/>
    </w:r>
  </w:p>
  <w:p w:rsidR="00C94A80" w:rsidRDefault="004B2ED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094D" w:rsidRDefault="0077006F">
    <w:pPr>
      <w:pStyle w:val="Stopka"/>
    </w:pPr>
    <w:r>
      <w:rPr>
        <w:noProof/>
        <w:lang w:eastAsia="pl-PL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8890</wp:posOffset>
          </wp:positionH>
          <wp:positionV relativeFrom="paragraph">
            <wp:posOffset>-385494</wp:posOffset>
          </wp:positionV>
          <wp:extent cx="457200" cy="438150"/>
          <wp:effectExtent l="0" t="0" r="0" b="0"/>
          <wp:wrapNone/>
          <wp:docPr id="36" name="Picture 8" descr="mf logo dla pism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mf logo dla pism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-6985</wp:posOffset>
              </wp:positionH>
              <wp:positionV relativeFrom="paragraph">
                <wp:posOffset>175895</wp:posOffset>
              </wp:positionV>
              <wp:extent cx="5907405" cy="291465"/>
              <wp:effectExtent l="2540" t="4445" r="0" b="0"/>
              <wp:wrapNone/>
              <wp:docPr id="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07405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D36E4" w:rsidRPr="009D36E4" w:rsidRDefault="009D36E4" w:rsidP="009D36E4">
                          <w:pPr>
                            <w:rPr>
                              <w:rFonts w:ascii="Arial" w:hAnsi="Arial" w:cs="Arial"/>
                              <w:color w:val="919195"/>
                              <w:sz w:val="18"/>
                              <w:szCs w:val="18"/>
                            </w:rPr>
                          </w:pPr>
                          <w:r w:rsidRPr="009D36E4">
                            <w:rPr>
                              <w:rFonts w:asciiTheme="minorHAnsi" w:hAnsiTheme="minorHAnsi" w:cs="Arial"/>
                              <w:color w:val="919195"/>
                              <w:sz w:val="18"/>
                              <w:szCs w:val="18"/>
                            </w:rPr>
                            <w:t>O</w:t>
                          </w:r>
                          <w:bookmarkStart w:id="1" w:name="ezdAutorNazwa"/>
                          <w:r w:rsidRPr="009D36E4">
                            <w:rPr>
                              <w:rFonts w:asciiTheme="minorHAnsi" w:hAnsiTheme="minorHAnsi" w:cs="Arial"/>
                              <w:color w:val="919195"/>
                              <w:sz w:val="18"/>
                              <w:szCs w:val="18"/>
                            </w:rPr>
                            <w:t>pracowanie: Bernard Rumowski</w:t>
                          </w:r>
                          <w:bookmarkStart w:id="2" w:name="ezdAutorStanowisko"/>
                          <w:bookmarkEnd w:id="1"/>
                          <w:r w:rsidRPr="009D36E4">
                            <w:rPr>
                              <w:rFonts w:asciiTheme="minorHAnsi" w:hAnsiTheme="minorHAnsi" w:cs="Arial"/>
                              <w:color w:val="919195"/>
                              <w:sz w:val="18"/>
                              <w:szCs w:val="18"/>
                            </w:rPr>
                            <w:t xml:space="preserve"> </w:t>
                          </w:r>
                          <w:bookmarkEnd w:id="2"/>
                          <w:r w:rsidRPr="009D36E4">
                            <w:rPr>
                              <w:rFonts w:asciiTheme="minorHAnsi" w:hAnsiTheme="minorHAnsi" w:cs="Arial"/>
                              <w:color w:val="919195"/>
                              <w:sz w:val="18"/>
                              <w:szCs w:val="18"/>
                            </w:rPr>
                            <w:t>| Departame</w:t>
                          </w:r>
                          <w:r w:rsidR="009C236D">
                            <w:rPr>
                              <w:rFonts w:asciiTheme="minorHAnsi" w:hAnsiTheme="minorHAnsi" w:cs="Arial"/>
                              <w:color w:val="919195"/>
                              <w:sz w:val="18"/>
                              <w:szCs w:val="18"/>
                            </w:rPr>
                            <w:t xml:space="preserve">nt Współpracy Międzynarodowej </w:t>
                          </w:r>
                        </w:p>
                        <w:p w:rsidR="00EF3BAE" w:rsidRPr="002E228C" w:rsidRDefault="004B2ED5" w:rsidP="006E128C">
                          <w:pPr>
                            <w:rPr>
                              <w:rFonts w:ascii="Arial" w:hAnsi="Arial" w:cs="Arial"/>
                              <w:color w:val="919195"/>
                              <w:sz w:val="16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-.55pt;margin-top:13.85pt;width:465.15pt;height:22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" filled="f" stroked="f">
              <v:textbox inset="0,0,0,0">
                <w:txbxContent>
                  <w:p w:rsidR="009D36E4" w:rsidRPr="009D36E4" w:rsidRDefault="009D36E4" w:rsidP="009D36E4">
                    <w:pPr>
                      <w:rPr>
                        <w:rFonts w:ascii="Arial" w:hAnsi="Arial" w:cs="Arial"/>
                        <w:color w:val="919195"/>
                        <w:sz w:val="18"/>
                        <w:szCs w:val="18"/>
                      </w:rPr>
                    </w:pPr>
                    <w:r w:rsidRPr="009D36E4">
                      <w:rPr>
                        <w:rFonts w:asciiTheme="minorHAnsi" w:hAnsiTheme="minorHAnsi" w:cs="Arial"/>
                        <w:color w:val="919195"/>
                        <w:sz w:val="18"/>
                        <w:szCs w:val="18"/>
                      </w:rPr>
                      <w:t>O</w:t>
                    </w:r>
                    <w:bookmarkStart w:id="3" w:name="ezdAutorNazwa"/>
                    <w:r w:rsidRPr="009D36E4">
                      <w:rPr>
                        <w:rFonts w:asciiTheme="minorHAnsi" w:hAnsiTheme="minorHAnsi" w:cs="Arial"/>
                        <w:color w:val="919195"/>
                        <w:sz w:val="18"/>
                        <w:szCs w:val="18"/>
                      </w:rPr>
                      <w:t>pracowanie: Bernard Rumowski</w:t>
                    </w:r>
                    <w:bookmarkStart w:id="4" w:name="ezdAutorStanowisko"/>
                    <w:bookmarkEnd w:id="3"/>
                    <w:r w:rsidRPr="009D36E4">
                      <w:rPr>
                        <w:rFonts w:asciiTheme="minorHAnsi" w:hAnsiTheme="minorHAnsi" w:cs="Arial"/>
                        <w:color w:val="919195"/>
                        <w:sz w:val="18"/>
                        <w:szCs w:val="18"/>
                      </w:rPr>
                      <w:t xml:space="preserve"> </w:t>
                    </w:r>
                    <w:bookmarkEnd w:id="4"/>
                    <w:r w:rsidRPr="009D36E4">
                      <w:rPr>
                        <w:rFonts w:asciiTheme="minorHAnsi" w:hAnsiTheme="minorHAnsi" w:cs="Arial"/>
                        <w:color w:val="919195"/>
                        <w:sz w:val="18"/>
                        <w:szCs w:val="18"/>
                      </w:rPr>
                      <w:t>| Departame</w:t>
                    </w:r>
                    <w:r w:rsidR="009C236D">
                      <w:rPr>
                        <w:rFonts w:asciiTheme="minorHAnsi" w:hAnsiTheme="minorHAnsi" w:cs="Arial"/>
                        <w:color w:val="919195"/>
                        <w:sz w:val="18"/>
                        <w:szCs w:val="18"/>
                      </w:rPr>
                      <w:t xml:space="preserve">nt Współpracy Międzynarodowej </w:t>
                    </w:r>
                  </w:p>
                  <w:p w:rsidR="00EF3BAE" w:rsidRPr="002E228C" w:rsidRDefault="004B2ED5" w:rsidP="006E128C">
                    <w:pPr>
                      <w:rPr>
                        <w:rFonts w:ascii="Arial" w:hAnsi="Arial" w:cs="Arial"/>
                        <w:color w:val="919195"/>
                        <w:sz w:val="16"/>
                        <w:szCs w:val="12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9504" behindDoc="0" locked="0" layoutInCell="1" allowOverlap="1">
              <wp:simplePos x="0" y="0"/>
              <wp:positionH relativeFrom="column">
                <wp:posOffset>-6350</wp:posOffset>
              </wp:positionH>
              <wp:positionV relativeFrom="paragraph">
                <wp:posOffset>113665</wp:posOffset>
              </wp:positionV>
              <wp:extent cx="5906770" cy="0"/>
              <wp:effectExtent l="12700" t="18415" r="14605" b="10160"/>
              <wp:wrapNone/>
              <wp:docPr id="1" name="AutoShape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0677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C9CAC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8BF47F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9" o:spid="_x0000_s1026" type="#_x0000_t32" style="position:absolute;margin-left:-.5pt;margin-top:8.95pt;width:465.1pt;height: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" strokecolor="#c9cacc" strokeweight="1.5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2ED5" w:rsidRDefault="004B2ED5">
      <w:r>
        <w:separator/>
      </w:r>
    </w:p>
  </w:footnote>
  <w:footnote w:type="continuationSeparator" w:id="0">
    <w:p w:rsidR="004B2ED5" w:rsidRDefault="004B2ED5">
      <w:r>
        <w:continuationSeparator/>
      </w:r>
    </w:p>
  </w:footnote>
  <w:footnote w:id="1">
    <w:p w:rsidR="001D34EE" w:rsidRPr="001172BD" w:rsidRDefault="001D34EE" w:rsidP="001D34EE">
      <w:pPr>
        <w:pStyle w:val="Tekstprzypisudolnego"/>
        <w:rPr>
          <w:rFonts w:asciiTheme="minorHAnsi" w:hAnsiTheme="minorHAnsi"/>
          <w:sz w:val="16"/>
          <w:szCs w:val="16"/>
        </w:rPr>
      </w:pPr>
      <w:r w:rsidRPr="00C32D08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1172BD">
        <w:rPr>
          <w:rFonts w:asciiTheme="minorHAnsi" w:hAnsiTheme="minorHAnsi"/>
          <w:sz w:val="16"/>
          <w:szCs w:val="16"/>
        </w:rPr>
        <w:t xml:space="preserve"> Dokument COM(2020)961 final.</w:t>
      </w:r>
    </w:p>
  </w:footnote>
  <w:footnote w:id="2">
    <w:p w:rsidR="001D34EE" w:rsidRPr="002104AB" w:rsidRDefault="001D34EE" w:rsidP="001D34EE">
      <w:pPr>
        <w:pStyle w:val="Tekstprzypisudolnego"/>
      </w:pPr>
      <w:r w:rsidRPr="00AA3F4A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2104AB">
        <w:t xml:space="preserve"> </w:t>
      </w:r>
      <w:r w:rsidRPr="002104AB">
        <w:rPr>
          <w:rFonts w:asciiTheme="minorHAnsi" w:hAnsiTheme="minorHAnsi"/>
          <w:sz w:val="16"/>
          <w:szCs w:val="16"/>
        </w:rPr>
        <w:t>Dokument COM(2020)960 final z 9.10.2020 r.</w:t>
      </w:r>
    </w:p>
  </w:footnote>
  <w:footnote w:id="3">
    <w:p w:rsidR="001D34EE" w:rsidRPr="001172BD" w:rsidRDefault="001D34EE" w:rsidP="001D34EE">
      <w:pPr>
        <w:pStyle w:val="Tekstprzypisudolnego"/>
        <w:rPr>
          <w:rFonts w:asciiTheme="minorHAnsi" w:hAnsiTheme="minorHAnsi"/>
          <w:sz w:val="16"/>
          <w:szCs w:val="16"/>
        </w:rPr>
      </w:pPr>
      <w:r w:rsidRPr="00C32D08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1172BD">
        <w:rPr>
          <w:rFonts w:asciiTheme="minorHAnsi" w:hAnsiTheme="minorHAnsi"/>
          <w:sz w:val="16"/>
          <w:szCs w:val="16"/>
        </w:rPr>
        <w:t xml:space="preserve"> Dokument COM(2020)962 final.</w:t>
      </w:r>
    </w:p>
  </w:footnote>
  <w:footnote w:id="4">
    <w:p w:rsidR="001D34EE" w:rsidRPr="00747856" w:rsidRDefault="001D34EE" w:rsidP="001D34EE">
      <w:pPr>
        <w:jc w:val="both"/>
        <w:rPr>
          <w:rFonts w:asciiTheme="minorHAnsi" w:hAnsiTheme="minorHAnsi"/>
          <w:sz w:val="16"/>
          <w:szCs w:val="16"/>
        </w:rPr>
      </w:pPr>
      <w:r w:rsidRPr="00C14E9C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C14E9C">
        <w:rPr>
          <w:rFonts w:asciiTheme="minorHAnsi" w:hAnsiTheme="minorHAnsi"/>
          <w:sz w:val="16"/>
          <w:szCs w:val="16"/>
        </w:rPr>
        <w:t xml:space="preserve"> Europejski Fundusz Rozwoju Regionalnego, Europejski Fundusz Społeczny, Fundusz Spójności, Europejski Fundusz Rolny na rzecz Rozwoju Obszarów Wiejskich oraz Europejski Fundusz Morski i Rybacki.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8D163E"/>
    <w:multiLevelType w:val="hybridMultilevel"/>
    <w:tmpl w:val="F528A9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3F12F8"/>
    <w:multiLevelType w:val="hybridMultilevel"/>
    <w:tmpl w:val="EEFCD328"/>
    <w:name w:val="List Dash__1"/>
    <w:lvl w:ilvl="0" w:tplc="FFFFFFFF">
      <w:start w:val="4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  <w:b/>
        <w:i w:val="0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drawingGridHorizontalSpacing w:val="119"/>
  <w:drawingGridVerticalSpacing w:val="357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6AC"/>
    <w:rsid w:val="00053D1A"/>
    <w:rsid w:val="00083653"/>
    <w:rsid w:val="000953C4"/>
    <w:rsid w:val="001172BD"/>
    <w:rsid w:val="00162A7F"/>
    <w:rsid w:val="001D34EE"/>
    <w:rsid w:val="0024125F"/>
    <w:rsid w:val="0036081A"/>
    <w:rsid w:val="00452893"/>
    <w:rsid w:val="00463BC6"/>
    <w:rsid w:val="004B2ED5"/>
    <w:rsid w:val="004C1BE3"/>
    <w:rsid w:val="00530F98"/>
    <w:rsid w:val="0054244F"/>
    <w:rsid w:val="0056788D"/>
    <w:rsid w:val="005B5D33"/>
    <w:rsid w:val="005F4AC4"/>
    <w:rsid w:val="006908D1"/>
    <w:rsid w:val="006A5444"/>
    <w:rsid w:val="006A76AC"/>
    <w:rsid w:val="006B507D"/>
    <w:rsid w:val="0077006F"/>
    <w:rsid w:val="00771F20"/>
    <w:rsid w:val="007E2A83"/>
    <w:rsid w:val="00835D17"/>
    <w:rsid w:val="00845649"/>
    <w:rsid w:val="008634CE"/>
    <w:rsid w:val="00974E1C"/>
    <w:rsid w:val="00991E12"/>
    <w:rsid w:val="009C236D"/>
    <w:rsid w:val="009D36E4"/>
    <w:rsid w:val="00A96655"/>
    <w:rsid w:val="00AA17BB"/>
    <w:rsid w:val="00AF2673"/>
    <w:rsid w:val="00BA7AEE"/>
    <w:rsid w:val="00C308EC"/>
    <w:rsid w:val="00C46861"/>
    <w:rsid w:val="00D35927"/>
    <w:rsid w:val="00D64606"/>
    <w:rsid w:val="00DA486E"/>
    <w:rsid w:val="00E359E8"/>
    <w:rsid w:val="00EA4052"/>
    <w:rsid w:val="00EF4377"/>
    <w:rsid w:val="00F20B6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87F18C71-859D-4E13-9FFB-AB8704C78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7296E"/>
    <w:rPr>
      <w:sz w:val="24"/>
      <w:szCs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03EC"/>
    <w:pPr>
      <w:tabs>
        <w:tab w:val="center" w:pos="4320"/>
        <w:tab w:val="right" w:pos="864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203EC"/>
  </w:style>
  <w:style w:type="paragraph" w:styleId="Stopka">
    <w:name w:val="footer"/>
    <w:basedOn w:val="Normalny"/>
    <w:link w:val="StopkaZnak"/>
    <w:uiPriority w:val="99"/>
    <w:unhideWhenUsed/>
    <w:rsid w:val="00E203EC"/>
    <w:pPr>
      <w:tabs>
        <w:tab w:val="center" w:pos="4320"/>
        <w:tab w:val="right" w:pos="8640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203EC"/>
  </w:style>
  <w:style w:type="paragraph" w:styleId="Tekstdymka">
    <w:name w:val="Balloon Text"/>
    <w:basedOn w:val="Normalny"/>
    <w:link w:val="TekstdymkaZnak"/>
    <w:uiPriority w:val="99"/>
    <w:semiHidden/>
    <w:unhideWhenUsed/>
    <w:rsid w:val="00FF097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097E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F3BAE"/>
    <w:rPr>
      <w:color w:val="0000FF"/>
      <w:u w:val="single"/>
    </w:rPr>
  </w:style>
  <w:style w:type="character" w:customStyle="1" w:styleId="TekstpodstawowyZnak">
    <w:name w:val="Tekst podstawowy Znak"/>
    <w:aliases w:val="bt Znak,b Znak,block style Znak,szaro Znak,Tekst podstawowy Znak Znak Znak Znak Znak Znak Znak Znak Znak,wypunktowanie Znak,b1 Znak,aga Znak,Tekst podstawowyG Znak,Body Text Char Znak,Telo besedila Znak1 Char Znak"/>
    <w:basedOn w:val="Domylnaczcionkaakapitu"/>
    <w:link w:val="Tekstpodstawowy"/>
    <w:locked/>
    <w:rsid w:val="0036081A"/>
    <w:rPr>
      <w:rFonts w:ascii="Times New Roman" w:eastAsia="Times New Roman" w:hAnsi="Times New Roman"/>
      <w:sz w:val="24"/>
    </w:rPr>
  </w:style>
  <w:style w:type="paragraph" w:styleId="Tekstpodstawowy">
    <w:name w:val="Body Text"/>
    <w:aliases w:val="bt,b,block style,szaro,Tekst podstawowy Znak Znak Znak Znak Znak Znak Znak Znak,wypunktowanie,b1,aga,Tekst podstawowyG,Body Text Char,Telo besedila Znak1 Char,Telo besedila Znak Znak Char"/>
    <w:basedOn w:val="Normalny"/>
    <w:link w:val="TekstpodstawowyZnak"/>
    <w:unhideWhenUsed/>
    <w:rsid w:val="0036081A"/>
    <w:pPr>
      <w:jc w:val="both"/>
    </w:pPr>
    <w:rPr>
      <w:rFonts w:ascii="Times New Roman" w:eastAsia="Times New Roman" w:hAnsi="Times New Roman"/>
      <w:szCs w:val="20"/>
      <w:lang w:eastAsia="pl-PL"/>
    </w:rPr>
  </w:style>
  <w:style w:type="character" w:customStyle="1" w:styleId="TekstpodstawowyZnak1">
    <w:name w:val="Tekst podstawowy Znak1"/>
    <w:basedOn w:val="Domylnaczcionkaakapitu"/>
    <w:uiPriority w:val="99"/>
    <w:semiHidden/>
    <w:rsid w:val="0036081A"/>
    <w:rPr>
      <w:sz w:val="24"/>
      <w:szCs w:val="24"/>
      <w:lang w:eastAsia="en-US"/>
    </w:rPr>
  </w:style>
  <w:style w:type="character" w:styleId="Odwoanieprzypisudolnego">
    <w:name w:val="footnote reference"/>
    <w:aliases w:val="Footnote Reference Number,Footnote reference number,Footnote symbol,note TESI,SUPERS,EN Footnote Reference,Footnote number,Times 10 Point,Exposant 3 Point,EN Footnote Refer,BVI fnr,(Footnote Reference),Voetnootverwijzing"/>
    <w:basedOn w:val="Domylnaczcionkaakapitu"/>
    <w:unhideWhenUsed/>
    <w:rsid w:val="00771F20"/>
    <w:rPr>
      <w:vertAlign w:val="superscript"/>
    </w:rPr>
  </w:style>
  <w:style w:type="paragraph" w:customStyle="1" w:styleId="Text1">
    <w:name w:val="Text 1"/>
    <w:basedOn w:val="Normalny"/>
    <w:link w:val="Text1Char"/>
    <w:rsid w:val="005F4AC4"/>
    <w:pPr>
      <w:spacing w:before="120" w:after="120"/>
      <w:ind w:left="850"/>
      <w:jc w:val="both"/>
    </w:pPr>
    <w:rPr>
      <w:rFonts w:ascii="Times New Roman" w:eastAsia="Times New Roman" w:hAnsi="Times New Roman"/>
      <w:lang w:val="en-GB" w:eastAsia="de-DE"/>
    </w:rPr>
  </w:style>
  <w:style w:type="character" w:customStyle="1" w:styleId="Text1Char">
    <w:name w:val="Text 1 Char"/>
    <w:link w:val="Text1"/>
    <w:rsid w:val="005F4AC4"/>
    <w:rPr>
      <w:rFonts w:ascii="Times New Roman" w:eastAsia="Times New Roman" w:hAnsi="Times New Roman"/>
      <w:sz w:val="24"/>
      <w:szCs w:val="24"/>
      <w:lang w:val="en-GB" w:eastAsia="de-DE"/>
    </w:rPr>
  </w:style>
  <w:style w:type="table" w:styleId="Tabela-Siatka">
    <w:name w:val="Table Grid"/>
    <w:basedOn w:val="Standardowy"/>
    <w:uiPriority w:val="39"/>
    <w:rsid w:val="005F4A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5F4AC4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B507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B507D"/>
    <w:rPr>
      <w:lang w:eastAsia="en-US"/>
    </w:rPr>
  </w:style>
  <w:style w:type="paragraph" w:styleId="Akapitzlist">
    <w:name w:val="List Paragraph"/>
    <w:basedOn w:val="Normalny"/>
    <w:uiPriority w:val="72"/>
    <w:qFormat/>
    <w:rsid w:val="001D34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RN\AppData\Local\Temp\mf_p1-1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5A3B57-7280-4FF2-9B5A-20B119463E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mf_p1-1</Template>
  <TotalTime>3</TotalTime>
  <Pages>5</Pages>
  <Words>1311</Words>
  <Characters>7868</Characters>
  <Application>Microsoft Office Word</Application>
  <DocSecurity>0</DocSecurity>
  <Lines>65</Lines>
  <Paragraphs>18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Plan B</Company>
  <LinksUpToDate>false</LinksUpToDate>
  <CharactersWithSpaces>9161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----</dc:creator>
  <cp:lastModifiedBy>Rumowski Bernard</cp:lastModifiedBy>
  <cp:revision>4</cp:revision>
  <dcterms:created xsi:type="dcterms:W3CDTF">2020-10-30T09:56:00Z</dcterms:created>
  <dcterms:modified xsi:type="dcterms:W3CDTF">2020-10-30T10:02:00Z</dcterms:modified>
</cp:coreProperties>
</file>