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2757"/>
      </w:tblGrid>
      <w:tr w:rsidR="00FC32CE" w:rsidRPr="00FC32CE" w14:paraId="295B2C10" w14:textId="77777777" w:rsidTr="00F843E9">
        <w:trPr>
          <w:trHeight w:val="697"/>
        </w:trPr>
        <w:tc>
          <w:tcPr>
            <w:tcW w:w="2552" w:type="dxa"/>
            <w:shd w:val="clear" w:color="auto" w:fill="FFE599" w:themeFill="accent4" w:themeFillTint="66"/>
            <w:vAlign w:val="center"/>
          </w:tcPr>
          <w:p w14:paraId="6A6CA140" w14:textId="77777777" w:rsidR="00633223" w:rsidRPr="00FC32CE" w:rsidRDefault="00633223" w:rsidP="002355A3">
            <w:pPr>
              <w:spacing w:after="0" w:line="240" w:lineRule="auto"/>
              <w:jc w:val="both"/>
              <w:rPr>
                <w:rFonts w:asciiTheme="minorHAnsi" w:hAnsiTheme="minorHAnsi" w:cstheme="minorHAnsi"/>
                <w:b/>
              </w:rPr>
            </w:pPr>
            <w:r w:rsidRPr="00FC32CE">
              <w:rPr>
                <w:rFonts w:asciiTheme="minorHAnsi" w:hAnsiTheme="minorHAnsi" w:cstheme="minorHAnsi"/>
                <w:b/>
              </w:rPr>
              <w:t xml:space="preserve">Tytuł dokumentu </w:t>
            </w:r>
          </w:p>
        </w:tc>
        <w:tc>
          <w:tcPr>
            <w:tcW w:w="12757" w:type="dxa"/>
            <w:shd w:val="clear" w:color="auto" w:fill="FFE599" w:themeFill="accent4" w:themeFillTint="66"/>
            <w:vAlign w:val="center"/>
          </w:tcPr>
          <w:p w14:paraId="6472F62E" w14:textId="2C552598" w:rsidR="00633223" w:rsidRPr="00FC32CE" w:rsidRDefault="00F843E9" w:rsidP="00F843E9">
            <w:pPr>
              <w:spacing w:after="0" w:line="240" w:lineRule="auto"/>
              <w:jc w:val="center"/>
              <w:rPr>
                <w:rFonts w:asciiTheme="minorHAnsi" w:hAnsiTheme="minorHAnsi" w:cstheme="minorHAnsi"/>
                <w:b/>
                <w:i/>
                <w:sz w:val="24"/>
                <w:szCs w:val="24"/>
              </w:rPr>
            </w:pPr>
            <w:r w:rsidRPr="00FC32CE">
              <w:rPr>
                <w:rFonts w:asciiTheme="minorHAnsi" w:hAnsiTheme="minorHAnsi" w:cstheme="minorHAnsi"/>
                <w:b/>
                <w:iCs/>
                <w:sz w:val="24"/>
                <w:szCs w:val="24"/>
                <w:lang w:eastAsia="pl-PL"/>
              </w:rPr>
              <w:t xml:space="preserve">Projekt </w:t>
            </w:r>
            <w:r w:rsidR="007858E0" w:rsidRPr="00FC32CE">
              <w:rPr>
                <w:rFonts w:asciiTheme="minorHAnsi" w:hAnsiTheme="minorHAnsi" w:cstheme="minorHAnsi"/>
                <w:b/>
                <w:iCs/>
                <w:sz w:val="24"/>
                <w:szCs w:val="24"/>
                <w:lang w:eastAsia="pl-PL"/>
              </w:rPr>
              <w:t>Program</w:t>
            </w:r>
            <w:r w:rsidRPr="00FC32CE">
              <w:rPr>
                <w:rFonts w:asciiTheme="minorHAnsi" w:hAnsiTheme="minorHAnsi" w:cstheme="minorHAnsi"/>
                <w:b/>
                <w:iCs/>
                <w:sz w:val="24"/>
                <w:szCs w:val="24"/>
                <w:lang w:eastAsia="pl-PL"/>
              </w:rPr>
              <w:t>u</w:t>
            </w:r>
            <w:r w:rsidR="007858E0" w:rsidRPr="00FC32CE">
              <w:rPr>
                <w:rFonts w:asciiTheme="minorHAnsi" w:hAnsiTheme="minorHAnsi" w:cstheme="minorHAnsi"/>
                <w:b/>
                <w:iCs/>
                <w:sz w:val="24"/>
                <w:szCs w:val="24"/>
                <w:lang w:eastAsia="pl-PL"/>
              </w:rPr>
              <w:t>:</w:t>
            </w:r>
            <w:r w:rsidR="007858E0" w:rsidRPr="00FC32CE">
              <w:rPr>
                <w:rFonts w:asciiTheme="minorHAnsi" w:hAnsiTheme="minorHAnsi" w:cstheme="minorHAnsi"/>
                <w:b/>
                <w:sz w:val="24"/>
                <w:szCs w:val="24"/>
                <w:lang w:eastAsia="pl-PL"/>
              </w:rPr>
              <w:t xml:space="preserve"> </w:t>
            </w:r>
            <w:r w:rsidR="006E4349" w:rsidRPr="00FC32CE">
              <w:rPr>
                <w:rFonts w:asciiTheme="minorHAnsi" w:hAnsiTheme="minorHAnsi" w:cstheme="minorHAnsi"/>
                <w:b/>
                <w:iCs/>
                <w:sz w:val="24"/>
                <w:szCs w:val="24"/>
                <w:lang w:eastAsia="pl-PL"/>
              </w:rPr>
              <w:t>Wsparcie budowy i/lub rozbudowy ogólnodostępnej stacji ładowania  dla transportu ciężkiego</w:t>
            </w:r>
          </w:p>
        </w:tc>
      </w:tr>
    </w:tbl>
    <w:p w14:paraId="42A5B70F" w14:textId="3F13635A" w:rsidR="00633223" w:rsidRPr="00FC32CE" w:rsidRDefault="00633223" w:rsidP="002355A3">
      <w:pPr>
        <w:spacing w:after="0" w:line="240" w:lineRule="auto"/>
        <w:jc w:val="both"/>
        <w:rPr>
          <w:rFonts w:asciiTheme="minorHAnsi" w:hAnsiTheme="minorHAnsi" w:cstheme="minorHAnsi"/>
        </w:rPr>
      </w:pPr>
    </w:p>
    <w:p w14:paraId="65D74F8E" w14:textId="2E805EC7" w:rsidR="00633223" w:rsidRPr="005552B5" w:rsidRDefault="00445ED4" w:rsidP="002355A3">
      <w:pPr>
        <w:spacing w:after="0" w:line="240" w:lineRule="auto"/>
        <w:jc w:val="both"/>
        <w:rPr>
          <w:rFonts w:asciiTheme="minorHAnsi" w:hAnsiTheme="minorHAnsi" w:cstheme="minorHAnsi"/>
          <w:b/>
          <w:i/>
          <w:sz w:val="20"/>
          <w:szCs w:val="20"/>
        </w:rPr>
      </w:pPr>
      <w:r w:rsidRPr="005552B5">
        <w:rPr>
          <w:rFonts w:asciiTheme="minorHAnsi" w:hAnsiTheme="minorHAnsi" w:cstheme="minorHAnsi"/>
          <w:b/>
          <w:sz w:val="20"/>
          <w:szCs w:val="20"/>
        </w:rPr>
        <w:t>Uwagi: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462"/>
        <w:gridCol w:w="1925"/>
        <w:gridCol w:w="2770"/>
        <w:gridCol w:w="3486"/>
        <w:gridCol w:w="3486"/>
        <w:gridCol w:w="3253"/>
      </w:tblGrid>
      <w:tr w:rsidR="00FC32CE" w:rsidRPr="005552B5" w14:paraId="71274C68" w14:textId="0B6FC446" w:rsidTr="00F301CE">
        <w:tc>
          <w:tcPr>
            <w:tcW w:w="0" w:type="auto"/>
            <w:shd w:val="clear" w:color="auto" w:fill="9CC2E5" w:themeFill="accent5" w:themeFillTint="99"/>
            <w:vAlign w:val="center"/>
          </w:tcPr>
          <w:p w14:paraId="42622C2F" w14:textId="77777777" w:rsidR="006E4349" w:rsidRPr="005552B5" w:rsidRDefault="006E4349"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Lp.</w:t>
            </w:r>
          </w:p>
        </w:tc>
        <w:tc>
          <w:tcPr>
            <w:tcW w:w="1925" w:type="dxa"/>
            <w:shd w:val="clear" w:color="auto" w:fill="9CC2E5" w:themeFill="accent5" w:themeFillTint="99"/>
            <w:vAlign w:val="center"/>
          </w:tcPr>
          <w:p w14:paraId="08501126" w14:textId="77777777" w:rsidR="000C326C" w:rsidRPr="005552B5" w:rsidRDefault="000C326C" w:rsidP="002355A3">
            <w:pPr>
              <w:spacing w:after="0" w:line="240" w:lineRule="auto"/>
              <w:jc w:val="both"/>
              <w:rPr>
                <w:rFonts w:asciiTheme="minorHAnsi" w:hAnsiTheme="minorHAnsi" w:cstheme="minorHAnsi"/>
                <w:b/>
                <w:sz w:val="20"/>
                <w:szCs w:val="20"/>
              </w:rPr>
            </w:pPr>
          </w:p>
          <w:p w14:paraId="7A1BB74A" w14:textId="77777777" w:rsidR="000C326C" w:rsidRPr="005552B5" w:rsidRDefault="006E4349"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Nazwa podmiotu zgłaszającego</w:t>
            </w:r>
          </w:p>
          <w:p w14:paraId="4B45D7D9" w14:textId="14396D1D" w:rsidR="006E4349" w:rsidRPr="005552B5" w:rsidRDefault="006E4349"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 xml:space="preserve"> </w:t>
            </w:r>
          </w:p>
        </w:tc>
        <w:tc>
          <w:tcPr>
            <w:tcW w:w="2770" w:type="dxa"/>
            <w:shd w:val="clear" w:color="auto" w:fill="9CC2E5" w:themeFill="accent5" w:themeFillTint="99"/>
            <w:vAlign w:val="center"/>
          </w:tcPr>
          <w:p w14:paraId="51767254" w14:textId="4C0288F5" w:rsidR="006E4349" w:rsidRPr="005552B5" w:rsidRDefault="006E4349"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Obecne zapisy PP</w:t>
            </w:r>
          </w:p>
        </w:tc>
        <w:tc>
          <w:tcPr>
            <w:tcW w:w="3486" w:type="dxa"/>
            <w:shd w:val="clear" w:color="auto" w:fill="9CC2E5" w:themeFill="accent5" w:themeFillTint="99"/>
            <w:vAlign w:val="center"/>
          </w:tcPr>
          <w:p w14:paraId="300D87A3" w14:textId="66B58A2B" w:rsidR="006E4349" w:rsidRPr="005552B5" w:rsidRDefault="006E4349"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Proponowane zmiany</w:t>
            </w:r>
          </w:p>
        </w:tc>
        <w:tc>
          <w:tcPr>
            <w:tcW w:w="3486" w:type="dxa"/>
            <w:shd w:val="clear" w:color="auto" w:fill="9CC2E5" w:themeFill="accent5" w:themeFillTint="99"/>
            <w:vAlign w:val="center"/>
          </w:tcPr>
          <w:p w14:paraId="12194817" w14:textId="3A047E49" w:rsidR="006E4349" w:rsidRPr="005552B5" w:rsidRDefault="006E4349"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Uzasadnienie zmian</w:t>
            </w:r>
          </w:p>
        </w:tc>
        <w:tc>
          <w:tcPr>
            <w:tcW w:w="3253" w:type="dxa"/>
            <w:shd w:val="clear" w:color="auto" w:fill="9CC2E5" w:themeFill="accent5" w:themeFillTint="99"/>
            <w:vAlign w:val="center"/>
          </w:tcPr>
          <w:p w14:paraId="0D9E138C" w14:textId="0124BC44" w:rsidR="006E4349" w:rsidRPr="005552B5" w:rsidRDefault="006E4349"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KOMENTARZ</w:t>
            </w:r>
          </w:p>
          <w:p w14:paraId="59C96355" w14:textId="0460AA78" w:rsidR="006E4349" w:rsidRPr="005552B5" w:rsidRDefault="006E4349"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NFOŚiGW</w:t>
            </w:r>
          </w:p>
        </w:tc>
      </w:tr>
      <w:tr w:rsidR="00FC32CE" w:rsidRPr="005552B5" w14:paraId="2C137A04" w14:textId="1DF48CAC" w:rsidTr="00F301CE">
        <w:tc>
          <w:tcPr>
            <w:tcW w:w="0" w:type="auto"/>
            <w:vAlign w:val="center"/>
          </w:tcPr>
          <w:p w14:paraId="7ABE27E5" w14:textId="274DA61C" w:rsidR="006E4349" w:rsidRPr="005552B5" w:rsidRDefault="006E4349" w:rsidP="002355A3">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1</w:t>
            </w:r>
          </w:p>
        </w:tc>
        <w:tc>
          <w:tcPr>
            <w:tcW w:w="1925" w:type="dxa"/>
          </w:tcPr>
          <w:p w14:paraId="70C400B3" w14:textId="77777777" w:rsidR="00034475" w:rsidRPr="005552B5" w:rsidRDefault="00034475" w:rsidP="002355A3">
            <w:pPr>
              <w:spacing w:after="0" w:line="240" w:lineRule="auto"/>
              <w:jc w:val="both"/>
              <w:rPr>
                <w:rFonts w:asciiTheme="minorHAnsi" w:hAnsiTheme="minorHAnsi" w:cstheme="minorHAnsi"/>
                <w:b/>
                <w:sz w:val="20"/>
                <w:szCs w:val="20"/>
              </w:rPr>
            </w:pPr>
          </w:p>
          <w:p w14:paraId="6C0D88C1" w14:textId="57738B09" w:rsidR="006E4349" w:rsidRPr="005552B5" w:rsidRDefault="002355A3"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Ministerstwo Finansów</w:t>
            </w:r>
          </w:p>
        </w:tc>
        <w:tc>
          <w:tcPr>
            <w:tcW w:w="2770" w:type="dxa"/>
            <w:vAlign w:val="center"/>
          </w:tcPr>
          <w:p w14:paraId="5E444B06" w14:textId="6A4F555C" w:rsidR="006E4349" w:rsidRPr="005552B5" w:rsidRDefault="006E4349" w:rsidP="002355A3">
            <w:pPr>
              <w:autoSpaceDE w:val="0"/>
              <w:autoSpaceDN w:val="0"/>
              <w:adjustRightInd w:val="0"/>
              <w:spacing w:after="0" w:line="240" w:lineRule="auto"/>
              <w:jc w:val="both"/>
              <w:rPr>
                <w:rFonts w:asciiTheme="minorHAnsi" w:hAnsiTheme="minorHAnsi" w:cstheme="minorHAnsi"/>
                <w:sz w:val="20"/>
                <w:szCs w:val="20"/>
                <w:lang w:eastAsia="pl-PL"/>
              </w:rPr>
            </w:pPr>
          </w:p>
        </w:tc>
        <w:tc>
          <w:tcPr>
            <w:tcW w:w="3486" w:type="dxa"/>
            <w:vAlign w:val="center"/>
          </w:tcPr>
          <w:p w14:paraId="5F1122E6" w14:textId="2853B9A4" w:rsidR="006E4349" w:rsidRPr="005552B5" w:rsidRDefault="006E4349" w:rsidP="002355A3">
            <w:pPr>
              <w:pStyle w:val="Default"/>
              <w:jc w:val="both"/>
              <w:rPr>
                <w:rFonts w:asciiTheme="minorHAnsi" w:hAnsiTheme="minorHAnsi" w:cstheme="minorHAnsi"/>
                <w:color w:val="auto"/>
                <w:sz w:val="20"/>
                <w:szCs w:val="20"/>
              </w:rPr>
            </w:pPr>
          </w:p>
        </w:tc>
        <w:tc>
          <w:tcPr>
            <w:tcW w:w="3486" w:type="dxa"/>
            <w:vAlign w:val="center"/>
          </w:tcPr>
          <w:p w14:paraId="2F74BA15" w14:textId="335DE496" w:rsidR="006E4349" w:rsidRPr="005552B5" w:rsidRDefault="002355A3" w:rsidP="002355A3">
            <w:pPr>
              <w:spacing w:after="0" w:line="240" w:lineRule="auto"/>
              <w:jc w:val="both"/>
              <w:rPr>
                <w:rFonts w:asciiTheme="minorHAnsi" w:eastAsia="Calibri" w:hAnsiTheme="minorHAnsi" w:cstheme="minorHAnsi"/>
                <w:sz w:val="20"/>
                <w:szCs w:val="20"/>
              </w:rPr>
            </w:pPr>
            <w:r w:rsidRPr="005552B5">
              <w:rPr>
                <w:rFonts w:asciiTheme="minorHAnsi" w:eastAsia="Calibri" w:hAnsiTheme="minorHAnsi" w:cstheme="minorHAnsi"/>
                <w:sz w:val="20"/>
                <w:szCs w:val="20"/>
              </w:rPr>
              <w:t>Należałoby rozważyć wymóg dłuższego okresu trwałości projektu, wobec natury urządzeń i ich kluczowej roli w elektryfikacji transportu (zwłaszcza w sieci TEN</w:t>
            </w:r>
            <w:r w:rsidRPr="005552B5">
              <w:rPr>
                <w:rFonts w:asciiTheme="minorHAnsi" w:eastAsia="Calibri" w:hAnsiTheme="minorHAnsi" w:cstheme="minorHAnsi"/>
                <w:sz w:val="20"/>
                <w:szCs w:val="20"/>
              </w:rPr>
              <w:noBreakHyphen/>
              <w:t>T).</w:t>
            </w:r>
          </w:p>
        </w:tc>
        <w:tc>
          <w:tcPr>
            <w:tcW w:w="3253" w:type="dxa"/>
          </w:tcPr>
          <w:p w14:paraId="78849615" w14:textId="59D7472D" w:rsidR="002355A3" w:rsidRPr="005552B5" w:rsidRDefault="002355A3" w:rsidP="002355A3">
            <w:pPr>
              <w:spacing w:after="0" w:line="240" w:lineRule="auto"/>
              <w:jc w:val="both"/>
              <w:rPr>
                <w:rFonts w:asciiTheme="minorHAnsi" w:hAnsiTheme="minorHAnsi" w:cstheme="minorHAnsi"/>
                <w:sz w:val="20"/>
                <w:szCs w:val="20"/>
                <w:highlight w:val="green"/>
              </w:rPr>
            </w:pPr>
            <w:r w:rsidRPr="005552B5">
              <w:rPr>
                <w:rFonts w:asciiTheme="minorHAnsi" w:hAnsiTheme="minorHAnsi" w:cstheme="minorHAnsi"/>
                <w:sz w:val="20"/>
                <w:szCs w:val="20"/>
              </w:rPr>
              <w:t>Uwaga nie została uwzględniona. Pojawiały się różne sugestie – również te dotycząca znacznego skrócenia okresu trwałości inwestycji</w:t>
            </w:r>
            <w:r w:rsidR="00500431" w:rsidRPr="005552B5">
              <w:rPr>
                <w:rFonts w:asciiTheme="minorHAnsi" w:hAnsiTheme="minorHAnsi" w:cstheme="minorHAnsi"/>
                <w:sz w:val="20"/>
                <w:szCs w:val="20"/>
              </w:rPr>
              <w:t>-</w:t>
            </w:r>
            <w:r w:rsidRPr="005552B5">
              <w:rPr>
                <w:rFonts w:asciiTheme="minorHAnsi" w:hAnsiTheme="minorHAnsi" w:cstheme="minorHAnsi"/>
                <w:sz w:val="20"/>
                <w:szCs w:val="20"/>
              </w:rPr>
              <w:t xml:space="preserve"> np. do jednego roku. Pozostaje zapis 5 lat.</w:t>
            </w:r>
          </w:p>
          <w:p w14:paraId="49C55F53" w14:textId="24D0C790" w:rsidR="006E4349" w:rsidRPr="005552B5" w:rsidRDefault="006E4349" w:rsidP="002355A3">
            <w:pPr>
              <w:spacing w:after="0" w:line="240" w:lineRule="auto"/>
              <w:jc w:val="both"/>
              <w:rPr>
                <w:rFonts w:asciiTheme="minorHAnsi" w:hAnsiTheme="minorHAnsi" w:cstheme="minorHAnsi"/>
                <w:sz w:val="20"/>
                <w:szCs w:val="20"/>
              </w:rPr>
            </w:pPr>
          </w:p>
        </w:tc>
      </w:tr>
      <w:tr w:rsidR="00FC32CE" w:rsidRPr="005552B5" w14:paraId="0B6722F2" w14:textId="33E6DFE0" w:rsidTr="00F301CE">
        <w:tc>
          <w:tcPr>
            <w:tcW w:w="0" w:type="auto"/>
            <w:vAlign w:val="center"/>
          </w:tcPr>
          <w:p w14:paraId="564D93B7" w14:textId="4461D101" w:rsidR="006E4349" w:rsidRPr="005552B5" w:rsidRDefault="006E4349" w:rsidP="002355A3">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2</w:t>
            </w:r>
          </w:p>
        </w:tc>
        <w:tc>
          <w:tcPr>
            <w:tcW w:w="1925" w:type="dxa"/>
          </w:tcPr>
          <w:p w14:paraId="014791E6" w14:textId="77777777" w:rsidR="00F843E9" w:rsidRPr="005552B5" w:rsidRDefault="00F843E9" w:rsidP="002355A3">
            <w:pPr>
              <w:spacing w:after="0" w:line="240" w:lineRule="auto"/>
              <w:jc w:val="both"/>
              <w:rPr>
                <w:rFonts w:asciiTheme="minorHAnsi" w:hAnsiTheme="minorHAnsi" w:cstheme="minorHAnsi"/>
                <w:b/>
                <w:sz w:val="20"/>
                <w:szCs w:val="20"/>
              </w:rPr>
            </w:pPr>
          </w:p>
          <w:p w14:paraId="5DCADD89" w14:textId="77777777" w:rsidR="00F843E9" w:rsidRPr="005552B5" w:rsidRDefault="00F843E9" w:rsidP="002355A3">
            <w:pPr>
              <w:spacing w:after="0" w:line="240" w:lineRule="auto"/>
              <w:jc w:val="both"/>
              <w:rPr>
                <w:rFonts w:asciiTheme="minorHAnsi" w:hAnsiTheme="minorHAnsi" w:cstheme="minorHAnsi"/>
                <w:b/>
                <w:sz w:val="20"/>
                <w:szCs w:val="20"/>
              </w:rPr>
            </w:pPr>
          </w:p>
          <w:p w14:paraId="5A0784A3" w14:textId="77777777" w:rsidR="00F843E9" w:rsidRPr="005552B5" w:rsidRDefault="00F843E9" w:rsidP="002355A3">
            <w:pPr>
              <w:spacing w:after="0" w:line="240" w:lineRule="auto"/>
              <w:jc w:val="both"/>
              <w:rPr>
                <w:rFonts w:asciiTheme="minorHAnsi" w:hAnsiTheme="minorHAnsi" w:cstheme="minorHAnsi"/>
                <w:b/>
                <w:sz w:val="20"/>
                <w:szCs w:val="20"/>
              </w:rPr>
            </w:pPr>
          </w:p>
          <w:p w14:paraId="5F18F332" w14:textId="77777777" w:rsidR="00F843E9" w:rsidRPr="005552B5" w:rsidRDefault="00F843E9" w:rsidP="002355A3">
            <w:pPr>
              <w:spacing w:after="0" w:line="240" w:lineRule="auto"/>
              <w:jc w:val="both"/>
              <w:rPr>
                <w:rFonts w:asciiTheme="minorHAnsi" w:hAnsiTheme="minorHAnsi" w:cstheme="minorHAnsi"/>
                <w:b/>
                <w:sz w:val="20"/>
                <w:szCs w:val="20"/>
              </w:rPr>
            </w:pPr>
          </w:p>
          <w:p w14:paraId="7928B136" w14:textId="41DD3A78" w:rsidR="006E4349" w:rsidRPr="005552B5" w:rsidRDefault="004C00E7"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Ministerstwo Infrastruktury</w:t>
            </w:r>
          </w:p>
        </w:tc>
        <w:tc>
          <w:tcPr>
            <w:tcW w:w="2770" w:type="dxa"/>
            <w:vAlign w:val="center"/>
          </w:tcPr>
          <w:p w14:paraId="4F35AEB8" w14:textId="110CE76F" w:rsidR="006E4349" w:rsidRPr="005552B5" w:rsidRDefault="00E22EE8"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Celem programu jest wsparcie rozwoju infrastruktury do ładownia dla zeroemisyjnych pojazdów ciężarowych, zlokalizowanych przy trasach sieci </w:t>
            </w:r>
            <w:r w:rsidRPr="005552B5">
              <w:rPr>
                <w:rFonts w:asciiTheme="minorHAnsi" w:hAnsiTheme="minorHAnsi" w:cstheme="minorHAnsi"/>
                <w:b/>
                <w:sz w:val="20"/>
                <w:szCs w:val="20"/>
              </w:rPr>
              <w:t xml:space="preserve">bazowej </w:t>
            </w:r>
            <w:r w:rsidRPr="005552B5">
              <w:rPr>
                <w:rFonts w:asciiTheme="minorHAnsi" w:hAnsiTheme="minorHAnsi" w:cstheme="minorHAnsi"/>
                <w:sz w:val="20"/>
                <w:szCs w:val="20"/>
              </w:rPr>
              <w:t xml:space="preserve">TEN-T , centrach logistycznych oraz terminalach intermodalnych, aby zmniejszyć liczbę pojazdów emitujących CO2 i </w:t>
            </w:r>
            <w:proofErr w:type="spellStart"/>
            <w:r w:rsidRPr="005552B5">
              <w:rPr>
                <w:rFonts w:asciiTheme="minorHAnsi" w:hAnsiTheme="minorHAnsi" w:cstheme="minorHAnsi"/>
                <w:sz w:val="20"/>
                <w:szCs w:val="20"/>
              </w:rPr>
              <w:t>NOx</w:t>
            </w:r>
            <w:proofErr w:type="spellEnd"/>
            <w:r w:rsidRPr="005552B5">
              <w:rPr>
                <w:rFonts w:asciiTheme="minorHAnsi" w:hAnsiTheme="minorHAnsi" w:cstheme="minorHAnsi"/>
                <w:sz w:val="20"/>
                <w:szCs w:val="20"/>
              </w:rPr>
              <w:t>, a tym samym poprawić jakość powietrza.</w:t>
            </w:r>
          </w:p>
        </w:tc>
        <w:tc>
          <w:tcPr>
            <w:tcW w:w="3486" w:type="dxa"/>
            <w:vAlign w:val="center"/>
          </w:tcPr>
          <w:p w14:paraId="0950C376" w14:textId="77777777" w:rsidR="00E22EE8" w:rsidRPr="005552B5" w:rsidRDefault="00E22EE8"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Proponujemy </w:t>
            </w:r>
            <w:r w:rsidRPr="005552B5">
              <w:rPr>
                <w:rFonts w:asciiTheme="minorHAnsi" w:hAnsiTheme="minorHAnsi" w:cstheme="minorHAnsi"/>
                <w:b/>
                <w:sz w:val="20"/>
                <w:szCs w:val="20"/>
              </w:rPr>
              <w:t>wykreślenie słowa „bazowej” i dopisanie węzłów miejskich</w:t>
            </w:r>
            <w:r w:rsidRPr="005552B5">
              <w:rPr>
                <w:rFonts w:asciiTheme="minorHAnsi" w:hAnsiTheme="minorHAnsi" w:cstheme="minorHAnsi"/>
                <w:sz w:val="20"/>
                <w:szCs w:val="20"/>
              </w:rPr>
              <w:t xml:space="preserve"> i zastąpienie zdaniem:</w:t>
            </w:r>
          </w:p>
          <w:p w14:paraId="7A673226" w14:textId="77777777" w:rsidR="00E22EE8" w:rsidRPr="005552B5" w:rsidRDefault="00E22EE8"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Celem programu jest wsparcie rozwoju infrastruktury do ładownia dla zeroemisyjnych pojazdów ciężarowych, zlokalizowanych przy trasach sieci TEN-T</w:t>
            </w:r>
            <w:r w:rsidRPr="005552B5">
              <w:rPr>
                <w:rFonts w:asciiTheme="minorHAnsi" w:hAnsiTheme="minorHAnsi" w:cstheme="minorHAnsi"/>
                <w:sz w:val="20"/>
                <w:szCs w:val="20"/>
                <w:vertAlign w:val="superscript"/>
              </w:rPr>
              <w:footnoteReference w:id="2"/>
            </w:r>
            <w:r w:rsidRPr="005552B5">
              <w:rPr>
                <w:rFonts w:asciiTheme="minorHAnsi" w:hAnsiTheme="minorHAnsi" w:cstheme="minorHAnsi"/>
                <w:sz w:val="20"/>
                <w:szCs w:val="20"/>
              </w:rPr>
              <w:t xml:space="preserve">, centrach logistycznych, terminalach intermodalnych </w:t>
            </w:r>
            <w:r w:rsidRPr="005552B5">
              <w:rPr>
                <w:rFonts w:asciiTheme="minorHAnsi" w:hAnsiTheme="minorHAnsi" w:cstheme="minorHAnsi"/>
                <w:b/>
                <w:sz w:val="20"/>
                <w:szCs w:val="20"/>
              </w:rPr>
              <w:t>oraz węzłach miejskich</w:t>
            </w:r>
            <w:r w:rsidRPr="005552B5">
              <w:rPr>
                <w:rFonts w:asciiTheme="minorHAnsi" w:hAnsiTheme="minorHAnsi" w:cstheme="minorHAnsi"/>
                <w:sz w:val="20"/>
                <w:szCs w:val="20"/>
              </w:rPr>
              <w:t>, aby zmniejszyć liczbę pojazdów emitujących CO</w:t>
            </w:r>
            <w:r w:rsidRPr="005552B5">
              <w:rPr>
                <w:rFonts w:asciiTheme="minorHAnsi" w:hAnsiTheme="minorHAnsi" w:cstheme="minorHAnsi"/>
                <w:sz w:val="20"/>
                <w:szCs w:val="20"/>
                <w:vertAlign w:val="subscript"/>
              </w:rPr>
              <w:t>2</w:t>
            </w:r>
            <w:r w:rsidRPr="005552B5">
              <w:rPr>
                <w:rFonts w:asciiTheme="minorHAnsi" w:hAnsiTheme="minorHAnsi" w:cstheme="minorHAnsi"/>
                <w:sz w:val="20"/>
                <w:szCs w:val="20"/>
              </w:rPr>
              <w:t xml:space="preserve"> i </w:t>
            </w:r>
            <w:proofErr w:type="spellStart"/>
            <w:r w:rsidRPr="005552B5">
              <w:rPr>
                <w:rFonts w:asciiTheme="minorHAnsi" w:hAnsiTheme="minorHAnsi" w:cstheme="minorHAnsi"/>
                <w:sz w:val="20"/>
                <w:szCs w:val="20"/>
              </w:rPr>
              <w:t>NOx</w:t>
            </w:r>
            <w:proofErr w:type="spellEnd"/>
            <w:r w:rsidRPr="005552B5">
              <w:rPr>
                <w:rFonts w:asciiTheme="minorHAnsi" w:hAnsiTheme="minorHAnsi" w:cstheme="minorHAnsi"/>
                <w:sz w:val="20"/>
                <w:szCs w:val="20"/>
              </w:rPr>
              <w:t xml:space="preserve">, a tym samym poprawić jakość powietrza. </w:t>
            </w:r>
          </w:p>
          <w:p w14:paraId="4266D976" w14:textId="50654BF9" w:rsidR="006E4349" w:rsidRPr="005552B5" w:rsidRDefault="006E4349" w:rsidP="002355A3">
            <w:pPr>
              <w:spacing w:after="0" w:line="240" w:lineRule="auto"/>
              <w:jc w:val="both"/>
              <w:rPr>
                <w:rFonts w:asciiTheme="minorHAnsi" w:hAnsiTheme="minorHAnsi" w:cstheme="minorHAnsi"/>
                <w:sz w:val="20"/>
                <w:szCs w:val="20"/>
              </w:rPr>
            </w:pPr>
          </w:p>
        </w:tc>
        <w:tc>
          <w:tcPr>
            <w:tcW w:w="3486" w:type="dxa"/>
            <w:vAlign w:val="center"/>
          </w:tcPr>
          <w:p w14:paraId="31C53E79" w14:textId="77777777" w:rsidR="00E22EE8" w:rsidRPr="005552B5" w:rsidRDefault="00E22EE8" w:rsidP="002355A3">
            <w:pPr>
              <w:pStyle w:val="Akapitzlist"/>
              <w:ind w:left="0"/>
              <w:jc w:val="both"/>
              <w:rPr>
                <w:rFonts w:asciiTheme="minorHAnsi" w:hAnsiTheme="minorHAnsi" w:cstheme="minorHAnsi"/>
                <w:sz w:val="20"/>
                <w:szCs w:val="20"/>
              </w:rPr>
            </w:pPr>
            <w:r w:rsidRPr="005552B5">
              <w:rPr>
                <w:rFonts w:asciiTheme="minorHAnsi" w:hAnsiTheme="minorHAnsi" w:cstheme="minorHAnsi"/>
                <w:sz w:val="20"/>
                <w:szCs w:val="20"/>
              </w:rPr>
              <w:t>Cele AFIR dla HDV w perspektywie 2025, 2027 i 2030 roku dotyczą całej sieci TEN-T – nie tylko sieci bazowej. Cel pośredni na 2027 rok mówi o 50% całej sieci TEN-T, a więc w przypadku Polski mówimy o całej istniejącej (już wybudowanej lub w tym momencie będącej w budowie w standardzie A lub S) sieci TEN-T zarówno bazowej jak i kompleksowej. Warto podkreślić, że tylko na takich odcinkach są MOP i inwestycje bezpośrednio na sieci TEN-T lub jej bezpośrednim sąsiedztwie nie będą stracone (i będą jednocześnie gwarantować spełnienie przez PL wymogów AFIR).</w:t>
            </w:r>
          </w:p>
          <w:p w14:paraId="7EB14C05" w14:textId="76FA665F" w:rsidR="006E4349" w:rsidRPr="005552B5" w:rsidRDefault="00E22EE8"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Zgodnie z AFIR cele HDV są wyznaczone również dla węzłów miejskich (do 2025 r. o mocy 900 kW, a do 2030 r. 1800 kW).</w:t>
            </w:r>
          </w:p>
        </w:tc>
        <w:tc>
          <w:tcPr>
            <w:tcW w:w="3253" w:type="dxa"/>
          </w:tcPr>
          <w:p w14:paraId="30BF42D2" w14:textId="77777777" w:rsidR="007254EF" w:rsidRPr="005552B5" w:rsidRDefault="007254EF"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44FD4E04" w14:textId="77777777" w:rsidR="007254EF" w:rsidRPr="005552B5" w:rsidRDefault="007254EF" w:rsidP="002355A3">
            <w:pPr>
              <w:spacing w:after="0" w:line="240" w:lineRule="auto"/>
              <w:jc w:val="both"/>
              <w:rPr>
                <w:rFonts w:asciiTheme="minorHAnsi" w:hAnsiTheme="minorHAnsi" w:cstheme="minorHAnsi"/>
                <w:sz w:val="20"/>
                <w:szCs w:val="20"/>
              </w:rPr>
            </w:pPr>
          </w:p>
          <w:p w14:paraId="4D03B9BD" w14:textId="77777777" w:rsidR="007254EF" w:rsidRPr="005552B5" w:rsidRDefault="007254EF" w:rsidP="002355A3">
            <w:pPr>
              <w:spacing w:after="0" w:line="240" w:lineRule="auto"/>
              <w:jc w:val="both"/>
              <w:rPr>
                <w:rFonts w:asciiTheme="minorHAnsi" w:hAnsiTheme="minorHAnsi" w:cstheme="minorHAnsi"/>
                <w:sz w:val="20"/>
                <w:szCs w:val="20"/>
              </w:rPr>
            </w:pPr>
          </w:p>
          <w:p w14:paraId="3B275D5B" w14:textId="30E62ED7" w:rsidR="006E4349" w:rsidRPr="005552B5" w:rsidRDefault="007254EF" w:rsidP="00F843E9">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Program dedykowany wsparciu rozwoju</w:t>
            </w:r>
            <w:r w:rsidR="004A68A0" w:rsidRPr="005552B5">
              <w:rPr>
                <w:rFonts w:asciiTheme="minorHAnsi" w:hAnsiTheme="minorHAnsi" w:cstheme="minorHAnsi"/>
                <w:sz w:val="20"/>
                <w:szCs w:val="20"/>
              </w:rPr>
              <w:t xml:space="preserve"> stacji ładowania</w:t>
            </w:r>
            <w:r w:rsidRPr="005552B5">
              <w:rPr>
                <w:rFonts w:asciiTheme="minorHAnsi" w:hAnsiTheme="minorHAnsi" w:cstheme="minorHAnsi"/>
                <w:sz w:val="20"/>
                <w:szCs w:val="20"/>
              </w:rPr>
              <w:t xml:space="preserve"> przy trasach sieci bazowej TEN-T , centrach logistycznych</w:t>
            </w:r>
            <w:r w:rsidR="00F843E9" w:rsidRPr="005552B5">
              <w:rPr>
                <w:rFonts w:asciiTheme="minorHAnsi" w:hAnsiTheme="minorHAnsi" w:cstheme="minorHAnsi"/>
                <w:sz w:val="20"/>
                <w:szCs w:val="20"/>
              </w:rPr>
              <w:t>,</w:t>
            </w:r>
            <w:r w:rsidRPr="005552B5">
              <w:rPr>
                <w:rFonts w:asciiTheme="minorHAnsi" w:hAnsiTheme="minorHAnsi" w:cstheme="minorHAnsi"/>
                <w:sz w:val="20"/>
                <w:szCs w:val="20"/>
              </w:rPr>
              <w:t xml:space="preserve"> </w:t>
            </w:r>
            <w:r w:rsidR="00F843E9" w:rsidRPr="005552B5">
              <w:rPr>
                <w:rFonts w:asciiTheme="minorHAnsi" w:hAnsiTheme="minorHAnsi" w:cstheme="minorHAnsi"/>
                <w:sz w:val="20"/>
                <w:szCs w:val="20"/>
              </w:rPr>
              <w:t xml:space="preserve">terminalach intermodalnych oraz bazach eksploatacyjnych </w:t>
            </w:r>
            <w:r w:rsidR="00F843E9" w:rsidRPr="00170BCF">
              <w:rPr>
                <w:rFonts w:asciiTheme="minorHAnsi" w:hAnsiTheme="minorHAnsi" w:cstheme="minorHAnsi"/>
                <w:sz w:val="20"/>
                <w:szCs w:val="20"/>
                <w:u w:val="single"/>
              </w:rPr>
              <w:t>(dodano</w:t>
            </w:r>
            <w:r w:rsidR="004A68A0" w:rsidRPr="00170BCF">
              <w:rPr>
                <w:rFonts w:asciiTheme="minorHAnsi" w:hAnsiTheme="minorHAnsi" w:cstheme="minorHAnsi"/>
                <w:sz w:val="20"/>
                <w:szCs w:val="20"/>
                <w:u w:val="single"/>
              </w:rPr>
              <w:t xml:space="preserve"> bazy eksploatacyjne </w:t>
            </w:r>
            <w:r w:rsidR="00F843E9" w:rsidRPr="00170BCF">
              <w:rPr>
                <w:rFonts w:asciiTheme="minorHAnsi" w:hAnsiTheme="minorHAnsi" w:cstheme="minorHAnsi"/>
                <w:sz w:val="20"/>
                <w:szCs w:val="20"/>
                <w:u w:val="single"/>
              </w:rPr>
              <w:t xml:space="preserve"> po konsultacjach społ.).</w:t>
            </w:r>
            <w:r w:rsidRPr="005552B5">
              <w:rPr>
                <w:rFonts w:asciiTheme="minorHAnsi" w:hAnsiTheme="minorHAnsi" w:cstheme="minorHAnsi"/>
                <w:sz w:val="20"/>
                <w:szCs w:val="20"/>
              </w:rPr>
              <w:t xml:space="preserve"> </w:t>
            </w:r>
            <w:r w:rsidR="0039197C" w:rsidRPr="005552B5">
              <w:rPr>
                <w:rFonts w:asciiTheme="minorHAnsi" w:hAnsiTheme="minorHAnsi" w:cstheme="minorHAnsi"/>
                <w:sz w:val="20"/>
                <w:szCs w:val="20"/>
              </w:rPr>
              <w:t>Priorytetowe traktowanie sieci bazowej TEN-T wynika z obowiązków wynikających z rozporządzenia AFIR</w:t>
            </w:r>
            <w:r w:rsidR="00170BCF">
              <w:rPr>
                <w:rFonts w:asciiTheme="minorHAnsi" w:hAnsiTheme="minorHAnsi" w:cstheme="minorHAnsi"/>
                <w:sz w:val="20"/>
                <w:szCs w:val="20"/>
              </w:rPr>
              <w:t xml:space="preserve"> - </w:t>
            </w:r>
            <w:r w:rsidR="00170BCF" w:rsidRPr="00170BCF">
              <w:rPr>
                <w:rFonts w:asciiTheme="minorHAnsi" w:hAnsiTheme="minorHAnsi" w:cstheme="minorHAnsi"/>
                <w:sz w:val="20"/>
                <w:szCs w:val="20"/>
              </w:rPr>
              <w:t xml:space="preserve">rozporządzenie Parlamentu Europejskiego oraz Rady UE i </w:t>
            </w:r>
            <w:r w:rsidR="00170BCF">
              <w:rPr>
                <w:rFonts w:asciiTheme="minorHAnsi" w:hAnsiTheme="minorHAnsi" w:cstheme="minorHAnsi"/>
                <w:sz w:val="20"/>
                <w:szCs w:val="20"/>
              </w:rPr>
              <w:t>-</w:t>
            </w:r>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Alternative</w:t>
            </w:r>
            <w:proofErr w:type="spellEnd"/>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Fuels</w:t>
            </w:r>
            <w:proofErr w:type="spellEnd"/>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Infrastructure</w:t>
            </w:r>
            <w:proofErr w:type="spellEnd"/>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Regulation</w:t>
            </w:r>
            <w:proofErr w:type="spellEnd"/>
            <w:r w:rsidR="00170BCF" w:rsidRPr="00170BCF">
              <w:rPr>
                <w:rFonts w:asciiTheme="minorHAnsi" w:hAnsiTheme="minorHAnsi" w:cstheme="minorHAnsi"/>
                <w:sz w:val="20"/>
                <w:szCs w:val="20"/>
              </w:rPr>
              <w:t xml:space="preserve"> (rozporządzenie w sprawie infrastruktury paliw alternatywnych)</w:t>
            </w:r>
            <w:r w:rsidR="0039197C" w:rsidRPr="005552B5">
              <w:rPr>
                <w:rFonts w:asciiTheme="minorHAnsi" w:hAnsiTheme="minorHAnsi" w:cstheme="minorHAnsi"/>
                <w:sz w:val="20"/>
                <w:szCs w:val="20"/>
              </w:rPr>
              <w:t xml:space="preserve">. </w:t>
            </w:r>
            <w:r w:rsidRPr="005552B5">
              <w:rPr>
                <w:rFonts w:asciiTheme="minorHAnsi" w:hAnsiTheme="minorHAnsi" w:cstheme="minorHAnsi"/>
                <w:sz w:val="20"/>
                <w:szCs w:val="20"/>
              </w:rPr>
              <w:t>W przyszłości rozważymy</w:t>
            </w:r>
            <w:r w:rsidR="0039197C" w:rsidRPr="005552B5">
              <w:rPr>
                <w:rFonts w:asciiTheme="minorHAnsi" w:hAnsiTheme="minorHAnsi" w:cstheme="minorHAnsi"/>
                <w:sz w:val="20"/>
                <w:szCs w:val="20"/>
              </w:rPr>
              <w:t xml:space="preserve">, w przypadku dostępności </w:t>
            </w:r>
            <w:r w:rsidR="0039197C" w:rsidRPr="005552B5">
              <w:rPr>
                <w:rFonts w:asciiTheme="minorHAnsi" w:hAnsiTheme="minorHAnsi" w:cstheme="minorHAnsi"/>
                <w:sz w:val="20"/>
                <w:szCs w:val="20"/>
              </w:rPr>
              <w:lastRenderedPageBreak/>
              <w:t>środków,</w:t>
            </w:r>
            <w:r w:rsidR="00FF2ED5" w:rsidRPr="005552B5">
              <w:rPr>
                <w:rFonts w:asciiTheme="minorHAnsi" w:hAnsiTheme="minorHAnsi" w:cstheme="minorHAnsi"/>
                <w:sz w:val="20"/>
                <w:szCs w:val="20"/>
              </w:rPr>
              <w:t xml:space="preserve"> ewentualne</w:t>
            </w:r>
            <w:r w:rsidRPr="005552B5">
              <w:rPr>
                <w:rFonts w:asciiTheme="minorHAnsi" w:hAnsiTheme="minorHAnsi" w:cstheme="minorHAnsi"/>
                <w:sz w:val="20"/>
                <w:szCs w:val="20"/>
              </w:rPr>
              <w:t xml:space="preserve"> </w:t>
            </w:r>
            <w:r w:rsidR="00F843E9" w:rsidRPr="005552B5">
              <w:rPr>
                <w:rFonts w:asciiTheme="minorHAnsi" w:hAnsiTheme="minorHAnsi" w:cstheme="minorHAnsi"/>
                <w:sz w:val="20"/>
                <w:szCs w:val="20"/>
              </w:rPr>
              <w:t xml:space="preserve"> dalsze </w:t>
            </w:r>
            <w:r w:rsidRPr="005552B5">
              <w:rPr>
                <w:rFonts w:asciiTheme="minorHAnsi" w:hAnsiTheme="minorHAnsi" w:cstheme="minorHAnsi"/>
                <w:sz w:val="20"/>
                <w:szCs w:val="20"/>
              </w:rPr>
              <w:t>rozszerzenie zakresu programu priorytetowego.</w:t>
            </w:r>
          </w:p>
        </w:tc>
      </w:tr>
      <w:tr w:rsidR="00FC32CE" w:rsidRPr="005552B5" w14:paraId="6CE30562" w14:textId="703542BF" w:rsidTr="00F301CE">
        <w:tc>
          <w:tcPr>
            <w:tcW w:w="0" w:type="auto"/>
            <w:vAlign w:val="center"/>
          </w:tcPr>
          <w:p w14:paraId="0EB4481A" w14:textId="729C8A1F" w:rsidR="006E4349" w:rsidRPr="005552B5" w:rsidRDefault="006E4349" w:rsidP="002355A3">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3</w:t>
            </w:r>
          </w:p>
        </w:tc>
        <w:tc>
          <w:tcPr>
            <w:tcW w:w="1925" w:type="dxa"/>
          </w:tcPr>
          <w:p w14:paraId="353ECB0A" w14:textId="69141D61" w:rsidR="006E4349" w:rsidRPr="005552B5" w:rsidRDefault="004B5F6D" w:rsidP="002355A3">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Ministerstwo Infrastruktury</w:t>
            </w:r>
          </w:p>
        </w:tc>
        <w:tc>
          <w:tcPr>
            <w:tcW w:w="2770" w:type="dxa"/>
            <w:vAlign w:val="center"/>
          </w:tcPr>
          <w:p w14:paraId="2BBE1969" w14:textId="69263CF9" w:rsidR="006E4349" w:rsidRPr="005552B5" w:rsidRDefault="004B5F6D"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vertAlign w:val="superscript"/>
              </w:rPr>
              <w:t xml:space="preserve">2 </w:t>
            </w:r>
            <w:r w:rsidRPr="005552B5">
              <w:rPr>
                <w:rFonts w:asciiTheme="minorHAnsi" w:hAnsiTheme="minorHAnsi" w:cstheme="minorHAnsi"/>
                <w:sz w:val="20"/>
                <w:szCs w:val="20"/>
              </w:rPr>
              <w:t>Oznacza sieć bazową TEN-T w rozumieniu art. 38 rozporządzenia (UE) nr 1315/2013</w:t>
            </w:r>
          </w:p>
        </w:tc>
        <w:tc>
          <w:tcPr>
            <w:tcW w:w="3486" w:type="dxa"/>
            <w:vAlign w:val="center"/>
          </w:tcPr>
          <w:p w14:paraId="0A805630" w14:textId="078CAF36" w:rsidR="006E4349" w:rsidRPr="005552B5" w:rsidRDefault="004B5F6D"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vertAlign w:val="superscript"/>
              </w:rPr>
              <w:t>2</w:t>
            </w:r>
            <w:r w:rsidRPr="005552B5">
              <w:rPr>
                <w:rFonts w:asciiTheme="minorHAnsi" w:hAnsiTheme="minorHAnsi" w:cstheme="minorHAnsi"/>
                <w:sz w:val="20"/>
                <w:szCs w:val="20"/>
              </w:rPr>
              <w:t xml:space="preserve"> Oznacza istniejącą lub będącą w budowie drogę klasy A lub S na sieci TEN-T, według Aneksu I do nowego rozporządzenia TEN-T opublikowanego przez KE w dniu 19 grudnia 2023 r (https://transport.ec.europa.eu/news-events/news/provisional-agreement-more-sustainable-and-resilient-trans-european-transport-network-brings-europe-2023-12-19_en).</w:t>
            </w:r>
          </w:p>
        </w:tc>
        <w:tc>
          <w:tcPr>
            <w:tcW w:w="3486" w:type="dxa"/>
            <w:vAlign w:val="center"/>
          </w:tcPr>
          <w:p w14:paraId="62D67000" w14:textId="77777777" w:rsidR="004B5F6D" w:rsidRPr="005552B5" w:rsidRDefault="004B5F6D"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Rozporządzenie 1315/2013 wkrótce zostanie zastąpione nowym dokumentem, który jest obecnie na etapie ostatecznego czyszczenia poszczególnych zapisów po </w:t>
            </w:r>
            <w:proofErr w:type="spellStart"/>
            <w:r w:rsidRPr="005552B5">
              <w:rPr>
                <w:rFonts w:asciiTheme="minorHAnsi" w:hAnsiTheme="minorHAnsi" w:cstheme="minorHAnsi"/>
                <w:sz w:val="20"/>
                <w:szCs w:val="20"/>
              </w:rPr>
              <w:t>trilogu</w:t>
            </w:r>
            <w:proofErr w:type="spellEnd"/>
            <w:r w:rsidRPr="005552B5">
              <w:rPr>
                <w:rFonts w:asciiTheme="minorHAnsi" w:hAnsiTheme="minorHAnsi" w:cstheme="minorHAnsi"/>
                <w:sz w:val="20"/>
                <w:szCs w:val="20"/>
              </w:rPr>
              <w:t xml:space="preserve">. W dniu 19 grudnia 2023 r. na stronie komisji zostały opublikowane uzgodnione Aneksy do tego rozporządzenia, które już nie ulegną zmianie https://transport.ec.europa.eu/news-events/news/provisional-agreement-more-sustainable-and-resilient-trans-european-transport-network-brings-europe-2023-12-19_en. Wśród tych aneksów są również mapy TEN-T (Aneks I) a także wyznaczone węzły miejskie (Aneks II). </w:t>
            </w:r>
          </w:p>
          <w:p w14:paraId="57938E55" w14:textId="77777777" w:rsidR="004B5F6D" w:rsidRPr="005552B5" w:rsidRDefault="004B5F6D"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b/>
                <w:sz w:val="20"/>
                <w:szCs w:val="20"/>
              </w:rPr>
              <w:t>Doprecyzowanie w tym zakresie pozwoli uniknąć inwestycji utraconych</w:t>
            </w:r>
            <w:r w:rsidRPr="005552B5">
              <w:rPr>
                <w:rFonts w:asciiTheme="minorHAnsi" w:hAnsiTheme="minorHAnsi" w:cstheme="minorHAnsi"/>
                <w:sz w:val="20"/>
                <w:szCs w:val="20"/>
              </w:rPr>
              <w:t xml:space="preserve">, którymi staną się instalacje na istniejącej sieci po oddaniu odcinka klasy A lub S do ruchu. Z uwagi na intensywny program inwestycyjny na sieci TEN-T zapisy takie są niezbędne do tego, aby stacje powstały w zgodzie z AFIR i jednocześnie zgodnie z pragmatyką biznesową. Warto przy tym podkreślić, że nowe przebiegi dróg klasy A lub S nie zawsze są realizowane w ciągu istniejącej drogi i szczególnie w przypadku obwodnic miast mogą być oddalone od </w:t>
            </w:r>
            <w:proofErr w:type="spellStart"/>
            <w:r w:rsidRPr="005552B5">
              <w:rPr>
                <w:rFonts w:asciiTheme="minorHAnsi" w:hAnsiTheme="minorHAnsi" w:cstheme="minorHAnsi"/>
                <w:sz w:val="20"/>
                <w:szCs w:val="20"/>
              </w:rPr>
              <w:t>starodroża</w:t>
            </w:r>
            <w:proofErr w:type="spellEnd"/>
            <w:r w:rsidRPr="005552B5">
              <w:rPr>
                <w:rFonts w:asciiTheme="minorHAnsi" w:hAnsiTheme="minorHAnsi" w:cstheme="minorHAnsi"/>
                <w:sz w:val="20"/>
                <w:szCs w:val="20"/>
              </w:rPr>
              <w:t xml:space="preserve"> nawet o kilka lub nawet kilkanaście kilometrów (przykład: autostradowa obwodnica Częstochowy w ciągu A1 lub S6/S11 w Koszalinie). </w:t>
            </w:r>
          </w:p>
          <w:p w14:paraId="787727DB" w14:textId="52C84704" w:rsidR="006E4349" w:rsidRPr="005552B5" w:rsidRDefault="004B5F6D"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Problem ten został zauważony podczas opiniowania wniosków dofinansowywanych z CEF dla LDV. Jednak w przypadku LDV lokalizowanie stacji w centrum miasta nie jest aż takim dużym problemem jak w przypadku HDV, gdzie w wielu miastach mają (lub będą mieć) zakaz wjazdu do miasta lub jego centrum/wybranych dzielnic, a więc lokalizowanie stacji ładowania w nim nie powinno mieć miejsca.</w:t>
            </w:r>
          </w:p>
        </w:tc>
        <w:tc>
          <w:tcPr>
            <w:tcW w:w="3253" w:type="dxa"/>
          </w:tcPr>
          <w:p w14:paraId="7415F652" w14:textId="77777777" w:rsidR="007254EF" w:rsidRPr="005552B5" w:rsidRDefault="007254EF"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Uwaga nie została uwzględniona</w:t>
            </w:r>
          </w:p>
          <w:p w14:paraId="18FAD9B2" w14:textId="77777777" w:rsidR="006E4349" w:rsidRPr="005552B5" w:rsidRDefault="006E4349" w:rsidP="002355A3">
            <w:pPr>
              <w:spacing w:after="0" w:line="240" w:lineRule="auto"/>
              <w:jc w:val="both"/>
              <w:rPr>
                <w:rFonts w:asciiTheme="minorHAnsi" w:hAnsiTheme="minorHAnsi" w:cstheme="minorHAnsi"/>
                <w:sz w:val="20"/>
                <w:szCs w:val="20"/>
              </w:rPr>
            </w:pPr>
          </w:p>
          <w:p w14:paraId="464E9FA8" w14:textId="351E9876" w:rsidR="007254EF" w:rsidRPr="005552B5" w:rsidRDefault="007254EF" w:rsidP="002355A3">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Dokument</w:t>
            </w:r>
            <w:r w:rsidR="004A68A0" w:rsidRPr="005552B5">
              <w:rPr>
                <w:rFonts w:asciiTheme="minorHAnsi" w:hAnsiTheme="minorHAnsi" w:cstheme="minorHAnsi"/>
                <w:sz w:val="20"/>
                <w:szCs w:val="20"/>
              </w:rPr>
              <w:t xml:space="preserve"> rzeczony</w:t>
            </w:r>
            <w:r w:rsidRPr="005552B5">
              <w:rPr>
                <w:rFonts w:asciiTheme="minorHAnsi" w:hAnsiTheme="minorHAnsi" w:cstheme="minorHAnsi"/>
                <w:sz w:val="20"/>
                <w:szCs w:val="20"/>
              </w:rPr>
              <w:t xml:space="preserve"> nie jest dokumentem obowiązującym</w:t>
            </w:r>
            <w:r w:rsidR="00170BCF">
              <w:rPr>
                <w:rFonts w:asciiTheme="minorHAnsi" w:hAnsiTheme="minorHAnsi" w:cstheme="minorHAnsi"/>
                <w:sz w:val="20"/>
                <w:szCs w:val="20"/>
              </w:rPr>
              <w:t>.</w:t>
            </w:r>
          </w:p>
        </w:tc>
      </w:tr>
      <w:tr w:rsidR="00FC32CE" w:rsidRPr="005552B5" w14:paraId="580E6DF5" w14:textId="514FDD0D" w:rsidTr="00F301CE">
        <w:tc>
          <w:tcPr>
            <w:tcW w:w="0" w:type="auto"/>
            <w:vAlign w:val="center"/>
          </w:tcPr>
          <w:p w14:paraId="5C52678D" w14:textId="71EF20F6" w:rsidR="004A68A0" w:rsidRPr="005552B5" w:rsidRDefault="004A68A0" w:rsidP="004A68A0">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4</w:t>
            </w:r>
          </w:p>
        </w:tc>
        <w:tc>
          <w:tcPr>
            <w:tcW w:w="1925" w:type="dxa"/>
          </w:tcPr>
          <w:p w14:paraId="605B7C3D" w14:textId="3D66CB70" w:rsidR="004A68A0" w:rsidRPr="005552B5" w:rsidRDefault="004A68A0" w:rsidP="004A68A0">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Ministerstwo Infrastruktury</w:t>
            </w:r>
          </w:p>
        </w:tc>
        <w:tc>
          <w:tcPr>
            <w:tcW w:w="2770" w:type="dxa"/>
            <w:vAlign w:val="center"/>
          </w:tcPr>
          <w:p w14:paraId="6F4BEF12" w14:textId="553B504F"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1)</w:t>
            </w:r>
            <w:r w:rsidRPr="005552B5">
              <w:rPr>
                <w:rFonts w:asciiTheme="minorHAnsi" w:hAnsiTheme="minorHAnsi" w:cstheme="minorHAnsi"/>
                <w:sz w:val="20"/>
                <w:szCs w:val="20"/>
              </w:rPr>
              <w:tab/>
              <w:t>objęta dofinansowaniem ogólnodostępna stacja ładowania musi być zlokalizowana wzdłuż dróg sieci bazowej TEN-T tj. na drodze należącej do sieci drogowej TEN-T lub w odległości do 3 km jazdy od najbliższego zjazdu z drogi TEN-T lub bezpośrednio na terenie centrum logistycznego (DEPOT) lub terminalu intermodalnego;</w:t>
            </w:r>
          </w:p>
        </w:tc>
        <w:tc>
          <w:tcPr>
            <w:tcW w:w="3486" w:type="dxa"/>
            <w:vAlign w:val="center"/>
          </w:tcPr>
          <w:p w14:paraId="0AF47FCA"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Proponujemy wykreślenie słowa „bazowej” i zastąpienie zdaniem:</w:t>
            </w:r>
          </w:p>
          <w:p w14:paraId="3C380CF9" w14:textId="77777777" w:rsidR="004A68A0" w:rsidRPr="005552B5" w:rsidRDefault="004A68A0" w:rsidP="004A68A0">
            <w:pPr>
              <w:spacing w:after="0" w:line="240" w:lineRule="auto"/>
              <w:jc w:val="both"/>
              <w:rPr>
                <w:rFonts w:asciiTheme="minorHAnsi" w:hAnsiTheme="minorHAnsi" w:cstheme="minorHAnsi"/>
                <w:sz w:val="20"/>
                <w:szCs w:val="20"/>
              </w:rPr>
            </w:pPr>
          </w:p>
          <w:p w14:paraId="04FC16FD" w14:textId="3A48A363"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1)</w:t>
            </w:r>
            <w:r w:rsidRPr="005552B5">
              <w:rPr>
                <w:rFonts w:asciiTheme="minorHAnsi" w:hAnsiTheme="minorHAnsi" w:cstheme="minorHAnsi"/>
                <w:sz w:val="20"/>
                <w:szCs w:val="20"/>
              </w:rPr>
              <w:tab/>
              <w:t>objęta dofinansowaniem ogólnodostępna stacja ładowania musi być zlokalizowana wzdłuż dróg sieci TEN-T tj. na drodze należącej do sieci drogowej TEN-T lub w odległości do 3 km jazdy od najbliższego zjazdu z drogi TEN-T lub bezpośrednio na terenie centrum logistycznego (DEPOT) lub terminalu intermodalnego;</w:t>
            </w:r>
          </w:p>
        </w:tc>
        <w:tc>
          <w:tcPr>
            <w:tcW w:w="3486" w:type="dxa"/>
            <w:vAlign w:val="center"/>
          </w:tcPr>
          <w:p w14:paraId="560A8E1F" w14:textId="5B703A66"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Cele AFIR dla HDV w perspektywie 2025, 2027 i 2030 roku dotyczą całej sieci TEN-T – nie tylko sieci bazowej. Cel pośredni na 2027 rok mówi o 50% całej sieci TEN-T, a więc w przypadku Polski mówimy o całej istniejącej (już wybudowanej lub w tym momencie będącej w budowie w standardzie A lub S) sieci TEN-T zarówno bazowej jak i kompleksowej. Warto podkreślić, że tylko na takich odcinkach są Miejsca Obsługi Podróżnych i inwestycje bezpośrednio na sieci TEN-T lub w jej bezpośrednim sąsiedztwie nie będą utracone (i będą jednocześnie gwarantować spełnienie przez PL wymogów AFIR).</w:t>
            </w:r>
          </w:p>
        </w:tc>
        <w:tc>
          <w:tcPr>
            <w:tcW w:w="3253" w:type="dxa"/>
          </w:tcPr>
          <w:p w14:paraId="692B04AE"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325F7223" w14:textId="77777777" w:rsidR="004A68A0" w:rsidRPr="005552B5" w:rsidRDefault="004A68A0" w:rsidP="004A68A0">
            <w:pPr>
              <w:spacing w:after="0" w:line="240" w:lineRule="auto"/>
              <w:jc w:val="both"/>
              <w:rPr>
                <w:rFonts w:asciiTheme="minorHAnsi" w:hAnsiTheme="minorHAnsi" w:cstheme="minorHAnsi"/>
                <w:sz w:val="20"/>
                <w:szCs w:val="20"/>
              </w:rPr>
            </w:pPr>
          </w:p>
          <w:p w14:paraId="12AA63E9" w14:textId="77777777" w:rsidR="004A68A0" w:rsidRPr="005552B5" w:rsidRDefault="004A68A0" w:rsidP="004A68A0">
            <w:pPr>
              <w:spacing w:after="0" w:line="240" w:lineRule="auto"/>
              <w:jc w:val="both"/>
              <w:rPr>
                <w:rFonts w:asciiTheme="minorHAnsi" w:hAnsiTheme="minorHAnsi" w:cstheme="minorHAnsi"/>
                <w:sz w:val="20"/>
                <w:szCs w:val="20"/>
              </w:rPr>
            </w:pPr>
          </w:p>
          <w:p w14:paraId="7FE02093" w14:textId="1C594BA3" w:rsidR="004A68A0" w:rsidRPr="005552B5" w:rsidRDefault="0039197C"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Program dedykowany wsparciu rozwoju stacji ładowania przy trasach sieci bazowej TEN-T , centrach logistycznych, terminalach intermodalnych oraz bazach eksploatacyjnych (dodano bazy eksploatacyjne  po konsultacjach społ.). Priorytetowe traktowanie sieci bazowej TEN-T wynika z obowiązków wynikających z rozporządzenia AFIR</w:t>
            </w:r>
            <w:r w:rsidR="00170BCF">
              <w:t xml:space="preserve"> </w:t>
            </w:r>
            <w:proofErr w:type="spellStart"/>
            <w:r w:rsidR="00170BCF" w:rsidRPr="00170BCF">
              <w:rPr>
                <w:rFonts w:asciiTheme="minorHAnsi" w:hAnsiTheme="minorHAnsi" w:cstheme="minorHAnsi"/>
                <w:sz w:val="20"/>
                <w:szCs w:val="20"/>
              </w:rPr>
              <w:t>AFIR</w:t>
            </w:r>
            <w:proofErr w:type="spellEnd"/>
            <w:r w:rsidR="00170BCF" w:rsidRPr="00170BCF">
              <w:rPr>
                <w:rFonts w:asciiTheme="minorHAnsi" w:hAnsiTheme="minorHAnsi" w:cstheme="minorHAnsi"/>
                <w:sz w:val="20"/>
                <w:szCs w:val="20"/>
              </w:rPr>
              <w:t xml:space="preserve"> - rozporządzenie Parlamentu Europejskiego oraz Rady UE i - </w:t>
            </w:r>
            <w:proofErr w:type="spellStart"/>
            <w:r w:rsidR="00170BCF" w:rsidRPr="00170BCF">
              <w:rPr>
                <w:rFonts w:asciiTheme="minorHAnsi" w:hAnsiTheme="minorHAnsi" w:cstheme="minorHAnsi"/>
                <w:sz w:val="20"/>
                <w:szCs w:val="20"/>
              </w:rPr>
              <w:t>Alternative</w:t>
            </w:r>
            <w:proofErr w:type="spellEnd"/>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Fuels</w:t>
            </w:r>
            <w:proofErr w:type="spellEnd"/>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Infrastructure</w:t>
            </w:r>
            <w:proofErr w:type="spellEnd"/>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Regulation</w:t>
            </w:r>
            <w:proofErr w:type="spellEnd"/>
            <w:r w:rsidR="00170BCF" w:rsidRPr="00170BCF">
              <w:rPr>
                <w:rFonts w:asciiTheme="minorHAnsi" w:hAnsiTheme="minorHAnsi" w:cstheme="minorHAnsi"/>
                <w:sz w:val="20"/>
                <w:szCs w:val="20"/>
              </w:rPr>
              <w:t xml:space="preserve"> (rozporządzenie w sprawie infrastruktury paliw alternatywnych).</w:t>
            </w:r>
            <w:r w:rsidRPr="005552B5">
              <w:rPr>
                <w:rFonts w:asciiTheme="minorHAnsi" w:hAnsiTheme="minorHAnsi" w:cstheme="minorHAnsi"/>
                <w:sz w:val="20"/>
                <w:szCs w:val="20"/>
              </w:rPr>
              <w:t xml:space="preserve"> W przyszłości rozważymy, w przypadku dostępności środków, ewentualne  dalsze rozszerzenie zakresu programu priorytetowego.</w:t>
            </w:r>
          </w:p>
        </w:tc>
      </w:tr>
      <w:tr w:rsidR="00FC32CE" w:rsidRPr="005552B5" w14:paraId="075DA34E" w14:textId="544E93F9" w:rsidTr="00F301CE">
        <w:tc>
          <w:tcPr>
            <w:tcW w:w="0" w:type="auto"/>
            <w:vAlign w:val="center"/>
          </w:tcPr>
          <w:p w14:paraId="6A73B13A" w14:textId="10833C0F" w:rsidR="004A68A0" w:rsidRPr="005552B5" w:rsidRDefault="004A68A0" w:rsidP="004A68A0">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5</w:t>
            </w:r>
          </w:p>
        </w:tc>
        <w:tc>
          <w:tcPr>
            <w:tcW w:w="1925" w:type="dxa"/>
          </w:tcPr>
          <w:p w14:paraId="7362E937" w14:textId="1BC9FD25" w:rsidR="004A68A0" w:rsidRPr="005552B5" w:rsidRDefault="004A68A0" w:rsidP="004A68A0">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Ministerstwo Infrastruktury</w:t>
            </w:r>
          </w:p>
        </w:tc>
        <w:tc>
          <w:tcPr>
            <w:tcW w:w="2770" w:type="dxa"/>
            <w:vAlign w:val="center"/>
          </w:tcPr>
          <w:p w14:paraId="62A36CFB"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do 20% budżetu przeznaczona będzie na wsparcie budowy i/lub rozbudowy ogólnodostępnych stacji ładowania dla transportu ciężkiego, zlokalizowanych na </w:t>
            </w:r>
            <w:r w:rsidRPr="005552B5">
              <w:rPr>
                <w:rFonts w:asciiTheme="minorHAnsi" w:hAnsiTheme="minorHAnsi" w:cstheme="minorHAnsi"/>
                <w:sz w:val="20"/>
                <w:szCs w:val="20"/>
              </w:rPr>
              <w:lastRenderedPageBreak/>
              <w:t xml:space="preserve">obszarze centrum logistycznego lub terminalu intermodalnego. </w:t>
            </w:r>
          </w:p>
          <w:p w14:paraId="3499D971" w14:textId="25069FBF" w:rsidR="004A68A0" w:rsidRPr="005552B5" w:rsidRDefault="004A68A0" w:rsidP="004A68A0">
            <w:pPr>
              <w:autoSpaceDE w:val="0"/>
              <w:autoSpaceDN w:val="0"/>
              <w:adjustRightInd w:val="0"/>
              <w:spacing w:after="0" w:line="240" w:lineRule="auto"/>
              <w:jc w:val="both"/>
              <w:rPr>
                <w:rFonts w:asciiTheme="minorHAnsi" w:hAnsiTheme="minorHAnsi" w:cstheme="minorHAnsi"/>
                <w:sz w:val="20"/>
                <w:szCs w:val="20"/>
              </w:rPr>
            </w:pPr>
          </w:p>
        </w:tc>
        <w:tc>
          <w:tcPr>
            <w:tcW w:w="3486" w:type="dxa"/>
            <w:vAlign w:val="center"/>
          </w:tcPr>
          <w:p w14:paraId="5415D9CB"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 do 20% budżetu przeznaczona będzie na wsparcie budowy i/lub rozbudowy ogólnodostępnych stacji ładowania dla transportu ciężkiego, zlokalizowanych na obszarze centrum logistycznego, </w:t>
            </w:r>
            <w:r w:rsidRPr="005552B5">
              <w:rPr>
                <w:rFonts w:asciiTheme="minorHAnsi" w:hAnsiTheme="minorHAnsi" w:cstheme="minorHAnsi"/>
                <w:sz w:val="20"/>
                <w:szCs w:val="20"/>
              </w:rPr>
              <w:lastRenderedPageBreak/>
              <w:t xml:space="preserve">terminalu intermodalnego lub węźle miejskim. </w:t>
            </w:r>
          </w:p>
          <w:p w14:paraId="2AB3B9DD" w14:textId="4D089DC8" w:rsidR="004A68A0" w:rsidRPr="005552B5" w:rsidRDefault="004A68A0" w:rsidP="004A68A0">
            <w:pPr>
              <w:spacing w:after="0" w:line="240" w:lineRule="auto"/>
              <w:jc w:val="both"/>
              <w:rPr>
                <w:rFonts w:asciiTheme="minorHAnsi" w:hAnsiTheme="minorHAnsi" w:cstheme="minorHAnsi"/>
                <w:sz w:val="20"/>
                <w:szCs w:val="20"/>
              </w:rPr>
            </w:pPr>
          </w:p>
        </w:tc>
        <w:tc>
          <w:tcPr>
            <w:tcW w:w="3486" w:type="dxa"/>
            <w:vAlign w:val="center"/>
          </w:tcPr>
          <w:p w14:paraId="4BEE130C" w14:textId="4177F77E"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Węzły miejskie zostały wymienione w opublikowanym w dniu 19 grudnia 2023 r. Aneksie II do nowego rozporządzenia TEN-T (https://transport.ec.europa.eu/news-events/news/provisional-agreement-</w:t>
            </w:r>
            <w:r w:rsidRPr="005552B5">
              <w:rPr>
                <w:rFonts w:asciiTheme="minorHAnsi" w:hAnsiTheme="minorHAnsi" w:cstheme="minorHAnsi"/>
                <w:sz w:val="20"/>
                <w:szCs w:val="20"/>
              </w:rPr>
              <w:lastRenderedPageBreak/>
              <w:t xml:space="preserve">more-sustainable-and-resilient-trans-european-transport-network-brings-europe-2023-12-19_en). Zgodnie z AFIR dla HDV są wyznaczone cele również dla węzłów miejskich (do 2025 r. o mocy 900 kW, a do 2030 r. 1800 kW). O ile </w:t>
            </w:r>
            <w:r w:rsidRPr="005552B5">
              <w:rPr>
                <w:rFonts w:asciiTheme="minorHAnsi" w:hAnsiTheme="minorHAnsi" w:cstheme="minorHAnsi"/>
                <w:b/>
                <w:sz w:val="20"/>
                <w:szCs w:val="20"/>
              </w:rPr>
              <w:t>poprzednie zapisy pokrywają się z większymi ośrodkami miejskimi, to mogą pomijać takie miasta jak np. węzeł Kalisz.</w:t>
            </w:r>
          </w:p>
        </w:tc>
        <w:tc>
          <w:tcPr>
            <w:tcW w:w="3253" w:type="dxa"/>
          </w:tcPr>
          <w:p w14:paraId="1AC02CC8"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Uwaga nie została uwzględniona</w:t>
            </w:r>
          </w:p>
          <w:p w14:paraId="5982A343" w14:textId="77777777" w:rsidR="004A68A0" w:rsidRPr="005552B5" w:rsidRDefault="004A68A0" w:rsidP="004A68A0">
            <w:pPr>
              <w:spacing w:after="0" w:line="240" w:lineRule="auto"/>
              <w:jc w:val="both"/>
              <w:rPr>
                <w:rFonts w:asciiTheme="minorHAnsi" w:hAnsiTheme="minorHAnsi" w:cstheme="minorHAnsi"/>
                <w:sz w:val="20"/>
                <w:szCs w:val="20"/>
              </w:rPr>
            </w:pPr>
          </w:p>
          <w:p w14:paraId="03BE1A6F" w14:textId="77777777" w:rsidR="004A68A0" w:rsidRPr="005552B5" w:rsidRDefault="004A68A0" w:rsidP="004A68A0">
            <w:pPr>
              <w:spacing w:after="0" w:line="240" w:lineRule="auto"/>
              <w:jc w:val="both"/>
              <w:rPr>
                <w:rFonts w:asciiTheme="minorHAnsi" w:hAnsiTheme="minorHAnsi" w:cstheme="minorHAnsi"/>
                <w:sz w:val="20"/>
                <w:szCs w:val="20"/>
              </w:rPr>
            </w:pPr>
          </w:p>
          <w:p w14:paraId="658F98F0" w14:textId="4CD79ED0" w:rsidR="004A68A0" w:rsidRPr="005552B5" w:rsidRDefault="0039197C"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Program dedykowany wsparciu rozwoju stacji ładowania przy trasach sieci bazowej TEN-T , centrach </w:t>
            </w:r>
            <w:r w:rsidRPr="005552B5">
              <w:rPr>
                <w:rFonts w:asciiTheme="minorHAnsi" w:hAnsiTheme="minorHAnsi" w:cstheme="minorHAnsi"/>
                <w:sz w:val="20"/>
                <w:szCs w:val="20"/>
              </w:rPr>
              <w:lastRenderedPageBreak/>
              <w:t>logistycznych, terminalach intermodalnych oraz bazach eksploatacyjnych (dodano bazy eksploatacyjne  po konsultacjach społ.). Priorytetowe traktowanie sieci bazowej TEN-T wynika z obowiązków wynikających z rozporządzenia AFIR</w:t>
            </w:r>
            <w:r w:rsidR="00170BCF">
              <w:rPr>
                <w:rFonts w:asciiTheme="minorHAnsi" w:hAnsiTheme="minorHAnsi" w:cstheme="minorHAnsi"/>
                <w:sz w:val="20"/>
                <w:szCs w:val="20"/>
              </w:rPr>
              <w:t xml:space="preserve"> </w:t>
            </w:r>
            <w:proofErr w:type="spellStart"/>
            <w:r w:rsidR="00170BCF" w:rsidRPr="005552B5">
              <w:rPr>
                <w:rFonts w:asciiTheme="minorHAnsi" w:hAnsiTheme="minorHAnsi" w:cstheme="minorHAnsi"/>
                <w:sz w:val="20"/>
                <w:szCs w:val="20"/>
              </w:rPr>
              <w:t>AFIR</w:t>
            </w:r>
            <w:proofErr w:type="spellEnd"/>
            <w:r w:rsidR="00170BCF">
              <w:rPr>
                <w:rFonts w:asciiTheme="minorHAnsi" w:hAnsiTheme="minorHAnsi" w:cstheme="minorHAnsi"/>
                <w:sz w:val="20"/>
                <w:szCs w:val="20"/>
              </w:rPr>
              <w:t xml:space="preserve"> - </w:t>
            </w:r>
            <w:r w:rsidR="00170BCF" w:rsidRPr="00170BCF">
              <w:rPr>
                <w:rFonts w:asciiTheme="minorHAnsi" w:hAnsiTheme="minorHAnsi" w:cstheme="minorHAnsi"/>
                <w:sz w:val="20"/>
                <w:szCs w:val="20"/>
              </w:rPr>
              <w:t xml:space="preserve">rozporządzenie Parlamentu Europejskiego oraz Rady UE i </w:t>
            </w:r>
            <w:r w:rsidR="00170BCF">
              <w:rPr>
                <w:rFonts w:asciiTheme="minorHAnsi" w:hAnsiTheme="minorHAnsi" w:cstheme="minorHAnsi"/>
                <w:sz w:val="20"/>
                <w:szCs w:val="20"/>
              </w:rPr>
              <w:t>-</w:t>
            </w:r>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Alternative</w:t>
            </w:r>
            <w:proofErr w:type="spellEnd"/>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Fuels</w:t>
            </w:r>
            <w:proofErr w:type="spellEnd"/>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Infrastructure</w:t>
            </w:r>
            <w:proofErr w:type="spellEnd"/>
            <w:r w:rsidR="00170BCF" w:rsidRPr="00170BCF">
              <w:rPr>
                <w:rFonts w:asciiTheme="minorHAnsi" w:hAnsiTheme="minorHAnsi" w:cstheme="minorHAnsi"/>
                <w:sz w:val="20"/>
                <w:szCs w:val="20"/>
              </w:rPr>
              <w:t xml:space="preserve"> </w:t>
            </w:r>
            <w:proofErr w:type="spellStart"/>
            <w:r w:rsidR="00170BCF" w:rsidRPr="00170BCF">
              <w:rPr>
                <w:rFonts w:asciiTheme="minorHAnsi" w:hAnsiTheme="minorHAnsi" w:cstheme="minorHAnsi"/>
                <w:sz w:val="20"/>
                <w:szCs w:val="20"/>
              </w:rPr>
              <w:t>Regulation</w:t>
            </w:r>
            <w:proofErr w:type="spellEnd"/>
            <w:r w:rsidR="00170BCF" w:rsidRPr="00170BCF">
              <w:rPr>
                <w:rFonts w:asciiTheme="minorHAnsi" w:hAnsiTheme="minorHAnsi" w:cstheme="minorHAnsi"/>
                <w:sz w:val="20"/>
                <w:szCs w:val="20"/>
              </w:rPr>
              <w:t xml:space="preserve"> (rozporządzenie w sprawie infrastruktury paliw alternatywnych)</w:t>
            </w:r>
            <w:r w:rsidRPr="005552B5">
              <w:rPr>
                <w:rFonts w:asciiTheme="minorHAnsi" w:hAnsiTheme="minorHAnsi" w:cstheme="minorHAnsi"/>
                <w:sz w:val="20"/>
                <w:szCs w:val="20"/>
              </w:rPr>
              <w:t>. W przyszłości rozważymy, w przypadku dostępności środków, ewentualne  dalsze rozszerzenie zakresu programu priorytetowego.</w:t>
            </w:r>
          </w:p>
        </w:tc>
      </w:tr>
      <w:tr w:rsidR="00FC32CE" w:rsidRPr="005552B5" w14:paraId="3F33A4C3" w14:textId="50EB1517" w:rsidTr="00F301CE">
        <w:tc>
          <w:tcPr>
            <w:tcW w:w="0" w:type="auto"/>
            <w:vAlign w:val="center"/>
          </w:tcPr>
          <w:p w14:paraId="4652DD06" w14:textId="59A58B51" w:rsidR="004A68A0" w:rsidRPr="005552B5" w:rsidRDefault="004A68A0" w:rsidP="004A68A0">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6</w:t>
            </w:r>
          </w:p>
        </w:tc>
        <w:tc>
          <w:tcPr>
            <w:tcW w:w="1925" w:type="dxa"/>
          </w:tcPr>
          <w:p w14:paraId="73F61049" w14:textId="44CD0DC4" w:rsidR="004A68A0" w:rsidRPr="005552B5" w:rsidRDefault="004A68A0" w:rsidP="004A68A0">
            <w:pPr>
              <w:spacing w:after="0" w:line="240" w:lineRule="auto"/>
              <w:jc w:val="both"/>
              <w:rPr>
                <w:rFonts w:asciiTheme="minorHAnsi" w:hAnsiTheme="minorHAnsi" w:cstheme="minorHAnsi"/>
                <w:b/>
                <w:sz w:val="20"/>
                <w:szCs w:val="20"/>
                <w:lang w:val="en-US"/>
              </w:rPr>
            </w:pPr>
            <w:proofErr w:type="spellStart"/>
            <w:r w:rsidRPr="005552B5">
              <w:rPr>
                <w:rFonts w:asciiTheme="minorHAnsi" w:hAnsiTheme="minorHAnsi" w:cstheme="minorHAnsi"/>
                <w:b/>
                <w:sz w:val="20"/>
                <w:szCs w:val="20"/>
                <w:lang w:val="en-US"/>
              </w:rPr>
              <w:t>Kempower</w:t>
            </w:r>
            <w:proofErr w:type="spellEnd"/>
            <w:r w:rsidRPr="005552B5">
              <w:rPr>
                <w:rFonts w:asciiTheme="minorHAnsi" w:hAnsiTheme="minorHAnsi" w:cstheme="minorHAnsi"/>
                <w:b/>
                <w:sz w:val="20"/>
                <w:szCs w:val="20"/>
                <w:lang w:val="en-US"/>
              </w:rPr>
              <w:t xml:space="preserve"> Sp. z </w:t>
            </w:r>
            <w:proofErr w:type="spellStart"/>
            <w:r w:rsidRPr="005552B5">
              <w:rPr>
                <w:rFonts w:asciiTheme="minorHAnsi" w:hAnsiTheme="minorHAnsi" w:cstheme="minorHAnsi"/>
                <w:b/>
                <w:sz w:val="20"/>
                <w:szCs w:val="20"/>
                <w:lang w:val="en-US"/>
              </w:rPr>
              <w:t>o.o.</w:t>
            </w:r>
            <w:proofErr w:type="spellEnd"/>
          </w:p>
        </w:tc>
        <w:tc>
          <w:tcPr>
            <w:tcW w:w="2770" w:type="dxa"/>
            <w:vAlign w:val="center"/>
          </w:tcPr>
          <w:p w14:paraId="41DBA9F2" w14:textId="5A9D3A41"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rozbudowanych ogólnodostępnych stacji ładowania prądem stałym o mocy nie mniejszej niż 350 kW</w:t>
            </w:r>
          </w:p>
        </w:tc>
        <w:tc>
          <w:tcPr>
            <w:tcW w:w="3486" w:type="dxa"/>
            <w:vAlign w:val="center"/>
          </w:tcPr>
          <w:p w14:paraId="2510A52B" w14:textId="074B5011"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(…)rozbudowanych ogólnodostępnych systemów ładowania prądem stałym o mocy umożliwiającej ładowanie pojazdów mocą stałą minimum 350 kW</w:t>
            </w:r>
          </w:p>
          <w:p w14:paraId="3C13943D" w14:textId="77777777" w:rsidR="004A68A0" w:rsidRPr="005552B5" w:rsidRDefault="004A68A0" w:rsidP="004A68A0">
            <w:pPr>
              <w:spacing w:after="0" w:line="240" w:lineRule="auto"/>
              <w:jc w:val="both"/>
              <w:rPr>
                <w:rFonts w:asciiTheme="minorHAnsi" w:hAnsiTheme="minorHAnsi" w:cstheme="minorHAnsi"/>
                <w:sz w:val="20"/>
                <w:szCs w:val="20"/>
              </w:rPr>
            </w:pPr>
          </w:p>
        </w:tc>
        <w:tc>
          <w:tcPr>
            <w:tcW w:w="3486" w:type="dxa"/>
            <w:vAlign w:val="center"/>
          </w:tcPr>
          <w:p w14:paraId="562AB376" w14:textId="450CFCE0"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Mocno sugerujemy stosowanie określeń „system ładowania” lub „infrastruktura ładowania”. Określenie „stacja” może sugerować, iż akceptowane, lub promowane będą rozwiązania bazujące na wolnostojących stacjach ładowania, co ze względu na ergonomię było by niewskazane. Takie nazewnictwo dopuszcza zarówno klasyczne „stacje”, jak i warianty „</w:t>
            </w:r>
            <w:proofErr w:type="spellStart"/>
            <w:r w:rsidRPr="005552B5">
              <w:rPr>
                <w:rFonts w:asciiTheme="minorHAnsi" w:hAnsiTheme="minorHAnsi" w:cstheme="minorHAnsi"/>
                <w:sz w:val="20"/>
                <w:szCs w:val="20"/>
              </w:rPr>
              <w:t>hubowe</w:t>
            </w:r>
            <w:proofErr w:type="spellEnd"/>
            <w:r w:rsidRPr="005552B5">
              <w:rPr>
                <w:rFonts w:asciiTheme="minorHAnsi" w:hAnsiTheme="minorHAnsi" w:cstheme="minorHAnsi"/>
                <w:sz w:val="20"/>
                <w:szCs w:val="20"/>
              </w:rPr>
              <w:t xml:space="preserve">”. Zmienione nazewnictwo ze względu na fakt, iż wiele obecnych instalacji umożliwia ładowanie mocą 350 kW w krótkim okresie czasu (10 minutowy </w:t>
            </w:r>
            <w:proofErr w:type="spellStart"/>
            <w:r w:rsidRPr="005552B5">
              <w:rPr>
                <w:rFonts w:asciiTheme="minorHAnsi" w:hAnsiTheme="minorHAnsi" w:cstheme="minorHAnsi"/>
                <w:sz w:val="20"/>
                <w:szCs w:val="20"/>
              </w:rPr>
              <w:t>peak</w:t>
            </w:r>
            <w:proofErr w:type="spellEnd"/>
            <w:r w:rsidRPr="005552B5">
              <w:rPr>
                <w:rFonts w:asciiTheme="minorHAnsi" w:hAnsiTheme="minorHAnsi" w:cstheme="minorHAnsi"/>
                <w:sz w:val="20"/>
                <w:szCs w:val="20"/>
              </w:rPr>
              <w:t xml:space="preserve">). Istotne jest tutaj także efektywne wykorzystanie dostępnych mocy przyłączeniowych i ładowanie większej ilości pojazdów przy zachowaniu możliwości ładowania mocami powyżej 350 </w:t>
            </w:r>
            <w:proofErr w:type="spellStart"/>
            <w:r w:rsidRPr="005552B5">
              <w:rPr>
                <w:rFonts w:asciiTheme="minorHAnsi" w:hAnsiTheme="minorHAnsi" w:cstheme="minorHAnsi"/>
                <w:sz w:val="20"/>
                <w:szCs w:val="20"/>
              </w:rPr>
              <w:t>kW.</w:t>
            </w:r>
            <w:proofErr w:type="spellEnd"/>
          </w:p>
        </w:tc>
        <w:tc>
          <w:tcPr>
            <w:tcW w:w="3253" w:type="dxa"/>
          </w:tcPr>
          <w:p w14:paraId="755AE4CD" w14:textId="77777777" w:rsidR="004A68A0"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Uwzględniono sugestie/ </w:t>
            </w:r>
            <w:proofErr w:type="spellStart"/>
            <w:r w:rsidRPr="005552B5">
              <w:rPr>
                <w:rFonts w:asciiTheme="minorHAnsi" w:hAnsiTheme="minorHAnsi" w:cstheme="minorHAnsi"/>
                <w:sz w:val="20"/>
                <w:szCs w:val="20"/>
              </w:rPr>
              <w:t>uspójniono</w:t>
            </w:r>
            <w:proofErr w:type="spellEnd"/>
            <w:r w:rsidRPr="005552B5">
              <w:rPr>
                <w:rFonts w:asciiTheme="minorHAnsi" w:hAnsiTheme="minorHAnsi" w:cstheme="minorHAnsi"/>
                <w:sz w:val="20"/>
                <w:szCs w:val="20"/>
              </w:rPr>
              <w:t>/doprecyzowano nazewnictwo.</w:t>
            </w:r>
          </w:p>
          <w:p w14:paraId="386A5952" w14:textId="1354395E" w:rsidR="008E3B2B" w:rsidRDefault="008E3B2B" w:rsidP="004A68A0">
            <w:pPr>
              <w:spacing w:after="0" w:line="240" w:lineRule="auto"/>
              <w:jc w:val="both"/>
              <w:rPr>
                <w:rFonts w:asciiTheme="minorHAnsi" w:hAnsiTheme="minorHAnsi" w:cstheme="minorHAnsi"/>
                <w:sz w:val="20"/>
                <w:szCs w:val="20"/>
              </w:rPr>
            </w:pPr>
          </w:p>
          <w:p w14:paraId="36EEE068" w14:textId="77777777" w:rsidR="00220639" w:rsidRDefault="00220639" w:rsidP="004A68A0">
            <w:pPr>
              <w:spacing w:after="0" w:line="240" w:lineRule="auto"/>
              <w:jc w:val="both"/>
              <w:rPr>
                <w:rFonts w:asciiTheme="minorHAnsi" w:hAnsiTheme="minorHAnsi" w:cstheme="minorHAnsi"/>
                <w:sz w:val="20"/>
                <w:szCs w:val="20"/>
              </w:rPr>
            </w:pPr>
          </w:p>
          <w:p w14:paraId="6594EE64" w14:textId="094E018C" w:rsidR="00220639" w:rsidRPr="005552B5" w:rsidRDefault="00220639" w:rsidP="004A68A0">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Pytanie powtórzone (jak nr 29), od </w:t>
            </w:r>
            <w:r w:rsidRPr="005552B5">
              <w:rPr>
                <w:rFonts w:asciiTheme="minorHAnsi" w:hAnsiTheme="minorHAnsi" w:cstheme="minorHAnsi"/>
                <w:b/>
                <w:sz w:val="20"/>
                <w:szCs w:val="20"/>
              </w:rPr>
              <w:t>Polskie</w:t>
            </w:r>
            <w:r w:rsidR="00170BCF">
              <w:rPr>
                <w:rFonts w:asciiTheme="minorHAnsi" w:hAnsiTheme="minorHAnsi" w:cstheme="minorHAnsi"/>
                <w:b/>
                <w:sz w:val="20"/>
                <w:szCs w:val="20"/>
              </w:rPr>
              <w:t>go</w:t>
            </w:r>
            <w:r w:rsidRPr="005552B5">
              <w:rPr>
                <w:rFonts w:asciiTheme="minorHAnsi" w:hAnsiTheme="minorHAnsi" w:cstheme="minorHAnsi"/>
                <w:b/>
                <w:sz w:val="20"/>
                <w:szCs w:val="20"/>
              </w:rPr>
              <w:t xml:space="preserve"> Stowarzyszeni</w:t>
            </w:r>
            <w:r w:rsidR="00170BCF">
              <w:rPr>
                <w:rFonts w:asciiTheme="minorHAnsi" w:hAnsiTheme="minorHAnsi" w:cstheme="minorHAnsi"/>
                <w:b/>
                <w:sz w:val="20"/>
                <w:szCs w:val="20"/>
              </w:rPr>
              <w:t>a</w:t>
            </w:r>
            <w:r w:rsidRPr="005552B5">
              <w:rPr>
                <w:rFonts w:asciiTheme="minorHAnsi" w:hAnsiTheme="minorHAnsi" w:cstheme="minorHAnsi"/>
                <w:b/>
                <w:sz w:val="20"/>
                <w:szCs w:val="20"/>
              </w:rPr>
              <w:t xml:space="preserve"> Paliw Alternatywnych – uwagi Partnerów</w:t>
            </w:r>
            <w:r>
              <w:rPr>
                <w:rFonts w:asciiTheme="minorHAnsi" w:hAnsiTheme="minorHAnsi" w:cstheme="minorHAnsi"/>
                <w:b/>
                <w:sz w:val="20"/>
                <w:szCs w:val="20"/>
              </w:rPr>
              <w:t>.</w:t>
            </w:r>
          </w:p>
        </w:tc>
      </w:tr>
      <w:tr w:rsidR="00FC32CE" w:rsidRPr="005552B5" w14:paraId="14799600" w14:textId="1D8A66C5" w:rsidTr="00F301CE">
        <w:trPr>
          <w:trHeight w:val="1417"/>
        </w:trPr>
        <w:tc>
          <w:tcPr>
            <w:tcW w:w="0" w:type="auto"/>
            <w:vAlign w:val="center"/>
          </w:tcPr>
          <w:p w14:paraId="3C9D28A5" w14:textId="66FADAD6" w:rsidR="004A68A0" w:rsidRPr="005552B5" w:rsidRDefault="004A68A0" w:rsidP="004A68A0">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7</w:t>
            </w:r>
          </w:p>
        </w:tc>
        <w:tc>
          <w:tcPr>
            <w:tcW w:w="1925" w:type="dxa"/>
          </w:tcPr>
          <w:p w14:paraId="742D1735" w14:textId="5235E763" w:rsidR="004A68A0" w:rsidRPr="005552B5" w:rsidRDefault="004A68A0" w:rsidP="004A68A0">
            <w:pPr>
              <w:spacing w:after="0" w:line="240" w:lineRule="auto"/>
              <w:jc w:val="both"/>
              <w:rPr>
                <w:rFonts w:asciiTheme="minorHAnsi" w:hAnsiTheme="minorHAnsi" w:cstheme="minorHAnsi"/>
                <w:sz w:val="20"/>
                <w:szCs w:val="20"/>
                <w:lang w:val="en-US"/>
              </w:rPr>
            </w:pPr>
            <w:proofErr w:type="spellStart"/>
            <w:r w:rsidRPr="005552B5">
              <w:rPr>
                <w:rFonts w:asciiTheme="minorHAnsi" w:hAnsiTheme="minorHAnsi" w:cstheme="minorHAnsi"/>
                <w:b/>
                <w:sz w:val="20"/>
                <w:szCs w:val="20"/>
                <w:lang w:val="en-US"/>
              </w:rPr>
              <w:t>Kempower</w:t>
            </w:r>
            <w:proofErr w:type="spellEnd"/>
            <w:r w:rsidRPr="005552B5">
              <w:rPr>
                <w:rFonts w:asciiTheme="minorHAnsi" w:hAnsiTheme="minorHAnsi" w:cstheme="minorHAnsi"/>
                <w:b/>
                <w:sz w:val="20"/>
                <w:szCs w:val="20"/>
                <w:lang w:val="en-US"/>
              </w:rPr>
              <w:t xml:space="preserve"> Sp. z </w:t>
            </w:r>
            <w:proofErr w:type="spellStart"/>
            <w:r w:rsidRPr="005552B5">
              <w:rPr>
                <w:rFonts w:asciiTheme="minorHAnsi" w:hAnsiTheme="minorHAnsi" w:cstheme="minorHAnsi"/>
                <w:b/>
                <w:sz w:val="20"/>
                <w:szCs w:val="20"/>
                <w:lang w:val="en-US"/>
              </w:rPr>
              <w:t>o.o.</w:t>
            </w:r>
            <w:proofErr w:type="spellEnd"/>
          </w:p>
        </w:tc>
        <w:tc>
          <w:tcPr>
            <w:tcW w:w="2770" w:type="dxa"/>
            <w:vAlign w:val="center"/>
          </w:tcPr>
          <w:p w14:paraId="713B7A25"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okres trwałości wynosi minimum 5 lat od dnia zakończenia realizacji inwestycji, przy czym </w:t>
            </w:r>
          </w:p>
          <w:p w14:paraId="00E04139" w14:textId="11C9DD46"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dniem zakończenia realizacji inwestycji jest uzyskanie pozwolenia na użytkowanie (po uprzednim badaniu technicznym przeprowadzonym przez Urząd Dozoru Technicznego lub Transportowy Dozór Techniczny (UDT lub TDT));</w:t>
            </w:r>
          </w:p>
        </w:tc>
        <w:tc>
          <w:tcPr>
            <w:tcW w:w="3486" w:type="dxa"/>
            <w:vAlign w:val="center"/>
          </w:tcPr>
          <w:p w14:paraId="3C21772A"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okres trwałości wynosi minimum 7 lat od dnia zakończenia realizacji inwestycji, przy czym </w:t>
            </w:r>
          </w:p>
          <w:p w14:paraId="556ECA02" w14:textId="6AE554B5"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dniem zakończenia realizacji inwestycji jest uzyskanie pozwolenia na użytkowanie (po uprzednim badaniu technicznym przeprowadzonym przez Urząd Dozoru Technicznego lub Transportowy Dozór Techniczny (UDT lub TDT));</w:t>
            </w:r>
          </w:p>
        </w:tc>
        <w:tc>
          <w:tcPr>
            <w:tcW w:w="3486" w:type="dxa"/>
            <w:vAlign w:val="center"/>
          </w:tcPr>
          <w:p w14:paraId="164898D4" w14:textId="5B53B23F"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Przy tak dużym dofinansowaniu ze środków publicznych, okres trwałości wynoszący 5 lat jest zdecydowanie zbyt krótki. Sugerujemy minimum 7. Jest to liczba z którą poradzi sobie większość poważnych dostawców technologii funkcjonujących na rynku.</w:t>
            </w:r>
          </w:p>
        </w:tc>
        <w:tc>
          <w:tcPr>
            <w:tcW w:w="3253" w:type="dxa"/>
          </w:tcPr>
          <w:p w14:paraId="65E8D979" w14:textId="52792259" w:rsidR="00E955D5" w:rsidRPr="005552B5" w:rsidRDefault="00E955D5" w:rsidP="00E955D5">
            <w:pPr>
              <w:spacing w:after="0" w:line="240" w:lineRule="auto"/>
              <w:jc w:val="both"/>
              <w:rPr>
                <w:rFonts w:asciiTheme="minorHAnsi" w:hAnsiTheme="minorHAnsi" w:cstheme="minorHAnsi"/>
                <w:sz w:val="20"/>
                <w:szCs w:val="20"/>
                <w:highlight w:val="green"/>
              </w:rPr>
            </w:pPr>
            <w:r w:rsidRPr="005552B5">
              <w:rPr>
                <w:rFonts w:asciiTheme="minorHAnsi" w:hAnsiTheme="minorHAnsi" w:cstheme="minorHAnsi"/>
                <w:sz w:val="20"/>
                <w:szCs w:val="20"/>
              </w:rPr>
              <w:t>Uwaga nie została uwzględniona. Pojawiały się różne sugestie – również te dotycząca znacznego skrócenia okresu trwałości inwestycji</w:t>
            </w:r>
            <w:r w:rsidR="00657AF1" w:rsidRPr="005552B5">
              <w:rPr>
                <w:rFonts w:asciiTheme="minorHAnsi" w:hAnsiTheme="minorHAnsi" w:cstheme="minorHAnsi"/>
                <w:sz w:val="20"/>
                <w:szCs w:val="20"/>
              </w:rPr>
              <w:t xml:space="preserve"> </w:t>
            </w:r>
            <w:r w:rsidRPr="005552B5">
              <w:rPr>
                <w:rFonts w:asciiTheme="minorHAnsi" w:hAnsiTheme="minorHAnsi" w:cstheme="minorHAnsi"/>
                <w:sz w:val="20"/>
                <w:szCs w:val="20"/>
              </w:rPr>
              <w:t>- np. do jednego roku. Pozostaje zapis 5 lat.</w:t>
            </w:r>
          </w:p>
          <w:p w14:paraId="509A04AA" w14:textId="77777777" w:rsidR="004A68A0" w:rsidRDefault="004A68A0" w:rsidP="004A68A0">
            <w:pPr>
              <w:spacing w:after="0" w:line="240" w:lineRule="auto"/>
              <w:jc w:val="both"/>
              <w:rPr>
                <w:rFonts w:asciiTheme="minorHAnsi" w:hAnsiTheme="minorHAnsi" w:cstheme="minorHAnsi"/>
                <w:sz w:val="20"/>
                <w:szCs w:val="20"/>
              </w:rPr>
            </w:pPr>
          </w:p>
          <w:p w14:paraId="5E093117" w14:textId="77777777" w:rsidR="008E3B2B" w:rsidRDefault="008E3B2B" w:rsidP="004A68A0">
            <w:pPr>
              <w:spacing w:after="0" w:line="240" w:lineRule="auto"/>
              <w:jc w:val="both"/>
              <w:rPr>
                <w:rFonts w:asciiTheme="minorHAnsi" w:hAnsiTheme="minorHAnsi" w:cstheme="minorHAnsi"/>
                <w:sz w:val="20"/>
                <w:szCs w:val="20"/>
              </w:rPr>
            </w:pPr>
          </w:p>
          <w:p w14:paraId="61955161" w14:textId="09AE7BD7" w:rsidR="008E3B2B" w:rsidRPr="005552B5" w:rsidRDefault="008E3B2B" w:rsidP="008E3B2B">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Pytanie powtórzone (jak nr 30), od </w:t>
            </w:r>
            <w:r w:rsidRPr="005552B5">
              <w:rPr>
                <w:rFonts w:asciiTheme="minorHAnsi" w:hAnsiTheme="minorHAnsi" w:cstheme="minorHAnsi"/>
                <w:b/>
                <w:sz w:val="20"/>
                <w:szCs w:val="20"/>
              </w:rPr>
              <w:t>Polskie</w:t>
            </w:r>
            <w:r w:rsidR="00170BCF">
              <w:rPr>
                <w:rFonts w:asciiTheme="minorHAnsi" w:hAnsiTheme="minorHAnsi" w:cstheme="minorHAnsi"/>
                <w:b/>
                <w:sz w:val="20"/>
                <w:szCs w:val="20"/>
              </w:rPr>
              <w:t>go</w:t>
            </w:r>
            <w:r w:rsidRPr="005552B5">
              <w:rPr>
                <w:rFonts w:asciiTheme="minorHAnsi" w:hAnsiTheme="minorHAnsi" w:cstheme="minorHAnsi"/>
                <w:b/>
                <w:sz w:val="20"/>
                <w:szCs w:val="20"/>
              </w:rPr>
              <w:t xml:space="preserve"> Stowarzyszeni</w:t>
            </w:r>
            <w:r w:rsidR="00170BCF">
              <w:rPr>
                <w:rFonts w:asciiTheme="minorHAnsi" w:hAnsiTheme="minorHAnsi" w:cstheme="minorHAnsi"/>
                <w:b/>
                <w:sz w:val="20"/>
                <w:szCs w:val="20"/>
              </w:rPr>
              <w:t>a</w:t>
            </w:r>
            <w:r w:rsidRPr="005552B5">
              <w:rPr>
                <w:rFonts w:asciiTheme="minorHAnsi" w:hAnsiTheme="minorHAnsi" w:cstheme="minorHAnsi"/>
                <w:b/>
                <w:sz w:val="20"/>
                <w:szCs w:val="20"/>
              </w:rPr>
              <w:t xml:space="preserve"> Paliw Alternatywnych – uwagi Partnerów</w:t>
            </w:r>
            <w:r>
              <w:rPr>
                <w:rFonts w:asciiTheme="minorHAnsi" w:hAnsiTheme="minorHAnsi" w:cstheme="minorHAnsi"/>
                <w:b/>
                <w:sz w:val="20"/>
                <w:szCs w:val="20"/>
              </w:rPr>
              <w:t>.</w:t>
            </w:r>
          </w:p>
        </w:tc>
      </w:tr>
      <w:tr w:rsidR="00FC32CE" w:rsidRPr="005552B5" w14:paraId="722BA918" w14:textId="385FF0D2" w:rsidTr="00F301CE">
        <w:trPr>
          <w:trHeight w:val="850"/>
        </w:trPr>
        <w:tc>
          <w:tcPr>
            <w:tcW w:w="0" w:type="auto"/>
            <w:vAlign w:val="center"/>
          </w:tcPr>
          <w:p w14:paraId="64B487A9" w14:textId="3DF6C1B7" w:rsidR="004A68A0" w:rsidRPr="005552B5" w:rsidRDefault="004A68A0" w:rsidP="004A68A0">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8</w:t>
            </w:r>
          </w:p>
        </w:tc>
        <w:tc>
          <w:tcPr>
            <w:tcW w:w="1925" w:type="dxa"/>
          </w:tcPr>
          <w:p w14:paraId="7CC53E86" w14:textId="304A8CAA" w:rsidR="004A68A0" w:rsidRPr="005573AD" w:rsidRDefault="004A68A0" w:rsidP="004A68A0">
            <w:pPr>
              <w:spacing w:after="0" w:line="240" w:lineRule="auto"/>
              <w:jc w:val="both"/>
              <w:rPr>
                <w:rFonts w:asciiTheme="minorHAnsi" w:hAnsiTheme="minorHAnsi" w:cstheme="minorHAnsi"/>
                <w:b/>
                <w:sz w:val="20"/>
                <w:szCs w:val="20"/>
                <w:lang w:val="en-US"/>
              </w:rPr>
            </w:pPr>
            <w:proofErr w:type="spellStart"/>
            <w:r w:rsidRPr="005573AD">
              <w:rPr>
                <w:rFonts w:asciiTheme="minorHAnsi" w:hAnsiTheme="minorHAnsi" w:cstheme="minorHAnsi"/>
                <w:b/>
                <w:sz w:val="20"/>
                <w:szCs w:val="20"/>
                <w:lang w:val="en-US"/>
              </w:rPr>
              <w:t>Kempower</w:t>
            </w:r>
            <w:proofErr w:type="spellEnd"/>
            <w:r w:rsidRPr="005573AD">
              <w:rPr>
                <w:rFonts w:asciiTheme="minorHAnsi" w:hAnsiTheme="minorHAnsi" w:cstheme="minorHAnsi"/>
                <w:b/>
                <w:sz w:val="20"/>
                <w:szCs w:val="20"/>
                <w:lang w:val="en-US"/>
              </w:rPr>
              <w:t xml:space="preserve"> Sp. z </w:t>
            </w:r>
            <w:proofErr w:type="spellStart"/>
            <w:r w:rsidRPr="005573AD">
              <w:rPr>
                <w:rFonts w:asciiTheme="minorHAnsi" w:hAnsiTheme="minorHAnsi" w:cstheme="minorHAnsi"/>
                <w:b/>
                <w:sz w:val="20"/>
                <w:szCs w:val="20"/>
                <w:lang w:val="en-US"/>
              </w:rPr>
              <w:t>o.o.</w:t>
            </w:r>
            <w:proofErr w:type="spellEnd"/>
          </w:p>
        </w:tc>
        <w:tc>
          <w:tcPr>
            <w:tcW w:w="2770" w:type="dxa"/>
            <w:vAlign w:val="center"/>
          </w:tcPr>
          <w:p w14:paraId="35FC9C9B" w14:textId="47835C26"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Kryteria jakościowe oceny wniosku</w:t>
            </w:r>
          </w:p>
        </w:tc>
        <w:tc>
          <w:tcPr>
            <w:tcW w:w="3486" w:type="dxa"/>
            <w:vAlign w:val="center"/>
          </w:tcPr>
          <w:p w14:paraId="10DE488C"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Dodatkowe kryteria techniczne MCS:</w:t>
            </w:r>
          </w:p>
          <w:p w14:paraId="3A91D1B1"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Możliwość późniejszego wyposażenia instalacji w złącze MCS, umożlwiające ładowanie z mocą co najmniej 1MW – 10p.</w:t>
            </w:r>
          </w:p>
          <w:p w14:paraId="187A458C" w14:textId="07263AF0"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Brak możliwości wyposażenia instalacji w złącze MCS bez konieczności wymiany kluczowych komponentów – 1p.</w:t>
            </w:r>
          </w:p>
        </w:tc>
        <w:tc>
          <w:tcPr>
            <w:tcW w:w="3486" w:type="dxa"/>
            <w:vAlign w:val="center"/>
          </w:tcPr>
          <w:p w14:paraId="25CADA76" w14:textId="3BD70D45"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Mocno sugerujemy dodanie kolejnego kryterium technicznego lub uwzględnienia możliwości doposażenia stacji w złącze standardu MCS (</w:t>
            </w:r>
            <w:proofErr w:type="spellStart"/>
            <w:r w:rsidRPr="005552B5">
              <w:rPr>
                <w:rFonts w:asciiTheme="minorHAnsi" w:hAnsiTheme="minorHAnsi" w:cstheme="minorHAnsi"/>
                <w:sz w:val="20"/>
                <w:szCs w:val="20"/>
              </w:rPr>
              <w:t>Megawatt</w:t>
            </w:r>
            <w:proofErr w:type="spellEnd"/>
            <w:r w:rsidRPr="005552B5">
              <w:rPr>
                <w:rFonts w:asciiTheme="minorHAnsi" w:hAnsiTheme="minorHAnsi" w:cstheme="minorHAnsi"/>
                <w:sz w:val="20"/>
                <w:szCs w:val="20"/>
              </w:rPr>
              <w:t xml:space="preserve"> </w:t>
            </w:r>
            <w:proofErr w:type="spellStart"/>
            <w:r w:rsidRPr="005552B5">
              <w:rPr>
                <w:rFonts w:asciiTheme="minorHAnsi" w:hAnsiTheme="minorHAnsi" w:cstheme="minorHAnsi"/>
                <w:sz w:val="20"/>
                <w:szCs w:val="20"/>
              </w:rPr>
              <w:t>Charging</w:t>
            </w:r>
            <w:proofErr w:type="spellEnd"/>
            <w:r w:rsidRPr="005552B5">
              <w:rPr>
                <w:rFonts w:asciiTheme="minorHAnsi" w:hAnsiTheme="minorHAnsi" w:cstheme="minorHAnsi"/>
                <w:sz w:val="20"/>
                <w:szCs w:val="20"/>
              </w:rPr>
              <w:t xml:space="preserve"> Solution) w inny sposób i promowania takiej możliwości. MCS oczekuje aktualnie na oficjalne zatwierdzenie standardu. Wielu producentów ciężarówek zamierza korzystać z niego dla swoich pojazdów długodystansowych. Warto było by promować rozwiązania, które umożliwiają bezproblemową rozbudowę urządzeń o jeszcze wyższe moce ładowania.</w:t>
            </w:r>
          </w:p>
        </w:tc>
        <w:tc>
          <w:tcPr>
            <w:tcW w:w="3253" w:type="dxa"/>
          </w:tcPr>
          <w:p w14:paraId="1A92A0F3" w14:textId="304D3194"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w:t>
            </w:r>
            <w:r w:rsidR="00E955D5" w:rsidRPr="005552B5">
              <w:rPr>
                <w:rFonts w:asciiTheme="minorHAnsi" w:hAnsiTheme="minorHAnsi" w:cstheme="minorHAnsi"/>
                <w:sz w:val="20"/>
                <w:szCs w:val="20"/>
              </w:rPr>
              <w:t xml:space="preserve"> niezasadna - </w:t>
            </w:r>
            <w:r w:rsidRPr="005552B5">
              <w:rPr>
                <w:rFonts w:asciiTheme="minorHAnsi" w:hAnsiTheme="minorHAnsi" w:cstheme="minorHAnsi"/>
                <w:sz w:val="20"/>
                <w:szCs w:val="20"/>
              </w:rPr>
              <w:t xml:space="preserve"> nie została uwzględniona</w:t>
            </w:r>
            <w:r w:rsidR="00E955D5" w:rsidRPr="005552B5">
              <w:rPr>
                <w:rFonts w:asciiTheme="minorHAnsi" w:hAnsiTheme="minorHAnsi" w:cstheme="minorHAnsi"/>
                <w:sz w:val="20"/>
                <w:szCs w:val="20"/>
              </w:rPr>
              <w:t>.</w:t>
            </w:r>
          </w:p>
          <w:p w14:paraId="1C73C180" w14:textId="77577439" w:rsidR="00E955D5" w:rsidRPr="005552B5" w:rsidRDefault="00E955D5"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Umożliwiamy również doposażanie w złącze tego standardu.</w:t>
            </w:r>
          </w:p>
          <w:p w14:paraId="3E8A51F1" w14:textId="77777777" w:rsidR="004A68A0" w:rsidRPr="005552B5" w:rsidRDefault="004A68A0" w:rsidP="004A68A0">
            <w:pPr>
              <w:spacing w:after="0" w:line="240" w:lineRule="auto"/>
              <w:jc w:val="both"/>
              <w:rPr>
                <w:rFonts w:asciiTheme="minorHAnsi" w:hAnsiTheme="minorHAnsi" w:cstheme="minorHAnsi"/>
                <w:sz w:val="20"/>
                <w:szCs w:val="20"/>
              </w:rPr>
            </w:pPr>
          </w:p>
          <w:p w14:paraId="42DF07E4" w14:textId="29546A1E" w:rsidR="004A68A0"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Nie ograniczamy możliwości doposażenia stacji w złącze standardu MCS (</w:t>
            </w:r>
            <w:proofErr w:type="spellStart"/>
            <w:r w:rsidRPr="005552B5">
              <w:rPr>
                <w:rFonts w:asciiTheme="minorHAnsi" w:hAnsiTheme="minorHAnsi" w:cstheme="minorHAnsi"/>
                <w:sz w:val="20"/>
                <w:szCs w:val="20"/>
              </w:rPr>
              <w:t>Megawatt</w:t>
            </w:r>
            <w:proofErr w:type="spellEnd"/>
            <w:r w:rsidRPr="005552B5">
              <w:rPr>
                <w:rFonts w:asciiTheme="minorHAnsi" w:hAnsiTheme="minorHAnsi" w:cstheme="minorHAnsi"/>
                <w:sz w:val="20"/>
                <w:szCs w:val="20"/>
              </w:rPr>
              <w:t xml:space="preserve"> </w:t>
            </w:r>
            <w:proofErr w:type="spellStart"/>
            <w:r w:rsidRPr="005552B5">
              <w:rPr>
                <w:rFonts w:asciiTheme="minorHAnsi" w:hAnsiTheme="minorHAnsi" w:cstheme="minorHAnsi"/>
                <w:sz w:val="20"/>
                <w:szCs w:val="20"/>
              </w:rPr>
              <w:t>Charging</w:t>
            </w:r>
            <w:proofErr w:type="spellEnd"/>
            <w:r w:rsidRPr="005552B5">
              <w:rPr>
                <w:rFonts w:asciiTheme="minorHAnsi" w:hAnsiTheme="minorHAnsi" w:cstheme="minorHAnsi"/>
                <w:sz w:val="20"/>
                <w:szCs w:val="20"/>
              </w:rPr>
              <w:t xml:space="preserve"> Solution</w:t>
            </w:r>
            <w:r w:rsidR="00170BCF">
              <w:rPr>
                <w:rFonts w:asciiTheme="minorHAnsi" w:hAnsiTheme="minorHAnsi" w:cstheme="minorHAnsi"/>
                <w:sz w:val="20"/>
                <w:szCs w:val="20"/>
              </w:rPr>
              <w:t>)</w:t>
            </w:r>
            <w:r w:rsidRPr="005552B5">
              <w:rPr>
                <w:rFonts w:asciiTheme="minorHAnsi" w:hAnsiTheme="minorHAnsi" w:cstheme="minorHAnsi"/>
                <w:sz w:val="20"/>
                <w:szCs w:val="20"/>
              </w:rPr>
              <w:t xml:space="preserve"> ani maksymalnej mocy stacji ładowania</w:t>
            </w:r>
            <w:r w:rsidR="008837B9" w:rsidRPr="005552B5">
              <w:rPr>
                <w:rFonts w:asciiTheme="minorHAnsi" w:hAnsiTheme="minorHAnsi" w:cstheme="minorHAnsi"/>
                <w:sz w:val="20"/>
                <w:szCs w:val="20"/>
              </w:rPr>
              <w:t>. Nie jest zasadne punktowanie jednego rozwiązania – tym bardziej czekającego na zatwierdzenie tegoż standardu.</w:t>
            </w:r>
          </w:p>
          <w:p w14:paraId="193828B8" w14:textId="77777777" w:rsidR="008E3B2B" w:rsidRDefault="008E3B2B" w:rsidP="004A68A0">
            <w:pPr>
              <w:spacing w:after="0" w:line="240" w:lineRule="auto"/>
              <w:jc w:val="both"/>
              <w:rPr>
                <w:rFonts w:asciiTheme="minorHAnsi" w:hAnsiTheme="minorHAnsi" w:cstheme="minorHAnsi"/>
                <w:sz w:val="20"/>
                <w:szCs w:val="20"/>
              </w:rPr>
            </w:pPr>
          </w:p>
          <w:p w14:paraId="53A6886C" w14:textId="442DBA64" w:rsidR="008E3B2B" w:rsidRPr="005552B5" w:rsidRDefault="008E3B2B" w:rsidP="008E3B2B">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Pytanie powtórzone (jak nr 31), od </w:t>
            </w:r>
            <w:r w:rsidRPr="005552B5">
              <w:rPr>
                <w:rFonts w:asciiTheme="minorHAnsi" w:hAnsiTheme="minorHAnsi" w:cstheme="minorHAnsi"/>
                <w:b/>
                <w:sz w:val="20"/>
                <w:szCs w:val="20"/>
              </w:rPr>
              <w:t>Polskie</w:t>
            </w:r>
            <w:r w:rsidR="00170BCF">
              <w:rPr>
                <w:rFonts w:asciiTheme="minorHAnsi" w:hAnsiTheme="minorHAnsi" w:cstheme="minorHAnsi"/>
                <w:b/>
                <w:sz w:val="20"/>
                <w:szCs w:val="20"/>
              </w:rPr>
              <w:t>go</w:t>
            </w:r>
            <w:r w:rsidRPr="005552B5">
              <w:rPr>
                <w:rFonts w:asciiTheme="minorHAnsi" w:hAnsiTheme="minorHAnsi" w:cstheme="minorHAnsi"/>
                <w:b/>
                <w:sz w:val="20"/>
                <w:szCs w:val="20"/>
              </w:rPr>
              <w:t xml:space="preserve"> Stowarzyszeni</w:t>
            </w:r>
            <w:r w:rsidR="00170BCF">
              <w:rPr>
                <w:rFonts w:asciiTheme="minorHAnsi" w:hAnsiTheme="minorHAnsi" w:cstheme="minorHAnsi"/>
                <w:b/>
                <w:sz w:val="20"/>
                <w:szCs w:val="20"/>
              </w:rPr>
              <w:t>a</w:t>
            </w:r>
            <w:r w:rsidRPr="005552B5">
              <w:rPr>
                <w:rFonts w:asciiTheme="minorHAnsi" w:hAnsiTheme="minorHAnsi" w:cstheme="minorHAnsi"/>
                <w:b/>
                <w:sz w:val="20"/>
                <w:szCs w:val="20"/>
              </w:rPr>
              <w:t xml:space="preserve"> Paliw Alternatywnych – uwagi Partnerów</w:t>
            </w:r>
            <w:r>
              <w:rPr>
                <w:rFonts w:asciiTheme="minorHAnsi" w:hAnsiTheme="minorHAnsi" w:cstheme="minorHAnsi"/>
                <w:b/>
                <w:sz w:val="20"/>
                <w:szCs w:val="20"/>
              </w:rPr>
              <w:t>.</w:t>
            </w:r>
          </w:p>
        </w:tc>
      </w:tr>
      <w:tr w:rsidR="00FC32CE" w:rsidRPr="005552B5" w14:paraId="618D4B9C" w14:textId="36CC72CC" w:rsidTr="00F301CE">
        <w:tc>
          <w:tcPr>
            <w:tcW w:w="0" w:type="auto"/>
            <w:vAlign w:val="center"/>
          </w:tcPr>
          <w:p w14:paraId="5CF0571A" w14:textId="427E8977" w:rsidR="004A68A0" w:rsidRPr="005552B5" w:rsidRDefault="004A68A0" w:rsidP="004A68A0">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9</w:t>
            </w:r>
          </w:p>
        </w:tc>
        <w:tc>
          <w:tcPr>
            <w:tcW w:w="1925" w:type="dxa"/>
          </w:tcPr>
          <w:p w14:paraId="0B4A70B1" w14:textId="370322A3" w:rsidR="004A68A0" w:rsidRPr="005552B5" w:rsidRDefault="004A68A0" w:rsidP="004A68A0">
            <w:pPr>
              <w:spacing w:after="0" w:line="240" w:lineRule="auto"/>
              <w:jc w:val="both"/>
              <w:rPr>
                <w:rFonts w:asciiTheme="minorHAnsi" w:hAnsiTheme="minorHAnsi" w:cstheme="minorHAnsi"/>
                <w:b/>
                <w:sz w:val="20"/>
                <w:szCs w:val="20"/>
                <w:lang w:val="en-US"/>
              </w:rPr>
            </w:pPr>
            <w:proofErr w:type="spellStart"/>
            <w:r w:rsidRPr="005552B5">
              <w:rPr>
                <w:rFonts w:asciiTheme="minorHAnsi" w:hAnsiTheme="minorHAnsi" w:cstheme="minorHAnsi"/>
                <w:b/>
                <w:sz w:val="20"/>
                <w:szCs w:val="20"/>
                <w:lang w:val="en-US"/>
              </w:rPr>
              <w:t>Kempower</w:t>
            </w:r>
            <w:proofErr w:type="spellEnd"/>
            <w:r w:rsidRPr="005552B5">
              <w:rPr>
                <w:rFonts w:asciiTheme="minorHAnsi" w:hAnsiTheme="minorHAnsi" w:cstheme="minorHAnsi"/>
                <w:b/>
                <w:sz w:val="20"/>
                <w:szCs w:val="20"/>
                <w:lang w:val="en-US"/>
              </w:rPr>
              <w:t xml:space="preserve"> Sp. z </w:t>
            </w:r>
            <w:proofErr w:type="spellStart"/>
            <w:r w:rsidRPr="005552B5">
              <w:rPr>
                <w:rFonts w:asciiTheme="minorHAnsi" w:hAnsiTheme="minorHAnsi" w:cstheme="minorHAnsi"/>
                <w:b/>
                <w:sz w:val="20"/>
                <w:szCs w:val="20"/>
                <w:lang w:val="en-US"/>
              </w:rPr>
              <w:t>o.o.</w:t>
            </w:r>
            <w:proofErr w:type="spellEnd"/>
          </w:p>
        </w:tc>
        <w:tc>
          <w:tcPr>
            <w:tcW w:w="2770" w:type="dxa"/>
            <w:vAlign w:val="center"/>
          </w:tcPr>
          <w:p w14:paraId="41D1ED86" w14:textId="1340DBE5" w:rsidR="004A68A0" w:rsidRPr="005552B5" w:rsidRDefault="004A68A0" w:rsidP="004A68A0">
            <w:pPr>
              <w:spacing w:after="0" w:line="240" w:lineRule="auto"/>
              <w:jc w:val="both"/>
              <w:rPr>
                <w:rFonts w:asciiTheme="minorHAnsi" w:hAnsiTheme="minorHAnsi" w:cstheme="minorHAnsi"/>
                <w:sz w:val="20"/>
                <w:szCs w:val="20"/>
                <w:lang w:val="en-US"/>
              </w:rPr>
            </w:pPr>
            <w:proofErr w:type="spellStart"/>
            <w:r w:rsidRPr="005552B5">
              <w:rPr>
                <w:rFonts w:asciiTheme="minorHAnsi" w:hAnsiTheme="minorHAnsi" w:cstheme="minorHAnsi"/>
                <w:sz w:val="20"/>
                <w:szCs w:val="20"/>
                <w:lang w:val="en-US"/>
              </w:rPr>
              <w:t>Kryteria</w:t>
            </w:r>
            <w:proofErr w:type="spellEnd"/>
            <w:r w:rsidRPr="005552B5">
              <w:rPr>
                <w:rFonts w:asciiTheme="minorHAnsi" w:hAnsiTheme="minorHAnsi" w:cstheme="minorHAnsi"/>
                <w:sz w:val="20"/>
                <w:szCs w:val="20"/>
                <w:lang w:val="en-US"/>
              </w:rPr>
              <w:t xml:space="preserve"> </w:t>
            </w:r>
            <w:proofErr w:type="spellStart"/>
            <w:r w:rsidRPr="005552B5">
              <w:rPr>
                <w:rFonts w:asciiTheme="minorHAnsi" w:hAnsiTheme="minorHAnsi" w:cstheme="minorHAnsi"/>
                <w:sz w:val="20"/>
                <w:szCs w:val="20"/>
                <w:lang w:val="en-US"/>
              </w:rPr>
              <w:t>jakościowe</w:t>
            </w:r>
            <w:proofErr w:type="spellEnd"/>
            <w:r w:rsidRPr="005552B5">
              <w:rPr>
                <w:rFonts w:asciiTheme="minorHAnsi" w:hAnsiTheme="minorHAnsi" w:cstheme="minorHAnsi"/>
                <w:sz w:val="20"/>
                <w:szCs w:val="20"/>
                <w:lang w:val="en-US"/>
              </w:rPr>
              <w:t xml:space="preserve"> </w:t>
            </w:r>
            <w:proofErr w:type="spellStart"/>
            <w:r w:rsidRPr="005552B5">
              <w:rPr>
                <w:rFonts w:asciiTheme="minorHAnsi" w:hAnsiTheme="minorHAnsi" w:cstheme="minorHAnsi"/>
                <w:sz w:val="20"/>
                <w:szCs w:val="20"/>
                <w:lang w:val="en-US"/>
              </w:rPr>
              <w:t>oceny</w:t>
            </w:r>
            <w:proofErr w:type="spellEnd"/>
            <w:r w:rsidRPr="005552B5">
              <w:rPr>
                <w:rFonts w:asciiTheme="minorHAnsi" w:hAnsiTheme="minorHAnsi" w:cstheme="minorHAnsi"/>
                <w:sz w:val="20"/>
                <w:szCs w:val="20"/>
                <w:lang w:val="en-US"/>
              </w:rPr>
              <w:t xml:space="preserve"> </w:t>
            </w:r>
            <w:proofErr w:type="spellStart"/>
            <w:r w:rsidRPr="005552B5">
              <w:rPr>
                <w:rFonts w:asciiTheme="minorHAnsi" w:hAnsiTheme="minorHAnsi" w:cstheme="minorHAnsi"/>
                <w:sz w:val="20"/>
                <w:szCs w:val="20"/>
                <w:lang w:val="en-US"/>
              </w:rPr>
              <w:t>wniosku</w:t>
            </w:r>
            <w:proofErr w:type="spellEnd"/>
          </w:p>
        </w:tc>
        <w:tc>
          <w:tcPr>
            <w:tcW w:w="3486" w:type="dxa"/>
            <w:vAlign w:val="center"/>
          </w:tcPr>
          <w:p w14:paraId="275DA4BC"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Dodatkowe kryteria techniczne, dodatkowe punkty ładowania: </w:t>
            </w:r>
          </w:p>
          <w:p w14:paraId="4E8581B5"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Możliwość wyposażenia stacji ładowania w 5 i więcej punktów ładowania o wyjściowej mocy ładowania wynoszącej co najmniej 250 kW – 10p.</w:t>
            </w:r>
          </w:p>
          <w:p w14:paraId="72CDEC8B"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Możliwość wyposażenia stacji ładowania w 3 i więcej punktów ładowania o wyjściowej mocy ładowania wynoszącej co najmniej 250 kW – 5p.</w:t>
            </w:r>
          </w:p>
          <w:p w14:paraId="5576B3A7" w14:textId="60F890FF"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w:t>
            </w:r>
            <w:r w:rsidRPr="005552B5">
              <w:rPr>
                <w:rFonts w:asciiTheme="minorHAnsi" w:hAnsiTheme="minorHAnsi" w:cstheme="minorHAnsi"/>
                <w:sz w:val="20"/>
                <w:szCs w:val="20"/>
              </w:rPr>
              <w:tab/>
              <w:t>Możliwość wyposażenia stacji ładowania w 2 i więcej punktów ładowania o wyjściowej mocy ładowania wynoszącej co najmniej 250 kW – 1p.</w:t>
            </w:r>
          </w:p>
        </w:tc>
        <w:tc>
          <w:tcPr>
            <w:tcW w:w="3486" w:type="dxa"/>
            <w:vAlign w:val="center"/>
          </w:tcPr>
          <w:p w14:paraId="45D6EEA0" w14:textId="4A449544"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Aktualnie, maksymalna moc ładowania większości producentów pojazdów ciężarowych to maksymalnie 250 </w:t>
            </w:r>
            <w:proofErr w:type="spellStart"/>
            <w:r w:rsidRPr="005552B5">
              <w:rPr>
                <w:rFonts w:asciiTheme="minorHAnsi" w:hAnsiTheme="minorHAnsi" w:cstheme="minorHAnsi"/>
                <w:sz w:val="20"/>
                <w:szCs w:val="20"/>
              </w:rPr>
              <w:t>kW.</w:t>
            </w:r>
            <w:proofErr w:type="spellEnd"/>
            <w:r w:rsidRPr="005552B5">
              <w:rPr>
                <w:rFonts w:asciiTheme="minorHAnsi" w:hAnsiTheme="minorHAnsi" w:cstheme="minorHAnsi"/>
                <w:sz w:val="20"/>
                <w:szCs w:val="20"/>
              </w:rPr>
              <w:t xml:space="preserve"> W ramach </w:t>
            </w:r>
            <w:proofErr w:type="spellStart"/>
            <w:r w:rsidRPr="005552B5">
              <w:rPr>
                <w:rFonts w:asciiTheme="minorHAnsi" w:hAnsiTheme="minorHAnsi" w:cstheme="minorHAnsi"/>
                <w:sz w:val="20"/>
                <w:szCs w:val="20"/>
              </w:rPr>
              <w:t>hubów</w:t>
            </w:r>
            <w:proofErr w:type="spellEnd"/>
            <w:r w:rsidRPr="005552B5">
              <w:rPr>
                <w:rFonts w:asciiTheme="minorHAnsi" w:hAnsiTheme="minorHAnsi" w:cstheme="minorHAnsi"/>
                <w:sz w:val="20"/>
                <w:szCs w:val="20"/>
              </w:rPr>
              <w:t xml:space="preserve"> szybkiego ładowania dla ciężarówek, mogą znajdować się również stanowiska zapewniające ładowania takimi mocami. Jest mo maksymalnie efektywne wykorzystanie dostępnych mocy przyłączeniowych (jeżeli pojazdy nie są w stanie </w:t>
            </w:r>
            <w:r w:rsidRPr="005552B5">
              <w:rPr>
                <w:rFonts w:asciiTheme="minorHAnsi" w:hAnsiTheme="minorHAnsi" w:cstheme="minorHAnsi"/>
                <w:sz w:val="20"/>
                <w:szCs w:val="20"/>
              </w:rPr>
              <w:lastRenderedPageBreak/>
              <w:t>maksymalnie wykorzystać możliwości ładowania 350 kW i większych).</w:t>
            </w:r>
          </w:p>
        </w:tc>
        <w:tc>
          <w:tcPr>
            <w:tcW w:w="3253" w:type="dxa"/>
          </w:tcPr>
          <w:p w14:paraId="57EDC176" w14:textId="65850203"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Uwaga </w:t>
            </w:r>
            <w:r w:rsidR="008837B9" w:rsidRPr="005552B5">
              <w:rPr>
                <w:rFonts w:asciiTheme="minorHAnsi" w:hAnsiTheme="minorHAnsi" w:cstheme="minorHAnsi"/>
                <w:sz w:val="20"/>
                <w:szCs w:val="20"/>
              </w:rPr>
              <w:t>częściowo</w:t>
            </w:r>
            <w:r w:rsidRPr="005552B5">
              <w:rPr>
                <w:rFonts w:asciiTheme="minorHAnsi" w:hAnsiTheme="minorHAnsi" w:cstheme="minorHAnsi"/>
                <w:sz w:val="20"/>
                <w:szCs w:val="20"/>
              </w:rPr>
              <w:t xml:space="preserve"> uwzględniona</w:t>
            </w:r>
            <w:r w:rsidR="008837B9" w:rsidRPr="005552B5">
              <w:rPr>
                <w:rFonts w:asciiTheme="minorHAnsi" w:hAnsiTheme="minorHAnsi" w:cstheme="minorHAnsi"/>
                <w:sz w:val="20"/>
                <w:szCs w:val="20"/>
              </w:rPr>
              <w:t xml:space="preserve"> -  doprecyzowano zapisy w danym kryterium.</w:t>
            </w:r>
          </w:p>
          <w:p w14:paraId="0E95D70C" w14:textId="77777777" w:rsidR="004A68A0" w:rsidRPr="005552B5" w:rsidRDefault="004A68A0" w:rsidP="004A68A0">
            <w:pPr>
              <w:spacing w:after="0" w:line="240" w:lineRule="auto"/>
              <w:jc w:val="both"/>
              <w:rPr>
                <w:rFonts w:asciiTheme="minorHAnsi" w:hAnsiTheme="minorHAnsi" w:cstheme="minorHAnsi"/>
                <w:sz w:val="20"/>
                <w:szCs w:val="20"/>
              </w:rPr>
            </w:pPr>
          </w:p>
          <w:p w14:paraId="7C152452" w14:textId="011BB396"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Program dedykowany stacjom ładowania prądem stałym o mocy nie mniejszej niż 350 kW</w:t>
            </w:r>
            <w:r w:rsidR="008837B9" w:rsidRPr="005552B5">
              <w:rPr>
                <w:rFonts w:asciiTheme="minorHAnsi" w:hAnsiTheme="minorHAnsi" w:cstheme="minorHAnsi"/>
                <w:sz w:val="20"/>
                <w:szCs w:val="20"/>
              </w:rPr>
              <w:t xml:space="preserve"> (zgodnie z AFIR)</w:t>
            </w:r>
            <w:r w:rsidRPr="005552B5">
              <w:rPr>
                <w:rFonts w:asciiTheme="minorHAnsi" w:hAnsiTheme="minorHAnsi" w:cstheme="minorHAnsi"/>
                <w:sz w:val="20"/>
                <w:szCs w:val="20"/>
              </w:rPr>
              <w:t>, więc nie będziemy w kryteriach uwzględniać punktów ładowania o mniejszej mocy niż w programie.</w:t>
            </w:r>
          </w:p>
          <w:p w14:paraId="04482BCD" w14:textId="77777777" w:rsidR="004A68A0" w:rsidRDefault="004A68A0" w:rsidP="004A68A0">
            <w:pPr>
              <w:spacing w:after="0" w:line="240" w:lineRule="auto"/>
              <w:jc w:val="both"/>
              <w:rPr>
                <w:rFonts w:asciiTheme="minorHAnsi" w:hAnsiTheme="minorHAnsi" w:cstheme="minorHAnsi"/>
                <w:sz w:val="20"/>
                <w:szCs w:val="20"/>
              </w:rPr>
            </w:pPr>
          </w:p>
          <w:p w14:paraId="5C5CD499" w14:textId="5DE72FC9" w:rsidR="008E3B2B" w:rsidRPr="005552B5" w:rsidRDefault="008E3B2B" w:rsidP="008E3B2B">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Pytanie powtórzone (jak nr 32), od </w:t>
            </w:r>
            <w:r w:rsidRPr="005552B5">
              <w:rPr>
                <w:rFonts w:asciiTheme="minorHAnsi" w:hAnsiTheme="minorHAnsi" w:cstheme="minorHAnsi"/>
                <w:b/>
                <w:sz w:val="20"/>
                <w:szCs w:val="20"/>
              </w:rPr>
              <w:t>Polskie Stowarzyszenie Paliw Alternatywnych – uwagi Partnerów</w:t>
            </w:r>
            <w:r>
              <w:rPr>
                <w:rFonts w:asciiTheme="minorHAnsi" w:hAnsiTheme="minorHAnsi" w:cstheme="minorHAnsi"/>
                <w:b/>
                <w:sz w:val="20"/>
                <w:szCs w:val="20"/>
              </w:rPr>
              <w:t>.</w:t>
            </w:r>
          </w:p>
        </w:tc>
      </w:tr>
      <w:tr w:rsidR="00FC32CE" w:rsidRPr="005552B5" w14:paraId="7A8E9FEA" w14:textId="77777777" w:rsidTr="00F301CE">
        <w:tc>
          <w:tcPr>
            <w:tcW w:w="0" w:type="auto"/>
            <w:vAlign w:val="center"/>
          </w:tcPr>
          <w:p w14:paraId="2B454FAB" w14:textId="75D7865C" w:rsidR="004A68A0" w:rsidRPr="005552B5" w:rsidRDefault="004A68A0" w:rsidP="004A68A0">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lastRenderedPageBreak/>
              <w:t>10</w:t>
            </w:r>
          </w:p>
        </w:tc>
        <w:tc>
          <w:tcPr>
            <w:tcW w:w="1925" w:type="dxa"/>
          </w:tcPr>
          <w:p w14:paraId="1D0E259F" w14:textId="0E5488A1" w:rsidR="004A68A0" w:rsidRPr="005552B5" w:rsidRDefault="004A68A0" w:rsidP="004A68A0">
            <w:pPr>
              <w:spacing w:after="0" w:line="240" w:lineRule="auto"/>
              <w:jc w:val="both"/>
              <w:rPr>
                <w:rFonts w:asciiTheme="minorHAnsi" w:hAnsiTheme="minorHAnsi" w:cstheme="minorHAnsi"/>
                <w:b/>
                <w:sz w:val="20"/>
                <w:szCs w:val="20"/>
                <w:lang w:val="en-US"/>
              </w:rPr>
            </w:pPr>
            <w:proofErr w:type="spellStart"/>
            <w:r w:rsidRPr="005552B5">
              <w:rPr>
                <w:rFonts w:asciiTheme="minorHAnsi" w:hAnsiTheme="minorHAnsi" w:cstheme="minorHAnsi"/>
                <w:b/>
                <w:sz w:val="20"/>
                <w:szCs w:val="20"/>
                <w:lang w:val="en-US"/>
              </w:rPr>
              <w:t>Kempower</w:t>
            </w:r>
            <w:proofErr w:type="spellEnd"/>
            <w:r w:rsidRPr="005552B5">
              <w:rPr>
                <w:rFonts w:asciiTheme="minorHAnsi" w:hAnsiTheme="minorHAnsi" w:cstheme="minorHAnsi"/>
                <w:b/>
                <w:sz w:val="20"/>
                <w:szCs w:val="20"/>
                <w:lang w:val="en-US"/>
              </w:rPr>
              <w:t xml:space="preserve"> Sp. z </w:t>
            </w:r>
            <w:proofErr w:type="spellStart"/>
            <w:r w:rsidRPr="005552B5">
              <w:rPr>
                <w:rFonts w:asciiTheme="minorHAnsi" w:hAnsiTheme="minorHAnsi" w:cstheme="minorHAnsi"/>
                <w:b/>
                <w:sz w:val="20"/>
                <w:szCs w:val="20"/>
                <w:lang w:val="en-US"/>
              </w:rPr>
              <w:t>o.o.</w:t>
            </w:r>
            <w:proofErr w:type="spellEnd"/>
          </w:p>
        </w:tc>
        <w:tc>
          <w:tcPr>
            <w:tcW w:w="2770" w:type="dxa"/>
            <w:vAlign w:val="center"/>
          </w:tcPr>
          <w:p w14:paraId="2DE7C5C5"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Inwestycje, których realizacja przyczyni się do osiągnięcia najlepszego efektu rzeczowego, rozumianego jako wybudowanie/rozbudowanie ogólnodostępnej stacji ładowania o największej zainstalowanej mocy wyjściowej.</w:t>
            </w:r>
          </w:p>
          <w:p w14:paraId="2F9AD26F"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Sposób przyznawania punktów:</w:t>
            </w:r>
          </w:p>
          <w:p w14:paraId="6187CB2F"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dla inwestycji realizowanych wzdłuż drogowej sieci bazowej TEN-T:</w:t>
            </w:r>
          </w:p>
          <w:p w14:paraId="318AA244"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Ogólnodostępna stacja ładowania wyposażona:</w:t>
            </w:r>
          </w:p>
          <w:p w14:paraId="42C5F7B7" w14:textId="2E7FDC8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w 3 punkty ładowania o indywidualnej mocy wyjściowej wynoszącej co najmniej 350 kW –  1 p.</w:t>
            </w:r>
          </w:p>
        </w:tc>
        <w:tc>
          <w:tcPr>
            <w:tcW w:w="3486" w:type="dxa"/>
            <w:vAlign w:val="center"/>
          </w:tcPr>
          <w:p w14:paraId="7C193AE6"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Inwestycje, których realizacja przyczyni się do osiągnięcia najlepszego efektu rzeczowego, rozumianego jako wybudowanie/rozbudowanie ogólnodostępnej stacji ładowania o największej zainstalowanej mocy wyjściowej.</w:t>
            </w:r>
          </w:p>
          <w:p w14:paraId="6EF57A52"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Sposób przyznawania punktów:</w:t>
            </w:r>
          </w:p>
          <w:p w14:paraId="5A6283DD"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dla inwestycji realizowanych wzdłuż drogowej sieci bazowej TEN-T:</w:t>
            </w:r>
          </w:p>
          <w:p w14:paraId="10699AAB"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Ogólnodostępna infrastruktura ładowania wyposażona:</w:t>
            </w:r>
          </w:p>
          <w:p w14:paraId="3FBCEEBD" w14:textId="3E5F3C62"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w 2 punkty ładowania o indywidualnej mocy wyjściowej umożliwiającej ładowanie mocą stałą minimum 350 kW –  1 p.</w:t>
            </w:r>
          </w:p>
        </w:tc>
        <w:tc>
          <w:tcPr>
            <w:tcW w:w="3486" w:type="dxa"/>
            <w:vAlign w:val="center"/>
          </w:tcPr>
          <w:p w14:paraId="4E1F9888" w14:textId="371D7E14"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Minimalne wymagania są spełnione, tak więc powinien zostać przyznany przynajmniej minimalny poziom punktów.</w:t>
            </w:r>
          </w:p>
        </w:tc>
        <w:tc>
          <w:tcPr>
            <w:tcW w:w="3253" w:type="dxa"/>
          </w:tcPr>
          <w:p w14:paraId="4EA0EA51"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0E4A129A" w14:textId="77777777" w:rsidR="004A68A0" w:rsidRPr="005552B5" w:rsidRDefault="004A68A0" w:rsidP="004A68A0">
            <w:pPr>
              <w:spacing w:after="0" w:line="240" w:lineRule="auto"/>
              <w:jc w:val="both"/>
              <w:rPr>
                <w:rFonts w:asciiTheme="minorHAnsi" w:hAnsiTheme="minorHAnsi" w:cstheme="minorHAnsi"/>
                <w:sz w:val="20"/>
                <w:szCs w:val="20"/>
              </w:rPr>
            </w:pPr>
          </w:p>
          <w:p w14:paraId="4AB84402"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Program ma charakter konkursowy, wybrane zostaną najefektywniejsze projekty.</w:t>
            </w:r>
          </w:p>
          <w:p w14:paraId="6BE8B153" w14:textId="77777777" w:rsidR="004A68A0" w:rsidRDefault="004A68A0" w:rsidP="004A68A0">
            <w:pPr>
              <w:spacing w:after="0" w:line="240" w:lineRule="auto"/>
              <w:jc w:val="both"/>
              <w:rPr>
                <w:rFonts w:asciiTheme="minorHAnsi" w:hAnsiTheme="minorHAnsi" w:cstheme="minorHAnsi"/>
                <w:sz w:val="20"/>
                <w:szCs w:val="20"/>
              </w:rPr>
            </w:pPr>
          </w:p>
          <w:p w14:paraId="7C5F7DA0" w14:textId="77777777" w:rsidR="00B75E9E" w:rsidRDefault="00B75E9E" w:rsidP="004A68A0">
            <w:pPr>
              <w:spacing w:after="0" w:line="240" w:lineRule="auto"/>
              <w:jc w:val="both"/>
              <w:rPr>
                <w:rFonts w:asciiTheme="minorHAnsi" w:hAnsiTheme="minorHAnsi" w:cstheme="minorHAnsi"/>
                <w:sz w:val="20"/>
                <w:szCs w:val="20"/>
              </w:rPr>
            </w:pPr>
          </w:p>
          <w:p w14:paraId="2D2B8B60" w14:textId="235C8666" w:rsidR="00B75E9E" w:rsidRPr="005552B5" w:rsidRDefault="00B75E9E" w:rsidP="00B75E9E">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Pytanie powtórzone (jak nr 33), od </w:t>
            </w:r>
            <w:r w:rsidRPr="005552B5">
              <w:rPr>
                <w:rFonts w:asciiTheme="minorHAnsi" w:hAnsiTheme="minorHAnsi" w:cstheme="minorHAnsi"/>
                <w:b/>
                <w:sz w:val="20"/>
                <w:szCs w:val="20"/>
              </w:rPr>
              <w:t>Polskie</w:t>
            </w:r>
            <w:r w:rsidR="00170BCF">
              <w:rPr>
                <w:rFonts w:asciiTheme="minorHAnsi" w:hAnsiTheme="minorHAnsi" w:cstheme="minorHAnsi"/>
                <w:b/>
                <w:sz w:val="20"/>
                <w:szCs w:val="20"/>
              </w:rPr>
              <w:t>go</w:t>
            </w:r>
            <w:r w:rsidRPr="005552B5">
              <w:rPr>
                <w:rFonts w:asciiTheme="minorHAnsi" w:hAnsiTheme="minorHAnsi" w:cstheme="minorHAnsi"/>
                <w:b/>
                <w:sz w:val="20"/>
                <w:szCs w:val="20"/>
              </w:rPr>
              <w:t xml:space="preserve"> Stowarzyszeni</w:t>
            </w:r>
            <w:r w:rsidR="00170BCF">
              <w:rPr>
                <w:rFonts w:asciiTheme="minorHAnsi" w:hAnsiTheme="minorHAnsi" w:cstheme="minorHAnsi"/>
                <w:b/>
                <w:sz w:val="20"/>
                <w:szCs w:val="20"/>
              </w:rPr>
              <w:t>a</w:t>
            </w:r>
            <w:r w:rsidRPr="005552B5">
              <w:rPr>
                <w:rFonts w:asciiTheme="minorHAnsi" w:hAnsiTheme="minorHAnsi" w:cstheme="minorHAnsi"/>
                <w:b/>
                <w:sz w:val="20"/>
                <w:szCs w:val="20"/>
              </w:rPr>
              <w:t xml:space="preserve"> Paliw Alternatywnych – uwagi Partnerów</w:t>
            </w:r>
            <w:r>
              <w:rPr>
                <w:rFonts w:asciiTheme="minorHAnsi" w:hAnsiTheme="minorHAnsi" w:cstheme="minorHAnsi"/>
                <w:b/>
                <w:sz w:val="20"/>
                <w:szCs w:val="20"/>
              </w:rPr>
              <w:t>.</w:t>
            </w:r>
          </w:p>
        </w:tc>
      </w:tr>
      <w:tr w:rsidR="00FC32CE" w:rsidRPr="005552B5" w14:paraId="1EC1B4DB" w14:textId="77777777" w:rsidTr="00F301CE">
        <w:tc>
          <w:tcPr>
            <w:tcW w:w="0" w:type="auto"/>
            <w:vAlign w:val="center"/>
          </w:tcPr>
          <w:p w14:paraId="4C99BD22" w14:textId="798538AE" w:rsidR="004A68A0" w:rsidRPr="005552B5" w:rsidRDefault="004A68A0" w:rsidP="004A68A0">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11</w:t>
            </w:r>
          </w:p>
        </w:tc>
        <w:tc>
          <w:tcPr>
            <w:tcW w:w="1925" w:type="dxa"/>
          </w:tcPr>
          <w:p w14:paraId="40F99532" w14:textId="5C0A51EB" w:rsidR="004A68A0" w:rsidRPr="005552B5" w:rsidRDefault="004A68A0" w:rsidP="004A68A0">
            <w:pPr>
              <w:spacing w:after="0" w:line="240" w:lineRule="auto"/>
              <w:jc w:val="both"/>
              <w:rPr>
                <w:rFonts w:asciiTheme="minorHAnsi" w:hAnsiTheme="minorHAnsi" w:cstheme="minorHAnsi"/>
                <w:b/>
                <w:sz w:val="20"/>
                <w:szCs w:val="20"/>
                <w:lang w:val="en-US"/>
              </w:rPr>
            </w:pPr>
            <w:proofErr w:type="spellStart"/>
            <w:r w:rsidRPr="005552B5">
              <w:rPr>
                <w:rFonts w:asciiTheme="minorHAnsi" w:hAnsiTheme="minorHAnsi" w:cstheme="minorHAnsi"/>
                <w:b/>
                <w:sz w:val="20"/>
                <w:szCs w:val="20"/>
                <w:lang w:val="en-US"/>
              </w:rPr>
              <w:t>Kempower</w:t>
            </w:r>
            <w:proofErr w:type="spellEnd"/>
            <w:r w:rsidRPr="005552B5">
              <w:rPr>
                <w:rFonts w:asciiTheme="minorHAnsi" w:hAnsiTheme="minorHAnsi" w:cstheme="minorHAnsi"/>
                <w:b/>
                <w:sz w:val="20"/>
                <w:szCs w:val="20"/>
                <w:lang w:val="en-US"/>
              </w:rPr>
              <w:t xml:space="preserve"> Sp. z </w:t>
            </w:r>
            <w:proofErr w:type="spellStart"/>
            <w:r w:rsidRPr="005552B5">
              <w:rPr>
                <w:rFonts w:asciiTheme="minorHAnsi" w:hAnsiTheme="minorHAnsi" w:cstheme="minorHAnsi"/>
                <w:b/>
                <w:sz w:val="20"/>
                <w:szCs w:val="20"/>
                <w:lang w:val="en-US"/>
              </w:rPr>
              <w:t>o.o.</w:t>
            </w:r>
            <w:proofErr w:type="spellEnd"/>
          </w:p>
        </w:tc>
        <w:tc>
          <w:tcPr>
            <w:tcW w:w="2770" w:type="dxa"/>
            <w:vAlign w:val="center"/>
          </w:tcPr>
          <w:p w14:paraId="6699B11A"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dla inwestycji realizowanych dla inwestycji realizowanych na terenie centrum logistycznego (DEPOT) lub terminala intermodalnego:</w:t>
            </w:r>
          </w:p>
          <w:p w14:paraId="312C179A"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Ogólnodostępna stacja ładowania wyposażona:</w:t>
            </w:r>
          </w:p>
          <w:p w14:paraId="41DD82D2" w14:textId="03922AAB"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w 2 punkty ładowania o indywidualnej mocy wyjściowej wynoszącej co najmniej 350 kW –  1 p.</w:t>
            </w:r>
          </w:p>
        </w:tc>
        <w:tc>
          <w:tcPr>
            <w:tcW w:w="3486" w:type="dxa"/>
            <w:vAlign w:val="center"/>
          </w:tcPr>
          <w:p w14:paraId="6C5FA098"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dla inwestycji realizowanych dla inwestycji realizowanych na terenie centrum logistycznego (DEPOT) lub terminala intermodalnego:</w:t>
            </w:r>
          </w:p>
          <w:p w14:paraId="2BA0DA89"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Ogólnodostępna stacja ładowania wyposażona:</w:t>
            </w:r>
          </w:p>
          <w:p w14:paraId="54EC8239"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w 1 punkt2 ładowania o indywidualnej mocy wyjściowej umożliwiający ładowanie mocą stałą minimum 350 kW –  1 p. </w:t>
            </w:r>
          </w:p>
          <w:p w14:paraId="69F07C17" w14:textId="77777777" w:rsidR="004A68A0" w:rsidRPr="005552B5" w:rsidRDefault="004A68A0" w:rsidP="004A68A0">
            <w:pPr>
              <w:spacing w:after="0" w:line="240" w:lineRule="auto"/>
              <w:jc w:val="both"/>
              <w:rPr>
                <w:rFonts w:asciiTheme="minorHAnsi" w:hAnsiTheme="minorHAnsi" w:cstheme="minorHAnsi"/>
                <w:sz w:val="20"/>
                <w:szCs w:val="20"/>
              </w:rPr>
            </w:pPr>
          </w:p>
        </w:tc>
        <w:tc>
          <w:tcPr>
            <w:tcW w:w="3486" w:type="dxa"/>
            <w:vAlign w:val="center"/>
          </w:tcPr>
          <w:p w14:paraId="49D57B56" w14:textId="3D757EEB"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Minimalne wymagania są spełnione, tak więc powinien zostać przyznany przynajmniej minimalny poziom punktów.</w:t>
            </w:r>
          </w:p>
        </w:tc>
        <w:tc>
          <w:tcPr>
            <w:tcW w:w="3253" w:type="dxa"/>
          </w:tcPr>
          <w:p w14:paraId="63532F24"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48A7CE00" w14:textId="77777777" w:rsidR="004A68A0" w:rsidRPr="005552B5" w:rsidRDefault="004A68A0" w:rsidP="004A68A0">
            <w:pPr>
              <w:spacing w:after="0" w:line="240" w:lineRule="auto"/>
              <w:jc w:val="both"/>
              <w:rPr>
                <w:rFonts w:asciiTheme="minorHAnsi" w:hAnsiTheme="minorHAnsi" w:cstheme="minorHAnsi"/>
                <w:sz w:val="20"/>
                <w:szCs w:val="20"/>
              </w:rPr>
            </w:pPr>
          </w:p>
          <w:p w14:paraId="56BDD7A3" w14:textId="71CFB6E1"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Program ma charakter konkursowy, wybrane zostaną najefektywniejsze projekty.</w:t>
            </w:r>
          </w:p>
          <w:p w14:paraId="7D10D820" w14:textId="77777777" w:rsidR="004A68A0" w:rsidRDefault="004A68A0" w:rsidP="004A68A0">
            <w:pPr>
              <w:spacing w:after="0" w:line="240" w:lineRule="auto"/>
              <w:jc w:val="both"/>
              <w:rPr>
                <w:rFonts w:asciiTheme="minorHAnsi" w:hAnsiTheme="minorHAnsi" w:cstheme="minorHAnsi"/>
                <w:sz w:val="20"/>
                <w:szCs w:val="20"/>
              </w:rPr>
            </w:pPr>
          </w:p>
          <w:p w14:paraId="472990B1" w14:textId="77777777" w:rsidR="00804E36" w:rsidRDefault="00804E36" w:rsidP="004A68A0">
            <w:pPr>
              <w:spacing w:after="0" w:line="240" w:lineRule="auto"/>
              <w:jc w:val="both"/>
              <w:rPr>
                <w:rFonts w:asciiTheme="minorHAnsi" w:hAnsiTheme="minorHAnsi" w:cstheme="minorHAnsi"/>
                <w:sz w:val="20"/>
                <w:szCs w:val="20"/>
              </w:rPr>
            </w:pPr>
          </w:p>
          <w:p w14:paraId="1DE96B2F" w14:textId="0966E637" w:rsidR="00804E36" w:rsidRPr="005552B5" w:rsidRDefault="00804E36" w:rsidP="00804E36">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Pytanie powtórzone (jak nr 34), od </w:t>
            </w:r>
            <w:r w:rsidRPr="005552B5">
              <w:rPr>
                <w:rFonts w:asciiTheme="minorHAnsi" w:hAnsiTheme="minorHAnsi" w:cstheme="minorHAnsi"/>
                <w:b/>
                <w:sz w:val="20"/>
                <w:szCs w:val="20"/>
              </w:rPr>
              <w:t>Polskie</w:t>
            </w:r>
            <w:r w:rsidR="00170BCF">
              <w:rPr>
                <w:rFonts w:asciiTheme="minorHAnsi" w:hAnsiTheme="minorHAnsi" w:cstheme="minorHAnsi"/>
                <w:b/>
                <w:sz w:val="20"/>
                <w:szCs w:val="20"/>
              </w:rPr>
              <w:t>go</w:t>
            </w:r>
            <w:r w:rsidRPr="005552B5">
              <w:rPr>
                <w:rFonts w:asciiTheme="minorHAnsi" w:hAnsiTheme="minorHAnsi" w:cstheme="minorHAnsi"/>
                <w:b/>
                <w:sz w:val="20"/>
                <w:szCs w:val="20"/>
              </w:rPr>
              <w:t xml:space="preserve"> Stowarzyszeni</w:t>
            </w:r>
            <w:r w:rsidR="00170BCF">
              <w:rPr>
                <w:rFonts w:asciiTheme="minorHAnsi" w:hAnsiTheme="minorHAnsi" w:cstheme="minorHAnsi"/>
                <w:b/>
                <w:sz w:val="20"/>
                <w:szCs w:val="20"/>
              </w:rPr>
              <w:t>a</w:t>
            </w:r>
            <w:r w:rsidRPr="005552B5">
              <w:rPr>
                <w:rFonts w:asciiTheme="minorHAnsi" w:hAnsiTheme="minorHAnsi" w:cstheme="minorHAnsi"/>
                <w:b/>
                <w:sz w:val="20"/>
                <w:szCs w:val="20"/>
              </w:rPr>
              <w:t xml:space="preserve"> Paliw Alternatywnych – uwagi Partnerów</w:t>
            </w:r>
            <w:r>
              <w:rPr>
                <w:rFonts w:asciiTheme="minorHAnsi" w:hAnsiTheme="minorHAnsi" w:cstheme="minorHAnsi"/>
                <w:b/>
                <w:sz w:val="20"/>
                <w:szCs w:val="20"/>
              </w:rPr>
              <w:t>.</w:t>
            </w:r>
          </w:p>
        </w:tc>
      </w:tr>
      <w:tr w:rsidR="00FC32CE" w:rsidRPr="005552B5" w14:paraId="09089E86" w14:textId="77777777" w:rsidTr="00F301CE">
        <w:tc>
          <w:tcPr>
            <w:tcW w:w="0" w:type="auto"/>
            <w:vAlign w:val="center"/>
          </w:tcPr>
          <w:p w14:paraId="65EAC4C5" w14:textId="163BF594" w:rsidR="004A68A0" w:rsidRPr="005552B5" w:rsidRDefault="004A68A0" w:rsidP="004A68A0">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12</w:t>
            </w:r>
          </w:p>
        </w:tc>
        <w:tc>
          <w:tcPr>
            <w:tcW w:w="1925" w:type="dxa"/>
          </w:tcPr>
          <w:p w14:paraId="066FBAB1" w14:textId="77777777" w:rsidR="004A68A0" w:rsidRPr="005552B5" w:rsidRDefault="004A68A0" w:rsidP="004A68A0">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Wojewódzki Fundusz Ochrony Środowiska</w:t>
            </w:r>
          </w:p>
          <w:p w14:paraId="7A8BAC34" w14:textId="0759C363"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b/>
                <w:sz w:val="20"/>
                <w:szCs w:val="20"/>
              </w:rPr>
              <w:t>i Gospodarki Wodnej w Toruniu</w:t>
            </w:r>
          </w:p>
        </w:tc>
        <w:tc>
          <w:tcPr>
            <w:tcW w:w="2770" w:type="dxa"/>
            <w:vAlign w:val="center"/>
          </w:tcPr>
          <w:p w14:paraId="5B5A43A5" w14:textId="1878EF6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Pkt 7.3 </w:t>
            </w:r>
            <w:proofErr w:type="spellStart"/>
            <w:r w:rsidRPr="005552B5">
              <w:rPr>
                <w:rFonts w:asciiTheme="minorHAnsi" w:hAnsiTheme="minorHAnsi" w:cstheme="minorHAnsi"/>
                <w:sz w:val="20"/>
                <w:szCs w:val="20"/>
              </w:rPr>
              <w:t>ppt</w:t>
            </w:r>
            <w:proofErr w:type="spellEnd"/>
            <w:r w:rsidRPr="005552B5">
              <w:rPr>
                <w:rFonts w:asciiTheme="minorHAnsi" w:hAnsiTheme="minorHAnsi" w:cstheme="minorHAnsi"/>
                <w:sz w:val="20"/>
                <w:szCs w:val="20"/>
              </w:rPr>
              <w:t xml:space="preserve"> 2)</w:t>
            </w:r>
          </w:p>
        </w:tc>
        <w:tc>
          <w:tcPr>
            <w:tcW w:w="3486" w:type="dxa"/>
            <w:vAlign w:val="center"/>
          </w:tcPr>
          <w:p w14:paraId="30E1FB6A" w14:textId="7DBB47E6"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„liczba złożonych przez jednego wnioskodawcę wniosków jest nieograniczona, z zastrzeżeniem pkt 3”</w:t>
            </w:r>
          </w:p>
        </w:tc>
        <w:tc>
          <w:tcPr>
            <w:tcW w:w="3486" w:type="dxa"/>
            <w:vAlign w:val="center"/>
          </w:tcPr>
          <w:p w14:paraId="6876EF9E" w14:textId="55DD2CA0"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Użycie bardziej precyzyjnego sformułowania. Usunięcie pojęcia względnego.</w:t>
            </w:r>
          </w:p>
        </w:tc>
        <w:tc>
          <w:tcPr>
            <w:tcW w:w="3253" w:type="dxa"/>
          </w:tcPr>
          <w:p w14:paraId="35D35FA2" w14:textId="173F2B3E" w:rsidR="004A68A0" w:rsidRPr="00170BCF" w:rsidRDefault="004A68A0" w:rsidP="004A68A0">
            <w:pPr>
              <w:spacing w:after="0" w:line="240" w:lineRule="auto"/>
              <w:jc w:val="both"/>
              <w:rPr>
                <w:rFonts w:asciiTheme="minorHAnsi" w:hAnsiTheme="minorHAnsi" w:cstheme="minorHAnsi"/>
                <w:sz w:val="20"/>
                <w:szCs w:val="20"/>
                <w:u w:val="single"/>
              </w:rPr>
            </w:pPr>
            <w:r w:rsidRPr="00170BCF">
              <w:rPr>
                <w:rFonts w:asciiTheme="minorHAnsi" w:hAnsiTheme="minorHAnsi" w:cstheme="minorHAnsi"/>
                <w:sz w:val="20"/>
                <w:szCs w:val="20"/>
                <w:u w:val="single"/>
              </w:rPr>
              <w:t xml:space="preserve">Częściowo uwzględniono uwagę  - sformułowanie „kilka” wniosków, zastąpiono „wiele wniosków”. </w:t>
            </w:r>
          </w:p>
        </w:tc>
      </w:tr>
      <w:tr w:rsidR="00FC32CE" w:rsidRPr="005552B5" w14:paraId="0A60C935" w14:textId="77777777" w:rsidTr="00F301CE">
        <w:tc>
          <w:tcPr>
            <w:tcW w:w="0" w:type="auto"/>
            <w:vAlign w:val="center"/>
          </w:tcPr>
          <w:p w14:paraId="4C2A9380" w14:textId="50045FEF" w:rsidR="004A68A0" w:rsidRPr="005552B5" w:rsidRDefault="004A68A0" w:rsidP="004A68A0">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13</w:t>
            </w:r>
          </w:p>
        </w:tc>
        <w:tc>
          <w:tcPr>
            <w:tcW w:w="1925" w:type="dxa"/>
          </w:tcPr>
          <w:p w14:paraId="3EF1BAD7" w14:textId="77777777" w:rsidR="004A68A0" w:rsidRPr="005552B5" w:rsidRDefault="004A68A0" w:rsidP="004A68A0">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Wojewódzki Fundusz Ochrony Środowiska</w:t>
            </w:r>
          </w:p>
          <w:p w14:paraId="18697BA1" w14:textId="5A999F73" w:rsidR="004A68A0" w:rsidRPr="005552B5" w:rsidRDefault="004A68A0" w:rsidP="004A68A0">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i Gospodarki Wodnej w Toruniu</w:t>
            </w:r>
          </w:p>
        </w:tc>
        <w:tc>
          <w:tcPr>
            <w:tcW w:w="2770" w:type="dxa"/>
            <w:vAlign w:val="center"/>
          </w:tcPr>
          <w:p w14:paraId="21B89912" w14:textId="327C6F72"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Pkt 7.3 </w:t>
            </w:r>
            <w:proofErr w:type="spellStart"/>
            <w:r w:rsidRPr="005552B5">
              <w:rPr>
                <w:rFonts w:asciiTheme="minorHAnsi" w:hAnsiTheme="minorHAnsi" w:cstheme="minorHAnsi"/>
                <w:sz w:val="20"/>
                <w:szCs w:val="20"/>
              </w:rPr>
              <w:t>ppt</w:t>
            </w:r>
            <w:proofErr w:type="spellEnd"/>
            <w:r w:rsidRPr="005552B5">
              <w:rPr>
                <w:rFonts w:asciiTheme="minorHAnsi" w:hAnsiTheme="minorHAnsi" w:cstheme="minorHAnsi"/>
                <w:sz w:val="20"/>
                <w:szCs w:val="20"/>
              </w:rPr>
              <w:t xml:space="preserve"> 9)</w:t>
            </w:r>
          </w:p>
        </w:tc>
        <w:tc>
          <w:tcPr>
            <w:tcW w:w="3486" w:type="dxa"/>
            <w:vAlign w:val="center"/>
          </w:tcPr>
          <w:p w14:paraId="41D50940" w14:textId="7D06EC86"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Proponuję wymienić konkretne sytuacje, w których NFOŚiGW uzna, że inwestycja jest nieodwracalna.</w:t>
            </w:r>
          </w:p>
        </w:tc>
        <w:tc>
          <w:tcPr>
            <w:tcW w:w="3486" w:type="dxa"/>
            <w:vAlign w:val="center"/>
          </w:tcPr>
          <w:p w14:paraId="24D0C18E" w14:textId="550C5321"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Użycie obecnego sformułowania stwarza duże pole do interpretacji.</w:t>
            </w:r>
          </w:p>
        </w:tc>
        <w:tc>
          <w:tcPr>
            <w:tcW w:w="3253" w:type="dxa"/>
          </w:tcPr>
          <w:p w14:paraId="3001648F" w14:textId="77777777" w:rsidR="004A68A0" w:rsidRPr="005552B5" w:rsidRDefault="004A68A0" w:rsidP="004A68A0">
            <w:pPr>
              <w:spacing w:after="0" w:line="240" w:lineRule="auto"/>
              <w:jc w:val="both"/>
              <w:rPr>
                <w:rFonts w:asciiTheme="minorHAnsi" w:hAnsiTheme="minorHAnsi" w:cstheme="minorHAnsi"/>
                <w:sz w:val="20"/>
                <w:szCs w:val="20"/>
              </w:rPr>
            </w:pPr>
          </w:p>
          <w:p w14:paraId="779E2E3D" w14:textId="295A54D7" w:rsidR="004A68A0" w:rsidRPr="005552B5" w:rsidRDefault="004A68A0" w:rsidP="006D2A0B">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nie został uwzględniona. Ewentualne doprecyzowanie zostanie rozważone na dalszym etapie prac (np. dokumentach </w:t>
            </w:r>
            <w:proofErr w:type="spellStart"/>
            <w:r w:rsidRPr="005552B5">
              <w:rPr>
                <w:rFonts w:asciiTheme="minorHAnsi" w:hAnsiTheme="minorHAnsi" w:cstheme="minorHAnsi"/>
                <w:sz w:val="20"/>
                <w:szCs w:val="20"/>
              </w:rPr>
              <w:t>naborowych</w:t>
            </w:r>
            <w:proofErr w:type="spellEnd"/>
            <w:r w:rsidRPr="005552B5">
              <w:rPr>
                <w:rFonts w:asciiTheme="minorHAnsi" w:hAnsiTheme="minorHAnsi" w:cstheme="minorHAnsi"/>
                <w:sz w:val="20"/>
                <w:szCs w:val="20"/>
              </w:rPr>
              <w:t>).</w:t>
            </w:r>
            <w:r w:rsidR="006D2A0B" w:rsidRPr="005552B5">
              <w:rPr>
                <w:rFonts w:asciiTheme="minorHAnsi" w:hAnsiTheme="minorHAnsi" w:cstheme="minorHAnsi"/>
                <w:sz w:val="20"/>
                <w:szCs w:val="20"/>
              </w:rPr>
              <w:t xml:space="preserve"> Ograniczenie katalogu (wymienienie konkretnych sytuacji może powodować problem, gdyż w trakcie funkcjonowania programu pojawią się inne sytuacje, które nie zostały uwzględnione.</w:t>
            </w:r>
          </w:p>
        </w:tc>
      </w:tr>
      <w:tr w:rsidR="00FC32CE" w:rsidRPr="005552B5" w14:paraId="7BE89B19" w14:textId="77777777" w:rsidTr="00F301CE">
        <w:tc>
          <w:tcPr>
            <w:tcW w:w="0" w:type="auto"/>
            <w:vAlign w:val="center"/>
          </w:tcPr>
          <w:p w14:paraId="3E13B139" w14:textId="1B0DF950" w:rsidR="004A68A0" w:rsidRPr="005552B5" w:rsidRDefault="004A68A0" w:rsidP="004A68A0">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14</w:t>
            </w:r>
          </w:p>
        </w:tc>
        <w:tc>
          <w:tcPr>
            <w:tcW w:w="1925" w:type="dxa"/>
          </w:tcPr>
          <w:p w14:paraId="0C63294A" w14:textId="77777777" w:rsidR="004A68A0" w:rsidRPr="005552B5" w:rsidRDefault="004A68A0" w:rsidP="004A68A0">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Wojewódzki Fundusz Ochrony Środowiska</w:t>
            </w:r>
          </w:p>
          <w:p w14:paraId="1482AFAD" w14:textId="5333B31B" w:rsidR="004A68A0" w:rsidRPr="005552B5" w:rsidRDefault="004A68A0" w:rsidP="004A68A0">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i Gospodarki Wodnej w Toruniu</w:t>
            </w:r>
          </w:p>
        </w:tc>
        <w:tc>
          <w:tcPr>
            <w:tcW w:w="2770" w:type="dxa"/>
            <w:vAlign w:val="center"/>
          </w:tcPr>
          <w:p w14:paraId="749A3CC3" w14:textId="7BAC1649"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7.5. – wstęp do wyliczanki</w:t>
            </w:r>
          </w:p>
        </w:tc>
        <w:tc>
          <w:tcPr>
            <w:tcW w:w="3486" w:type="dxa"/>
            <w:vAlign w:val="center"/>
          </w:tcPr>
          <w:p w14:paraId="5C19F887" w14:textId="0F2F5EE9"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 ramach Programu udziela się wsparcia na inwestycje polegające na:”</w:t>
            </w:r>
          </w:p>
        </w:tc>
        <w:tc>
          <w:tcPr>
            <w:tcW w:w="3486" w:type="dxa"/>
            <w:vAlign w:val="center"/>
          </w:tcPr>
          <w:p w14:paraId="6B603E43" w14:textId="215E95A2"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Poprawa błędu językowego.</w:t>
            </w:r>
          </w:p>
        </w:tc>
        <w:tc>
          <w:tcPr>
            <w:tcW w:w="3253" w:type="dxa"/>
          </w:tcPr>
          <w:p w14:paraId="66418DC5" w14:textId="48077466"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została uwzględniona</w:t>
            </w:r>
          </w:p>
        </w:tc>
      </w:tr>
      <w:tr w:rsidR="00FC32CE" w:rsidRPr="005552B5" w14:paraId="345406E0" w14:textId="77777777" w:rsidTr="00F301CE">
        <w:tc>
          <w:tcPr>
            <w:tcW w:w="0" w:type="auto"/>
            <w:vAlign w:val="center"/>
          </w:tcPr>
          <w:p w14:paraId="25931ACD" w14:textId="6AB912F5" w:rsidR="004A68A0" w:rsidRPr="005552B5" w:rsidRDefault="004A68A0" w:rsidP="004A68A0">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15</w:t>
            </w:r>
          </w:p>
        </w:tc>
        <w:tc>
          <w:tcPr>
            <w:tcW w:w="1925" w:type="dxa"/>
          </w:tcPr>
          <w:p w14:paraId="1777E2BF" w14:textId="6A3ACEF7" w:rsidR="004A68A0" w:rsidRPr="005552B5" w:rsidRDefault="004A68A0" w:rsidP="004A68A0">
            <w:pPr>
              <w:spacing w:after="0" w:line="240" w:lineRule="auto"/>
              <w:jc w:val="both"/>
              <w:rPr>
                <w:rFonts w:asciiTheme="minorHAnsi" w:hAnsiTheme="minorHAnsi" w:cstheme="minorHAnsi"/>
                <w:sz w:val="20"/>
                <w:szCs w:val="20"/>
                <w:lang w:val="en-US"/>
              </w:rPr>
            </w:pPr>
            <w:r w:rsidRPr="005552B5">
              <w:rPr>
                <w:rFonts w:asciiTheme="minorHAnsi" w:hAnsiTheme="minorHAnsi" w:cstheme="minorHAnsi"/>
                <w:b/>
                <w:sz w:val="20"/>
                <w:szCs w:val="20"/>
                <w:lang w:val="en-US"/>
              </w:rPr>
              <w:t xml:space="preserve">VGE Consulting sp. z </w:t>
            </w:r>
            <w:proofErr w:type="spellStart"/>
            <w:r w:rsidRPr="005552B5">
              <w:rPr>
                <w:rFonts w:asciiTheme="minorHAnsi" w:hAnsiTheme="minorHAnsi" w:cstheme="minorHAnsi"/>
                <w:b/>
                <w:sz w:val="20"/>
                <w:szCs w:val="20"/>
                <w:lang w:val="en-US"/>
              </w:rPr>
              <w:t>o.o.</w:t>
            </w:r>
            <w:proofErr w:type="spellEnd"/>
          </w:p>
        </w:tc>
        <w:tc>
          <w:tcPr>
            <w:tcW w:w="2770" w:type="dxa"/>
            <w:vAlign w:val="center"/>
          </w:tcPr>
          <w:p w14:paraId="6D427CAB" w14:textId="2BBA965D"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koszt budowy magazynu energii, pod warunkiem magazynowania w nim energii OZE wytworzonej na miejscu i wykorzystania magazynu wyłącznie na potrzeby budowanej/rozbudowywanej stacji ładowania.</w:t>
            </w:r>
          </w:p>
        </w:tc>
        <w:tc>
          <w:tcPr>
            <w:tcW w:w="3486" w:type="dxa"/>
            <w:vAlign w:val="center"/>
          </w:tcPr>
          <w:p w14:paraId="075A12F1" w14:textId="6A708E00" w:rsidR="004A68A0" w:rsidRPr="005552B5" w:rsidRDefault="004A68A0" w:rsidP="007D20DD">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koszt budowy magazynu energii, pod warunkiem magazynowania w nim energii OZE wytworzonej na miejscu i wykorzystania magazynu wyłącznie na potrzeby budowanej/rozbudowywanej stacji ładowania.</w:t>
            </w:r>
          </w:p>
          <w:p w14:paraId="2AB5B0AC" w14:textId="25956D29"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Koszt budowy źródła OZE pod warunkiem , iż instalacja OZE będzie służyła tylko i wyłącznie do ładowania magazynów energii wykorzystywanych wyłącznie na potrzeby budowanej/rozbudowywanej stacji ładowania.</w:t>
            </w:r>
          </w:p>
        </w:tc>
        <w:tc>
          <w:tcPr>
            <w:tcW w:w="3486" w:type="dxa"/>
            <w:vAlign w:val="center"/>
          </w:tcPr>
          <w:p w14:paraId="2E165055" w14:textId="24BC4369"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Obecny zapis jest półśrodkiem, choć bardzo ważnym krokiem , niemniej jednak , </w:t>
            </w:r>
            <w:r w:rsidRPr="005552B5">
              <w:rPr>
                <w:rFonts w:asciiTheme="minorHAnsi" w:hAnsiTheme="minorHAnsi" w:cstheme="minorHAnsi"/>
                <w:b/>
                <w:sz w:val="20"/>
                <w:szCs w:val="20"/>
              </w:rPr>
              <w:t>nie wspiera możliwości</w:t>
            </w:r>
            <w:r w:rsidRPr="005552B5">
              <w:rPr>
                <w:rFonts w:asciiTheme="minorHAnsi" w:hAnsiTheme="minorHAnsi" w:cstheme="minorHAnsi"/>
                <w:sz w:val="20"/>
                <w:szCs w:val="20"/>
              </w:rPr>
              <w:t xml:space="preserve"> ogra</w:t>
            </w:r>
            <w:r w:rsidR="0037112F" w:rsidRPr="005552B5">
              <w:rPr>
                <w:rFonts w:asciiTheme="minorHAnsi" w:hAnsiTheme="minorHAnsi" w:cstheme="minorHAnsi"/>
                <w:sz w:val="20"/>
                <w:szCs w:val="20"/>
              </w:rPr>
              <w:t xml:space="preserve">niczenia emisyjności CO2 </w:t>
            </w:r>
            <w:r w:rsidRPr="005552B5">
              <w:rPr>
                <w:rFonts w:asciiTheme="minorHAnsi" w:hAnsiTheme="minorHAnsi" w:cstheme="minorHAnsi"/>
                <w:sz w:val="20"/>
                <w:szCs w:val="20"/>
              </w:rPr>
              <w:t xml:space="preserve"> i innych zanieczyszczeń , bowiem energia z OZE do magazynów energii będzie „tylko dla wybranych”, czyli tych którzy mają instalacje OZE .W związku z koniecznością lokalizacji stacji ładowarek przy drogach TEN-T , to w mej ocenie brak możliwości sfinansowania źródła wytwórczego jako kosztu kwalifikowanego , będzie zapisem </w:t>
            </w:r>
            <w:r w:rsidRPr="005552B5">
              <w:rPr>
                <w:rFonts w:asciiTheme="minorHAnsi" w:hAnsiTheme="minorHAnsi" w:cstheme="minorHAnsi"/>
                <w:b/>
                <w:sz w:val="20"/>
                <w:szCs w:val="20"/>
              </w:rPr>
              <w:t>martwym.</w:t>
            </w:r>
            <w:r w:rsidRPr="005552B5">
              <w:rPr>
                <w:rFonts w:asciiTheme="minorHAnsi" w:hAnsiTheme="minorHAnsi" w:cstheme="minorHAnsi"/>
                <w:sz w:val="20"/>
                <w:szCs w:val="20"/>
              </w:rPr>
              <w:t xml:space="preserve"> </w:t>
            </w:r>
          </w:p>
          <w:p w14:paraId="291486BA" w14:textId="77777777" w:rsidR="004A68A0" w:rsidRPr="005552B5" w:rsidRDefault="004A68A0" w:rsidP="004A68A0">
            <w:pPr>
              <w:spacing w:after="0" w:line="240" w:lineRule="auto"/>
              <w:jc w:val="both"/>
              <w:rPr>
                <w:rFonts w:asciiTheme="minorHAnsi" w:hAnsiTheme="minorHAnsi" w:cstheme="minorHAnsi"/>
                <w:sz w:val="20"/>
                <w:szCs w:val="20"/>
              </w:rPr>
            </w:pPr>
          </w:p>
          <w:p w14:paraId="138149BE" w14:textId="77777777" w:rsidR="004A68A0" w:rsidRPr="005552B5" w:rsidRDefault="004A68A0" w:rsidP="004A68A0">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W mej ocenie , jeśli nie będzie można ładować magazynów energii energią z sieci tylko z OZE , to żadne źródło OZE nie zapewni stabilności i ciągłości pracy ładowarek z zastosowaniem magazynów energii , i już w tym momencie  ten punkt jest martwy.</w:t>
            </w:r>
          </w:p>
          <w:p w14:paraId="61F6AC07" w14:textId="77777777" w:rsidR="004A68A0" w:rsidRPr="005552B5" w:rsidRDefault="004A68A0" w:rsidP="004A68A0">
            <w:pPr>
              <w:spacing w:after="0" w:line="240" w:lineRule="auto"/>
              <w:jc w:val="both"/>
              <w:rPr>
                <w:rFonts w:asciiTheme="minorHAnsi" w:hAnsiTheme="minorHAnsi" w:cstheme="minorHAnsi"/>
                <w:sz w:val="20"/>
                <w:szCs w:val="20"/>
              </w:rPr>
            </w:pPr>
          </w:p>
          <w:p w14:paraId="4F32769D" w14:textId="07857DB1" w:rsidR="004A68A0" w:rsidRPr="005552B5" w:rsidRDefault="0037112F" w:rsidP="004A68A0">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Podsu</w:t>
            </w:r>
            <w:r w:rsidR="004A68A0" w:rsidRPr="005552B5">
              <w:rPr>
                <w:rFonts w:asciiTheme="minorHAnsi" w:hAnsiTheme="minorHAnsi" w:cstheme="minorHAnsi"/>
                <w:b/>
                <w:sz w:val="20"/>
                <w:szCs w:val="20"/>
              </w:rPr>
              <w:t>mowując :</w:t>
            </w:r>
          </w:p>
          <w:p w14:paraId="17477667" w14:textId="5DFD385B"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Jeśli magazyny energii mogą być kosztem kwalifikowanym , to powinny mieć możliwość doładowywania się energią z sieci + dodatkowo kosztem kwalifikowanym  powinny być koszty budowy instalacji OZE które byłyby tylko źródłem energii </w:t>
            </w:r>
            <w:r w:rsidRPr="005552B5">
              <w:rPr>
                <w:rFonts w:asciiTheme="minorHAnsi" w:hAnsiTheme="minorHAnsi" w:cstheme="minorHAnsi"/>
                <w:b/>
                <w:sz w:val="20"/>
                <w:szCs w:val="20"/>
              </w:rPr>
              <w:t xml:space="preserve">dla ładowania magazynów </w:t>
            </w:r>
            <w:r w:rsidRPr="005552B5">
              <w:rPr>
                <w:rFonts w:asciiTheme="minorHAnsi" w:hAnsiTheme="minorHAnsi" w:cstheme="minorHAnsi"/>
                <w:sz w:val="20"/>
                <w:szCs w:val="20"/>
              </w:rPr>
              <w:t>Jednocześnie energia z magazynów energii powinna być w 100% przeznaczona na potrzeby stacji ładowania pojazdów bez możliwości jej odsprzedawania i ponownego wprowadzania do sieci.</w:t>
            </w:r>
          </w:p>
        </w:tc>
        <w:tc>
          <w:tcPr>
            <w:tcW w:w="3253" w:type="dxa"/>
          </w:tcPr>
          <w:p w14:paraId="3BD1F249" w14:textId="77777777"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Uwaga nie została uwzględniona</w:t>
            </w:r>
          </w:p>
          <w:p w14:paraId="013613D9" w14:textId="77777777" w:rsidR="004A68A0" w:rsidRPr="005552B5" w:rsidRDefault="004A68A0" w:rsidP="004A68A0">
            <w:pPr>
              <w:spacing w:after="0" w:line="240" w:lineRule="auto"/>
              <w:jc w:val="both"/>
              <w:rPr>
                <w:rFonts w:asciiTheme="minorHAnsi" w:hAnsiTheme="minorHAnsi" w:cstheme="minorHAnsi"/>
                <w:sz w:val="20"/>
                <w:szCs w:val="20"/>
              </w:rPr>
            </w:pPr>
          </w:p>
          <w:p w14:paraId="5D79930D" w14:textId="6818EDAC"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 ramach programu wspierane może być magazynowanie energii, nie przewidujemy w ramach tego programu budow</w:t>
            </w:r>
            <w:r w:rsidR="0037112F" w:rsidRPr="005552B5">
              <w:rPr>
                <w:rFonts w:asciiTheme="minorHAnsi" w:hAnsiTheme="minorHAnsi" w:cstheme="minorHAnsi"/>
                <w:sz w:val="20"/>
                <w:szCs w:val="20"/>
              </w:rPr>
              <w:t>y</w:t>
            </w:r>
            <w:r w:rsidRPr="005552B5">
              <w:rPr>
                <w:rFonts w:asciiTheme="minorHAnsi" w:hAnsiTheme="minorHAnsi" w:cstheme="minorHAnsi"/>
                <w:sz w:val="20"/>
                <w:szCs w:val="20"/>
              </w:rPr>
              <w:t xml:space="preserve"> źródeł wytwarzania OZE.</w:t>
            </w:r>
            <w:r w:rsidR="0037112F" w:rsidRPr="005552B5">
              <w:rPr>
                <w:rFonts w:asciiTheme="minorHAnsi" w:hAnsiTheme="minorHAnsi" w:cstheme="minorHAnsi"/>
                <w:sz w:val="20"/>
                <w:szCs w:val="20"/>
              </w:rPr>
              <w:t xml:space="preserve"> Finansowanie magazynów w ramach innych instrumentów wsparcia.</w:t>
            </w:r>
          </w:p>
          <w:p w14:paraId="2B95FE93" w14:textId="34CA83BE" w:rsidR="004A68A0" w:rsidRPr="005552B5" w:rsidRDefault="004A68A0" w:rsidP="004A68A0">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Beneficjent już posiadający źródło OZE- np. instalację PV będzie jako koszt kwalifikowany mógł uznać budowę magazynu na potrzeby stacji ładowania.</w:t>
            </w:r>
          </w:p>
        </w:tc>
      </w:tr>
      <w:tr w:rsidR="00FC32CE" w:rsidRPr="005552B5" w14:paraId="7F7FB8B5" w14:textId="77777777" w:rsidTr="00F301CE">
        <w:tc>
          <w:tcPr>
            <w:tcW w:w="0" w:type="auto"/>
            <w:vAlign w:val="center"/>
          </w:tcPr>
          <w:p w14:paraId="16987F11" w14:textId="6223A0B0"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16</w:t>
            </w:r>
          </w:p>
        </w:tc>
        <w:tc>
          <w:tcPr>
            <w:tcW w:w="1925" w:type="dxa"/>
          </w:tcPr>
          <w:p w14:paraId="734F71C9" w14:textId="53B905A5"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w:t>
            </w:r>
          </w:p>
        </w:tc>
        <w:tc>
          <w:tcPr>
            <w:tcW w:w="2770" w:type="dxa"/>
          </w:tcPr>
          <w:p w14:paraId="72CBDD4E" w14:textId="77777777" w:rsidR="0037112F" w:rsidRPr="005552B5" w:rsidRDefault="0037112F" w:rsidP="0037112F">
            <w:pPr>
              <w:jc w:val="both"/>
              <w:rPr>
                <w:rStyle w:val="normaltextrun"/>
                <w:rFonts w:asciiTheme="minorHAnsi" w:hAnsiTheme="minorHAnsi" w:cstheme="minorHAnsi"/>
                <w:b/>
                <w:bCs/>
                <w:sz w:val="20"/>
                <w:szCs w:val="20"/>
                <w:bdr w:val="none" w:sz="0" w:space="0" w:color="auto" w:frame="1"/>
              </w:rPr>
            </w:pPr>
            <w:r w:rsidRPr="005552B5">
              <w:rPr>
                <w:rStyle w:val="normaltextrun"/>
                <w:rFonts w:asciiTheme="minorHAnsi" w:hAnsiTheme="minorHAnsi" w:cstheme="minorHAnsi"/>
                <w:b/>
                <w:bCs/>
                <w:sz w:val="20"/>
                <w:szCs w:val="20"/>
                <w:bdr w:val="none" w:sz="0" w:space="0" w:color="auto" w:frame="1"/>
              </w:rPr>
              <w:t>1. Cel programu</w:t>
            </w:r>
          </w:p>
          <w:p w14:paraId="49CD1837" w14:textId="11F5DC05"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bdr w:val="none" w:sz="0" w:space="0" w:color="auto" w:frame="1"/>
              </w:rPr>
              <w:t>Celem programu jest wsparcie rozwoju infrastruktury do ładownia dla zeroemisyjnych pojazdów ciężarowych, zlokalizowanych przy trasach sieci bazowej TEN-T , centrach logistycznych oraz terminalach intermodalnych (…)</w:t>
            </w:r>
          </w:p>
        </w:tc>
        <w:tc>
          <w:tcPr>
            <w:tcW w:w="3486" w:type="dxa"/>
          </w:tcPr>
          <w:p w14:paraId="5C26DAE8" w14:textId="30CA432D"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bdr w:val="none" w:sz="0" w:space="0" w:color="auto" w:frame="1"/>
              </w:rPr>
              <w:t xml:space="preserve">Celem programu jest wsparcie rozwoju infrastruktury do ładownia dla zeroemisyjnych pojazdów ciężarowych, wzdłuż drogowej sieci bazowej TEN-T , centrach logistycznych, terminalach intermodalnych oraz </w:t>
            </w:r>
            <w:r w:rsidRPr="005552B5">
              <w:rPr>
                <w:rFonts w:asciiTheme="minorHAnsi" w:hAnsiTheme="minorHAnsi" w:cstheme="minorHAnsi"/>
                <w:sz w:val="20"/>
                <w:szCs w:val="20"/>
              </w:rPr>
              <w:t>bezpiecznych i chronionych parkingach</w:t>
            </w:r>
            <w:r w:rsidRPr="005552B5">
              <w:rPr>
                <w:rStyle w:val="normaltextrun"/>
                <w:rFonts w:asciiTheme="minorHAnsi" w:hAnsiTheme="minorHAnsi" w:cstheme="minorHAnsi"/>
                <w:sz w:val="20"/>
                <w:szCs w:val="20"/>
                <w:bdr w:val="none" w:sz="0" w:space="0" w:color="auto" w:frame="1"/>
              </w:rPr>
              <w:t xml:space="preserve"> (…)</w:t>
            </w:r>
          </w:p>
        </w:tc>
        <w:tc>
          <w:tcPr>
            <w:tcW w:w="3486" w:type="dxa"/>
          </w:tcPr>
          <w:p w14:paraId="00B82553" w14:textId="77777777" w:rsidR="0037112F" w:rsidRPr="005552B5" w:rsidRDefault="0037112F" w:rsidP="0037112F">
            <w:pPr>
              <w:pStyle w:val="Akapitzlist"/>
              <w:ind w:left="268"/>
              <w:jc w:val="both"/>
              <w:rPr>
                <w:rFonts w:asciiTheme="minorHAnsi" w:hAnsiTheme="minorHAnsi" w:cstheme="minorHAnsi"/>
                <w:sz w:val="20"/>
                <w:szCs w:val="20"/>
              </w:rPr>
            </w:pPr>
            <w:r w:rsidRPr="005552B5">
              <w:rPr>
                <w:rFonts w:asciiTheme="minorHAnsi" w:hAnsiTheme="minorHAnsi" w:cstheme="minorHAnsi"/>
                <w:sz w:val="20"/>
                <w:szCs w:val="20"/>
              </w:rPr>
              <w:t>Proponowana zmiana zapewnia pełną zgodność z zapisami rozporządzenia Parlamentu Europejskiego i Rady (UE) 2023/1804 z dnia 13 września 2023 r. w sprawie rozwoju infrastruktury paliw alternatywnych i uchylenia dyrektywy 2014/94/UE:</w:t>
            </w:r>
          </w:p>
          <w:p w14:paraId="337C8C16" w14:textId="77777777" w:rsidR="0037112F" w:rsidRPr="005552B5" w:rsidRDefault="0037112F" w:rsidP="0037112F">
            <w:pPr>
              <w:pStyle w:val="Akapitzlist"/>
              <w:numPr>
                <w:ilvl w:val="0"/>
                <w:numId w:val="23"/>
              </w:num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art. 2 pkt 3) „wzdłuż sieci drogowej TEN-T oznacza: a) w odniesieniu do stacji ładowania pojazdów elektrycznych – że znajdują się one przy sieci drogowej TEN-T lub w odległości do 3 km jazdy od najbliższego zjazdu z drogi TEN-T”</w:t>
            </w:r>
          </w:p>
          <w:p w14:paraId="59A8E9D2" w14:textId="4C1704E7"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art. 2 pkt 63) „bezpieczny i chroniony parking oznacza strefę parkingową dostępną dla kierowców przewożących towary lub osoby, która uzyskała certyfikat zgodnie z rozporządzeniem delegowanym Komisji (UE) 2022/1012”</w:t>
            </w:r>
          </w:p>
        </w:tc>
        <w:tc>
          <w:tcPr>
            <w:tcW w:w="3253" w:type="dxa"/>
          </w:tcPr>
          <w:p w14:paraId="65C8D525" w14:textId="77777777"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64A5C8AD" w14:textId="77777777" w:rsidR="0037112F" w:rsidRPr="005552B5" w:rsidRDefault="0037112F" w:rsidP="0037112F">
            <w:pPr>
              <w:spacing w:after="0" w:line="240" w:lineRule="auto"/>
              <w:jc w:val="both"/>
              <w:rPr>
                <w:rFonts w:asciiTheme="minorHAnsi" w:hAnsiTheme="minorHAnsi" w:cstheme="minorHAnsi"/>
                <w:sz w:val="20"/>
                <w:szCs w:val="20"/>
              </w:rPr>
            </w:pPr>
          </w:p>
          <w:p w14:paraId="471085B1" w14:textId="77777777" w:rsidR="0037112F" w:rsidRPr="005552B5" w:rsidRDefault="0037112F" w:rsidP="0037112F">
            <w:pPr>
              <w:spacing w:after="0" w:line="240" w:lineRule="auto"/>
              <w:jc w:val="both"/>
              <w:rPr>
                <w:rFonts w:asciiTheme="minorHAnsi" w:hAnsiTheme="minorHAnsi" w:cstheme="minorHAnsi"/>
                <w:sz w:val="20"/>
                <w:szCs w:val="20"/>
              </w:rPr>
            </w:pPr>
          </w:p>
          <w:p w14:paraId="401EFA93" w14:textId="1E4B599C" w:rsidR="0037112F" w:rsidRPr="005552B5" w:rsidRDefault="0039197C"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Program dedykowany wsparciu rozwoju stacji ładowania przy trasach sieci bazowej TEN-T , centrach logistycznych, terminalach intermodalnych oraz bazach eksploatacyjnych </w:t>
            </w:r>
            <w:r w:rsidRPr="00170BCF">
              <w:rPr>
                <w:rFonts w:asciiTheme="minorHAnsi" w:hAnsiTheme="minorHAnsi" w:cstheme="minorHAnsi"/>
                <w:sz w:val="20"/>
                <w:szCs w:val="20"/>
                <w:u w:val="single"/>
              </w:rPr>
              <w:t>(dodano bazy eksploatacyjne  po konsultacjach społ.).</w:t>
            </w:r>
            <w:r w:rsidRPr="005552B5">
              <w:rPr>
                <w:rFonts w:asciiTheme="minorHAnsi" w:hAnsiTheme="minorHAnsi" w:cstheme="minorHAnsi"/>
                <w:sz w:val="20"/>
                <w:szCs w:val="20"/>
              </w:rPr>
              <w:t xml:space="preserve"> Priorytetowe traktowanie sieci bazowej TEN-T wynika z obowiązków wynikających z rozporządzenia AFIR. W przyszłości rozważymy, w przypadku dostępności środków, ewentualne  dalsze rozszerzenie zakresu programu priorytetowego.</w:t>
            </w:r>
          </w:p>
        </w:tc>
      </w:tr>
      <w:tr w:rsidR="00FC32CE" w:rsidRPr="005552B5" w14:paraId="794FB21C" w14:textId="77777777" w:rsidTr="00F301CE">
        <w:tc>
          <w:tcPr>
            <w:tcW w:w="0" w:type="auto"/>
            <w:vAlign w:val="center"/>
          </w:tcPr>
          <w:p w14:paraId="13CD2D21" w14:textId="283AD0F4"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17</w:t>
            </w:r>
          </w:p>
        </w:tc>
        <w:tc>
          <w:tcPr>
            <w:tcW w:w="1925" w:type="dxa"/>
          </w:tcPr>
          <w:p w14:paraId="41491757" w14:textId="511904AB"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 xml:space="preserve">Polskie Stowarzyszenie </w:t>
            </w:r>
            <w:r w:rsidRPr="005552B5">
              <w:rPr>
                <w:rFonts w:asciiTheme="minorHAnsi" w:hAnsiTheme="minorHAnsi" w:cstheme="minorHAnsi"/>
                <w:b/>
                <w:sz w:val="20"/>
                <w:szCs w:val="20"/>
              </w:rPr>
              <w:lastRenderedPageBreak/>
              <w:t>Paliw Alternatywnych</w:t>
            </w:r>
          </w:p>
        </w:tc>
        <w:tc>
          <w:tcPr>
            <w:tcW w:w="2770" w:type="dxa"/>
          </w:tcPr>
          <w:p w14:paraId="778C672D" w14:textId="77777777" w:rsidR="0037112F" w:rsidRPr="005552B5" w:rsidRDefault="0037112F" w:rsidP="0037112F">
            <w:pPr>
              <w:jc w:val="both"/>
              <w:rPr>
                <w:rStyle w:val="normaltextrun"/>
                <w:rFonts w:asciiTheme="minorHAnsi" w:hAnsiTheme="minorHAnsi" w:cstheme="minorHAnsi"/>
                <w:sz w:val="20"/>
                <w:szCs w:val="20"/>
                <w:shd w:val="clear" w:color="auto" w:fill="FFFFFF"/>
              </w:rPr>
            </w:pPr>
            <w:r w:rsidRPr="005552B5">
              <w:rPr>
                <w:rStyle w:val="normaltextrun"/>
                <w:rFonts w:asciiTheme="minorHAnsi" w:hAnsiTheme="minorHAnsi" w:cstheme="minorHAnsi"/>
                <w:b/>
                <w:bCs/>
                <w:sz w:val="20"/>
                <w:szCs w:val="20"/>
                <w:bdr w:val="none" w:sz="0" w:space="0" w:color="auto" w:frame="1"/>
              </w:rPr>
              <w:lastRenderedPageBreak/>
              <w:t>6. Koszty kwalifikowane</w:t>
            </w:r>
          </w:p>
          <w:p w14:paraId="2C1141F8" w14:textId="605F2FFE"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shd w:val="clear" w:color="auto" w:fill="FFFFFF"/>
              </w:rPr>
              <w:lastRenderedPageBreak/>
              <w:t>(…) koszty montażu i robót budowlanych;</w:t>
            </w:r>
          </w:p>
        </w:tc>
        <w:tc>
          <w:tcPr>
            <w:tcW w:w="3486" w:type="dxa"/>
          </w:tcPr>
          <w:p w14:paraId="2D1C8702" w14:textId="0F16B80D"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eastAsia="Calibri" w:hAnsiTheme="minorHAnsi" w:cstheme="minorHAnsi"/>
                <w:sz w:val="20"/>
                <w:szCs w:val="20"/>
              </w:rPr>
              <w:lastRenderedPageBreak/>
              <w:t xml:space="preserve">koszty montażu i robót budowlanych, w tym budowa miejsca parkingowego i </w:t>
            </w:r>
            <w:r w:rsidRPr="005552B5">
              <w:rPr>
                <w:rFonts w:asciiTheme="minorHAnsi" w:eastAsia="Calibri" w:hAnsiTheme="minorHAnsi" w:cstheme="minorHAnsi"/>
                <w:sz w:val="20"/>
                <w:szCs w:val="20"/>
              </w:rPr>
              <w:lastRenderedPageBreak/>
              <w:t>drogi dojazdowej dostosowanych dla pojazdów kategorii N3</w:t>
            </w:r>
          </w:p>
        </w:tc>
        <w:tc>
          <w:tcPr>
            <w:tcW w:w="3486" w:type="dxa"/>
          </w:tcPr>
          <w:p w14:paraId="3A742F3E" w14:textId="422A6FD1"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Budowa drogi dojazdowej i miejsca parkingowych może być niezbędna dla funkcjonowania stacji ładowania. </w:t>
            </w:r>
          </w:p>
        </w:tc>
        <w:tc>
          <w:tcPr>
            <w:tcW w:w="3253" w:type="dxa"/>
          </w:tcPr>
          <w:p w14:paraId="7CF26FC1" w14:textId="77777777"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7BB638CB" w14:textId="77777777" w:rsidR="0037112F" w:rsidRPr="005552B5" w:rsidRDefault="0037112F" w:rsidP="0037112F">
            <w:pPr>
              <w:spacing w:after="0" w:line="240" w:lineRule="auto"/>
              <w:jc w:val="both"/>
              <w:rPr>
                <w:rFonts w:asciiTheme="minorHAnsi" w:hAnsiTheme="minorHAnsi" w:cstheme="minorHAnsi"/>
                <w:sz w:val="20"/>
                <w:szCs w:val="20"/>
              </w:rPr>
            </w:pPr>
          </w:p>
          <w:p w14:paraId="16453D5C" w14:textId="3B4F042E"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W przyszłości rozważymy  ewentualne rozszerzenie zakresu programu priorytetowego.</w:t>
            </w:r>
          </w:p>
        </w:tc>
      </w:tr>
      <w:tr w:rsidR="00FC32CE" w:rsidRPr="005552B5" w14:paraId="36A80FD2" w14:textId="77777777" w:rsidTr="00F301CE">
        <w:tc>
          <w:tcPr>
            <w:tcW w:w="0" w:type="auto"/>
            <w:vAlign w:val="center"/>
          </w:tcPr>
          <w:p w14:paraId="0170C527" w14:textId="5C7132C2"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18</w:t>
            </w:r>
          </w:p>
        </w:tc>
        <w:tc>
          <w:tcPr>
            <w:tcW w:w="1925" w:type="dxa"/>
          </w:tcPr>
          <w:p w14:paraId="5E4808B6" w14:textId="30D6F715"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w:t>
            </w:r>
          </w:p>
        </w:tc>
        <w:tc>
          <w:tcPr>
            <w:tcW w:w="2770" w:type="dxa"/>
          </w:tcPr>
          <w:p w14:paraId="05319FC0" w14:textId="77777777" w:rsidR="0037112F" w:rsidRPr="005552B5" w:rsidRDefault="0037112F" w:rsidP="0037112F">
            <w:pPr>
              <w:jc w:val="both"/>
              <w:rPr>
                <w:rStyle w:val="normaltextrun"/>
                <w:rFonts w:asciiTheme="minorHAnsi" w:hAnsiTheme="minorHAnsi" w:cstheme="minorHAnsi"/>
                <w:b/>
                <w:bCs/>
                <w:sz w:val="20"/>
                <w:szCs w:val="20"/>
                <w:shd w:val="clear" w:color="auto" w:fill="FFFFFF"/>
              </w:rPr>
            </w:pPr>
            <w:r w:rsidRPr="005552B5">
              <w:rPr>
                <w:rStyle w:val="normaltextrun"/>
                <w:rFonts w:asciiTheme="minorHAnsi" w:hAnsiTheme="minorHAnsi" w:cstheme="minorHAnsi"/>
                <w:b/>
                <w:bCs/>
                <w:sz w:val="20"/>
                <w:szCs w:val="20"/>
                <w:shd w:val="clear" w:color="auto" w:fill="FFFFFF"/>
              </w:rPr>
              <w:t>7.3 Warunki dofinansowania, pkt 4)</w:t>
            </w:r>
          </w:p>
          <w:p w14:paraId="0C831A05" w14:textId="5BCA4A03"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shd w:val="clear" w:color="auto" w:fill="FFFFFF"/>
              </w:rPr>
              <w:t>objęta dofinansowaniem ogólnodostępna stacja ładowania wybudowana lub rozbudowana, zlokalizowana na terenie centrum logistycznego (DEPOT) lub terminala intermodalnego, musi posiadać co najmniej jeden punkt ładowania o indywidualnej mocy wyjściowej wynoszącej co najmniej 350 kW;</w:t>
            </w:r>
            <w:r w:rsidRPr="005552B5">
              <w:rPr>
                <w:rStyle w:val="eop"/>
                <w:rFonts w:asciiTheme="minorHAnsi" w:hAnsiTheme="minorHAnsi" w:cstheme="minorHAnsi"/>
                <w:sz w:val="20"/>
                <w:szCs w:val="20"/>
                <w:shd w:val="clear" w:color="auto" w:fill="FFFFFF"/>
              </w:rPr>
              <w:t> </w:t>
            </w:r>
          </w:p>
        </w:tc>
        <w:tc>
          <w:tcPr>
            <w:tcW w:w="3486" w:type="dxa"/>
          </w:tcPr>
          <w:p w14:paraId="1C89DFFA" w14:textId="09F6C44C"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shd w:val="clear" w:color="auto" w:fill="FFFFFF"/>
              </w:rPr>
              <w:t>objęta dofinansowaniem ogólnodostępna stacja ładowania wybudowana lub rozbudowana, zlokalizowana na terenie centrum logistycznego (DEPOT) lub terminala intermodalnego, musi posiadać co najmniej jeden punkt ładowania o indywidualnej mocy wyjściowej wynoszącej co najmniej 350 kW;</w:t>
            </w:r>
            <w:r w:rsidRPr="005552B5">
              <w:rPr>
                <w:rStyle w:val="eop"/>
                <w:rFonts w:asciiTheme="minorHAnsi" w:hAnsiTheme="minorHAnsi" w:cstheme="minorHAnsi"/>
                <w:sz w:val="20"/>
                <w:szCs w:val="20"/>
                <w:shd w:val="clear" w:color="auto" w:fill="FFFFFF"/>
              </w:rPr>
              <w:t> Stacja może zostać wymieniona na późniejszym etapie inwestycji na stacje o większej mocy ładowania. Zmiana stacji ładowania nie wpłynie na wysokość przyznanej już dotacji.</w:t>
            </w:r>
          </w:p>
        </w:tc>
        <w:tc>
          <w:tcPr>
            <w:tcW w:w="3486" w:type="dxa"/>
          </w:tcPr>
          <w:p w14:paraId="70622919" w14:textId="1F214ACB"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Obecnie technologia ładowania rozwija się w szybkim tempie i w następnych latach planowane jest wdrożenie stacji ładowania MCS o większej mocy. Projekt powinien dopuszczać możliwość zmiany wybranej technologii na aktualnie dostępne lepsze rozwiązanie.</w:t>
            </w:r>
          </w:p>
        </w:tc>
        <w:tc>
          <w:tcPr>
            <w:tcW w:w="3253" w:type="dxa"/>
          </w:tcPr>
          <w:p w14:paraId="6BFB7331" w14:textId="77777777" w:rsidR="0037112F" w:rsidRPr="007C6FD4" w:rsidRDefault="0037112F" w:rsidP="0037112F">
            <w:pPr>
              <w:spacing w:after="0" w:line="240" w:lineRule="auto"/>
              <w:jc w:val="both"/>
              <w:rPr>
                <w:rFonts w:asciiTheme="minorHAnsi" w:hAnsiTheme="minorHAnsi" w:cstheme="minorHAnsi"/>
                <w:sz w:val="20"/>
                <w:szCs w:val="20"/>
              </w:rPr>
            </w:pPr>
            <w:r w:rsidRPr="007C6FD4">
              <w:rPr>
                <w:rFonts w:asciiTheme="minorHAnsi" w:hAnsiTheme="minorHAnsi" w:cstheme="minorHAnsi"/>
                <w:sz w:val="20"/>
                <w:szCs w:val="20"/>
              </w:rPr>
              <w:t>Uwaga nie została uwzględniona.</w:t>
            </w:r>
          </w:p>
          <w:p w14:paraId="6678B07D" w14:textId="77777777" w:rsidR="0037112F" w:rsidRPr="007C6FD4" w:rsidRDefault="0037112F" w:rsidP="0037112F">
            <w:pPr>
              <w:spacing w:after="0" w:line="240" w:lineRule="auto"/>
              <w:jc w:val="both"/>
              <w:rPr>
                <w:rFonts w:asciiTheme="minorHAnsi" w:hAnsiTheme="minorHAnsi" w:cstheme="minorHAnsi"/>
                <w:sz w:val="20"/>
                <w:szCs w:val="20"/>
              </w:rPr>
            </w:pPr>
          </w:p>
          <w:p w14:paraId="1BCA3364" w14:textId="77777777" w:rsidR="0037112F" w:rsidRPr="007C6FD4" w:rsidRDefault="0037112F" w:rsidP="0037112F">
            <w:pPr>
              <w:spacing w:after="0" w:line="240" w:lineRule="auto"/>
              <w:jc w:val="both"/>
              <w:rPr>
                <w:rFonts w:asciiTheme="minorHAnsi" w:hAnsiTheme="minorHAnsi" w:cstheme="minorHAnsi"/>
                <w:sz w:val="20"/>
                <w:szCs w:val="20"/>
              </w:rPr>
            </w:pPr>
            <w:r w:rsidRPr="007C6FD4">
              <w:rPr>
                <w:rFonts w:asciiTheme="minorHAnsi" w:hAnsiTheme="minorHAnsi" w:cstheme="minorHAnsi"/>
                <w:sz w:val="20"/>
                <w:szCs w:val="20"/>
              </w:rPr>
              <w:t>Okres trwałości zaprojektowano na 5 lat.</w:t>
            </w:r>
          </w:p>
          <w:p w14:paraId="5B9FA749" w14:textId="51B6A72E" w:rsidR="00AE0DD5" w:rsidRPr="007C6FD4" w:rsidRDefault="007C6FD4" w:rsidP="0037112F">
            <w:pPr>
              <w:spacing w:after="0" w:line="240" w:lineRule="auto"/>
              <w:jc w:val="both"/>
              <w:rPr>
                <w:rFonts w:asciiTheme="minorHAnsi" w:hAnsiTheme="minorHAnsi" w:cstheme="minorHAnsi"/>
                <w:sz w:val="20"/>
                <w:szCs w:val="20"/>
              </w:rPr>
            </w:pPr>
            <w:r w:rsidRPr="007C6FD4">
              <w:rPr>
                <w:rFonts w:asciiTheme="minorHAnsi" w:hAnsiTheme="minorHAnsi" w:cstheme="minorHAnsi"/>
                <w:sz w:val="20"/>
                <w:szCs w:val="20"/>
              </w:rPr>
              <w:t>Wytworzone w ramach dofinasowania mienie</w:t>
            </w:r>
            <w:r>
              <w:rPr>
                <w:rFonts w:asciiTheme="minorHAnsi" w:hAnsiTheme="minorHAnsi" w:cstheme="minorHAnsi"/>
                <w:sz w:val="20"/>
                <w:szCs w:val="20"/>
              </w:rPr>
              <w:t xml:space="preserve"> nie może ulec zniszczeniu/wymianie. Jednakże nie zabrania się beneficjentowi dokonania rozbudowania lub przebudowania stacji ładowania, ale w taki sposób by nie naruszyć infrastruktury dofinansowanej w PP.</w:t>
            </w:r>
          </w:p>
          <w:p w14:paraId="2C1821D4" w14:textId="77777777" w:rsidR="007C6FD4" w:rsidRDefault="007C6FD4" w:rsidP="0037112F">
            <w:pPr>
              <w:spacing w:after="0" w:line="240" w:lineRule="auto"/>
              <w:jc w:val="both"/>
              <w:rPr>
                <w:rFonts w:asciiTheme="minorHAnsi" w:hAnsiTheme="minorHAnsi" w:cstheme="minorHAnsi"/>
                <w:sz w:val="20"/>
                <w:szCs w:val="20"/>
                <w:highlight w:val="red"/>
              </w:rPr>
            </w:pPr>
          </w:p>
          <w:p w14:paraId="00CF9587" w14:textId="170B6B17" w:rsidR="007C6FD4" w:rsidRPr="005552B5" w:rsidRDefault="007C6FD4" w:rsidP="0037112F">
            <w:pPr>
              <w:spacing w:after="0" w:line="240" w:lineRule="auto"/>
              <w:jc w:val="both"/>
              <w:rPr>
                <w:rFonts w:asciiTheme="minorHAnsi" w:hAnsiTheme="minorHAnsi" w:cstheme="minorHAnsi"/>
                <w:sz w:val="20"/>
                <w:szCs w:val="20"/>
                <w:highlight w:val="green"/>
              </w:rPr>
            </w:pPr>
          </w:p>
        </w:tc>
      </w:tr>
      <w:tr w:rsidR="00FC32CE" w:rsidRPr="005552B5" w14:paraId="33602EB2" w14:textId="77777777" w:rsidTr="00F301CE">
        <w:tc>
          <w:tcPr>
            <w:tcW w:w="0" w:type="auto"/>
            <w:vAlign w:val="center"/>
          </w:tcPr>
          <w:p w14:paraId="6873B278" w14:textId="41CB4448"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19</w:t>
            </w:r>
          </w:p>
        </w:tc>
        <w:tc>
          <w:tcPr>
            <w:tcW w:w="1925" w:type="dxa"/>
          </w:tcPr>
          <w:p w14:paraId="3992A054" w14:textId="3F1BCDBB"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w:t>
            </w:r>
          </w:p>
        </w:tc>
        <w:tc>
          <w:tcPr>
            <w:tcW w:w="2770" w:type="dxa"/>
          </w:tcPr>
          <w:p w14:paraId="5AD55E1E" w14:textId="77777777" w:rsidR="0037112F" w:rsidRPr="005552B5" w:rsidRDefault="0037112F" w:rsidP="0037112F">
            <w:pPr>
              <w:jc w:val="both"/>
              <w:rPr>
                <w:rFonts w:asciiTheme="minorHAnsi" w:hAnsiTheme="minorHAnsi" w:cstheme="minorHAnsi"/>
                <w:sz w:val="20"/>
                <w:szCs w:val="20"/>
              </w:rPr>
            </w:pPr>
            <w:r w:rsidRPr="005552B5">
              <w:rPr>
                <w:rFonts w:asciiTheme="minorHAnsi" w:hAnsiTheme="minorHAnsi" w:cstheme="minorHAnsi"/>
                <w:sz w:val="20"/>
                <w:szCs w:val="20"/>
              </w:rPr>
              <w:t>Celem programu jest wsparcie rozwoju infrastruktury do ładownia dla zeroemisyjnych pojazdów ciężarowych, zlokalizowanych przy trasach sieci bazowej TEN-T</w:t>
            </w:r>
            <w:r w:rsidRPr="005552B5">
              <w:rPr>
                <w:rStyle w:val="Odwoanieprzypisudolnego"/>
                <w:rFonts w:asciiTheme="minorHAnsi" w:hAnsiTheme="minorHAnsi" w:cstheme="minorHAnsi"/>
                <w:sz w:val="20"/>
                <w:szCs w:val="20"/>
              </w:rPr>
              <w:footnoteReference w:id="3"/>
            </w:r>
            <w:r w:rsidRPr="005552B5">
              <w:rPr>
                <w:rFonts w:asciiTheme="minorHAnsi" w:hAnsiTheme="minorHAnsi" w:cstheme="minorHAnsi"/>
                <w:sz w:val="20"/>
                <w:szCs w:val="20"/>
              </w:rPr>
              <w:t xml:space="preserve">, centrach logistycznych oraz terminalach intermodalnych </w:t>
            </w:r>
          </w:p>
          <w:p w14:paraId="491D7E39" w14:textId="77777777" w:rsidR="0037112F" w:rsidRPr="005552B5" w:rsidRDefault="0037112F" w:rsidP="0037112F">
            <w:pPr>
              <w:spacing w:after="0" w:line="240" w:lineRule="auto"/>
              <w:jc w:val="both"/>
              <w:rPr>
                <w:rFonts w:asciiTheme="minorHAnsi" w:hAnsiTheme="minorHAnsi" w:cstheme="minorHAnsi"/>
                <w:sz w:val="20"/>
                <w:szCs w:val="20"/>
              </w:rPr>
            </w:pPr>
          </w:p>
        </w:tc>
        <w:tc>
          <w:tcPr>
            <w:tcW w:w="3486" w:type="dxa"/>
          </w:tcPr>
          <w:p w14:paraId="7D02CF5F" w14:textId="77777777" w:rsidR="0037112F" w:rsidRPr="005552B5" w:rsidRDefault="0037112F" w:rsidP="0037112F">
            <w:pPr>
              <w:jc w:val="both"/>
              <w:rPr>
                <w:rFonts w:asciiTheme="minorHAnsi" w:hAnsiTheme="minorHAnsi" w:cstheme="minorHAnsi"/>
                <w:sz w:val="20"/>
                <w:szCs w:val="20"/>
              </w:rPr>
            </w:pPr>
            <w:r w:rsidRPr="005552B5">
              <w:rPr>
                <w:rFonts w:asciiTheme="minorHAnsi" w:hAnsiTheme="minorHAnsi" w:cstheme="minorHAnsi"/>
                <w:sz w:val="20"/>
                <w:szCs w:val="20"/>
              </w:rPr>
              <w:t>Celem programu jest wsparcie rozwoju infrastruktury do ładownia dla zeroemisyjnych pojazdów ciężarowych, zlokalizowanych przy trasach sieci bazowej TEN-T</w:t>
            </w:r>
            <w:r w:rsidRPr="005552B5">
              <w:rPr>
                <w:rStyle w:val="Odwoanieprzypisudolnego"/>
                <w:rFonts w:asciiTheme="minorHAnsi" w:hAnsiTheme="minorHAnsi" w:cstheme="minorHAnsi"/>
                <w:sz w:val="20"/>
                <w:szCs w:val="20"/>
              </w:rPr>
              <w:footnoteReference w:id="4"/>
            </w:r>
            <w:r w:rsidRPr="005552B5">
              <w:rPr>
                <w:rFonts w:asciiTheme="minorHAnsi" w:hAnsiTheme="minorHAnsi" w:cstheme="minorHAnsi"/>
                <w:sz w:val="20"/>
                <w:szCs w:val="20"/>
              </w:rPr>
              <w:t xml:space="preserve"> T lub w odległości do 3 km jazdy od najbliższego zjazdu z drogi sieci bazowej TEN-T, centrach logistycznych lub w odległości do 3 km jazdy oraz terminalach intermodalnych lub w odległości do 3 km jazdy.</w:t>
            </w:r>
          </w:p>
          <w:p w14:paraId="0B802408" w14:textId="77777777" w:rsidR="0037112F" w:rsidRPr="005552B5" w:rsidRDefault="0037112F" w:rsidP="0037112F">
            <w:pPr>
              <w:spacing w:after="0" w:line="240" w:lineRule="auto"/>
              <w:jc w:val="both"/>
              <w:rPr>
                <w:rFonts w:asciiTheme="minorHAnsi" w:hAnsiTheme="minorHAnsi" w:cstheme="minorHAnsi"/>
                <w:sz w:val="20"/>
                <w:szCs w:val="20"/>
              </w:rPr>
            </w:pPr>
          </w:p>
        </w:tc>
        <w:tc>
          <w:tcPr>
            <w:tcW w:w="3486" w:type="dxa"/>
          </w:tcPr>
          <w:p w14:paraId="4DF2F9C8" w14:textId="77777777" w:rsidR="0037112F" w:rsidRPr="005552B5" w:rsidRDefault="0037112F" w:rsidP="0037112F">
            <w:pPr>
              <w:spacing w:after="0" w:line="240" w:lineRule="auto"/>
              <w:jc w:val="both"/>
              <w:rPr>
                <w:rFonts w:asciiTheme="minorHAnsi" w:hAnsiTheme="minorHAnsi" w:cstheme="minorHAnsi"/>
                <w:sz w:val="20"/>
                <w:szCs w:val="20"/>
              </w:rPr>
            </w:pPr>
          </w:p>
        </w:tc>
        <w:tc>
          <w:tcPr>
            <w:tcW w:w="3253" w:type="dxa"/>
          </w:tcPr>
          <w:p w14:paraId="7D65544E" w14:textId="674A9BB9" w:rsidR="0037112F" w:rsidRPr="00170BCF" w:rsidRDefault="0037112F" w:rsidP="00EF4565">
            <w:pPr>
              <w:spacing w:after="0" w:line="240" w:lineRule="auto"/>
              <w:jc w:val="both"/>
              <w:rPr>
                <w:rFonts w:asciiTheme="minorHAnsi" w:hAnsiTheme="minorHAnsi" w:cstheme="minorHAnsi"/>
                <w:sz w:val="20"/>
                <w:szCs w:val="20"/>
                <w:highlight w:val="green"/>
                <w:u w:val="single"/>
              </w:rPr>
            </w:pPr>
            <w:r w:rsidRPr="00170BCF">
              <w:rPr>
                <w:rFonts w:asciiTheme="minorHAnsi" w:hAnsiTheme="minorHAnsi" w:cstheme="minorHAnsi"/>
                <w:sz w:val="20"/>
                <w:szCs w:val="20"/>
                <w:u w:val="single"/>
              </w:rPr>
              <w:t xml:space="preserve">Uwaga </w:t>
            </w:r>
            <w:r w:rsidR="00EF4565" w:rsidRPr="00170BCF">
              <w:rPr>
                <w:rFonts w:asciiTheme="minorHAnsi" w:hAnsiTheme="minorHAnsi" w:cstheme="minorHAnsi"/>
                <w:sz w:val="20"/>
                <w:szCs w:val="20"/>
                <w:u w:val="single"/>
              </w:rPr>
              <w:t xml:space="preserve">uwzględniona – dodano + 3 km </w:t>
            </w:r>
          </w:p>
        </w:tc>
      </w:tr>
      <w:tr w:rsidR="00FC32CE" w:rsidRPr="005552B5" w14:paraId="3FA57315" w14:textId="77777777" w:rsidTr="00F301CE">
        <w:tc>
          <w:tcPr>
            <w:tcW w:w="0" w:type="auto"/>
            <w:vAlign w:val="center"/>
          </w:tcPr>
          <w:p w14:paraId="0BEC2DF8" w14:textId="29BB1629"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20</w:t>
            </w:r>
          </w:p>
        </w:tc>
        <w:tc>
          <w:tcPr>
            <w:tcW w:w="1925" w:type="dxa"/>
          </w:tcPr>
          <w:p w14:paraId="7EAC4B9F" w14:textId="7889F430"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78E57587" w14:textId="77777777" w:rsidR="0037112F" w:rsidRPr="005552B5" w:rsidRDefault="0037112F" w:rsidP="0037112F">
            <w:pPr>
              <w:jc w:val="both"/>
              <w:rPr>
                <w:rFonts w:asciiTheme="minorHAnsi" w:hAnsiTheme="minorHAnsi" w:cstheme="minorHAnsi"/>
                <w:b/>
                <w:bCs/>
                <w:sz w:val="20"/>
                <w:szCs w:val="20"/>
              </w:rPr>
            </w:pPr>
            <w:r w:rsidRPr="005552B5">
              <w:rPr>
                <w:rFonts w:asciiTheme="minorHAnsi" w:hAnsiTheme="minorHAnsi" w:cstheme="minorHAnsi"/>
                <w:b/>
                <w:bCs/>
                <w:sz w:val="20"/>
                <w:szCs w:val="20"/>
              </w:rPr>
              <w:t>KRYTERIA JAKOŚCIOWE DOPUSZCZAJĄCE</w:t>
            </w:r>
          </w:p>
          <w:p w14:paraId="32DE0C5F" w14:textId="15DAB92D"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shd w:val="clear" w:color="auto" w:fill="FFFFFF"/>
              </w:rPr>
              <w:t xml:space="preserve">Przygotowanie instytucjonalne do wdrożenia przyjętego </w:t>
            </w:r>
            <w:r w:rsidRPr="005552B5">
              <w:rPr>
                <w:rStyle w:val="normaltextrun"/>
                <w:rFonts w:asciiTheme="minorHAnsi" w:hAnsiTheme="minorHAnsi" w:cstheme="minorHAnsi"/>
                <w:sz w:val="20"/>
                <w:szCs w:val="20"/>
                <w:shd w:val="clear" w:color="auto" w:fill="FFFFFF"/>
              </w:rPr>
              <w:lastRenderedPageBreak/>
              <w:t>rozwiązania (możliwość wdrożenia inwestycji oraz utrzymania jej trwałości instytucjonalnej, w tym przejrzysta struktura własnościowa, forma prawna, czytelne relacje kontraktowe, itp.).</w:t>
            </w:r>
          </w:p>
        </w:tc>
        <w:tc>
          <w:tcPr>
            <w:tcW w:w="3486" w:type="dxa"/>
          </w:tcPr>
          <w:p w14:paraId="0B8D6ADD" w14:textId="02FEB404"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shd w:val="clear" w:color="auto" w:fill="FFFFFF"/>
              </w:rPr>
              <w:lastRenderedPageBreak/>
              <w:t xml:space="preserve">Przygotowanie instytucjonalne do wdrożenia przyjętego rozwiązania (możliwość wdrożenia inwestycji oraz utrzymania jej trwałości instytucjonalnej, w tym przejrzysta </w:t>
            </w:r>
            <w:r w:rsidRPr="005552B5">
              <w:rPr>
                <w:rStyle w:val="normaltextrun"/>
                <w:rFonts w:asciiTheme="minorHAnsi" w:hAnsiTheme="minorHAnsi" w:cstheme="minorHAnsi"/>
                <w:sz w:val="20"/>
                <w:szCs w:val="20"/>
                <w:shd w:val="clear" w:color="auto" w:fill="FFFFFF"/>
              </w:rPr>
              <w:lastRenderedPageBreak/>
              <w:t>struktura własnościowa, forma prawna, czytelne relacje kontraktowe, doświadczenie w budowie stacji ładowania przyłączonych do sieci SN, itp.).</w:t>
            </w:r>
          </w:p>
        </w:tc>
        <w:tc>
          <w:tcPr>
            <w:tcW w:w="3486" w:type="dxa"/>
          </w:tcPr>
          <w:p w14:paraId="4B49454D" w14:textId="17C51C4E"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Uwzględnienie w kryteriach doświadczenia w budowie stacji ładowania przyłączonej bezpośrednio do sieci SN pozwoli na podniesienie jakości wybudowanej infrastruktury i ograniczy </w:t>
            </w:r>
            <w:r w:rsidRPr="005552B5">
              <w:rPr>
                <w:rFonts w:asciiTheme="minorHAnsi" w:hAnsiTheme="minorHAnsi" w:cstheme="minorHAnsi"/>
                <w:sz w:val="20"/>
                <w:szCs w:val="20"/>
              </w:rPr>
              <w:lastRenderedPageBreak/>
              <w:t>ryzyko niedostępności stacji ładowania na etapie jej eksploatacji.</w:t>
            </w:r>
          </w:p>
        </w:tc>
        <w:tc>
          <w:tcPr>
            <w:tcW w:w="3253" w:type="dxa"/>
          </w:tcPr>
          <w:p w14:paraId="67AF1592" w14:textId="77777777" w:rsidR="0037112F" w:rsidRPr="005552B5" w:rsidRDefault="0037112F" w:rsidP="0037112F">
            <w:pPr>
              <w:spacing w:after="0" w:line="240" w:lineRule="auto"/>
              <w:jc w:val="both"/>
              <w:rPr>
                <w:rFonts w:asciiTheme="minorHAnsi" w:hAnsiTheme="minorHAnsi" w:cstheme="minorHAnsi"/>
                <w:sz w:val="20"/>
                <w:szCs w:val="20"/>
              </w:rPr>
            </w:pPr>
          </w:p>
          <w:p w14:paraId="4129F452" w14:textId="77777777"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54F46A78" w14:textId="4733841C" w:rsidR="0037112F" w:rsidRPr="005552B5" w:rsidRDefault="0039197C"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Proponowana zmiana kryterium skutkuje, iż stanie się ono uznaniowe i nieobiektywne. </w:t>
            </w:r>
          </w:p>
        </w:tc>
      </w:tr>
      <w:tr w:rsidR="00FC32CE" w:rsidRPr="005552B5" w14:paraId="4893DB23" w14:textId="77777777" w:rsidTr="00F301CE">
        <w:tc>
          <w:tcPr>
            <w:tcW w:w="0" w:type="auto"/>
            <w:vAlign w:val="center"/>
          </w:tcPr>
          <w:p w14:paraId="493CBF46" w14:textId="33DB5B8C"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21</w:t>
            </w:r>
          </w:p>
        </w:tc>
        <w:tc>
          <w:tcPr>
            <w:tcW w:w="1925" w:type="dxa"/>
          </w:tcPr>
          <w:p w14:paraId="3A82C7AE" w14:textId="253FB894"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3A2361DD" w14:textId="77777777" w:rsidR="0037112F" w:rsidRPr="005552B5" w:rsidRDefault="0037112F" w:rsidP="0037112F">
            <w:pPr>
              <w:jc w:val="both"/>
              <w:rPr>
                <w:rStyle w:val="normaltextrun"/>
                <w:rFonts w:asciiTheme="minorHAnsi" w:hAnsiTheme="minorHAnsi" w:cstheme="minorHAnsi"/>
                <w:b/>
                <w:bCs/>
                <w:sz w:val="20"/>
                <w:szCs w:val="20"/>
                <w:shd w:val="clear" w:color="auto" w:fill="FFFFFF"/>
              </w:rPr>
            </w:pPr>
            <w:r w:rsidRPr="005552B5">
              <w:rPr>
                <w:rStyle w:val="normaltextrun"/>
                <w:rFonts w:asciiTheme="minorHAnsi" w:hAnsiTheme="minorHAnsi" w:cstheme="minorHAnsi"/>
                <w:b/>
                <w:bCs/>
                <w:sz w:val="20"/>
                <w:szCs w:val="20"/>
                <w:shd w:val="clear" w:color="auto" w:fill="FFFFFF"/>
              </w:rPr>
              <w:t>7.3 Warunki dofinansowania, pkt 7)</w:t>
            </w:r>
          </w:p>
          <w:p w14:paraId="7A6E2888" w14:textId="77777777" w:rsidR="0037112F" w:rsidRPr="005552B5" w:rsidRDefault="0037112F" w:rsidP="0037112F">
            <w:pPr>
              <w:jc w:val="both"/>
              <w:rPr>
                <w:rStyle w:val="normaltextrun"/>
                <w:rFonts w:asciiTheme="minorHAnsi" w:hAnsiTheme="minorHAnsi" w:cstheme="minorHAnsi"/>
                <w:sz w:val="20"/>
                <w:szCs w:val="20"/>
                <w:shd w:val="clear" w:color="auto" w:fill="FFFFFF"/>
              </w:rPr>
            </w:pPr>
            <w:r w:rsidRPr="005552B5">
              <w:rPr>
                <w:rStyle w:val="normaltextrun"/>
                <w:rFonts w:asciiTheme="minorHAnsi" w:hAnsiTheme="minorHAnsi" w:cstheme="minorHAnsi"/>
                <w:sz w:val="20"/>
                <w:szCs w:val="20"/>
                <w:shd w:val="clear" w:color="auto" w:fill="FFFFFF"/>
              </w:rPr>
              <w:t xml:space="preserve">okres trwałości wynosi 5 lat od dnia zakończenia realizacji inwestycji, przy czym </w:t>
            </w:r>
          </w:p>
          <w:p w14:paraId="46334397" w14:textId="6F15F405"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shd w:val="clear" w:color="auto" w:fill="FFFFFF"/>
              </w:rPr>
              <w:t>dniem zakończenia realizacji inwestycji jest uzyskanie pozwolenia na użytkowanie (po uprzednim badaniu technicznym przeprowadzonym przez Urząd Dozoru Technicznego lub Transportowy Dozór Techniczny (UDT lub TDT));</w:t>
            </w:r>
          </w:p>
        </w:tc>
        <w:tc>
          <w:tcPr>
            <w:tcW w:w="3486" w:type="dxa"/>
          </w:tcPr>
          <w:p w14:paraId="732662F9" w14:textId="77777777" w:rsidR="0037112F" w:rsidRPr="005552B5" w:rsidRDefault="0037112F" w:rsidP="0037112F">
            <w:pPr>
              <w:jc w:val="both"/>
              <w:rPr>
                <w:rStyle w:val="normaltextrun"/>
                <w:rFonts w:asciiTheme="minorHAnsi" w:hAnsiTheme="minorHAnsi" w:cstheme="minorHAnsi"/>
                <w:sz w:val="20"/>
                <w:szCs w:val="20"/>
                <w:shd w:val="clear" w:color="auto" w:fill="FFFFFF"/>
              </w:rPr>
            </w:pPr>
            <w:r w:rsidRPr="005552B5">
              <w:rPr>
                <w:rStyle w:val="normaltextrun"/>
                <w:rFonts w:asciiTheme="minorHAnsi" w:hAnsiTheme="minorHAnsi" w:cstheme="minorHAnsi"/>
                <w:sz w:val="20"/>
                <w:szCs w:val="20"/>
                <w:shd w:val="clear" w:color="auto" w:fill="FFFFFF"/>
              </w:rPr>
              <w:t xml:space="preserve">okres trwałości wynosi 5 lat od dnia zakończenia realizacji inwestycji, przy czym </w:t>
            </w:r>
          </w:p>
          <w:p w14:paraId="37B4C87B" w14:textId="22AFEB7C"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shd w:val="clear" w:color="auto" w:fill="FFFFFF"/>
              </w:rPr>
              <w:t>dniem zakończenia realizacji inwestycji jest uzyskanie pozwolenia na użytkowanie (po uprzednim badaniu technicznym przeprowadzonym przez Urząd Dozoru Technicznego lub Transportowy Dozór Techniczny (UDT lub TDT)) lub badaniu technicznym przeprowadzonym przez UDT</w:t>
            </w:r>
          </w:p>
        </w:tc>
        <w:tc>
          <w:tcPr>
            <w:tcW w:w="3486" w:type="dxa"/>
          </w:tcPr>
          <w:p w14:paraId="2D7BDB3F" w14:textId="5884136E" w:rsidR="0037112F" w:rsidRPr="005552B5" w:rsidRDefault="0037112F" w:rsidP="00191367">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Zgodnie z prawem budowlanym budowa stacji ładowania nie wymaga pozwolenia na użytkowanie. Proponujemy alternatywnie wpisać wymóg badania technicznego UDT, które jest niezbędne dla uruchomienia stacji ładowania jako ogólnodostępnej.</w:t>
            </w:r>
          </w:p>
        </w:tc>
        <w:tc>
          <w:tcPr>
            <w:tcW w:w="3253" w:type="dxa"/>
          </w:tcPr>
          <w:p w14:paraId="41930D59" w14:textId="77777777" w:rsidR="0037112F" w:rsidRPr="005552B5" w:rsidRDefault="0037112F" w:rsidP="0037112F">
            <w:pPr>
              <w:spacing w:after="0" w:line="240" w:lineRule="auto"/>
              <w:jc w:val="both"/>
              <w:rPr>
                <w:rFonts w:asciiTheme="minorHAnsi" w:hAnsiTheme="minorHAnsi" w:cstheme="minorHAnsi"/>
                <w:sz w:val="20"/>
                <w:szCs w:val="20"/>
              </w:rPr>
            </w:pPr>
          </w:p>
          <w:p w14:paraId="40BA2F1E" w14:textId="3049AF29" w:rsidR="00191367" w:rsidRPr="005552B5" w:rsidRDefault="00191367"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uwzględniona. </w:t>
            </w:r>
          </w:p>
          <w:p w14:paraId="78D368F8" w14:textId="77777777" w:rsidR="00191367" w:rsidRPr="005552B5" w:rsidRDefault="00191367" w:rsidP="0037112F">
            <w:pPr>
              <w:spacing w:after="0" w:line="240" w:lineRule="auto"/>
              <w:jc w:val="both"/>
              <w:rPr>
                <w:rFonts w:asciiTheme="minorHAnsi" w:hAnsiTheme="minorHAnsi" w:cstheme="minorHAnsi"/>
                <w:sz w:val="20"/>
                <w:szCs w:val="20"/>
              </w:rPr>
            </w:pPr>
          </w:p>
          <w:p w14:paraId="0396BB16" w14:textId="59D06A5D" w:rsidR="0037112F" w:rsidRPr="005552B5" w:rsidRDefault="0037112F" w:rsidP="0037112F">
            <w:pPr>
              <w:spacing w:after="0" w:line="240" w:lineRule="auto"/>
              <w:jc w:val="both"/>
              <w:rPr>
                <w:rFonts w:asciiTheme="minorHAnsi" w:hAnsiTheme="minorHAnsi" w:cstheme="minorHAnsi"/>
                <w:sz w:val="20"/>
                <w:szCs w:val="20"/>
                <w:highlight w:val="yellow"/>
              </w:rPr>
            </w:pPr>
            <w:r w:rsidRPr="005552B5">
              <w:rPr>
                <w:rFonts w:asciiTheme="minorHAnsi" w:hAnsiTheme="minorHAnsi" w:cstheme="minorHAnsi"/>
                <w:sz w:val="20"/>
                <w:szCs w:val="20"/>
              </w:rPr>
              <w:t>Uzgodnienie UDT jest potrzebne dla stacji ogólnodostępnej</w:t>
            </w:r>
            <w:r w:rsidR="00191367" w:rsidRPr="005552B5">
              <w:rPr>
                <w:rFonts w:asciiTheme="minorHAnsi" w:hAnsiTheme="minorHAnsi" w:cstheme="minorHAnsi"/>
                <w:sz w:val="20"/>
                <w:szCs w:val="20"/>
              </w:rPr>
              <w:t>. Dopisano zgodnie z przepisami prawa –czas trwania programu 5 lat- jeśli zmienią się przepisy- dodano zapis „w zależności od wymagań prawnych”</w:t>
            </w:r>
          </w:p>
        </w:tc>
      </w:tr>
      <w:tr w:rsidR="00FC32CE" w:rsidRPr="005552B5" w14:paraId="497E6D76" w14:textId="77777777" w:rsidTr="00F301CE">
        <w:tc>
          <w:tcPr>
            <w:tcW w:w="0" w:type="auto"/>
            <w:vAlign w:val="center"/>
          </w:tcPr>
          <w:p w14:paraId="6B4AA4A1" w14:textId="72BBD3DA"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22</w:t>
            </w:r>
          </w:p>
        </w:tc>
        <w:tc>
          <w:tcPr>
            <w:tcW w:w="1925" w:type="dxa"/>
          </w:tcPr>
          <w:p w14:paraId="299AA94E" w14:textId="0A7EC323"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2D5DCFB5" w14:textId="6E280A42"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b/>
                <w:bCs/>
                <w:sz w:val="20"/>
                <w:szCs w:val="20"/>
                <w:shd w:val="clear" w:color="auto" w:fill="FFFFFF"/>
              </w:rPr>
              <w:t>7.3 Warunki dofinansowania</w:t>
            </w:r>
            <w:r w:rsidRPr="005552B5">
              <w:rPr>
                <w:rStyle w:val="eop"/>
                <w:rFonts w:asciiTheme="minorHAnsi" w:hAnsiTheme="minorHAnsi" w:cstheme="minorHAnsi"/>
                <w:sz w:val="20"/>
                <w:szCs w:val="20"/>
                <w:shd w:val="clear" w:color="auto" w:fill="FFFFFF"/>
              </w:rPr>
              <w:t> </w:t>
            </w:r>
          </w:p>
        </w:tc>
        <w:tc>
          <w:tcPr>
            <w:tcW w:w="3486" w:type="dxa"/>
          </w:tcPr>
          <w:p w14:paraId="5A8A2A68" w14:textId="77777777" w:rsidR="0037112F" w:rsidRPr="005552B5" w:rsidRDefault="0037112F" w:rsidP="0037112F">
            <w:pPr>
              <w:jc w:val="both"/>
              <w:rPr>
                <w:rFonts w:asciiTheme="minorHAnsi" w:hAnsiTheme="minorHAnsi" w:cstheme="minorHAnsi"/>
                <w:sz w:val="20"/>
                <w:szCs w:val="20"/>
              </w:rPr>
            </w:pPr>
            <w:r w:rsidRPr="005552B5">
              <w:rPr>
                <w:rFonts w:asciiTheme="minorHAnsi" w:hAnsiTheme="minorHAnsi" w:cstheme="minorHAnsi"/>
                <w:sz w:val="20"/>
                <w:szCs w:val="20"/>
              </w:rPr>
              <w:t>Dodanie podpunktu:</w:t>
            </w:r>
          </w:p>
          <w:p w14:paraId="0189B5E5" w14:textId="77777777" w:rsidR="0037112F" w:rsidRPr="005552B5" w:rsidRDefault="0037112F" w:rsidP="0037112F">
            <w:pPr>
              <w:jc w:val="both"/>
              <w:rPr>
                <w:rFonts w:asciiTheme="minorHAnsi" w:hAnsiTheme="minorHAnsi" w:cstheme="minorHAnsi"/>
                <w:i/>
                <w:iCs/>
                <w:sz w:val="20"/>
                <w:szCs w:val="20"/>
              </w:rPr>
            </w:pPr>
            <w:r w:rsidRPr="005552B5">
              <w:rPr>
                <w:rFonts w:asciiTheme="minorHAnsi" w:hAnsiTheme="minorHAnsi" w:cstheme="minorHAnsi"/>
                <w:i/>
                <w:iCs/>
                <w:sz w:val="20"/>
                <w:szCs w:val="20"/>
              </w:rPr>
              <w:t xml:space="preserve">Miejsca parkingowe przypisane ogólnodostępnym stacjom ładowania powinny posiadać wymiary </w:t>
            </w:r>
          </w:p>
          <w:p w14:paraId="02F61957" w14:textId="1B13CB11"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i/>
                <w:iCs/>
                <w:sz w:val="20"/>
                <w:szCs w:val="20"/>
              </w:rPr>
              <w:t>3,5 x 18 m</w:t>
            </w:r>
          </w:p>
        </w:tc>
        <w:tc>
          <w:tcPr>
            <w:tcW w:w="3486" w:type="dxa"/>
          </w:tcPr>
          <w:p w14:paraId="3636D621" w14:textId="06ACD2C5"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Wybrane lokalizacje powinny posiadać wystarczająco miejsca na wyznaczenie miejsc parkingowych dla samochodów ciężarowych</w:t>
            </w:r>
          </w:p>
        </w:tc>
        <w:tc>
          <w:tcPr>
            <w:tcW w:w="3253" w:type="dxa"/>
          </w:tcPr>
          <w:p w14:paraId="5501F3C4" w14:textId="77777777"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44CECEDC" w14:textId="77777777" w:rsidR="0039197C" w:rsidRPr="005552B5" w:rsidRDefault="0039197C" w:rsidP="0037112F">
            <w:pPr>
              <w:spacing w:after="0" w:line="240" w:lineRule="auto"/>
              <w:jc w:val="both"/>
              <w:rPr>
                <w:rFonts w:asciiTheme="minorHAnsi" w:hAnsiTheme="minorHAnsi" w:cstheme="minorHAnsi"/>
                <w:sz w:val="20"/>
                <w:szCs w:val="20"/>
              </w:rPr>
            </w:pPr>
          </w:p>
          <w:p w14:paraId="3B6FE38E" w14:textId="4A6FC96F" w:rsidR="0039197C" w:rsidRPr="005552B5" w:rsidRDefault="0039197C"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Program nie wyklucza tworzenia odpowiednich miejsc parkingowych przez beneficjenta. </w:t>
            </w:r>
          </w:p>
          <w:p w14:paraId="46F197CB" w14:textId="77777777" w:rsidR="0037112F" w:rsidRPr="005552B5" w:rsidRDefault="0037112F" w:rsidP="0037112F">
            <w:pPr>
              <w:spacing w:after="0" w:line="240" w:lineRule="auto"/>
              <w:jc w:val="both"/>
              <w:rPr>
                <w:rFonts w:asciiTheme="minorHAnsi" w:hAnsiTheme="minorHAnsi" w:cstheme="minorHAnsi"/>
                <w:sz w:val="20"/>
                <w:szCs w:val="20"/>
                <w:highlight w:val="green"/>
              </w:rPr>
            </w:pPr>
          </w:p>
          <w:p w14:paraId="3D592EAC" w14:textId="77777777" w:rsidR="0037112F" w:rsidRPr="005552B5" w:rsidRDefault="0037112F" w:rsidP="0037112F">
            <w:pPr>
              <w:spacing w:after="0" w:line="240" w:lineRule="auto"/>
              <w:jc w:val="both"/>
              <w:rPr>
                <w:rFonts w:asciiTheme="minorHAnsi" w:hAnsiTheme="minorHAnsi" w:cstheme="minorHAnsi"/>
                <w:sz w:val="20"/>
                <w:szCs w:val="20"/>
                <w:highlight w:val="green"/>
              </w:rPr>
            </w:pPr>
          </w:p>
          <w:p w14:paraId="70C17A51" w14:textId="6DB2C84E" w:rsidR="0037112F" w:rsidRPr="005552B5" w:rsidRDefault="0037112F" w:rsidP="0037112F">
            <w:pPr>
              <w:spacing w:after="0" w:line="240" w:lineRule="auto"/>
              <w:jc w:val="both"/>
              <w:rPr>
                <w:rFonts w:asciiTheme="minorHAnsi" w:hAnsiTheme="minorHAnsi" w:cstheme="minorHAnsi"/>
                <w:sz w:val="20"/>
                <w:szCs w:val="20"/>
              </w:rPr>
            </w:pPr>
          </w:p>
        </w:tc>
      </w:tr>
      <w:tr w:rsidR="00FC32CE" w:rsidRPr="005552B5" w14:paraId="0199624F" w14:textId="77777777" w:rsidTr="00F301CE">
        <w:tc>
          <w:tcPr>
            <w:tcW w:w="0" w:type="auto"/>
            <w:vAlign w:val="center"/>
          </w:tcPr>
          <w:p w14:paraId="123A2169" w14:textId="0123117A"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23</w:t>
            </w:r>
          </w:p>
        </w:tc>
        <w:tc>
          <w:tcPr>
            <w:tcW w:w="1925" w:type="dxa"/>
          </w:tcPr>
          <w:p w14:paraId="5B206EF1" w14:textId="3F56FD06"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30209C4F" w14:textId="77777777" w:rsidR="0037112F" w:rsidRPr="005552B5" w:rsidRDefault="0037112F" w:rsidP="0037112F">
            <w:pPr>
              <w:jc w:val="both"/>
              <w:rPr>
                <w:rStyle w:val="normaltextrun"/>
                <w:rFonts w:asciiTheme="minorHAnsi" w:hAnsiTheme="minorHAnsi" w:cstheme="minorHAnsi"/>
                <w:sz w:val="20"/>
                <w:szCs w:val="20"/>
                <w:shd w:val="clear" w:color="auto" w:fill="FFFFFF"/>
              </w:rPr>
            </w:pPr>
            <w:r w:rsidRPr="005552B5">
              <w:rPr>
                <w:rStyle w:val="normaltextrun"/>
                <w:rFonts w:asciiTheme="minorHAnsi" w:hAnsiTheme="minorHAnsi" w:cstheme="minorHAnsi"/>
                <w:b/>
                <w:bCs/>
                <w:sz w:val="20"/>
                <w:szCs w:val="20"/>
                <w:bdr w:val="none" w:sz="0" w:space="0" w:color="auto" w:frame="1"/>
              </w:rPr>
              <w:t>6. Koszty kwalifikowane</w:t>
            </w:r>
          </w:p>
          <w:p w14:paraId="064CFD6E" w14:textId="6E1955B8"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shd w:val="clear" w:color="auto" w:fill="FFFFFF"/>
              </w:rPr>
              <w:t>(…) koszty instalacji przyłączeniowej;</w:t>
            </w:r>
            <w:r w:rsidRPr="005552B5">
              <w:rPr>
                <w:rStyle w:val="eop"/>
                <w:rFonts w:asciiTheme="minorHAnsi" w:hAnsiTheme="minorHAnsi" w:cstheme="minorHAnsi"/>
                <w:sz w:val="20"/>
                <w:szCs w:val="20"/>
                <w:shd w:val="clear" w:color="auto" w:fill="FFFFFF"/>
              </w:rPr>
              <w:t> </w:t>
            </w:r>
          </w:p>
        </w:tc>
        <w:tc>
          <w:tcPr>
            <w:tcW w:w="3486" w:type="dxa"/>
          </w:tcPr>
          <w:p w14:paraId="52A30B53" w14:textId="0AFE7341"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sz w:val="20"/>
                <w:szCs w:val="20"/>
                <w:shd w:val="clear" w:color="auto" w:fill="FFFFFF"/>
              </w:rPr>
              <w:t>koszty instalacji przyłączeniowej, w tym koszty wybudowania stacji transformatorowej o maksymalnej mocy 3,6 MVA</w:t>
            </w:r>
          </w:p>
        </w:tc>
        <w:tc>
          <w:tcPr>
            <w:tcW w:w="3486" w:type="dxa"/>
          </w:tcPr>
          <w:p w14:paraId="53F648FE" w14:textId="109E3CAD"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Wybudowane w ramach projektu stacje transformatorowe powinny posiadać wystarczającą moc, by spełnić wymagania AFIR dot. mocy strefy ładowania do końca 2030 roku. </w:t>
            </w:r>
          </w:p>
        </w:tc>
        <w:tc>
          <w:tcPr>
            <w:tcW w:w="3253" w:type="dxa"/>
          </w:tcPr>
          <w:p w14:paraId="2C3630E9" w14:textId="017B95D6" w:rsidR="0037112F" w:rsidRPr="005552B5" w:rsidRDefault="00FF5693"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 ramach programu kosztami kwalifikowanymi mogą być koszty poniesione na budowę stacji transformatorowych. Moc stacji musi być odpowiednio dobrana, aby spełnić wymagania programu.</w:t>
            </w:r>
          </w:p>
          <w:p w14:paraId="2A5B09F2" w14:textId="77777777" w:rsidR="0037112F" w:rsidRPr="005552B5" w:rsidRDefault="0037112F" w:rsidP="0037112F">
            <w:pPr>
              <w:spacing w:after="0" w:line="240" w:lineRule="auto"/>
              <w:jc w:val="both"/>
              <w:rPr>
                <w:rFonts w:asciiTheme="minorHAnsi" w:hAnsiTheme="minorHAnsi" w:cstheme="minorHAnsi"/>
                <w:sz w:val="20"/>
                <w:szCs w:val="20"/>
              </w:rPr>
            </w:pPr>
          </w:p>
        </w:tc>
      </w:tr>
      <w:tr w:rsidR="00FC32CE" w:rsidRPr="005552B5" w14:paraId="5B832EE4" w14:textId="77777777" w:rsidTr="00F301CE">
        <w:tc>
          <w:tcPr>
            <w:tcW w:w="0" w:type="auto"/>
            <w:vAlign w:val="center"/>
          </w:tcPr>
          <w:p w14:paraId="745D188F" w14:textId="72133AE6"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24</w:t>
            </w:r>
          </w:p>
        </w:tc>
        <w:tc>
          <w:tcPr>
            <w:tcW w:w="1925" w:type="dxa"/>
          </w:tcPr>
          <w:p w14:paraId="32841811" w14:textId="596FBB09"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109C1BC5" w14:textId="461B77C4" w:rsidR="0037112F" w:rsidRPr="005552B5" w:rsidRDefault="0037112F" w:rsidP="0037112F">
            <w:pPr>
              <w:spacing w:after="0" w:line="240" w:lineRule="auto"/>
              <w:jc w:val="both"/>
              <w:rPr>
                <w:rFonts w:asciiTheme="minorHAnsi" w:hAnsiTheme="minorHAnsi" w:cstheme="minorHAnsi"/>
                <w:sz w:val="20"/>
                <w:szCs w:val="20"/>
              </w:rPr>
            </w:pPr>
            <w:r w:rsidRPr="005552B5">
              <w:rPr>
                <w:rStyle w:val="normaltextrun"/>
                <w:rFonts w:asciiTheme="minorHAnsi" w:hAnsiTheme="minorHAnsi" w:cstheme="minorHAnsi"/>
                <w:b/>
                <w:bCs/>
                <w:sz w:val="20"/>
                <w:szCs w:val="20"/>
                <w:shd w:val="clear" w:color="auto" w:fill="FFFFFF"/>
              </w:rPr>
              <w:t>7.3 Warunki dofinansowania</w:t>
            </w:r>
            <w:r w:rsidRPr="005552B5">
              <w:rPr>
                <w:rStyle w:val="eop"/>
                <w:rFonts w:asciiTheme="minorHAnsi" w:hAnsiTheme="minorHAnsi" w:cstheme="minorHAnsi"/>
                <w:sz w:val="20"/>
                <w:szCs w:val="20"/>
                <w:shd w:val="clear" w:color="auto" w:fill="FFFFFF"/>
              </w:rPr>
              <w:t> </w:t>
            </w:r>
          </w:p>
        </w:tc>
        <w:tc>
          <w:tcPr>
            <w:tcW w:w="3486" w:type="dxa"/>
          </w:tcPr>
          <w:p w14:paraId="58ED7FAD" w14:textId="77777777" w:rsidR="0037112F" w:rsidRPr="005552B5" w:rsidRDefault="0037112F" w:rsidP="0037112F">
            <w:pPr>
              <w:jc w:val="both"/>
              <w:rPr>
                <w:rFonts w:asciiTheme="minorHAnsi" w:hAnsiTheme="minorHAnsi" w:cstheme="minorHAnsi"/>
                <w:bCs/>
                <w:sz w:val="20"/>
                <w:szCs w:val="20"/>
              </w:rPr>
            </w:pPr>
            <w:r w:rsidRPr="005552B5">
              <w:rPr>
                <w:rFonts w:asciiTheme="minorHAnsi" w:hAnsiTheme="minorHAnsi" w:cstheme="minorHAnsi"/>
                <w:bCs/>
                <w:sz w:val="20"/>
                <w:szCs w:val="20"/>
              </w:rPr>
              <w:t>Dodanie podpunktu:</w:t>
            </w:r>
          </w:p>
          <w:p w14:paraId="4FE21501" w14:textId="2A47F5E7"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bCs/>
                <w:i/>
                <w:iCs/>
                <w:sz w:val="20"/>
                <w:szCs w:val="20"/>
              </w:rPr>
              <w:t>Droga dojazdowa do ogólnodostępnej stacji ładowania powinna umożliwiać przejazd pojazdom kategorii N3</w:t>
            </w:r>
          </w:p>
        </w:tc>
        <w:tc>
          <w:tcPr>
            <w:tcW w:w="3486" w:type="dxa"/>
          </w:tcPr>
          <w:p w14:paraId="2F4CA94C" w14:textId="20F7643E"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Wybrane lokalizacje powinny umożliwiać dojazd pojazdów ciężarowych do stacji ładowania. </w:t>
            </w:r>
          </w:p>
        </w:tc>
        <w:tc>
          <w:tcPr>
            <w:tcW w:w="3253" w:type="dxa"/>
            <w:shd w:val="clear" w:color="auto" w:fill="auto"/>
          </w:tcPr>
          <w:p w14:paraId="6A1824E1" w14:textId="162DE876"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r w:rsidR="00F3214E" w:rsidRPr="005552B5">
              <w:rPr>
                <w:rFonts w:asciiTheme="minorHAnsi" w:hAnsiTheme="minorHAnsi" w:cstheme="minorHAnsi"/>
                <w:sz w:val="20"/>
                <w:szCs w:val="20"/>
              </w:rPr>
              <w:t>.</w:t>
            </w:r>
          </w:p>
          <w:p w14:paraId="59D7894C" w14:textId="77777777" w:rsidR="0039197C" w:rsidRPr="005552B5" w:rsidRDefault="0039197C" w:rsidP="0037112F">
            <w:pPr>
              <w:spacing w:after="0" w:line="240" w:lineRule="auto"/>
              <w:jc w:val="both"/>
              <w:rPr>
                <w:rFonts w:asciiTheme="minorHAnsi" w:hAnsiTheme="minorHAnsi" w:cstheme="minorHAnsi"/>
                <w:sz w:val="20"/>
                <w:szCs w:val="20"/>
              </w:rPr>
            </w:pPr>
          </w:p>
          <w:p w14:paraId="79FB25CD" w14:textId="20E277F5" w:rsidR="0039197C" w:rsidRPr="005552B5" w:rsidRDefault="0039197C"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Uwzględnienie uwagi skutkowałoby  inwestycjami, które w wielu przypadkach nie byłyby związane z budową stacji ładowania pojazdów. </w:t>
            </w:r>
          </w:p>
          <w:p w14:paraId="3B4BB0D1" w14:textId="77777777" w:rsidR="0037112F" w:rsidRPr="005552B5" w:rsidRDefault="0037112F" w:rsidP="0037112F">
            <w:pPr>
              <w:spacing w:after="0" w:line="240" w:lineRule="auto"/>
              <w:jc w:val="both"/>
              <w:rPr>
                <w:rFonts w:asciiTheme="minorHAnsi" w:hAnsiTheme="minorHAnsi" w:cstheme="minorHAnsi"/>
                <w:sz w:val="20"/>
                <w:szCs w:val="20"/>
              </w:rPr>
            </w:pPr>
          </w:p>
          <w:p w14:paraId="61CB1D09" w14:textId="77777777" w:rsidR="0037112F" w:rsidRPr="005552B5" w:rsidRDefault="0037112F" w:rsidP="0037112F">
            <w:pPr>
              <w:spacing w:after="0" w:line="240" w:lineRule="auto"/>
              <w:jc w:val="both"/>
              <w:rPr>
                <w:rFonts w:asciiTheme="minorHAnsi" w:hAnsiTheme="minorHAnsi" w:cstheme="minorHAnsi"/>
                <w:sz w:val="20"/>
                <w:szCs w:val="20"/>
              </w:rPr>
            </w:pPr>
          </w:p>
          <w:p w14:paraId="2B078B99" w14:textId="729C9E81" w:rsidR="0037112F" w:rsidRPr="005552B5" w:rsidRDefault="0037112F" w:rsidP="0037112F">
            <w:pPr>
              <w:spacing w:after="0" w:line="240" w:lineRule="auto"/>
              <w:jc w:val="both"/>
              <w:rPr>
                <w:rFonts w:asciiTheme="minorHAnsi" w:hAnsiTheme="minorHAnsi" w:cstheme="minorHAnsi"/>
                <w:sz w:val="20"/>
                <w:szCs w:val="20"/>
              </w:rPr>
            </w:pPr>
          </w:p>
        </w:tc>
      </w:tr>
      <w:tr w:rsidR="00FC32CE" w:rsidRPr="005552B5" w14:paraId="55CECEE4" w14:textId="77777777" w:rsidTr="00F301CE">
        <w:tc>
          <w:tcPr>
            <w:tcW w:w="0" w:type="auto"/>
            <w:vAlign w:val="center"/>
          </w:tcPr>
          <w:p w14:paraId="52AAD784" w14:textId="0439FFA6"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25</w:t>
            </w:r>
          </w:p>
        </w:tc>
        <w:tc>
          <w:tcPr>
            <w:tcW w:w="1925" w:type="dxa"/>
          </w:tcPr>
          <w:p w14:paraId="7F1AB200" w14:textId="5A790888"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415E339C" w14:textId="77777777" w:rsidR="0037112F" w:rsidRPr="005552B5" w:rsidRDefault="0037112F" w:rsidP="0037112F">
            <w:pPr>
              <w:jc w:val="both"/>
              <w:rPr>
                <w:rFonts w:asciiTheme="minorHAnsi" w:hAnsiTheme="minorHAnsi" w:cstheme="minorHAnsi"/>
                <w:i/>
                <w:sz w:val="20"/>
                <w:szCs w:val="20"/>
              </w:rPr>
            </w:pPr>
            <w:r w:rsidRPr="005552B5">
              <w:rPr>
                <w:rFonts w:asciiTheme="minorHAnsi" w:hAnsiTheme="minorHAnsi" w:cstheme="minorHAnsi"/>
                <w:i/>
                <w:sz w:val="20"/>
                <w:szCs w:val="20"/>
              </w:rPr>
              <w:t xml:space="preserve">1. </w:t>
            </w:r>
          </w:p>
          <w:p w14:paraId="3E2B9C0B" w14:textId="55EEC34F"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i/>
                <w:sz w:val="20"/>
                <w:szCs w:val="20"/>
              </w:rPr>
              <w:t>Celem programu jest wsparcie rozwoju infrastruktury do ładownia dla zeroemisyjnych pojazdów ciężarowych, zlokalizowanych przy trasach sieci bazowej TEN-T, centrach logistycznych oraz terminalach intermodalnych, aby zmniejszyć liczbę pojazdów emitujących CO</w:t>
            </w:r>
            <w:r w:rsidRPr="005552B5">
              <w:rPr>
                <w:rFonts w:asciiTheme="minorHAnsi" w:hAnsiTheme="minorHAnsi" w:cstheme="minorHAnsi"/>
                <w:i/>
                <w:sz w:val="20"/>
                <w:szCs w:val="20"/>
                <w:vertAlign w:val="subscript"/>
              </w:rPr>
              <w:t>2</w:t>
            </w:r>
            <w:r w:rsidRPr="005552B5">
              <w:rPr>
                <w:rFonts w:asciiTheme="minorHAnsi" w:hAnsiTheme="minorHAnsi" w:cstheme="minorHAnsi"/>
                <w:i/>
                <w:sz w:val="20"/>
                <w:szCs w:val="20"/>
              </w:rPr>
              <w:t xml:space="preserve"> i </w:t>
            </w:r>
            <w:proofErr w:type="spellStart"/>
            <w:r w:rsidRPr="005552B5">
              <w:rPr>
                <w:rFonts w:asciiTheme="minorHAnsi" w:hAnsiTheme="minorHAnsi" w:cstheme="minorHAnsi"/>
                <w:i/>
                <w:sz w:val="20"/>
                <w:szCs w:val="20"/>
              </w:rPr>
              <w:t>NOx</w:t>
            </w:r>
            <w:proofErr w:type="spellEnd"/>
            <w:r w:rsidRPr="005552B5">
              <w:rPr>
                <w:rFonts w:asciiTheme="minorHAnsi" w:hAnsiTheme="minorHAnsi" w:cstheme="minorHAnsi"/>
                <w:i/>
                <w:sz w:val="20"/>
                <w:szCs w:val="20"/>
              </w:rPr>
              <w:t>, a tym samym poprawić jakość powietrza.</w:t>
            </w:r>
          </w:p>
        </w:tc>
        <w:tc>
          <w:tcPr>
            <w:tcW w:w="3486" w:type="dxa"/>
          </w:tcPr>
          <w:p w14:paraId="2A0E1728" w14:textId="597F211B"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Celem programu jest wsparcie rozwoju infrastruktury do ładownia dla zeroemisyjnych pojazdów ciężarowych, zlokalizowanych głównie przy trasach sieci bazowej TEN-T, centrach logistycznych, terminalach intermodalnych oraz w innych ogólnie dostępnych lokalizacjach służących do obsługi/postoju pojazdów ciężarowych, aby zmniejszyć liczbę pojazdów emitujących CO</w:t>
            </w:r>
            <w:r w:rsidRPr="005552B5">
              <w:rPr>
                <w:rFonts w:asciiTheme="minorHAnsi" w:hAnsiTheme="minorHAnsi" w:cstheme="minorHAnsi"/>
                <w:sz w:val="20"/>
                <w:szCs w:val="20"/>
                <w:vertAlign w:val="subscript"/>
              </w:rPr>
              <w:t>2</w:t>
            </w:r>
            <w:r w:rsidRPr="005552B5">
              <w:rPr>
                <w:rFonts w:asciiTheme="minorHAnsi" w:hAnsiTheme="minorHAnsi" w:cstheme="minorHAnsi"/>
                <w:sz w:val="20"/>
                <w:szCs w:val="20"/>
              </w:rPr>
              <w:t xml:space="preserve"> i </w:t>
            </w:r>
            <w:proofErr w:type="spellStart"/>
            <w:r w:rsidRPr="005552B5">
              <w:rPr>
                <w:rFonts w:asciiTheme="minorHAnsi" w:hAnsiTheme="minorHAnsi" w:cstheme="minorHAnsi"/>
                <w:sz w:val="20"/>
                <w:szCs w:val="20"/>
              </w:rPr>
              <w:t>NOx</w:t>
            </w:r>
            <w:proofErr w:type="spellEnd"/>
            <w:r w:rsidRPr="005552B5">
              <w:rPr>
                <w:rFonts w:asciiTheme="minorHAnsi" w:hAnsiTheme="minorHAnsi" w:cstheme="minorHAnsi"/>
                <w:sz w:val="20"/>
                <w:szCs w:val="20"/>
              </w:rPr>
              <w:t>, a tym samym poprawić jakość powietrza.</w:t>
            </w:r>
          </w:p>
        </w:tc>
        <w:tc>
          <w:tcPr>
            <w:tcW w:w="3486" w:type="dxa"/>
          </w:tcPr>
          <w:p w14:paraId="31103081" w14:textId="77777777" w:rsidR="0037112F" w:rsidRPr="005552B5" w:rsidRDefault="0037112F" w:rsidP="0037112F">
            <w:pPr>
              <w:pStyle w:val="Akapitzlist"/>
              <w:ind w:left="268"/>
              <w:jc w:val="both"/>
              <w:rPr>
                <w:rFonts w:asciiTheme="minorHAnsi" w:hAnsiTheme="minorHAnsi" w:cstheme="minorHAnsi"/>
                <w:sz w:val="20"/>
                <w:szCs w:val="20"/>
              </w:rPr>
            </w:pPr>
            <w:r w:rsidRPr="005552B5">
              <w:rPr>
                <w:rFonts w:asciiTheme="minorHAnsi" w:hAnsiTheme="minorHAnsi" w:cstheme="minorHAnsi"/>
                <w:sz w:val="20"/>
                <w:szCs w:val="20"/>
              </w:rPr>
              <w:t xml:space="preserve">Zastosowane w dokumencie ograniczenie lokalizacji budowy stacji ładowania dla zeroemisyjnych pojazdów ciężarowych, utrudnia możliwość budowy tego rodzaju infrastruktury w innych niż wymienione miejscach postoju pojazdów, w tym przede wszystkim na parkingach zlokalizowanych np. przy strefach przemysłowych. </w:t>
            </w:r>
          </w:p>
          <w:p w14:paraId="799B261B" w14:textId="5521951C"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Przez zmianę tego zapisu wnioskujemy o nieograniczanie katalogu lokalizacji, które mogą zostać objęte dofinansowaniem do budowy infrastruktury ładowania.</w:t>
            </w:r>
          </w:p>
        </w:tc>
        <w:tc>
          <w:tcPr>
            <w:tcW w:w="3253" w:type="dxa"/>
            <w:shd w:val="clear" w:color="auto" w:fill="auto"/>
          </w:tcPr>
          <w:p w14:paraId="572DA6C4" w14:textId="4F7F1E49"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w:t>
            </w:r>
            <w:r w:rsidR="00F3214E" w:rsidRPr="005552B5">
              <w:rPr>
                <w:rFonts w:asciiTheme="minorHAnsi" w:hAnsiTheme="minorHAnsi" w:cstheme="minorHAnsi"/>
                <w:sz w:val="20"/>
                <w:szCs w:val="20"/>
              </w:rPr>
              <w:t xml:space="preserve">częściowo </w:t>
            </w:r>
            <w:r w:rsidRPr="005552B5">
              <w:rPr>
                <w:rFonts w:asciiTheme="minorHAnsi" w:hAnsiTheme="minorHAnsi" w:cstheme="minorHAnsi"/>
                <w:sz w:val="20"/>
                <w:szCs w:val="20"/>
              </w:rPr>
              <w:t xml:space="preserve"> uwzględniona</w:t>
            </w:r>
            <w:r w:rsidR="00F3214E" w:rsidRPr="005552B5">
              <w:rPr>
                <w:rFonts w:asciiTheme="minorHAnsi" w:hAnsiTheme="minorHAnsi" w:cstheme="minorHAnsi"/>
                <w:sz w:val="20"/>
                <w:szCs w:val="20"/>
              </w:rPr>
              <w:t>. Dodano bazy eksploatacyjne -rozszerzono katalog miejsc.</w:t>
            </w:r>
          </w:p>
          <w:p w14:paraId="0D6397D4" w14:textId="77777777" w:rsidR="0037112F" w:rsidRPr="005552B5" w:rsidRDefault="0037112F" w:rsidP="0037112F">
            <w:pPr>
              <w:spacing w:after="0" w:line="240" w:lineRule="auto"/>
              <w:jc w:val="both"/>
              <w:rPr>
                <w:rFonts w:asciiTheme="minorHAnsi" w:hAnsiTheme="minorHAnsi" w:cstheme="minorHAnsi"/>
                <w:sz w:val="20"/>
                <w:szCs w:val="20"/>
              </w:rPr>
            </w:pPr>
          </w:p>
          <w:p w14:paraId="40C465B3" w14:textId="77777777" w:rsidR="0037112F" w:rsidRPr="005552B5" w:rsidRDefault="0037112F" w:rsidP="0037112F">
            <w:pPr>
              <w:spacing w:after="0" w:line="240" w:lineRule="auto"/>
              <w:jc w:val="both"/>
              <w:rPr>
                <w:rFonts w:asciiTheme="minorHAnsi" w:hAnsiTheme="minorHAnsi" w:cstheme="minorHAnsi"/>
                <w:sz w:val="20"/>
                <w:szCs w:val="20"/>
              </w:rPr>
            </w:pPr>
          </w:p>
          <w:p w14:paraId="5011CC13" w14:textId="76A8E5DD" w:rsidR="0037112F" w:rsidRPr="005552B5" w:rsidRDefault="0037112F" w:rsidP="0037112F">
            <w:pPr>
              <w:spacing w:after="0" w:line="240" w:lineRule="auto"/>
              <w:jc w:val="both"/>
              <w:rPr>
                <w:rFonts w:asciiTheme="minorHAnsi" w:hAnsiTheme="minorHAnsi" w:cstheme="minorHAnsi"/>
                <w:sz w:val="20"/>
                <w:szCs w:val="20"/>
              </w:rPr>
            </w:pPr>
          </w:p>
        </w:tc>
      </w:tr>
      <w:tr w:rsidR="00FC32CE" w:rsidRPr="005552B5" w14:paraId="1F76D628" w14:textId="77777777" w:rsidTr="00F301CE">
        <w:tc>
          <w:tcPr>
            <w:tcW w:w="0" w:type="auto"/>
            <w:vAlign w:val="center"/>
          </w:tcPr>
          <w:p w14:paraId="79E3E06F" w14:textId="5B90079B"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26</w:t>
            </w:r>
          </w:p>
        </w:tc>
        <w:tc>
          <w:tcPr>
            <w:tcW w:w="1925" w:type="dxa"/>
          </w:tcPr>
          <w:p w14:paraId="3625F9D6" w14:textId="487C1A32"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67B59C6B" w14:textId="77777777" w:rsidR="0037112F" w:rsidRPr="005552B5" w:rsidRDefault="0037112F" w:rsidP="0037112F">
            <w:pPr>
              <w:tabs>
                <w:tab w:val="left" w:pos="284"/>
              </w:tabs>
              <w:autoSpaceDE w:val="0"/>
              <w:autoSpaceDN w:val="0"/>
              <w:adjustRightInd w:val="0"/>
              <w:spacing w:before="240" w:after="120"/>
              <w:jc w:val="both"/>
              <w:rPr>
                <w:rFonts w:asciiTheme="minorHAnsi" w:hAnsiTheme="minorHAnsi" w:cstheme="minorHAnsi"/>
                <w:bCs/>
                <w:i/>
                <w:sz w:val="20"/>
                <w:szCs w:val="20"/>
              </w:rPr>
            </w:pPr>
            <w:r w:rsidRPr="005552B5">
              <w:rPr>
                <w:rFonts w:asciiTheme="minorHAnsi" w:hAnsiTheme="minorHAnsi" w:cstheme="minorHAnsi"/>
                <w:bCs/>
                <w:sz w:val="20"/>
                <w:szCs w:val="20"/>
              </w:rPr>
              <w:t>3.</w:t>
            </w:r>
          </w:p>
          <w:p w14:paraId="3D3E9D9F" w14:textId="77777777" w:rsidR="0037112F" w:rsidRPr="005552B5" w:rsidRDefault="0037112F" w:rsidP="0037112F">
            <w:pPr>
              <w:tabs>
                <w:tab w:val="left" w:pos="284"/>
              </w:tabs>
              <w:autoSpaceDE w:val="0"/>
              <w:autoSpaceDN w:val="0"/>
              <w:adjustRightInd w:val="0"/>
              <w:spacing w:before="240" w:after="120"/>
              <w:jc w:val="both"/>
              <w:rPr>
                <w:rFonts w:asciiTheme="minorHAnsi" w:hAnsiTheme="minorHAnsi" w:cstheme="minorHAnsi"/>
                <w:bCs/>
                <w:i/>
                <w:sz w:val="20"/>
                <w:szCs w:val="20"/>
              </w:rPr>
            </w:pPr>
            <w:r w:rsidRPr="005552B5">
              <w:rPr>
                <w:rFonts w:asciiTheme="minorHAnsi" w:hAnsiTheme="minorHAnsi" w:cstheme="minorHAnsi"/>
                <w:bCs/>
                <w:i/>
                <w:sz w:val="20"/>
                <w:szCs w:val="20"/>
              </w:rPr>
              <w:t xml:space="preserve">- do 20% budżetu przeznaczona będzie na wsparcie budowy i/lub rozbudowy ogólnodostępnych stacji ładowania dla transportu ciężkiego, zlokalizowanych na obszarze centrum logistycznego lub terminalu intermodalnego. </w:t>
            </w:r>
          </w:p>
          <w:p w14:paraId="69EE55CA" w14:textId="5C05DB29" w:rsidR="0037112F" w:rsidRPr="005552B5" w:rsidRDefault="0037112F" w:rsidP="0037112F">
            <w:pPr>
              <w:spacing w:after="0" w:line="240" w:lineRule="auto"/>
              <w:jc w:val="both"/>
              <w:rPr>
                <w:rFonts w:asciiTheme="minorHAnsi" w:hAnsiTheme="minorHAnsi" w:cstheme="minorHAnsi"/>
                <w:sz w:val="20"/>
                <w:szCs w:val="20"/>
              </w:rPr>
            </w:pPr>
          </w:p>
        </w:tc>
        <w:tc>
          <w:tcPr>
            <w:tcW w:w="3486" w:type="dxa"/>
          </w:tcPr>
          <w:p w14:paraId="5BD54803" w14:textId="77777777" w:rsidR="0037112F" w:rsidRPr="005552B5" w:rsidRDefault="0037112F" w:rsidP="0037112F">
            <w:pPr>
              <w:tabs>
                <w:tab w:val="left" w:pos="284"/>
              </w:tabs>
              <w:autoSpaceDE w:val="0"/>
              <w:autoSpaceDN w:val="0"/>
              <w:adjustRightInd w:val="0"/>
              <w:spacing w:before="240" w:after="120"/>
              <w:jc w:val="both"/>
              <w:rPr>
                <w:rFonts w:asciiTheme="minorHAnsi" w:hAnsiTheme="minorHAnsi" w:cstheme="minorHAnsi"/>
                <w:bCs/>
                <w:sz w:val="20"/>
                <w:szCs w:val="20"/>
              </w:rPr>
            </w:pPr>
            <w:r w:rsidRPr="005552B5">
              <w:rPr>
                <w:rFonts w:asciiTheme="minorHAnsi" w:hAnsiTheme="minorHAnsi" w:cstheme="minorHAnsi"/>
                <w:bCs/>
                <w:sz w:val="20"/>
                <w:szCs w:val="20"/>
              </w:rPr>
              <w:t xml:space="preserve">- do 20% budżetu przeznaczona będzie na wsparcie budowy i/lub rozbudowy ogólnodostępnych stacji ładowania dla transportu ciężkiego, zlokalizowanych na obszarze </w:t>
            </w:r>
            <w:r w:rsidRPr="005552B5">
              <w:rPr>
                <w:rFonts w:asciiTheme="minorHAnsi" w:hAnsiTheme="minorHAnsi" w:cstheme="minorHAnsi"/>
                <w:sz w:val="20"/>
                <w:szCs w:val="20"/>
              </w:rPr>
              <w:t xml:space="preserve">centrum logistycznego, terminalu intermodalnego lub </w:t>
            </w:r>
            <w:r w:rsidRPr="005552B5">
              <w:rPr>
                <w:rFonts w:asciiTheme="minorHAnsi" w:hAnsiTheme="minorHAnsi" w:cstheme="minorHAnsi"/>
                <w:b/>
                <w:bCs/>
                <w:sz w:val="20"/>
                <w:szCs w:val="20"/>
              </w:rPr>
              <w:t xml:space="preserve"> </w:t>
            </w:r>
            <w:r w:rsidRPr="005552B5">
              <w:rPr>
                <w:rFonts w:asciiTheme="minorHAnsi" w:hAnsiTheme="minorHAnsi" w:cstheme="minorHAnsi"/>
                <w:sz w:val="20"/>
                <w:szCs w:val="20"/>
              </w:rPr>
              <w:t xml:space="preserve">innej ogólnie dostępnej lokalizacjach służącej do obsługi/postoju pojazdów ciężarowych  </w:t>
            </w:r>
          </w:p>
          <w:p w14:paraId="775E186C" w14:textId="2631B40E" w:rsidR="0037112F" w:rsidRPr="005552B5" w:rsidRDefault="0037112F" w:rsidP="0037112F">
            <w:pPr>
              <w:spacing w:after="0" w:line="240" w:lineRule="auto"/>
              <w:jc w:val="both"/>
              <w:rPr>
                <w:rFonts w:asciiTheme="minorHAnsi" w:hAnsiTheme="minorHAnsi" w:cstheme="minorHAnsi"/>
                <w:sz w:val="20"/>
                <w:szCs w:val="20"/>
              </w:rPr>
            </w:pPr>
          </w:p>
        </w:tc>
        <w:tc>
          <w:tcPr>
            <w:tcW w:w="3486" w:type="dxa"/>
          </w:tcPr>
          <w:p w14:paraId="6FDBD29B" w14:textId="349975B7" w:rsidR="0037112F" w:rsidRPr="005552B5" w:rsidRDefault="0037112F" w:rsidP="0037112F">
            <w:pPr>
              <w:spacing w:after="0" w:line="240" w:lineRule="auto"/>
              <w:jc w:val="both"/>
              <w:rPr>
                <w:rFonts w:asciiTheme="minorHAnsi" w:hAnsiTheme="minorHAnsi" w:cstheme="minorHAnsi"/>
                <w:sz w:val="20"/>
                <w:szCs w:val="20"/>
              </w:rPr>
            </w:pPr>
            <w:proofErr w:type="spellStart"/>
            <w:r w:rsidRPr="005552B5">
              <w:rPr>
                <w:rFonts w:asciiTheme="minorHAnsi" w:hAnsiTheme="minorHAnsi" w:cstheme="minorHAnsi"/>
                <w:sz w:val="20"/>
                <w:szCs w:val="20"/>
              </w:rPr>
              <w:t>j.w</w:t>
            </w:r>
            <w:proofErr w:type="spellEnd"/>
            <w:r w:rsidRPr="005552B5">
              <w:rPr>
                <w:rFonts w:asciiTheme="minorHAnsi" w:hAnsiTheme="minorHAnsi" w:cstheme="minorHAnsi"/>
                <w:sz w:val="20"/>
                <w:szCs w:val="20"/>
              </w:rPr>
              <w:t>.</w:t>
            </w:r>
          </w:p>
        </w:tc>
        <w:tc>
          <w:tcPr>
            <w:tcW w:w="3253" w:type="dxa"/>
          </w:tcPr>
          <w:p w14:paraId="636BD0FB" w14:textId="77777777" w:rsidR="00F3214E" w:rsidRPr="005552B5" w:rsidRDefault="00F3214E" w:rsidP="00F3214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częściowo  uwzględniona. Dodano bazy eksploatacyjne -rozszerzono katalog miejsc.</w:t>
            </w:r>
          </w:p>
          <w:p w14:paraId="3A3D27C4" w14:textId="77777777" w:rsidR="00F3214E" w:rsidRPr="005552B5" w:rsidRDefault="00F3214E" w:rsidP="00F3214E">
            <w:pPr>
              <w:spacing w:after="0" w:line="240" w:lineRule="auto"/>
              <w:jc w:val="both"/>
              <w:rPr>
                <w:rFonts w:asciiTheme="minorHAnsi" w:hAnsiTheme="minorHAnsi" w:cstheme="minorHAnsi"/>
                <w:sz w:val="20"/>
                <w:szCs w:val="20"/>
              </w:rPr>
            </w:pPr>
          </w:p>
          <w:p w14:paraId="572B6A56" w14:textId="77777777" w:rsidR="00F3214E" w:rsidRPr="005552B5" w:rsidRDefault="00F3214E" w:rsidP="00F3214E">
            <w:pPr>
              <w:spacing w:after="0" w:line="240" w:lineRule="auto"/>
              <w:jc w:val="both"/>
              <w:rPr>
                <w:rFonts w:asciiTheme="minorHAnsi" w:hAnsiTheme="minorHAnsi" w:cstheme="minorHAnsi"/>
                <w:sz w:val="20"/>
                <w:szCs w:val="20"/>
              </w:rPr>
            </w:pPr>
          </w:p>
          <w:p w14:paraId="5F2B6963" w14:textId="14F78D9D" w:rsidR="0037112F" w:rsidRPr="005552B5" w:rsidRDefault="0037112F" w:rsidP="0037112F">
            <w:pPr>
              <w:spacing w:after="0" w:line="240" w:lineRule="auto"/>
              <w:jc w:val="both"/>
              <w:rPr>
                <w:rFonts w:asciiTheme="minorHAnsi" w:hAnsiTheme="minorHAnsi" w:cstheme="minorHAnsi"/>
                <w:sz w:val="20"/>
                <w:szCs w:val="20"/>
              </w:rPr>
            </w:pPr>
          </w:p>
        </w:tc>
      </w:tr>
      <w:tr w:rsidR="00FC32CE" w:rsidRPr="005552B5" w14:paraId="749895C8" w14:textId="77777777" w:rsidTr="00F301CE">
        <w:tc>
          <w:tcPr>
            <w:tcW w:w="0" w:type="auto"/>
            <w:vAlign w:val="center"/>
          </w:tcPr>
          <w:p w14:paraId="61DDF9C1" w14:textId="258B56D3"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27</w:t>
            </w:r>
          </w:p>
        </w:tc>
        <w:tc>
          <w:tcPr>
            <w:tcW w:w="1925" w:type="dxa"/>
          </w:tcPr>
          <w:p w14:paraId="1BC340A6" w14:textId="549236C1"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084B7809" w14:textId="77777777" w:rsidR="0037112F" w:rsidRPr="005552B5" w:rsidRDefault="0037112F" w:rsidP="0037112F">
            <w:pPr>
              <w:jc w:val="both"/>
              <w:rPr>
                <w:rFonts w:asciiTheme="minorHAnsi" w:hAnsiTheme="minorHAnsi" w:cstheme="minorHAnsi"/>
                <w:i/>
                <w:iCs/>
                <w:sz w:val="20"/>
                <w:szCs w:val="20"/>
              </w:rPr>
            </w:pPr>
            <w:r w:rsidRPr="005552B5">
              <w:rPr>
                <w:rFonts w:asciiTheme="minorHAnsi" w:hAnsiTheme="minorHAnsi" w:cstheme="minorHAnsi"/>
                <w:i/>
                <w:iCs/>
                <w:sz w:val="20"/>
                <w:szCs w:val="20"/>
              </w:rPr>
              <w:t>7.1.</w:t>
            </w:r>
          </w:p>
          <w:p w14:paraId="5248B6A7" w14:textId="77777777" w:rsidR="0037112F" w:rsidRPr="005552B5" w:rsidRDefault="0037112F" w:rsidP="0037112F">
            <w:pPr>
              <w:pStyle w:val="Akapitzlist"/>
              <w:numPr>
                <w:ilvl w:val="0"/>
                <w:numId w:val="22"/>
              </w:numPr>
              <w:autoSpaceDE w:val="0"/>
              <w:autoSpaceDN w:val="0"/>
              <w:adjustRightInd w:val="0"/>
              <w:spacing w:before="60" w:after="240" w:line="240" w:lineRule="auto"/>
              <w:jc w:val="both"/>
              <w:rPr>
                <w:rFonts w:asciiTheme="minorHAnsi" w:hAnsiTheme="minorHAnsi" w:cstheme="minorHAnsi"/>
                <w:sz w:val="20"/>
                <w:szCs w:val="20"/>
              </w:rPr>
            </w:pPr>
            <w:r w:rsidRPr="005552B5">
              <w:rPr>
                <w:rFonts w:asciiTheme="minorHAnsi" w:hAnsiTheme="minorHAnsi" w:cstheme="minorHAnsi"/>
                <w:sz w:val="20"/>
                <w:szCs w:val="20"/>
              </w:rPr>
              <w:t>dotacja do budowy i/lub rozbudowy stacji ładowania, lub</w:t>
            </w:r>
          </w:p>
          <w:p w14:paraId="2C93EA7C" w14:textId="4A940626"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dotacja z przeznaczeniem na dopłaty do rat kapitałowych ustalanych w umowie leasingu finansowego w rozumieniu art. 411 ust. 1 pkt 2 lit. e ustawy – Prawo ochrony środowiska.</w:t>
            </w:r>
          </w:p>
        </w:tc>
        <w:tc>
          <w:tcPr>
            <w:tcW w:w="3486" w:type="dxa"/>
          </w:tcPr>
          <w:p w14:paraId="41976A25" w14:textId="2BBCC5B5"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Proponujemy dodanie do form finansowania: leasingu operacyjnego (refinansowanie do x% kosztów leasingu) oraz pożyczki leasingowej (rata kapitałowa)</w:t>
            </w:r>
          </w:p>
        </w:tc>
        <w:tc>
          <w:tcPr>
            <w:tcW w:w="3486" w:type="dxa"/>
          </w:tcPr>
          <w:p w14:paraId="68CFD1C6" w14:textId="1774B8D3" w:rsidR="0037112F" w:rsidRPr="005552B5" w:rsidRDefault="0037112F"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Głównym źródłem finansowania maszyn i urządzeń, w tym zakupu stacji ładowania pojazdów elektrycznych jest leasing operacyjny, który daje firmą dodatkowe zalety związane z podatkami (możliwość</w:t>
            </w:r>
            <w:r w:rsidRPr="005552B5">
              <w:rPr>
                <w:rStyle w:val="hgkelc"/>
                <w:rFonts w:asciiTheme="minorHAnsi" w:hAnsiTheme="minorHAnsi" w:cstheme="minorHAnsi"/>
                <w:sz w:val="20"/>
                <w:szCs w:val="20"/>
              </w:rPr>
              <w:t xml:space="preserve"> zaliczenia część odsetkowej i kapitałowej rat leasingowych, opłatę wstępną oraz wykup sprzętu po okresie umowy do kosztów pozyskania przychodu).</w:t>
            </w:r>
          </w:p>
        </w:tc>
        <w:tc>
          <w:tcPr>
            <w:tcW w:w="3253" w:type="dxa"/>
          </w:tcPr>
          <w:p w14:paraId="04D4B994" w14:textId="1F9D5E46" w:rsidR="00F3214E" w:rsidRPr="005552B5" w:rsidRDefault="00F3214E" w:rsidP="00657AF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W ramach programu finansowany będzie leasing finansowy. część kapitałowa rat leasingowych – koszty dotyczące środków trwałych bezpośrednio związanych z budową stacji ładowania, z wyłączeniem kosztów budowy i modernizacji instalacji odnawialnych źródeł energii. Raty i opłaty, o których mowa w zdaniu poprzedzającym muszą być ustalone w umowach leasingu, które muszą również zawierać zobowiązanie korzystającego/leasingobiorcy (beneficjenta dofinansowania) do zakupu środków trwałych po upływie okresu leasingu i wskazanie, że środki trwałe będą umiejscowione na terenie stacji ładowania - co najmniej w okresie trwałości inwestycji</w:t>
            </w:r>
            <w:r w:rsidR="00657AF1" w:rsidRPr="005552B5">
              <w:rPr>
                <w:rFonts w:asciiTheme="minorHAnsi" w:hAnsiTheme="minorHAnsi" w:cstheme="minorHAnsi"/>
                <w:sz w:val="20"/>
                <w:szCs w:val="20"/>
              </w:rPr>
              <w:t>.</w:t>
            </w:r>
          </w:p>
          <w:p w14:paraId="07AF8BF3" w14:textId="7AC9B623" w:rsidR="0037112F" w:rsidRPr="005552B5" w:rsidRDefault="0037112F" w:rsidP="00657AF1">
            <w:pPr>
              <w:spacing w:after="0" w:line="240" w:lineRule="auto"/>
              <w:jc w:val="both"/>
              <w:rPr>
                <w:rFonts w:asciiTheme="minorHAnsi" w:hAnsiTheme="minorHAnsi" w:cstheme="minorHAnsi"/>
                <w:sz w:val="20"/>
                <w:szCs w:val="20"/>
              </w:rPr>
            </w:pPr>
          </w:p>
        </w:tc>
      </w:tr>
      <w:tr w:rsidR="00FC32CE" w:rsidRPr="005552B5" w14:paraId="5009094C" w14:textId="77777777" w:rsidTr="00F301CE">
        <w:tc>
          <w:tcPr>
            <w:tcW w:w="0" w:type="auto"/>
            <w:vAlign w:val="center"/>
          </w:tcPr>
          <w:p w14:paraId="1CB715D1" w14:textId="7E9AF724"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28</w:t>
            </w:r>
          </w:p>
        </w:tc>
        <w:tc>
          <w:tcPr>
            <w:tcW w:w="1925" w:type="dxa"/>
          </w:tcPr>
          <w:p w14:paraId="36CCA5A7" w14:textId="15586D59"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63FBD062" w14:textId="37859C77" w:rsidR="0037112F" w:rsidRPr="005552B5" w:rsidRDefault="0037112F" w:rsidP="0037112F">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7.3, 7.5,</w:t>
            </w:r>
          </w:p>
        </w:tc>
        <w:tc>
          <w:tcPr>
            <w:tcW w:w="3486" w:type="dxa"/>
          </w:tcPr>
          <w:p w14:paraId="4E761BD6" w14:textId="42921B8C"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oraz w innych ogólnie dostępnych lokalizacjach służących do obsługi/postoju pojazdów ciężarowych</w:t>
            </w:r>
          </w:p>
        </w:tc>
        <w:tc>
          <w:tcPr>
            <w:tcW w:w="3486" w:type="dxa"/>
          </w:tcPr>
          <w:p w14:paraId="2416D196" w14:textId="5966DCC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Uzupełnienie zapisów o inne dostępne lokalizacje dopuszczone do budowy infrastruktury ładowania pojazdów ciężarowych zgodnie z pkt. 1 niniejszego formularza</w:t>
            </w:r>
          </w:p>
        </w:tc>
        <w:tc>
          <w:tcPr>
            <w:tcW w:w="3253" w:type="dxa"/>
          </w:tcPr>
          <w:p w14:paraId="63E6851C" w14:textId="77777777" w:rsidR="00F3214E" w:rsidRPr="005552B5" w:rsidRDefault="00F3214E" w:rsidP="00F3214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częściowo  uwzględniona. Dodano bazy eksploatacyjne -rozszerzono katalog miejsc.</w:t>
            </w:r>
          </w:p>
          <w:p w14:paraId="1A73301A" w14:textId="2913490F" w:rsidR="0037112F" w:rsidRPr="005552B5" w:rsidRDefault="0037112F" w:rsidP="0037112F">
            <w:pPr>
              <w:spacing w:after="0" w:line="240" w:lineRule="auto"/>
              <w:jc w:val="both"/>
              <w:rPr>
                <w:rFonts w:asciiTheme="minorHAnsi" w:hAnsiTheme="minorHAnsi" w:cstheme="minorHAnsi"/>
                <w:sz w:val="20"/>
                <w:szCs w:val="20"/>
              </w:rPr>
            </w:pPr>
          </w:p>
        </w:tc>
      </w:tr>
      <w:tr w:rsidR="00FC32CE" w:rsidRPr="005552B5" w14:paraId="03A0679D" w14:textId="77777777" w:rsidTr="00F301CE">
        <w:tc>
          <w:tcPr>
            <w:tcW w:w="0" w:type="auto"/>
            <w:vAlign w:val="center"/>
          </w:tcPr>
          <w:p w14:paraId="20ECACD5" w14:textId="77EB0AE8"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29</w:t>
            </w:r>
          </w:p>
        </w:tc>
        <w:tc>
          <w:tcPr>
            <w:tcW w:w="1925" w:type="dxa"/>
          </w:tcPr>
          <w:p w14:paraId="32AF389A" w14:textId="7C67A0B5"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071B41E4" w14:textId="19453E3F"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rozbudowanych ogólnodostępnych stacji ładowania prądem stałym o mocy nie mniejszej niż 350 kW</w:t>
            </w:r>
          </w:p>
        </w:tc>
        <w:tc>
          <w:tcPr>
            <w:tcW w:w="3486" w:type="dxa"/>
          </w:tcPr>
          <w:p w14:paraId="3BBB886B" w14:textId="6BEAEFAB"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(…)rozbudowanych ogólnodostępnych systemów ładowania prądem stałym o mocy umożliwiającej ładowanie pojazdów mocą stałą minimum 350 kW</w:t>
            </w:r>
          </w:p>
        </w:tc>
        <w:tc>
          <w:tcPr>
            <w:tcW w:w="3486" w:type="dxa"/>
          </w:tcPr>
          <w:p w14:paraId="246D3A61" w14:textId="041D66B0"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Mocno sugerujemy stosowanie określeń „system ładowania” lub „infrastruktura ładowania”. Określenie „stacja” może sugerować, iż akceptowane, lub promowane będą rozwiązania bazujące na wolnostojących stacjach ładowania, co ze względu na ergonomię było by niewskazane. Takie nazewnictwo dopuszcza zarówno klasyczne „stacje”, jak i warianty „</w:t>
            </w:r>
            <w:proofErr w:type="spellStart"/>
            <w:r w:rsidRPr="005552B5">
              <w:rPr>
                <w:rStyle w:val="hgkelc"/>
                <w:rFonts w:asciiTheme="minorHAnsi" w:hAnsiTheme="minorHAnsi" w:cstheme="minorHAnsi"/>
                <w:sz w:val="20"/>
                <w:szCs w:val="20"/>
              </w:rPr>
              <w:t>hubowe</w:t>
            </w:r>
            <w:proofErr w:type="spellEnd"/>
            <w:r w:rsidRPr="005552B5">
              <w:rPr>
                <w:rStyle w:val="hgkelc"/>
                <w:rFonts w:asciiTheme="minorHAnsi" w:hAnsiTheme="minorHAnsi" w:cstheme="minorHAnsi"/>
                <w:sz w:val="20"/>
                <w:szCs w:val="20"/>
              </w:rPr>
              <w:t xml:space="preserve">”. Zmienione nazewnictwo ze względu na fakt, iż wiele obecnych instalacji umożliwia ładowanie mocą 350 kW w krótkim okresie czasu (10 minutowy </w:t>
            </w:r>
            <w:proofErr w:type="spellStart"/>
            <w:r w:rsidRPr="005552B5">
              <w:rPr>
                <w:rStyle w:val="hgkelc"/>
                <w:rFonts w:asciiTheme="minorHAnsi" w:hAnsiTheme="minorHAnsi" w:cstheme="minorHAnsi"/>
                <w:sz w:val="20"/>
                <w:szCs w:val="20"/>
              </w:rPr>
              <w:t>peak</w:t>
            </w:r>
            <w:proofErr w:type="spellEnd"/>
            <w:r w:rsidRPr="005552B5">
              <w:rPr>
                <w:rStyle w:val="hgkelc"/>
                <w:rFonts w:asciiTheme="minorHAnsi" w:hAnsiTheme="minorHAnsi" w:cstheme="minorHAnsi"/>
                <w:sz w:val="20"/>
                <w:szCs w:val="20"/>
              </w:rPr>
              <w:t xml:space="preserve">). Istotne jest tutaj </w:t>
            </w:r>
            <w:r w:rsidRPr="005552B5">
              <w:rPr>
                <w:rStyle w:val="hgkelc"/>
                <w:rFonts w:asciiTheme="minorHAnsi" w:hAnsiTheme="minorHAnsi" w:cstheme="minorHAnsi"/>
                <w:sz w:val="20"/>
                <w:szCs w:val="20"/>
              </w:rPr>
              <w:lastRenderedPageBreak/>
              <w:t xml:space="preserve">także efektywne wykorzystanie dostępnych mocy przyłączeniowych i ładowanie większej ilości pojazdów przy zachowaniu możliwości ładowania mocami powyżej 350 </w:t>
            </w:r>
            <w:proofErr w:type="spellStart"/>
            <w:r w:rsidRPr="005552B5">
              <w:rPr>
                <w:rStyle w:val="hgkelc"/>
                <w:rFonts w:asciiTheme="minorHAnsi" w:hAnsiTheme="minorHAnsi" w:cstheme="minorHAnsi"/>
                <w:sz w:val="20"/>
                <w:szCs w:val="20"/>
              </w:rPr>
              <w:t>kW.</w:t>
            </w:r>
            <w:proofErr w:type="spellEnd"/>
          </w:p>
        </w:tc>
        <w:tc>
          <w:tcPr>
            <w:tcW w:w="3253" w:type="dxa"/>
          </w:tcPr>
          <w:p w14:paraId="40C797A3" w14:textId="77777777" w:rsidR="008E3B2B" w:rsidRDefault="008E3B2B" w:rsidP="008E3B2B">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Uwzględniono sugestie/ </w:t>
            </w:r>
            <w:proofErr w:type="spellStart"/>
            <w:r w:rsidRPr="005552B5">
              <w:rPr>
                <w:rFonts w:asciiTheme="minorHAnsi" w:hAnsiTheme="minorHAnsi" w:cstheme="minorHAnsi"/>
                <w:sz w:val="20"/>
                <w:szCs w:val="20"/>
              </w:rPr>
              <w:t>uspójniono</w:t>
            </w:r>
            <w:proofErr w:type="spellEnd"/>
            <w:r w:rsidRPr="005552B5">
              <w:rPr>
                <w:rFonts w:asciiTheme="minorHAnsi" w:hAnsiTheme="minorHAnsi" w:cstheme="minorHAnsi"/>
                <w:sz w:val="20"/>
                <w:szCs w:val="20"/>
              </w:rPr>
              <w:t>/doprecyzowano nazewnictwo.</w:t>
            </w:r>
          </w:p>
          <w:p w14:paraId="0D6555FC" w14:textId="77777777" w:rsidR="0037112F" w:rsidRPr="005552B5" w:rsidRDefault="0037112F" w:rsidP="0037112F">
            <w:pPr>
              <w:spacing w:after="0" w:line="240" w:lineRule="auto"/>
              <w:jc w:val="both"/>
              <w:rPr>
                <w:rFonts w:asciiTheme="minorHAnsi" w:hAnsiTheme="minorHAnsi" w:cstheme="minorHAnsi"/>
                <w:sz w:val="20"/>
                <w:szCs w:val="20"/>
              </w:rPr>
            </w:pPr>
          </w:p>
        </w:tc>
      </w:tr>
      <w:tr w:rsidR="00FC32CE" w:rsidRPr="005552B5" w14:paraId="14E0914C" w14:textId="77777777" w:rsidTr="00F301CE">
        <w:tc>
          <w:tcPr>
            <w:tcW w:w="0" w:type="auto"/>
            <w:vAlign w:val="center"/>
          </w:tcPr>
          <w:p w14:paraId="6A194C4E" w14:textId="11C19FE8"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30</w:t>
            </w:r>
          </w:p>
        </w:tc>
        <w:tc>
          <w:tcPr>
            <w:tcW w:w="1925" w:type="dxa"/>
          </w:tcPr>
          <w:p w14:paraId="67914E69" w14:textId="5B4E875F"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58119BC2"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okres trwałości wynosi minimum 5 lat od dnia zakończenia realizacji inwestycji, przy czym </w:t>
            </w:r>
          </w:p>
          <w:p w14:paraId="4C79F892" w14:textId="36915504"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dniem zakończenia realizacji inwestycji jest uzyskanie pozwolenia na użytkowanie (po uprzednim badaniu technicznym przeprowadzonym przez Urząd Dozoru Technicznego lub Transportowy Dozór Techniczny (UDT lub TDT));</w:t>
            </w:r>
          </w:p>
        </w:tc>
        <w:tc>
          <w:tcPr>
            <w:tcW w:w="3486" w:type="dxa"/>
          </w:tcPr>
          <w:p w14:paraId="42C98A1D"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okres trwałości wynosi minimum 7 lat od dnia zakończenia realizacji inwestycji, przy czym </w:t>
            </w:r>
          </w:p>
          <w:p w14:paraId="48C45520"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dniem zakończenia realizacji inwestycji jest uzyskanie pozwolenia na użytkowanie (po uprzednim badaniu technicznym przeprowadzonym przez Urząd Dozoru Technicznego lub Transportowy Dozór Techniczny (UDT lub TDT));</w:t>
            </w:r>
          </w:p>
          <w:p w14:paraId="7E41DE7D" w14:textId="77777777" w:rsidR="0037112F" w:rsidRPr="005552B5" w:rsidRDefault="0037112F" w:rsidP="0037112F">
            <w:pPr>
              <w:spacing w:after="0" w:line="240" w:lineRule="auto"/>
              <w:jc w:val="both"/>
              <w:rPr>
                <w:rStyle w:val="hgkelc"/>
                <w:rFonts w:asciiTheme="minorHAnsi" w:hAnsiTheme="minorHAnsi" w:cstheme="minorHAnsi"/>
                <w:sz w:val="20"/>
                <w:szCs w:val="20"/>
              </w:rPr>
            </w:pPr>
          </w:p>
        </w:tc>
        <w:tc>
          <w:tcPr>
            <w:tcW w:w="3486" w:type="dxa"/>
          </w:tcPr>
          <w:p w14:paraId="40015F5D" w14:textId="14AE3EA9"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Przy tak dużym dofinansowaniu ze środków publicznych, okres trwałości wynoszący 5 lat jest zdecydowanie zbyt krótki. Sugerujemy minimum 7. Jest to liczba z którą poradzi sobie większość poważnych dostawców technologii funkcjonujących na rynku.</w:t>
            </w:r>
          </w:p>
        </w:tc>
        <w:tc>
          <w:tcPr>
            <w:tcW w:w="3253" w:type="dxa"/>
          </w:tcPr>
          <w:p w14:paraId="6CE57D21" w14:textId="77777777" w:rsidR="00F3214E" w:rsidRPr="005552B5" w:rsidRDefault="00F3214E" w:rsidP="00F3214E">
            <w:pPr>
              <w:spacing w:after="0" w:line="240" w:lineRule="auto"/>
              <w:jc w:val="both"/>
              <w:rPr>
                <w:rFonts w:asciiTheme="minorHAnsi" w:hAnsiTheme="minorHAnsi" w:cstheme="minorHAnsi"/>
                <w:sz w:val="20"/>
                <w:szCs w:val="20"/>
                <w:highlight w:val="green"/>
              </w:rPr>
            </w:pPr>
            <w:r w:rsidRPr="005552B5">
              <w:rPr>
                <w:rFonts w:asciiTheme="minorHAnsi" w:hAnsiTheme="minorHAnsi" w:cstheme="minorHAnsi"/>
                <w:sz w:val="20"/>
                <w:szCs w:val="20"/>
              </w:rPr>
              <w:t>Uwaga nie została uwzględniona. Pojawiały się różne sugestie – również te dotycząca znacznego skrócenia okresu trwałości inwestycji- np. do jednego roku. Pozostaje zapis 5 lat.</w:t>
            </w:r>
          </w:p>
          <w:p w14:paraId="0FB459AA" w14:textId="60C12641" w:rsidR="0037112F" w:rsidRPr="005552B5" w:rsidRDefault="0037112F" w:rsidP="0037112F">
            <w:pPr>
              <w:spacing w:after="0" w:line="240" w:lineRule="auto"/>
              <w:jc w:val="both"/>
              <w:rPr>
                <w:rFonts w:asciiTheme="minorHAnsi" w:hAnsiTheme="minorHAnsi" w:cstheme="minorHAnsi"/>
                <w:sz w:val="20"/>
                <w:szCs w:val="20"/>
              </w:rPr>
            </w:pPr>
          </w:p>
        </w:tc>
      </w:tr>
      <w:tr w:rsidR="00FC32CE" w:rsidRPr="005552B5" w14:paraId="714C44A6" w14:textId="77777777" w:rsidTr="00F301CE">
        <w:tc>
          <w:tcPr>
            <w:tcW w:w="0" w:type="auto"/>
            <w:vAlign w:val="center"/>
          </w:tcPr>
          <w:p w14:paraId="71F1ED12" w14:textId="489115DD"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31</w:t>
            </w:r>
          </w:p>
        </w:tc>
        <w:tc>
          <w:tcPr>
            <w:tcW w:w="1925" w:type="dxa"/>
          </w:tcPr>
          <w:p w14:paraId="6920CDD6" w14:textId="6EAC2B17"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2A858627" w14:textId="3D8E308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Kryteria jakościowe oceny wniosku</w:t>
            </w:r>
          </w:p>
        </w:tc>
        <w:tc>
          <w:tcPr>
            <w:tcW w:w="3486" w:type="dxa"/>
          </w:tcPr>
          <w:p w14:paraId="0E31AAF3"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Dodatkowe kryteria techniczne MCS:</w:t>
            </w:r>
          </w:p>
          <w:p w14:paraId="2277F5DD"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Możliwość późniejszego wyposażenia instalacji w złącze MCS, umożlwiające ładowanie z mocą co najmniej 1MW – 10p.</w:t>
            </w:r>
          </w:p>
          <w:p w14:paraId="5F783FDC" w14:textId="6F1FD1A2"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Brak możliwości wyposażenia instalacji w złącze MCS bez konieczności wymiany kluczowych komponentów – 1p.</w:t>
            </w:r>
          </w:p>
        </w:tc>
        <w:tc>
          <w:tcPr>
            <w:tcW w:w="3486" w:type="dxa"/>
          </w:tcPr>
          <w:p w14:paraId="2336D5E2" w14:textId="0A015A3E"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Mocno sugerujemy dodanie kolejnego kryterium technicznego lub uwzględnienia możliwości doposażenia stacji w złącze standardu MCS (</w:t>
            </w:r>
            <w:proofErr w:type="spellStart"/>
            <w:r w:rsidRPr="005552B5">
              <w:rPr>
                <w:rStyle w:val="hgkelc"/>
                <w:rFonts w:asciiTheme="minorHAnsi" w:hAnsiTheme="minorHAnsi" w:cstheme="minorHAnsi"/>
                <w:sz w:val="20"/>
                <w:szCs w:val="20"/>
              </w:rPr>
              <w:t>Megawatt</w:t>
            </w:r>
            <w:proofErr w:type="spellEnd"/>
            <w:r w:rsidRPr="005552B5">
              <w:rPr>
                <w:rStyle w:val="hgkelc"/>
                <w:rFonts w:asciiTheme="minorHAnsi" w:hAnsiTheme="minorHAnsi" w:cstheme="minorHAnsi"/>
                <w:sz w:val="20"/>
                <w:szCs w:val="20"/>
              </w:rPr>
              <w:t xml:space="preserve"> </w:t>
            </w:r>
            <w:proofErr w:type="spellStart"/>
            <w:r w:rsidRPr="005552B5">
              <w:rPr>
                <w:rStyle w:val="hgkelc"/>
                <w:rFonts w:asciiTheme="minorHAnsi" w:hAnsiTheme="minorHAnsi" w:cstheme="minorHAnsi"/>
                <w:sz w:val="20"/>
                <w:szCs w:val="20"/>
              </w:rPr>
              <w:t>Charging</w:t>
            </w:r>
            <w:proofErr w:type="spellEnd"/>
            <w:r w:rsidRPr="005552B5">
              <w:rPr>
                <w:rStyle w:val="hgkelc"/>
                <w:rFonts w:asciiTheme="minorHAnsi" w:hAnsiTheme="minorHAnsi" w:cstheme="minorHAnsi"/>
                <w:sz w:val="20"/>
                <w:szCs w:val="20"/>
              </w:rPr>
              <w:t xml:space="preserve"> Solution) w inny sposób i promowania takiej możliwości. MCS oczekuje aktualnie na oficjalne zatwierdzenie standardu. Wielu producentów ciężarówek zamierza korzystać z niego dla swoich pojazdów długodystansowych. Warto było by promować rozwiązania, które umożliwiają bezproblemową rozbudowę urządzeń o jeszcze wyższe moce ładowania.</w:t>
            </w:r>
          </w:p>
        </w:tc>
        <w:tc>
          <w:tcPr>
            <w:tcW w:w="3253" w:type="dxa"/>
          </w:tcPr>
          <w:p w14:paraId="09B7F55A" w14:textId="72345150" w:rsidR="0037112F" w:rsidRPr="005552B5" w:rsidRDefault="00F3214E" w:rsidP="003711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Nie ograniczamy możliwości doposażenia stacji w złącze standardu MCS (</w:t>
            </w:r>
            <w:proofErr w:type="spellStart"/>
            <w:r w:rsidRPr="005552B5">
              <w:rPr>
                <w:rFonts w:asciiTheme="minorHAnsi" w:hAnsiTheme="minorHAnsi" w:cstheme="minorHAnsi"/>
                <w:sz w:val="20"/>
                <w:szCs w:val="20"/>
              </w:rPr>
              <w:t>Megawatt</w:t>
            </w:r>
            <w:proofErr w:type="spellEnd"/>
            <w:r w:rsidRPr="005552B5">
              <w:rPr>
                <w:rFonts w:asciiTheme="minorHAnsi" w:hAnsiTheme="minorHAnsi" w:cstheme="minorHAnsi"/>
                <w:sz w:val="20"/>
                <w:szCs w:val="20"/>
              </w:rPr>
              <w:t xml:space="preserve"> </w:t>
            </w:r>
            <w:proofErr w:type="spellStart"/>
            <w:r w:rsidRPr="005552B5">
              <w:rPr>
                <w:rFonts w:asciiTheme="minorHAnsi" w:hAnsiTheme="minorHAnsi" w:cstheme="minorHAnsi"/>
                <w:sz w:val="20"/>
                <w:szCs w:val="20"/>
              </w:rPr>
              <w:t>Charging</w:t>
            </w:r>
            <w:proofErr w:type="spellEnd"/>
            <w:r w:rsidRPr="005552B5">
              <w:rPr>
                <w:rFonts w:asciiTheme="minorHAnsi" w:hAnsiTheme="minorHAnsi" w:cstheme="minorHAnsi"/>
                <w:sz w:val="20"/>
                <w:szCs w:val="20"/>
              </w:rPr>
              <w:t xml:space="preserve"> Solution</w:t>
            </w:r>
            <w:r w:rsidR="00170BCF">
              <w:rPr>
                <w:rFonts w:asciiTheme="minorHAnsi" w:hAnsiTheme="minorHAnsi" w:cstheme="minorHAnsi"/>
                <w:sz w:val="20"/>
                <w:szCs w:val="20"/>
              </w:rPr>
              <w:t xml:space="preserve">) </w:t>
            </w:r>
            <w:r w:rsidRPr="005552B5">
              <w:rPr>
                <w:rFonts w:asciiTheme="minorHAnsi" w:hAnsiTheme="minorHAnsi" w:cstheme="minorHAnsi"/>
                <w:sz w:val="20"/>
                <w:szCs w:val="20"/>
              </w:rPr>
              <w:t>ani maksymalnej mocy stacji ładowania. Nie jest zasadne punktowanie jednego rozwiązania – tym bardziej czekającego na zatwierdzenie tegoż standardu.</w:t>
            </w:r>
          </w:p>
        </w:tc>
      </w:tr>
      <w:tr w:rsidR="00FC32CE" w:rsidRPr="005552B5" w14:paraId="00F060F4" w14:textId="77777777" w:rsidTr="00F301CE">
        <w:tc>
          <w:tcPr>
            <w:tcW w:w="0" w:type="auto"/>
            <w:vAlign w:val="center"/>
          </w:tcPr>
          <w:p w14:paraId="531174E6" w14:textId="7E7FA22B"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32</w:t>
            </w:r>
          </w:p>
        </w:tc>
        <w:tc>
          <w:tcPr>
            <w:tcW w:w="1925" w:type="dxa"/>
          </w:tcPr>
          <w:p w14:paraId="5FBE75D7" w14:textId="18C2C54D"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28BBB497" w14:textId="76AE93C6"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Kryteria jakościowe oceny wniosku</w:t>
            </w:r>
          </w:p>
        </w:tc>
        <w:tc>
          <w:tcPr>
            <w:tcW w:w="3486" w:type="dxa"/>
          </w:tcPr>
          <w:p w14:paraId="6C943BE9"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Dodatkowe kryteria techniczne, dodatkowe punkty ładowania: </w:t>
            </w:r>
          </w:p>
          <w:p w14:paraId="0DCB4552"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Możliwość wyposażenia stacji ładowania w 5 i więcej punktów ładowania o wyjściowej mocy ładowania wynoszącej co najmniej 250 kW – 10p.</w:t>
            </w:r>
          </w:p>
          <w:p w14:paraId="4A2F0F04"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w:t>
            </w:r>
            <w:r w:rsidRPr="005552B5">
              <w:rPr>
                <w:rStyle w:val="hgkelc"/>
                <w:rFonts w:asciiTheme="minorHAnsi" w:hAnsiTheme="minorHAnsi" w:cstheme="minorHAnsi"/>
                <w:sz w:val="20"/>
                <w:szCs w:val="20"/>
              </w:rPr>
              <w:tab/>
              <w:t>Możliwość wyposażenia stacji ładowania w 3 i więcej punktów ładowania o wyjściowej mocy ładowania wynoszącej co najmniej 250 kW – 5p.</w:t>
            </w:r>
          </w:p>
          <w:p w14:paraId="440BC585" w14:textId="0A5FD716"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Możliwość wyposażenia stacji ładowania w 2 i więcej punktów ładowania o wyjściowej mocy ładowania wynoszącej co najmniej 250 kW – 1p.</w:t>
            </w:r>
          </w:p>
        </w:tc>
        <w:tc>
          <w:tcPr>
            <w:tcW w:w="3486" w:type="dxa"/>
          </w:tcPr>
          <w:p w14:paraId="12A54FCB" w14:textId="7B2A898D"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 xml:space="preserve">Aktualnie, maksymalna moc ładowania większości producentów pojazdów ciężarowych to maksymalnie 250 </w:t>
            </w:r>
            <w:proofErr w:type="spellStart"/>
            <w:r w:rsidRPr="005552B5">
              <w:rPr>
                <w:rStyle w:val="hgkelc"/>
                <w:rFonts w:asciiTheme="minorHAnsi" w:hAnsiTheme="minorHAnsi" w:cstheme="minorHAnsi"/>
                <w:sz w:val="20"/>
                <w:szCs w:val="20"/>
              </w:rPr>
              <w:t>kW.</w:t>
            </w:r>
            <w:proofErr w:type="spellEnd"/>
            <w:r w:rsidRPr="005552B5">
              <w:rPr>
                <w:rStyle w:val="hgkelc"/>
                <w:rFonts w:asciiTheme="minorHAnsi" w:hAnsiTheme="minorHAnsi" w:cstheme="minorHAnsi"/>
                <w:sz w:val="20"/>
                <w:szCs w:val="20"/>
              </w:rPr>
              <w:t xml:space="preserve"> W ramach </w:t>
            </w:r>
            <w:proofErr w:type="spellStart"/>
            <w:r w:rsidRPr="005552B5">
              <w:rPr>
                <w:rStyle w:val="hgkelc"/>
                <w:rFonts w:asciiTheme="minorHAnsi" w:hAnsiTheme="minorHAnsi" w:cstheme="minorHAnsi"/>
                <w:sz w:val="20"/>
                <w:szCs w:val="20"/>
              </w:rPr>
              <w:t>hubów</w:t>
            </w:r>
            <w:proofErr w:type="spellEnd"/>
            <w:r w:rsidRPr="005552B5">
              <w:rPr>
                <w:rStyle w:val="hgkelc"/>
                <w:rFonts w:asciiTheme="minorHAnsi" w:hAnsiTheme="minorHAnsi" w:cstheme="minorHAnsi"/>
                <w:sz w:val="20"/>
                <w:szCs w:val="20"/>
              </w:rPr>
              <w:t xml:space="preserve"> szybkiego ładowania dla ciężarówek, mogą znajdować się również stanowiska zapewniające ładowania takimi mocami. Jest mo </w:t>
            </w:r>
            <w:r w:rsidRPr="005552B5">
              <w:rPr>
                <w:rStyle w:val="hgkelc"/>
                <w:rFonts w:asciiTheme="minorHAnsi" w:hAnsiTheme="minorHAnsi" w:cstheme="minorHAnsi"/>
                <w:sz w:val="20"/>
                <w:szCs w:val="20"/>
              </w:rPr>
              <w:lastRenderedPageBreak/>
              <w:t>maksymalnie efektywne wykorzystanie dostępnych mocy przyłączeniowych (jeżeli pojazdy nie są w stanie maksymalnie wykorzystać możliwości ładowania 350 kW i większych).</w:t>
            </w:r>
          </w:p>
        </w:tc>
        <w:tc>
          <w:tcPr>
            <w:tcW w:w="3253" w:type="dxa"/>
          </w:tcPr>
          <w:p w14:paraId="3035B7A7" w14:textId="77777777" w:rsidR="008E3B2B" w:rsidRPr="008E3B2B" w:rsidRDefault="008E3B2B" w:rsidP="008E3B2B">
            <w:pPr>
              <w:spacing w:after="0" w:line="240" w:lineRule="auto"/>
              <w:jc w:val="both"/>
              <w:rPr>
                <w:rFonts w:asciiTheme="minorHAnsi" w:hAnsiTheme="minorHAnsi" w:cstheme="minorHAnsi"/>
                <w:sz w:val="20"/>
                <w:szCs w:val="20"/>
              </w:rPr>
            </w:pPr>
            <w:r w:rsidRPr="008E3B2B">
              <w:rPr>
                <w:rFonts w:asciiTheme="minorHAnsi" w:hAnsiTheme="minorHAnsi" w:cstheme="minorHAnsi"/>
                <w:sz w:val="20"/>
                <w:szCs w:val="20"/>
              </w:rPr>
              <w:lastRenderedPageBreak/>
              <w:t>Uwaga częściowo uwzględniona -  doprecyzowano zapisy w danym kryterium.</w:t>
            </w:r>
          </w:p>
          <w:p w14:paraId="17D35298" w14:textId="77777777" w:rsidR="008E3B2B" w:rsidRPr="008E3B2B" w:rsidRDefault="008E3B2B" w:rsidP="008E3B2B">
            <w:pPr>
              <w:spacing w:after="0" w:line="240" w:lineRule="auto"/>
              <w:jc w:val="both"/>
              <w:rPr>
                <w:rFonts w:asciiTheme="minorHAnsi" w:hAnsiTheme="minorHAnsi" w:cstheme="minorHAnsi"/>
                <w:sz w:val="20"/>
                <w:szCs w:val="20"/>
              </w:rPr>
            </w:pPr>
          </w:p>
          <w:p w14:paraId="6AF2D55E" w14:textId="4D4D9C75" w:rsidR="0037112F" w:rsidRPr="005552B5" w:rsidRDefault="008E3B2B" w:rsidP="0037112F">
            <w:pPr>
              <w:spacing w:after="0" w:line="240" w:lineRule="auto"/>
              <w:jc w:val="both"/>
              <w:rPr>
                <w:rFonts w:asciiTheme="minorHAnsi" w:hAnsiTheme="minorHAnsi" w:cstheme="minorHAnsi"/>
                <w:sz w:val="20"/>
                <w:szCs w:val="20"/>
              </w:rPr>
            </w:pPr>
            <w:r w:rsidRPr="008E3B2B">
              <w:rPr>
                <w:rFonts w:asciiTheme="minorHAnsi" w:hAnsiTheme="minorHAnsi" w:cstheme="minorHAnsi"/>
                <w:sz w:val="20"/>
                <w:szCs w:val="20"/>
              </w:rPr>
              <w:t xml:space="preserve">Program dedykowany stacjom ładowania prądem stałym o mocy nie mniejszej niż 350 kW (zgodnie z AFIR), </w:t>
            </w:r>
            <w:r w:rsidRPr="008E3B2B">
              <w:rPr>
                <w:rFonts w:asciiTheme="minorHAnsi" w:hAnsiTheme="minorHAnsi" w:cstheme="minorHAnsi"/>
                <w:sz w:val="20"/>
                <w:szCs w:val="20"/>
              </w:rPr>
              <w:lastRenderedPageBreak/>
              <w:t>więc nie będziemy w kryteriach uwzględniać punktów ładowania o mniejszej mocy niż w programie.</w:t>
            </w:r>
          </w:p>
        </w:tc>
      </w:tr>
      <w:tr w:rsidR="00FC32CE" w:rsidRPr="005552B5" w14:paraId="3EC6FDBD" w14:textId="77777777" w:rsidTr="00F301CE">
        <w:tc>
          <w:tcPr>
            <w:tcW w:w="0" w:type="auto"/>
            <w:vAlign w:val="center"/>
          </w:tcPr>
          <w:p w14:paraId="20C4100A" w14:textId="7C656EF3"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33</w:t>
            </w:r>
          </w:p>
        </w:tc>
        <w:tc>
          <w:tcPr>
            <w:tcW w:w="1925" w:type="dxa"/>
          </w:tcPr>
          <w:p w14:paraId="1CA8073C" w14:textId="0A9D944C"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4EC2F60A"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Inwestycje, których realizacja przyczyni się do osiągnięcia najlepszego efektu rzeczowego, rozumianego jako wybudowanie/rozbudowanie ogólnodostępnej stacji ładowania o największej zainstalowanej mocy wyjściowej.</w:t>
            </w:r>
          </w:p>
          <w:p w14:paraId="2865BE5E"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Sposób przyznawania punktów:</w:t>
            </w:r>
          </w:p>
          <w:p w14:paraId="6244E2BB"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dla inwestycji realizowanych wzdłuż drogowej sieci bazowej TEN-T:</w:t>
            </w:r>
          </w:p>
          <w:p w14:paraId="07BAFDD3"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Ogólnodostępna stacja ładowania wyposażona:</w:t>
            </w:r>
          </w:p>
          <w:p w14:paraId="2BA82B9F"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w 3 punkty ładowania o indywidualnej mocy wyjściowej wynoszącej co najmniej 350 kW –  1 p. </w:t>
            </w:r>
          </w:p>
          <w:p w14:paraId="752A3F3B" w14:textId="77777777" w:rsidR="0037112F" w:rsidRPr="005552B5" w:rsidRDefault="0037112F" w:rsidP="0037112F">
            <w:pPr>
              <w:spacing w:after="0" w:line="240" w:lineRule="auto"/>
              <w:jc w:val="both"/>
              <w:rPr>
                <w:rStyle w:val="hgkelc"/>
                <w:rFonts w:asciiTheme="minorHAnsi" w:hAnsiTheme="minorHAnsi" w:cstheme="minorHAnsi"/>
                <w:sz w:val="20"/>
                <w:szCs w:val="20"/>
              </w:rPr>
            </w:pPr>
          </w:p>
        </w:tc>
        <w:tc>
          <w:tcPr>
            <w:tcW w:w="3486" w:type="dxa"/>
          </w:tcPr>
          <w:p w14:paraId="7DB25EFE"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Inwestycje, których realizacja przyczyni się do osiągnięcia najlepszego efektu rzeczowego, rozumianego jako wybudowanie/rozbudowanie ogólnodostępnej stacji ładowania o największej zainstalowanej mocy wyjściowej.</w:t>
            </w:r>
          </w:p>
          <w:p w14:paraId="3EF32F48"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Sposób przyznawania punktów:</w:t>
            </w:r>
          </w:p>
          <w:p w14:paraId="1269C47C"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dla inwestycji realizowanych wzdłuż drogowej sieci bazowej TEN-T:</w:t>
            </w:r>
          </w:p>
          <w:p w14:paraId="7EA38F07"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Ogólnodostępna infrastruktura ładowania wyposażona:</w:t>
            </w:r>
          </w:p>
          <w:p w14:paraId="70C8A5FE" w14:textId="63B2F268"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2 punkty ładowania o indywidualnej mocy wyjściowej umożliwiającej ładowanie mocą stałą minimum 350 kW –  1 p.</w:t>
            </w:r>
          </w:p>
        </w:tc>
        <w:tc>
          <w:tcPr>
            <w:tcW w:w="3486" w:type="dxa"/>
          </w:tcPr>
          <w:p w14:paraId="5C94E48D" w14:textId="7B5FDCF1"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Minimalne wymagania są spełnione, tak więc powinien zostać przyznany przynajmniej minimalny poziom punktów.</w:t>
            </w:r>
          </w:p>
        </w:tc>
        <w:tc>
          <w:tcPr>
            <w:tcW w:w="3253" w:type="dxa"/>
          </w:tcPr>
          <w:p w14:paraId="6D2E5047" w14:textId="77777777"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24CAB785" w14:textId="77777777" w:rsidR="00A568CA" w:rsidRPr="005552B5" w:rsidRDefault="00A568CA" w:rsidP="00A568CA">
            <w:pPr>
              <w:spacing w:after="0" w:line="240" w:lineRule="auto"/>
              <w:jc w:val="both"/>
              <w:rPr>
                <w:rFonts w:asciiTheme="minorHAnsi" w:hAnsiTheme="minorHAnsi" w:cstheme="minorHAnsi"/>
                <w:sz w:val="20"/>
                <w:szCs w:val="20"/>
              </w:rPr>
            </w:pPr>
          </w:p>
          <w:p w14:paraId="0FEF2962" w14:textId="77777777"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Program ma charakter konkursowy, wybrane zostaną najefektywniejsze projekty.</w:t>
            </w:r>
          </w:p>
          <w:p w14:paraId="5710E8FC" w14:textId="35C43CE2" w:rsidR="00F3214E" w:rsidRPr="005552B5" w:rsidRDefault="00F3214E" w:rsidP="0037112F">
            <w:pPr>
              <w:spacing w:after="0" w:line="240" w:lineRule="auto"/>
              <w:jc w:val="both"/>
              <w:rPr>
                <w:rFonts w:asciiTheme="minorHAnsi" w:hAnsiTheme="minorHAnsi" w:cstheme="minorHAnsi"/>
                <w:sz w:val="20"/>
                <w:szCs w:val="20"/>
              </w:rPr>
            </w:pPr>
          </w:p>
        </w:tc>
      </w:tr>
      <w:tr w:rsidR="00FC32CE" w:rsidRPr="005552B5" w14:paraId="45B5A225" w14:textId="77777777" w:rsidTr="00F301CE">
        <w:tc>
          <w:tcPr>
            <w:tcW w:w="0" w:type="auto"/>
            <w:vAlign w:val="center"/>
          </w:tcPr>
          <w:p w14:paraId="73010E9A" w14:textId="2EDCF64C" w:rsidR="0037112F" w:rsidRPr="005552B5" w:rsidRDefault="0037112F" w:rsidP="0037112F">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34</w:t>
            </w:r>
          </w:p>
        </w:tc>
        <w:tc>
          <w:tcPr>
            <w:tcW w:w="1925" w:type="dxa"/>
          </w:tcPr>
          <w:p w14:paraId="0A9A2D13" w14:textId="454EC01B" w:rsidR="0037112F" w:rsidRPr="005552B5" w:rsidRDefault="0037112F" w:rsidP="0037112F">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Polskie Stowarzyszenie Paliw Alternatywnych – uwagi Partnerów</w:t>
            </w:r>
          </w:p>
        </w:tc>
        <w:tc>
          <w:tcPr>
            <w:tcW w:w="2770" w:type="dxa"/>
          </w:tcPr>
          <w:p w14:paraId="57BFE095" w14:textId="4B9A6F97" w:rsidR="0037112F" w:rsidRPr="005552B5" w:rsidRDefault="0037112F" w:rsidP="0037112F">
            <w:pPr>
              <w:spacing w:after="0" w:line="240" w:lineRule="auto"/>
              <w:jc w:val="both"/>
              <w:rPr>
                <w:rStyle w:val="hgkelc"/>
                <w:rFonts w:asciiTheme="minorHAnsi" w:hAnsiTheme="minorHAnsi" w:cstheme="minorHAnsi"/>
                <w:sz w:val="20"/>
                <w:szCs w:val="20"/>
              </w:rPr>
            </w:pPr>
          </w:p>
          <w:p w14:paraId="6178349F" w14:textId="77777777" w:rsidR="0037112F" w:rsidRPr="005552B5" w:rsidRDefault="0037112F" w:rsidP="0037112F">
            <w:pPr>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dla inwestycji realizowanych dla inwestycji realizowanych na terenie centrum logistycznego (DEPOT) lub terminala intermodalnego:</w:t>
            </w:r>
          </w:p>
          <w:p w14:paraId="5B8792E0" w14:textId="77777777" w:rsidR="0037112F" w:rsidRPr="005552B5" w:rsidRDefault="0037112F" w:rsidP="0037112F">
            <w:pPr>
              <w:jc w:val="both"/>
              <w:rPr>
                <w:rFonts w:asciiTheme="minorHAnsi" w:hAnsiTheme="minorHAnsi" w:cstheme="minorHAnsi"/>
                <w:sz w:val="20"/>
                <w:szCs w:val="20"/>
              </w:rPr>
            </w:pPr>
            <w:r w:rsidRPr="005552B5">
              <w:rPr>
                <w:rFonts w:asciiTheme="minorHAnsi" w:hAnsiTheme="minorHAnsi" w:cstheme="minorHAnsi"/>
                <w:sz w:val="20"/>
                <w:szCs w:val="20"/>
              </w:rPr>
              <w:t>Ogólnodostępna stacja ładowania wyposażona:</w:t>
            </w:r>
          </w:p>
          <w:p w14:paraId="7EB7E166" w14:textId="7B1A876B" w:rsidR="0037112F" w:rsidRPr="005552B5" w:rsidRDefault="0037112F" w:rsidP="0037112F">
            <w:pPr>
              <w:jc w:val="both"/>
              <w:rPr>
                <w:rFonts w:asciiTheme="minorHAnsi" w:hAnsiTheme="minorHAnsi" w:cstheme="minorHAnsi"/>
                <w:sz w:val="20"/>
                <w:szCs w:val="20"/>
              </w:rPr>
            </w:pPr>
            <w:r w:rsidRPr="005552B5">
              <w:rPr>
                <w:rFonts w:asciiTheme="minorHAnsi" w:hAnsiTheme="minorHAnsi" w:cstheme="minorHAnsi"/>
                <w:sz w:val="20"/>
                <w:szCs w:val="20"/>
              </w:rPr>
              <w:lastRenderedPageBreak/>
              <w:t>- w 2 punkty ładowania o indywidualnej mocy wyjściowej wynoszącej co najmniej 350 kW –  1 p.</w:t>
            </w:r>
          </w:p>
        </w:tc>
        <w:tc>
          <w:tcPr>
            <w:tcW w:w="3486" w:type="dxa"/>
          </w:tcPr>
          <w:p w14:paraId="0E3F4F9A"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w:t>
            </w:r>
            <w:r w:rsidRPr="005552B5">
              <w:rPr>
                <w:rStyle w:val="hgkelc"/>
                <w:rFonts w:asciiTheme="minorHAnsi" w:hAnsiTheme="minorHAnsi" w:cstheme="minorHAnsi"/>
                <w:sz w:val="20"/>
                <w:szCs w:val="20"/>
              </w:rPr>
              <w:tab/>
              <w:t>dla inwestycji realizowanych dla inwestycji realizowanych na terenie centrum logistycznego (DEPOT) lub terminala intermodalnego:</w:t>
            </w:r>
          </w:p>
          <w:p w14:paraId="2DDD8BA8" w14:textId="7777777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Ogólnodostępna stacja ładowania wyposażona:</w:t>
            </w:r>
          </w:p>
          <w:p w14:paraId="7717942F" w14:textId="2743752A"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1 punkt2 ładowania o indywidualnej mocy wyjściowej umożliwiający ładowanie mocą stałą minimum 350 kW –  1 p.</w:t>
            </w:r>
          </w:p>
        </w:tc>
        <w:tc>
          <w:tcPr>
            <w:tcW w:w="3486" w:type="dxa"/>
          </w:tcPr>
          <w:p w14:paraId="5E9CCA08" w14:textId="72563657" w:rsidR="0037112F" w:rsidRPr="005552B5" w:rsidRDefault="0037112F" w:rsidP="0037112F">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Minimalne wymagania są spełnione, tak więc powinien zostać przyznany przynajmniej minimalny poziom punktów.</w:t>
            </w:r>
          </w:p>
        </w:tc>
        <w:tc>
          <w:tcPr>
            <w:tcW w:w="3253" w:type="dxa"/>
          </w:tcPr>
          <w:p w14:paraId="6A46C3CE" w14:textId="77777777"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37D2A09C" w14:textId="77777777" w:rsidR="00A568CA" w:rsidRPr="005552B5" w:rsidRDefault="00A568CA" w:rsidP="00A568CA">
            <w:pPr>
              <w:spacing w:after="0" w:line="240" w:lineRule="auto"/>
              <w:jc w:val="both"/>
              <w:rPr>
                <w:rFonts w:asciiTheme="minorHAnsi" w:hAnsiTheme="minorHAnsi" w:cstheme="minorHAnsi"/>
                <w:sz w:val="20"/>
                <w:szCs w:val="20"/>
              </w:rPr>
            </w:pPr>
          </w:p>
          <w:p w14:paraId="2668544B" w14:textId="77777777"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Program ma charakter konkursowy, wybrane zostaną najefektywniejsze projekty.</w:t>
            </w:r>
          </w:p>
          <w:p w14:paraId="3FFF7198" w14:textId="43B0D10A" w:rsidR="0037112F" w:rsidRPr="005552B5" w:rsidRDefault="0037112F" w:rsidP="0037112F">
            <w:pPr>
              <w:spacing w:after="0" w:line="240" w:lineRule="auto"/>
              <w:jc w:val="both"/>
              <w:rPr>
                <w:rFonts w:asciiTheme="minorHAnsi" w:hAnsiTheme="minorHAnsi" w:cstheme="minorHAnsi"/>
                <w:sz w:val="20"/>
                <w:szCs w:val="20"/>
              </w:rPr>
            </w:pPr>
          </w:p>
        </w:tc>
      </w:tr>
      <w:tr w:rsidR="00FC32CE" w:rsidRPr="005552B5" w14:paraId="2149F833" w14:textId="77777777" w:rsidTr="00F301CE">
        <w:tc>
          <w:tcPr>
            <w:tcW w:w="0" w:type="auto"/>
            <w:vAlign w:val="center"/>
          </w:tcPr>
          <w:p w14:paraId="42612A30" w14:textId="1B6A3AC7"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3</w:t>
            </w:r>
            <w:r w:rsidR="005573AD">
              <w:rPr>
                <w:rFonts w:asciiTheme="minorHAnsi" w:hAnsiTheme="minorHAnsi" w:cstheme="minorHAnsi"/>
                <w:sz w:val="20"/>
                <w:szCs w:val="20"/>
              </w:rPr>
              <w:t>5</w:t>
            </w:r>
          </w:p>
        </w:tc>
        <w:tc>
          <w:tcPr>
            <w:tcW w:w="1925" w:type="dxa"/>
          </w:tcPr>
          <w:p w14:paraId="249C4A82" w14:textId="0ECF0AC0"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Wojewódzki Fundusz Ochrony Środowiska i Gospodarki  Wodnej w Krakowie</w:t>
            </w:r>
          </w:p>
        </w:tc>
        <w:tc>
          <w:tcPr>
            <w:tcW w:w="2770" w:type="dxa"/>
          </w:tcPr>
          <w:p w14:paraId="1AE31341" w14:textId="335A842D"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Str.2, pkt 6</w:t>
            </w:r>
          </w:p>
        </w:tc>
        <w:tc>
          <w:tcPr>
            <w:tcW w:w="3486" w:type="dxa"/>
          </w:tcPr>
          <w:p w14:paraId="146656AB" w14:textId="097EBFE5"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Proponuje się rozważyć dodanie </w:t>
            </w:r>
            <w:proofErr w:type="spellStart"/>
            <w:r w:rsidRPr="005552B5">
              <w:rPr>
                <w:rStyle w:val="hgkelc"/>
                <w:rFonts w:asciiTheme="minorHAnsi" w:hAnsiTheme="minorHAnsi" w:cstheme="minorHAnsi"/>
                <w:sz w:val="20"/>
                <w:szCs w:val="20"/>
              </w:rPr>
              <w:t>ppkt</w:t>
            </w:r>
            <w:proofErr w:type="spellEnd"/>
            <w:r w:rsidRPr="005552B5">
              <w:rPr>
                <w:rStyle w:val="hgkelc"/>
                <w:rFonts w:asciiTheme="minorHAnsi" w:hAnsiTheme="minorHAnsi" w:cstheme="minorHAnsi"/>
                <w:sz w:val="20"/>
                <w:szCs w:val="20"/>
              </w:rPr>
              <w:t xml:space="preserve"> 3,                     w którym określono by  jaki  procent dotacji można maksymalnie przeznaczyć na koszty związane z przygotowaniem dokumentacji technicznej inwestycji.</w:t>
            </w:r>
          </w:p>
        </w:tc>
        <w:tc>
          <w:tcPr>
            <w:tcW w:w="3486" w:type="dxa"/>
          </w:tcPr>
          <w:p w14:paraId="35179E7C" w14:textId="06A7BAB1"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wielu programach dotacyjnych wspierających projektu infrastrukturalne, w których kosztem kwalifikowanym może być między innymi koszt przygotowania dokumentacji projektowej/technicznej, określa się maksymalny procent dotacji jaka może być udzielona na taki cel. Zapisy planowanego programu uwzględniają w pkt 6, </w:t>
            </w:r>
            <w:proofErr w:type="spellStart"/>
            <w:r w:rsidRPr="005552B5">
              <w:rPr>
                <w:rStyle w:val="hgkelc"/>
                <w:rFonts w:asciiTheme="minorHAnsi" w:hAnsiTheme="minorHAnsi" w:cstheme="minorHAnsi"/>
                <w:sz w:val="20"/>
                <w:szCs w:val="20"/>
              </w:rPr>
              <w:t>ppkt</w:t>
            </w:r>
            <w:proofErr w:type="spellEnd"/>
            <w:r w:rsidRPr="005552B5">
              <w:rPr>
                <w:rStyle w:val="hgkelc"/>
                <w:rFonts w:asciiTheme="minorHAnsi" w:hAnsiTheme="minorHAnsi" w:cstheme="minorHAnsi"/>
                <w:sz w:val="20"/>
                <w:szCs w:val="20"/>
              </w:rPr>
              <w:t xml:space="preserve"> 2 kwalifikowanie kosztów dokumentacji technicznej.                      W programie nie wskazano natomiast jaki procent dotacji może zostać maksymalnie przeznaczony na finansowanie kosztów przygotowania dokumentacji technicznej inwestycji.  </w:t>
            </w:r>
          </w:p>
        </w:tc>
        <w:tc>
          <w:tcPr>
            <w:tcW w:w="3253" w:type="dxa"/>
          </w:tcPr>
          <w:p w14:paraId="3269D4E7" w14:textId="77777777"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21197816" w14:textId="77777777" w:rsidR="00A568CA" w:rsidRPr="005552B5" w:rsidRDefault="00A568CA" w:rsidP="00A568CA">
            <w:pPr>
              <w:spacing w:after="0" w:line="240" w:lineRule="auto"/>
              <w:jc w:val="both"/>
              <w:rPr>
                <w:rFonts w:asciiTheme="minorHAnsi" w:hAnsiTheme="minorHAnsi" w:cstheme="minorHAnsi"/>
                <w:sz w:val="20"/>
                <w:szCs w:val="20"/>
              </w:rPr>
            </w:pPr>
          </w:p>
          <w:p w14:paraId="6920B97C" w14:textId="77777777" w:rsidR="00A568CA" w:rsidRPr="005552B5" w:rsidRDefault="00A568CA" w:rsidP="00A568CA">
            <w:pPr>
              <w:spacing w:after="0" w:line="240" w:lineRule="auto"/>
              <w:jc w:val="both"/>
              <w:rPr>
                <w:rFonts w:asciiTheme="minorHAnsi" w:hAnsiTheme="minorHAnsi" w:cstheme="minorHAnsi"/>
                <w:sz w:val="20"/>
                <w:szCs w:val="20"/>
              </w:rPr>
            </w:pPr>
          </w:p>
          <w:p w14:paraId="6627D602" w14:textId="1FC20CDB" w:rsidR="00A568CA" w:rsidRPr="005552B5" w:rsidRDefault="0055092F"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Mamy zapis ograniczający w innych dokumentach.</w:t>
            </w:r>
          </w:p>
        </w:tc>
      </w:tr>
      <w:tr w:rsidR="00FC32CE" w:rsidRPr="005552B5" w14:paraId="3613A628" w14:textId="77777777" w:rsidTr="00F301CE">
        <w:tc>
          <w:tcPr>
            <w:tcW w:w="0" w:type="auto"/>
            <w:vAlign w:val="center"/>
          </w:tcPr>
          <w:p w14:paraId="2DC37E77" w14:textId="65AA0C6E" w:rsidR="00A568CA" w:rsidRPr="005552B5" w:rsidRDefault="005573AD" w:rsidP="00A568CA">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36</w:t>
            </w:r>
          </w:p>
        </w:tc>
        <w:tc>
          <w:tcPr>
            <w:tcW w:w="1925" w:type="dxa"/>
          </w:tcPr>
          <w:p w14:paraId="3FD76F13" w14:textId="762D0B7F"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Wojewódzki Fundusz Ochrony Środowiska i Gospodarki  Wodnej w Krakowie</w:t>
            </w:r>
          </w:p>
        </w:tc>
        <w:tc>
          <w:tcPr>
            <w:tcW w:w="2770" w:type="dxa"/>
          </w:tcPr>
          <w:p w14:paraId="46CD0F8F" w14:textId="2F656301"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b/>
                <w:sz w:val="20"/>
                <w:szCs w:val="20"/>
              </w:rPr>
              <w:t xml:space="preserve">Str.2, pkt 6 </w:t>
            </w:r>
            <w:proofErr w:type="spellStart"/>
            <w:r w:rsidRPr="005552B5">
              <w:rPr>
                <w:rStyle w:val="hgkelc"/>
                <w:rFonts w:asciiTheme="minorHAnsi" w:hAnsiTheme="minorHAnsi" w:cstheme="minorHAnsi"/>
                <w:b/>
                <w:sz w:val="20"/>
                <w:szCs w:val="20"/>
              </w:rPr>
              <w:t>ppkt</w:t>
            </w:r>
            <w:proofErr w:type="spellEnd"/>
            <w:r w:rsidRPr="005552B5">
              <w:rPr>
                <w:rStyle w:val="hgkelc"/>
                <w:rFonts w:asciiTheme="minorHAnsi" w:hAnsiTheme="minorHAnsi" w:cstheme="minorHAnsi"/>
                <w:b/>
                <w:sz w:val="20"/>
                <w:szCs w:val="20"/>
              </w:rPr>
              <w:t xml:space="preserve"> 2)</w:t>
            </w:r>
            <w:r w:rsidRPr="005552B5">
              <w:rPr>
                <w:rStyle w:val="hgkelc"/>
                <w:rFonts w:asciiTheme="minorHAnsi" w:hAnsiTheme="minorHAnsi" w:cstheme="minorHAnsi"/>
                <w:sz w:val="20"/>
                <w:szCs w:val="20"/>
              </w:rPr>
              <w:t xml:space="preserve"> - wykaz kosztów kwalifikowanych</w:t>
            </w:r>
          </w:p>
        </w:tc>
        <w:tc>
          <w:tcPr>
            <w:tcW w:w="3486" w:type="dxa"/>
          </w:tcPr>
          <w:p w14:paraId="43DAAAC1"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486" w:type="dxa"/>
          </w:tcPr>
          <w:p w14:paraId="36D584BB" w14:textId="1E483D3C"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Sugeruje się, aby rozważyć czy koszty związane ubezpieczeniem od uszkodzeń, zniszczeń oraz utraty na skutek zdarzeń losowych mogą być kwalifikowane. Jeśli mają być niekwalifikowane, to ewentualnie w punkcie 7.3. </w:t>
            </w:r>
            <w:proofErr w:type="spellStart"/>
            <w:r w:rsidRPr="005552B5">
              <w:rPr>
                <w:rStyle w:val="hgkelc"/>
                <w:rFonts w:asciiTheme="minorHAnsi" w:hAnsiTheme="minorHAnsi" w:cstheme="minorHAnsi"/>
                <w:sz w:val="20"/>
                <w:szCs w:val="20"/>
              </w:rPr>
              <w:t>ppkt</w:t>
            </w:r>
            <w:proofErr w:type="spellEnd"/>
            <w:r w:rsidRPr="005552B5">
              <w:rPr>
                <w:rStyle w:val="hgkelc"/>
                <w:rFonts w:asciiTheme="minorHAnsi" w:hAnsiTheme="minorHAnsi" w:cstheme="minorHAnsi"/>
                <w:sz w:val="20"/>
                <w:szCs w:val="20"/>
              </w:rPr>
              <w:t xml:space="preserve"> 8 można wskazać wprost, że koszty te są niekwalifikowane.</w:t>
            </w:r>
          </w:p>
        </w:tc>
        <w:tc>
          <w:tcPr>
            <w:tcW w:w="3253" w:type="dxa"/>
          </w:tcPr>
          <w:p w14:paraId="7D890741" w14:textId="77777777" w:rsidR="0055092F" w:rsidRPr="005552B5" w:rsidRDefault="0055092F" w:rsidP="005509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3851D2E0" w14:textId="20B93DEA" w:rsidR="00A568CA" w:rsidRPr="005552B5" w:rsidRDefault="00A568CA" w:rsidP="00A568CA">
            <w:pPr>
              <w:spacing w:after="0" w:line="240" w:lineRule="auto"/>
              <w:jc w:val="both"/>
              <w:rPr>
                <w:rFonts w:asciiTheme="minorHAnsi" w:hAnsiTheme="minorHAnsi" w:cstheme="minorHAnsi"/>
                <w:sz w:val="20"/>
                <w:szCs w:val="20"/>
              </w:rPr>
            </w:pPr>
          </w:p>
        </w:tc>
      </w:tr>
      <w:tr w:rsidR="00FC32CE" w:rsidRPr="005552B5" w14:paraId="59AB3E5F" w14:textId="77777777" w:rsidTr="00F301CE">
        <w:tc>
          <w:tcPr>
            <w:tcW w:w="0" w:type="auto"/>
            <w:vAlign w:val="center"/>
          </w:tcPr>
          <w:p w14:paraId="2ADA0AA6" w14:textId="21B2B2E5" w:rsidR="00A568CA" w:rsidRPr="005552B5" w:rsidRDefault="005573AD" w:rsidP="00A568CA">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37</w:t>
            </w:r>
          </w:p>
        </w:tc>
        <w:tc>
          <w:tcPr>
            <w:tcW w:w="1925" w:type="dxa"/>
          </w:tcPr>
          <w:p w14:paraId="09D74C0A" w14:textId="0B3AA43A"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Wojewódzki Fundusz Ochrony Środowiska i Gospodarki  Wodnej w Krakowie</w:t>
            </w:r>
          </w:p>
        </w:tc>
        <w:tc>
          <w:tcPr>
            <w:tcW w:w="2770" w:type="dxa"/>
          </w:tcPr>
          <w:p w14:paraId="29AAA75B"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str. 3, pkt. 7.1</w:t>
            </w:r>
          </w:p>
          <w:p w14:paraId="238CC4EC" w14:textId="12E328BA"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t>“- dotacja z przeznaczeniem na dopłaty do rat kapitałowych ustalanych w umowie leasingu finansowego w rozumieniu art. 411 ust. 1 pkt 2 lit. e ustawy – Prawo ochrony środowiska”.</w:t>
            </w:r>
          </w:p>
        </w:tc>
        <w:tc>
          <w:tcPr>
            <w:tcW w:w="3486" w:type="dxa"/>
          </w:tcPr>
          <w:p w14:paraId="6A6B486E" w14:textId="15D3F3D5"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Proponuje się doprecyzować, że jest to:  “</w:t>
            </w:r>
            <w:r w:rsidRPr="005552B5">
              <w:rPr>
                <w:rStyle w:val="hgkelc"/>
                <w:rFonts w:asciiTheme="minorHAnsi" w:hAnsiTheme="minorHAnsi" w:cstheme="minorHAnsi"/>
                <w:i/>
                <w:sz w:val="20"/>
                <w:szCs w:val="20"/>
              </w:rPr>
              <w:t>dotacja z przeznaczeniem na dopłaty do rat kapitałowych ustalanych w umowie leasingu finansowego w rozumieniu art. 411 ust. 1 pkt 2 lit. e ustawy – Prawo ochrony środowiska dotyczącego zakupu środków trwałych bezpośrednio związanych z budową stacji ładowania, z wyłączeniem kosztów budowy i modernizacji instalacji odnawialnych źródeł energii.”.</w:t>
            </w:r>
          </w:p>
        </w:tc>
        <w:tc>
          <w:tcPr>
            <w:tcW w:w="3486" w:type="dxa"/>
          </w:tcPr>
          <w:p w14:paraId="5A3D523D"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30C694BB" w14:textId="7D88C513"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Brak doprecyzowania, że dotacja z przeznaczeniem na dopłaty do rat leasingowych dotyczy zakupu środków trwałych bezpośrednio związanych z budową stacji ładowania (a nie do leasingu innych kosztów) - powyższa uwaga wynika też z zapisu              w pkt 6 </w:t>
            </w:r>
            <w:proofErr w:type="spellStart"/>
            <w:r w:rsidRPr="005552B5">
              <w:rPr>
                <w:rStyle w:val="hgkelc"/>
                <w:rFonts w:asciiTheme="minorHAnsi" w:hAnsiTheme="minorHAnsi" w:cstheme="minorHAnsi"/>
                <w:sz w:val="20"/>
                <w:szCs w:val="20"/>
              </w:rPr>
              <w:t>ppkt</w:t>
            </w:r>
            <w:proofErr w:type="spellEnd"/>
            <w:r w:rsidRPr="005552B5">
              <w:rPr>
                <w:rStyle w:val="hgkelc"/>
                <w:rFonts w:asciiTheme="minorHAnsi" w:hAnsiTheme="minorHAnsi" w:cstheme="minorHAnsi"/>
                <w:sz w:val="20"/>
                <w:szCs w:val="20"/>
              </w:rPr>
              <w:t xml:space="preserve"> 2.</w:t>
            </w:r>
          </w:p>
        </w:tc>
        <w:tc>
          <w:tcPr>
            <w:tcW w:w="3253" w:type="dxa"/>
          </w:tcPr>
          <w:p w14:paraId="34FDA124" w14:textId="77777777" w:rsidR="0055092F" w:rsidRPr="005552B5" w:rsidRDefault="0055092F" w:rsidP="0055092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402DE46B" w14:textId="77777777" w:rsidR="00A568CA" w:rsidRPr="005552B5" w:rsidRDefault="00A568CA" w:rsidP="00A568CA">
            <w:pPr>
              <w:spacing w:after="0" w:line="240" w:lineRule="auto"/>
              <w:jc w:val="both"/>
              <w:rPr>
                <w:rFonts w:asciiTheme="minorHAnsi" w:hAnsiTheme="minorHAnsi" w:cstheme="minorHAnsi"/>
                <w:sz w:val="20"/>
                <w:szCs w:val="20"/>
                <w:highlight w:val="green"/>
              </w:rPr>
            </w:pPr>
          </w:p>
          <w:p w14:paraId="3BA0B2BD" w14:textId="77777777" w:rsidR="00A568CA" w:rsidRPr="005552B5" w:rsidRDefault="00A568CA" w:rsidP="00A568CA">
            <w:pPr>
              <w:spacing w:after="0" w:line="240" w:lineRule="auto"/>
              <w:jc w:val="both"/>
              <w:rPr>
                <w:rFonts w:asciiTheme="minorHAnsi" w:hAnsiTheme="minorHAnsi" w:cstheme="minorHAnsi"/>
                <w:sz w:val="20"/>
                <w:szCs w:val="20"/>
                <w:highlight w:val="green"/>
              </w:rPr>
            </w:pPr>
          </w:p>
          <w:p w14:paraId="4D448B92" w14:textId="04F0D8EF" w:rsidR="00A568CA" w:rsidRPr="005552B5" w:rsidRDefault="0055092F"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Ewentualne doprecyzowanie zapisów może znaleźć się w dokumentacji </w:t>
            </w:r>
            <w:proofErr w:type="spellStart"/>
            <w:r w:rsidRPr="005552B5">
              <w:rPr>
                <w:rFonts w:asciiTheme="minorHAnsi" w:hAnsiTheme="minorHAnsi" w:cstheme="minorHAnsi"/>
                <w:sz w:val="20"/>
                <w:szCs w:val="20"/>
              </w:rPr>
              <w:t>naborowej</w:t>
            </w:r>
            <w:proofErr w:type="spellEnd"/>
            <w:r w:rsidRPr="005552B5">
              <w:rPr>
                <w:rFonts w:asciiTheme="minorHAnsi" w:hAnsiTheme="minorHAnsi" w:cstheme="minorHAnsi"/>
                <w:sz w:val="20"/>
                <w:szCs w:val="20"/>
              </w:rPr>
              <w:t>.</w:t>
            </w:r>
          </w:p>
        </w:tc>
      </w:tr>
      <w:tr w:rsidR="00FC32CE" w:rsidRPr="005552B5" w14:paraId="1D04E340" w14:textId="77777777" w:rsidTr="00F301CE">
        <w:tc>
          <w:tcPr>
            <w:tcW w:w="0" w:type="auto"/>
            <w:vAlign w:val="center"/>
          </w:tcPr>
          <w:p w14:paraId="1984B6A7" w14:textId="5C2E05A4" w:rsidR="00A568CA" w:rsidRPr="005552B5" w:rsidRDefault="005573AD" w:rsidP="00A568CA">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38</w:t>
            </w:r>
          </w:p>
        </w:tc>
        <w:tc>
          <w:tcPr>
            <w:tcW w:w="1925" w:type="dxa"/>
          </w:tcPr>
          <w:p w14:paraId="135FECFA" w14:textId="684F6FD1"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Wojewódzki Fundusz Ochrony Środowiska i Gospodarki  Wodnej w Krakowie</w:t>
            </w:r>
          </w:p>
        </w:tc>
        <w:tc>
          <w:tcPr>
            <w:tcW w:w="2770" w:type="dxa"/>
          </w:tcPr>
          <w:p w14:paraId="1E1B538D"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 xml:space="preserve">Str. 4, pkt 7.3, </w:t>
            </w:r>
          </w:p>
          <w:p w14:paraId="19610D3C" w14:textId="77777777" w:rsidR="00A568CA" w:rsidRPr="005552B5" w:rsidRDefault="00A568CA" w:rsidP="00A568CA">
            <w:pPr>
              <w:spacing w:after="0" w:line="240" w:lineRule="auto"/>
              <w:jc w:val="both"/>
              <w:rPr>
                <w:rStyle w:val="hgkelc"/>
                <w:rFonts w:asciiTheme="minorHAnsi" w:hAnsiTheme="minorHAnsi" w:cstheme="minorHAnsi"/>
                <w:b/>
                <w:sz w:val="20"/>
                <w:szCs w:val="20"/>
              </w:rPr>
            </w:pPr>
            <w:proofErr w:type="spellStart"/>
            <w:r w:rsidRPr="005552B5">
              <w:rPr>
                <w:rStyle w:val="hgkelc"/>
                <w:rFonts w:asciiTheme="minorHAnsi" w:hAnsiTheme="minorHAnsi" w:cstheme="minorHAnsi"/>
                <w:b/>
                <w:sz w:val="20"/>
                <w:szCs w:val="20"/>
              </w:rPr>
              <w:t>ppkt</w:t>
            </w:r>
            <w:proofErr w:type="spellEnd"/>
            <w:r w:rsidRPr="005552B5">
              <w:rPr>
                <w:rStyle w:val="hgkelc"/>
                <w:rFonts w:asciiTheme="minorHAnsi" w:hAnsiTheme="minorHAnsi" w:cstheme="minorHAnsi"/>
                <w:b/>
                <w:sz w:val="20"/>
                <w:szCs w:val="20"/>
              </w:rPr>
              <w:t xml:space="preserve"> 10)</w:t>
            </w:r>
          </w:p>
          <w:p w14:paraId="6212F129" w14:textId="3B457570"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t>“dofinansowanie  musi być zgodne z przepisami rozporządzenia Ministra Klimatu i Środowiska z dnia … r. w sprawie szczegółowych warunków udzielania przez Narodowy Fundusz Ochrony Środowiska i Gospodarki Wodnej horyzontalnej pomocy publicznej na inwestycje w infrastrukturę ładowania i tankowania (Dz. U. ….)”;</w:t>
            </w:r>
          </w:p>
        </w:tc>
        <w:tc>
          <w:tcPr>
            <w:tcW w:w="3486" w:type="dxa"/>
          </w:tcPr>
          <w:p w14:paraId="0BBA9088"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486" w:type="dxa"/>
          </w:tcPr>
          <w:p w14:paraId="5C4947AF"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Aktualnie, obowiązujące rozporządzenie Ministra Klimatu i Środowiska z dnia 24 listopada 2021 r. w sprawie szczegółowych warunków udzielania pomocy publicznej na infrastrukturę do ładowania pojazdów elektrycznych i infrastrukturę do tankowania wodoru (Dz.U. 2021 poz. 2247) przytacza inne warunki uzyskania pomocy publicznej niż te wskazane w przedłożonym do konsultacji projekcie Programu. </w:t>
            </w:r>
          </w:p>
          <w:p w14:paraId="024FF904"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Dlatego budzi wątpliwość zapis “</w:t>
            </w:r>
            <w:r w:rsidRPr="005552B5">
              <w:rPr>
                <w:rStyle w:val="hgkelc"/>
                <w:rFonts w:asciiTheme="minorHAnsi" w:hAnsiTheme="minorHAnsi" w:cstheme="minorHAnsi"/>
                <w:i/>
                <w:sz w:val="20"/>
                <w:szCs w:val="20"/>
              </w:rPr>
              <w:t>że dofinansowanie musi być zgodne z przepisami ww. rozporządzenia”.</w:t>
            </w:r>
          </w:p>
          <w:p w14:paraId="5110CC45"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0F4774B2" w14:textId="0C79474B"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Powyższa uwaga może być nieaktualna w przypadku przyjęcia nowego/zmienionego  rozporządzenia  Ministra Klimatu i Środowiska, z którym to zapisy </w:t>
            </w:r>
            <w:r w:rsidRPr="005552B5">
              <w:rPr>
                <w:rStyle w:val="hgkelc"/>
                <w:rFonts w:asciiTheme="minorHAnsi" w:hAnsiTheme="minorHAnsi" w:cstheme="minorHAnsi"/>
                <w:i/>
                <w:sz w:val="20"/>
                <w:szCs w:val="20"/>
              </w:rPr>
              <w:t xml:space="preserve">programu „Wsparcie budowy i/lub rozbudowy ogólnodostępnej stacji ładowania  dla transportu ciężkiego ” </w:t>
            </w:r>
            <w:r w:rsidRPr="005552B5">
              <w:rPr>
                <w:rStyle w:val="hgkelc"/>
                <w:rFonts w:asciiTheme="minorHAnsi" w:hAnsiTheme="minorHAnsi" w:cstheme="minorHAnsi"/>
                <w:sz w:val="20"/>
                <w:szCs w:val="20"/>
              </w:rPr>
              <w:t>będą zgodne.</w:t>
            </w:r>
          </w:p>
        </w:tc>
        <w:tc>
          <w:tcPr>
            <w:tcW w:w="3253" w:type="dxa"/>
          </w:tcPr>
          <w:p w14:paraId="4354887C" w14:textId="15237687" w:rsidR="00FC32CE" w:rsidRPr="005552B5" w:rsidRDefault="00D951A8"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Rozporządzenie </w:t>
            </w:r>
            <w:r w:rsidR="0039197C" w:rsidRPr="005552B5">
              <w:rPr>
                <w:rFonts w:asciiTheme="minorHAnsi" w:hAnsiTheme="minorHAnsi" w:cstheme="minorHAnsi"/>
                <w:sz w:val="20"/>
                <w:szCs w:val="20"/>
              </w:rPr>
              <w:t>został</w:t>
            </w:r>
            <w:r w:rsidRPr="005552B5">
              <w:rPr>
                <w:rFonts w:asciiTheme="minorHAnsi" w:hAnsiTheme="minorHAnsi" w:cstheme="minorHAnsi"/>
                <w:sz w:val="20"/>
                <w:szCs w:val="20"/>
              </w:rPr>
              <w:t xml:space="preserve">o opublikowane. </w:t>
            </w:r>
            <w:r w:rsidR="0039197C" w:rsidRPr="005552B5">
              <w:rPr>
                <w:rFonts w:asciiTheme="minorHAnsi" w:hAnsiTheme="minorHAnsi" w:cstheme="minorHAnsi"/>
                <w:sz w:val="20"/>
                <w:szCs w:val="20"/>
              </w:rPr>
              <w:t xml:space="preserve"> </w:t>
            </w:r>
          </w:p>
        </w:tc>
      </w:tr>
      <w:tr w:rsidR="00FC32CE" w:rsidRPr="005552B5" w14:paraId="67404F56" w14:textId="77777777" w:rsidTr="00F301CE">
        <w:tc>
          <w:tcPr>
            <w:tcW w:w="0" w:type="auto"/>
            <w:vAlign w:val="center"/>
          </w:tcPr>
          <w:p w14:paraId="5F8EDECC" w14:textId="68CE460A" w:rsidR="00A568CA" w:rsidRPr="005552B5" w:rsidRDefault="005573AD" w:rsidP="00A568CA">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39</w:t>
            </w:r>
          </w:p>
        </w:tc>
        <w:tc>
          <w:tcPr>
            <w:tcW w:w="1925" w:type="dxa"/>
          </w:tcPr>
          <w:p w14:paraId="07061C11" w14:textId="5DD1C213"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Wojewódzki Fundusz Ochrony Środowiska i Gospodarki  Wodnej w Krakowie</w:t>
            </w:r>
          </w:p>
        </w:tc>
        <w:tc>
          <w:tcPr>
            <w:tcW w:w="2770" w:type="dxa"/>
          </w:tcPr>
          <w:p w14:paraId="343E69CA"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 xml:space="preserve">Str.8 tabela: “KRYTERIA JAKOŚCIOWE PUNKTOWE” w pkt 2.  </w:t>
            </w:r>
          </w:p>
          <w:p w14:paraId="596D305D" w14:textId="77777777"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t>“Termin zakończenia realizacji inwestycji rozumianej jako data przekazania do eksploatacji:</w:t>
            </w:r>
          </w:p>
          <w:p w14:paraId="4CE552A6" w14:textId="730312E3"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t xml:space="preserve">- przed 31.12.2026 r. </w:t>
            </w:r>
            <w:r w:rsidR="00D951A8" w:rsidRPr="005552B5">
              <w:rPr>
                <w:rStyle w:val="hgkelc"/>
                <w:rFonts w:asciiTheme="minorHAnsi" w:hAnsiTheme="minorHAnsi" w:cstheme="minorHAnsi"/>
                <w:i/>
                <w:sz w:val="20"/>
                <w:szCs w:val="20"/>
              </w:rPr>
              <w:t>–</w:t>
            </w:r>
            <w:r w:rsidRPr="005552B5">
              <w:rPr>
                <w:rStyle w:val="hgkelc"/>
                <w:rFonts w:asciiTheme="minorHAnsi" w:hAnsiTheme="minorHAnsi" w:cstheme="minorHAnsi"/>
                <w:i/>
                <w:sz w:val="20"/>
                <w:szCs w:val="20"/>
              </w:rPr>
              <w:t xml:space="preserve"> 4 pkt;</w:t>
            </w:r>
          </w:p>
          <w:p w14:paraId="14A0959B" w14:textId="57F87ABC"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t xml:space="preserve">- przed 31.12.2027 r. </w:t>
            </w:r>
            <w:r w:rsidR="00D951A8" w:rsidRPr="005552B5">
              <w:rPr>
                <w:rStyle w:val="hgkelc"/>
                <w:rFonts w:asciiTheme="minorHAnsi" w:hAnsiTheme="minorHAnsi" w:cstheme="minorHAnsi"/>
                <w:i/>
                <w:sz w:val="20"/>
                <w:szCs w:val="20"/>
              </w:rPr>
              <w:t>–</w:t>
            </w:r>
            <w:r w:rsidRPr="005552B5">
              <w:rPr>
                <w:rStyle w:val="hgkelc"/>
                <w:rFonts w:asciiTheme="minorHAnsi" w:hAnsiTheme="minorHAnsi" w:cstheme="minorHAnsi"/>
                <w:i/>
                <w:sz w:val="20"/>
                <w:szCs w:val="20"/>
              </w:rPr>
              <w:t xml:space="preserve"> 2 pkt;</w:t>
            </w:r>
          </w:p>
          <w:p w14:paraId="106F777E" w14:textId="6F9812FA"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i/>
                <w:sz w:val="20"/>
                <w:szCs w:val="20"/>
              </w:rPr>
              <w:t>- po 31.12.2027 r.         -1 pkt;”</w:t>
            </w:r>
          </w:p>
        </w:tc>
        <w:tc>
          <w:tcPr>
            <w:tcW w:w="3486" w:type="dxa"/>
          </w:tcPr>
          <w:p w14:paraId="16BB0C10" w14:textId="77777777"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t>“Termin zakończenia realizacji inwestycji rozumianej jako data przekazania do eksploatacji:</w:t>
            </w:r>
          </w:p>
          <w:p w14:paraId="20CA7179" w14:textId="72896A44"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t xml:space="preserve">- </w:t>
            </w:r>
            <w:r w:rsidRPr="005552B5">
              <w:rPr>
                <w:rStyle w:val="hgkelc"/>
                <w:rFonts w:asciiTheme="minorHAnsi" w:hAnsiTheme="minorHAnsi" w:cstheme="minorHAnsi"/>
                <w:b/>
                <w:i/>
                <w:sz w:val="20"/>
                <w:szCs w:val="20"/>
              </w:rPr>
              <w:t xml:space="preserve">do </w:t>
            </w:r>
            <w:r w:rsidRPr="005552B5">
              <w:rPr>
                <w:rStyle w:val="hgkelc"/>
                <w:rFonts w:asciiTheme="minorHAnsi" w:hAnsiTheme="minorHAnsi" w:cstheme="minorHAnsi"/>
                <w:i/>
                <w:sz w:val="20"/>
                <w:szCs w:val="20"/>
              </w:rPr>
              <w:t xml:space="preserve">31.12.2026 r. </w:t>
            </w:r>
            <w:r w:rsidR="00D951A8" w:rsidRPr="005552B5">
              <w:rPr>
                <w:rStyle w:val="hgkelc"/>
                <w:rFonts w:asciiTheme="minorHAnsi" w:hAnsiTheme="minorHAnsi" w:cstheme="minorHAnsi"/>
                <w:i/>
                <w:sz w:val="20"/>
                <w:szCs w:val="20"/>
              </w:rPr>
              <w:t>–</w:t>
            </w:r>
            <w:r w:rsidRPr="005552B5">
              <w:rPr>
                <w:rStyle w:val="hgkelc"/>
                <w:rFonts w:asciiTheme="minorHAnsi" w:hAnsiTheme="minorHAnsi" w:cstheme="minorHAnsi"/>
                <w:i/>
                <w:sz w:val="20"/>
                <w:szCs w:val="20"/>
              </w:rPr>
              <w:t xml:space="preserve"> 4 pkt;</w:t>
            </w:r>
          </w:p>
          <w:p w14:paraId="116FE728" w14:textId="1CBEA918"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t xml:space="preserve"> - </w:t>
            </w:r>
            <w:r w:rsidRPr="005552B5">
              <w:rPr>
                <w:rStyle w:val="hgkelc"/>
                <w:rFonts w:asciiTheme="minorHAnsi" w:hAnsiTheme="minorHAnsi" w:cstheme="minorHAnsi"/>
                <w:b/>
                <w:i/>
                <w:sz w:val="20"/>
                <w:szCs w:val="20"/>
              </w:rPr>
              <w:t xml:space="preserve">do </w:t>
            </w:r>
            <w:r w:rsidRPr="005552B5">
              <w:rPr>
                <w:rStyle w:val="hgkelc"/>
                <w:rFonts w:asciiTheme="minorHAnsi" w:hAnsiTheme="minorHAnsi" w:cstheme="minorHAnsi"/>
                <w:i/>
                <w:sz w:val="20"/>
                <w:szCs w:val="20"/>
              </w:rPr>
              <w:t xml:space="preserve">31.12.2027 r. </w:t>
            </w:r>
            <w:r w:rsidR="00D951A8" w:rsidRPr="005552B5">
              <w:rPr>
                <w:rStyle w:val="hgkelc"/>
                <w:rFonts w:asciiTheme="minorHAnsi" w:hAnsiTheme="minorHAnsi" w:cstheme="minorHAnsi"/>
                <w:i/>
                <w:sz w:val="20"/>
                <w:szCs w:val="20"/>
              </w:rPr>
              <w:t>–</w:t>
            </w:r>
            <w:r w:rsidRPr="005552B5">
              <w:rPr>
                <w:rStyle w:val="hgkelc"/>
                <w:rFonts w:asciiTheme="minorHAnsi" w:hAnsiTheme="minorHAnsi" w:cstheme="minorHAnsi"/>
                <w:i/>
                <w:sz w:val="20"/>
                <w:szCs w:val="20"/>
              </w:rPr>
              <w:t xml:space="preserve"> 2 pkt;</w:t>
            </w:r>
          </w:p>
          <w:p w14:paraId="1F47E2E9" w14:textId="5969B0E5"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i/>
                <w:sz w:val="20"/>
                <w:szCs w:val="20"/>
              </w:rPr>
              <w:t xml:space="preserve">-  po 31.12.2027 r. </w:t>
            </w:r>
            <w:r w:rsidR="00D951A8" w:rsidRPr="005552B5">
              <w:rPr>
                <w:rStyle w:val="hgkelc"/>
                <w:rFonts w:asciiTheme="minorHAnsi" w:hAnsiTheme="minorHAnsi" w:cstheme="minorHAnsi"/>
                <w:i/>
                <w:sz w:val="20"/>
                <w:szCs w:val="20"/>
              </w:rPr>
              <w:t>–</w:t>
            </w:r>
            <w:r w:rsidRPr="005552B5">
              <w:rPr>
                <w:rStyle w:val="hgkelc"/>
                <w:rFonts w:asciiTheme="minorHAnsi" w:hAnsiTheme="minorHAnsi" w:cstheme="minorHAnsi"/>
                <w:i/>
                <w:sz w:val="20"/>
                <w:szCs w:val="20"/>
              </w:rPr>
              <w:t xml:space="preserve"> 1 pkt”;</w:t>
            </w:r>
          </w:p>
        </w:tc>
        <w:tc>
          <w:tcPr>
            <w:tcW w:w="3486" w:type="dxa"/>
          </w:tcPr>
          <w:p w14:paraId="4A767493" w14:textId="46B41D5A"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Proponuje się wskazaną korektę            (w dwóch przypadkach zastąpienie przyimka “przed”, przyimkiem “po”) z uwagi na to, że przy obecnym brzmieniu trudno byłoby ustalić liczbę punktów </w:t>
            </w:r>
            <w:r w:rsidRPr="005552B5">
              <w:rPr>
                <w:rStyle w:val="hgkelc"/>
                <w:rFonts w:asciiTheme="minorHAnsi" w:hAnsiTheme="minorHAnsi" w:cstheme="minorHAnsi"/>
                <w:b/>
                <w:sz w:val="20"/>
                <w:szCs w:val="20"/>
              </w:rPr>
              <w:t>dla dnia 31.12.2027r</w:t>
            </w:r>
            <w:r w:rsidRPr="005552B5">
              <w:rPr>
                <w:rStyle w:val="hgkelc"/>
                <w:rFonts w:asciiTheme="minorHAnsi" w:hAnsiTheme="minorHAnsi" w:cstheme="minorHAnsi"/>
                <w:sz w:val="20"/>
                <w:szCs w:val="20"/>
              </w:rPr>
              <w:t xml:space="preserve"> </w:t>
            </w:r>
            <w:r w:rsidR="00D951A8"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 xml:space="preserve"> to główny cel proponowanej zmiany, która wyeliminuje powyższy problem. </w:t>
            </w:r>
          </w:p>
          <w:p w14:paraId="23D8B8B9" w14:textId="3D63167A"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Jej skutkiem dodatkowym będzie też to, iż w przypadku dnia 31.12.2026r. Wnioskodawca otrzyma 4 pkt (w przypadku pozostawienia zapisu                       w aktualnym brzmieniu, za dzień 31.12.2026r. przysługiwałyby Wnioskodawcy           2 pkt).  </w:t>
            </w:r>
          </w:p>
        </w:tc>
        <w:tc>
          <w:tcPr>
            <w:tcW w:w="3253" w:type="dxa"/>
          </w:tcPr>
          <w:p w14:paraId="346EBBEB" w14:textId="77777777"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4C334DE6" w14:textId="77777777" w:rsidR="00A568CA" w:rsidRPr="005552B5" w:rsidRDefault="00A568CA" w:rsidP="00A568CA">
            <w:pPr>
              <w:spacing w:after="0" w:line="240" w:lineRule="auto"/>
              <w:jc w:val="both"/>
              <w:rPr>
                <w:rFonts w:asciiTheme="minorHAnsi" w:hAnsiTheme="minorHAnsi" w:cstheme="minorHAnsi"/>
                <w:sz w:val="20"/>
                <w:szCs w:val="20"/>
              </w:rPr>
            </w:pPr>
          </w:p>
        </w:tc>
      </w:tr>
      <w:tr w:rsidR="00FC32CE" w:rsidRPr="005552B5" w14:paraId="6A89DCDA" w14:textId="77777777" w:rsidTr="00F301CE">
        <w:tc>
          <w:tcPr>
            <w:tcW w:w="0" w:type="auto"/>
            <w:vAlign w:val="center"/>
          </w:tcPr>
          <w:p w14:paraId="563F46D5" w14:textId="670A6C16"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4</w:t>
            </w:r>
            <w:r w:rsidR="005573AD">
              <w:rPr>
                <w:rFonts w:asciiTheme="minorHAnsi" w:hAnsiTheme="minorHAnsi" w:cstheme="minorHAnsi"/>
                <w:sz w:val="20"/>
                <w:szCs w:val="20"/>
              </w:rPr>
              <w:t>0</w:t>
            </w:r>
          </w:p>
        </w:tc>
        <w:tc>
          <w:tcPr>
            <w:tcW w:w="1925" w:type="dxa"/>
          </w:tcPr>
          <w:p w14:paraId="548D359D" w14:textId="4ED5A1B1"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 xml:space="preserve">Wojewódzki Fundusz Ochrony </w:t>
            </w:r>
            <w:r w:rsidRPr="005552B5">
              <w:rPr>
                <w:rFonts w:asciiTheme="minorHAnsi" w:hAnsiTheme="minorHAnsi" w:cstheme="minorHAnsi"/>
                <w:b/>
                <w:sz w:val="20"/>
                <w:szCs w:val="20"/>
              </w:rPr>
              <w:lastRenderedPageBreak/>
              <w:t>Środowiska i Gospodarki  Wodnej w Krakowie</w:t>
            </w:r>
          </w:p>
        </w:tc>
        <w:tc>
          <w:tcPr>
            <w:tcW w:w="2770" w:type="dxa"/>
          </w:tcPr>
          <w:p w14:paraId="4F42C72F"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 xml:space="preserve">Str.10, pkt 8, </w:t>
            </w:r>
            <w:proofErr w:type="spellStart"/>
            <w:r w:rsidRPr="005552B5">
              <w:rPr>
                <w:rStyle w:val="hgkelc"/>
                <w:rFonts w:asciiTheme="minorHAnsi" w:hAnsiTheme="minorHAnsi" w:cstheme="minorHAnsi"/>
                <w:b/>
                <w:sz w:val="20"/>
                <w:szCs w:val="20"/>
              </w:rPr>
              <w:t>ppkt</w:t>
            </w:r>
            <w:proofErr w:type="spellEnd"/>
            <w:r w:rsidRPr="005552B5">
              <w:rPr>
                <w:rStyle w:val="hgkelc"/>
                <w:rFonts w:asciiTheme="minorHAnsi" w:hAnsiTheme="minorHAnsi" w:cstheme="minorHAnsi"/>
                <w:b/>
                <w:sz w:val="20"/>
                <w:szCs w:val="20"/>
              </w:rPr>
              <w:t xml:space="preserve"> 1</w:t>
            </w:r>
          </w:p>
          <w:p w14:paraId="484EB8E1" w14:textId="4FE04471"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lastRenderedPageBreak/>
              <w:t xml:space="preserve">“Beneficjent, realizujący inwestycję współfinansowaną ze środków Funduszu Modernizacyjnego, ma obowiązek prowadzenia działań </w:t>
            </w:r>
            <w:proofErr w:type="spellStart"/>
            <w:r w:rsidRPr="005552B5">
              <w:rPr>
                <w:rStyle w:val="hgkelc"/>
                <w:rFonts w:asciiTheme="minorHAnsi" w:hAnsiTheme="minorHAnsi" w:cstheme="minorHAnsi"/>
                <w:i/>
                <w:sz w:val="20"/>
                <w:szCs w:val="20"/>
              </w:rPr>
              <w:t>informacyjno</w:t>
            </w:r>
            <w:proofErr w:type="spellEnd"/>
            <w:r w:rsidRPr="005552B5">
              <w:rPr>
                <w:rStyle w:val="hgkelc"/>
                <w:rFonts w:asciiTheme="minorHAnsi" w:hAnsiTheme="minorHAnsi" w:cstheme="minorHAnsi"/>
                <w:i/>
                <w:sz w:val="20"/>
                <w:szCs w:val="20"/>
              </w:rPr>
              <w:t xml:space="preserve"> – promocyjnych, dotyczących przedmiotowej inwestycji”;</w:t>
            </w:r>
          </w:p>
        </w:tc>
        <w:tc>
          <w:tcPr>
            <w:tcW w:w="3486" w:type="dxa"/>
          </w:tcPr>
          <w:p w14:paraId="0F175859" w14:textId="640C8A89"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lastRenderedPageBreak/>
              <w:t xml:space="preserve">“Beneficjent, realizujący inwestycję współfinansowaną ze środków Funduszu </w:t>
            </w:r>
            <w:r w:rsidRPr="005552B5">
              <w:rPr>
                <w:rStyle w:val="hgkelc"/>
                <w:rFonts w:asciiTheme="minorHAnsi" w:hAnsiTheme="minorHAnsi" w:cstheme="minorHAnsi"/>
                <w:i/>
                <w:sz w:val="20"/>
                <w:szCs w:val="20"/>
              </w:rPr>
              <w:lastRenderedPageBreak/>
              <w:t xml:space="preserve">Modernizacyjnego, ma obowiązek prowadzenia działań </w:t>
            </w:r>
            <w:proofErr w:type="spellStart"/>
            <w:r w:rsidRPr="005552B5">
              <w:rPr>
                <w:rStyle w:val="hgkelc"/>
                <w:rFonts w:asciiTheme="minorHAnsi" w:hAnsiTheme="minorHAnsi" w:cstheme="minorHAnsi"/>
                <w:i/>
                <w:sz w:val="20"/>
                <w:szCs w:val="20"/>
              </w:rPr>
              <w:t>informacyjno</w:t>
            </w:r>
            <w:proofErr w:type="spellEnd"/>
            <w:r w:rsidRPr="005552B5">
              <w:rPr>
                <w:rStyle w:val="hgkelc"/>
                <w:rFonts w:asciiTheme="minorHAnsi" w:hAnsiTheme="minorHAnsi" w:cstheme="minorHAnsi"/>
                <w:i/>
                <w:sz w:val="20"/>
                <w:szCs w:val="20"/>
              </w:rPr>
              <w:t xml:space="preserve"> – promocyjnych, dotyczących przedmiotowej inwestycji, </w:t>
            </w:r>
            <w:r w:rsidRPr="005552B5">
              <w:rPr>
                <w:rStyle w:val="hgkelc"/>
                <w:rFonts w:asciiTheme="minorHAnsi" w:hAnsiTheme="minorHAnsi" w:cstheme="minorHAnsi"/>
                <w:b/>
                <w:i/>
                <w:sz w:val="20"/>
                <w:szCs w:val="20"/>
              </w:rPr>
              <w:t>zgodnie z…”;</w:t>
            </w:r>
          </w:p>
        </w:tc>
        <w:tc>
          <w:tcPr>
            <w:tcW w:w="3486" w:type="dxa"/>
          </w:tcPr>
          <w:p w14:paraId="696791B2" w14:textId="06D6EF93"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 xml:space="preserve">Z proponowanego zapisu nie wynika jakiego rodzaju obowiązki w zakresie </w:t>
            </w:r>
            <w:r w:rsidRPr="005552B5">
              <w:rPr>
                <w:rStyle w:val="hgkelc"/>
                <w:rFonts w:asciiTheme="minorHAnsi" w:hAnsiTheme="minorHAnsi" w:cstheme="minorHAnsi"/>
                <w:sz w:val="20"/>
                <w:szCs w:val="20"/>
              </w:rPr>
              <w:lastRenderedPageBreak/>
              <w:t xml:space="preserve">działań </w:t>
            </w:r>
            <w:proofErr w:type="spellStart"/>
            <w:r w:rsidRPr="005552B5">
              <w:rPr>
                <w:rStyle w:val="hgkelc"/>
                <w:rFonts w:asciiTheme="minorHAnsi" w:hAnsiTheme="minorHAnsi" w:cstheme="minorHAnsi"/>
                <w:sz w:val="20"/>
                <w:szCs w:val="20"/>
              </w:rPr>
              <w:t>informacyjno</w:t>
            </w:r>
            <w:proofErr w:type="spellEnd"/>
            <w:r w:rsidRPr="005552B5">
              <w:rPr>
                <w:rStyle w:val="hgkelc"/>
                <w:rFonts w:asciiTheme="minorHAnsi" w:hAnsiTheme="minorHAnsi" w:cstheme="minorHAnsi"/>
                <w:sz w:val="20"/>
                <w:szCs w:val="20"/>
              </w:rPr>
              <w:t xml:space="preserve"> </w:t>
            </w:r>
            <w:r w:rsidR="00D951A8"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 xml:space="preserve"> promocyjnych ma prowadzić Beneficjent. </w:t>
            </w:r>
          </w:p>
          <w:p w14:paraId="454D591E" w14:textId="77777777"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sz w:val="20"/>
                <w:szCs w:val="20"/>
              </w:rPr>
              <w:t xml:space="preserve">Wobec powyższego proponujemy uzupełnić zapis i dodać: </w:t>
            </w:r>
            <w:r w:rsidRPr="005552B5">
              <w:rPr>
                <w:rStyle w:val="hgkelc"/>
                <w:rFonts w:asciiTheme="minorHAnsi" w:hAnsiTheme="minorHAnsi" w:cstheme="minorHAnsi"/>
                <w:b/>
                <w:i/>
                <w:sz w:val="20"/>
                <w:szCs w:val="20"/>
              </w:rPr>
              <w:t>“zgodnie z…(</w:t>
            </w:r>
            <w:r w:rsidRPr="005552B5">
              <w:rPr>
                <w:rStyle w:val="hgkelc"/>
                <w:rFonts w:asciiTheme="minorHAnsi" w:hAnsiTheme="minorHAnsi" w:cstheme="minorHAnsi"/>
                <w:i/>
                <w:sz w:val="20"/>
                <w:szCs w:val="20"/>
              </w:rPr>
              <w:t>np. załącznikiem nr…., albo księgą logotypów, etc..).</w:t>
            </w:r>
          </w:p>
          <w:p w14:paraId="4360AC9D"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6ECADF45"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0DA50230"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253" w:type="dxa"/>
          </w:tcPr>
          <w:p w14:paraId="39EAC6EB" w14:textId="0B0863D6"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Uwaga uwzględniona, wykasowano z projektu programu, </w:t>
            </w:r>
            <w:r w:rsidRPr="005552B5">
              <w:rPr>
                <w:rFonts w:asciiTheme="minorHAnsi" w:hAnsiTheme="minorHAnsi" w:cstheme="minorHAnsi"/>
                <w:sz w:val="20"/>
                <w:szCs w:val="20"/>
              </w:rPr>
              <w:lastRenderedPageBreak/>
              <w:t>d</w:t>
            </w:r>
            <w:r w:rsidR="00D951A8" w:rsidRPr="005552B5">
              <w:rPr>
                <w:rFonts w:asciiTheme="minorHAnsi" w:hAnsiTheme="minorHAnsi" w:cstheme="minorHAnsi"/>
                <w:sz w:val="20"/>
                <w:szCs w:val="20"/>
              </w:rPr>
              <w:t>o</w:t>
            </w:r>
            <w:r w:rsidRPr="005552B5">
              <w:rPr>
                <w:rFonts w:asciiTheme="minorHAnsi" w:hAnsiTheme="minorHAnsi" w:cstheme="minorHAnsi"/>
                <w:sz w:val="20"/>
                <w:szCs w:val="20"/>
              </w:rPr>
              <w:t xml:space="preserve">szczegółowienie zapisów promocyjnych znajdzie się w </w:t>
            </w:r>
            <w:proofErr w:type="spellStart"/>
            <w:r w:rsidRPr="005552B5">
              <w:rPr>
                <w:rFonts w:asciiTheme="minorHAnsi" w:hAnsiTheme="minorHAnsi" w:cstheme="minorHAnsi"/>
                <w:sz w:val="20"/>
                <w:szCs w:val="20"/>
              </w:rPr>
              <w:t>UoD</w:t>
            </w:r>
            <w:proofErr w:type="spellEnd"/>
            <w:r w:rsidRPr="005552B5">
              <w:rPr>
                <w:rFonts w:asciiTheme="minorHAnsi" w:hAnsiTheme="minorHAnsi" w:cstheme="minorHAnsi"/>
                <w:sz w:val="20"/>
                <w:szCs w:val="20"/>
              </w:rPr>
              <w:t>.</w:t>
            </w:r>
          </w:p>
          <w:p w14:paraId="0E51933A" w14:textId="77777777" w:rsidR="00A568CA" w:rsidRPr="005552B5" w:rsidRDefault="00A568CA" w:rsidP="00A568CA">
            <w:pPr>
              <w:spacing w:after="0" w:line="240" w:lineRule="auto"/>
              <w:jc w:val="both"/>
              <w:rPr>
                <w:rFonts w:asciiTheme="minorHAnsi" w:hAnsiTheme="minorHAnsi" w:cstheme="minorHAnsi"/>
                <w:sz w:val="20"/>
                <w:szCs w:val="20"/>
              </w:rPr>
            </w:pPr>
          </w:p>
        </w:tc>
      </w:tr>
      <w:tr w:rsidR="00FC32CE" w:rsidRPr="005552B5" w14:paraId="0A331D21" w14:textId="77777777" w:rsidTr="00F301CE">
        <w:tc>
          <w:tcPr>
            <w:tcW w:w="0" w:type="auto"/>
            <w:vAlign w:val="center"/>
          </w:tcPr>
          <w:p w14:paraId="45EA8DA8" w14:textId="749F0B25"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4</w:t>
            </w:r>
            <w:r w:rsidR="005573AD">
              <w:rPr>
                <w:rFonts w:asciiTheme="minorHAnsi" w:hAnsiTheme="minorHAnsi" w:cstheme="minorHAnsi"/>
                <w:sz w:val="20"/>
                <w:szCs w:val="20"/>
              </w:rPr>
              <w:t>1</w:t>
            </w:r>
          </w:p>
        </w:tc>
        <w:tc>
          <w:tcPr>
            <w:tcW w:w="1925" w:type="dxa"/>
          </w:tcPr>
          <w:p w14:paraId="5249468A" w14:textId="33F802AB"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Zrzeszenie Międzynarodowych Przewoźników Drogowych w Polsce</w:t>
            </w:r>
          </w:p>
        </w:tc>
        <w:tc>
          <w:tcPr>
            <w:tcW w:w="2770" w:type="dxa"/>
          </w:tcPr>
          <w:p w14:paraId="6EED404D"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 Budżet</w:t>
            </w:r>
          </w:p>
          <w:p w14:paraId="1EC8BB91"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Budżet na realizację celu programu, na dofinansowanie w formie bezzwrotnej, wynosi</w:t>
            </w:r>
          </w:p>
          <w:p w14:paraId="15D06B3E"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do 2 000 000 tys. zł, przy czym:</w:t>
            </w:r>
          </w:p>
          <w:p w14:paraId="77AEDA86"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co najmniej 80% budżetu przeznaczona będzie na wsparcie budowy i/lub rozbudowy ogólnodostępnych stacji ładowania dla transportu ciężkiego, zlokalizowanych wzdłuż sieci TEN-T;</w:t>
            </w:r>
          </w:p>
          <w:p w14:paraId="6023F42C" w14:textId="0A023EF1"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do 20% budżetu przeznaczona będzie na wsparcie budowy i/lub rozbudowy ogólnodostępnych stacji ładowania dla transportu ciężkiego, zlokalizowanych na obszarze centrum logistycznego lub terminalu intermodalnego.</w:t>
            </w:r>
          </w:p>
        </w:tc>
        <w:tc>
          <w:tcPr>
            <w:tcW w:w="3486" w:type="dxa"/>
          </w:tcPr>
          <w:p w14:paraId="3F808C0A"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 Budżet</w:t>
            </w:r>
          </w:p>
          <w:p w14:paraId="4189267D"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Budżet na realizację celu programu, na dofinansowanie w formie bezzwrotnej, wynosi</w:t>
            </w:r>
          </w:p>
          <w:p w14:paraId="45964E7E"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do 2 000 000 tys. zł, przy czym:</w:t>
            </w:r>
          </w:p>
          <w:p w14:paraId="324E23BF"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co najmniej 80% budżetu przeznaczona będzie na wsparcie budowy i/lub rozbudowy ogólnodostępnych stacji ładowania dla transportu ciężkiego, zlokalizowanych wzdłuż sieci TEN-T;</w:t>
            </w:r>
          </w:p>
          <w:p w14:paraId="5E5B263B" w14:textId="7ABE2668"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do 20% budżetu przeznaczona będzie na wsparcie budowy i/lub rozbudowy ogólnodostępnych stacji ładowania dla transportu ciężkiego, zlokalizowanych na obszarze centrum logistycznego lub terminalu intermodalnego lub bazy eksploatacyjnej</w:t>
            </w:r>
            <w:r w:rsidRPr="005552B5">
              <w:rPr>
                <w:rStyle w:val="hgkelc"/>
                <w:rFonts w:asciiTheme="minorHAnsi" w:hAnsiTheme="minorHAnsi" w:cstheme="minorHAnsi"/>
                <w:sz w:val="20"/>
                <w:szCs w:val="20"/>
                <w:vertAlign w:val="superscript"/>
              </w:rPr>
              <w:t>1</w:t>
            </w:r>
            <w:r w:rsidRPr="005552B5">
              <w:rPr>
                <w:rStyle w:val="hgkelc"/>
                <w:rFonts w:asciiTheme="minorHAnsi" w:hAnsiTheme="minorHAnsi" w:cstheme="minorHAnsi"/>
                <w:sz w:val="20"/>
                <w:szCs w:val="20"/>
              </w:rPr>
              <w:t>.</w:t>
            </w:r>
          </w:p>
        </w:tc>
        <w:tc>
          <w:tcPr>
            <w:tcW w:w="3486" w:type="dxa"/>
          </w:tcPr>
          <w:p w14:paraId="062F3A80" w14:textId="2F3A2BD1"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Zdefiniowanie lokalizacji dofinansowanych projektów budowy stacji ładowania do obszaru centrum logistycznego lub terminalu intermodalnego będzie stawiło istotną barierę dla przewoźników drogowych, którzy byliby zainteresowani taką inwestycją. Proponujemy rozszerzenie określonych obszarów o co najmniej ,,bazy transportowe” zgodnie z definicją ustawy o transporcie drogowym (Dz.U. 2022 poz. 2201) z art. 4 pkt. 21a.</w:t>
            </w:r>
          </w:p>
          <w:p w14:paraId="65AFAC1E"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5CE3E55D"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vertAlign w:val="superscript"/>
              </w:rPr>
              <w:t>1</w:t>
            </w:r>
            <w:r w:rsidRPr="005552B5">
              <w:rPr>
                <w:rStyle w:val="hgkelc"/>
                <w:rFonts w:asciiTheme="minorHAnsi" w:hAnsiTheme="minorHAnsi" w:cstheme="minorHAnsi"/>
                <w:sz w:val="20"/>
                <w:szCs w:val="20"/>
              </w:rPr>
              <w:t>„21a) baza eksploatacyjna – miejsce będące w dyspozycji przedsiębiorcy, przystosowane do prowadzenia działalności transportowej w sposób zorganizowany i ciągły, w skład którego wchodzi co najmniej jeden z następujących elementów: miejsce postojowe dla pojazdów wykorzystywanych w transporcie drogowym, miejsce załadunku, rozładunku lub</w:t>
            </w:r>
          </w:p>
          <w:p w14:paraId="69D69500" w14:textId="635FD365"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łączenia ładunków, miejsce konserwacji lub naprawy pojazdów; przez bazę eksploatacyjną …</w:t>
            </w:r>
          </w:p>
        </w:tc>
        <w:tc>
          <w:tcPr>
            <w:tcW w:w="3253" w:type="dxa"/>
          </w:tcPr>
          <w:p w14:paraId="681F0C98" w14:textId="061EA021"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uwzględniona – rozszerzono o bazy eksploatacyjne.</w:t>
            </w:r>
          </w:p>
        </w:tc>
      </w:tr>
      <w:tr w:rsidR="00FC32CE" w:rsidRPr="005552B5" w14:paraId="58EBABB9" w14:textId="77777777" w:rsidTr="00F301CE">
        <w:tc>
          <w:tcPr>
            <w:tcW w:w="0" w:type="auto"/>
            <w:vAlign w:val="center"/>
          </w:tcPr>
          <w:p w14:paraId="65F142C5" w14:textId="278D0365"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4</w:t>
            </w:r>
            <w:r w:rsidR="005573AD">
              <w:rPr>
                <w:rFonts w:asciiTheme="minorHAnsi" w:hAnsiTheme="minorHAnsi" w:cstheme="minorHAnsi"/>
                <w:sz w:val="20"/>
                <w:szCs w:val="20"/>
              </w:rPr>
              <w:t>2</w:t>
            </w:r>
          </w:p>
        </w:tc>
        <w:tc>
          <w:tcPr>
            <w:tcW w:w="1925" w:type="dxa"/>
          </w:tcPr>
          <w:p w14:paraId="739B59DA" w14:textId="6D182F48"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Zrzeszenie Międzynarodowych Przewoźników Drogowych w Polsce</w:t>
            </w:r>
          </w:p>
        </w:tc>
        <w:tc>
          <w:tcPr>
            <w:tcW w:w="2770" w:type="dxa"/>
          </w:tcPr>
          <w:p w14:paraId="7E93B8E6"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7.5 Rodzaje inwestycji</w:t>
            </w:r>
          </w:p>
          <w:p w14:paraId="04295E13"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Inwestycje polegające na:</w:t>
            </w:r>
          </w:p>
          <w:p w14:paraId="420A9E99"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1) budowie ogólnodostępnej stacji ładowania prądem stałym posiadającej co najmniej:</w:t>
            </w:r>
          </w:p>
          <w:p w14:paraId="78D36D8D"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dwa punkty ładowania o indywidualnej mocy wyjściowej wynoszącej co najmniej 350 kW – dla inwestycji realizowanych wzdłuż drogowej sieci bazowej TEN-T,</w:t>
            </w:r>
          </w:p>
          <w:p w14:paraId="683B54D7"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jeden punkt ładowania o indywidualnej mocy wyjściowej wynoszącej co najmniej 350 kW – dla inwestycji realizowanych na terenie centrum logistycznego (DEPOT) lub terminala intermodalnego; </w:t>
            </w:r>
          </w:p>
          <w:p w14:paraId="29D2FBAE" w14:textId="6D8A9718"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486" w:type="dxa"/>
          </w:tcPr>
          <w:p w14:paraId="76CE6448"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7.5 Rodzaje inwestycji</w:t>
            </w:r>
          </w:p>
          <w:p w14:paraId="66EA23D4"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Inwestycje polegające na:</w:t>
            </w:r>
          </w:p>
          <w:p w14:paraId="3F6D57A7"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1) budowie ogólnodostępnej stacji ładowania prądem stałym posiadającej co najmniej:</w:t>
            </w:r>
          </w:p>
          <w:p w14:paraId="66C0DCA1"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dwa punkty ładowania o indywidualnej mocy wyjściowej wynoszącej co najmniej 350 kW –dla inwestycji realizowanych wzdłuż drogowej sieci bazowej TEN-T,</w:t>
            </w:r>
          </w:p>
          <w:p w14:paraId="1E0E02E0" w14:textId="0FDD0666"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jeden punkt ładowania o indywidualnej mocy wyjściowej wynoszącej co najmniej 150kW dla początkowego okresu trwania programu i 350 kW – dla inwestycji realizowanych na terenie centrum logistycznego (DEPOT) lub terminala intermodalnego lub bazy transportowej;</w:t>
            </w:r>
          </w:p>
        </w:tc>
        <w:tc>
          <w:tcPr>
            <w:tcW w:w="3486" w:type="dxa"/>
          </w:tcPr>
          <w:p w14:paraId="1A911BDA" w14:textId="287E3956"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 xml:space="preserve">Ze względu na ograniczenia stawiane przez dostawców infrastruktury i energii łatwiej będzie umiejscowić i wydać pozwolenie na warunki przyłączenia dla </w:t>
            </w:r>
            <w:r w:rsidRPr="005552B5">
              <w:rPr>
                <w:rStyle w:val="hgkelc"/>
                <w:rFonts w:asciiTheme="minorHAnsi" w:hAnsiTheme="minorHAnsi" w:cstheme="minorHAnsi"/>
                <w:sz w:val="20"/>
                <w:szCs w:val="20"/>
              </w:rPr>
              <w:lastRenderedPageBreak/>
              <w:t>stacji ładowania do poboru 150kW niż 350kW. W ten sposób inwestorzy będą mogli w początkowym etapie oddać do użytku stacje, o mniejszej mocy, ale za to w potencjalnie większej liczbie lokalizacji. Docelowo w programie dofinansowania powinny być określone moce pojedynczego punktu ładowania na wielokrotności 350 kW i więcej.</w:t>
            </w:r>
          </w:p>
        </w:tc>
        <w:tc>
          <w:tcPr>
            <w:tcW w:w="3253" w:type="dxa"/>
          </w:tcPr>
          <w:p w14:paraId="7D10F872" w14:textId="77777777"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Uwaga nie została uwzględniona</w:t>
            </w:r>
          </w:p>
          <w:p w14:paraId="0F181784" w14:textId="77777777" w:rsidR="00A568CA" w:rsidRPr="005552B5" w:rsidRDefault="00A568CA" w:rsidP="00A568CA">
            <w:pPr>
              <w:spacing w:after="0" w:line="240" w:lineRule="auto"/>
              <w:jc w:val="both"/>
              <w:rPr>
                <w:rFonts w:asciiTheme="minorHAnsi" w:hAnsiTheme="minorHAnsi" w:cstheme="minorHAnsi"/>
                <w:sz w:val="20"/>
                <w:szCs w:val="20"/>
              </w:rPr>
            </w:pPr>
          </w:p>
          <w:p w14:paraId="4BE630D1" w14:textId="0EEE9A70"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Program dedykowany stacjom ładowania prądem stałym o mocy nie </w:t>
            </w:r>
            <w:r w:rsidRPr="005552B5">
              <w:rPr>
                <w:rFonts w:asciiTheme="minorHAnsi" w:hAnsiTheme="minorHAnsi" w:cstheme="minorHAnsi"/>
                <w:sz w:val="20"/>
                <w:szCs w:val="20"/>
              </w:rPr>
              <w:lastRenderedPageBreak/>
              <w:t>mniejszej niż 350 kW, więc nie będziemy w kryteriach uwzględniać punktów ładowania o mniejszej mocy niż w programie.</w:t>
            </w:r>
          </w:p>
        </w:tc>
      </w:tr>
      <w:tr w:rsidR="00FC32CE" w:rsidRPr="005552B5" w14:paraId="1460511C" w14:textId="77777777" w:rsidTr="00F301CE">
        <w:tc>
          <w:tcPr>
            <w:tcW w:w="0" w:type="auto"/>
            <w:vAlign w:val="center"/>
          </w:tcPr>
          <w:p w14:paraId="6427C454" w14:textId="0F1E8C99"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4</w:t>
            </w:r>
            <w:r w:rsidR="005573AD">
              <w:rPr>
                <w:rFonts w:asciiTheme="minorHAnsi" w:hAnsiTheme="minorHAnsi" w:cstheme="minorHAnsi"/>
                <w:sz w:val="20"/>
                <w:szCs w:val="20"/>
              </w:rPr>
              <w:t>3</w:t>
            </w:r>
          </w:p>
        </w:tc>
        <w:tc>
          <w:tcPr>
            <w:tcW w:w="1925" w:type="dxa"/>
          </w:tcPr>
          <w:p w14:paraId="64A3A879" w14:textId="71536219"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Generalna Dyrekcja Dróg Krajowych i Autostrad</w:t>
            </w:r>
          </w:p>
        </w:tc>
        <w:tc>
          <w:tcPr>
            <w:tcW w:w="2770" w:type="dxa"/>
          </w:tcPr>
          <w:p w14:paraId="25704721"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Koszty kwalifikowane </w:t>
            </w:r>
          </w:p>
          <w:p w14:paraId="7583219D" w14:textId="5F6572DC"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pkt. 2 </w:t>
            </w:r>
            <w:proofErr w:type="spellStart"/>
            <w:r w:rsidRPr="005552B5">
              <w:rPr>
                <w:rStyle w:val="hgkelc"/>
                <w:rFonts w:asciiTheme="minorHAnsi" w:hAnsiTheme="minorHAnsi" w:cstheme="minorHAnsi"/>
                <w:sz w:val="20"/>
                <w:szCs w:val="20"/>
              </w:rPr>
              <w:t>tiret</w:t>
            </w:r>
            <w:proofErr w:type="spellEnd"/>
            <w:r w:rsidRPr="005552B5">
              <w:rPr>
                <w:rStyle w:val="hgkelc"/>
                <w:rFonts w:asciiTheme="minorHAnsi" w:hAnsiTheme="minorHAnsi" w:cstheme="minorHAnsi"/>
                <w:sz w:val="20"/>
                <w:szCs w:val="20"/>
              </w:rPr>
              <w:t xml:space="preserve"> 4: koszt instalacji przyłączeniowej</w:t>
            </w:r>
          </w:p>
        </w:tc>
        <w:tc>
          <w:tcPr>
            <w:tcW w:w="3486" w:type="dxa"/>
          </w:tcPr>
          <w:p w14:paraId="42AD874F" w14:textId="47982CC1"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Należy doprecyzować co należy rozumieć przez pojęcie koszt instalacji przyłączeniowej</w:t>
            </w:r>
          </w:p>
        </w:tc>
        <w:tc>
          <w:tcPr>
            <w:tcW w:w="3486" w:type="dxa"/>
          </w:tcPr>
          <w:p w14:paraId="61631100"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Zapis jest zbyt ogólny, należy wskazać, czy koszty dotyczą wybudowania przyłącza elektroenergetycznego, stacji transformatorowej oraz kosztów związanych </w:t>
            </w:r>
          </w:p>
          <w:p w14:paraId="162CC488" w14:textId="30900ABD"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z przeprowadzeniem przyłącza po gruntach prywatnych.</w:t>
            </w:r>
          </w:p>
        </w:tc>
        <w:tc>
          <w:tcPr>
            <w:tcW w:w="3253" w:type="dxa"/>
          </w:tcPr>
          <w:p w14:paraId="3EE49734" w14:textId="77777777" w:rsidR="00A568CA" w:rsidRPr="005552B5" w:rsidRDefault="00A568CA" w:rsidP="00A568CA">
            <w:pPr>
              <w:spacing w:after="0" w:line="240" w:lineRule="auto"/>
              <w:jc w:val="both"/>
              <w:rPr>
                <w:rFonts w:asciiTheme="minorHAnsi" w:hAnsiTheme="minorHAnsi" w:cstheme="minorHAnsi"/>
                <w:sz w:val="20"/>
                <w:szCs w:val="20"/>
              </w:rPr>
            </w:pPr>
          </w:p>
          <w:p w14:paraId="4E7C5F49" w14:textId="4F40E9DC" w:rsidR="0055092F" w:rsidRPr="005552B5" w:rsidRDefault="0055092F"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Zostanie doprecyzowane</w:t>
            </w:r>
            <w:r w:rsidR="00170BCF">
              <w:rPr>
                <w:rFonts w:asciiTheme="minorHAnsi" w:hAnsiTheme="minorHAnsi" w:cstheme="minorHAnsi"/>
                <w:sz w:val="20"/>
                <w:szCs w:val="20"/>
              </w:rPr>
              <w:t xml:space="preserve"> na dalszych etapach prac - nad dokumentacją </w:t>
            </w:r>
            <w:proofErr w:type="spellStart"/>
            <w:r w:rsidR="00170BCF">
              <w:rPr>
                <w:rFonts w:asciiTheme="minorHAnsi" w:hAnsiTheme="minorHAnsi" w:cstheme="minorHAnsi"/>
                <w:sz w:val="20"/>
                <w:szCs w:val="20"/>
              </w:rPr>
              <w:t>naborową</w:t>
            </w:r>
            <w:proofErr w:type="spellEnd"/>
            <w:r w:rsidR="00170BCF">
              <w:rPr>
                <w:rFonts w:asciiTheme="minorHAnsi" w:hAnsiTheme="minorHAnsi" w:cstheme="minorHAnsi"/>
                <w:sz w:val="20"/>
                <w:szCs w:val="20"/>
              </w:rPr>
              <w:t>.</w:t>
            </w:r>
          </w:p>
        </w:tc>
      </w:tr>
      <w:tr w:rsidR="00FC32CE" w:rsidRPr="005552B5" w14:paraId="575E5083" w14:textId="77777777" w:rsidTr="00F301CE">
        <w:tc>
          <w:tcPr>
            <w:tcW w:w="0" w:type="auto"/>
            <w:vAlign w:val="center"/>
          </w:tcPr>
          <w:p w14:paraId="4E144DA0" w14:textId="07825CC4"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4</w:t>
            </w:r>
            <w:r w:rsidR="005573AD">
              <w:rPr>
                <w:rFonts w:asciiTheme="minorHAnsi" w:hAnsiTheme="minorHAnsi" w:cstheme="minorHAnsi"/>
                <w:sz w:val="20"/>
                <w:szCs w:val="20"/>
              </w:rPr>
              <w:t>4</w:t>
            </w:r>
          </w:p>
        </w:tc>
        <w:tc>
          <w:tcPr>
            <w:tcW w:w="1925" w:type="dxa"/>
          </w:tcPr>
          <w:p w14:paraId="7BF2E4A3" w14:textId="77EC264F"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Generalna Dyrekcja Dróg Krajowych i Autostrad</w:t>
            </w:r>
          </w:p>
        </w:tc>
        <w:tc>
          <w:tcPr>
            <w:tcW w:w="2770" w:type="dxa"/>
          </w:tcPr>
          <w:p w14:paraId="303A4889" w14:textId="62D545B2"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Koszty kwalifikowane</w:t>
            </w:r>
          </w:p>
        </w:tc>
        <w:tc>
          <w:tcPr>
            <w:tcW w:w="3486" w:type="dxa"/>
          </w:tcPr>
          <w:p w14:paraId="46FD8B68" w14:textId="2E009C60"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Dostosowanie terenu pod budowę stacji ładowania i dedykowane temu miejsca postojowe</w:t>
            </w:r>
          </w:p>
        </w:tc>
        <w:tc>
          <w:tcPr>
            <w:tcW w:w="3486" w:type="dxa"/>
          </w:tcPr>
          <w:p w14:paraId="371809FE"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ocenie GDDKiA należy uwzględnić w kosztach kwalifikowanych koszty związane </w:t>
            </w:r>
          </w:p>
          <w:p w14:paraId="30442BBE"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z budową i dostosowaniem terenu.</w:t>
            </w:r>
          </w:p>
          <w:p w14:paraId="07D9F43E" w14:textId="424EE30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Wskazać należy, że MOP na której mają zostać wybudowane stacje ładowania są małej powierzchni, a tereny, na których mogą być wybudowane stacje ładowania są terenami zielonymi które należy zaadoptować i wybudować dedykowane miejsca postojowe do przedmiotowej infrastruktury.</w:t>
            </w:r>
          </w:p>
        </w:tc>
        <w:tc>
          <w:tcPr>
            <w:tcW w:w="3253" w:type="dxa"/>
          </w:tcPr>
          <w:p w14:paraId="6DF023C7" w14:textId="77777777"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30997C3C" w14:textId="77777777" w:rsidR="00A568CA" w:rsidRPr="005552B5" w:rsidRDefault="00A568CA" w:rsidP="00A568CA">
            <w:pPr>
              <w:spacing w:after="0" w:line="240" w:lineRule="auto"/>
              <w:jc w:val="both"/>
              <w:rPr>
                <w:rFonts w:asciiTheme="minorHAnsi" w:hAnsiTheme="minorHAnsi" w:cstheme="minorHAnsi"/>
                <w:sz w:val="20"/>
                <w:szCs w:val="20"/>
              </w:rPr>
            </w:pPr>
          </w:p>
          <w:p w14:paraId="0B3FD5DA" w14:textId="77777777" w:rsidR="00A568CA" w:rsidRPr="005552B5" w:rsidRDefault="00A568CA" w:rsidP="00A568CA">
            <w:pPr>
              <w:spacing w:after="0" w:line="240" w:lineRule="auto"/>
              <w:jc w:val="both"/>
              <w:rPr>
                <w:rFonts w:asciiTheme="minorHAnsi" w:hAnsiTheme="minorHAnsi" w:cstheme="minorHAnsi"/>
                <w:sz w:val="20"/>
                <w:szCs w:val="20"/>
              </w:rPr>
            </w:pPr>
          </w:p>
          <w:p w14:paraId="4F7BB1BC" w14:textId="505233E3"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 przyszłości rozważymy  ewentualne rozszerzenie zakresu programu priorytetowego.</w:t>
            </w:r>
          </w:p>
        </w:tc>
      </w:tr>
      <w:tr w:rsidR="00FC32CE" w:rsidRPr="005552B5" w14:paraId="09B027F9" w14:textId="77777777" w:rsidTr="00F301CE">
        <w:tc>
          <w:tcPr>
            <w:tcW w:w="0" w:type="auto"/>
            <w:vAlign w:val="center"/>
          </w:tcPr>
          <w:p w14:paraId="58439BE9" w14:textId="6D191760"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4</w:t>
            </w:r>
            <w:r w:rsidR="005573AD">
              <w:rPr>
                <w:rFonts w:asciiTheme="minorHAnsi" w:hAnsiTheme="minorHAnsi" w:cstheme="minorHAnsi"/>
                <w:sz w:val="20"/>
                <w:szCs w:val="20"/>
              </w:rPr>
              <w:t>5</w:t>
            </w:r>
          </w:p>
        </w:tc>
        <w:tc>
          <w:tcPr>
            <w:tcW w:w="1925" w:type="dxa"/>
          </w:tcPr>
          <w:p w14:paraId="34C1302F" w14:textId="16E3DEBF"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Generalna Dyrekcja Dróg Krajowych i Autostrad</w:t>
            </w:r>
          </w:p>
        </w:tc>
        <w:tc>
          <w:tcPr>
            <w:tcW w:w="2770" w:type="dxa"/>
          </w:tcPr>
          <w:p w14:paraId="72623C2F" w14:textId="7C014416"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Cel programu</w:t>
            </w:r>
          </w:p>
        </w:tc>
        <w:tc>
          <w:tcPr>
            <w:tcW w:w="3486" w:type="dxa"/>
          </w:tcPr>
          <w:p w14:paraId="3DABD15C" w14:textId="52FE7F94"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Należy rozważyć rozszerzenie projektu o sieć kompleksową</w:t>
            </w:r>
          </w:p>
        </w:tc>
        <w:tc>
          <w:tcPr>
            <w:tcW w:w="3486" w:type="dxa"/>
          </w:tcPr>
          <w:p w14:paraId="038B7AB0" w14:textId="035FDBCA"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Z uwagi na wymagania AFIR które dotyczą również sieci kompleksowej w zakresie budowy stacji ładowania, </w:t>
            </w:r>
            <w:r w:rsidRPr="005552B5">
              <w:rPr>
                <w:rStyle w:val="hgkelc"/>
                <w:rFonts w:asciiTheme="minorHAnsi" w:hAnsiTheme="minorHAnsi" w:cstheme="minorHAnsi"/>
                <w:sz w:val="20"/>
                <w:szCs w:val="20"/>
              </w:rPr>
              <w:lastRenderedPageBreak/>
              <w:t>zasadnym jest rozszerzenie programu o przedmiotową sieć.</w:t>
            </w:r>
          </w:p>
        </w:tc>
        <w:tc>
          <w:tcPr>
            <w:tcW w:w="3253" w:type="dxa"/>
          </w:tcPr>
          <w:p w14:paraId="18EE5143" w14:textId="37E464EF"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Uwaga nie została uwzględniona</w:t>
            </w:r>
            <w:r w:rsidR="0055092F" w:rsidRPr="005552B5">
              <w:rPr>
                <w:rFonts w:asciiTheme="minorHAnsi" w:hAnsiTheme="minorHAnsi" w:cstheme="minorHAnsi"/>
                <w:sz w:val="20"/>
                <w:szCs w:val="20"/>
              </w:rPr>
              <w:t xml:space="preserve">. </w:t>
            </w:r>
            <w:r w:rsidR="00D951A8" w:rsidRPr="005552B5">
              <w:rPr>
                <w:rFonts w:asciiTheme="minorHAnsi" w:hAnsiTheme="minorHAnsi" w:cstheme="minorHAnsi"/>
                <w:sz w:val="20"/>
                <w:szCs w:val="20"/>
              </w:rPr>
              <w:t xml:space="preserve">Program dedykowany wsparciu rozwoju stacji ładowania przy trasach sieci bazowej TEN-T , centrach </w:t>
            </w:r>
            <w:r w:rsidR="00D951A8" w:rsidRPr="005552B5">
              <w:rPr>
                <w:rFonts w:asciiTheme="minorHAnsi" w:hAnsiTheme="minorHAnsi" w:cstheme="minorHAnsi"/>
                <w:sz w:val="20"/>
                <w:szCs w:val="20"/>
              </w:rPr>
              <w:lastRenderedPageBreak/>
              <w:t>logistycznych, terminalach intermodalnych oraz bazach eksploatacyjnych (dodano bazy eksploatacyjne  po konsultacjach społ.). Priorytetowe traktowanie sieci bazowej TEN-T wynika z obowiązków wynikających z rozporządzenia AFIR. W przyszłości rozważymy, w przypadku dostępności środków, ewentualne  dalsze rozszerzenie zakresu programu priorytetowego.</w:t>
            </w:r>
          </w:p>
        </w:tc>
      </w:tr>
      <w:tr w:rsidR="00FC32CE" w:rsidRPr="005552B5" w14:paraId="3FC68479" w14:textId="77777777" w:rsidTr="00F301CE">
        <w:tc>
          <w:tcPr>
            <w:tcW w:w="0" w:type="auto"/>
            <w:vAlign w:val="center"/>
          </w:tcPr>
          <w:p w14:paraId="45FA2A83" w14:textId="638EF9EC" w:rsidR="00A568CA" w:rsidRPr="005552B5" w:rsidRDefault="005573AD" w:rsidP="00A568CA">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46</w:t>
            </w:r>
          </w:p>
        </w:tc>
        <w:tc>
          <w:tcPr>
            <w:tcW w:w="1925" w:type="dxa"/>
          </w:tcPr>
          <w:p w14:paraId="293DC021" w14:textId="402A03F1"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Generalna Dyrekcja Dróg Krajowych i Autostrad</w:t>
            </w:r>
          </w:p>
        </w:tc>
        <w:tc>
          <w:tcPr>
            <w:tcW w:w="2770" w:type="dxa"/>
          </w:tcPr>
          <w:p w14:paraId="410071FA" w14:textId="1AF3D50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Kryteria jakościowe punktowe lp.3 efektywność rzeczowa inwestycji</w:t>
            </w:r>
          </w:p>
        </w:tc>
        <w:tc>
          <w:tcPr>
            <w:tcW w:w="3486" w:type="dxa"/>
          </w:tcPr>
          <w:p w14:paraId="4921624E" w14:textId="039A5B78"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Należy zmienić sposób przyznawania punktów, tj. nie liczone od ilości punktów ładowania tylko mocy stacji, która będzie spełniała wymagania AFIR</w:t>
            </w:r>
          </w:p>
        </w:tc>
        <w:tc>
          <w:tcPr>
            <w:tcW w:w="3486" w:type="dxa"/>
          </w:tcPr>
          <w:p w14:paraId="20C5260D" w14:textId="369A6D14"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 ocenie GDDKiA MOP-y posiadają ograniczoną powierzchnię. W związku z czym uzależnienie dofinansowania od ilości punktów (1 punkt równia się jedno miejsce postojowe zgodnie z wymaganiami AFIR), może skutkować tym, że przedmiotowe lokalizacje z uwagi na powierzchnię i brak możliwości wybudowania dużej liczby punktów z góry zostaną zakwalifikowane jako mniej atrakcyjne, przez co dostaną mniejszą ilość punktów. Z uwagi na to, że AFIR nie przewiduje, ile dokładnie ma być punktów ładowania na danej stacji w ocenie GDDKiA punktację należy uzależnić od mocy stacji (w tym minimalnej liczny punktów zgodnie z AFIR).</w:t>
            </w:r>
          </w:p>
        </w:tc>
        <w:tc>
          <w:tcPr>
            <w:tcW w:w="3253" w:type="dxa"/>
          </w:tcPr>
          <w:p w14:paraId="465180C9" w14:textId="633F953D" w:rsidR="00A568CA" w:rsidRPr="005552B5" w:rsidRDefault="00FC32CE"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 Punktowana będzie również liczba punktów ładowania o określonej mocy wyjściowej.</w:t>
            </w:r>
          </w:p>
        </w:tc>
      </w:tr>
      <w:tr w:rsidR="00FC32CE" w:rsidRPr="005552B5" w14:paraId="7101AE88" w14:textId="77777777" w:rsidTr="00F301CE">
        <w:tc>
          <w:tcPr>
            <w:tcW w:w="0" w:type="auto"/>
            <w:vAlign w:val="center"/>
          </w:tcPr>
          <w:p w14:paraId="3DD4ED8C" w14:textId="5BCE27C2" w:rsidR="00A568CA" w:rsidRPr="005552B5" w:rsidRDefault="005573AD" w:rsidP="00A568CA">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47</w:t>
            </w:r>
          </w:p>
        </w:tc>
        <w:tc>
          <w:tcPr>
            <w:tcW w:w="1925" w:type="dxa"/>
          </w:tcPr>
          <w:p w14:paraId="2CA9FAAA" w14:textId="02AB6362"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Generalna Dyrekcja Dróg Krajowych i Autostrad</w:t>
            </w:r>
          </w:p>
        </w:tc>
        <w:tc>
          <w:tcPr>
            <w:tcW w:w="2770" w:type="dxa"/>
          </w:tcPr>
          <w:p w14:paraId="10020754" w14:textId="4392D142"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Warunki dofinansowania pkt 9)</w:t>
            </w:r>
          </w:p>
        </w:tc>
        <w:tc>
          <w:tcPr>
            <w:tcW w:w="3486" w:type="dxa"/>
          </w:tcPr>
          <w:p w14:paraId="38DFE481" w14:textId="6566726E"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Należy zmodyfikować wymaganie w zakresie w udzielenia dofinansowania, tj., że „dofinansowanie nie może być udzielone na inwestycje, w których rozpoczęcie prac nastąpiło przed dniem złożenia wniosku o dofinansowanie. Przez rozpoczęcie prac należy rozumieć podjęcie robót budowlanych[1]”  pozostałą część, tj. „lub zaciągnięcie pierwszego prawnie wiążącego zobowiązania do zamówienia urządzeń </w:t>
            </w:r>
            <w:r w:rsidRPr="005552B5">
              <w:rPr>
                <w:rStyle w:val="hgkelc"/>
                <w:rFonts w:asciiTheme="minorHAnsi" w:hAnsiTheme="minorHAnsi" w:cstheme="minorHAnsi"/>
                <w:sz w:val="20"/>
                <w:szCs w:val="20"/>
              </w:rPr>
              <w:lastRenderedPageBreak/>
              <w:t>lub jakiegokolwiek zobowiązania, które czynić będzie realizację inwestycji nieodwracalną”, należy usunąć.</w:t>
            </w:r>
          </w:p>
        </w:tc>
        <w:tc>
          <w:tcPr>
            <w:tcW w:w="3486" w:type="dxa"/>
          </w:tcPr>
          <w:p w14:paraId="558A4DA5" w14:textId="77777777" w:rsidR="00A568CA" w:rsidRPr="005552B5" w:rsidRDefault="00A568CA" w:rsidP="00A568CA">
            <w:pPr>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 xml:space="preserve">W ocenie GDDKiA zapis o tym, iż udzielenie dofinansowania nie może być udzielone na zaciągnięte pierwsze prawnie wiążące zobowiązania, może negatywnie wpłynąć na wyniki obecnie realizowanego postępowania przez GDDKiA w zakresie dzierżawy części MOP, na których zgodnie z mapą </w:t>
            </w:r>
            <w:proofErr w:type="spellStart"/>
            <w:r w:rsidRPr="005552B5">
              <w:rPr>
                <w:rStyle w:val="hgkelc"/>
                <w:rFonts w:asciiTheme="minorHAnsi" w:hAnsiTheme="minorHAnsi" w:cstheme="minorHAnsi"/>
                <w:sz w:val="20"/>
                <w:szCs w:val="20"/>
              </w:rPr>
              <w:t>MKiŚ</w:t>
            </w:r>
            <w:proofErr w:type="spellEnd"/>
            <w:r w:rsidRPr="005552B5">
              <w:rPr>
                <w:rStyle w:val="hgkelc"/>
                <w:rFonts w:asciiTheme="minorHAnsi" w:hAnsiTheme="minorHAnsi" w:cstheme="minorHAnsi"/>
                <w:sz w:val="20"/>
                <w:szCs w:val="20"/>
              </w:rPr>
              <w:t xml:space="preserve"> mają powstać stacje ładowania dla </w:t>
            </w:r>
            <w:r w:rsidRPr="005552B5">
              <w:rPr>
                <w:rStyle w:val="hgkelc"/>
                <w:rFonts w:asciiTheme="minorHAnsi" w:hAnsiTheme="minorHAnsi" w:cstheme="minorHAnsi"/>
                <w:sz w:val="20"/>
                <w:szCs w:val="20"/>
              </w:rPr>
              <w:lastRenderedPageBreak/>
              <w:t xml:space="preserve">pojazdów osobowych i ciężarowych. Podkreślić należy, że budowa infrastruktury ładowania dla pojazdów ciężarowych wymaga znacznych nakładów finansowych, w związku z tym pozostawienie zapisu o tym, iż dany podmiot nie może mieć zawartych prawnie wiążących zobowiązań (przez co należy rozumieć np. złożenie oferty przetargowej), może spowodować, że do GDDKiA nie zostanie złożona żadna oferta w obecnie trwającym postępowaniu przetargowym i finalnie skutkować problem z zapewnieniem infrastruktury w terminach i o mocach określonych w AFIR. </w:t>
            </w:r>
          </w:p>
          <w:p w14:paraId="004DEB2E"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253" w:type="dxa"/>
          </w:tcPr>
          <w:p w14:paraId="263C155A" w14:textId="77777777" w:rsidR="00D951A8" w:rsidRPr="005552B5" w:rsidRDefault="00FC32CE"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Uwaga nie została uwzględniona – </w:t>
            </w:r>
          </w:p>
          <w:p w14:paraId="665699DC" w14:textId="4EB3C5BF" w:rsidR="00D951A8" w:rsidRPr="005552B5" w:rsidRDefault="00D951A8"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Kwestia rozpoczęcia inwestycji wynika z rozporządzenie GBER</w:t>
            </w:r>
            <w:r w:rsidR="00170BCF">
              <w:rPr>
                <w:rFonts w:asciiTheme="minorHAnsi" w:hAnsiTheme="minorHAnsi" w:cstheme="minorHAnsi"/>
                <w:sz w:val="20"/>
                <w:szCs w:val="20"/>
              </w:rPr>
              <w:t xml:space="preserve"> -  </w:t>
            </w:r>
            <w:r w:rsidR="00170BCF" w:rsidRPr="00170BCF">
              <w:rPr>
                <w:rFonts w:asciiTheme="minorHAnsi" w:hAnsiTheme="minorHAnsi" w:cstheme="minorHAnsi"/>
                <w:sz w:val="20"/>
                <w:szCs w:val="20"/>
              </w:rPr>
              <w:t>Rozporządzenie Komisji (UE) nr 651/2014 z dnia 17 czerwca 2014 r. uznające niektóre rodzaje pomocy za zgodne z rynkiem wewnętrznym w zastosowaniu art. 107 i 108 Traktatu</w:t>
            </w:r>
            <w:r w:rsidRPr="005552B5">
              <w:rPr>
                <w:rFonts w:asciiTheme="minorHAnsi" w:hAnsiTheme="minorHAnsi" w:cstheme="minorHAnsi"/>
                <w:sz w:val="20"/>
                <w:szCs w:val="20"/>
              </w:rPr>
              <w:t xml:space="preserve">. </w:t>
            </w:r>
          </w:p>
          <w:p w14:paraId="0B3682BC" w14:textId="77777777" w:rsidR="00D951A8" w:rsidRPr="005552B5" w:rsidRDefault="00D951A8" w:rsidP="00A568CA">
            <w:pPr>
              <w:spacing w:after="0" w:line="240" w:lineRule="auto"/>
              <w:jc w:val="both"/>
              <w:rPr>
                <w:rFonts w:asciiTheme="minorHAnsi" w:hAnsiTheme="minorHAnsi" w:cstheme="minorHAnsi"/>
                <w:sz w:val="20"/>
                <w:szCs w:val="20"/>
              </w:rPr>
            </w:pPr>
          </w:p>
          <w:p w14:paraId="4843EDAC" w14:textId="31F1E69B" w:rsidR="00A568CA" w:rsidRPr="005552B5" w:rsidRDefault="00A568CA" w:rsidP="00D951A8">
            <w:pPr>
              <w:spacing w:after="0" w:line="240" w:lineRule="auto"/>
              <w:jc w:val="both"/>
              <w:rPr>
                <w:rFonts w:asciiTheme="minorHAnsi" w:hAnsiTheme="minorHAnsi" w:cstheme="minorHAnsi"/>
                <w:sz w:val="20"/>
                <w:szCs w:val="20"/>
              </w:rPr>
            </w:pPr>
          </w:p>
        </w:tc>
      </w:tr>
      <w:tr w:rsidR="00FC32CE" w:rsidRPr="005552B5" w14:paraId="43505CC2" w14:textId="77777777" w:rsidTr="00F301CE">
        <w:tc>
          <w:tcPr>
            <w:tcW w:w="0" w:type="auto"/>
            <w:vAlign w:val="center"/>
          </w:tcPr>
          <w:p w14:paraId="689197D5" w14:textId="71662C56" w:rsidR="00A568CA" w:rsidRPr="005552B5" w:rsidRDefault="005573AD" w:rsidP="00A568CA">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48</w:t>
            </w:r>
          </w:p>
        </w:tc>
        <w:tc>
          <w:tcPr>
            <w:tcW w:w="1925" w:type="dxa"/>
          </w:tcPr>
          <w:p w14:paraId="347AAD1B" w14:textId="5C30E70F"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Kraków Nowa Huta Przyszłości S.A.</w:t>
            </w:r>
          </w:p>
        </w:tc>
        <w:tc>
          <w:tcPr>
            <w:tcW w:w="2770" w:type="dxa"/>
          </w:tcPr>
          <w:p w14:paraId="614FBFC5" w14:textId="4AE0A5B2"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1)</w:t>
            </w:r>
            <w:r w:rsidRPr="005552B5">
              <w:rPr>
                <w:rStyle w:val="hgkelc"/>
                <w:rFonts w:asciiTheme="minorHAnsi" w:hAnsiTheme="minorHAnsi" w:cstheme="minorHAnsi"/>
                <w:b/>
                <w:sz w:val="20"/>
                <w:szCs w:val="20"/>
              </w:rPr>
              <w:tab/>
              <w:t>objęta dofinansowaniem ogólnodostępna stacja ładowania musi być zlokalizowana wzdłuż dróg sieci bazowej TEN-T tj. na drodze należącej do sieci drogowej TEN-T lub w odległości do 3 km jazdy od najbliższego zjazdu z drogi TEN-T lub bezpośrednio na terenie centrum logistycznego (DEPOT) lub terminalu intermodalnego;</w:t>
            </w:r>
          </w:p>
        </w:tc>
        <w:tc>
          <w:tcPr>
            <w:tcW w:w="3486" w:type="dxa"/>
          </w:tcPr>
          <w:p w14:paraId="4B7CD609" w14:textId="02B2B211"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1)</w:t>
            </w:r>
            <w:r w:rsidRPr="005552B5">
              <w:rPr>
                <w:rStyle w:val="hgkelc"/>
                <w:rFonts w:asciiTheme="minorHAnsi" w:hAnsiTheme="minorHAnsi" w:cstheme="minorHAnsi"/>
                <w:b/>
                <w:sz w:val="20"/>
                <w:szCs w:val="20"/>
              </w:rPr>
              <w:tab/>
              <w:t xml:space="preserve">objęta dofinansowaniem ogólnodostępna stacja ładowania musi być zlokalizowana wzdłuż dróg sieci bazowej TEN-T tj. w granicach administracyjnych miasta stanowiącego węzeł miejskiej sieci bazowej lub na drodze należącej do sieci drogowej TEN-T lub w odległości do 10 km jazdy od najbliższego zjazdu z drogi TEN-T lub </w:t>
            </w:r>
            <w:r w:rsidRPr="005552B5">
              <w:rPr>
                <w:rStyle w:val="hgkelc"/>
                <w:rFonts w:asciiTheme="minorHAnsi" w:hAnsiTheme="minorHAnsi" w:cstheme="minorHAnsi"/>
                <w:b/>
                <w:strike/>
                <w:sz w:val="20"/>
                <w:szCs w:val="20"/>
              </w:rPr>
              <w:t>bezpośrednio</w:t>
            </w:r>
            <w:r w:rsidRPr="005552B5">
              <w:rPr>
                <w:rStyle w:val="hgkelc"/>
                <w:rFonts w:asciiTheme="minorHAnsi" w:hAnsiTheme="minorHAnsi" w:cstheme="minorHAnsi"/>
                <w:b/>
                <w:sz w:val="20"/>
                <w:szCs w:val="20"/>
              </w:rPr>
              <w:t xml:space="preserve"> na terenie centrum logistycznego (DEPOT) lub terminalu intermodalnego lub w ich najbliższym otoczeniu, bądź pomiędzy centrum logistycznym lub terminalem intermodalnym a zjazdem z drogi TEN-T;</w:t>
            </w:r>
          </w:p>
        </w:tc>
        <w:tc>
          <w:tcPr>
            <w:tcW w:w="3486" w:type="dxa"/>
          </w:tcPr>
          <w:p w14:paraId="0F2BFF93"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253" w:type="dxa"/>
          </w:tcPr>
          <w:p w14:paraId="208139D6" w14:textId="1C6C838B"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w:t>
            </w:r>
            <w:r w:rsidR="00FC32CE" w:rsidRPr="005552B5">
              <w:rPr>
                <w:rFonts w:asciiTheme="minorHAnsi" w:hAnsiTheme="minorHAnsi" w:cstheme="minorHAnsi"/>
                <w:sz w:val="20"/>
                <w:szCs w:val="20"/>
              </w:rPr>
              <w:t>częściowo</w:t>
            </w:r>
            <w:r w:rsidRPr="005552B5">
              <w:rPr>
                <w:rFonts w:asciiTheme="minorHAnsi" w:hAnsiTheme="minorHAnsi" w:cstheme="minorHAnsi"/>
                <w:sz w:val="20"/>
                <w:szCs w:val="20"/>
              </w:rPr>
              <w:t xml:space="preserve"> uwzględniona</w:t>
            </w:r>
            <w:r w:rsidR="00FC32CE" w:rsidRPr="005552B5">
              <w:rPr>
                <w:rFonts w:asciiTheme="minorHAnsi" w:hAnsiTheme="minorHAnsi" w:cstheme="minorHAnsi"/>
                <w:sz w:val="20"/>
                <w:szCs w:val="20"/>
              </w:rPr>
              <w:t>- dopisano +3 km.</w:t>
            </w:r>
          </w:p>
          <w:p w14:paraId="189481B7" w14:textId="77777777" w:rsidR="00A568CA" w:rsidRPr="005552B5" w:rsidRDefault="00A568CA" w:rsidP="00A568CA">
            <w:pPr>
              <w:spacing w:after="0" w:line="240" w:lineRule="auto"/>
              <w:jc w:val="both"/>
              <w:rPr>
                <w:rFonts w:asciiTheme="minorHAnsi" w:hAnsiTheme="minorHAnsi" w:cstheme="minorHAnsi"/>
                <w:sz w:val="20"/>
                <w:szCs w:val="20"/>
              </w:rPr>
            </w:pPr>
          </w:p>
          <w:p w14:paraId="25F857E3" w14:textId="1440FB16"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 przyszłości rozważymy  ewentualne rozszerzenie zakresu programu priorytetowego.</w:t>
            </w:r>
          </w:p>
        </w:tc>
      </w:tr>
      <w:tr w:rsidR="00FC32CE" w:rsidRPr="005552B5" w14:paraId="6215D389" w14:textId="77777777" w:rsidTr="00F301CE">
        <w:tc>
          <w:tcPr>
            <w:tcW w:w="0" w:type="auto"/>
            <w:vAlign w:val="center"/>
          </w:tcPr>
          <w:p w14:paraId="7D034847" w14:textId="2EF8B3B6" w:rsidR="00A568CA" w:rsidRPr="005552B5" w:rsidRDefault="005573AD" w:rsidP="00A568CA">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49</w:t>
            </w:r>
          </w:p>
        </w:tc>
        <w:tc>
          <w:tcPr>
            <w:tcW w:w="1925" w:type="dxa"/>
          </w:tcPr>
          <w:p w14:paraId="01F8C8C7" w14:textId="415BAEDE"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 Związek Przemysłu Motoryzacyjnego</w:t>
            </w:r>
          </w:p>
        </w:tc>
        <w:tc>
          <w:tcPr>
            <w:tcW w:w="2770" w:type="dxa"/>
          </w:tcPr>
          <w:p w14:paraId="403B2CDF" w14:textId="400AD52D"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Celem programu jest wsparcie rozwoju infrastruktury do ładownia dla zeroemisyjnych pojazdów ciężarowych, </w:t>
            </w:r>
            <w:r w:rsidRPr="005552B5">
              <w:rPr>
                <w:rStyle w:val="hgkelc"/>
                <w:rFonts w:asciiTheme="minorHAnsi" w:hAnsiTheme="minorHAnsi" w:cstheme="minorHAnsi"/>
                <w:sz w:val="20"/>
                <w:szCs w:val="20"/>
              </w:rPr>
              <w:lastRenderedPageBreak/>
              <w:t>zlokalizowanych przy trasach sieci bazowej TEN-T, centrach logistycznych oraz terminalach intermodalnych.</w:t>
            </w:r>
          </w:p>
        </w:tc>
        <w:tc>
          <w:tcPr>
            <w:tcW w:w="3486" w:type="dxa"/>
          </w:tcPr>
          <w:p w14:paraId="393531CB" w14:textId="57D264F8"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Projekt nie zawiera definicji „centrum logistycznego” oraz „terminalu intermodalnego”.</w:t>
            </w:r>
          </w:p>
        </w:tc>
        <w:tc>
          <w:tcPr>
            <w:tcW w:w="3486" w:type="dxa"/>
          </w:tcPr>
          <w:p w14:paraId="48C40DDD" w14:textId="4B23A986"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Wydaje się, że dla pewności podmiotów przygotowujących wniosek do konkursu, program mógłby zawierać wytyczne dotyczące rozumienia pojęć centrum </w:t>
            </w:r>
            <w:r w:rsidRPr="005552B5">
              <w:rPr>
                <w:rStyle w:val="hgkelc"/>
                <w:rFonts w:asciiTheme="minorHAnsi" w:hAnsiTheme="minorHAnsi" w:cstheme="minorHAnsi"/>
                <w:sz w:val="20"/>
                <w:szCs w:val="20"/>
              </w:rPr>
              <w:lastRenderedPageBreak/>
              <w:t>logistycznego” oraz „terminalu intermodalnego”.</w:t>
            </w:r>
          </w:p>
        </w:tc>
        <w:tc>
          <w:tcPr>
            <w:tcW w:w="3253" w:type="dxa"/>
          </w:tcPr>
          <w:p w14:paraId="2454BE50" w14:textId="0D6487D8" w:rsidR="00A568CA" w:rsidRPr="005552B5" w:rsidRDefault="00FC32CE" w:rsidP="00FC32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Możliwe </w:t>
            </w:r>
            <w:r w:rsidR="00D951A8" w:rsidRPr="005552B5">
              <w:rPr>
                <w:rFonts w:asciiTheme="minorHAnsi" w:hAnsiTheme="minorHAnsi" w:cstheme="minorHAnsi"/>
                <w:sz w:val="20"/>
                <w:szCs w:val="20"/>
              </w:rPr>
              <w:t>ewentualne</w:t>
            </w:r>
            <w:r w:rsidRPr="005552B5">
              <w:rPr>
                <w:rFonts w:asciiTheme="minorHAnsi" w:hAnsiTheme="minorHAnsi" w:cstheme="minorHAnsi"/>
                <w:sz w:val="20"/>
                <w:szCs w:val="20"/>
              </w:rPr>
              <w:t xml:space="preserve"> doszczegółowienie pojęcia na dalszy etapie prac nad dokumentacją.</w:t>
            </w:r>
          </w:p>
        </w:tc>
      </w:tr>
      <w:tr w:rsidR="00FC32CE" w:rsidRPr="005552B5" w14:paraId="741135E9" w14:textId="77777777" w:rsidTr="00F301CE">
        <w:tc>
          <w:tcPr>
            <w:tcW w:w="0" w:type="auto"/>
            <w:vAlign w:val="center"/>
          </w:tcPr>
          <w:p w14:paraId="7A610BC1" w14:textId="62D38249"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5</w:t>
            </w:r>
            <w:r w:rsidR="005573AD">
              <w:rPr>
                <w:rFonts w:asciiTheme="minorHAnsi" w:hAnsiTheme="minorHAnsi" w:cstheme="minorHAnsi"/>
                <w:sz w:val="20"/>
                <w:szCs w:val="20"/>
              </w:rPr>
              <w:t>0</w:t>
            </w:r>
          </w:p>
        </w:tc>
        <w:tc>
          <w:tcPr>
            <w:tcW w:w="1925" w:type="dxa"/>
          </w:tcPr>
          <w:p w14:paraId="780CD4E9" w14:textId="7A8D3B9F"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 Związek Przemysłu Motoryzacyjnego</w:t>
            </w:r>
          </w:p>
        </w:tc>
        <w:tc>
          <w:tcPr>
            <w:tcW w:w="2770" w:type="dxa"/>
          </w:tcPr>
          <w:p w14:paraId="1F50DAC5" w14:textId="07E80A30"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4)</w:t>
            </w:r>
            <w:r w:rsidRPr="005552B5">
              <w:rPr>
                <w:rStyle w:val="hgkelc"/>
                <w:rFonts w:asciiTheme="minorHAnsi" w:hAnsiTheme="minorHAnsi" w:cstheme="minorHAnsi"/>
                <w:sz w:val="20"/>
                <w:szCs w:val="20"/>
              </w:rPr>
              <w:tab/>
              <w:t>objęta dofinansowaniem ogólnodostępna stacja ładowania wybudowana lub rozbudowana zlokalizowana wzdłuż drogowej sieci bazowej TEN-T musi posiadać najmniej dwa punkty ładowania  o indywidualnej mocy wyjściowej wynoszącej co najmniej 350 kW;</w:t>
            </w:r>
          </w:p>
        </w:tc>
        <w:tc>
          <w:tcPr>
            <w:tcW w:w="3486" w:type="dxa"/>
          </w:tcPr>
          <w:p w14:paraId="7BE56F3C" w14:textId="790E9708"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Doprecyzowanie indywidualnej mocy wyjściowej w kontekście ładowania więcej niż 1 pojazdu na stacji ładowania i dzielenia mocy.</w:t>
            </w:r>
          </w:p>
        </w:tc>
        <w:tc>
          <w:tcPr>
            <w:tcW w:w="3486" w:type="dxa"/>
          </w:tcPr>
          <w:p w14:paraId="05E1A1F3"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punkcie 7.3 ustęp 4 jest mowa o minimum 2 punktach ładowania o indywidualnej mocy wyjściowej wynoszącej co najmniej 350 kW – czy każdy z tych punktów ładowania musi dostarczyć min. 350 kW mocy w tym samym czasie? Czy stacja ładowania (typu </w:t>
            </w:r>
            <w:proofErr w:type="spellStart"/>
            <w:r w:rsidRPr="005552B5">
              <w:rPr>
                <w:rStyle w:val="hgkelc"/>
                <w:rFonts w:asciiTheme="minorHAnsi" w:hAnsiTheme="minorHAnsi" w:cstheme="minorHAnsi"/>
                <w:sz w:val="20"/>
                <w:szCs w:val="20"/>
              </w:rPr>
              <w:t>All</w:t>
            </w:r>
            <w:proofErr w:type="spellEnd"/>
            <w:r w:rsidRPr="005552B5">
              <w:rPr>
                <w:rStyle w:val="hgkelc"/>
                <w:rFonts w:asciiTheme="minorHAnsi" w:hAnsiTheme="minorHAnsi" w:cstheme="minorHAnsi"/>
                <w:sz w:val="20"/>
                <w:szCs w:val="20"/>
              </w:rPr>
              <w:t xml:space="preserve">-in-one lub stacja bazowa połączona z dwoma satelitami) np. o mocy 400 kW, zawierająca 2 punkty ładowania z których każdy może indywidualnie dostarczyć moc 400 kW, ale nie w przypadku ładowania równoczesnego 2 pojazdów (w takim przypadku wystąpi podział mocy pomiędzy punkty ładownia 200 kW + 200 kW) będzie kwalifikowała się do objęcia dofinansowaniem? </w:t>
            </w:r>
          </w:p>
          <w:p w14:paraId="3C0EA8B1" w14:textId="40CAEA9F"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Analogiczna uwaga dot. pkt 5 (stacji ładowania zlokalizowanej na terenie centrum logistycznego (DEPOT) lub terminala intermodalnego).</w:t>
            </w:r>
          </w:p>
          <w:p w14:paraId="2BE94F6D"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253" w:type="dxa"/>
          </w:tcPr>
          <w:p w14:paraId="32D87596" w14:textId="32AE2F13" w:rsidR="00A568CA" w:rsidRPr="005552B5" w:rsidRDefault="009A163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uwzględniona –</w:t>
            </w:r>
            <w:r w:rsidR="006B6BC1" w:rsidRPr="005552B5">
              <w:rPr>
                <w:rFonts w:asciiTheme="minorHAnsi" w:hAnsiTheme="minorHAnsi" w:cstheme="minorHAnsi"/>
                <w:sz w:val="20"/>
                <w:szCs w:val="20"/>
              </w:rPr>
              <w:t xml:space="preserve"> dopre</w:t>
            </w:r>
            <w:r w:rsidRPr="005552B5">
              <w:rPr>
                <w:rFonts w:asciiTheme="minorHAnsi" w:hAnsiTheme="minorHAnsi" w:cstheme="minorHAnsi"/>
                <w:sz w:val="20"/>
                <w:szCs w:val="20"/>
              </w:rPr>
              <w:t>cyzowano:</w:t>
            </w:r>
          </w:p>
          <w:p w14:paraId="0779017C"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Inwestycje, których realizacja przyczyni się do osiągnięcia najlepszego efektu rzeczowego, rozumianego jako utworzenie jak największej liczby ogólnodostępnych stacji ładowania, posiadających co najmniej jednej punkt o mocy wyjściowej co najmniej 350 </w:t>
            </w:r>
            <w:proofErr w:type="spellStart"/>
            <w:r w:rsidRPr="005552B5">
              <w:rPr>
                <w:rFonts w:asciiTheme="minorHAnsi" w:hAnsiTheme="minorHAnsi" w:cstheme="minorHAnsi"/>
                <w:sz w:val="20"/>
                <w:szCs w:val="20"/>
              </w:rPr>
              <w:t>kW.</w:t>
            </w:r>
            <w:proofErr w:type="spellEnd"/>
          </w:p>
          <w:p w14:paraId="483AA05A"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Sposób przyznawania punktacji:</w:t>
            </w:r>
          </w:p>
          <w:p w14:paraId="0C268047"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dla inwestycji realizowanych wzdłuż drogowej sieci bazowej TEN-T lub w odległości do 3 km jazdy od najbliższego zjazdu z drogi TEN-T:</w:t>
            </w:r>
          </w:p>
          <w:p w14:paraId="3C13E6A1"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powstanie co najmniej 3 ogólnodostępnych stacji ładowania, z których każda posiada co najmniej jeden punkt ładowania o mocy wyjściowej co najmniej  350 kW– 1 pkt </w:t>
            </w:r>
          </w:p>
          <w:p w14:paraId="6283893A"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4 do 5 punktów ogólnodostępnych stacji ładowania, z których każda posiada co najmniej jeden punkt ładowania o mocy wyjściowej co najmniej  350 kW – 2 pkt</w:t>
            </w:r>
          </w:p>
          <w:p w14:paraId="6B344EA2"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6 do 7 ogólnodostępnych stacji ładowania, z których każda posiada co najmniej jeden punkt ładowania o mocy wyjściowej co najmniej  350 kW – 3 pkt</w:t>
            </w:r>
          </w:p>
          <w:p w14:paraId="50B99184"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powstanie co najmniej 8 ogólnodostępnych stacji ładowania, z których każda posiada co najmniej jeden punkt ładowania o mocy </w:t>
            </w:r>
            <w:r w:rsidRPr="005552B5">
              <w:rPr>
                <w:rFonts w:asciiTheme="minorHAnsi" w:hAnsiTheme="minorHAnsi" w:cstheme="minorHAnsi"/>
                <w:sz w:val="20"/>
                <w:szCs w:val="20"/>
              </w:rPr>
              <w:lastRenderedPageBreak/>
              <w:t>wyjściowej co najmniej  350 kW – 5 pkt</w:t>
            </w:r>
          </w:p>
          <w:p w14:paraId="7A1047BF"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dla inwestycji realizowanych na terenie centrum logistycznego (DEPOT), bazie eksploatacyjnej lub terminala intermodalnego w odległości do 3 km jazdy od tych obiektów:</w:t>
            </w:r>
          </w:p>
          <w:p w14:paraId="5D9D5F93"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powstanie co najmniej 2 ogólnodostępnych stacji ładowania, z których każda posiada co najmniej jeden punkt ładowania o mocy wyjściowej co najmniej  350 kW – 1 pkt </w:t>
            </w:r>
          </w:p>
          <w:p w14:paraId="79686789"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co najmniej 3 ogólnodostępnych stacji ładowania, z których każda posiada co najmniej jeden punkt ładowania o mocy wyjściowej co najmniej  350 kW – 2 pkt</w:t>
            </w:r>
          </w:p>
          <w:p w14:paraId="3558EA82" w14:textId="77777777" w:rsidR="009A163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co najmniej 4 ogólnodostępnych stacji ładowania, z których każda posiada co najmniej jeden punkt ładowania o mocy wyjściowej co najmniej  350 kW – 3 pkt</w:t>
            </w:r>
          </w:p>
          <w:p w14:paraId="3098E18A" w14:textId="167EB3D3" w:rsidR="00A568CA" w:rsidRPr="005552B5" w:rsidRDefault="009A163A" w:rsidP="009A163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co najmniej 5 ogólnodostępnych stacji ładowania, z których każda posiada co najmniej jeden punkt ładowania o mocy wyjściowej co najmniej  350 kW – 5 pkt</w:t>
            </w:r>
            <w:r w:rsidRPr="005552B5">
              <w:rPr>
                <w:rFonts w:asciiTheme="minorHAnsi" w:hAnsiTheme="minorHAnsi" w:cstheme="minorHAnsi"/>
                <w:sz w:val="20"/>
                <w:szCs w:val="20"/>
              </w:rPr>
              <w:tab/>
            </w:r>
          </w:p>
        </w:tc>
      </w:tr>
      <w:tr w:rsidR="00FC32CE" w:rsidRPr="005552B5" w14:paraId="6A3B4132" w14:textId="77777777" w:rsidTr="00F301CE">
        <w:tc>
          <w:tcPr>
            <w:tcW w:w="0" w:type="auto"/>
            <w:vAlign w:val="center"/>
          </w:tcPr>
          <w:p w14:paraId="534E101F" w14:textId="42AE506F"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5</w:t>
            </w:r>
            <w:r w:rsidR="005573AD">
              <w:rPr>
                <w:rFonts w:asciiTheme="minorHAnsi" w:hAnsiTheme="minorHAnsi" w:cstheme="minorHAnsi"/>
                <w:sz w:val="20"/>
                <w:szCs w:val="20"/>
              </w:rPr>
              <w:t>1</w:t>
            </w:r>
          </w:p>
        </w:tc>
        <w:tc>
          <w:tcPr>
            <w:tcW w:w="1925" w:type="dxa"/>
          </w:tcPr>
          <w:p w14:paraId="74CD656D" w14:textId="203CA4E1"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Polski Związek Przemysłu Motoryzacyjnego</w:t>
            </w:r>
          </w:p>
        </w:tc>
        <w:tc>
          <w:tcPr>
            <w:tcW w:w="2770" w:type="dxa"/>
          </w:tcPr>
          <w:p w14:paraId="06B90395" w14:textId="2EA08A3D"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Kryterium jakościowe punktowe – Efektywność rzeczowa inwestycji</w:t>
            </w:r>
          </w:p>
        </w:tc>
        <w:tc>
          <w:tcPr>
            <w:tcW w:w="3486" w:type="dxa"/>
          </w:tcPr>
          <w:p w14:paraId="02CB1DB6"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486" w:type="dxa"/>
          </w:tcPr>
          <w:p w14:paraId="0E278684"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Ile punktów zostanie przyznane ogólnodostępnej stacji ładowania wyposażonej w 2 punkty ładowania? – Zgodnie z podanym kryterium liczba przyznanych punktów może się wahać w granicach od 1 do 5, przy czym zgodnie z definicją kryterium punkty przyznawane są stacjom wyposażonym w co najmniej </w:t>
            </w:r>
            <w:r w:rsidRPr="005552B5">
              <w:rPr>
                <w:rStyle w:val="hgkelc"/>
                <w:rFonts w:asciiTheme="minorHAnsi" w:hAnsiTheme="minorHAnsi" w:cstheme="minorHAnsi"/>
                <w:sz w:val="20"/>
                <w:szCs w:val="20"/>
              </w:rPr>
              <w:lastRenderedPageBreak/>
              <w:t>3 punkty ładowania. Czy stacja ładowania z 2 punktami w ogóle nie będzie podlegała ocenie w tym kryterium?</w:t>
            </w:r>
          </w:p>
          <w:p w14:paraId="1D60247C"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453F7388" w14:textId="0C647B2C"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Analogiczna uwaga dot. oceny stacji ładowania zlokalizowanej na terenie centrum logistycznego (DEPOT) lub terminala intermodalnego.</w:t>
            </w:r>
          </w:p>
        </w:tc>
        <w:tc>
          <w:tcPr>
            <w:tcW w:w="3253" w:type="dxa"/>
          </w:tcPr>
          <w:p w14:paraId="2E400CE4" w14:textId="71C00216" w:rsidR="00A568CA" w:rsidRPr="005552B5" w:rsidRDefault="009A163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jw.</w:t>
            </w:r>
          </w:p>
        </w:tc>
      </w:tr>
      <w:tr w:rsidR="00FC32CE" w:rsidRPr="005552B5" w14:paraId="7D0D0418" w14:textId="77777777" w:rsidTr="00F301CE">
        <w:tc>
          <w:tcPr>
            <w:tcW w:w="0" w:type="auto"/>
            <w:vAlign w:val="center"/>
          </w:tcPr>
          <w:p w14:paraId="7E41081B" w14:textId="506299CF"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5</w:t>
            </w:r>
            <w:r w:rsidR="005573AD">
              <w:rPr>
                <w:rFonts w:asciiTheme="minorHAnsi" w:hAnsiTheme="minorHAnsi" w:cstheme="minorHAnsi"/>
                <w:sz w:val="20"/>
                <w:szCs w:val="20"/>
              </w:rPr>
              <w:t>2</w:t>
            </w:r>
          </w:p>
        </w:tc>
        <w:tc>
          <w:tcPr>
            <w:tcW w:w="1925" w:type="dxa"/>
          </w:tcPr>
          <w:p w14:paraId="1FE0F80F" w14:textId="00552129" w:rsidR="00A568CA" w:rsidRPr="005552B5" w:rsidRDefault="00A568CA" w:rsidP="00A568CA">
            <w:pPr>
              <w:spacing w:after="0" w:line="240" w:lineRule="auto"/>
              <w:jc w:val="both"/>
              <w:rPr>
                <w:rFonts w:asciiTheme="minorHAnsi" w:hAnsiTheme="minorHAnsi" w:cstheme="minorHAnsi"/>
                <w:b/>
                <w:sz w:val="20"/>
                <w:szCs w:val="20"/>
                <w:lang w:val="en-US"/>
              </w:rPr>
            </w:pPr>
            <w:r w:rsidRPr="005552B5">
              <w:rPr>
                <w:rFonts w:asciiTheme="minorHAnsi" w:hAnsiTheme="minorHAnsi" w:cstheme="minorHAnsi"/>
                <w:b/>
                <w:sz w:val="20"/>
                <w:szCs w:val="20"/>
                <w:lang w:val="en-US"/>
              </w:rPr>
              <w:t xml:space="preserve">Baltic Hub Container Terminal Sp. z </w:t>
            </w:r>
            <w:proofErr w:type="spellStart"/>
            <w:r w:rsidRPr="005552B5">
              <w:rPr>
                <w:rFonts w:asciiTheme="minorHAnsi" w:hAnsiTheme="minorHAnsi" w:cstheme="minorHAnsi"/>
                <w:b/>
                <w:sz w:val="20"/>
                <w:szCs w:val="20"/>
                <w:lang w:val="en-US"/>
              </w:rPr>
              <w:t>o.o.</w:t>
            </w:r>
            <w:proofErr w:type="spellEnd"/>
          </w:p>
        </w:tc>
        <w:tc>
          <w:tcPr>
            <w:tcW w:w="2770" w:type="dxa"/>
          </w:tcPr>
          <w:p w14:paraId="7273AB2E"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7.3 Warunki dofinansowania:</w:t>
            </w:r>
          </w:p>
          <w:p w14:paraId="149921DB" w14:textId="1349B80F"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b/>
                <w:sz w:val="20"/>
                <w:szCs w:val="20"/>
              </w:rPr>
              <w:t>1)</w:t>
            </w:r>
            <w:r w:rsidRPr="005552B5">
              <w:rPr>
                <w:rStyle w:val="hgkelc"/>
                <w:rFonts w:asciiTheme="minorHAnsi" w:hAnsiTheme="minorHAnsi" w:cstheme="minorHAnsi"/>
                <w:sz w:val="20"/>
                <w:szCs w:val="20"/>
              </w:rPr>
              <w:t xml:space="preserve"> objęta dofinansowaniem ogólnodostępna stacja ładowania musi być zlokalizowana wzdłuż dróg sieci bazowej TEN-T tj. na drodze należącej do sieci drogowej TEN-T lub w odległości do 3 km jazdy od najbliższego zjazdu z drogi TEN-T lub bezpośrednio na terenie centrum logistycznego (DEPOT) lub</w:t>
            </w:r>
            <w:r w:rsidRPr="005552B5">
              <w:rPr>
                <w:rFonts w:asciiTheme="minorHAnsi" w:hAnsiTheme="minorHAnsi" w:cstheme="minorHAnsi"/>
                <w:sz w:val="20"/>
                <w:szCs w:val="20"/>
              </w:rPr>
              <w:t xml:space="preserve"> </w:t>
            </w:r>
            <w:r w:rsidRPr="005552B5">
              <w:rPr>
                <w:rStyle w:val="hgkelc"/>
                <w:rFonts w:asciiTheme="minorHAnsi" w:hAnsiTheme="minorHAnsi" w:cstheme="minorHAnsi"/>
                <w:sz w:val="20"/>
                <w:szCs w:val="20"/>
              </w:rPr>
              <w:t>terminalu intermodalnego;</w:t>
            </w:r>
          </w:p>
        </w:tc>
        <w:tc>
          <w:tcPr>
            <w:tcW w:w="3486" w:type="dxa"/>
          </w:tcPr>
          <w:p w14:paraId="7B6A8685"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7.3 Warunki dofinansowania:</w:t>
            </w:r>
          </w:p>
          <w:p w14:paraId="51B49032" w14:textId="2F583604"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b/>
                <w:sz w:val="20"/>
                <w:szCs w:val="20"/>
              </w:rPr>
              <w:t>1)</w:t>
            </w:r>
            <w:r w:rsidRPr="005552B5">
              <w:rPr>
                <w:rStyle w:val="hgkelc"/>
                <w:rFonts w:asciiTheme="minorHAnsi" w:hAnsiTheme="minorHAnsi" w:cstheme="minorHAnsi"/>
                <w:sz w:val="20"/>
                <w:szCs w:val="20"/>
              </w:rPr>
              <w:t xml:space="preserve"> objęta dofinansowaniem ogólnodostępna stacja ładowania musi być zlokalizowana wzdłuż dróg sieci bazowej TEN-T tj. na drodze należącej do sieci drogowej TEN-T lub w odległości do 3 km jazdy od najbliższego zjazdu z drogi TEN-T lub bezpośrednio na terenie centrum logistycznego (DEPOT) lub terminalu intermodalnego; ogólnodostępna stacja ładowania znajdująca się bezpośrednio na terenie terminalu intermodalnego może być obwarowana dodatkowymi procedurami ochrony ze względu na krajowe i międzynarodowe przepisy ochrony Obiektu Portowego/ Portów Morskich.</w:t>
            </w:r>
          </w:p>
        </w:tc>
        <w:tc>
          <w:tcPr>
            <w:tcW w:w="3486" w:type="dxa"/>
          </w:tcPr>
          <w:p w14:paraId="6F5D0CA2" w14:textId="77777777" w:rsidR="00A568CA" w:rsidRPr="005552B5" w:rsidRDefault="00A568CA" w:rsidP="00A568CA">
            <w:pPr>
              <w:spacing w:after="0" w:line="240" w:lineRule="auto"/>
              <w:jc w:val="both"/>
              <w:rPr>
                <w:rStyle w:val="hgkelc"/>
                <w:rFonts w:asciiTheme="minorHAnsi" w:hAnsiTheme="minorHAnsi" w:cstheme="minorHAnsi"/>
                <w:sz w:val="20"/>
                <w:szCs w:val="20"/>
              </w:rPr>
            </w:pPr>
            <w:proofErr w:type="spellStart"/>
            <w:r w:rsidRPr="005552B5">
              <w:rPr>
                <w:rStyle w:val="hgkelc"/>
                <w:rFonts w:asciiTheme="minorHAnsi" w:hAnsiTheme="minorHAnsi" w:cstheme="minorHAnsi"/>
                <w:sz w:val="20"/>
                <w:szCs w:val="20"/>
              </w:rPr>
              <w:t>Baltic</w:t>
            </w:r>
            <w:proofErr w:type="spellEnd"/>
            <w:r w:rsidRPr="005552B5">
              <w:rPr>
                <w:rStyle w:val="hgkelc"/>
                <w:rFonts w:asciiTheme="minorHAnsi" w:hAnsiTheme="minorHAnsi" w:cstheme="minorHAnsi"/>
                <w:sz w:val="20"/>
                <w:szCs w:val="20"/>
              </w:rPr>
              <w:t xml:space="preserve"> Hub </w:t>
            </w:r>
            <w:proofErr w:type="spellStart"/>
            <w:r w:rsidRPr="005552B5">
              <w:rPr>
                <w:rStyle w:val="hgkelc"/>
                <w:rFonts w:asciiTheme="minorHAnsi" w:hAnsiTheme="minorHAnsi" w:cstheme="minorHAnsi"/>
                <w:sz w:val="20"/>
                <w:szCs w:val="20"/>
              </w:rPr>
              <w:t>Container</w:t>
            </w:r>
            <w:proofErr w:type="spellEnd"/>
            <w:r w:rsidRPr="005552B5">
              <w:rPr>
                <w:rStyle w:val="hgkelc"/>
                <w:rFonts w:asciiTheme="minorHAnsi" w:hAnsiTheme="minorHAnsi" w:cstheme="minorHAnsi"/>
                <w:sz w:val="20"/>
                <w:szCs w:val="20"/>
              </w:rPr>
              <w:t xml:space="preserve"> Terminal zobowiązany jest do przestrzegania krajowej Ustawy z dnia 4 września 2008 </w:t>
            </w:r>
            <w:proofErr w:type="spellStart"/>
            <w:r w:rsidRPr="005552B5">
              <w:rPr>
                <w:rStyle w:val="hgkelc"/>
                <w:rFonts w:asciiTheme="minorHAnsi" w:hAnsiTheme="minorHAnsi" w:cstheme="minorHAnsi"/>
                <w:sz w:val="20"/>
                <w:szCs w:val="20"/>
              </w:rPr>
              <w:t>r.o</w:t>
            </w:r>
            <w:proofErr w:type="spellEnd"/>
            <w:r w:rsidRPr="005552B5">
              <w:rPr>
                <w:rStyle w:val="hgkelc"/>
                <w:rFonts w:asciiTheme="minorHAnsi" w:hAnsiTheme="minorHAnsi" w:cstheme="minorHAnsi"/>
                <w:sz w:val="20"/>
                <w:szCs w:val="20"/>
              </w:rPr>
              <w:t xml:space="preserve"> ochronie żeglugi i portów morskich oraz Międzynarodowego Kodeksu Ochrony Statku i Obiektu Portowego (ISPS). W związku z tym każdy wjazd pojazdu (w tym ciężarowego) na teren terminalu obarczony jest obowiązkiem zaawizowania przyjazdu. Warunek awizacji może stać w sprzeczności z rozumieniem pojęcia ogólnodostępnej stacji ładowania zgodnie z definicją ogólnodostępnej infrastruktury paliw alternatywnych zgodnie z art. 2 pkt 45) rozporządzenia Parlamentu Europejskiego i Rady (UE) 2023/1804 z dnia 13 września 2023 r. w sprawie rozwoju infrastruktury paliw alternatywnych i uchylenia dyrektywy 2014/94/UE.</w:t>
            </w:r>
          </w:p>
          <w:p w14:paraId="170CAC80" w14:textId="5FBA974A"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Doszczegółowienie, że Dofinansowanie nie stoi w sprzeczności z innymi regulacjami dotyczącymi ochrony Obiektu Portowego/ Portów Morskich pozwoli </w:t>
            </w:r>
            <w:proofErr w:type="spellStart"/>
            <w:r w:rsidRPr="005552B5">
              <w:rPr>
                <w:rStyle w:val="hgkelc"/>
                <w:rFonts w:asciiTheme="minorHAnsi" w:hAnsiTheme="minorHAnsi" w:cstheme="minorHAnsi"/>
                <w:sz w:val="20"/>
                <w:szCs w:val="20"/>
              </w:rPr>
              <w:t>Baltic</w:t>
            </w:r>
            <w:proofErr w:type="spellEnd"/>
            <w:r w:rsidRPr="005552B5">
              <w:rPr>
                <w:rStyle w:val="hgkelc"/>
                <w:rFonts w:asciiTheme="minorHAnsi" w:hAnsiTheme="minorHAnsi" w:cstheme="minorHAnsi"/>
                <w:sz w:val="20"/>
                <w:szCs w:val="20"/>
              </w:rPr>
              <w:t xml:space="preserve"> Hub </w:t>
            </w:r>
            <w:proofErr w:type="spellStart"/>
            <w:r w:rsidRPr="005552B5">
              <w:rPr>
                <w:rStyle w:val="hgkelc"/>
                <w:rFonts w:asciiTheme="minorHAnsi" w:hAnsiTheme="minorHAnsi" w:cstheme="minorHAnsi"/>
                <w:sz w:val="20"/>
                <w:szCs w:val="20"/>
              </w:rPr>
              <w:t>Container</w:t>
            </w:r>
            <w:proofErr w:type="spellEnd"/>
            <w:r w:rsidRPr="005552B5">
              <w:rPr>
                <w:rStyle w:val="hgkelc"/>
                <w:rFonts w:asciiTheme="minorHAnsi" w:hAnsiTheme="minorHAnsi" w:cstheme="minorHAnsi"/>
                <w:sz w:val="20"/>
                <w:szCs w:val="20"/>
              </w:rPr>
              <w:t xml:space="preserve"> Terminal ubiegać się o dofinansowanie „Wsparcia budowy i/lub rozbudowy ogólnodostępnej stacji ładowania dla transportu ciężkiego ”, o co uprzejmie prosi wnioskodawca.</w:t>
            </w:r>
          </w:p>
        </w:tc>
        <w:tc>
          <w:tcPr>
            <w:tcW w:w="3253" w:type="dxa"/>
          </w:tcPr>
          <w:p w14:paraId="5721B3E7" w14:textId="1237CADA" w:rsidR="00A568CA" w:rsidRPr="005552B5" w:rsidRDefault="009A163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Dofinansowywana stacja musi spełniać wymagania ogólnodostępności.</w:t>
            </w:r>
          </w:p>
          <w:p w14:paraId="5C427846" w14:textId="77777777" w:rsidR="00A568CA" w:rsidRPr="005552B5" w:rsidRDefault="00A568CA" w:rsidP="00A568CA">
            <w:pPr>
              <w:spacing w:after="0" w:line="240" w:lineRule="auto"/>
              <w:jc w:val="both"/>
              <w:rPr>
                <w:rFonts w:asciiTheme="minorHAnsi" w:hAnsiTheme="minorHAnsi" w:cstheme="minorHAnsi"/>
                <w:sz w:val="20"/>
                <w:szCs w:val="20"/>
              </w:rPr>
            </w:pPr>
          </w:p>
        </w:tc>
      </w:tr>
      <w:tr w:rsidR="00FC32CE" w:rsidRPr="005552B5" w14:paraId="52FCB90F" w14:textId="77777777" w:rsidTr="00F301CE">
        <w:tc>
          <w:tcPr>
            <w:tcW w:w="0" w:type="auto"/>
            <w:vAlign w:val="center"/>
          </w:tcPr>
          <w:p w14:paraId="776317C8" w14:textId="27725032" w:rsidR="00A568CA" w:rsidRPr="005552B5" w:rsidRDefault="00A568CA" w:rsidP="005573AD">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lastRenderedPageBreak/>
              <w:t>5</w:t>
            </w:r>
            <w:r w:rsidR="005573AD">
              <w:rPr>
                <w:rFonts w:asciiTheme="minorHAnsi" w:hAnsiTheme="minorHAnsi" w:cstheme="minorHAnsi"/>
                <w:sz w:val="20"/>
                <w:szCs w:val="20"/>
                <w:lang w:val="en-US"/>
              </w:rPr>
              <w:t>3</w:t>
            </w:r>
          </w:p>
        </w:tc>
        <w:tc>
          <w:tcPr>
            <w:tcW w:w="1925" w:type="dxa"/>
          </w:tcPr>
          <w:p w14:paraId="2F9458A8" w14:textId="015ADE10"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bp Europa SE oddział w Polsce</w:t>
            </w:r>
          </w:p>
        </w:tc>
        <w:tc>
          <w:tcPr>
            <w:tcW w:w="2770" w:type="dxa"/>
          </w:tcPr>
          <w:p w14:paraId="6919E864" w14:textId="00C7D982"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pkt.  7.3.4 „..ogólnodostępna stacja ładowania wybudowana lub rozbudowana zlokalizowana wzdłuż drogowej sieci bazowej TEN-T musi posiadać najmniej dwa punkty ładowania  o indywidualnej mocy wyjściowej wynoszącej co najmniej 350 kW”</w:t>
            </w:r>
          </w:p>
        </w:tc>
        <w:tc>
          <w:tcPr>
            <w:tcW w:w="3486" w:type="dxa"/>
          </w:tcPr>
          <w:p w14:paraId="21F5297C" w14:textId="57FF4234"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„..zainstalowana infrastruktura ładowania </w:t>
            </w:r>
            <w:r w:rsidRPr="005552B5">
              <w:rPr>
                <w:rStyle w:val="hgkelc"/>
                <w:rFonts w:asciiTheme="minorHAnsi" w:hAnsiTheme="minorHAnsi" w:cstheme="minorHAnsi"/>
                <w:strike/>
                <w:sz w:val="20"/>
                <w:szCs w:val="20"/>
              </w:rPr>
              <w:t>ogólnodostępna stacja ładowania</w:t>
            </w:r>
            <w:r w:rsidRPr="005552B5">
              <w:rPr>
                <w:rStyle w:val="hgkelc"/>
                <w:rFonts w:asciiTheme="minorHAnsi" w:hAnsiTheme="minorHAnsi" w:cstheme="minorHAnsi"/>
                <w:sz w:val="20"/>
                <w:szCs w:val="20"/>
              </w:rPr>
              <w:t xml:space="preserve"> wybudowana lub rozbudowana zlokalizowana wzdłuż drogowej sieci bazowej TEN-T musi posiadać najmniej dwa punkty ładowania  o indywidualnej mocy wyjściowej wynoszącej co najmniej 350 kW”</w:t>
            </w:r>
          </w:p>
        </w:tc>
        <w:tc>
          <w:tcPr>
            <w:tcW w:w="3486" w:type="dxa"/>
          </w:tcPr>
          <w:p w14:paraId="554535C4" w14:textId="3B7629EE"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przypadku infrastruktury do ładowania pojazdów ciężarowych należy doprecyzować i rozróżnić dwa pojęcia: infrastrukturę ładowania w danej lokalizacji - może to być grupa „ładowarek” i stację ładowania („pojedyncza ładowarka”). W danej lokalizacji może znajdować się kilka stacji ładowania tzw. Hub. W przedstawionym projekcie rozumienie tych pojęć zostało zmiksowane, co może uniemożliwić realizację programu, gdyż występuje oczekiwanie, aby stacja ładowania (pojedyncza ładowarka) posiadała 2,3,4,5 bądź więcej punktów ładowania o bardzo dużej mocy (350kW każdy), co może być techniczne nie do spełnienia (brak takich rozwiązań i urządzeń). Na podstawie pozostałych zapisów zakładamy, że chodzi raczej o zabezpieczenie min dwóch punktów ładowania o mocy 350kW w </w:t>
            </w:r>
            <w:r w:rsidRPr="005552B5">
              <w:rPr>
                <w:rStyle w:val="hgkelc"/>
                <w:rFonts w:asciiTheme="minorHAnsi" w:hAnsiTheme="minorHAnsi" w:cstheme="minorHAnsi"/>
                <w:sz w:val="20"/>
                <w:szCs w:val="20"/>
                <w:u w:val="single"/>
              </w:rPr>
              <w:t>danej lokalizacji</w:t>
            </w:r>
            <w:r w:rsidRPr="005552B5">
              <w:rPr>
                <w:rStyle w:val="hgkelc"/>
                <w:rFonts w:asciiTheme="minorHAnsi" w:hAnsiTheme="minorHAnsi" w:cstheme="minorHAnsi"/>
                <w:sz w:val="20"/>
                <w:szCs w:val="20"/>
              </w:rPr>
              <w:t xml:space="preserve">, a </w:t>
            </w:r>
            <w:r w:rsidRPr="005552B5">
              <w:rPr>
                <w:rStyle w:val="hgkelc"/>
                <w:rFonts w:asciiTheme="minorHAnsi" w:hAnsiTheme="minorHAnsi" w:cstheme="minorHAnsi"/>
                <w:sz w:val="20"/>
                <w:szCs w:val="20"/>
                <w:u w:val="single"/>
              </w:rPr>
              <w:t>nie w pojedynczej</w:t>
            </w:r>
            <w:r w:rsidRPr="005552B5">
              <w:rPr>
                <w:rStyle w:val="hgkelc"/>
                <w:rFonts w:asciiTheme="minorHAnsi" w:hAnsiTheme="minorHAnsi" w:cstheme="minorHAnsi"/>
                <w:sz w:val="20"/>
                <w:szCs w:val="20"/>
              </w:rPr>
              <w:t xml:space="preserve"> „ładowarce” (stacji ładowania). W przypadku pojazdów ciężarowych (inaczej niż dla osobowych) należy zapewnić większą moc oferowaną przez pojedynczy punkt ładowania (350kW a w przyszłości więcej) niż dwa punkty ładowania </w:t>
            </w:r>
            <w:r w:rsidRPr="005552B5">
              <w:rPr>
                <w:rStyle w:val="hgkelc"/>
                <w:rFonts w:asciiTheme="minorHAnsi" w:hAnsiTheme="minorHAnsi" w:cstheme="minorHAnsi"/>
                <w:sz w:val="20"/>
                <w:szCs w:val="20"/>
                <w:u w:val="single"/>
              </w:rPr>
              <w:t>w jednej stacji (ładowarce)</w:t>
            </w:r>
            <w:r w:rsidRPr="005552B5">
              <w:rPr>
                <w:rStyle w:val="hgkelc"/>
                <w:rFonts w:asciiTheme="minorHAnsi" w:hAnsiTheme="minorHAnsi" w:cstheme="minorHAnsi"/>
                <w:sz w:val="20"/>
                <w:szCs w:val="20"/>
              </w:rPr>
              <w:t>, co może spowodować podzielenie mocy i nie zapewni szybkiego ładowania takim pojazdom.</w:t>
            </w:r>
          </w:p>
        </w:tc>
        <w:tc>
          <w:tcPr>
            <w:tcW w:w="3253" w:type="dxa"/>
          </w:tcPr>
          <w:p w14:paraId="7F6C5F34" w14:textId="77777777" w:rsidR="00A568CA" w:rsidRDefault="009A163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uwzględniona – doprecyzowania pojęcia – stacja ładowania, punkt ładowania.</w:t>
            </w:r>
          </w:p>
          <w:p w14:paraId="4AD014AF" w14:textId="1C385464" w:rsidR="008C2278" w:rsidRDefault="008C2278" w:rsidP="00A568CA">
            <w:pPr>
              <w:spacing w:after="0" w:line="240" w:lineRule="auto"/>
              <w:jc w:val="both"/>
              <w:rPr>
                <w:rFonts w:asciiTheme="minorHAnsi" w:hAnsiTheme="minorHAnsi" w:cstheme="minorHAnsi"/>
                <w:sz w:val="20"/>
                <w:szCs w:val="20"/>
              </w:rPr>
            </w:pPr>
          </w:p>
          <w:p w14:paraId="380A3AA0" w14:textId="77777777" w:rsidR="00DD76A1" w:rsidRDefault="00DD76A1" w:rsidP="00A568CA">
            <w:pPr>
              <w:spacing w:after="0" w:line="240" w:lineRule="auto"/>
              <w:jc w:val="both"/>
              <w:rPr>
                <w:rFonts w:asciiTheme="minorHAnsi" w:hAnsiTheme="minorHAnsi" w:cstheme="minorHAnsi"/>
                <w:sz w:val="20"/>
                <w:szCs w:val="20"/>
              </w:rPr>
            </w:pPr>
          </w:p>
          <w:p w14:paraId="5B2C7120" w14:textId="4363B099" w:rsidR="008C2278" w:rsidRPr="005552B5" w:rsidRDefault="008C2278" w:rsidP="00814C5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Pytanie powtórzone (jak nr </w:t>
            </w:r>
            <w:r w:rsidR="00814C5D">
              <w:rPr>
                <w:rFonts w:asciiTheme="minorHAnsi" w:hAnsiTheme="minorHAnsi" w:cstheme="minorHAnsi"/>
                <w:sz w:val="20"/>
                <w:szCs w:val="20"/>
              </w:rPr>
              <w:t>56</w:t>
            </w:r>
            <w:r>
              <w:rPr>
                <w:rFonts w:asciiTheme="minorHAnsi" w:hAnsiTheme="minorHAnsi" w:cstheme="minorHAnsi"/>
                <w:sz w:val="20"/>
                <w:szCs w:val="20"/>
              </w:rPr>
              <w:t xml:space="preserve">), od </w:t>
            </w:r>
            <w:r w:rsidR="00814C5D" w:rsidRPr="00814C5D">
              <w:rPr>
                <w:rFonts w:asciiTheme="minorHAnsi" w:hAnsiTheme="minorHAnsi" w:cstheme="minorHAnsi"/>
                <w:b/>
                <w:sz w:val="20"/>
                <w:szCs w:val="20"/>
              </w:rPr>
              <w:t>Konfederacj</w:t>
            </w:r>
            <w:r w:rsidR="00814C5D">
              <w:rPr>
                <w:rFonts w:asciiTheme="minorHAnsi" w:hAnsiTheme="minorHAnsi" w:cstheme="minorHAnsi"/>
                <w:b/>
                <w:sz w:val="20"/>
                <w:szCs w:val="20"/>
              </w:rPr>
              <w:t>i</w:t>
            </w:r>
            <w:r w:rsidR="00814C5D" w:rsidRPr="00814C5D">
              <w:rPr>
                <w:rFonts w:asciiTheme="minorHAnsi" w:hAnsiTheme="minorHAnsi" w:cstheme="minorHAnsi"/>
                <w:b/>
                <w:sz w:val="20"/>
                <w:szCs w:val="20"/>
              </w:rPr>
              <w:t xml:space="preserve"> Lewiatan</w:t>
            </w:r>
            <w:r>
              <w:rPr>
                <w:rFonts w:asciiTheme="minorHAnsi" w:hAnsiTheme="minorHAnsi" w:cstheme="minorHAnsi"/>
                <w:b/>
                <w:sz w:val="20"/>
                <w:szCs w:val="20"/>
              </w:rPr>
              <w:t>.</w:t>
            </w:r>
          </w:p>
        </w:tc>
      </w:tr>
      <w:tr w:rsidR="00FC32CE" w:rsidRPr="005552B5" w14:paraId="3BA0FB67" w14:textId="77777777" w:rsidTr="00F301CE">
        <w:tc>
          <w:tcPr>
            <w:tcW w:w="0" w:type="auto"/>
            <w:vAlign w:val="center"/>
          </w:tcPr>
          <w:p w14:paraId="44544586" w14:textId="09C45AD2" w:rsidR="00A568CA" w:rsidRPr="005552B5" w:rsidRDefault="00A568CA" w:rsidP="005573AD">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5</w:t>
            </w:r>
            <w:r w:rsidR="005573AD">
              <w:rPr>
                <w:rFonts w:asciiTheme="minorHAnsi" w:hAnsiTheme="minorHAnsi" w:cstheme="minorHAnsi"/>
                <w:sz w:val="20"/>
                <w:szCs w:val="20"/>
                <w:lang w:val="en-US"/>
              </w:rPr>
              <w:t>4</w:t>
            </w:r>
          </w:p>
        </w:tc>
        <w:tc>
          <w:tcPr>
            <w:tcW w:w="1925" w:type="dxa"/>
          </w:tcPr>
          <w:p w14:paraId="6FFBEDAF" w14:textId="018031B0"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bp Europa SE oddział w Polsce</w:t>
            </w:r>
          </w:p>
        </w:tc>
        <w:tc>
          <w:tcPr>
            <w:tcW w:w="2770" w:type="dxa"/>
          </w:tcPr>
          <w:p w14:paraId="59E103E7"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w:t>
            </w:r>
            <w:r w:rsidRPr="005552B5">
              <w:rPr>
                <w:rStyle w:val="hgkelc"/>
                <w:rFonts w:asciiTheme="minorHAnsi" w:hAnsiTheme="minorHAnsi" w:cstheme="minorHAnsi"/>
                <w:sz w:val="20"/>
                <w:szCs w:val="20"/>
              </w:rPr>
              <w:tab/>
              <w:t>Pkt 7.5.1 „budowie ogólnodostępnej stacji ładowania prądem stałym posiadającej co najmniej:</w:t>
            </w:r>
          </w:p>
          <w:p w14:paraId="2EDA41C5" w14:textId="285F8C49"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dwa punkty ładowania o indywidualnej mocy wyjściowej wynoszącej co najmniej 350 kW </w:t>
            </w:r>
            <w:r w:rsidRPr="005552B5">
              <w:rPr>
                <w:rStyle w:val="hgkelc"/>
                <w:rFonts w:asciiTheme="minorHAnsi" w:hAnsiTheme="minorHAnsi" w:cstheme="minorHAnsi"/>
                <w:sz w:val="20"/>
                <w:szCs w:val="20"/>
              </w:rPr>
              <w:lastRenderedPageBreak/>
              <w:t>– dla inwestycji realizowanych wzdłuż drogowej sieci bazowej TEN-T,</w:t>
            </w:r>
          </w:p>
        </w:tc>
        <w:tc>
          <w:tcPr>
            <w:tcW w:w="3486" w:type="dxa"/>
          </w:tcPr>
          <w:p w14:paraId="0C17ED66"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2)</w:t>
            </w:r>
            <w:r w:rsidRPr="005552B5">
              <w:rPr>
                <w:rStyle w:val="hgkelc"/>
                <w:rFonts w:asciiTheme="minorHAnsi" w:hAnsiTheme="minorHAnsi" w:cstheme="minorHAnsi"/>
                <w:sz w:val="20"/>
                <w:szCs w:val="20"/>
              </w:rPr>
              <w:tab/>
              <w:t>Pkt 7.5.1 „budowie ogólnodostępnej stacji ładowania bądź grupy stacji ładowania prądem stałym posiadającej co najmniej:</w:t>
            </w:r>
          </w:p>
          <w:p w14:paraId="0619EB53" w14:textId="0CFB275E"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dwa punkty ładowania o indywidualnej mocy wyjściowej wynoszącej co najmniej 350 kW – dla inwestycji </w:t>
            </w:r>
            <w:r w:rsidRPr="005552B5">
              <w:rPr>
                <w:rStyle w:val="hgkelc"/>
                <w:rFonts w:asciiTheme="minorHAnsi" w:hAnsiTheme="minorHAnsi" w:cstheme="minorHAnsi"/>
                <w:sz w:val="20"/>
                <w:szCs w:val="20"/>
              </w:rPr>
              <w:lastRenderedPageBreak/>
              <w:t>realizowanych wzdłuż drogowej sieci bazowej TEN-T,</w:t>
            </w:r>
          </w:p>
        </w:tc>
        <w:tc>
          <w:tcPr>
            <w:tcW w:w="3486" w:type="dxa"/>
          </w:tcPr>
          <w:p w14:paraId="2B6590F1" w14:textId="535F7263" w:rsidR="00A568CA" w:rsidRPr="005552B5" w:rsidRDefault="00A568CA" w:rsidP="00A568CA">
            <w:pPr>
              <w:spacing w:after="0" w:line="240" w:lineRule="auto"/>
              <w:jc w:val="both"/>
              <w:rPr>
                <w:rStyle w:val="hgkelc"/>
                <w:rFonts w:asciiTheme="minorHAnsi" w:hAnsiTheme="minorHAnsi" w:cstheme="minorHAnsi"/>
                <w:sz w:val="20"/>
                <w:szCs w:val="20"/>
                <w:lang w:val="en-US"/>
              </w:rPr>
            </w:pPr>
            <w:proofErr w:type="spellStart"/>
            <w:r w:rsidRPr="005552B5">
              <w:rPr>
                <w:rStyle w:val="hgkelc"/>
                <w:rFonts w:asciiTheme="minorHAnsi" w:hAnsiTheme="minorHAnsi" w:cstheme="minorHAnsi"/>
                <w:sz w:val="20"/>
                <w:szCs w:val="20"/>
                <w:lang w:val="en-US"/>
              </w:rPr>
              <w:lastRenderedPageBreak/>
              <w:t>Uzasadnienie</w:t>
            </w:r>
            <w:proofErr w:type="spellEnd"/>
            <w:r w:rsidRPr="005552B5">
              <w:rPr>
                <w:rStyle w:val="hgkelc"/>
                <w:rFonts w:asciiTheme="minorHAnsi" w:hAnsiTheme="minorHAnsi" w:cstheme="minorHAnsi"/>
                <w:sz w:val="20"/>
                <w:szCs w:val="20"/>
                <w:lang w:val="en-US"/>
              </w:rPr>
              <w:t xml:space="preserve"> jak </w:t>
            </w:r>
            <w:proofErr w:type="spellStart"/>
            <w:r w:rsidRPr="005552B5">
              <w:rPr>
                <w:rStyle w:val="hgkelc"/>
                <w:rFonts w:asciiTheme="minorHAnsi" w:hAnsiTheme="minorHAnsi" w:cstheme="minorHAnsi"/>
                <w:sz w:val="20"/>
                <w:szCs w:val="20"/>
                <w:lang w:val="en-US"/>
              </w:rPr>
              <w:t>wyżej</w:t>
            </w:r>
            <w:proofErr w:type="spellEnd"/>
          </w:p>
        </w:tc>
        <w:tc>
          <w:tcPr>
            <w:tcW w:w="3253" w:type="dxa"/>
          </w:tcPr>
          <w:p w14:paraId="3AACBB84" w14:textId="77777777" w:rsidR="00A568CA" w:rsidRDefault="009A163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uwzględniona – doprecyzowania pojęcia – stacja ładowania, punkt ładowania.</w:t>
            </w:r>
          </w:p>
          <w:p w14:paraId="2AF30161" w14:textId="77777777" w:rsidR="007C6539" w:rsidRDefault="007C6539" w:rsidP="00A568CA">
            <w:pPr>
              <w:spacing w:after="0" w:line="240" w:lineRule="auto"/>
              <w:jc w:val="both"/>
              <w:rPr>
                <w:rFonts w:asciiTheme="minorHAnsi" w:hAnsiTheme="minorHAnsi" w:cstheme="minorHAnsi"/>
                <w:sz w:val="20"/>
                <w:szCs w:val="20"/>
              </w:rPr>
            </w:pPr>
          </w:p>
          <w:p w14:paraId="5052A49E" w14:textId="77777777" w:rsidR="007C6539" w:rsidRDefault="007C6539" w:rsidP="00A568CA">
            <w:pPr>
              <w:spacing w:after="0" w:line="240" w:lineRule="auto"/>
              <w:jc w:val="both"/>
              <w:rPr>
                <w:rFonts w:asciiTheme="minorHAnsi" w:hAnsiTheme="minorHAnsi" w:cstheme="minorHAnsi"/>
                <w:sz w:val="20"/>
                <w:szCs w:val="20"/>
              </w:rPr>
            </w:pPr>
          </w:p>
          <w:p w14:paraId="72763375" w14:textId="66316EA2" w:rsidR="007C6539" w:rsidRPr="005552B5" w:rsidRDefault="007C6539" w:rsidP="007C653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Pytanie powtórzone (jak nr 57), od </w:t>
            </w:r>
            <w:r w:rsidRPr="00814C5D">
              <w:rPr>
                <w:rFonts w:asciiTheme="minorHAnsi" w:hAnsiTheme="minorHAnsi" w:cstheme="minorHAnsi"/>
                <w:b/>
                <w:sz w:val="20"/>
                <w:szCs w:val="20"/>
              </w:rPr>
              <w:t>Konfederacj</w:t>
            </w:r>
            <w:r>
              <w:rPr>
                <w:rFonts w:asciiTheme="minorHAnsi" w:hAnsiTheme="minorHAnsi" w:cstheme="minorHAnsi"/>
                <w:b/>
                <w:sz w:val="20"/>
                <w:szCs w:val="20"/>
              </w:rPr>
              <w:t>i</w:t>
            </w:r>
            <w:r w:rsidRPr="00814C5D">
              <w:rPr>
                <w:rFonts w:asciiTheme="minorHAnsi" w:hAnsiTheme="minorHAnsi" w:cstheme="minorHAnsi"/>
                <w:b/>
                <w:sz w:val="20"/>
                <w:szCs w:val="20"/>
              </w:rPr>
              <w:t xml:space="preserve"> Lewiatan</w:t>
            </w:r>
            <w:r>
              <w:rPr>
                <w:rFonts w:asciiTheme="minorHAnsi" w:hAnsiTheme="minorHAnsi" w:cstheme="minorHAnsi"/>
                <w:b/>
                <w:sz w:val="20"/>
                <w:szCs w:val="20"/>
              </w:rPr>
              <w:t>.</w:t>
            </w:r>
          </w:p>
        </w:tc>
      </w:tr>
      <w:tr w:rsidR="00FC32CE" w:rsidRPr="005552B5" w14:paraId="53E74417" w14:textId="77777777" w:rsidTr="00F301CE">
        <w:tc>
          <w:tcPr>
            <w:tcW w:w="0" w:type="auto"/>
            <w:vAlign w:val="center"/>
          </w:tcPr>
          <w:p w14:paraId="29D9677A" w14:textId="32B3F110" w:rsidR="00A568CA" w:rsidRPr="005552B5" w:rsidRDefault="00A568CA" w:rsidP="005573AD">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5</w:t>
            </w:r>
            <w:r w:rsidR="005573AD">
              <w:rPr>
                <w:rFonts w:asciiTheme="minorHAnsi" w:hAnsiTheme="minorHAnsi" w:cstheme="minorHAnsi"/>
                <w:sz w:val="20"/>
                <w:szCs w:val="20"/>
                <w:lang w:val="en-US"/>
              </w:rPr>
              <w:t>5</w:t>
            </w:r>
          </w:p>
        </w:tc>
        <w:tc>
          <w:tcPr>
            <w:tcW w:w="1925" w:type="dxa"/>
          </w:tcPr>
          <w:p w14:paraId="14636A9F" w14:textId="691F216F"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bp Europa SE oddział w Polsce</w:t>
            </w:r>
          </w:p>
        </w:tc>
        <w:tc>
          <w:tcPr>
            <w:tcW w:w="2770" w:type="dxa"/>
          </w:tcPr>
          <w:p w14:paraId="44FE0B30" w14:textId="4DB9B987"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t>oraz kolejne punkty gdzie występuje odniesienie do stacji ładowania  (tabela Kryteria jakościowe pkt 3)</w:t>
            </w:r>
          </w:p>
        </w:tc>
        <w:tc>
          <w:tcPr>
            <w:tcW w:w="3486" w:type="dxa"/>
          </w:tcPr>
          <w:p w14:paraId="60FFF778"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486" w:type="dxa"/>
          </w:tcPr>
          <w:p w14:paraId="56C597ED" w14:textId="6CCC271A"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Uzasadnienie jak wyżej</w:t>
            </w:r>
          </w:p>
        </w:tc>
        <w:tc>
          <w:tcPr>
            <w:tcW w:w="3253" w:type="dxa"/>
          </w:tcPr>
          <w:p w14:paraId="1315ABA5" w14:textId="77777777" w:rsidR="00A568CA" w:rsidRDefault="009A163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uwzględniona – doprecyzowania pojęcia – stacja ładowania, punkt ładowania.</w:t>
            </w:r>
          </w:p>
          <w:p w14:paraId="4550F891" w14:textId="77777777" w:rsidR="007C6539" w:rsidRDefault="007C6539" w:rsidP="00A568CA">
            <w:pPr>
              <w:spacing w:after="0" w:line="240" w:lineRule="auto"/>
              <w:jc w:val="both"/>
              <w:rPr>
                <w:rFonts w:asciiTheme="minorHAnsi" w:hAnsiTheme="minorHAnsi" w:cstheme="minorHAnsi"/>
                <w:sz w:val="20"/>
                <w:szCs w:val="20"/>
              </w:rPr>
            </w:pPr>
          </w:p>
          <w:p w14:paraId="6EACEADC" w14:textId="3005FC50" w:rsidR="007C6539" w:rsidRDefault="007C6539" w:rsidP="00A568CA">
            <w:pPr>
              <w:spacing w:after="0" w:line="240" w:lineRule="auto"/>
              <w:jc w:val="both"/>
              <w:rPr>
                <w:rFonts w:asciiTheme="minorHAnsi" w:hAnsiTheme="minorHAnsi" w:cstheme="minorHAnsi"/>
                <w:sz w:val="20"/>
                <w:szCs w:val="20"/>
              </w:rPr>
            </w:pPr>
            <w:r w:rsidRPr="007C6539">
              <w:rPr>
                <w:rFonts w:asciiTheme="minorHAnsi" w:hAnsiTheme="minorHAnsi" w:cstheme="minorHAnsi"/>
                <w:sz w:val="20"/>
                <w:szCs w:val="20"/>
              </w:rPr>
              <w:t>Pytanie powtórzone (jak nr 5</w:t>
            </w:r>
            <w:r>
              <w:rPr>
                <w:rFonts w:asciiTheme="minorHAnsi" w:hAnsiTheme="minorHAnsi" w:cstheme="minorHAnsi"/>
                <w:sz w:val="20"/>
                <w:szCs w:val="20"/>
              </w:rPr>
              <w:t>8</w:t>
            </w:r>
            <w:r w:rsidRPr="007C6539">
              <w:rPr>
                <w:rFonts w:asciiTheme="minorHAnsi" w:hAnsiTheme="minorHAnsi" w:cstheme="minorHAnsi"/>
                <w:sz w:val="20"/>
                <w:szCs w:val="20"/>
              </w:rPr>
              <w:t xml:space="preserve">), od </w:t>
            </w:r>
            <w:r w:rsidRPr="007C6539">
              <w:rPr>
                <w:rFonts w:asciiTheme="minorHAnsi" w:hAnsiTheme="minorHAnsi" w:cstheme="minorHAnsi"/>
                <w:b/>
                <w:sz w:val="20"/>
                <w:szCs w:val="20"/>
              </w:rPr>
              <w:t>Konfederacji Lewiatan.</w:t>
            </w:r>
          </w:p>
          <w:p w14:paraId="7562370F" w14:textId="6D659FB6" w:rsidR="007C6539" w:rsidRPr="005552B5" w:rsidRDefault="007C6539" w:rsidP="00A568CA">
            <w:pPr>
              <w:spacing w:after="0" w:line="240" w:lineRule="auto"/>
              <w:jc w:val="both"/>
              <w:rPr>
                <w:rFonts w:asciiTheme="minorHAnsi" w:hAnsiTheme="minorHAnsi" w:cstheme="minorHAnsi"/>
                <w:sz w:val="20"/>
                <w:szCs w:val="20"/>
              </w:rPr>
            </w:pPr>
          </w:p>
        </w:tc>
      </w:tr>
      <w:tr w:rsidR="00FC32CE" w:rsidRPr="005552B5" w14:paraId="62719277" w14:textId="77777777" w:rsidTr="00F301CE">
        <w:tc>
          <w:tcPr>
            <w:tcW w:w="0" w:type="auto"/>
            <w:vAlign w:val="center"/>
          </w:tcPr>
          <w:p w14:paraId="4444E6AE" w14:textId="5D799B3B" w:rsidR="00A568CA" w:rsidRPr="005552B5" w:rsidRDefault="005573AD" w:rsidP="00A568CA">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56</w:t>
            </w:r>
          </w:p>
        </w:tc>
        <w:tc>
          <w:tcPr>
            <w:tcW w:w="1925" w:type="dxa"/>
          </w:tcPr>
          <w:p w14:paraId="225269E5" w14:textId="5F354891" w:rsidR="00A568CA" w:rsidRPr="005552B5" w:rsidRDefault="00A568CA" w:rsidP="00A568CA">
            <w:pPr>
              <w:spacing w:after="0" w:line="240" w:lineRule="auto"/>
              <w:jc w:val="both"/>
              <w:rPr>
                <w:rFonts w:asciiTheme="minorHAnsi" w:hAnsiTheme="minorHAnsi" w:cstheme="minorHAnsi"/>
                <w:b/>
                <w:sz w:val="20"/>
                <w:szCs w:val="20"/>
                <w:lang w:val="en-US"/>
              </w:rPr>
            </w:pPr>
            <w:proofErr w:type="spellStart"/>
            <w:r w:rsidRPr="005552B5">
              <w:rPr>
                <w:rFonts w:asciiTheme="minorHAnsi" w:hAnsiTheme="minorHAnsi" w:cstheme="minorHAnsi"/>
                <w:b/>
                <w:sz w:val="20"/>
                <w:szCs w:val="20"/>
                <w:lang w:val="en-US"/>
              </w:rPr>
              <w:t>Konfederacja</w:t>
            </w:r>
            <w:proofErr w:type="spellEnd"/>
            <w:r w:rsidRPr="005552B5">
              <w:rPr>
                <w:rFonts w:asciiTheme="minorHAnsi" w:hAnsiTheme="minorHAnsi" w:cstheme="minorHAnsi"/>
                <w:b/>
                <w:sz w:val="20"/>
                <w:szCs w:val="20"/>
                <w:lang w:val="en-US"/>
              </w:rPr>
              <w:t xml:space="preserve"> </w:t>
            </w:r>
            <w:proofErr w:type="spellStart"/>
            <w:r w:rsidRPr="005552B5">
              <w:rPr>
                <w:rFonts w:asciiTheme="minorHAnsi" w:hAnsiTheme="minorHAnsi" w:cstheme="minorHAnsi"/>
                <w:b/>
                <w:sz w:val="20"/>
                <w:szCs w:val="20"/>
                <w:lang w:val="en-US"/>
              </w:rPr>
              <w:t>Lewiatan</w:t>
            </w:r>
            <w:proofErr w:type="spellEnd"/>
          </w:p>
        </w:tc>
        <w:tc>
          <w:tcPr>
            <w:tcW w:w="2770" w:type="dxa"/>
          </w:tcPr>
          <w:p w14:paraId="4EB53102" w14:textId="2CAACF3D"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pkt.  7.3.4 „..ogólnodostępna stacja ładowania wybudowana lub rozbudowana zlokalizowana wzdłuż drogowej sieci bazowej TEN-T musi posiadać najmniej dwa punkty ładowania  o indywidualnej mocy wyjściowej wynoszącej co najmniej 350 kW”</w:t>
            </w:r>
          </w:p>
        </w:tc>
        <w:tc>
          <w:tcPr>
            <w:tcW w:w="3486" w:type="dxa"/>
          </w:tcPr>
          <w:p w14:paraId="18260A1F" w14:textId="4C2973BA"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„..zainstalowana infrastruktura ładowania </w:t>
            </w:r>
            <w:r w:rsidRPr="005552B5">
              <w:rPr>
                <w:rStyle w:val="hgkelc"/>
                <w:rFonts w:asciiTheme="minorHAnsi" w:hAnsiTheme="minorHAnsi" w:cstheme="minorHAnsi"/>
                <w:strike/>
                <w:sz w:val="20"/>
                <w:szCs w:val="20"/>
              </w:rPr>
              <w:t>ogólnodostępna stacja ładowania</w:t>
            </w:r>
            <w:r w:rsidRPr="005552B5">
              <w:rPr>
                <w:rStyle w:val="hgkelc"/>
                <w:rFonts w:asciiTheme="minorHAnsi" w:hAnsiTheme="minorHAnsi" w:cstheme="minorHAnsi"/>
                <w:sz w:val="20"/>
                <w:szCs w:val="20"/>
              </w:rPr>
              <w:t xml:space="preserve"> wybudowana lub rozbudowana zlokalizowana wzdłuż drogowej sieci bazowej TEN-T musi posiadać najmniej dwa punkty ładowania  o indywidualnej mocy wyjściowej wynoszącej co najmniej 350 kW”</w:t>
            </w:r>
          </w:p>
        </w:tc>
        <w:tc>
          <w:tcPr>
            <w:tcW w:w="3486" w:type="dxa"/>
          </w:tcPr>
          <w:p w14:paraId="52951224"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przypadku infrastruktury do ładowania pojazdów ciężarowych należy doprecyzować i rozróżnić dwa pojęcia: </w:t>
            </w:r>
            <w:r w:rsidRPr="005552B5">
              <w:rPr>
                <w:rStyle w:val="hgkelc"/>
                <w:rFonts w:asciiTheme="minorHAnsi" w:hAnsiTheme="minorHAnsi" w:cstheme="minorHAnsi"/>
                <w:b/>
                <w:sz w:val="20"/>
                <w:szCs w:val="20"/>
              </w:rPr>
              <w:t>infrastrukturę ładowania w danej lokalizacji</w:t>
            </w:r>
            <w:r w:rsidRPr="005552B5">
              <w:rPr>
                <w:rStyle w:val="hgkelc"/>
                <w:rFonts w:asciiTheme="minorHAnsi" w:hAnsiTheme="minorHAnsi" w:cstheme="minorHAnsi"/>
                <w:sz w:val="20"/>
                <w:szCs w:val="20"/>
              </w:rPr>
              <w:t xml:space="preserve"> - może to być grupa „ładowarek” i </w:t>
            </w:r>
            <w:r w:rsidRPr="005552B5">
              <w:rPr>
                <w:rStyle w:val="hgkelc"/>
                <w:rFonts w:asciiTheme="minorHAnsi" w:hAnsiTheme="minorHAnsi" w:cstheme="minorHAnsi"/>
                <w:b/>
                <w:sz w:val="20"/>
                <w:szCs w:val="20"/>
              </w:rPr>
              <w:t>stację ładowania</w:t>
            </w:r>
            <w:r w:rsidRPr="005552B5">
              <w:rPr>
                <w:rStyle w:val="hgkelc"/>
                <w:rFonts w:asciiTheme="minorHAnsi" w:hAnsiTheme="minorHAnsi" w:cstheme="minorHAnsi"/>
                <w:sz w:val="20"/>
                <w:szCs w:val="20"/>
              </w:rPr>
              <w:t xml:space="preserve"> („pojedyncza ładowarka”). W danej lokalizacji może znajdować się kilka stacji ładowania tzw. Hub. </w:t>
            </w:r>
          </w:p>
          <w:p w14:paraId="3BE5C300"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78769B42"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przedstawionym projekcie rozumienie tych pojęć zostało zmiksowane, co może uniemożliwić realizację programu, gdyż występuje oczekiwanie, aby stacja ładowania (pojedyncza ładowarka) posiadała 2,3,4,5 bądź więcej punktów ładowania o bardzo dużej mocy (350kW każdy), co może być techniczne nie do spełnienia (brak takich rozwiązań i urządzeń). Na podstawie pozostałych zapisów zakładamy, że chodzi raczej o zabezpieczenie min dwóch punktów ładowania o mocy 350kW w </w:t>
            </w:r>
            <w:r w:rsidRPr="005552B5">
              <w:rPr>
                <w:rStyle w:val="hgkelc"/>
                <w:rFonts w:asciiTheme="minorHAnsi" w:hAnsiTheme="minorHAnsi" w:cstheme="minorHAnsi"/>
                <w:sz w:val="20"/>
                <w:szCs w:val="20"/>
                <w:u w:val="single"/>
              </w:rPr>
              <w:t>danej lokalizacji</w:t>
            </w:r>
            <w:r w:rsidRPr="005552B5">
              <w:rPr>
                <w:rStyle w:val="hgkelc"/>
                <w:rFonts w:asciiTheme="minorHAnsi" w:hAnsiTheme="minorHAnsi" w:cstheme="minorHAnsi"/>
                <w:sz w:val="20"/>
                <w:szCs w:val="20"/>
              </w:rPr>
              <w:t xml:space="preserve">, a </w:t>
            </w:r>
            <w:r w:rsidRPr="005552B5">
              <w:rPr>
                <w:rStyle w:val="hgkelc"/>
                <w:rFonts w:asciiTheme="minorHAnsi" w:hAnsiTheme="minorHAnsi" w:cstheme="minorHAnsi"/>
                <w:sz w:val="20"/>
                <w:szCs w:val="20"/>
                <w:u w:val="single"/>
              </w:rPr>
              <w:t>nie w pojedynczej</w:t>
            </w:r>
            <w:r w:rsidRPr="005552B5">
              <w:rPr>
                <w:rStyle w:val="hgkelc"/>
                <w:rFonts w:asciiTheme="minorHAnsi" w:hAnsiTheme="minorHAnsi" w:cstheme="minorHAnsi"/>
                <w:sz w:val="20"/>
                <w:szCs w:val="20"/>
              </w:rPr>
              <w:t xml:space="preserve"> „ładowarce” (stacji ładowania). </w:t>
            </w:r>
          </w:p>
          <w:p w14:paraId="792F1F05"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065F0C6D" w14:textId="1FC60053"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przypadku pojazdów ciężarowych (inaczej niż dla osobowych) należy zapewnić większą moc oferowaną przez </w:t>
            </w:r>
            <w:r w:rsidRPr="005552B5">
              <w:rPr>
                <w:rStyle w:val="hgkelc"/>
                <w:rFonts w:asciiTheme="minorHAnsi" w:hAnsiTheme="minorHAnsi" w:cstheme="minorHAnsi"/>
                <w:sz w:val="20"/>
                <w:szCs w:val="20"/>
              </w:rPr>
              <w:lastRenderedPageBreak/>
              <w:t>pojedynczy punkt ładowania (350kW a w przyszłości więcej) niż dwa punkty ładowania w jednej stacji (ładowarce), co może spowodować podzielenie mocy i nie zapewni szybkiego ładowania takim pojazdom.</w:t>
            </w:r>
          </w:p>
        </w:tc>
        <w:tc>
          <w:tcPr>
            <w:tcW w:w="3253" w:type="dxa"/>
          </w:tcPr>
          <w:p w14:paraId="076C57D1" w14:textId="323FABB5" w:rsidR="00A568CA" w:rsidRPr="005552B5" w:rsidRDefault="009A163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Uwaga uwzględniona – doprecyzowania pojęcia – stacja ładowania, punkt ładowania.</w:t>
            </w:r>
          </w:p>
        </w:tc>
      </w:tr>
      <w:tr w:rsidR="00FC32CE" w:rsidRPr="005552B5" w14:paraId="26DE7B29" w14:textId="77777777" w:rsidTr="00F301CE">
        <w:tc>
          <w:tcPr>
            <w:tcW w:w="0" w:type="auto"/>
            <w:vAlign w:val="center"/>
          </w:tcPr>
          <w:p w14:paraId="3A0CB925" w14:textId="757E747B" w:rsidR="00A568CA" w:rsidRPr="005552B5" w:rsidRDefault="005573AD" w:rsidP="00A568CA">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57</w:t>
            </w:r>
          </w:p>
        </w:tc>
        <w:tc>
          <w:tcPr>
            <w:tcW w:w="1925" w:type="dxa"/>
          </w:tcPr>
          <w:p w14:paraId="15279916" w14:textId="61867BB5" w:rsidR="00A568CA" w:rsidRPr="005552B5" w:rsidRDefault="00A568CA" w:rsidP="00A568CA">
            <w:pPr>
              <w:spacing w:after="0" w:line="240" w:lineRule="auto"/>
              <w:jc w:val="both"/>
              <w:rPr>
                <w:rFonts w:asciiTheme="minorHAnsi" w:hAnsiTheme="minorHAnsi" w:cstheme="minorHAnsi"/>
                <w:b/>
                <w:sz w:val="20"/>
                <w:szCs w:val="20"/>
                <w:lang w:val="en-US"/>
              </w:rPr>
            </w:pPr>
            <w:proofErr w:type="spellStart"/>
            <w:r w:rsidRPr="005552B5">
              <w:rPr>
                <w:rFonts w:asciiTheme="minorHAnsi" w:hAnsiTheme="minorHAnsi" w:cstheme="minorHAnsi"/>
                <w:b/>
                <w:sz w:val="20"/>
                <w:szCs w:val="20"/>
                <w:lang w:val="en-US"/>
              </w:rPr>
              <w:t>Konfederacja</w:t>
            </w:r>
            <w:proofErr w:type="spellEnd"/>
            <w:r w:rsidRPr="005552B5">
              <w:rPr>
                <w:rFonts w:asciiTheme="minorHAnsi" w:hAnsiTheme="minorHAnsi" w:cstheme="minorHAnsi"/>
                <w:b/>
                <w:sz w:val="20"/>
                <w:szCs w:val="20"/>
                <w:lang w:val="en-US"/>
              </w:rPr>
              <w:t xml:space="preserve"> </w:t>
            </w:r>
            <w:proofErr w:type="spellStart"/>
            <w:r w:rsidRPr="005552B5">
              <w:rPr>
                <w:rFonts w:asciiTheme="minorHAnsi" w:hAnsiTheme="minorHAnsi" w:cstheme="minorHAnsi"/>
                <w:b/>
                <w:sz w:val="20"/>
                <w:szCs w:val="20"/>
                <w:lang w:val="en-US"/>
              </w:rPr>
              <w:t>Lewiatan</w:t>
            </w:r>
            <w:proofErr w:type="spellEnd"/>
          </w:p>
        </w:tc>
        <w:tc>
          <w:tcPr>
            <w:tcW w:w="2770" w:type="dxa"/>
          </w:tcPr>
          <w:p w14:paraId="31E18753" w14:textId="77777777" w:rsidR="00A568CA" w:rsidRPr="005E6F54" w:rsidRDefault="00A568CA" w:rsidP="00A568CA">
            <w:pPr>
              <w:spacing w:after="0" w:line="240" w:lineRule="auto"/>
              <w:jc w:val="both"/>
              <w:rPr>
                <w:rStyle w:val="hgkelc"/>
                <w:rFonts w:asciiTheme="minorHAnsi" w:hAnsiTheme="minorHAnsi" w:cstheme="minorHAnsi"/>
                <w:sz w:val="20"/>
                <w:szCs w:val="20"/>
              </w:rPr>
            </w:pPr>
            <w:r w:rsidRPr="005E6F54">
              <w:rPr>
                <w:rStyle w:val="hgkelc"/>
                <w:rFonts w:asciiTheme="minorHAnsi" w:hAnsiTheme="minorHAnsi" w:cstheme="minorHAnsi"/>
                <w:sz w:val="20"/>
                <w:szCs w:val="20"/>
              </w:rPr>
              <w:t>1)</w:t>
            </w:r>
            <w:r w:rsidRPr="005E6F54">
              <w:rPr>
                <w:rStyle w:val="hgkelc"/>
                <w:rFonts w:asciiTheme="minorHAnsi" w:hAnsiTheme="minorHAnsi" w:cstheme="minorHAnsi"/>
                <w:sz w:val="20"/>
                <w:szCs w:val="20"/>
              </w:rPr>
              <w:tab/>
              <w:t>Pkt 7.5.1 „budowie ogólnodostępnej stacji ładowania prądem stałym posiadającej co najmniej:</w:t>
            </w:r>
          </w:p>
          <w:p w14:paraId="2B288FE6" w14:textId="341136F2" w:rsidR="00A568CA" w:rsidRPr="005E6F54" w:rsidRDefault="00A568CA" w:rsidP="00A568CA">
            <w:pPr>
              <w:spacing w:after="0" w:line="240" w:lineRule="auto"/>
              <w:jc w:val="both"/>
              <w:rPr>
                <w:rStyle w:val="hgkelc"/>
                <w:rFonts w:asciiTheme="minorHAnsi" w:hAnsiTheme="minorHAnsi" w:cstheme="minorHAnsi"/>
                <w:sz w:val="20"/>
                <w:szCs w:val="20"/>
              </w:rPr>
            </w:pPr>
            <w:r w:rsidRPr="005E6F54">
              <w:rPr>
                <w:rStyle w:val="hgkelc"/>
                <w:rFonts w:asciiTheme="minorHAnsi" w:hAnsiTheme="minorHAnsi" w:cstheme="minorHAnsi"/>
                <w:sz w:val="20"/>
                <w:szCs w:val="20"/>
              </w:rPr>
              <w:t>-  dwa punkty ładowania o indywidualnej mocy wyjściowej wynoszącej co najmniej 350 kW – dla inwestycji realizowanych wzdłuż drogowej sieci bazowej TEN-T,</w:t>
            </w:r>
          </w:p>
        </w:tc>
        <w:tc>
          <w:tcPr>
            <w:tcW w:w="3486" w:type="dxa"/>
          </w:tcPr>
          <w:p w14:paraId="4D459511" w14:textId="77777777" w:rsidR="00A568CA" w:rsidRPr="005E6F54" w:rsidRDefault="00A568CA" w:rsidP="00A568CA">
            <w:pPr>
              <w:spacing w:after="0" w:line="240" w:lineRule="auto"/>
              <w:jc w:val="both"/>
              <w:rPr>
                <w:rStyle w:val="hgkelc"/>
                <w:rFonts w:asciiTheme="minorHAnsi" w:hAnsiTheme="minorHAnsi" w:cstheme="minorHAnsi"/>
                <w:sz w:val="20"/>
                <w:szCs w:val="20"/>
              </w:rPr>
            </w:pPr>
            <w:r w:rsidRPr="005E6F54">
              <w:rPr>
                <w:rStyle w:val="hgkelc"/>
                <w:rFonts w:asciiTheme="minorHAnsi" w:hAnsiTheme="minorHAnsi" w:cstheme="minorHAnsi"/>
                <w:sz w:val="20"/>
                <w:szCs w:val="20"/>
              </w:rPr>
              <w:t>2)</w:t>
            </w:r>
            <w:r w:rsidRPr="005E6F54">
              <w:rPr>
                <w:rStyle w:val="hgkelc"/>
                <w:rFonts w:asciiTheme="minorHAnsi" w:hAnsiTheme="minorHAnsi" w:cstheme="minorHAnsi"/>
                <w:sz w:val="20"/>
                <w:szCs w:val="20"/>
              </w:rPr>
              <w:tab/>
              <w:t>Pkt 7.5.1 „budowie ogólnodostępnej stacji ładowania bądź grupy stacji ładowania prądem stałym posiadającej co najmniej:</w:t>
            </w:r>
          </w:p>
          <w:p w14:paraId="4E253927" w14:textId="01749255" w:rsidR="00A568CA" w:rsidRPr="005E6F54" w:rsidRDefault="00A568CA" w:rsidP="00A568CA">
            <w:pPr>
              <w:spacing w:after="0" w:line="240" w:lineRule="auto"/>
              <w:jc w:val="both"/>
              <w:rPr>
                <w:rStyle w:val="hgkelc"/>
                <w:rFonts w:asciiTheme="minorHAnsi" w:hAnsiTheme="minorHAnsi" w:cstheme="minorHAnsi"/>
                <w:sz w:val="20"/>
                <w:szCs w:val="20"/>
              </w:rPr>
            </w:pPr>
            <w:r w:rsidRPr="005E6F54">
              <w:rPr>
                <w:rStyle w:val="hgkelc"/>
                <w:rFonts w:asciiTheme="minorHAnsi" w:hAnsiTheme="minorHAnsi" w:cstheme="minorHAnsi"/>
                <w:sz w:val="20"/>
                <w:szCs w:val="20"/>
              </w:rPr>
              <w:t>-  dwa punkty ładowania o indywidualnej mocy wyjściowej wynoszącej co najmniej 350 kW – dla inwestycji realizowanych wzdłuż drogowej sieci bazowej TEN-T,</w:t>
            </w:r>
          </w:p>
        </w:tc>
        <w:tc>
          <w:tcPr>
            <w:tcW w:w="3486" w:type="dxa"/>
          </w:tcPr>
          <w:p w14:paraId="050E7BC4" w14:textId="6E0DBEEA"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Uzasadnienie jak wyżej</w:t>
            </w:r>
          </w:p>
        </w:tc>
        <w:tc>
          <w:tcPr>
            <w:tcW w:w="3253" w:type="dxa"/>
          </w:tcPr>
          <w:p w14:paraId="17AEC594" w14:textId="478DFA91" w:rsidR="00A568CA" w:rsidRPr="005552B5" w:rsidRDefault="009A163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uwzględniona – doprecyzowania pojęcia – stacja ładowania, punkt ładowania.</w:t>
            </w:r>
          </w:p>
        </w:tc>
      </w:tr>
      <w:tr w:rsidR="00FC32CE" w:rsidRPr="005552B5" w14:paraId="7D46E41E" w14:textId="77777777" w:rsidTr="00F301CE">
        <w:tc>
          <w:tcPr>
            <w:tcW w:w="0" w:type="auto"/>
            <w:vAlign w:val="center"/>
          </w:tcPr>
          <w:p w14:paraId="402796CE" w14:textId="0A983AA2" w:rsidR="00A568CA" w:rsidRPr="005552B5" w:rsidRDefault="005573AD" w:rsidP="00A568CA">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58</w:t>
            </w:r>
          </w:p>
        </w:tc>
        <w:tc>
          <w:tcPr>
            <w:tcW w:w="1925" w:type="dxa"/>
          </w:tcPr>
          <w:p w14:paraId="49D13E8B" w14:textId="44DD640B" w:rsidR="00A568CA" w:rsidRPr="005552B5" w:rsidRDefault="00A568CA" w:rsidP="00A568CA">
            <w:pPr>
              <w:spacing w:after="0" w:line="240" w:lineRule="auto"/>
              <w:jc w:val="both"/>
              <w:rPr>
                <w:rFonts w:asciiTheme="minorHAnsi" w:hAnsiTheme="minorHAnsi" w:cstheme="minorHAnsi"/>
                <w:b/>
                <w:sz w:val="20"/>
                <w:szCs w:val="20"/>
                <w:lang w:val="en-US"/>
              </w:rPr>
            </w:pPr>
            <w:proofErr w:type="spellStart"/>
            <w:r w:rsidRPr="005552B5">
              <w:rPr>
                <w:rFonts w:asciiTheme="minorHAnsi" w:hAnsiTheme="minorHAnsi" w:cstheme="minorHAnsi"/>
                <w:b/>
                <w:sz w:val="20"/>
                <w:szCs w:val="20"/>
                <w:lang w:val="en-US"/>
              </w:rPr>
              <w:t>Konfederacja</w:t>
            </w:r>
            <w:proofErr w:type="spellEnd"/>
            <w:r w:rsidRPr="005552B5">
              <w:rPr>
                <w:rFonts w:asciiTheme="minorHAnsi" w:hAnsiTheme="minorHAnsi" w:cstheme="minorHAnsi"/>
                <w:b/>
                <w:sz w:val="20"/>
                <w:szCs w:val="20"/>
                <w:lang w:val="en-US"/>
              </w:rPr>
              <w:t xml:space="preserve"> </w:t>
            </w:r>
            <w:proofErr w:type="spellStart"/>
            <w:r w:rsidRPr="005552B5">
              <w:rPr>
                <w:rFonts w:asciiTheme="minorHAnsi" w:hAnsiTheme="minorHAnsi" w:cstheme="minorHAnsi"/>
                <w:b/>
                <w:sz w:val="20"/>
                <w:szCs w:val="20"/>
                <w:lang w:val="en-US"/>
              </w:rPr>
              <w:t>Lewiatan</w:t>
            </w:r>
            <w:proofErr w:type="spellEnd"/>
          </w:p>
        </w:tc>
        <w:tc>
          <w:tcPr>
            <w:tcW w:w="2770" w:type="dxa"/>
          </w:tcPr>
          <w:p w14:paraId="7B592EF0" w14:textId="13812E7D" w:rsidR="00A568CA" w:rsidRPr="005552B5" w:rsidRDefault="00A568CA" w:rsidP="00A568CA">
            <w:pPr>
              <w:spacing w:after="0" w:line="240" w:lineRule="auto"/>
              <w:jc w:val="both"/>
              <w:rPr>
                <w:rStyle w:val="hgkelc"/>
                <w:rFonts w:asciiTheme="minorHAnsi" w:hAnsiTheme="minorHAnsi" w:cstheme="minorHAnsi"/>
                <w:i/>
                <w:sz w:val="20"/>
                <w:szCs w:val="20"/>
              </w:rPr>
            </w:pPr>
            <w:r w:rsidRPr="005552B5">
              <w:rPr>
                <w:rStyle w:val="hgkelc"/>
                <w:rFonts w:asciiTheme="minorHAnsi" w:hAnsiTheme="minorHAnsi" w:cstheme="minorHAnsi"/>
                <w:i/>
                <w:sz w:val="20"/>
                <w:szCs w:val="20"/>
              </w:rPr>
              <w:t>oraz kolejne punkty gdzie występuje odniesienie do stacji ładowania  (tabela Kryteria jakościowe pkt 3)</w:t>
            </w:r>
          </w:p>
        </w:tc>
        <w:tc>
          <w:tcPr>
            <w:tcW w:w="3486" w:type="dxa"/>
          </w:tcPr>
          <w:p w14:paraId="276AA23A"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486" w:type="dxa"/>
          </w:tcPr>
          <w:p w14:paraId="40DE5A6B" w14:textId="1CF6EB1C"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Uzasadnienie jak wyżej</w:t>
            </w:r>
          </w:p>
        </w:tc>
        <w:tc>
          <w:tcPr>
            <w:tcW w:w="3253" w:type="dxa"/>
          </w:tcPr>
          <w:p w14:paraId="2D3FA26C" w14:textId="3B516FB3" w:rsidR="00A568CA" w:rsidRPr="005552B5" w:rsidRDefault="009A163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uwzględniona – doprecyzowania pojęcia – stacja ładowania, punkt ładowania.</w:t>
            </w:r>
          </w:p>
        </w:tc>
      </w:tr>
      <w:tr w:rsidR="00FC32CE" w:rsidRPr="005552B5" w14:paraId="302F1FE4" w14:textId="77777777" w:rsidTr="00F301CE">
        <w:tc>
          <w:tcPr>
            <w:tcW w:w="0" w:type="auto"/>
            <w:vAlign w:val="center"/>
          </w:tcPr>
          <w:p w14:paraId="23AA5FC4" w14:textId="651BCD06" w:rsidR="00A568CA" w:rsidRPr="005552B5" w:rsidRDefault="005573AD" w:rsidP="00A568CA">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59</w:t>
            </w:r>
          </w:p>
        </w:tc>
        <w:tc>
          <w:tcPr>
            <w:tcW w:w="1925" w:type="dxa"/>
          </w:tcPr>
          <w:p w14:paraId="5A28A843" w14:textId="3173186A"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 xml:space="preserve">Polskie Towarzystwo </w:t>
            </w:r>
            <w:proofErr w:type="spellStart"/>
            <w:r w:rsidRPr="005552B5">
              <w:rPr>
                <w:rFonts w:asciiTheme="minorHAnsi" w:hAnsiTheme="minorHAnsi" w:cstheme="minorHAnsi"/>
                <w:b/>
                <w:sz w:val="20"/>
                <w:szCs w:val="20"/>
              </w:rPr>
              <w:t>Przesyłu</w:t>
            </w:r>
            <w:proofErr w:type="spellEnd"/>
            <w:r w:rsidRPr="005552B5">
              <w:rPr>
                <w:rFonts w:asciiTheme="minorHAnsi" w:hAnsiTheme="minorHAnsi" w:cstheme="minorHAnsi"/>
                <w:b/>
                <w:sz w:val="20"/>
                <w:szCs w:val="20"/>
              </w:rPr>
              <w:t xml:space="preserve"> i Rozdziału Energii Elektrycznej</w:t>
            </w:r>
          </w:p>
        </w:tc>
        <w:tc>
          <w:tcPr>
            <w:tcW w:w="2770" w:type="dxa"/>
          </w:tcPr>
          <w:p w14:paraId="7809E7F0"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KRYTERIA JAKOŚCIOWE DOPUSZCZAJĄCE</w:t>
            </w:r>
          </w:p>
          <w:p w14:paraId="64CBE5CF" w14:textId="2F13E610"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b/>
                <w:sz w:val="20"/>
                <w:szCs w:val="20"/>
              </w:rPr>
              <w:t>Kryteria 1-7</w:t>
            </w:r>
          </w:p>
        </w:tc>
        <w:tc>
          <w:tcPr>
            <w:tcW w:w="3486" w:type="dxa"/>
          </w:tcPr>
          <w:p w14:paraId="69286C37"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Postulujemy o dodanie Kryterium nr 8 o następującym brzmieniu:</w:t>
            </w:r>
          </w:p>
          <w:p w14:paraId="7D3C1D5F" w14:textId="4ECC75C3"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Przedstawienie dokumentu stanowiącego zapewnienie Operatora Sytemu Dystrybucyjnego o możliwości przyłączenia stacji ładowania/</w:t>
            </w:r>
            <w:proofErr w:type="spellStart"/>
            <w:r w:rsidRPr="005552B5">
              <w:rPr>
                <w:rStyle w:val="hgkelc"/>
                <w:rFonts w:asciiTheme="minorHAnsi" w:hAnsiTheme="minorHAnsi" w:cstheme="minorHAnsi"/>
                <w:sz w:val="20"/>
                <w:szCs w:val="20"/>
              </w:rPr>
              <w:t>hubu</w:t>
            </w:r>
            <w:proofErr w:type="spellEnd"/>
            <w:r w:rsidRPr="005552B5">
              <w:rPr>
                <w:rStyle w:val="hgkelc"/>
                <w:rFonts w:asciiTheme="minorHAnsi" w:hAnsiTheme="minorHAnsi" w:cstheme="minorHAnsi"/>
                <w:sz w:val="20"/>
                <w:szCs w:val="20"/>
              </w:rPr>
              <w:t xml:space="preserve"> ładowania.</w:t>
            </w:r>
          </w:p>
        </w:tc>
        <w:tc>
          <w:tcPr>
            <w:tcW w:w="3486" w:type="dxa"/>
          </w:tcPr>
          <w:p w14:paraId="2A12C04D" w14:textId="77777777" w:rsidR="00A568CA" w:rsidRPr="005552B5" w:rsidRDefault="00A568CA" w:rsidP="00A568CA">
            <w:pPr>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Wymóg dołączenia do Wniosku o dofinansowanie zapewnienia od Operatora Systemu Dystrybucyjnego (OSD) o możliwości przyłączenia instalacji do sieci elektroenergetycznej pozwoli OSD poznać z odpowiednim wyprzedzeniem lokalizację planowanych inwestycji, obejmujących budowę i/lub rozbudowę ogólnodostępnych stacji ładowania, co z kolei umożliwi wcześniejsze planowanie rozbudowy sieci pod kątem przyłączenia tego typu inwestycji.</w:t>
            </w:r>
          </w:p>
          <w:p w14:paraId="063FCA4A"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253" w:type="dxa"/>
          </w:tcPr>
          <w:p w14:paraId="4B1CD5F8" w14:textId="5E9A62A5"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w:t>
            </w:r>
            <w:r w:rsidR="009A163A" w:rsidRPr="005552B5">
              <w:rPr>
                <w:rFonts w:asciiTheme="minorHAnsi" w:hAnsiTheme="minorHAnsi" w:cstheme="minorHAnsi"/>
                <w:sz w:val="20"/>
                <w:szCs w:val="20"/>
              </w:rPr>
              <w:t xml:space="preserve"> na tym</w:t>
            </w:r>
            <w:r w:rsidRPr="005552B5">
              <w:rPr>
                <w:rFonts w:asciiTheme="minorHAnsi" w:hAnsiTheme="minorHAnsi" w:cstheme="minorHAnsi"/>
                <w:sz w:val="20"/>
                <w:szCs w:val="20"/>
              </w:rPr>
              <w:t xml:space="preserve"> nie została uwzględniona</w:t>
            </w:r>
            <w:r w:rsidR="009A163A" w:rsidRPr="005552B5">
              <w:rPr>
                <w:rFonts w:asciiTheme="minorHAnsi" w:hAnsiTheme="minorHAnsi" w:cstheme="minorHAnsi"/>
                <w:sz w:val="20"/>
                <w:szCs w:val="20"/>
              </w:rPr>
              <w:t xml:space="preserve">. Możliwe ewentualne doprecyzowanie na etapie ogłaszania naboru oraz dokumentacji </w:t>
            </w:r>
            <w:proofErr w:type="spellStart"/>
            <w:r w:rsidR="009A163A" w:rsidRPr="005552B5">
              <w:rPr>
                <w:rFonts w:asciiTheme="minorHAnsi" w:hAnsiTheme="minorHAnsi" w:cstheme="minorHAnsi"/>
                <w:sz w:val="20"/>
                <w:szCs w:val="20"/>
              </w:rPr>
              <w:t>naborowej</w:t>
            </w:r>
            <w:proofErr w:type="spellEnd"/>
            <w:r w:rsidR="009A163A" w:rsidRPr="005552B5">
              <w:rPr>
                <w:rFonts w:asciiTheme="minorHAnsi" w:hAnsiTheme="minorHAnsi" w:cstheme="minorHAnsi"/>
                <w:sz w:val="20"/>
                <w:szCs w:val="20"/>
              </w:rPr>
              <w:t>.</w:t>
            </w:r>
          </w:p>
          <w:p w14:paraId="2C497AD0" w14:textId="77777777" w:rsidR="00A568CA" w:rsidRPr="005552B5" w:rsidRDefault="00A568CA" w:rsidP="00A568CA">
            <w:pPr>
              <w:spacing w:after="0" w:line="240" w:lineRule="auto"/>
              <w:jc w:val="both"/>
              <w:rPr>
                <w:rFonts w:asciiTheme="minorHAnsi" w:hAnsiTheme="minorHAnsi" w:cstheme="minorHAnsi"/>
                <w:sz w:val="20"/>
                <w:szCs w:val="20"/>
              </w:rPr>
            </w:pPr>
          </w:p>
          <w:p w14:paraId="58402743" w14:textId="7B246C25" w:rsidR="00A568CA" w:rsidRPr="005552B5" w:rsidRDefault="00A568CA" w:rsidP="00A568CA">
            <w:pPr>
              <w:spacing w:after="0" w:line="240" w:lineRule="auto"/>
              <w:jc w:val="both"/>
              <w:rPr>
                <w:rFonts w:asciiTheme="minorHAnsi" w:hAnsiTheme="minorHAnsi" w:cstheme="minorHAnsi"/>
                <w:sz w:val="20"/>
                <w:szCs w:val="20"/>
              </w:rPr>
            </w:pPr>
          </w:p>
        </w:tc>
      </w:tr>
      <w:tr w:rsidR="00FC32CE" w:rsidRPr="005552B5" w14:paraId="2B261FE7" w14:textId="77777777" w:rsidTr="00F301CE">
        <w:tc>
          <w:tcPr>
            <w:tcW w:w="0" w:type="auto"/>
            <w:vAlign w:val="center"/>
          </w:tcPr>
          <w:p w14:paraId="1AE72C8C" w14:textId="3ECE8CE2" w:rsidR="00A568CA" w:rsidRPr="005552B5" w:rsidRDefault="00A568CA" w:rsidP="005573AD">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6</w:t>
            </w:r>
            <w:r w:rsidR="005573AD">
              <w:rPr>
                <w:rFonts w:asciiTheme="minorHAnsi" w:hAnsiTheme="minorHAnsi" w:cstheme="minorHAnsi"/>
                <w:sz w:val="20"/>
                <w:szCs w:val="20"/>
                <w:lang w:val="en-US"/>
              </w:rPr>
              <w:t>0</w:t>
            </w:r>
          </w:p>
        </w:tc>
        <w:tc>
          <w:tcPr>
            <w:tcW w:w="1925" w:type="dxa"/>
          </w:tcPr>
          <w:p w14:paraId="31A4AB9C" w14:textId="1AFD7EF8" w:rsidR="00A568CA" w:rsidRPr="005552B5" w:rsidRDefault="00A568CA" w:rsidP="00A568CA">
            <w:pPr>
              <w:spacing w:after="0" w:line="240" w:lineRule="auto"/>
              <w:jc w:val="both"/>
              <w:rPr>
                <w:rFonts w:asciiTheme="minorHAnsi" w:hAnsiTheme="minorHAnsi" w:cstheme="minorHAnsi"/>
                <w:b/>
                <w:sz w:val="20"/>
                <w:szCs w:val="20"/>
                <w:lang w:val="en-US"/>
              </w:rPr>
            </w:pPr>
            <w:r w:rsidRPr="005552B5">
              <w:rPr>
                <w:rFonts w:asciiTheme="minorHAnsi" w:hAnsiTheme="minorHAnsi" w:cstheme="minorHAnsi"/>
                <w:b/>
                <w:sz w:val="20"/>
                <w:szCs w:val="20"/>
                <w:lang w:val="en-US"/>
              </w:rPr>
              <w:t xml:space="preserve">Polska Izba </w:t>
            </w:r>
            <w:proofErr w:type="spellStart"/>
            <w:r w:rsidRPr="005552B5">
              <w:rPr>
                <w:rFonts w:asciiTheme="minorHAnsi" w:hAnsiTheme="minorHAnsi" w:cstheme="minorHAnsi"/>
                <w:b/>
                <w:sz w:val="20"/>
                <w:szCs w:val="20"/>
                <w:lang w:val="en-US"/>
              </w:rPr>
              <w:t>Gospodarki</w:t>
            </w:r>
            <w:proofErr w:type="spellEnd"/>
            <w:r w:rsidRPr="005552B5">
              <w:rPr>
                <w:rFonts w:asciiTheme="minorHAnsi" w:hAnsiTheme="minorHAnsi" w:cstheme="minorHAnsi"/>
                <w:b/>
                <w:sz w:val="20"/>
                <w:szCs w:val="20"/>
                <w:lang w:val="en-US"/>
              </w:rPr>
              <w:t xml:space="preserve"> </w:t>
            </w:r>
            <w:proofErr w:type="spellStart"/>
            <w:r w:rsidRPr="005552B5">
              <w:rPr>
                <w:rFonts w:asciiTheme="minorHAnsi" w:hAnsiTheme="minorHAnsi" w:cstheme="minorHAnsi"/>
                <w:b/>
                <w:sz w:val="20"/>
                <w:szCs w:val="20"/>
                <w:lang w:val="en-US"/>
              </w:rPr>
              <w:t>Odpadami</w:t>
            </w:r>
            <w:proofErr w:type="spellEnd"/>
          </w:p>
        </w:tc>
        <w:tc>
          <w:tcPr>
            <w:tcW w:w="2770" w:type="dxa"/>
          </w:tcPr>
          <w:p w14:paraId="279106A0"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7.3 Warunki dofinansowania</w:t>
            </w:r>
          </w:p>
          <w:p w14:paraId="155854B8" w14:textId="01B7E9BB"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1) objęta dofinansowaniem ogólnodostępna stacja </w:t>
            </w:r>
            <w:r w:rsidRPr="005552B5">
              <w:rPr>
                <w:rStyle w:val="hgkelc"/>
                <w:rFonts w:asciiTheme="minorHAnsi" w:hAnsiTheme="minorHAnsi" w:cstheme="minorHAnsi"/>
                <w:sz w:val="20"/>
                <w:szCs w:val="20"/>
              </w:rPr>
              <w:lastRenderedPageBreak/>
              <w:t>ładowania musi być zlokalizowana wzdłuż dróg sieci bazowej TEN-T tj. na drodze należącej do sieci drogowej TEN-T lub w odległości do 3 km jazdy od najbliższego zjazdu z drogi TEN-T lub bezpośrednio na terenie centrum logistycznego (DEPOT) lub terminalu intermodalnego;</w:t>
            </w:r>
          </w:p>
        </w:tc>
        <w:tc>
          <w:tcPr>
            <w:tcW w:w="3486" w:type="dxa"/>
          </w:tcPr>
          <w:p w14:paraId="730B5EEF"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b/>
                <w:sz w:val="20"/>
                <w:szCs w:val="20"/>
              </w:rPr>
              <w:lastRenderedPageBreak/>
              <w:t>7.3 Warunki dofinansowania</w:t>
            </w:r>
          </w:p>
          <w:p w14:paraId="78B6D089" w14:textId="58AD7D32"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1) objęta dofinansowaniem ogólnodostępna stacja ładowania musi </w:t>
            </w:r>
            <w:r w:rsidRPr="005552B5">
              <w:rPr>
                <w:rStyle w:val="hgkelc"/>
                <w:rFonts w:asciiTheme="minorHAnsi" w:hAnsiTheme="minorHAnsi" w:cstheme="minorHAnsi"/>
                <w:sz w:val="20"/>
                <w:szCs w:val="20"/>
              </w:rPr>
              <w:lastRenderedPageBreak/>
              <w:t xml:space="preserve">być zlokalizowana wzdłuż dróg sieci bazowej TEN-T tj. na drodze należącej do sieci drogowej TEN-T lub w odległości do 3 km jazdy od najbliższego zjazdu z drogi TEN-T lub bezpośrednio na terenie centrum logistycznego (DEPOT), terminalu intermodalnego </w:t>
            </w:r>
            <w:r w:rsidRPr="005552B5">
              <w:rPr>
                <w:rStyle w:val="hgkelc"/>
                <w:rFonts w:asciiTheme="minorHAnsi" w:hAnsiTheme="minorHAnsi" w:cstheme="minorHAnsi"/>
                <w:b/>
                <w:sz w:val="20"/>
                <w:szCs w:val="20"/>
              </w:rPr>
              <w:t>lub przy instalacji zajmującej się przeładunkiem bądź przetwarzaniem (w tym także termicznym) odpadów</w:t>
            </w:r>
            <w:r w:rsidR="009A163A" w:rsidRPr="005552B5">
              <w:rPr>
                <w:rStyle w:val="hgkelc"/>
                <w:rFonts w:asciiTheme="minorHAnsi" w:hAnsiTheme="minorHAnsi" w:cstheme="minorHAnsi"/>
                <w:b/>
                <w:sz w:val="20"/>
                <w:szCs w:val="20"/>
              </w:rPr>
              <w:t>.</w:t>
            </w:r>
          </w:p>
        </w:tc>
        <w:tc>
          <w:tcPr>
            <w:tcW w:w="3486" w:type="dxa"/>
          </w:tcPr>
          <w:p w14:paraId="186B12BB" w14:textId="306B10EA"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 xml:space="preserve">W naszym rozumieniu instalacje zajmujące się przeładunkiem bądź przetwarzaniem (w tym także </w:t>
            </w:r>
            <w:r w:rsidRPr="005552B5">
              <w:rPr>
                <w:rStyle w:val="hgkelc"/>
                <w:rFonts w:asciiTheme="minorHAnsi" w:hAnsiTheme="minorHAnsi" w:cstheme="minorHAnsi"/>
                <w:sz w:val="20"/>
                <w:szCs w:val="20"/>
              </w:rPr>
              <w:lastRenderedPageBreak/>
              <w:t>termicznym) odpadów (które możemy nazwać także centrami logistycznymi w zakresie gospodarowania odpadami) mieszczą się w definicji „centrum logistycznego” (DEPOT), ale celem doprecyzowania proponujemy wprowadzenie dokładnego zapisu. Chcemy uzyskać w tym zakresie pewność, ponieważ widzimy istotny potencjał na rozwój sieci ładowania pojazdów ciężarowych przy wszystkich instalacjach zajmujących się przeładunkiem bądź przetwarzaniem (w tym także termicznym) odpadów. Szacujemy, że liczba instalacji zajmujących się przeładunkiem bądź przetwarzaniem odpadów (w tym także termicznym), dokąd są dowożone odpady pojazdami ciężarowymi, a które znajdują się w dalszej odległości od sieci TEN-T niż wymagana, wynosi ponad 600 lokalizacji. W zależności od zaprojektowanych możliwości przetwórczych tych instalacji w czasie jednego dnia może odbywać się nawet 100-150 transportów do i z tych instalacji, co stwarza ogromny potencjał na wykorzystanie tam ulokowanych stacji szybkiego ładowania.</w:t>
            </w:r>
          </w:p>
        </w:tc>
        <w:tc>
          <w:tcPr>
            <w:tcW w:w="3253" w:type="dxa"/>
          </w:tcPr>
          <w:p w14:paraId="15BBB868" w14:textId="611225AB" w:rsidR="00A568CA"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Uwaga </w:t>
            </w:r>
            <w:r w:rsidR="0012547C">
              <w:rPr>
                <w:rFonts w:asciiTheme="minorHAnsi" w:hAnsiTheme="minorHAnsi" w:cstheme="minorHAnsi"/>
                <w:sz w:val="20"/>
                <w:szCs w:val="20"/>
              </w:rPr>
              <w:t>częściowo</w:t>
            </w:r>
            <w:r w:rsidRPr="005552B5">
              <w:rPr>
                <w:rFonts w:asciiTheme="minorHAnsi" w:hAnsiTheme="minorHAnsi" w:cstheme="minorHAnsi"/>
                <w:sz w:val="20"/>
                <w:szCs w:val="20"/>
              </w:rPr>
              <w:t xml:space="preserve"> uwzględniona</w:t>
            </w:r>
            <w:r w:rsidR="0012547C">
              <w:rPr>
                <w:rFonts w:asciiTheme="minorHAnsi" w:hAnsiTheme="minorHAnsi" w:cstheme="minorHAnsi"/>
                <w:sz w:val="20"/>
                <w:szCs w:val="20"/>
              </w:rPr>
              <w:t>.</w:t>
            </w:r>
          </w:p>
          <w:p w14:paraId="46F47D7C" w14:textId="77777777" w:rsidR="002C4301" w:rsidRPr="002C4301" w:rsidRDefault="0012547C" w:rsidP="002C4301">
            <w:pPr>
              <w:spacing w:after="0" w:line="240" w:lineRule="auto"/>
              <w:jc w:val="both"/>
              <w:rPr>
                <w:rFonts w:asciiTheme="minorHAnsi" w:hAnsiTheme="minorHAnsi" w:cstheme="minorHAnsi"/>
                <w:sz w:val="20"/>
                <w:szCs w:val="20"/>
              </w:rPr>
            </w:pPr>
            <w:r>
              <w:rPr>
                <w:rFonts w:asciiTheme="minorHAnsi" w:hAnsiTheme="minorHAnsi" w:cstheme="minorHAnsi"/>
                <w:sz w:val="20"/>
                <w:szCs w:val="20"/>
              </w:rPr>
              <w:t>W programie dodano „baza logistyczna</w:t>
            </w:r>
            <w:r w:rsidR="002C4301">
              <w:rPr>
                <w:rFonts w:asciiTheme="minorHAnsi" w:hAnsiTheme="minorHAnsi" w:cstheme="minorHAnsi"/>
                <w:sz w:val="20"/>
                <w:szCs w:val="20"/>
              </w:rPr>
              <w:t xml:space="preserve">: </w:t>
            </w:r>
            <w:r w:rsidR="002C4301" w:rsidRPr="002C4301">
              <w:rPr>
                <w:rFonts w:asciiTheme="minorHAnsi" w:hAnsiTheme="minorHAnsi" w:cstheme="minorHAnsi"/>
                <w:sz w:val="20"/>
                <w:szCs w:val="20"/>
              </w:rPr>
              <w:t>1)</w:t>
            </w:r>
            <w:r w:rsidR="002C4301" w:rsidRPr="002C4301">
              <w:rPr>
                <w:rFonts w:asciiTheme="minorHAnsi" w:hAnsiTheme="minorHAnsi" w:cstheme="minorHAnsi"/>
                <w:sz w:val="20"/>
                <w:szCs w:val="20"/>
              </w:rPr>
              <w:tab/>
              <w:t xml:space="preserve">objęta </w:t>
            </w:r>
            <w:r w:rsidR="002C4301" w:rsidRPr="002C4301">
              <w:rPr>
                <w:rFonts w:asciiTheme="minorHAnsi" w:hAnsiTheme="minorHAnsi" w:cstheme="minorHAnsi"/>
                <w:sz w:val="20"/>
                <w:szCs w:val="20"/>
              </w:rPr>
              <w:lastRenderedPageBreak/>
              <w:t>dofinansowaniem ogólnodostępna stacja ładowania musi być zlokalizowana:</w:t>
            </w:r>
          </w:p>
          <w:p w14:paraId="2C7ED710" w14:textId="77777777" w:rsidR="002C4301" w:rsidRPr="002C4301" w:rsidRDefault="002C4301" w:rsidP="002C4301">
            <w:pPr>
              <w:spacing w:after="0" w:line="240" w:lineRule="auto"/>
              <w:jc w:val="both"/>
              <w:rPr>
                <w:rFonts w:asciiTheme="minorHAnsi" w:hAnsiTheme="minorHAnsi" w:cstheme="minorHAnsi"/>
                <w:sz w:val="20"/>
                <w:szCs w:val="20"/>
              </w:rPr>
            </w:pPr>
            <w:r w:rsidRPr="002C4301">
              <w:rPr>
                <w:rFonts w:asciiTheme="minorHAnsi" w:hAnsiTheme="minorHAnsi" w:cstheme="minorHAnsi"/>
                <w:sz w:val="20"/>
                <w:szCs w:val="20"/>
              </w:rPr>
              <w:t>•</w:t>
            </w:r>
            <w:r w:rsidRPr="002C4301">
              <w:rPr>
                <w:rFonts w:asciiTheme="minorHAnsi" w:hAnsiTheme="minorHAnsi" w:cstheme="minorHAnsi"/>
                <w:sz w:val="20"/>
                <w:szCs w:val="20"/>
              </w:rPr>
              <w:tab/>
              <w:t>wzdłuż dróg sieci bazowej TEN-T tj. na drodze należącej do sieci drogowej TEN-T lub w odległości do 3 km jazdy od najbliższego zjazdu z drogi TEN-T;</w:t>
            </w:r>
          </w:p>
          <w:p w14:paraId="190D5290" w14:textId="77777777" w:rsidR="002C4301" w:rsidRPr="002C4301" w:rsidRDefault="002C4301" w:rsidP="002C4301">
            <w:pPr>
              <w:spacing w:after="0" w:line="240" w:lineRule="auto"/>
              <w:jc w:val="both"/>
              <w:rPr>
                <w:rFonts w:asciiTheme="minorHAnsi" w:hAnsiTheme="minorHAnsi" w:cstheme="minorHAnsi"/>
                <w:sz w:val="20"/>
                <w:szCs w:val="20"/>
              </w:rPr>
            </w:pPr>
            <w:r w:rsidRPr="002C4301">
              <w:rPr>
                <w:rFonts w:asciiTheme="minorHAnsi" w:hAnsiTheme="minorHAnsi" w:cstheme="minorHAnsi"/>
                <w:sz w:val="20"/>
                <w:szCs w:val="20"/>
              </w:rPr>
              <w:t xml:space="preserve"> lub </w:t>
            </w:r>
          </w:p>
          <w:p w14:paraId="103C0E68" w14:textId="1C66F296" w:rsidR="0012547C" w:rsidRPr="005552B5" w:rsidRDefault="002C4301" w:rsidP="002C4301">
            <w:pPr>
              <w:spacing w:after="0" w:line="240" w:lineRule="auto"/>
              <w:jc w:val="both"/>
              <w:rPr>
                <w:rFonts w:asciiTheme="minorHAnsi" w:hAnsiTheme="minorHAnsi" w:cstheme="minorHAnsi"/>
                <w:sz w:val="20"/>
                <w:szCs w:val="20"/>
              </w:rPr>
            </w:pPr>
            <w:r w:rsidRPr="002C4301">
              <w:rPr>
                <w:rFonts w:asciiTheme="minorHAnsi" w:hAnsiTheme="minorHAnsi" w:cstheme="minorHAnsi"/>
                <w:sz w:val="20"/>
                <w:szCs w:val="20"/>
              </w:rPr>
              <w:t>•</w:t>
            </w:r>
            <w:r w:rsidRPr="002C4301">
              <w:rPr>
                <w:rFonts w:asciiTheme="minorHAnsi" w:hAnsiTheme="minorHAnsi" w:cstheme="minorHAnsi"/>
                <w:sz w:val="20"/>
                <w:szCs w:val="20"/>
              </w:rPr>
              <w:tab/>
              <w:t>na obszarze centrum logistycznego (DEPOT), bazy eksploatacyjnej  lub terminalu intermodalnego lub w odległości</w:t>
            </w:r>
            <w:r>
              <w:rPr>
                <w:rFonts w:asciiTheme="minorHAnsi" w:hAnsiTheme="minorHAnsi" w:cstheme="minorHAnsi"/>
                <w:sz w:val="20"/>
                <w:szCs w:val="20"/>
              </w:rPr>
              <w:t xml:space="preserve"> do 3 km jazdy od tych obiektów.”</w:t>
            </w:r>
          </w:p>
          <w:p w14:paraId="5D9E28D3" w14:textId="77777777" w:rsidR="00A568CA" w:rsidRPr="005552B5" w:rsidRDefault="00A568CA" w:rsidP="00A568CA">
            <w:pPr>
              <w:spacing w:after="0" w:line="240" w:lineRule="auto"/>
              <w:jc w:val="both"/>
              <w:rPr>
                <w:rFonts w:asciiTheme="minorHAnsi" w:hAnsiTheme="minorHAnsi" w:cstheme="minorHAnsi"/>
                <w:sz w:val="20"/>
                <w:szCs w:val="20"/>
              </w:rPr>
            </w:pPr>
          </w:p>
          <w:p w14:paraId="37D1155E" w14:textId="00BF67B8"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W przyszłości rozważymy  ewentualne rozszerzenie </w:t>
            </w:r>
            <w:r w:rsidR="00BC214C">
              <w:rPr>
                <w:rFonts w:asciiTheme="minorHAnsi" w:hAnsiTheme="minorHAnsi" w:cstheme="minorHAnsi"/>
                <w:sz w:val="20"/>
                <w:szCs w:val="20"/>
              </w:rPr>
              <w:t>zakresu programu priorytetowego o inne lokalizacje.</w:t>
            </w:r>
          </w:p>
          <w:p w14:paraId="40FC3C8D" w14:textId="77777777" w:rsidR="007F53C3" w:rsidRPr="005552B5" w:rsidRDefault="007F53C3" w:rsidP="00A568CA">
            <w:pPr>
              <w:spacing w:after="0" w:line="240" w:lineRule="auto"/>
              <w:jc w:val="both"/>
              <w:rPr>
                <w:rFonts w:asciiTheme="minorHAnsi" w:hAnsiTheme="minorHAnsi" w:cstheme="minorHAnsi"/>
                <w:sz w:val="20"/>
                <w:szCs w:val="20"/>
              </w:rPr>
            </w:pPr>
          </w:p>
          <w:p w14:paraId="5EBA4641" w14:textId="181618B4" w:rsidR="007F53C3" w:rsidRPr="005552B5" w:rsidRDefault="007F53C3"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 ramach oferty NFOŚIGW w 2023 r. był program dedykowany budowie ładowarek bez określonej lokalizacji (ładowarki różnej mocy</w:t>
            </w:r>
            <w:r w:rsidRPr="005552B5">
              <w:rPr>
                <w:rFonts w:asciiTheme="minorHAnsi" w:hAnsiTheme="minorHAnsi" w:cstheme="minorHAnsi"/>
                <w:sz w:val="20"/>
                <w:szCs w:val="20"/>
              </w:rPr>
              <w:br/>
              <w:t>).</w:t>
            </w:r>
          </w:p>
        </w:tc>
      </w:tr>
      <w:tr w:rsidR="00FC32CE" w:rsidRPr="005552B5" w14:paraId="7B9C8C83" w14:textId="77777777" w:rsidTr="00F301CE">
        <w:tc>
          <w:tcPr>
            <w:tcW w:w="0" w:type="auto"/>
            <w:vAlign w:val="center"/>
          </w:tcPr>
          <w:p w14:paraId="70A2B728" w14:textId="0719C214" w:rsidR="00A568CA" w:rsidRPr="005552B5" w:rsidRDefault="00A568CA" w:rsidP="005573AD">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6</w:t>
            </w:r>
            <w:r w:rsidR="005573AD">
              <w:rPr>
                <w:rFonts w:asciiTheme="minorHAnsi" w:hAnsiTheme="minorHAnsi" w:cstheme="minorHAnsi"/>
                <w:sz w:val="20"/>
                <w:szCs w:val="20"/>
              </w:rPr>
              <w:t>1</w:t>
            </w:r>
          </w:p>
        </w:tc>
        <w:tc>
          <w:tcPr>
            <w:tcW w:w="1925" w:type="dxa"/>
          </w:tcPr>
          <w:p w14:paraId="2D597C5C" w14:textId="6ACB7B20"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Polska Izba Gospodarki Odpadami</w:t>
            </w:r>
          </w:p>
        </w:tc>
        <w:tc>
          <w:tcPr>
            <w:tcW w:w="2770" w:type="dxa"/>
          </w:tcPr>
          <w:p w14:paraId="22B61532"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3. Budżet</w:t>
            </w:r>
          </w:p>
          <w:p w14:paraId="3E57EBD1"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co najmniej 80% budżetu przeznaczona będzie na wsparcie budowy i/lub rozbudowy ogólnodostępnych stacji ładowania dla transportu ciężkiego, zlokalizowanych wzdłuż sieci TEN-T;</w:t>
            </w:r>
          </w:p>
          <w:p w14:paraId="5D048E97" w14:textId="4DFE83CC"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do 20% budżetu przeznaczona będzie na wsparcie budowy i/lub rozbudowy </w:t>
            </w:r>
            <w:r w:rsidRPr="005552B5">
              <w:rPr>
                <w:rStyle w:val="hgkelc"/>
                <w:rFonts w:asciiTheme="minorHAnsi" w:hAnsiTheme="minorHAnsi" w:cstheme="minorHAnsi"/>
                <w:sz w:val="20"/>
                <w:szCs w:val="20"/>
              </w:rPr>
              <w:lastRenderedPageBreak/>
              <w:t>ogólnodostępnych stacji ładowania dla transportu ciężkiego, zlokalizowanych na obszarze centrum logistycznego lub terminalu intermodalnego.</w:t>
            </w:r>
          </w:p>
        </w:tc>
        <w:tc>
          <w:tcPr>
            <w:tcW w:w="3486" w:type="dxa"/>
          </w:tcPr>
          <w:p w14:paraId="098F0D42"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3. Budżet</w:t>
            </w:r>
          </w:p>
          <w:p w14:paraId="4FFC5A91"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co najmniej </w:t>
            </w:r>
            <w:r w:rsidRPr="005552B5">
              <w:rPr>
                <w:rStyle w:val="hgkelc"/>
                <w:rFonts w:asciiTheme="minorHAnsi" w:hAnsiTheme="minorHAnsi" w:cstheme="minorHAnsi"/>
                <w:b/>
                <w:sz w:val="20"/>
                <w:szCs w:val="20"/>
              </w:rPr>
              <w:t>50%</w:t>
            </w:r>
            <w:r w:rsidRPr="005552B5">
              <w:rPr>
                <w:rStyle w:val="hgkelc"/>
                <w:rFonts w:asciiTheme="minorHAnsi" w:hAnsiTheme="minorHAnsi" w:cstheme="minorHAnsi"/>
                <w:sz w:val="20"/>
                <w:szCs w:val="20"/>
              </w:rPr>
              <w:t xml:space="preserve"> budżetu przeznaczona będzie na wsparcie budowy i/lub rozbudowy ogólnodostępnych stacji ładowania dla transportu ciężkiego, zlokalizowanych wzdłuż sieci TEN-T;</w:t>
            </w:r>
          </w:p>
          <w:p w14:paraId="12DF2767" w14:textId="1F2B525B"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do </w:t>
            </w:r>
            <w:r w:rsidRPr="005552B5">
              <w:rPr>
                <w:rStyle w:val="hgkelc"/>
                <w:rFonts w:asciiTheme="minorHAnsi" w:hAnsiTheme="minorHAnsi" w:cstheme="minorHAnsi"/>
                <w:b/>
                <w:sz w:val="20"/>
                <w:szCs w:val="20"/>
              </w:rPr>
              <w:t>50%</w:t>
            </w:r>
            <w:r w:rsidRPr="005552B5">
              <w:rPr>
                <w:rStyle w:val="hgkelc"/>
                <w:rFonts w:asciiTheme="minorHAnsi" w:hAnsiTheme="minorHAnsi" w:cstheme="minorHAnsi"/>
                <w:sz w:val="20"/>
                <w:szCs w:val="20"/>
              </w:rPr>
              <w:t xml:space="preserve"> budżetu przeznaczona będzie na wsparcie budowy i/lub rozbudowy ogólnodostępnych stacji ładowania dla transportu ciężkiego, zlokalizowanych </w:t>
            </w:r>
            <w:r w:rsidRPr="005552B5">
              <w:rPr>
                <w:rStyle w:val="hgkelc"/>
                <w:rFonts w:asciiTheme="minorHAnsi" w:hAnsiTheme="minorHAnsi" w:cstheme="minorHAnsi"/>
                <w:sz w:val="20"/>
                <w:szCs w:val="20"/>
              </w:rPr>
              <w:lastRenderedPageBreak/>
              <w:t>na obszarze centrum logistycznego lub terminalu intermodalnego.</w:t>
            </w:r>
          </w:p>
        </w:tc>
        <w:tc>
          <w:tcPr>
            <w:tcW w:w="3486" w:type="dxa"/>
          </w:tcPr>
          <w:p w14:paraId="15F74727" w14:textId="67538FE9"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 xml:space="preserve">W związku z widocznym potencjałem na rozwój sieci ładowania pojazdów ciężarowych przy wszystkich instalacjach zajmujących się przeładunkiem bądź przetwarzaniem (w tym także termicznym) odpadów, wnioskujemy o zmianę alokacji budżetu i podział go w proporcji 50:50. Alternatywnie wnioskujemy o zwiększenie ogólnego budżetu, aby alokacja dla punktów ładowania poza drogami TEN-T była </w:t>
            </w:r>
            <w:r w:rsidRPr="005552B5">
              <w:rPr>
                <w:rStyle w:val="hgkelc"/>
                <w:rFonts w:asciiTheme="minorHAnsi" w:hAnsiTheme="minorHAnsi" w:cstheme="minorHAnsi"/>
                <w:sz w:val="20"/>
                <w:szCs w:val="20"/>
              </w:rPr>
              <w:lastRenderedPageBreak/>
              <w:t>większa niż 400 000 tys. zł (20%). Szacujemy, że liczba instalacji zajmujących się przeładunkiem bądź przetwarzaniem odpadów (w tym także termicznym), dokąd są dowożone odpady pojazdami ciężarowymi, a które znajdują się w dalszej odległości od sieci TEN-T niż wymagana, wynosi ponad 600 lokalizacji, a spodziewamy się, że oczywiście inne branże i sektory gospodarki także zgłoszą w tym zakresie wysokie zapotrzebowanie.</w:t>
            </w:r>
          </w:p>
        </w:tc>
        <w:tc>
          <w:tcPr>
            <w:tcW w:w="3253" w:type="dxa"/>
          </w:tcPr>
          <w:p w14:paraId="590F55C6" w14:textId="7B6509B2"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Uwaga </w:t>
            </w:r>
            <w:r w:rsidR="007F53C3" w:rsidRPr="005552B5">
              <w:rPr>
                <w:rFonts w:asciiTheme="minorHAnsi" w:hAnsiTheme="minorHAnsi" w:cstheme="minorHAnsi"/>
                <w:sz w:val="20"/>
                <w:szCs w:val="20"/>
              </w:rPr>
              <w:t xml:space="preserve">nie </w:t>
            </w:r>
            <w:r w:rsidR="00D951A8" w:rsidRPr="005552B5">
              <w:rPr>
                <w:rFonts w:asciiTheme="minorHAnsi" w:hAnsiTheme="minorHAnsi" w:cstheme="minorHAnsi"/>
                <w:sz w:val="20"/>
                <w:szCs w:val="20"/>
              </w:rPr>
              <w:t xml:space="preserve">została </w:t>
            </w:r>
            <w:r w:rsidR="007F53C3" w:rsidRPr="005552B5">
              <w:rPr>
                <w:rFonts w:asciiTheme="minorHAnsi" w:hAnsiTheme="minorHAnsi" w:cstheme="minorHAnsi"/>
                <w:sz w:val="20"/>
                <w:szCs w:val="20"/>
              </w:rPr>
              <w:t>uwzględniona. Priorytetem jest wypełnienie zobowiązań AFIR i budowa infrastruktury wzdłuż sieci TEN-T. Możliwe ewentualne rozszerzenie/zmiana zakresu programu.</w:t>
            </w:r>
          </w:p>
          <w:p w14:paraId="3C5A6D10" w14:textId="77777777" w:rsidR="00A568CA" w:rsidRPr="005552B5" w:rsidRDefault="00A568CA" w:rsidP="00A568CA">
            <w:pPr>
              <w:spacing w:after="0" w:line="240" w:lineRule="auto"/>
              <w:jc w:val="both"/>
              <w:rPr>
                <w:rFonts w:asciiTheme="minorHAnsi" w:hAnsiTheme="minorHAnsi" w:cstheme="minorHAnsi"/>
                <w:sz w:val="20"/>
                <w:szCs w:val="20"/>
                <w:highlight w:val="green"/>
              </w:rPr>
            </w:pPr>
          </w:p>
          <w:p w14:paraId="4A716781" w14:textId="3FCE6C4B" w:rsidR="00A568CA" w:rsidRPr="005552B5" w:rsidRDefault="00A568CA" w:rsidP="00A568CA">
            <w:pPr>
              <w:spacing w:after="0" w:line="240" w:lineRule="auto"/>
              <w:jc w:val="both"/>
              <w:rPr>
                <w:rFonts w:asciiTheme="minorHAnsi" w:hAnsiTheme="minorHAnsi" w:cstheme="minorHAnsi"/>
                <w:sz w:val="20"/>
                <w:szCs w:val="20"/>
              </w:rPr>
            </w:pPr>
          </w:p>
        </w:tc>
      </w:tr>
      <w:tr w:rsidR="00FC32CE" w:rsidRPr="005552B5" w14:paraId="63836268" w14:textId="77777777" w:rsidTr="00F301CE">
        <w:tc>
          <w:tcPr>
            <w:tcW w:w="0" w:type="auto"/>
            <w:vAlign w:val="center"/>
          </w:tcPr>
          <w:p w14:paraId="3FC776D3" w14:textId="1D861097" w:rsidR="00A568CA" w:rsidRPr="005552B5" w:rsidRDefault="00A568CA" w:rsidP="005573AD">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6</w:t>
            </w:r>
            <w:r w:rsidR="005573AD">
              <w:rPr>
                <w:rFonts w:asciiTheme="minorHAnsi" w:hAnsiTheme="minorHAnsi" w:cstheme="minorHAnsi"/>
                <w:sz w:val="20"/>
                <w:szCs w:val="20"/>
                <w:lang w:val="en-US"/>
              </w:rPr>
              <w:t>2</w:t>
            </w:r>
          </w:p>
        </w:tc>
        <w:tc>
          <w:tcPr>
            <w:tcW w:w="1925" w:type="dxa"/>
          </w:tcPr>
          <w:p w14:paraId="62265298" w14:textId="432CA190" w:rsidR="00A568CA" w:rsidRPr="005552B5" w:rsidRDefault="00A568CA" w:rsidP="00A568CA">
            <w:pPr>
              <w:spacing w:after="0" w:line="240" w:lineRule="auto"/>
              <w:jc w:val="both"/>
              <w:rPr>
                <w:rFonts w:asciiTheme="minorHAnsi" w:hAnsiTheme="minorHAnsi" w:cstheme="minorHAnsi"/>
                <w:b/>
                <w:sz w:val="20"/>
                <w:szCs w:val="20"/>
                <w:lang w:val="en-US"/>
              </w:rPr>
            </w:pPr>
            <w:r w:rsidRPr="005552B5">
              <w:rPr>
                <w:rFonts w:asciiTheme="minorHAnsi" w:hAnsiTheme="minorHAnsi" w:cstheme="minorHAnsi"/>
                <w:b/>
                <w:sz w:val="20"/>
                <w:szCs w:val="20"/>
                <w:lang w:val="en-US"/>
              </w:rPr>
              <w:t xml:space="preserve">Polska Izba </w:t>
            </w:r>
            <w:proofErr w:type="spellStart"/>
            <w:r w:rsidRPr="005552B5">
              <w:rPr>
                <w:rFonts w:asciiTheme="minorHAnsi" w:hAnsiTheme="minorHAnsi" w:cstheme="minorHAnsi"/>
                <w:b/>
                <w:sz w:val="20"/>
                <w:szCs w:val="20"/>
                <w:lang w:val="en-US"/>
              </w:rPr>
              <w:t>Gospodarki</w:t>
            </w:r>
            <w:proofErr w:type="spellEnd"/>
            <w:r w:rsidRPr="005552B5">
              <w:rPr>
                <w:rFonts w:asciiTheme="minorHAnsi" w:hAnsiTheme="minorHAnsi" w:cstheme="minorHAnsi"/>
                <w:b/>
                <w:sz w:val="20"/>
                <w:szCs w:val="20"/>
                <w:lang w:val="en-US"/>
              </w:rPr>
              <w:t xml:space="preserve"> </w:t>
            </w:r>
            <w:proofErr w:type="spellStart"/>
            <w:r w:rsidRPr="005552B5">
              <w:rPr>
                <w:rFonts w:asciiTheme="minorHAnsi" w:hAnsiTheme="minorHAnsi" w:cstheme="minorHAnsi"/>
                <w:b/>
                <w:sz w:val="20"/>
                <w:szCs w:val="20"/>
                <w:lang w:val="en-US"/>
              </w:rPr>
              <w:t>Odpadami</w:t>
            </w:r>
            <w:proofErr w:type="spellEnd"/>
          </w:p>
        </w:tc>
        <w:tc>
          <w:tcPr>
            <w:tcW w:w="2770" w:type="dxa"/>
          </w:tcPr>
          <w:p w14:paraId="69EDFE4D"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5. Terminy i sposób składania wniosków</w:t>
            </w:r>
          </w:p>
          <w:p w14:paraId="6A41C5FC"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Nabór wniosków o dofinansowanie inwestycji , polegających na budowie lub rozbudowie ogólnodostępnych stacji ładowania jest prowadzony w trybie konkursowym. </w:t>
            </w:r>
          </w:p>
          <w:p w14:paraId="733B782B" w14:textId="7855319B"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Terminy, sposób składania i rozpatrywania wniosków określone zostaną odpowiednio: w Regulaminie naboru lub w ogłoszeniu o naborze, które zamieszczone będą na stronie internetowej NFOŚiGW.</w:t>
            </w:r>
          </w:p>
        </w:tc>
        <w:tc>
          <w:tcPr>
            <w:tcW w:w="3486" w:type="dxa"/>
          </w:tcPr>
          <w:p w14:paraId="4B7DF97D" w14:textId="130D3B4B"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Wnioskujemy o podział naborów na nabory coroczne i podzielenie dofinansowania na transze.</w:t>
            </w:r>
          </w:p>
        </w:tc>
        <w:tc>
          <w:tcPr>
            <w:tcW w:w="3486" w:type="dxa"/>
          </w:tcPr>
          <w:p w14:paraId="3AD91198" w14:textId="47CAF3BA"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Uzasadnienie: Umożliwi to stopniowy rozwój infrastruktury oraz optymalne jej rozłożenie w przestrzeni. Dzięki kryteriom jakościowym podział naborów umożliwi wybór najlepszych inwestycji. Przedsiębiorcy będą mogli uwzględnić budowę stacji także w inwestycjach będących w trakcie planowania i rozwoju na przyszłe lata. Realizacja wielu inwestycji w jednym czasie spowoduje wąskie gardła np. w odbiorach stacji.</w:t>
            </w:r>
          </w:p>
        </w:tc>
        <w:tc>
          <w:tcPr>
            <w:tcW w:w="3253" w:type="dxa"/>
          </w:tcPr>
          <w:p w14:paraId="3484BE40" w14:textId="400F6A2F" w:rsidR="00A568CA" w:rsidRPr="005552B5" w:rsidRDefault="007F53C3"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częściowo uwzględniona. W trakcie trwania programu planowane jest kilka naborów wniosków o dofinansowanie.</w:t>
            </w:r>
          </w:p>
        </w:tc>
      </w:tr>
      <w:tr w:rsidR="00FC32CE" w:rsidRPr="005552B5" w14:paraId="63129C84" w14:textId="77777777" w:rsidTr="00F301CE">
        <w:tc>
          <w:tcPr>
            <w:tcW w:w="0" w:type="auto"/>
            <w:vAlign w:val="center"/>
          </w:tcPr>
          <w:p w14:paraId="426322B9" w14:textId="02FD8495" w:rsidR="00A568CA" w:rsidRPr="005552B5" w:rsidRDefault="00A568CA" w:rsidP="00026E75">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6</w:t>
            </w:r>
            <w:r w:rsidR="00026E75">
              <w:rPr>
                <w:rFonts w:asciiTheme="minorHAnsi" w:hAnsiTheme="minorHAnsi" w:cstheme="minorHAnsi"/>
                <w:sz w:val="20"/>
                <w:szCs w:val="20"/>
              </w:rPr>
              <w:t>3</w:t>
            </w:r>
          </w:p>
        </w:tc>
        <w:tc>
          <w:tcPr>
            <w:tcW w:w="1925" w:type="dxa"/>
          </w:tcPr>
          <w:p w14:paraId="7037DF1B" w14:textId="09E2E459" w:rsidR="00A568CA" w:rsidRPr="005552B5" w:rsidRDefault="00A568CA" w:rsidP="00A568CA">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Polska Izba Gospodarki Odpadami</w:t>
            </w:r>
          </w:p>
        </w:tc>
        <w:tc>
          <w:tcPr>
            <w:tcW w:w="2770" w:type="dxa"/>
          </w:tcPr>
          <w:p w14:paraId="773C1B40"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7.3 Warunki dofinansowania</w:t>
            </w:r>
          </w:p>
          <w:p w14:paraId="57EE6EEB"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71221332"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5) objęta dofinansowaniem ogólnodostępna stacja ładowania wybudowana lub rozbudowana, zlokalizowana na terenie centrum logistycznego (DEPOT) lub terminala intermodalnego, musi posiadać co najmniej jeden punkt ładowania o </w:t>
            </w:r>
            <w:r w:rsidRPr="005552B5">
              <w:rPr>
                <w:rStyle w:val="hgkelc"/>
                <w:rFonts w:asciiTheme="minorHAnsi" w:hAnsiTheme="minorHAnsi" w:cstheme="minorHAnsi"/>
                <w:sz w:val="20"/>
                <w:szCs w:val="20"/>
              </w:rPr>
              <w:lastRenderedPageBreak/>
              <w:t>indywidualnej mocy wyjściowej wynoszącej co najmniej 350 kW;</w:t>
            </w:r>
          </w:p>
          <w:p w14:paraId="43475F99"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242B42EE"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2A770F16"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486" w:type="dxa"/>
          </w:tcPr>
          <w:p w14:paraId="63CC12DA"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b/>
                <w:sz w:val="20"/>
                <w:szCs w:val="20"/>
              </w:rPr>
              <w:lastRenderedPageBreak/>
              <w:t>7.3 Warunki dofinansowania</w:t>
            </w:r>
          </w:p>
          <w:p w14:paraId="26FC1CE6"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30ED6604"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5) objęta dofinansowaniem ogólnodostępna stacja ładowania wybudowana lub rozbudowana, zlokalizowana na terenie centrum logistycznego (DEPOT) lub terminala intermodalnego, musi posiadać co najmniej jeden punkt ładowania o indywidualnej mocy wyjściowej wynoszącej co najmniej </w:t>
            </w:r>
            <w:r w:rsidRPr="005552B5">
              <w:rPr>
                <w:rStyle w:val="hgkelc"/>
                <w:rFonts w:asciiTheme="minorHAnsi" w:hAnsiTheme="minorHAnsi" w:cstheme="minorHAnsi"/>
                <w:b/>
                <w:sz w:val="20"/>
                <w:szCs w:val="20"/>
              </w:rPr>
              <w:t>150 kW</w:t>
            </w:r>
            <w:r w:rsidRPr="005552B5">
              <w:rPr>
                <w:rStyle w:val="hgkelc"/>
                <w:rFonts w:asciiTheme="minorHAnsi" w:hAnsiTheme="minorHAnsi" w:cstheme="minorHAnsi"/>
                <w:sz w:val="20"/>
                <w:szCs w:val="20"/>
              </w:rPr>
              <w:t>;</w:t>
            </w:r>
          </w:p>
          <w:p w14:paraId="1E6F85B7"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3769844A"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Alternatywnie:</w:t>
            </w:r>
          </w:p>
          <w:p w14:paraId="6604D74F"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62C4D607"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5) objęta dofinansowaniem ogólnodostępna stacja ładowania wybudowana lub rozbudowana, zlokalizowana na terenie centrum logistycznego (DEPOT) lub terminala intermodalnego, musi posiadać co najmniej jeden punkt ładowania o </w:t>
            </w:r>
            <w:r w:rsidRPr="005552B5">
              <w:rPr>
                <w:rStyle w:val="hgkelc"/>
                <w:rFonts w:asciiTheme="minorHAnsi" w:hAnsiTheme="minorHAnsi" w:cstheme="minorHAnsi"/>
                <w:b/>
                <w:sz w:val="20"/>
                <w:szCs w:val="20"/>
              </w:rPr>
              <w:t>technicznie możliwej do uzyskania</w:t>
            </w:r>
            <w:r w:rsidRPr="005552B5">
              <w:rPr>
                <w:rStyle w:val="hgkelc"/>
                <w:rFonts w:asciiTheme="minorHAnsi" w:hAnsiTheme="minorHAnsi" w:cstheme="minorHAnsi"/>
                <w:sz w:val="20"/>
                <w:szCs w:val="20"/>
              </w:rPr>
              <w:t xml:space="preserve"> indywidualnej mocy wyjściowej wynoszącej co najmniej 350 kW, która będzie mogła zostać uruchomiona w momencie, gdy dostępna moc przyłączeniowa na to pozwoli.</w:t>
            </w:r>
          </w:p>
          <w:p w14:paraId="348A97A2" w14:textId="77777777" w:rsidR="00A568CA" w:rsidRPr="005552B5" w:rsidRDefault="00A568CA" w:rsidP="00A568CA">
            <w:pPr>
              <w:spacing w:after="0" w:line="240" w:lineRule="auto"/>
              <w:jc w:val="both"/>
              <w:rPr>
                <w:rStyle w:val="hgkelc"/>
                <w:rFonts w:asciiTheme="minorHAnsi" w:hAnsiTheme="minorHAnsi" w:cstheme="minorHAnsi"/>
                <w:sz w:val="20"/>
                <w:szCs w:val="20"/>
              </w:rPr>
            </w:pPr>
          </w:p>
        </w:tc>
        <w:tc>
          <w:tcPr>
            <w:tcW w:w="3486" w:type="dxa"/>
          </w:tcPr>
          <w:p w14:paraId="00004664"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Obawiamy się, że w czasie trwania naborów w niewielu miejscach będzie istniała możliwość przyłączenia do stacji ładowania wystarczającej mocy, aby punkty ładowania mogły ładować pojazdy mocą 350 kW, a będzie to niezależnie od Beneficjenta.</w:t>
            </w:r>
          </w:p>
          <w:p w14:paraId="25992479"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43E7F71F" w14:textId="7F190DFF"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Ewentualnie wnioskujemy o taką modernizację zapisów, które zobowiążą Beneficjentów do wybudowania takich </w:t>
            </w:r>
            <w:r w:rsidRPr="005552B5">
              <w:rPr>
                <w:rStyle w:val="hgkelc"/>
                <w:rFonts w:asciiTheme="minorHAnsi" w:hAnsiTheme="minorHAnsi" w:cstheme="minorHAnsi"/>
                <w:sz w:val="20"/>
                <w:szCs w:val="20"/>
              </w:rPr>
              <w:lastRenderedPageBreak/>
              <w:t>stacji ładowania, które będą mogły ładować pojazdy z mocą co najmniej 350 kW w momencie, gdy umożliwi to sieć przyłączeniowa.</w:t>
            </w:r>
          </w:p>
        </w:tc>
        <w:tc>
          <w:tcPr>
            <w:tcW w:w="3253" w:type="dxa"/>
          </w:tcPr>
          <w:p w14:paraId="71933EC0" w14:textId="77777777"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Uwaga nie została uwzględniona</w:t>
            </w:r>
          </w:p>
          <w:p w14:paraId="38DB3DDE" w14:textId="77777777" w:rsidR="00A568CA" w:rsidRPr="005552B5" w:rsidRDefault="00A568CA" w:rsidP="00A568CA">
            <w:pPr>
              <w:spacing w:after="0" w:line="240" w:lineRule="auto"/>
              <w:jc w:val="both"/>
              <w:rPr>
                <w:rFonts w:asciiTheme="minorHAnsi" w:hAnsiTheme="minorHAnsi" w:cstheme="minorHAnsi"/>
                <w:sz w:val="20"/>
                <w:szCs w:val="20"/>
                <w:highlight w:val="green"/>
              </w:rPr>
            </w:pPr>
          </w:p>
          <w:p w14:paraId="35002EDD" w14:textId="3870051E" w:rsidR="00A568CA" w:rsidRPr="005552B5" w:rsidRDefault="007F53C3"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A</w:t>
            </w:r>
            <w:r w:rsidR="00D951A8" w:rsidRPr="005552B5">
              <w:rPr>
                <w:rFonts w:asciiTheme="minorHAnsi" w:hAnsiTheme="minorHAnsi" w:cstheme="minorHAnsi"/>
                <w:sz w:val="20"/>
                <w:szCs w:val="20"/>
              </w:rPr>
              <w:t xml:space="preserve">FIR </w:t>
            </w:r>
            <w:r w:rsidRPr="005552B5">
              <w:rPr>
                <w:rFonts w:asciiTheme="minorHAnsi" w:hAnsiTheme="minorHAnsi" w:cstheme="minorHAnsi"/>
                <w:sz w:val="20"/>
                <w:szCs w:val="20"/>
              </w:rPr>
              <w:t>zobowiązuje nas do konkretnych mocy.</w:t>
            </w:r>
          </w:p>
        </w:tc>
      </w:tr>
      <w:tr w:rsidR="00FC32CE" w:rsidRPr="005552B5" w14:paraId="06D0991B" w14:textId="77777777" w:rsidTr="00F301CE">
        <w:tc>
          <w:tcPr>
            <w:tcW w:w="0" w:type="auto"/>
            <w:vAlign w:val="center"/>
          </w:tcPr>
          <w:p w14:paraId="5C0B51B0" w14:textId="4D755396" w:rsidR="00A568CA" w:rsidRPr="005552B5" w:rsidRDefault="00A568CA" w:rsidP="00026E75">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6</w:t>
            </w:r>
            <w:r w:rsidR="00026E75">
              <w:rPr>
                <w:rFonts w:asciiTheme="minorHAnsi" w:hAnsiTheme="minorHAnsi" w:cstheme="minorHAnsi"/>
                <w:sz w:val="20"/>
                <w:szCs w:val="20"/>
                <w:lang w:val="en-US"/>
              </w:rPr>
              <w:t>4</w:t>
            </w:r>
          </w:p>
        </w:tc>
        <w:tc>
          <w:tcPr>
            <w:tcW w:w="1925" w:type="dxa"/>
          </w:tcPr>
          <w:p w14:paraId="3949AFB2" w14:textId="095A0A52" w:rsidR="00A568CA" w:rsidRPr="005552B5" w:rsidRDefault="00A568CA" w:rsidP="00A568CA">
            <w:pPr>
              <w:spacing w:after="0" w:line="240" w:lineRule="auto"/>
              <w:jc w:val="both"/>
              <w:rPr>
                <w:rFonts w:asciiTheme="minorHAnsi" w:hAnsiTheme="minorHAnsi" w:cstheme="minorHAnsi"/>
                <w:b/>
                <w:sz w:val="20"/>
                <w:szCs w:val="20"/>
                <w:lang w:val="en-US"/>
              </w:rPr>
            </w:pPr>
            <w:r w:rsidRPr="005552B5">
              <w:rPr>
                <w:rFonts w:asciiTheme="minorHAnsi" w:hAnsiTheme="minorHAnsi" w:cstheme="minorHAnsi"/>
                <w:b/>
                <w:sz w:val="20"/>
                <w:szCs w:val="20"/>
                <w:lang w:val="en-US"/>
              </w:rPr>
              <w:t xml:space="preserve">Polska Izba </w:t>
            </w:r>
            <w:proofErr w:type="spellStart"/>
            <w:r w:rsidRPr="005552B5">
              <w:rPr>
                <w:rFonts w:asciiTheme="minorHAnsi" w:hAnsiTheme="minorHAnsi" w:cstheme="minorHAnsi"/>
                <w:b/>
                <w:sz w:val="20"/>
                <w:szCs w:val="20"/>
                <w:lang w:val="en-US"/>
              </w:rPr>
              <w:t>Gospodarki</w:t>
            </w:r>
            <w:proofErr w:type="spellEnd"/>
            <w:r w:rsidRPr="005552B5">
              <w:rPr>
                <w:rFonts w:asciiTheme="minorHAnsi" w:hAnsiTheme="minorHAnsi" w:cstheme="minorHAnsi"/>
                <w:b/>
                <w:sz w:val="20"/>
                <w:szCs w:val="20"/>
                <w:lang w:val="en-US"/>
              </w:rPr>
              <w:t xml:space="preserve"> </w:t>
            </w:r>
            <w:proofErr w:type="spellStart"/>
            <w:r w:rsidRPr="005552B5">
              <w:rPr>
                <w:rFonts w:asciiTheme="minorHAnsi" w:hAnsiTheme="minorHAnsi" w:cstheme="minorHAnsi"/>
                <w:b/>
                <w:sz w:val="20"/>
                <w:szCs w:val="20"/>
                <w:lang w:val="en-US"/>
              </w:rPr>
              <w:t>Odpadami</w:t>
            </w:r>
            <w:proofErr w:type="spellEnd"/>
          </w:p>
        </w:tc>
        <w:tc>
          <w:tcPr>
            <w:tcW w:w="2770" w:type="dxa"/>
          </w:tcPr>
          <w:p w14:paraId="777B6E83"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Kryteria jakościowe punktowe / Termin realizacji inwestycji</w:t>
            </w:r>
          </w:p>
          <w:p w14:paraId="554B9159"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4F13E39D"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Kryterium mierzone będzie zadeklarowanym terminem realizacji inwestycji.</w:t>
            </w:r>
          </w:p>
          <w:p w14:paraId="490FE789"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Sposób przyznawania punktacji:</w:t>
            </w:r>
          </w:p>
          <w:p w14:paraId="02324306"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Termin zakończenia realizacji inwestycji rozumianej jako data przekazania do eksploatacji:</w:t>
            </w:r>
          </w:p>
          <w:p w14:paraId="5D41DEE5"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przed 31.12.2026 r. - 4 pkt;</w:t>
            </w:r>
          </w:p>
          <w:p w14:paraId="4310ED5B"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przed 31.12.2027 r. - 2 pkt;</w:t>
            </w:r>
          </w:p>
          <w:p w14:paraId="7B6E97B1"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po 31.12.2027 r. - 1 pkt;</w:t>
            </w:r>
          </w:p>
          <w:p w14:paraId="5CBE671F"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0F86F9FD"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Waga 5</w:t>
            </w:r>
          </w:p>
          <w:p w14:paraId="48311DB3"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5AE60293" w14:textId="1F4D3E1C"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Maksymalna liczba punktów 20</w:t>
            </w:r>
          </w:p>
        </w:tc>
        <w:tc>
          <w:tcPr>
            <w:tcW w:w="3486" w:type="dxa"/>
          </w:tcPr>
          <w:p w14:paraId="46C231E2" w14:textId="77777777" w:rsidR="00A568CA" w:rsidRPr="005552B5" w:rsidRDefault="00A568CA" w:rsidP="00A568CA">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Kryteria jakościowe punktowe / Termin realizacji inwestycji</w:t>
            </w:r>
          </w:p>
          <w:p w14:paraId="23008923"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6699DBFA"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Kryterium mierzone będzie zadeklarowanym terminem realizacji inwestycji. </w:t>
            </w:r>
          </w:p>
          <w:p w14:paraId="379904F9"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Sposób przyznawania punktacji:</w:t>
            </w:r>
          </w:p>
          <w:p w14:paraId="0460A7AB"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Termin zakończenia realizacji inwestycji rozumianej jako data przekazania do eksploatacji: </w:t>
            </w:r>
          </w:p>
          <w:p w14:paraId="0B0CEB1E"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przed 31.12.2026 r. - </w:t>
            </w:r>
            <w:r w:rsidRPr="005552B5">
              <w:rPr>
                <w:rStyle w:val="hgkelc"/>
                <w:rFonts w:asciiTheme="minorHAnsi" w:hAnsiTheme="minorHAnsi" w:cstheme="minorHAnsi"/>
                <w:b/>
                <w:sz w:val="20"/>
                <w:szCs w:val="20"/>
              </w:rPr>
              <w:t xml:space="preserve">2 </w:t>
            </w:r>
            <w:r w:rsidRPr="005552B5">
              <w:rPr>
                <w:rStyle w:val="hgkelc"/>
                <w:rFonts w:asciiTheme="minorHAnsi" w:hAnsiTheme="minorHAnsi" w:cstheme="minorHAnsi"/>
                <w:sz w:val="20"/>
                <w:szCs w:val="20"/>
              </w:rPr>
              <w:t>pkt;</w:t>
            </w:r>
          </w:p>
          <w:p w14:paraId="09A4A6E2"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przed 31.12.2027 r. - </w:t>
            </w:r>
            <w:r w:rsidRPr="005552B5">
              <w:rPr>
                <w:rStyle w:val="hgkelc"/>
                <w:rFonts w:asciiTheme="minorHAnsi" w:hAnsiTheme="minorHAnsi" w:cstheme="minorHAnsi"/>
                <w:b/>
                <w:sz w:val="20"/>
                <w:szCs w:val="20"/>
              </w:rPr>
              <w:t>1</w:t>
            </w:r>
            <w:r w:rsidRPr="005552B5">
              <w:rPr>
                <w:rStyle w:val="hgkelc"/>
                <w:rFonts w:asciiTheme="minorHAnsi" w:hAnsiTheme="minorHAnsi" w:cstheme="minorHAnsi"/>
                <w:sz w:val="20"/>
                <w:szCs w:val="20"/>
              </w:rPr>
              <w:t xml:space="preserve"> pkt;</w:t>
            </w:r>
          </w:p>
          <w:p w14:paraId="0CA2DC6F"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po 31.12.2027 r. - </w:t>
            </w:r>
            <w:r w:rsidRPr="005552B5">
              <w:rPr>
                <w:rStyle w:val="hgkelc"/>
                <w:rFonts w:asciiTheme="minorHAnsi" w:hAnsiTheme="minorHAnsi" w:cstheme="minorHAnsi"/>
                <w:b/>
                <w:sz w:val="20"/>
                <w:szCs w:val="20"/>
              </w:rPr>
              <w:t>0</w:t>
            </w:r>
            <w:r w:rsidRPr="005552B5">
              <w:rPr>
                <w:rStyle w:val="hgkelc"/>
                <w:rFonts w:asciiTheme="minorHAnsi" w:hAnsiTheme="minorHAnsi" w:cstheme="minorHAnsi"/>
                <w:sz w:val="20"/>
                <w:szCs w:val="20"/>
              </w:rPr>
              <w:t xml:space="preserve"> pkt;</w:t>
            </w:r>
          </w:p>
          <w:p w14:paraId="5EEF47DE"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1CA4FCAC"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Waga </w:t>
            </w:r>
            <w:r w:rsidRPr="005552B5">
              <w:rPr>
                <w:rStyle w:val="hgkelc"/>
                <w:rFonts w:asciiTheme="minorHAnsi" w:hAnsiTheme="minorHAnsi" w:cstheme="minorHAnsi"/>
                <w:b/>
                <w:sz w:val="20"/>
                <w:szCs w:val="20"/>
              </w:rPr>
              <w:t>1</w:t>
            </w:r>
          </w:p>
          <w:p w14:paraId="007E10FB"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44FDA31C" w14:textId="7F5E0D06"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Maksymalna liczba punktów </w:t>
            </w:r>
            <w:r w:rsidRPr="005552B5">
              <w:rPr>
                <w:rStyle w:val="hgkelc"/>
                <w:rFonts w:asciiTheme="minorHAnsi" w:hAnsiTheme="minorHAnsi" w:cstheme="minorHAnsi"/>
                <w:b/>
                <w:sz w:val="20"/>
                <w:szCs w:val="20"/>
              </w:rPr>
              <w:t>2</w:t>
            </w:r>
          </w:p>
        </w:tc>
        <w:tc>
          <w:tcPr>
            <w:tcW w:w="3486" w:type="dxa"/>
          </w:tcPr>
          <w:p w14:paraId="51673D9E" w14:textId="1282FEB9"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 związku z tym, że termin przekazania eksploatacji w dużej mierze nie zależy od Beneficjenta, wnioskujemy o zmniejszenie punktacji i wagi tego kryterium.</w:t>
            </w:r>
          </w:p>
        </w:tc>
        <w:tc>
          <w:tcPr>
            <w:tcW w:w="3253" w:type="dxa"/>
          </w:tcPr>
          <w:p w14:paraId="7D946E5C" w14:textId="77777777" w:rsidR="00A568CA" w:rsidRPr="005552B5" w:rsidRDefault="00A568CA"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nie została uwzględniona</w:t>
            </w:r>
          </w:p>
          <w:p w14:paraId="425AA985" w14:textId="77777777" w:rsidR="00A568CA" w:rsidRPr="005552B5" w:rsidRDefault="00A568CA" w:rsidP="00A568CA">
            <w:pPr>
              <w:spacing w:after="0" w:line="240" w:lineRule="auto"/>
              <w:jc w:val="both"/>
              <w:rPr>
                <w:rFonts w:asciiTheme="minorHAnsi" w:hAnsiTheme="minorHAnsi" w:cstheme="minorHAnsi"/>
                <w:sz w:val="20"/>
                <w:szCs w:val="20"/>
              </w:rPr>
            </w:pPr>
          </w:p>
          <w:p w14:paraId="2C8F8AA3" w14:textId="0795779C" w:rsidR="00A568CA" w:rsidRPr="005552B5" w:rsidRDefault="007F53C3"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70%- największy udział -  efektywność ekonomiczna inwestycji</w:t>
            </w:r>
          </w:p>
          <w:p w14:paraId="5E389A61" w14:textId="77777777" w:rsidR="007F53C3" w:rsidRPr="005552B5" w:rsidRDefault="007F53C3"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20% termin realizacji</w:t>
            </w:r>
          </w:p>
          <w:p w14:paraId="00B3A514" w14:textId="5B0C4E39" w:rsidR="007F53C3" w:rsidRPr="005552B5" w:rsidRDefault="007F53C3"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10% efektywność rzeczowa</w:t>
            </w:r>
          </w:p>
        </w:tc>
      </w:tr>
      <w:tr w:rsidR="00FC32CE" w:rsidRPr="005552B5" w14:paraId="244D1173" w14:textId="77777777" w:rsidTr="00F301CE">
        <w:tc>
          <w:tcPr>
            <w:tcW w:w="0" w:type="auto"/>
            <w:vAlign w:val="center"/>
          </w:tcPr>
          <w:p w14:paraId="0B8E5410" w14:textId="7E604304" w:rsidR="00A568CA" w:rsidRPr="005552B5" w:rsidRDefault="00A568CA" w:rsidP="00026E75">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6</w:t>
            </w:r>
            <w:r w:rsidR="00026E75">
              <w:rPr>
                <w:rFonts w:asciiTheme="minorHAnsi" w:hAnsiTheme="minorHAnsi" w:cstheme="minorHAnsi"/>
                <w:sz w:val="20"/>
                <w:szCs w:val="20"/>
                <w:lang w:val="en-US"/>
              </w:rPr>
              <w:t>5</w:t>
            </w:r>
          </w:p>
        </w:tc>
        <w:tc>
          <w:tcPr>
            <w:tcW w:w="1925" w:type="dxa"/>
          </w:tcPr>
          <w:p w14:paraId="75E49827" w14:textId="77777777" w:rsidR="00400B04" w:rsidRDefault="00A568CA"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00C83405" w:rsidRPr="00400B04">
              <w:rPr>
                <w:rFonts w:asciiTheme="minorHAnsi" w:hAnsiTheme="minorHAnsi" w:cstheme="minorHAnsi"/>
                <w:b/>
                <w:sz w:val="20"/>
                <w:szCs w:val="20"/>
              </w:rPr>
              <w:t xml:space="preserve"> </w:t>
            </w:r>
            <w:r w:rsidR="00400B04">
              <w:rPr>
                <w:rFonts w:asciiTheme="minorHAnsi" w:hAnsiTheme="minorHAnsi" w:cstheme="minorHAnsi"/>
                <w:b/>
                <w:sz w:val="20"/>
                <w:szCs w:val="20"/>
              </w:rPr>
              <w:t>–</w:t>
            </w:r>
            <w:r w:rsidR="00400B04" w:rsidRPr="00400B04">
              <w:rPr>
                <w:rFonts w:asciiTheme="minorHAnsi" w:hAnsiTheme="minorHAnsi" w:cstheme="minorHAnsi"/>
                <w:b/>
                <w:sz w:val="20"/>
                <w:szCs w:val="20"/>
              </w:rPr>
              <w:t xml:space="preserve"> PIRE</w:t>
            </w:r>
          </w:p>
          <w:p w14:paraId="06802FAC" w14:textId="134269E1" w:rsidR="00400B04" w:rsidRPr="00400B04" w:rsidRDefault="00400B04" w:rsidP="00400B04">
            <w:pPr>
              <w:spacing w:after="0" w:line="240" w:lineRule="auto"/>
              <w:jc w:val="both"/>
              <w:rPr>
                <w:rFonts w:asciiTheme="minorHAnsi" w:hAnsiTheme="minorHAnsi" w:cstheme="minorHAnsi"/>
                <w:b/>
                <w:sz w:val="20"/>
                <w:szCs w:val="20"/>
              </w:rPr>
            </w:pPr>
            <w:r>
              <w:rPr>
                <w:rFonts w:asciiTheme="minorHAnsi" w:hAnsiTheme="minorHAnsi" w:cstheme="minorHAnsi"/>
                <w:b/>
                <w:sz w:val="20"/>
                <w:szCs w:val="20"/>
              </w:rPr>
              <w:lastRenderedPageBreak/>
              <w:t>(</w:t>
            </w: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7EB1908E"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7D0384D4"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0B0BB2ED"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5ADBF5F4"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437772E6"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6E3BB214" w14:textId="4A98970A"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7. BP Polska</w:t>
            </w:r>
            <w:r>
              <w:rPr>
                <w:rFonts w:asciiTheme="minorHAnsi" w:hAnsiTheme="minorHAnsi" w:cstheme="minorHAnsi"/>
                <w:b/>
                <w:sz w:val="20"/>
                <w:szCs w:val="20"/>
              </w:rPr>
              <w:t>)</w:t>
            </w:r>
          </w:p>
        </w:tc>
        <w:tc>
          <w:tcPr>
            <w:tcW w:w="2770" w:type="dxa"/>
          </w:tcPr>
          <w:p w14:paraId="032B9DAC" w14:textId="3A37BFFB"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Uwaga o charakterze ogólnym</w:t>
            </w:r>
          </w:p>
        </w:tc>
        <w:tc>
          <w:tcPr>
            <w:tcW w:w="3486" w:type="dxa"/>
          </w:tcPr>
          <w:p w14:paraId="3B4C76AC" w14:textId="064B7049"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Uwaga o charakterze ogólnym</w:t>
            </w:r>
          </w:p>
        </w:tc>
        <w:tc>
          <w:tcPr>
            <w:tcW w:w="3486" w:type="dxa"/>
          </w:tcPr>
          <w:p w14:paraId="022584D9"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Równolegle do rozwoju sieci publicznie dostępnej infrastruktury ładowana dla HDV, zasadnym jest również wspieranie budowy nieogólnodostępnych stacji ładowania, z przeznaczeniem dla </w:t>
            </w:r>
            <w:r w:rsidRPr="005552B5">
              <w:rPr>
                <w:rStyle w:val="hgkelc"/>
                <w:rFonts w:asciiTheme="minorHAnsi" w:hAnsiTheme="minorHAnsi" w:cstheme="minorHAnsi"/>
                <w:sz w:val="20"/>
                <w:szCs w:val="20"/>
              </w:rPr>
              <w:lastRenderedPageBreak/>
              <w:t xml:space="preserve">transportu ciężarowego. Firmy, które skorzystają z programu wsparcia zakupu lub leasingu pojazdów zeroemisyjnych kategorii N2 i N3 wskazywały, że brakuje również wsparcia budowy tego rodzaju infrastruktury. </w:t>
            </w:r>
          </w:p>
          <w:p w14:paraId="746633A6"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0FD857B4"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Nieogólnodostępne stacje ładowania będą mogły dostarczyć energię elektryczną w znacznie niższych cenach (zgodnych z zamówioną taryfą) niż na ogólnodostępnych stacjach ładowania, czyniąc projekty wdrożeń ciężarówek elektrycznych ekonomicznie uzasadnionymi. </w:t>
            </w:r>
          </w:p>
          <w:p w14:paraId="79A94A43"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6E92DD2E"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Dlatego wnioskujemy o możliwość ustanowienia nowego programu dofinansowania z przeznaczeniem </w:t>
            </w:r>
            <w:r w:rsidRPr="005552B5">
              <w:rPr>
                <w:rStyle w:val="hgkelc"/>
                <w:rFonts w:asciiTheme="minorHAnsi" w:hAnsiTheme="minorHAnsi" w:cstheme="minorHAnsi"/>
                <w:b/>
                <w:sz w:val="20"/>
                <w:szCs w:val="20"/>
              </w:rPr>
              <w:t xml:space="preserve">wsparcia budowy i/lub rozbudowy </w:t>
            </w:r>
            <w:r w:rsidRPr="005552B5">
              <w:rPr>
                <w:rStyle w:val="hgkelc"/>
                <w:rFonts w:asciiTheme="minorHAnsi" w:hAnsiTheme="minorHAnsi" w:cstheme="minorHAnsi"/>
                <w:b/>
                <w:sz w:val="20"/>
                <w:szCs w:val="20"/>
                <w:u w:val="single"/>
              </w:rPr>
              <w:t>nieogólnodostępnej</w:t>
            </w:r>
            <w:r w:rsidRPr="005552B5">
              <w:rPr>
                <w:rStyle w:val="hgkelc"/>
                <w:rFonts w:asciiTheme="minorHAnsi" w:hAnsiTheme="minorHAnsi" w:cstheme="minorHAnsi"/>
                <w:b/>
                <w:sz w:val="20"/>
                <w:szCs w:val="20"/>
              </w:rPr>
              <w:t xml:space="preserve"> stacji ładowania  dla transportu ciężkiego</w:t>
            </w:r>
            <w:r w:rsidRPr="005552B5">
              <w:rPr>
                <w:rStyle w:val="hgkelc"/>
                <w:rFonts w:asciiTheme="minorHAnsi" w:hAnsiTheme="minorHAnsi" w:cstheme="minorHAnsi"/>
                <w:sz w:val="20"/>
                <w:szCs w:val="20"/>
              </w:rPr>
              <w:t xml:space="preserve"> </w:t>
            </w:r>
          </w:p>
          <w:p w14:paraId="133C1CD5"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042AD93F"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lub program kombinowany uwzględniający zarówno Wsparcie zakupu lub leasingu pojazdów ciężarowych kategorii N2 i N3 oraz wsparcia budowy i/lub rozbudowy nieogólnodostępnej stacji ładowania  dla transportu ciężkiego  z przeznaczeniem dla: </w:t>
            </w:r>
          </w:p>
          <w:p w14:paraId="7ADCEC66"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wykonujących określone, krótkie  trasy kursując wahadłowo tzw. </w:t>
            </w:r>
            <w:proofErr w:type="spellStart"/>
            <w:r w:rsidRPr="005552B5">
              <w:rPr>
                <w:rStyle w:val="hgkelc"/>
                <w:rFonts w:asciiTheme="minorHAnsi" w:hAnsiTheme="minorHAnsi" w:cstheme="minorHAnsi"/>
                <w:sz w:val="20"/>
                <w:szCs w:val="20"/>
              </w:rPr>
              <w:t>shunting</w:t>
            </w:r>
            <w:proofErr w:type="spellEnd"/>
          </w:p>
          <w:p w14:paraId="0865ECD6"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pojazdów budowlanych jak wywrotki, betoniarki</w:t>
            </w:r>
          </w:p>
          <w:p w14:paraId="493B70E2"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pojazdów specjalistycznych do przewozu kontenerów na terenie  terminali intermodalnych,</w:t>
            </w:r>
          </w:p>
          <w:p w14:paraId="08666F36"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pojazdów realizujących dostawy towarów do/z centrum logistycznego </w:t>
            </w:r>
            <w:r w:rsidRPr="005552B5">
              <w:rPr>
                <w:rStyle w:val="hgkelc"/>
                <w:rFonts w:asciiTheme="minorHAnsi" w:hAnsiTheme="minorHAnsi" w:cstheme="minorHAnsi"/>
                <w:sz w:val="20"/>
                <w:szCs w:val="20"/>
              </w:rPr>
              <w:lastRenderedPageBreak/>
              <w:t xml:space="preserve">(ładowanie przy rampach załadunkowych).  </w:t>
            </w:r>
          </w:p>
          <w:p w14:paraId="5CC52DAD"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7F717E3F" w14:textId="1376357E"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[pojazdy te ładują się w miejscach postoju lub załadunku/rozładunku pojazdów]</w:t>
            </w:r>
          </w:p>
        </w:tc>
        <w:tc>
          <w:tcPr>
            <w:tcW w:w="3253" w:type="dxa"/>
          </w:tcPr>
          <w:p w14:paraId="4892FCF0" w14:textId="148C5245" w:rsidR="002D2539" w:rsidRDefault="002D2539" w:rsidP="00A568CA">
            <w:pPr>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Uwaga nie została uwzględniona.</w:t>
            </w:r>
          </w:p>
          <w:p w14:paraId="7073AAE3" w14:textId="2C640079" w:rsidR="001F471E" w:rsidRDefault="002D2539" w:rsidP="002D2539">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Program skierowany jest tylko i wyłącznie na budowę stacji ogólnodostępnych, celem realizacji zobowiązań Polski w zakresie </w:t>
            </w:r>
            <w:r>
              <w:rPr>
                <w:rFonts w:asciiTheme="minorHAnsi" w:hAnsiTheme="minorHAnsi" w:cstheme="minorHAnsi"/>
                <w:sz w:val="20"/>
                <w:szCs w:val="20"/>
              </w:rPr>
              <w:lastRenderedPageBreak/>
              <w:t>efektywnej transf</w:t>
            </w:r>
            <w:r w:rsidR="001F471E">
              <w:rPr>
                <w:rFonts w:asciiTheme="minorHAnsi" w:hAnsiTheme="minorHAnsi" w:cstheme="minorHAnsi"/>
                <w:sz w:val="20"/>
                <w:szCs w:val="20"/>
              </w:rPr>
              <w:t>ormacji transpo</w:t>
            </w:r>
            <w:r>
              <w:rPr>
                <w:rFonts w:asciiTheme="minorHAnsi" w:hAnsiTheme="minorHAnsi" w:cstheme="minorHAnsi"/>
                <w:sz w:val="20"/>
                <w:szCs w:val="20"/>
              </w:rPr>
              <w:t xml:space="preserve">rtu w kierunku </w:t>
            </w:r>
            <w:proofErr w:type="spellStart"/>
            <w:r>
              <w:rPr>
                <w:rFonts w:asciiTheme="minorHAnsi" w:hAnsiTheme="minorHAnsi" w:cstheme="minorHAnsi"/>
                <w:sz w:val="20"/>
                <w:szCs w:val="20"/>
              </w:rPr>
              <w:t>zeroemisyjności</w:t>
            </w:r>
            <w:proofErr w:type="spellEnd"/>
            <w:r>
              <w:rPr>
                <w:rFonts w:asciiTheme="minorHAnsi" w:hAnsiTheme="minorHAnsi" w:cstheme="minorHAnsi"/>
                <w:sz w:val="20"/>
                <w:szCs w:val="20"/>
              </w:rPr>
              <w:t>. DO programu dodano lokalizację „baza eksploatacyjna” (</w:t>
            </w:r>
            <w:r w:rsidRPr="002D2539">
              <w:rPr>
                <w:rFonts w:asciiTheme="minorHAnsi" w:hAnsiTheme="minorHAnsi" w:cstheme="minorHAnsi"/>
                <w:sz w:val="20"/>
                <w:szCs w:val="20"/>
              </w:rPr>
              <w:t>Zgodnie z art. 4, pkt 21a Ustawy o transporcie dro</w:t>
            </w:r>
            <w:r>
              <w:rPr>
                <w:rFonts w:asciiTheme="minorHAnsi" w:hAnsiTheme="minorHAnsi" w:cstheme="minorHAnsi"/>
                <w:sz w:val="20"/>
                <w:szCs w:val="20"/>
              </w:rPr>
              <w:t>gowym z dnia 6 września 2001 r.)</w:t>
            </w:r>
            <w:r w:rsidR="001F471E">
              <w:rPr>
                <w:rFonts w:asciiTheme="minorHAnsi" w:hAnsiTheme="minorHAnsi" w:cstheme="minorHAnsi"/>
                <w:sz w:val="20"/>
                <w:szCs w:val="20"/>
              </w:rPr>
              <w:t xml:space="preserve"> Niemniej jednak musi to być nadal stacja ogólnodostępna.</w:t>
            </w:r>
          </w:p>
          <w:p w14:paraId="3DCF552F" w14:textId="31B003EA" w:rsidR="00A568CA" w:rsidRDefault="007F53C3"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 2023 r. w ofercie NF był program dedykowany rozwojowi stacji ładowania.</w:t>
            </w:r>
          </w:p>
          <w:p w14:paraId="07CFB207" w14:textId="77777777" w:rsidR="002D2539" w:rsidRDefault="002D2539" w:rsidP="00A568CA">
            <w:pPr>
              <w:spacing w:after="0" w:line="240" w:lineRule="auto"/>
              <w:jc w:val="both"/>
              <w:rPr>
                <w:rFonts w:asciiTheme="minorHAnsi" w:hAnsiTheme="minorHAnsi" w:cstheme="minorHAnsi"/>
                <w:sz w:val="20"/>
                <w:szCs w:val="20"/>
              </w:rPr>
            </w:pPr>
          </w:p>
          <w:p w14:paraId="40053EF5" w14:textId="270F0F6E" w:rsidR="002D2539" w:rsidRPr="005552B5" w:rsidRDefault="002D2539" w:rsidP="00A568CA">
            <w:pPr>
              <w:spacing w:after="0" w:line="240" w:lineRule="auto"/>
              <w:jc w:val="both"/>
              <w:rPr>
                <w:rFonts w:asciiTheme="minorHAnsi" w:hAnsiTheme="minorHAnsi" w:cstheme="minorHAnsi"/>
                <w:sz w:val="20"/>
                <w:szCs w:val="20"/>
              </w:rPr>
            </w:pPr>
          </w:p>
        </w:tc>
      </w:tr>
      <w:tr w:rsidR="00FC32CE" w:rsidRPr="005552B5" w14:paraId="05ECD268" w14:textId="77777777" w:rsidTr="00F301CE">
        <w:tc>
          <w:tcPr>
            <w:tcW w:w="0" w:type="auto"/>
            <w:vAlign w:val="center"/>
          </w:tcPr>
          <w:p w14:paraId="3BA33774" w14:textId="7297807E" w:rsidR="00A568CA" w:rsidRPr="005552B5" w:rsidRDefault="00026E75" w:rsidP="00A568CA">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66</w:t>
            </w:r>
          </w:p>
        </w:tc>
        <w:tc>
          <w:tcPr>
            <w:tcW w:w="1925" w:type="dxa"/>
          </w:tcPr>
          <w:p w14:paraId="6EB7A01E"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15869177"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668751BA"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7057420E"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5E8E0C18"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0A72DC0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73707E57"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7F932C56" w14:textId="3DABC279" w:rsidR="00A568CA" w:rsidRPr="005552B5"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7. BP Polska)</w:t>
            </w:r>
          </w:p>
        </w:tc>
        <w:tc>
          <w:tcPr>
            <w:tcW w:w="2770" w:type="dxa"/>
          </w:tcPr>
          <w:p w14:paraId="4C18DF38" w14:textId="68F4765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Uwaga o charakterze ogólnym</w:t>
            </w:r>
          </w:p>
        </w:tc>
        <w:tc>
          <w:tcPr>
            <w:tcW w:w="3486" w:type="dxa"/>
          </w:tcPr>
          <w:p w14:paraId="71384A79" w14:textId="1BD29345"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Uwaga o charakterze ogólnym</w:t>
            </w:r>
          </w:p>
        </w:tc>
        <w:tc>
          <w:tcPr>
            <w:tcW w:w="3486" w:type="dxa"/>
          </w:tcPr>
          <w:p w14:paraId="27F3C02C"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Wymaga doprecyzowania zakres definicji ujętych w programie, które mają swoje źródło w The </w:t>
            </w:r>
            <w:proofErr w:type="spellStart"/>
            <w:r w:rsidRPr="005552B5">
              <w:rPr>
                <w:rStyle w:val="hgkelc"/>
                <w:rFonts w:asciiTheme="minorHAnsi" w:hAnsiTheme="minorHAnsi" w:cstheme="minorHAnsi"/>
                <w:sz w:val="20"/>
                <w:szCs w:val="20"/>
              </w:rPr>
              <w:t>alternative</w:t>
            </w:r>
            <w:proofErr w:type="spellEnd"/>
            <w:r w:rsidRPr="005552B5">
              <w:rPr>
                <w:rStyle w:val="hgkelc"/>
                <w:rFonts w:asciiTheme="minorHAnsi" w:hAnsiTheme="minorHAnsi" w:cstheme="minorHAnsi"/>
                <w:sz w:val="20"/>
                <w:szCs w:val="20"/>
              </w:rPr>
              <w:t xml:space="preserve"> </w:t>
            </w:r>
            <w:proofErr w:type="spellStart"/>
            <w:r w:rsidRPr="005552B5">
              <w:rPr>
                <w:rStyle w:val="hgkelc"/>
                <w:rFonts w:asciiTheme="minorHAnsi" w:hAnsiTheme="minorHAnsi" w:cstheme="minorHAnsi"/>
                <w:sz w:val="20"/>
                <w:szCs w:val="20"/>
              </w:rPr>
              <w:t>fuels</w:t>
            </w:r>
            <w:proofErr w:type="spellEnd"/>
            <w:r w:rsidRPr="005552B5">
              <w:rPr>
                <w:rStyle w:val="hgkelc"/>
                <w:rFonts w:asciiTheme="minorHAnsi" w:hAnsiTheme="minorHAnsi" w:cstheme="minorHAnsi"/>
                <w:sz w:val="20"/>
                <w:szCs w:val="20"/>
              </w:rPr>
              <w:t xml:space="preserve"> </w:t>
            </w:r>
            <w:proofErr w:type="spellStart"/>
            <w:r w:rsidRPr="005552B5">
              <w:rPr>
                <w:rStyle w:val="hgkelc"/>
                <w:rFonts w:asciiTheme="minorHAnsi" w:hAnsiTheme="minorHAnsi" w:cstheme="minorHAnsi"/>
                <w:sz w:val="20"/>
                <w:szCs w:val="20"/>
              </w:rPr>
              <w:t>infrastructure</w:t>
            </w:r>
            <w:proofErr w:type="spellEnd"/>
            <w:r w:rsidRPr="005552B5">
              <w:rPr>
                <w:rStyle w:val="hgkelc"/>
                <w:rFonts w:asciiTheme="minorHAnsi" w:hAnsiTheme="minorHAnsi" w:cstheme="minorHAnsi"/>
                <w:sz w:val="20"/>
                <w:szCs w:val="20"/>
              </w:rPr>
              <w:t xml:space="preserve"> </w:t>
            </w:r>
            <w:proofErr w:type="spellStart"/>
            <w:r w:rsidRPr="005552B5">
              <w:rPr>
                <w:rStyle w:val="hgkelc"/>
                <w:rFonts w:asciiTheme="minorHAnsi" w:hAnsiTheme="minorHAnsi" w:cstheme="minorHAnsi"/>
                <w:sz w:val="20"/>
                <w:szCs w:val="20"/>
              </w:rPr>
              <w:t>regulation</w:t>
            </w:r>
            <w:proofErr w:type="spellEnd"/>
            <w:r w:rsidRPr="005552B5">
              <w:rPr>
                <w:rStyle w:val="hgkelc"/>
                <w:rFonts w:asciiTheme="minorHAnsi" w:hAnsiTheme="minorHAnsi" w:cstheme="minorHAnsi"/>
                <w:sz w:val="20"/>
                <w:szCs w:val="20"/>
              </w:rPr>
              <w:t xml:space="preserve"> (AFIR), lecz nie mają odzwierciedlenia w polskim ustawodawstwie - Ustawie o </w:t>
            </w:r>
            <w:proofErr w:type="spellStart"/>
            <w:r w:rsidRPr="005552B5">
              <w:rPr>
                <w:rStyle w:val="hgkelc"/>
                <w:rFonts w:asciiTheme="minorHAnsi" w:hAnsiTheme="minorHAnsi" w:cstheme="minorHAnsi"/>
                <w:sz w:val="20"/>
                <w:szCs w:val="20"/>
              </w:rPr>
              <w:t>elektromobilności</w:t>
            </w:r>
            <w:proofErr w:type="spellEnd"/>
            <w:r w:rsidRPr="005552B5">
              <w:rPr>
                <w:rStyle w:val="hgkelc"/>
                <w:rFonts w:asciiTheme="minorHAnsi" w:hAnsiTheme="minorHAnsi" w:cstheme="minorHAnsi"/>
                <w:sz w:val="20"/>
                <w:szCs w:val="20"/>
              </w:rPr>
              <w:t xml:space="preserve"> i paliwach alternatywnych, co może powodować rozbieżności w interpretacji:</w:t>
            </w:r>
          </w:p>
          <w:p w14:paraId="4D202815"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stacja ładowania</w:t>
            </w:r>
          </w:p>
          <w:p w14:paraId="65AE8E22"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ogólnodostępność (za AFIR ogólnodostępna infrastruktura paliw alternatywnych Art. 2, pkt. 45)</w:t>
            </w:r>
          </w:p>
          <w:p w14:paraId="748FACC1"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punkt ładowania</w:t>
            </w:r>
          </w:p>
          <w:p w14:paraId="46E3525D"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19DB8325"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Projekt programu priorytetowego również nie precyzuje definicji usługi ładowania w rozumieniu Ustawą o </w:t>
            </w:r>
            <w:proofErr w:type="spellStart"/>
            <w:r w:rsidRPr="005552B5">
              <w:rPr>
                <w:rStyle w:val="hgkelc"/>
                <w:rFonts w:asciiTheme="minorHAnsi" w:hAnsiTheme="minorHAnsi" w:cstheme="minorHAnsi"/>
                <w:sz w:val="20"/>
                <w:szCs w:val="20"/>
              </w:rPr>
              <w:t>elektromobilności</w:t>
            </w:r>
            <w:proofErr w:type="spellEnd"/>
            <w:r w:rsidRPr="005552B5">
              <w:rPr>
                <w:rStyle w:val="hgkelc"/>
                <w:rFonts w:asciiTheme="minorHAnsi" w:hAnsiTheme="minorHAnsi" w:cstheme="minorHAnsi"/>
                <w:sz w:val="20"/>
                <w:szCs w:val="20"/>
              </w:rPr>
              <w:t xml:space="preserve"> i paliwach alternatywnych</w:t>
            </w:r>
          </w:p>
          <w:p w14:paraId="1542CF40"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3F15958E" w14:textId="77777777"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Ponadto wydaje się, że proponowana Efektywność rzeczowa inwestycji odnosi się do definicji AFIR strefa ładowania, niewystępującej w Ustawie o </w:t>
            </w:r>
            <w:proofErr w:type="spellStart"/>
            <w:r w:rsidRPr="005552B5">
              <w:rPr>
                <w:rStyle w:val="hgkelc"/>
                <w:rFonts w:asciiTheme="minorHAnsi" w:hAnsiTheme="minorHAnsi" w:cstheme="minorHAnsi"/>
                <w:sz w:val="20"/>
                <w:szCs w:val="20"/>
              </w:rPr>
              <w:t>elektromobilności</w:t>
            </w:r>
            <w:proofErr w:type="spellEnd"/>
            <w:r w:rsidRPr="005552B5">
              <w:rPr>
                <w:rStyle w:val="hgkelc"/>
                <w:rFonts w:asciiTheme="minorHAnsi" w:hAnsiTheme="minorHAnsi" w:cstheme="minorHAnsi"/>
                <w:sz w:val="20"/>
                <w:szCs w:val="20"/>
              </w:rPr>
              <w:t xml:space="preserve"> i paliwach alternatywnych.  </w:t>
            </w:r>
          </w:p>
          <w:p w14:paraId="3A17311E" w14:textId="77777777" w:rsidR="00A568CA" w:rsidRPr="005552B5" w:rsidRDefault="00A568CA" w:rsidP="00A568CA">
            <w:pPr>
              <w:spacing w:after="0" w:line="240" w:lineRule="auto"/>
              <w:jc w:val="both"/>
              <w:rPr>
                <w:rStyle w:val="hgkelc"/>
                <w:rFonts w:asciiTheme="minorHAnsi" w:hAnsiTheme="minorHAnsi" w:cstheme="minorHAnsi"/>
                <w:sz w:val="20"/>
                <w:szCs w:val="20"/>
              </w:rPr>
            </w:pPr>
          </w:p>
          <w:p w14:paraId="178DE9B6" w14:textId="26C41F25" w:rsidR="00A568CA" w:rsidRPr="005552B5" w:rsidRDefault="00A568CA" w:rsidP="00A568CA">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Proponujemy pilne dostosowanie Ustawy o </w:t>
            </w:r>
            <w:proofErr w:type="spellStart"/>
            <w:r w:rsidRPr="005552B5">
              <w:rPr>
                <w:rStyle w:val="hgkelc"/>
                <w:rFonts w:asciiTheme="minorHAnsi" w:hAnsiTheme="minorHAnsi" w:cstheme="minorHAnsi"/>
                <w:sz w:val="20"/>
                <w:szCs w:val="20"/>
              </w:rPr>
              <w:t>elektromobilności</w:t>
            </w:r>
            <w:proofErr w:type="spellEnd"/>
            <w:r w:rsidRPr="005552B5">
              <w:rPr>
                <w:rStyle w:val="hgkelc"/>
                <w:rFonts w:asciiTheme="minorHAnsi" w:hAnsiTheme="minorHAnsi" w:cstheme="minorHAnsi"/>
                <w:sz w:val="20"/>
                <w:szCs w:val="20"/>
              </w:rPr>
              <w:t xml:space="preserve"> i paliwach alternatywnych zgodnie z obecnymi wytycznymi AFIR</w:t>
            </w:r>
          </w:p>
        </w:tc>
        <w:tc>
          <w:tcPr>
            <w:tcW w:w="3253" w:type="dxa"/>
          </w:tcPr>
          <w:p w14:paraId="42D2F28C" w14:textId="77777777" w:rsidR="00A568CA" w:rsidRPr="005552B5" w:rsidRDefault="00F301CE"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częściowo uwzględniona – doprecyzowano pojęcia stacja ładowania/ punkt ładowania.</w:t>
            </w:r>
          </w:p>
          <w:p w14:paraId="554D117B" w14:textId="77777777" w:rsidR="00F301CE" w:rsidRPr="005552B5" w:rsidRDefault="00F301CE" w:rsidP="00A568CA">
            <w:pPr>
              <w:spacing w:after="0" w:line="240" w:lineRule="auto"/>
              <w:jc w:val="both"/>
              <w:rPr>
                <w:rFonts w:asciiTheme="minorHAnsi" w:hAnsiTheme="minorHAnsi" w:cstheme="minorHAnsi"/>
                <w:sz w:val="20"/>
                <w:szCs w:val="20"/>
              </w:rPr>
            </w:pPr>
          </w:p>
          <w:p w14:paraId="3A4BB85E" w14:textId="31CEAE6F" w:rsidR="00F301CE" w:rsidRPr="005552B5" w:rsidRDefault="00F301CE" w:rsidP="00A568CA">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Zmiana ustawy w gestii resortu -  </w:t>
            </w:r>
            <w:proofErr w:type="spellStart"/>
            <w:r w:rsidRPr="005552B5">
              <w:rPr>
                <w:rFonts w:asciiTheme="minorHAnsi" w:hAnsiTheme="minorHAnsi" w:cstheme="minorHAnsi"/>
                <w:sz w:val="20"/>
                <w:szCs w:val="20"/>
              </w:rPr>
              <w:t>MKiŚ</w:t>
            </w:r>
            <w:proofErr w:type="spellEnd"/>
            <w:r w:rsidRPr="005552B5">
              <w:rPr>
                <w:rFonts w:asciiTheme="minorHAnsi" w:hAnsiTheme="minorHAnsi" w:cstheme="minorHAnsi"/>
                <w:sz w:val="20"/>
                <w:szCs w:val="20"/>
              </w:rPr>
              <w:t>.</w:t>
            </w:r>
          </w:p>
        </w:tc>
      </w:tr>
      <w:tr w:rsidR="00F301CE" w:rsidRPr="005552B5" w14:paraId="09A36042" w14:textId="77777777" w:rsidTr="00F301CE">
        <w:tc>
          <w:tcPr>
            <w:tcW w:w="0" w:type="auto"/>
            <w:vAlign w:val="center"/>
          </w:tcPr>
          <w:p w14:paraId="6950949A" w14:textId="682CC1D2" w:rsidR="00F301CE" w:rsidRPr="005552B5" w:rsidRDefault="00026E75" w:rsidP="00F301CE">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lastRenderedPageBreak/>
              <w:t>67</w:t>
            </w:r>
          </w:p>
        </w:tc>
        <w:tc>
          <w:tcPr>
            <w:tcW w:w="1925" w:type="dxa"/>
          </w:tcPr>
          <w:p w14:paraId="175772E1"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10DED272"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4F3C1570"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4F0F421A"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1767C62D"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032A60F4"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0BD61163"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5361DA52" w14:textId="2E65C4E8" w:rsidR="00F301CE"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6C0157B9" w14:textId="6A3132BD"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Uwaga o charakterze ogólnym</w:t>
            </w:r>
          </w:p>
        </w:tc>
        <w:tc>
          <w:tcPr>
            <w:tcW w:w="3486" w:type="dxa"/>
          </w:tcPr>
          <w:p w14:paraId="0A8F4F8B" w14:textId="585EF39B"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Uwaga o charakterze ogólnym</w:t>
            </w:r>
          </w:p>
        </w:tc>
        <w:tc>
          <w:tcPr>
            <w:tcW w:w="3486" w:type="dxa"/>
          </w:tcPr>
          <w:p w14:paraId="7CFA40B2"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Doprecyzowanie definicji </w:t>
            </w:r>
            <w:r w:rsidRPr="005552B5">
              <w:rPr>
                <w:rStyle w:val="hgkelc"/>
                <w:rFonts w:asciiTheme="minorHAnsi" w:hAnsiTheme="minorHAnsi" w:cstheme="minorHAnsi"/>
                <w:i/>
                <w:sz w:val="20"/>
                <w:szCs w:val="20"/>
              </w:rPr>
              <w:t>centrum logistyczne</w:t>
            </w:r>
            <w:r w:rsidRPr="005552B5">
              <w:rPr>
                <w:rStyle w:val="hgkelc"/>
                <w:rFonts w:asciiTheme="minorHAnsi" w:hAnsiTheme="minorHAnsi" w:cstheme="minorHAnsi"/>
                <w:sz w:val="20"/>
                <w:szCs w:val="20"/>
              </w:rPr>
              <w:t>, obecnie brakuje definicji tego terminu lub odniesienia się do obowiązujących regulacji</w:t>
            </w:r>
          </w:p>
          <w:p w14:paraId="36EB3A60" w14:textId="587ADBBC" w:rsidR="00F301CE" w:rsidRPr="005552B5" w:rsidRDefault="00F301CE" w:rsidP="00F301CE">
            <w:pPr>
              <w:spacing w:after="0" w:line="240" w:lineRule="auto"/>
              <w:jc w:val="both"/>
              <w:rPr>
                <w:rStyle w:val="hgkelc"/>
                <w:rFonts w:asciiTheme="minorHAnsi" w:hAnsiTheme="minorHAnsi" w:cstheme="minorHAnsi"/>
                <w:sz w:val="20"/>
                <w:szCs w:val="20"/>
              </w:rPr>
            </w:pPr>
          </w:p>
        </w:tc>
        <w:tc>
          <w:tcPr>
            <w:tcW w:w="3253" w:type="dxa"/>
          </w:tcPr>
          <w:p w14:paraId="07112DD0" w14:textId="77777777" w:rsidR="00F301CE" w:rsidRPr="005552B5" w:rsidRDefault="00F301CE"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na tym nie została uwzględniona. Możliwe ewentualne doprecyzowanie na etapie ogłaszania naboru oraz dokumentacji </w:t>
            </w:r>
            <w:proofErr w:type="spellStart"/>
            <w:r w:rsidRPr="005552B5">
              <w:rPr>
                <w:rFonts w:asciiTheme="minorHAnsi" w:hAnsiTheme="minorHAnsi" w:cstheme="minorHAnsi"/>
                <w:sz w:val="20"/>
                <w:szCs w:val="20"/>
              </w:rPr>
              <w:t>naborowej</w:t>
            </w:r>
            <w:proofErr w:type="spellEnd"/>
            <w:r w:rsidRPr="005552B5">
              <w:rPr>
                <w:rFonts w:asciiTheme="minorHAnsi" w:hAnsiTheme="minorHAnsi" w:cstheme="minorHAnsi"/>
                <w:sz w:val="20"/>
                <w:szCs w:val="20"/>
              </w:rPr>
              <w:t>.</w:t>
            </w:r>
          </w:p>
          <w:p w14:paraId="3917365A" w14:textId="77777777" w:rsidR="00F301CE" w:rsidRPr="005552B5" w:rsidRDefault="00F301CE" w:rsidP="00F301CE">
            <w:pPr>
              <w:spacing w:after="0" w:line="240" w:lineRule="auto"/>
              <w:jc w:val="both"/>
              <w:rPr>
                <w:rFonts w:asciiTheme="minorHAnsi" w:hAnsiTheme="minorHAnsi" w:cstheme="minorHAnsi"/>
                <w:sz w:val="20"/>
                <w:szCs w:val="20"/>
              </w:rPr>
            </w:pPr>
          </w:p>
          <w:p w14:paraId="792B3529" w14:textId="33455D18" w:rsidR="00F301CE" w:rsidRPr="005552B5" w:rsidRDefault="00F301CE" w:rsidP="00F301CE">
            <w:pPr>
              <w:spacing w:after="0" w:line="240" w:lineRule="auto"/>
              <w:jc w:val="both"/>
              <w:rPr>
                <w:rFonts w:asciiTheme="minorHAnsi" w:hAnsiTheme="minorHAnsi" w:cstheme="minorHAnsi"/>
                <w:sz w:val="20"/>
                <w:szCs w:val="20"/>
              </w:rPr>
            </w:pPr>
          </w:p>
        </w:tc>
      </w:tr>
      <w:tr w:rsidR="00F301CE" w:rsidRPr="005552B5" w14:paraId="1734288B" w14:textId="77777777" w:rsidTr="00F301CE">
        <w:tc>
          <w:tcPr>
            <w:tcW w:w="0" w:type="auto"/>
            <w:vAlign w:val="center"/>
          </w:tcPr>
          <w:p w14:paraId="5BB068EA" w14:textId="61E94803" w:rsidR="00F301CE" w:rsidRPr="005552B5" w:rsidRDefault="00026E75" w:rsidP="00F301CE">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68</w:t>
            </w:r>
          </w:p>
        </w:tc>
        <w:tc>
          <w:tcPr>
            <w:tcW w:w="1925" w:type="dxa"/>
          </w:tcPr>
          <w:p w14:paraId="67550E22"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450C1E12"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7CEA6BB5"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4832F06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653E27D7"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1C8B3D52"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24BC40F1"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19B5C7E8" w14:textId="65142255" w:rsidR="00F301CE"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6DC2BC29" w14:textId="59EB676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Uwaga o charakterze ogólnym</w:t>
            </w:r>
          </w:p>
        </w:tc>
        <w:tc>
          <w:tcPr>
            <w:tcW w:w="3486" w:type="dxa"/>
          </w:tcPr>
          <w:p w14:paraId="62B96987" w14:textId="475DE4E5"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Uwaga o charakterze ogólnym</w:t>
            </w:r>
          </w:p>
        </w:tc>
        <w:tc>
          <w:tcPr>
            <w:tcW w:w="3486" w:type="dxa"/>
          </w:tcPr>
          <w:p w14:paraId="7E124AF6" w14:textId="346C1A5A"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Doprecyzowanie definicji </w:t>
            </w:r>
            <w:r w:rsidRPr="005552B5">
              <w:rPr>
                <w:rStyle w:val="hgkelc"/>
                <w:rFonts w:asciiTheme="minorHAnsi" w:hAnsiTheme="minorHAnsi" w:cstheme="minorHAnsi"/>
                <w:i/>
                <w:sz w:val="20"/>
                <w:szCs w:val="20"/>
              </w:rPr>
              <w:t>terminal intermodalny</w:t>
            </w:r>
            <w:r w:rsidRPr="005552B5">
              <w:rPr>
                <w:rStyle w:val="hgkelc"/>
                <w:rFonts w:asciiTheme="minorHAnsi" w:hAnsiTheme="minorHAnsi" w:cstheme="minorHAnsi"/>
                <w:sz w:val="20"/>
                <w:szCs w:val="20"/>
              </w:rPr>
              <w:t>, obecnie brakuje definicji tego terminu lub odniesienia się do obowiązujących regulacji</w:t>
            </w:r>
          </w:p>
        </w:tc>
        <w:tc>
          <w:tcPr>
            <w:tcW w:w="3253" w:type="dxa"/>
          </w:tcPr>
          <w:p w14:paraId="0B5493EB" w14:textId="77777777" w:rsidR="00F301CE" w:rsidRPr="005552B5" w:rsidRDefault="00F301CE"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na tym nie została uwzględniona. Możliwe ewentualne doprecyzowanie na etapie ogłaszania naboru oraz dokumentacji </w:t>
            </w:r>
            <w:proofErr w:type="spellStart"/>
            <w:r w:rsidRPr="005552B5">
              <w:rPr>
                <w:rFonts w:asciiTheme="minorHAnsi" w:hAnsiTheme="minorHAnsi" w:cstheme="minorHAnsi"/>
                <w:sz w:val="20"/>
                <w:szCs w:val="20"/>
              </w:rPr>
              <w:t>naborowej</w:t>
            </w:r>
            <w:proofErr w:type="spellEnd"/>
            <w:r w:rsidRPr="005552B5">
              <w:rPr>
                <w:rFonts w:asciiTheme="minorHAnsi" w:hAnsiTheme="minorHAnsi" w:cstheme="minorHAnsi"/>
                <w:sz w:val="20"/>
                <w:szCs w:val="20"/>
              </w:rPr>
              <w:t>.</w:t>
            </w:r>
          </w:p>
          <w:p w14:paraId="46BB4FC0" w14:textId="77777777" w:rsidR="00F301CE" w:rsidRPr="005552B5" w:rsidRDefault="00F301CE" w:rsidP="00F301CE">
            <w:pPr>
              <w:spacing w:after="0" w:line="240" w:lineRule="auto"/>
              <w:jc w:val="both"/>
              <w:rPr>
                <w:rFonts w:asciiTheme="minorHAnsi" w:hAnsiTheme="minorHAnsi" w:cstheme="minorHAnsi"/>
                <w:sz w:val="20"/>
                <w:szCs w:val="20"/>
              </w:rPr>
            </w:pPr>
          </w:p>
          <w:p w14:paraId="1ED2C74A" w14:textId="6DEBD4EE" w:rsidR="00F301CE" w:rsidRPr="005552B5" w:rsidRDefault="00F301CE" w:rsidP="00F301CE">
            <w:pPr>
              <w:spacing w:after="0" w:line="240" w:lineRule="auto"/>
              <w:jc w:val="both"/>
              <w:rPr>
                <w:rFonts w:asciiTheme="minorHAnsi" w:hAnsiTheme="minorHAnsi" w:cstheme="minorHAnsi"/>
                <w:sz w:val="20"/>
                <w:szCs w:val="20"/>
              </w:rPr>
            </w:pPr>
          </w:p>
        </w:tc>
      </w:tr>
      <w:tr w:rsidR="00F301CE" w:rsidRPr="005552B5" w14:paraId="4D7A3E44" w14:textId="77777777" w:rsidTr="00F301CE">
        <w:tc>
          <w:tcPr>
            <w:tcW w:w="0" w:type="auto"/>
            <w:vAlign w:val="center"/>
          </w:tcPr>
          <w:p w14:paraId="47041AFC" w14:textId="293C2BA6" w:rsidR="00F301CE" w:rsidRPr="005552B5" w:rsidRDefault="00026E75" w:rsidP="00F301CE">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69</w:t>
            </w:r>
          </w:p>
        </w:tc>
        <w:tc>
          <w:tcPr>
            <w:tcW w:w="1925" w:type="dxa"/>
          </w:tcPr>
          <w:p w14:paraId="3A187C56"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5866BB85"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7834B3B5"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lastRenderedPageBreak/>
              <w:t>2. Fundacja Promocji Pojazdów Elektrycznych</w:t>
            </w:r>
          </w:p>
          <w:p w14:paraId="18DF1128"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40A1DC4F"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1C8DA60E"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01283B62"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038C221F" w14:textId="7F7ADF56" w:rsidR="00F301CE"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5DE680EE"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 xml:space="preserve">2. </w:t>
            </w:r>
            <w:r w:rsidRPr="005552B5">
              <w:rPr>
                <w:rStyle w:val="hgkelc"/>
                <w:rFonts w:asciiTheme="minorHAnsi" w:hAnsiTheme="minorHAnsi" w:cstheme="minorHAnsi"/>
                <w:b/>
                <w:sz w:val="20"/>
                <w:szCs w:val="20"/>
              </w:rPr>
              <w:tab/>
              <w:t>Wskaźnik osiągnięcia celu</w:t>
            </w:r>
          </w:p>
          <w:p w14:paraId="3205BA4E" w14:textId="6EED172E"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Liczba wybudowanych lub rozbudowanych ogólnodostępnych stacji ładowania prądem stałym o mocy nie mniejszej niż 350 kW</w:t>
            </w:r>
          </w:p>
        </w:tc>
        <w:tc>
          <w:tcPr>
            <w:tcW w:w="3486" w:type="dxa"/>
          </w:tcPr>
          <w:p w14:paraId="6883CC93"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 xml:space="preserve">2. </w:t>
            </w:r>
            <w:r w:rsidRPr="005552B5">
              <w:rPr>
                <w:rStyle w:val="hgkelc"/>
                <w:rFonts w:asciiTheme="minorHAnsi" w:hAnsiTheme="minorHAnsi" w:cstheme="minorHAnsi"/>
                <w:b/>
                <w:sz w:val="20"/>
                <w:szCs w:val="20"/>
              </w:rPr>
              <w:tab/>
              <w:t>Wskaźnik osiągnięcia celu</w:t>
            </w:r>
          </w:p>
          <w:p w14:paraId="234C13DF"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38A31E24"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Liczba wybudowanych lub rozbudowanych ogólnodostępnych stacji ładowania prądem stałym o mocy nie mniejszej niż </w:t>
            </w:r>
          </w:p>
          <w:p w14:paraId="64C81388"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a)</w:t>
            </w:r>
            <w:r w:rsidRPr="005552B5">
              <w:rPr>
                <w:rStyle w:val="hgkelc"/>
                <w:rFonts w:asciiTheme="minorHAnsi" w:hAnsiTheme="minorHAnsi" w:cstheme="minorHAnsi"/>
                <w:sz w:val="20"/>
                <w:szCs w:val="20"/>
              </w:rPr>
              <w:tab/>
              <w:t xml:space="preserve">100 kW dla ogólnodostępnych stacji ładowania dla transportu </w:t>
            </w:r>
            <w:r w:rsidRPr="005552B5">
              <w:rPr>
                <w:rStyle w:val="hgkelc"/>
                <w:rFonts w:asciiTheme="minorHAnsi" w:hAnsiTheme="minorHAnsi" w:cstheme="minorHAnsi"/>
                <w:sz w:val="20"/>
                <w:szCs w:val="20"/>
              </w:rPr>
              <w:lastRenderedPageBreak/>
              <w:t>ciężkiego, zlokalizowanych bezpiecznych i chronionych parkingach</w:t>
            </w:r>
          </w:p>
          <w:p w14:paraId="6AA23B0B"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20C92146" w14:textId="6CC011C0"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b)</w:t>
            </w:r>
            <w:r w:rsidRPr="005552B5">
              <w:rPr>
                <w:rStyle w:val="hgkelc"/>
                <w:rFonts w:asciiTheme="minorHAnsi" w:hAnsiTheme="minorHAnsi" w:cstheme="minorHAnsi"/>
                <w:sz w:val="20"/>
                <w:szCs w:val="20"/>
              </w:rPr>
              <w:tab/>
              <w:t>350kW     dla ogólnodostępnych stacji ładowania dla transportu ciężkiego, zlokalizowanych wzdłuż sieci TEN-T oraz zlokalizowanych na obszarze centrum logistycznego lub terminalu intermodalnego.</w:t>
            </w:r>
          </w:p>
        </w:tc>
        <w:tc>
          <w:tcPr>
            <w:tcW w:w="3486" w:type="dxa"/>
          </w:tcPr>
          <w:p w14:paraId="3DA019EC"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Proponujemy rozszerzenie wskaźnika realizacji o możliwość budowy stacji ładowania o mocy 100 kW zlokalizowanych wyłącznie na terenie „bezpiecznych i chronionych parkingów”, które staną się ważnym elementem sieci TEN-T</w:t>
            </w:r>
          </w:p>
          <w:p w14:paraId="420F4395"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5EA08497"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AFIR stosuje definicję:</w:t>
            </w:r>
          </w:p>
          <w:p w14:paraId="4F0B9069"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„bezpieczny i chroniony parking” oznacza strefę parkingową dostępną dla kierowców przewożących towary lub osoby, która uzyskała certyfikat zgodnie z rozporządzeniem delegowanym Komisji (UE) 2022/10121. (Art. 2, pkt 63). </w:t>
            </w:r>
          </w:p>
          <w:p w14:paraId="09AFFA25"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3F1C036E"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Przewiduje także dedykowaną „bezpiecznym i chronionym parkingom” ogólnodostępną infrastrukturę ładowania.</w:t>
            </w:r>
          </w:p>
          <w:p w14:paraId="30BC7053"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482DE011"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22F9C3B2"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AFIR: Art. 4, pkt 1.</w:t>
            </w:r>
          </w:p>
          <w:p w14:paraId="62D53D22"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e) do dnia 31 grudnia 2027 r. na terenie każdego bezpiecznego i chronionego parkingu oddano do użytku co najmniej dwie ogólnodostępne stacje ładowania przeznaczone dla elektrycznych pojazdów ciężkich o indywidualnej mocy wyjściowej wynoszącej co najmniej 100 kW; </w:t>
            </w:r>
          </w:p>
          <w:p w14:paraId="29972768"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26CF8365"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f) do dnia 31 grudnia 2030 r. na terenie każdego bezpiecznego i chronionego parkingu oddano do użytku co najmniej cztery ogólnodostępne stacje ładowania przeznaczone dla elektrycznych pojazdów ciężkich o indywidualnej mocy wyjściowej wynoszącej co najmniej 100 kW;</w:t>
            </w:r>
          </w:p>
          <w:p w14:paraId="01F07F87"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5F0E3339" w14:textId="02591C9D"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Mając na uwadze powyższe proponujemy rozszerzyć program również o dopuszczenie do finansowania stacji ładowania o mocy 100 kW dla bezpiecznych i chroniony parkingów. Prosimy również o doprecyzowanie czy w przypadku kiedy </w:t>
            </w:r>
            <w:r w:rsidRPr="005552B5">
              <w:rPr>
                <w:rStyle w:val="hgkelc"/>
                <w:rFonts w:asciiTheme="minorHAnsi" w:hAnsiTheme="minorHAnsi" w:cstheme="minorHAnsi"/>
                <w:sz w:val="20"/>
                <w:szCs w:val="20"/>
              </w:rPr>
              <w:lastRenderedPageBreak/>
              <w:t>każdorazowo jest mowa o bezpiecznym i chronionym parkingu wówczas zgodnie z wymogami AFIR mówimy o stacjach ładowania, a nie samych punktach ładowania.</w:t>
            </w:r>
          </w:p>
        </w:tc>
        <w:tc>
          <w:tcPr>
            <w:tcW w:w="3253" w:type="dxa"/>
          </w:tcPr>
          <w:p w14:paraId="3ED005C5" w14:textId="267128B2" w:rsidR="00F301CE" w:rsidRPr="005552B5" w:rsidRDefault="00F301CE"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Uwaga częściowo uwzględniona – dodano bazy eksploatacyjne – w skład których wchodzi</w:t>
            </w:r>
            <w:r w:rsidRPr="005552B5">
              <w:rPr>
                <w:rFonts w:asciiTheme="minorHAnsi" w:hAnsiTheme="minorHAnsi" w:cstheme="minorHAnsi"/>
                <w:color w:val="111111"/>
                <w:sz w:val="20"/>
                <w:szCs w:val="20"/>
                <w:shd w:val="clear" w:color="auto" w:fill="FFFFFF"/>
              </w:rPr>
              <w:t xml:space="preserve"> </w:t>
            </w:r>
            <w:r w:rsidRPr="005552B5">
              <w:rPr>
                <w:rFonts w:asciiTheme="minorHAnsi" w:hAnsiTheme="minorHAnsi" w:cstheme="minorHAnsi"/>
                <w:sz w:val="20"/>
                <w:szCs w:val="20"/>
              </w:rPr>
              <w:t xml:space="preserve">co najmniej jeden z następujących elementów: miejsce postojowe, miejsce załadunku, rozładunku lub łączenia ładunków, miejsce konserwacji lub naprawy pojazdów. Program dedykowany </w:t>
            </w:r>
            <w:r w:rsidRPr="005552B5">
              <w:rPr>
                <w:rFonts w:asciiTheme="minorHAnsi" w:hAnsiTheme="minorHAnsi" w:cstheme="minorHAnsi"/>
                <w:sz w:val="20"/>
                <w:szCs w:val="20"/>
              </w:rPr>
              <w:lastRenderedPageBreak/>
              <w:t xml:space="preserve">stacjom ładowania prądem stałym o mocy nie mniejszej niż 350 </w:t>
            </w:r>
            <w:proofErr w:type="spellStart"/>
            <w:r w:rsidRPr="005552B5">
              <w:rPr>
                <w:rFonts w:asciiTheme="minorHAnsi" w:hAnsiTheme="minorHAnsi" w:cstheme="minorHAnsi"/>
                <w:sz w:val="20"/>
                <w:szCs w:val="20"/>
              </w:rPr>
              <w:t>kW.</w:t>
            </w:r>
            <w:proofErr w:type="spellEnd"/>
          </w:p>
        </w:tc>
      </w:tr>
      <w:tr w:rsidR="00F301CE" w:rsidRPr="005552B5" w14:paraId="043A34DD" w14:textId="77777777" w:rsidTr="00F301CE">
        <w:tc>
          <w:tcPr>
            <w:tcW w:w="0" w:type="auto"/>
            <w:vAlign w:val="center"/>
          </w:tcPr>
          <w:p w14:paraId="65B39F87" w14:textId="3801BEC3" w:rsidR="00F301CE" w:rsidRPr="005552B5" w:rsidRDefault="00F301CE" w:rsidP="00026E75">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lastRenderedPageBreak/>
              <w:t>7</w:t>
            </w:r>
            <w:r w:rsidR="00026E75">
              <w:rPr>
                <w:rFonts w:asciiTheme="minorHAnsi" w:hAnsiTheme="minorHAnsi" w:cstheme="minorHAnsi"/>
                <w:sz w:val="20"/>
                <w:szCs w:val="20"/>
                <w:lang w:val="en-US"/>
              </w:rPr>
              <w:t>0</w:t>
            </w:r>
          </w:p>
        </w:tc>
        <w:tc>
          <w:tcPr>
            <w:tcW w:w="1925" w:type="dxa"/>
          </w:tcPr>
          <w:p w14:paraId="2FE0E6F8"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62099647"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24D707FF"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685A922F"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75A6F907"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21AC6739"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6E00BBEA"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36FBDC4E" w14:textId="2D35E16B" w:rsidR="00F301CE"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64A8A058"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 xml:space="preserve">3. Budżet </w:t>
            </w:r>
          </w:p>
          <w:p w14:paraId="773F6324" w14:textId="341C2C48"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do 20% budżetu przeznaczona będzie na wsparcie budowy i/lub rozbudowy ogólnodostępnych stacji ładowania dla transportu ciężkiego, zlokalizowanych na obszarze centrum logistycznego lub terminalu intermodalnego.</w:t>
            </w:r>
          </w:p>
        </w:tc>
        <w:tc>
          <w:tcPr>
            <w:tcW w:w="3486" w:type="dxa"/>
          </w:tcPr>
          <w:p w14:paraId="3B1BF8E4"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 xml:space="preserve">3. Budżet </w:t>
            </w:r>
          </w:p>
          <w:p w14:paraId="55CB4EDE" w14:textId="3B2812C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do 20% budżetu przeznaczona będzie na wsparcie budowy i/lub rozbudowy ogólnodostępnych stacji ładowania dla transportu ciężkiego, zlokalizowanych na obszarze centrum logistycznego lub terminalu intermodalnego  lub bezpiecznego i chronionego parkingu</w:t>
            </w:r>
          </w:p>
        </w:tc>
        <w:tc>
          <w:tcPr>
            <w:tcW w:w="3486" w:type="dxa"/>
          </w:tcPr>
          <w:p w14:paraId="2E50C704"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Zgodnie z uwagą nr 5. Proponujemy dodanie bezpiecznego i chronionego parkingu do Budżetu w kategorii 20% dedykowanym centrom logistycznym i terminalom intermodalnym. W naszej ocenie pozwoli to na zagęszczenie infrastruktury ładowania z wykorzystaniem nowego elementu przewidzianego w AFIR jakim jest bezpieczny i chroniony parking.</w:t>
            </w:r>
          </w:p>
          <w:p w14:paraId="6BEFAA6D"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739D7EF9" w14:textId="6469FB3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Ponadto zwracamy szczególną uwagę na zapewnienie szerokiej dostępności infrastruktury ładowania dla podmiotów trzecich w zlokalizowanych na obszarach centrów logistycznych lub terminali intermodalnych, gdyż w naszej ocenie wiele z tych obiektów nie wpuszcza na teren podmiotów trzecich niebędących wynajmującymi powierzchnię, właścicielami/zarządcami  obiektów lub firmami przewozowymi, świadczącymi usługi transportowe na rzecz podmiotów związanych z tymi centrami lub terminalami.</w:t>
            </w:r>
          </w:p>
        </w:tc>
        <w:tc>
          <w:tcPr>
            <w:tcW w:w="3253" w:type="dxa"/>
          </w:tcPr>
          <w:p w14:paraId="09C6DDC3" w14:textId="2608241A" w:rsidR="00F301CE" w:rsidRPr="005552B5" w:rsidRDefault="00F301CE"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Jw.</w:t>
            </w:r>
          </w:p>
          <w:p w14:paraId="2D3636E4" w14:textId="77777777" w:rsidR="00F301CE" w:rsidRPr="005552B5" w:rsidRDefault="00F301CE" w:rsidP="00F301CE">
            <w:pPr>
              <w:spacing w:after="0" w:line="240" w:lineRule="auto"/>
              <w:jc w:val="both"/>
              <w:rPr>
                <w:rFonts w:asciiTheme="minorHAnsi" w:hAnsiTheme="minorHAnsi" w:cstheme="minorHAnsi"/>
                <w:sz w:val="20"/>
                <w:szCs w:val="20"/>
              </w:rPr>
            </w:pPr>
          </w:p>
          <w:p w14:paraId="7C1D1EF9" w14:textId="13E49363" w:rsidR="00F301CE" w:rsidRPr="005552B5" w:rsidRDefault="00F301CE"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 przyszłości rozważymy  ewentualne rozszerzenie zakresu programu priorytetowego.</w:t>
            </w:r>
          </w:p>
        </w:tc>
      </w:tr>
      <w:tr w:rsidR="00F301CE" w:rsidRPr="005552B5" w14:paraId="00B15A46" w14:textId="77777777" w:rsidTr="00F301CE">
        <w:tc>
          <w:tcPr>
            <w:tcW w:w="0" w:type="auto"/>
            <w:vAlign w:val="center"/>
          </w:tcPr>
          <w:p w14:paraId="480AC63F" w14:textId="2E29CD04" w:rsidR="00F301CE" w:rsidRPr="005552B5" w:rsidRDefault="00026E75" w:rsidP="00F301CE">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71</w:t>
            </w:r>
          </w:p>
        </w:tc>
        <w:tc>
          <w:tcPr>
            <w:tcW w:w="1925" w:type="dxa"/>
          </w:tcPr>
          <w:p w14:paraId="45B763C7"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277BB26B"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4F7886A4"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5DD21E43"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60DFE4A0"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lastRenderedPageBreak/>
              <w:t>4. FM Logistics</w:t>
            </w:r>
          </w:p>
          <w:p w14:paraId="0852CAB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6B384465"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60642F0F" w14:textId="68A4B613" w:rsidR="00F301CE"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5DF643FA"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 xml:space="preserve">6. Koszty kwalifikowane </w:t>
            </w:r>
          </w:p>
          <w:p w14:paraId="4B9ABA8A" w14:textId="0A22A13D"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 okres kwalifikowalności kosztów danej inwestycji rozpoczyna się nie wcześniej niż w dniu złożenia wniosku o dofinansowanie i trwa do 30.06.2029 r.;</w:t>
            </w:r>
          </w:p>
          <w:p w14:paraId="6D90609F"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09F32F7B"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7.3 Warunki dofinansowania</w:t>
            </w:r>
          </w:p>
          <w:p w14:paraId="7E6E39EC" w14:textId="3B002FA8"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9) dofinansowanie nie może być udzielone na inwestycje, w których rozpoczęcie prac nastąpiło przed dniem złożenia wniosku o dofinansowanie. Przez rozpoczęcie prac należy rozumieć podjęcie robót budowlanych lub zaciągnięcie pierwszego prawnie wiążącego zobowiązania do zamówienia urządzeń lub jakiegokolwiek zobowiązania, które czynić będzie realizację inwestycji nieodwracalną;</w:t>
            </w:r>
          </w:p>
        </w:tc>
        <w:tc>
          <w:tcPr>
            <w:tcW w:w="3486" w:type="dxa"/>
          </w:tcPr>
          <w:p w14:paraId="2360E810"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 xml:space="preserve">6. Koszty kwalifikowane </w:t>
            </w:r>
          </w:p>
          <w:p w14:paraId="57B376A4" w14:textId="39F139AB"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1. okres kwalifikowalności kosztów danej inwestycji rozpoczyna się 1.01.2023 </w:t>
            </w:r>
            <w:r w:rsidRPr="005552B5">
              <w:rPr>
                <w:rStyle w:val="hgkelc"/>
                <w:rFonts w:asciiTheme="minorHAnsi" w:hAnsiTheme="minorHAnsi" w:cstheme="minorHAnsi"/>
                <w:strike/>
                <w:sz w:val="20"/>
                <w:szCs w:val="20"/>
              </w:rPr>
              <w:t xml:space="preserve">nie wcześniej niż w dniu złożenia wniosku o dofinansowanie </w:t>
            </w:r>
            <w:r w:rsidRPr="005552B5">
              <w:rPr>
                <w:rStyle w:val="hgkelc"/>
                <w:rFonts w:asciiTheme="minorHAnsi" w:hAnsiTheme="minorHAnsi" w:cstheme="minorHAnsi"/>
                <w:sz w:val="20"/>
                <w:szCs w:val="20"/>
              </w:rPr>
              <w:t>i trwa do 30.06.2029 r.;</w:t>
            </w:r>
          </w:p>
          <w:p w14:paraId="763E357A" w14:textId="77777777" w:rsidR="00F301CE" w:rsidRPr="005552B5" w:rsidRDefault="00F301CE" w:rsidP="00F301CE">
            <w:pPr>
              <w:spacing w:after="0" w:line="240" w:lineRule="auto"/>
              <w:jc w:val="both"/>
              <w:rPr>
                <w:rStyle w:val="hgkelc"/>
                <w:rFonts w:asciiTheme="minorHAnsi" w:hAnsiTheme="minorHAnsi" w:cstheme="minorHAnsi"/>
                <w:b/>
                <w:sz w:val="20"/>
                <w:szCs w:val="20"/>
              </w:rPr>
            </w:pPr>
          </w:p>
          <w:p w14:paraId="04A33BD6" w14:textId="2FA3740A"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7.3 Warunki dofinansowania</w:t>
            </w:r>
          </w:p>
          <w:p w14:paraId="65B10D04" w14:textId="053B465B"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9. dofinansowanie </w:t>
            </w:r>
            <w:r w:rsidRPr="005552B5">
              <w:rPr>
                <w:rStyle w:val="hgkelc"/>
                <w:rFonts w:asciiTheme="minorHAnsi" w:hAnsiTheme="minorHAnsi" w:cstheme="minorHAnsi"/>
                <w:strike/>
                <w:sz w:val="20"/>
                <w:szCs w:val="20"/>
              </w:rPr>
              <w:t>nie</w:t>
            </w:r>
            <w:r w:rsidRPr="005552B5">
              <w:rPr>
                <w:rStyle w:val="hgkelc"/>
                <w:rFonts w:asciiTheme="minorHAnsi" w:hAnsiTheme="minorHAnsi" w:cstheme="minorHAnsi"/>
                <w:sz w:val="20"/>
                <w:szCs w:val="20"/>
              </w:rPr>
              <w:t xml:space="preserve"> może być udzielone na inwestycje, w których </w:t>
            </w:r>
            <w:r w:rsidRPr="005552B5">
              <w:rPr>
                <w:rStyle w:val="hgkelc"/>
                <w:rFonts w:asciiTheme="minorHAnsi" w:hAnsiTheme="minorHAnsi" w:cstheme="minorHAnsi"/>
                <w:sz w:val="20"/>
                <w:szCs w:val="20"/>
              </w:rPr>
              <w:lastRenderedPageBreak/>
              <w:t>rozpoczęcie prac nastąpiło przed dniem złożenia wniosku o dofinansowanie. Przez rozpoczęcie prac należy rozumieć podjęcie robót budowlanych lub podpisanie umowy z Operatorem Sieci Dystrybucyjnej na wykonanie przyłącza lub zaciągnięcie pierwszego prawnie wiążącego zobowiązania do zamówienia urządzeń lub jakiegokolwiek zobowiązania, które czynić będzie realizację inwestycji nieodwracalną;</w:t>
            </w:r>
          </w:p>
        </w:tc>
        <w:tc>
          <w:tcPr>
            <w:tcW w:w="3486" w:type="dxa"/>
          </w:tcPr>
          <w:p w14:paraId="04120E31"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 xml:space="preserve">Wnioskujemy o rozszerzenie okresu kwalifikowalności kosztów o czas przed złożeniem wniosku o dofinansowanie. W naszej ocenie należy uwzględnić również etap prac projektowych, niezbędnych do uzyskania warunków przyłączeniowych i samych przyłączy.  Stanowią one nawet do 10% inwestycji kosztów związanych z uzyskaniem przyłącza. Zwykle jest to również moment, kiedy inwestor </w:t>
            </w:r>
            <w:r w:rsidRPr="005552B5">
              <w:rPr>
                <w:rStyle w:val="hgkelc"/>
                <w:rFonts w:asciiTheme="minorHAnsi" w:hAnsiTheme="minorHAnsi" w:cstheme="minorHAnsi"/>
                <w:sz w:val="20"/>
                <w:szCs w:val="20"/>
              </w:rPr>
              <w:lastRenderedPageBreak/>
              <w:t>posiada co najmniej promesę lub pełnomocnictwo właściciela gruntu lub nierzadko umowę dzierżawy. Cały proces inwestycyjny trwa od ok. pół roku do nawet kilku lat, dlatego zasadnym jest ustanowienie daty kwalifikowalności kosztów od 1 stycznia 2023.</w:t>
            </w:r>
          </w:p>
          <w:p w14:paraId="43B73116"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544D3D13" w14:textId="65E2F72D"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Najczęściej pierwszym prawnie wiążącym zobowiązaniem, które czyni inwestycję nieodwracalną jest moment zawarcia umowy z OSD, skutkuje ona konieczność pokrycia kosztów nawet w przypadku rezygnacji z przyłącza.</w:t>
            </w:r>
          </w:p>
        </w:tc>
        <w:tc>
          <w:tcPr>
            <w:tcW w:w="3253" w:type="dxa"/>
          </w:tcPr>
          <w:p w14:paraId="348C9F47" w14:textId="6C977031" w:rsidR="00F301CE" w:rsidRPr="005552B5" w:rsidRDefault="00F301CE"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Uwaga nie została uwzględniona – nie jest możliwe rozszerzenie kwalifikowalności kosztów przed złożeniem wniosku o dofinansowanie – zapisy pomocy publicznej – brak efektu zachęty.</w:t>
            </w:r>
          </w:p>
          <w:p w14:paraId="1CC9E599" w14:textId="77777777" w:rsidR="00F301CE" w:rsidRPr="005552B5" w:rsidRDefault="00F301CE" w:rsidP="00F301CE">
            <w:pPr>
              <w:spacing w:after="0" w:line="240" w:lineRule="auto"/>
              <w:jc w:val="both"/>
              <w:rPr>
                <w:rFonts w:asciiTheme="minorHAnsi" w:hAnsiTheme="minorHAnsi" w:cstheme="minorHAnsi"/>
                <w:sz w:val="20"/>
                <w:szCs w:val="20"/>
                <w:highlight w:val="yellow"/>
              </w:rPr>
            </w:pPr>
          </w:p>
          <w:p w14:paraId="11C7486D" w14:textId="77777777" w:rsidR="00F301CE" w:rsidRPr="005552B5" w:rsidRDefault="00F301CE" w:rsidP="00F301CE">
            <w:pPr>
              <w:spacing w:after="0" w:line="240" w:lineRule="auto"/>
              <w:jc w:val="both"/>
              <w:rPr>
                <w:rFonts w:asciiTheme="minorHAnsi" w:hAnsiTheme="minorHAnsi" w:cstheme="minorHAnsi"/>
                <w:sz w:val="20"/>
                <w:szCs w:val="20"/>
                <w:highlight w:val="green"/>
              </w:rPr>
            </w:pPr>
          </w:p>
          <w:p w14:paraId="322CEDF3" w14:textId="3F2ACD02" w:rsidR="00F301CE" w:rsidRPr="005552B5" w:rsidRDefault="00F301CE" w:rsidP="00F301CE">
            <w:pPr>
              <w:spacing w:after="0" w:line="240" w:lineRule="auto"/>
              <w:jc w:val="both"/>
              <w:rPr>
                <w:rFonts w:asciiTheme="minorHAnsi" w:hAnsiTheme="minorHAnsi" w:cstheme="minorHAnsi"/>
                <w:sz w:val="20"/>
                <w:szCs w:val="20"/>
              </w:rPr>
            </w:pPr>
          </w:p>
        </w:tc>
      </w:tr>
      <w:tr w:rsidR="00F301CE" w:rsidRPr="005552B5" w14:paraId="56568AEE" w14:textId="77777777" w:rsidTr="00F301CE">
        <w:tc>
          <w:tcPr>
            <w:tcW w:w="0" w:type="auto"/>
            <w:vAlign w:val="center"/>
          </w:tcPr>
          <w:p w14:paraId="2EE0DE7C" w14:textId="143F5401" w:rsidR="00F301CE" w:rsidRPr="005552B5" w:rsidRDefault="00F301CE" w:rsidP="00026E75">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7</w:t>
            </w:r>
            <w:r w:rsidR="00026E75">
              <w:rPr>
                <w:rFonts w:asciiTheme="minorHAnsi" w:hAnsiTheme="minorHAnsi" w:cstheme="minorHAnsi"/>
                <w:sz w:val="20"/>
                <w:szCs w:val="20"/>
                <w:lang w:val="en-US"/>
              </w:rPr>
              <w:t>2</w:t>
            </w:r>
          </w:p>
        </w:tc>
        <w:tc>
          <w:tcPr>
            <w:tcW w:w="1925" w:type="dxa"/>
          </w:tcPr>
          <w:p w14:paraId="7FA1F38F"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0309BE72"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27DBDAE1"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3868BDD0"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25469767"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202AFEC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2C7D8A50"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03C41797" w14:textId="672FED5C" w:rsidR="00F301CE"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49A5F901"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6. Koszty kwalifikowane</w:t>
            </w:r>
            <w:r w:rsidRPr="005552B5">
              <w:rPr>
                <w:rStyle w:val="hgkelc"/>
                <w:rFonts w:asciiTheme="minorHAnsi" w:hAnsiTheme="minorHAnsi" w:cstheme="minorHAnsi"/>
                <w:b/>
                <w:sz w:val="20"/>
                <w:szCs w:val="20"/>
              </w:rPr>
              <w:tab/>
            </w:r>
          </w:p>
          <w:p w14:paraId="7F4E653D"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14C9A0FC" w14:textId="7D8EE492"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koszt budowy magazynu energii, pod warunkiem magazynowania w nim energii OZE wytworzonej na miejscu i wykorzystania magazynu wyłącznie na potrzeby budowanej/rozbudowywanej stacji ładowania.</w:t>
            </w:r>
          </w:p>
        </w:tc>
        <w:tc>
          <w:tcPr>
            <w:tcW w:w="3486" w:type="dxa"/>
          </w:tcPr>
          <w:p w14:paraId="2630504F"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6. Koszty kwalifikowane</w:t>
            </w:r>
          </w:p>
          <w:p w14:paraId="2685AAF6"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1631AA52" w14:textId="70FC650C"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koszt budowy magazynu energii, </w:t>
            </w:r>
            <w:r w:rsidRPr="005552B5">
              <w:rPr>
                <w:rStyle w:val="hgkelc"/>
                <w:rFonts w:asciiTheme="minorHAnsi" w:hAnsiTheme="minorHAnsi" w:cstheme="minorHAnsi"/>
                <w:strike/>
                <w:sz w:val="20"/>
                <w:szCs w:val="20"/>
              </w:rPr>
              <w:t>pod warunkiem magazynowania w nim energii OZE wytworzonej na miejscu i</w:t>
            </w:r>
            <w:r w:rsidRPr="005552B5">
              <w:rPr>
                <w:rStyle w:val="hgkelc"/>
                <w:rFonts w:asciiTheme="minorHAnsi" w:hAnsiTheme="minorHAnsi" w:cstheme="minorHAnsi"/>
                <w:sz w:val="20"/>
                <w:szCs w:val="20"/>
              </w:rPr>
              <w:t xml:space="preserve"> wykorzystania magazynu wyłącznie na potrzeby budowanej/rozbudowywanej stacji ładowania.</w:t>
            </w:r>
          </w:p>
        </w:tc>
        <w:tc>
          <w:tcPr>
            <w:tcW w:w="3486" w:type="dxa"/>
          </w:tcPr>
          <w:p w14:paraId="0A5FC18E" w14:textId="2100AAE5"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Wnioskujemy o uwzględnienie magazynów energii jako elementu wspomagającego inwestycję, szczególnie w miejscach w których nie ma możliwości uzyskania wymaganej mocy przyłączeniowej a nie tylko i wyłącznie jako magazynowanie energii OZE wytworzonej na miejscu. W naszej ocenie magazyn energii stanowiący element infrastruktury sieciowej może rozwiązać wiele problemów dostępności przyłączy i przyspieszyć budowę infrastruktury. Magazyn ten będzie wykorzystywany tylko i wyłącznie na potrzeby budowanej/rozbudowywanej stacji ładowania. Obecny średni stopień utylizacji ogólnodostępnej infrastruktury ładowania (do 10%) również sprzyja zastosowaniu magazynów energii, pozwalając im na uzupełnienie w przerwach między ładowniami pojazdów.  </w:t>
            </w:r>
          </w:p>
        </w:tc>
        <w:tc>
          <w:tcPr>
            <w:tcW w:w="3253" w:type="dxa"/>
          </w:tcPr>
          <w:p w14:paraId="1691116F" w14:textId="68DDFADB" w:rsidR="00F301CE" w:rsidRPr="005552B5" w:rsidRDefault="00F301CE"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Można finansować magazyn, jednakże pod warunkiem magazynowania w nim energii OZE wytworzonej na miejscu, musi on być dedykowany konkretnej stacji ładowania.</w:t>
            </w:r>
          </w:p>
        </w:tc>
      </w:tr>
      <w:tr w:rsidR="00F301CE" w:rsidRPr="005552B5" w14:paraId="113E16D6" w14:textId="77777777" w:rsidTr="00F301CE">
        <w:tc>
          <w:tcPr>
            <w:tcW w:w="0" w:type="auto"/>
            <w:vAlign w:val="center"/>
          </w:tcPr>
          <w:p w14:paraId="511CA61D" w14:textId="395ACCD8" w:rsidR="00F301CE" w:rsidRPr="005552B5" w:rsidRDefault="00F301CE" w:rsidP="00026E75">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7</w:t>
            </w:r>
            <w:r w:rsidR="00026E75">
              <w:rPr>
                <w:rFonts w:asciiTheme="minorHAnsi" w:hAnsiTheme="minorHAnsi" w:cstheme="minorHAnsi"/>
                <w:sz w:val="20"/>
                <w:szCs w:val="20"/>
                <w:lang w:val="en-US"/>
              </w:rPr>
              <w:t>3</w:t>
            </w:r>
          </w:p>
        </w:tc>
        <w:tc>
          <w:tcPr>
            <w:tcW w:w="1925" w:type="dxa"/>
          </w:tcPr>
          <w:p w14:paraId="0CC973B3"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27684E41"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lastRenderedPageBreak/>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678EDE3D"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6EF0C710"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2611A926"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0E92E5DB"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3488CE3D"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531D7A01" w14:textId="74183A45" w:rsidR="00F301CE"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062310BE"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7.3 Warunki dofinansowania</w:t>
            </w:r>
          </w:p>
          <w:p w14:paraId="59985C25" w14:textId="24192FD4"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w:t>
            </w:r>
            <w:r w:rsidRPr="005552B5">
              <w:rPr>
                <w:rStyle w:val="hgkelc"/>
                <w:rFonts w:asciiTheme="minorHAnsi" w:hAnsiTheme="minorHAnsi" w:cstheme="minorHAnsi"/>
                <w:sz w:val="20"/>
                <w:szCs w:val="20"/>
              </w:rPr>
              <w:tab/>
              <w:t xml:space="preserve">objęta dofinansowaniem </w:t>
            </w:r>
            <w:r w:rsidRPr="005552B5">
              <w:rPr>
                <w:rStyle w:val="hgkelc"/>
                <w:rFonts w:asciiTheme="minorHAnsi" w:hAnsiTheme="minorHAnsi" w:cstheme="minorHAnsi"/>
                <w:sz w:val="20"/>
                <w:szCs w:val="20"/>
              </w:rPr>
              <w:lastRenderedPageBreak/>
              <w:t>ogólnodostępna stacja ładowania musi być zlokalizowana wzdłuż dróg sieci bazowej TEN-T tj. na drodze należącej do sieci drogowej TEN-T lub w odległości do 3 km jazdy od najbliższego zjazdu z drogi TEN-T lub bezpośrednio na terenie centrum logistycznego (DEPOT) lub terminalu intermodalnego;</w:t>
            </w:r>
          </w:p>
          <w:p w14:paraId="4513EF40"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2CDE5F8B" w14:textId="28CE5519"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5) </w:t>
            </w:r>
            <w:r w:rsidRPr="005552B5">
              <w:rPr>
                <w:rStyle w:val="hgkelc"/>
                <w:rFonts w:asciiTheme="minorHAnsi" w:hAnsiTheme="minorHAnsi" w:cstheme="minorHAnsi"/>
                <w:sz w:val="20"/>
                <w:szCs w:val="20"/>
              </w:rPr>
              <w:tab/>
              <w:t>objęta dofinansowaniem ogólnodostępna stacja ładowania wybudowana lub rozbudowana, zlokalizowana na terenie centrum logistycznego (DEPOT) lub terminala intermodalnego, musi posiadać co najmniej jeden punkt ładowania o indywidualnej mocy wyjściowej wynoszącej co najmniej 350 kW;</w:t>
            </w:r>
          </w:p>
        </w:tc>
        <w:tc>
          <w:tcPr>
            <w:tcW w:w="3486" w:type="dxa"/>
          </w:tcPr>
          <w:p w14:paraId="3E393690"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b/>
                <w:sz w:val="20"/>
                <w:szCs w:val="20"/>
              </w:rPr>
              <w:lastRenderedPageBreak/>
              <w:t>7.3 Warunki dofinansowania</w:t>
            </w:r>
          </w:p>
          <w:p w14:paraId="33EF0290"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w:t>
            </w:r>
            <w:r w:rsidRPr="005552B5">
              <w:rPr>
                <w:rStyle w:val="hgkelc"/>
                <w:rFonts w:asciiTheme="minorHAnsi" w:hAnsiTheme="minorHAnsi" w:cstheme="minorHAnsi"/>
                <w:sz w:val="20"/>
                <w:szCs w:val="20"/>
              </w:rPr>
              <w:tab/>
              <w:t xml:space="preserve">objęta dofinansowaniem ogólnodostępna stacja ładowania musi </w:t>
            </w:r>
            <w:r w:rsidRPr="005552B5">
              <w:rPr>
                <w:rStyle w:val="hgkelc"/>
                <w:rFonts w:asciiTheme="minorHAnsi" w:hAnsiTheme="minorHAnsi" w:cstheme="minorHAnsi"/>
                <w:sz w:val="20"/>
                <w:szCs w:val="20"/>
              </w:rPr>
              <w:lastRenderedPageBreak/>
              <w:t>być zlokalizowana wzdłuż dróg sieci bazowej TEN-T tj. na drodze należącej do sieci drogowej TEN-T lub w odległości do 3 km jazdy od najbliższego zjazdu z drogi TEN-T lub bezpośrednio na terenie centrum logistycznego (DEPOT) lub terminalu intermodalnego; lub bezpiecznego i chronionego parkingu</w:t>
            </w:r>
          </w:p>
          <w:p w14:paraId="73421664"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633DCEF9" w14:textId="582EFDB7" w:rsidR="00F301CE" w:rsidRPr="005552B5" w:rsidRDefault="00F301CE" w:rsidP="00F301CE">
            <w:pPr>
              <w:spacing w:after="0" w:line="240" w:lineRule="auto"/>
              <w:jc w:val="both"/>
              <w:rPr>
                <w:rStyle w:val="hgkelc"/>
                <w:rFonts w:asciiTheme="minorHAnsi" w:hAnsiTheme="minorHAnsi" w:cstheme="minorHAnsi"/>
                <w:sz w:val="20"/>
                <w:szCs w:val="20"/>
              </w:rPr>
            </w:pPr>
          </w:p>
          <w:p w14:paraId="553A247C"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6A040F8A" w14:textId="329696D1"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5) objęta dofinansowaniem ogólnodostępna stacja ładowania wybudowana lub rozbudowana, zlokalizowana na terenie centrum logistycznego (DEPOT) lub terminala intermodalnego, musi posiadać co najmniej jeden punkt ładowania o indywidualnej mocy wyjściowej wynoszącej co najmniej 350 kW; lub 100 kW w przypadku bezpiecznego i chronionego parkingu</w:t>
            </w:r>
          </w:p>
        </w:tc>
        <w:tc>
          <w:tcPr>
            <w:tcW w:w="3486" w:type="dxa"/>
          </w:tcPr>
          <w:p w14:paraId="38D51C3E" w14:textId="52C37866"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Zgodnie z uwagą nr 5. Proponujemy dodanie bezpiecznego i chronionego parkingu do warunków dofinansowania.</w:t>
            </w:r>
          </w:p>
        </w:tc>
        <w:tc>
          <w:tcPr>
            <w:tcW w:w="3253" w:type="dxa"/>
          </w:tcPr>
          <w:p w14:paraId="5D5D1430" w14:textId="77777777" w:rsidR="00F301CE" w:rsidRPr="005552B5" w:rsidRDefault="00D951A8"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nie została uwzględniona </w:t>
            </w:r>
          </w:p>
          <w:p w14:paraId="5E62EEDD" w14:textId="77777777" w:rsidR="00D951A8" w:rsidRPr="005552B5" w:rsidRDefault="00D951A8" w:rsidP="00F301CE">
            <w:pPr>
              <w:spacing w:after="0" w:line="240" w:lineRule="auto"/>
              <w:jc w:val="both"/>
              <w:rPr>
                <w:rFonts w:asciiTheme="minorHAnsi" w:hAnsiTheme="minorHAnsi" w:cstheme="minorHAnsi"/>
                <w:sz w:val="20"/>
                <w:szCs w:val="20"/>
              </w:rPr>
            </w:pPr>
          </w:p>
          <w:p w14:paraId="62A93AB5" w14:textId="4848EA1E" w:rsidR="00D951A8" w:rsidRPr="005552B5" w:rsidRDefault="00D951A8"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W przyszłości rozważymy  ewentualne rozszerzenie zakresu programu priorytetowego.</w:t>
            </w:r>
          </w:p>
        </w:tc>
      </w:tr>
      <w:tr w:rsidR="00F301CE" w:rsidRPr="005552B5" w14:paraId="08CA5B58" w14:textId="77777777" w:rsidTr="00F301CE">
        <w:tc>
          <w:tcPr>
            <w:tcW w:w="0" w:type="auto"/>
            <w:vAlign w:val="center"/>
          </w:tcPr>
          <w:p w14:paraId="15FEC47F" w14:textId="787A7AC9" w:rsidR="00F301CE" w:rsidRPr="005552B5" w:rsidRDefault="00F301CE" w:rsidP="00026E75">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lastRenderedPageBreak/>
              <w:t>7</w:t>
            </w:r>
            <w:r w:rsidR="00026E75">
              <w:rPr>
                <w:rFonts w:asciiTheme="minorHAnsi" w:hAnsiTheme="minorHAnsi" w:cstheme="minorHAnsi"/>
                <w:sz w:val="20"/>
                <w:szCs w:val="20"/>
                <w:lang w:val="en-US"/>
              </w:rPr>
              <w:t>4</w:t>
            </w:r>
          </w:p>
        </w:tc>
        <w:tc>
          <w:tcPr>
            <w:tcW w:w="1925" w:type="dxa"/>
          </w:tcPr>
          <w:p w14:paraId="25D6A9C1"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373B294E"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73AC6728"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37FE50D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3270CDFB"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2C9AE9A8"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4E0292D8"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69C4EAD1" w14:textId="53C846E1" w:rsidR="00F301CE"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lastRenderedPageBreak/>
              <w:t>7. BP Polska)</w:t>
            </w:r>
          </w:p>
        </w:tc>
        <w:tc>
          <w:tcPr>
            <w:tcW w:w="2770" w:type="dxa"/>
          </w:tcPr>
          <w:p w14:paraId="08A669F0"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7.5 Rodzaje inwestycji</w:t>
            </w:r>
          </w:p>
          <w:p w14:paraId="733ADE45"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Inwestycje polegające na:</w:t>
            </w:r>
          </w:p>
          <w:p w14:paraId="346E0536"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w:t>
            </w:r>
            <w:r w:rsidRPr="005552B5">
              <w:rPr>
                <w:rStyle w:val="hgkelc"/>
                <w:rFonts w:asciiTheme="minorHAnsi" w:hAnsiTheme="minorHAnsi" w:cstheme="minorHAnsi"/>
                <w:sz w:val="20"/>
                <w:szCs w:val="20"/>
              </w:rPr>
              <w:tab/>
              <w:t>budowie ogólnodostępnej stacji ładowania prądem stałym posiadającej co najmniej:</w:t>
            </w:r>
          </w:p>
          <w:p w14:paraId="7BCAC41A"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dwa punkty ładowania o indywidualnej mocy wyjściowej wynoszącej co najmniej 350 kW – dla inwestycji realizowanych wzdłuż drogowej sieci bazowej TEN-T,</w:t>
            </w:r>
          </w:p>
          <w:p w14:paraId="2CD21155"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jeden punkt ładowania o indywidualnej mocy wyjściowej wynoszącej co najmniej 350 kW </w:t>
            </w:r>
            <w:r w:rsidRPr="005552B5">
              <w:rPr>
                <w:rStyle w:val="hgkelc"/>
                <w:rFonts w:asciiTheme="minorHAnsi" w:hAnsiTheme="minorHAnsi" w:cstheme="minorHAnsi"/>
                <w:sz w:val="20"/>
                <w:szCs w:val="20"/>
              </w:rPr>
              <w:lastRenderedPageBreak/>
              <w:t>– dla inwestycji realizowanych na terenie centrum logistycznego (DEPOT) lub terminala intermodalnego;</w:t>
            </w:r>
          </w:p>
          <w:p w14:paraId="11EFB556"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2)</w:t>
            </w:r>
            <w:r w:rsidRPr="005552B5">
              <w:rPr>
                <w:rStyle w:val="hgkelc"/>
                <w:rFonts w:asciiTheme="minorHAnsi" w:hAnsiTheme="minorHAnsi" w:cstheme="minorHAnsi"/>
                <w:sz w:val="20"/>
                <w:szCs w:val="20"/>
              </w:rPr>
              <w:tab/>
              <w:t>przebudowie ogólnodostępnej stacji ładowania prądem stałym, skutkującej przyrostem jej mocy w taki sposób, aby utworzone zostały co najmniej:</w:t>
            </w:r>
          </w:p>
          <w:p w14:paraId="340C5459"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dwa punkty ładowania o indywidualnej mocy wyjściowej wynoszącej co najmniej 350 kW – dla inwestycji realizowanych wzdłuż drogowej sieci bazowej TEN-T,</w:t>
            </w:r>
          </w:p>
          <w:p w14:paraId="427133FC" w14:textId="580CA556"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jeden punkt ładowania o indywidualnej mocy wyjściowej wynoszącej co najmniej 350 kW – dla inwestycji realizowanych na terenie centrum logistycznego (DEPOT) lub terminala intermodalnego.</w:t>
            </w:r>
          </w:p>
        </w:tc>
        <w:tc>
          <w:tcPr>
            <w:tcW w:w="3486" w:type="dxa"/>
          </w:tcPr>
          <w:p w14:paraId="621B952D" w14:textId="77777777" w:rsidR="00F301CE" w:rsidRPr="005552B5" w:rsidRDefault="00F301CE" w:rsidP="00F301CE">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7.5 Rodzaje inwestycji</w:t>
            </w:r>
          </w:p>
          <w:p w14:paraId="5736C0C1"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Inwestycje polegające na:</w:t>
            </w:r>
          </w:p>
          <w:p w14:paraId="6A8D8B0C"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w:t>
            </w:r>
            <w:r w:rsidRPr="005552B5">
              <w:rPr>
                <w:rStyle w:val="hgkelc"/>
                <w:rFonts w:asciiTheme="minorHAnsi" w:hAnsiTheme="minorHAnsi" w:cstheme="minorHAnsi"/>
                <w:sz w:val="20"/>
                <w:szCs w:val="20"/>
              </w:rPr>
              <w:tab/>
              <w:t>budowie ogólnodostępnej stacji ładowania lub za AFIR strefa ładowania) prądem stałym posiadającej co najmniej:</w:t>
            </w:r>
          </w:p>
          <w:p w14:paraId="531C2A84"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dwa punkty ładowania o indywidualnej mocy wyjściowej wynoszącej co najmniej 350 kW – dla inwestycji realizowanych wzdłuż drogowej sieci bazowej TEN-T,</w:t>
            </w:r>
          </w:p>
          <w:p w14:paraId="7A97FE04"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jeden punkt ładowania o indywidualnej mocy wyjściowej wynoszącej co najmniej 350 kW – dla inwestycji realizowanych na terenie </w:t>
            </w:r>
            <w:r w:rsidRPr="005552B5">
              <w:rPr>
                <w:rStyle w:val="hgkelc"/>
                <w:rFonts w:asciiTheme="minorHAnsi" w:hAnsiTheme="minorHAnsi" w:cstheme="minorHAnsi"/>
                <w:sz w:val="20"/>
                <w:szCs w:val="20"/>
              </w:rPr>
              <w:lastRenderedPageBreak/>
              <w:t>centrum logistycznego (DEPOT) lub terminala intermodalnego;</w:t>
            </w:r>
          </w:p>
          <w:p w14:paraId="33F8C728"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2)</w:t>
            </w:r>
            <w:r w:rsidRPr="005552B5">
              <w:rPr>
                <w:rStyle w:val="hgkelc"/>
                <w:rFonts w:asciiTheme="minorHAnsi" w:hAnsiTheme="minorHAnsi" w:cstheme="minorHAnsi"/>
                <w:sz w:val="20"/>
                <w:szCs w:val="20"/>
              </w:rPr>
              <w:tab/>
              <w:t>przebudowie ogólnodostępnej stacji ładowania prądem stałym, skutkującej przyrostem jej mocy w taki sposób, aby utworzone zostały co najmniej:</w:t>
            </w:r>
          </w:p>
          <w:p w14:paraId="69FD0BFE"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dwa punkty ładowania o indywidualnej mocy wyjściowej wynoszącej co najmniej 350 kW – dla inwestycji realizowanych wzdłuż drogowej sieci bazowej TEN-T,</w:t>
            </w:r>
          </w:p>
          <w:p w14:paraId="2BC1ED89"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jeden punkt ładowania o indywidualnej mocy wyjściowej wynoszącej co najmniej 350 kW – dla inwestycji realizowanych na terenie centrum logistycznego (DEPOT) lub terminala intermodalnego.</w:t>
            </w:r>
          </w:p>
          <w:p w14:paraId="49C26794"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3)</w:t>
            </w:r>
            <w:r w:rsidRPr="005552B5">
              <w:rPr>
                <w:rStyle w:val="hgkelc"/>
                <w:rFonts w:asciiTheme="minorHAnsi" w:hAnsiTheme="minorHAnsi" w:cstheme="minorHAnsi"/>
                <w:sz w:val="20"/>
                <w:szCs w:val="20"/>
              </w:rPr>
              <w:tab/>
              <w:t>budowie ogólnodostępnej stacji ładowania prądem stałym posiadającej co najmniej: dwie ogólnodostępne stacje ładowania przeznaczone dla elektrycznych pojazdów ciężkich o indywidualnej mocy wyjściowej wynoszącej co najmniej 100 kW;</w:t>
            </w:r>
          </w:p>
          <w:p w14:paraId="420C6531"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0BE41F25" w14:textId="77777777" w:rsidR="00F301CE" w:rsidRPr="005552B5" w:rsidRDefault="00F301CE" w:rsidP="00F301CE">
            <w:pPr>
              <w:spacing w:after="0" w:line="240" w:lineRule="auto"/>
              <w:jc w:val="both"/>
              <w:rPr>
                <w:rStyle w:val="hgkelc"/>
                <w:rFonts w:asciiTheme="minorHAnsi" w:hAnsiTheme="minorHAnsi" w:cstheme="minorHAnsi"/>
                <w:sz w:val="20"/>
                <w:szCs w:val="20"/>
              </w:rPr>
            </w:pPr>
          </w:p>
        </w:tc>
        <w:tc>
          <w:tcPr>
            <w:tcW w:w="3486" w:type="dxa"/>
          </w:tcPr>
          <w:p w14:paraId="5CC0C58A" w14:textId="77777777"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Zgodnie z uwagą nr 5. Proponujemy dodanie wymogów dla stacji ładowania zlokalizowanych na terenie bezpiecznego i chronionego parkingu do rodzajów inwestycji</w:t>
            </w:r>
          </w:p>
          <w:p w14:paraId="6A672DCD" w14:textId="77777777" w:rsidR="00F301CE" w:rsidRPr="005552B5" w:rsidRDefault="00F301CE" w:rsidP="00F301CE">
            <w:pPr>
              <w:spacing w:after="0" w:line="240" w:lineRule="auto"/>
              <w:jc w:val="both"/>
              <w:rPr>
                <w:rStyle w:val="hgkelc"/>
                <w:rFonts w:asciiTheme="minorHAnsi" w:hAnsiTheme="minorHAnsi" w:cstheme="minorHAnsi"/>
                <w:sz w:val="20"/>
                <w:szCs w:val="20"/>
              </w:rPr>
            </w:pPr>
          </w:p>
          <w:p w14:paraId="498B84B0" w14:textId="1354F62E" w:rsidR="00F301CE" w:rsidRPr="005552B5" w:rsidRDefault="00F301CE" w:rsidP="00F301CE">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Proponujemy doprecyzować pojęcie stacji ładowania w rozumieniu AFIR czy jest to strefa ładowania</w:t>
            </w:r>
          </w:p>
        </w:tc>
        <w:tc>
          <w:tcPr>
            <w:tcW w:w="3253" w:type="dxa"/>
          </w:tcPr>
          <w:p w14:paraId="00A045FC" w14:textId="77777777" w:rsidR="00F301CE" w:rsidRPr="005552B5" w:rsidRDefault="00F301CE"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 przyszłości rozważymy  ewentualne rozszerzenie zakresu programu priorytetowego</w:t>
            </w:r>
            <w:r w:rsidR="006B6BC1" w:rsidRPr="005552B5">
              <w:rPr>
                <w:rFonts w:asciiTheme="minorHAnsi" w:hAnsiTheme="minorHAnsi" w:cstheme="minorHAnsi"/>
                <w:sz w:val="20"/>
                <w:szCs w:val="20"/>
              </w:rPr>
              <w:t>.</w:t>
            </w:r>
          </w:p>
          <w:p w14:paraId="147B4C30" w14:textId="6B8C2E90" w:rsidR="006B6BC1" w:rsidRPr="005552B5" w:rsidRDefault="006B6BC1" w:rsidP="00F301CE">
            <w:pPr>
              <w:spacing w:after="0" w:line="240" w:lineRule="auto"/>
              <w:jc w:val="both"/>
              <w:rPr>
                <w:rFonts w:asciiTheme="minorHAnsi" w:hAnsiTheme="minorHAnsi" w:cstheme="minorHAnsi"/>
                <w:sz w:val="20"/>
                <w:szCs w:val="20"/>
              </w:rPr>
            </w:pPr>
          </w:p>
          <w:p w14:paraId="7BE33395" w14:textId="4ED05A66" w:rsidR="006B6BC1" w:rsidRPr="005552B5" w:rsidRDefault="006B6BC1" w:rsidP="00F301CE">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częściowo uwzględniona.</w:t>
            </w:r>
          </w:p>
          <w:p w14:paraId="7C088048" w14:textId="77777777" w:rsidR="006B6BC1" w:rsidRPr="005552B5" w:rsidRDefault="006B6BC1" w:rsidP="00F301CE">
            <w:pPr>
              <w:spacing w:after="0" w:line="240" w:lineRule="auto"/>
              <w:jc w:val="both"/>
              <w:rPr>
                <w:rFonts w:asciiTheme="minorHAnsi" w:hAnsiTheme="minorHAnsi" w:cstheme="minorHAnsi"/>
                <w:sz w:val="20"/>
                <w:szCs w:val="20"/>
              </w:rPr>
            </w:pPr>
          </w:p>
          <w:p w14:paraId="086E4143" w14:textId="1BB9A96A"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Doprecyzowano/</w:t>
            </w:r>
            <w:proofErr w:type="spellStart"/>
            <w:r w:rsidRPr="005552B5">
              <w:rPr>
                <w:rFonts w:asciiTheme="minorHAnsi" w:hAnsiTheme="minorHAnsi" w:cstheme="minorHAnsi"/>
                <w:sz w:val="20"/>
                <w:szCs w:val="20"/>
              </w:rPr>
              <w:t>uspójniono</w:t>
            </w:r>
            <w:proofErr w:type="spellEnd"/>
            <w:r w:rsidRPr="005552B5">
              <w:rPr>
                <w:rFonts w:asciiTheme="minorHAnsi" w:hAnsiTheme="minorHAnsi" w:cstheme="minorHAnsi"/>
                <w:sz w:val="20"/>
                <w:szCs w:val="20"/>
              </w:rPr>
              <w:t xml:space="preserve"> nazewnictwo.</w:t>
            </w:r>
          </w:p>
        </w:tc>
      </w:tr>
      <w:tr w:rsidR="006B6BC1" w:rsidRPr="005552B5" w14:paraId="76CA2A36" w14:textId="77777777" w:rsidTr="00F301CE">
        <w:tc>
          <w:tcPr>
            <w:tcW w:w="0" w:type="auto"/>
            <w:vAlign w:val="center"/>
          </w:tcPr>
          <w:p w14:paraId="561EF4B1" w14:textId="1F3350C5" w:rsidR="006B6BC1" w:rsidRPr="005552B5" w:rsidRDefault="006B6BC1" w:rsidP="00026E75">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7</w:t>
            </w:r>
            <w:r w:rsidR="00026E75">
              <w:rPr>
                <w:rFonts w:asciiTheme="minorHAnsi" w:hAnsiTheme="minorHAnsi" w:cstheme="minorHAnsi"/>
                <w:sz w:val="20"/>
                <w:szCs w:val="20"/>
                <w:lang w:val="en-US"/>
              </w:rPr>
              <w:t>5</w:t>
            </w:r>
          </w:p>
        </w:tc>
        <w:tc>
          <w:tcPr>
            <w:tcW w:w="1925" w:type="dxa"/>
          </w:tcPr>
          <w:p w14:paraId="3034F74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7AFFE809"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4675A1C6"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29CBF030"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0FCA3150"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5AD295AA"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lastRenderedPageBreak/>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5BC47F29"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7C9E0D34" w14:textId="1C4F3105" w:rsidR="006B6BC1"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38B5B215" w14:textId="5E065AA2"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 xml:space="preserve">7.3 Warunki dofinansowania </w:t>
            </w:r>
          </w:p>
          <w:p w14:paraId="2D7DA666"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566D7B1A" w14:textId="48655791"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4)</w:t>
            </w:r>
            <w:r w:rsidRPr="005552B5">
              <w:rPr>
                <w:rStyle w:val="hgkelc"/>
                <w:rFonts w:asciiTheme="minorHAnsi" w:hAnsiTheme="minorHAnsi" w:cstheme="minorHAnsi"/>
                <w:sz w:val="20"/>
                <w:szCs w:val="20"/>
              </w:rPr>
              <w:tab/>
              <w:t xml:space="preserve">objęta dofinansowaniem ogólnodostępna stacja ładowania wybudowana lub rozbudowana zlokalizowana wzdłuż drogowej sieci bazowej TEN-T musi posiadać najmniej dwa punkty ładowania  o indywidualnej mocy wyjściowej </w:t>
            </w:r>
            <w:r w:rsidRPr="005552B5">
              <w:rPr>
                <w:rStyle w:val="hgkelc"/>
                <w:rFonts w:asciiTheme="minorHAnsi" w:hAnsiTheme="minorHAnsi" w:cstheme="minorHAnsi"/>
                <w:sz w:val="20"/>
                <w:szCs w:val="20"/>
              </w:rPr>
              <w:lastRenderedPageBreak/>
              <w:t>wynoszącej co najmniej 350 kW;</w:t>
            </w:r>
          </w:p>
        </w:tc>
        <w:tc>
          <w:tcPr>
            <w:tcW w:w="3486" w:type="dxa"/>
          </w:tcPr>
          <w:p w14:paraId="53383932"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 xml:space="preserve">7.3 Warunki dofinansowania </w:t>
            </w:r>
          </w:p>
          <w:p w14:paraId="41186DFC" w14:textId="2EF70D28"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4)</w:t>
            </w:r>
            <w:r w:rsidRPr="005552B5">
              <w:rPr>
                <w:rStyle w:val="hgkelc"/>
                <w:rFonts w:asciiTheme="minorHAnsi" w:hAnsiTheme="minorHAnsi" w:cstheme="minorHAnsi"/>
                <w:sz w:val="20"/>
                <w:szCs w:val="20"/>
              </w:rPr>
              <w:tab/>
              <w:t>objęta dofinansowaniem ogólnodostępna stacja ładowania (lub za AFIR strefa ładowania) wybudowana lub rozbudowana zlokalizowana wzdłuż drogowej sieci bazowej TEN-T musi posiadać najmniej dwa punkty ładowania  o indywidualnej mocy stacji ładowania wyjściowej wynoszącej co najmniej 350 kW;</w:t>
            </w:r>
          </w:p>
        </w:tc>
        <w:tc>
          <w:tcPr>
            <w:tcW w:w="3486" w:type="dxa"/>
          </w:tcPr>
          <w:p w14:paraId="196D7085"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naszej ocenie punkt ten wymaga doprecyzowania, czy wymogiem będzie posiadanie minimum dwóch punktów o indywidualnej mocy wyjściowej co najmniej 350 kW na każdy punkt, czy jednej stacji ładowania z dwoma punktami ładowania o łącznej mocy 350 kW  ze stałym lub dynamicznym podziałem mocy między punktami (np. stacji ładowania o mocy 350 kW dzielona na dwa punkty). </w:t>
            </w:r>
          </w:p>
          <w:p w14:paraId="16826700"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23B625D2"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 xml:space="preserve">Prosimy również o doprecyzowanie czy każdy z punktów ładowania musi dostarczyć min. 350 kW mocy w tym samym czasie? Czy stacja ładowania np. o mocy 400 kW typu stand </w:t>
            </w:r>
            <w:proofErr w:type="spellStart"/>
            <w:r w:rsidRPr="005552B5">
              <w:rPr>
                <w:rStyle w:val="hgkelc"/>
                <w:rFonts w:asciiTheme="minorHAnsi" w:hAnsiTheme="minorHAnsi" w:cstheme="minorHAnsi"/>
                <w:sz w:val="20"/>
                <w:szCs w:val="20"/>
              </w:rPr>
              <w:t>alone</w:t>
            </w:r>
            <w:proofErr w:type="spellEnd"/>
            <w:r w:rsidRPr="005552B5">
              <w:rPr>
                <w:rStyle w:val="hgkelc"/>
                <w:rFonts w:asciiTheme="minorHAnsi" w:hAnsiTheme="minorHAnsi" w:cstheme="minorHAnsi"/>
                <w:sz w:val="20"/>
                <w:szCs w:val="20"/>
              </w:rPr>
              <w:t xml:space="preserve"> lub stacja bazowa (</w:t>
            </w:r>
            <w:proofErr w:type="spellStart"/>
            <w:r w:rsidRPr="005552B5">
              <w:rPr>
                <w:rStyle w:val="hgkelc"/>
                <w:rFonts w:asciiTheme="minorHAnsi" w:hAnsiTheme="minorHAnsi" w:cstheme="minorHAnsi"/>
                <w:sz w:val="20"/>
                <w:szCs w:val="20"/>
              </w:rPr>
              <w:t>power</w:t>
            </w:r>
            <w:proofErr w:type="spellEnd"/>
            <w:r w:rsidRPr="005552B5">
              <w:rPr>
                <w:rStyle w:val="hgkelc"/>
                <w:rFonts w:asciiTheme="minorHAnsi" w:hAnsiTheme="minorHAnsi" w:cstheme="minorHAnsi"/>
                <w:sz w:val="20"/>
                <w:szCs w:val="20"/>
              </w:rPr>
              <w:t xml:space="preserve"> unit) połączona z dwoma satelitami, zawierająca 2 punkty ładowania z których każdy może indywidualnie dostarczyć moc 400 kW, ale nie w przypadku ładowania równoczesnego 2 pojazdów (w takim przypadku wystąpi statyczny lub dynamiczny podział mocy pomiędzy punkty ładowania np. 200 kW + 200 kW) będzie kwalifikowała się do objęcia dofinansowaniem?</w:t>
            </w:r>
          </w:p>
          <w:p w14:paraId="1DD5B352"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2A4D15F3"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Punkt ten jest niespójny z celem programu:</w:t>
            </w:r>
          </w:p>
          <w:p w14:paraId="6A4FD7DA"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1418B877"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Liczba wybudowanych lub rozbudowanych ogólnodostępnych </w:t>
            </w:r>
            <w:r w:rsidRPr="005552B5">
              <w:rPr>
                <w:rStyle w:val="hgkelc"/>
                <w:rFonts w:asciiTheme="minorHAnsi" w:hAnsiTheme="minorHAnsi" w:cstheme="minorHAnsi"/>
                <w:b/>
                <w:sz w:val="20"/>
                <w:szCs w:val="20"/>
              </w:rPr>
              <w:t>stacji ładowania prądem stałym o mocy nie mniejszej niż 350 kW</w:t>
            </w:r>
          </w:p>
          <w:p w14:paraId="136960C9"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614038B5" w14:textId="4CB2B14C"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przypadku infrastruktury do ładowania pojazdów ciężarowych należy doprecyzować i rozróżnić dwa pojęcia: infrastrukturę ładowania w danej lokalizacji - może to być grupa „ładowarek” (właściwie za AFIR strefa ładowania) i stację ładowania („pojedyncza ładowarka”). W danej lokalizacji może znajdować się kilka stacji ładowania w branży </w:t>
            </w:r>
            <w:proofErr w:type="spellStart"/>
            <w:r w:rsidRPr="005552B5">
              <w:rPr>
                <w:rStyle w:val="hgkelc"/>
                <w:rFonts w:asciiTheme="minorHAnsi" w:hAnsiTheme="minorHAnsi" w:cstheme="minorHAnsi"/>
                <w:sz w:val="20"/>
                <w:szCs w:val="20"/>
              </w:rPr>
              <w:t>elektromobilności</w:t>
            </w:r>
            <w:proofErr w:type="spellEnd"/>
            <w:r w:rsidRPr="005552B5">
              <w:rPr>
                <w:rStyle w:val="hgkelc"/>
                <w:rFonts w:asciiTheme="minorHAnsi" w:hAnsiTheme="minorHAnsi" w:cstheme="minorHAnsi"/>
                <w:sz w:val="20"/>
                <w:szCs w:val="20"/>
              </w:rPr>
              <w:t xml:space="preserve"> zwany hub/hub ładowania (w </w:t>
            </w:r>
            <w:proofErr w:type="spellStart"/>
            <w:r w:rsidRPr="005552B5">
              <w:rPr>
                <w:rStyle w:val="hgkelc"/>
                <w:rFonts w:asciiTheme="minorHAnsi" w:hAnsiTheme="minorHAnsi" w:cstheme="minorHAnsi"/>
                <w:sz w:val="20"/>
                <w:szCs w:val="20"/>
              </w:rPr>
              <w:t>charging</w:t>
            </w:r>
            <w:proofErr w:type="spellEnd"/>
            <w:r w:rsidRPr="005552B5">
              <w:rPr>
                <w:rStyle w:val="hgkelc"/>
                <w:rFonts w:asciiTheme="minorHAnsi" w:hAnsiTheme="minorHAnsi" w:cstheme="minorHAnsi"/>
                <w:sz w:val="20"/>
                <w:szCs w:val="20"/>
              </w:rPr>
              <w:t xml:space="preserve"> hub/</w:t>
            </w:r>
            <w:proofErr w:type="spellStart"/>
            <w:r w:rsidRPr="005552B5">
              <w:rPr>
                <w:rStyle w:val="hgkelc"/>
                <w:rFonts w:asciiTheme="minorHAnsi" w:hAnsiTheme="minorHAnsi" w:cstheme="minorHAnsi"/>
                <w:sz w:val="20"/>
                <w:szCs w:val="20"/>
              </w:rPr>
              <w:t>charging</w:t>
            </w:r>
            <w:proofErr w:type="spellEnd"/>
            <w:r w:rsidRPr="005552B5">
              <w:rPr>
                <w:rStyle w:val="hgkelc"/>
                <w:rFonts w:asciiTheme="minorHAnsi" w:hAnsiTheme="minorHAnsi" w:cstheme="minorHAnsi"/>
                <w:sz w:val="20"/>
                <w:szCs w:val="20"/>
              </w:rPr>
              <w:t xml:space="preserve"> hub). W przedstawionym projekcie rozumienie tych pojęć zostało zmodyfikowane na tyle, że może </w:t>
            </w:r>
            <w:r w:rsidRPr="005552B5">
              <w:rPr>
                <w:rStyle w:val="hgkelc"/>
                <w:rFonts w:asciiTheme="minorHAnsi" w:hAnsiTheme="minorHAnsi" w:cstheme="minorHAnsi"/>
                <w:sz w:val="20"/>
                <w:szCs w:val="20"/>
              </w:rPr>
              <w:lastRenderedPageBreak/>
              <w:t xml:space="preserve">obecnie uniemożliwić realizację programu, gdyż występuje oczekiwanie, aby stacja ładowania (pojedyncza ładowarka) posiadała 2,3,4,5 bądź więcej punktów ładowania o bardzo dużej mocy (350kW każdy), co może być techniczne nie do spełnienia (obecnie brakuje takich rozwiązań i urządzeń). Na podstawie pozostałych zapisów projektu programu priorytetowego zakładamy, że intencją było zabezpieczenie </w:t>
            </w:r>
            <w:proofErr w:type="spellStart"/>
            <w:r w:rsidRPr="005552B5">
              <w:rPr>
                <w:rStyle w:val="hgkelc"/>
                <w:rFonts w:asciiTheme="minorHAnsi" w:hAnsiTheme="minorHAnsi" w:cstheme="minorHAnsi"/>
                <w:sz w:val="20"/>
                <w:szCs w:val="20"/>
              </w:rPr>
              <w:t>mininium</w:t>
            </w:r>
            <w:proofErr w:type="spellEnd"/>
            <w:r w:rsidRPr="005552B5">
              <w:rPr>
                <w:rStyle w:val="hgkelc"/>
                <w:rFonts w:asciiTheme="minorHAnsi" w:hAnsiTheme="minorHAnsi" w:cstheme="minorHAnsi"/>
                <w:sz w:val="20"/>
                <w:szCs w:val="20"/>
              </w:rPr>
              <w:t xml:space="preserve"> dwóch punktów ładowania o mocy 350kW w danej lokalizacji, a nie w pojedynczej „ładowarce” (stacji ładowania). W przypadku pojazdów ciężarowych (inaczej niż dla osobowych) należy zapewnić większą moc oferowaną przez pojedynczy punkt ładowania (350kW a w przyszłości więcej) niż dwa punkty ładowania w jednej stacji (ładowarce), co może spowodować podzielenie mocy i nie zapewni szybkiego ładowania takim pojazdom.</w:t>
            </w:r>
          </w:p>
        </w:tc>
        <w:tc>
          <w:tcPr>
            <w:tcW w:w="3253" w:type="dxa"/>
          </w:tcPr>
          <w:p w14:paraId="24EC9596"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Uwaga uwzględniona – doprecyzowano:</w:t>
            </w:r>
          </w:p>
          <w:p w14:paraId="23335C28"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Inwestycje, których realizacja przyczyni się do osiągnięcia najlepszego efektu rzeczowego, rozumianego jako utworzenie jak największej liczby ogólnodostępnych stacji ładowania, posiadających co najmniej jednej punkt o mocy wyjściowej co najmniej 350 </w:t>
            </w:r>
            <w:proofErr w:type="spellStart"/>
            <w:r w:rsidRPr="005552B5">
              <w:rPr>
                <w:rFonts w:asciiTheme="minorHAnsi" w:hAnsiTheme="minorHAnsi" w:cstheme="minorHAnsi"/>
                <w:sz w:val="20"/>
                <w:szCs w:val="20"/>
              </w:rPr>
              <w:t>kW.</w:t>
            </w:r>
            <w:proofErr w:type="spellEnd"/>
          </w:p>
          <w:p w14:paraId="04633B02"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Sposób przyznawania punktacji:</w:t>
            </w:r>
          </w:p>
          <w:p w14:paraId="6DDB7259"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w:t>
            </w:r>
            <w:r w:rsidRPr="005552B5">
              <w:rPr>
                <w:rFonts w:asciiTheme="minorHAnsi" w:hAnsiTheme="minorHAnsi" w:cstheme="minorHAnsi"/>
                <w:sz w:val="20"/>
                <w:szCs w:val="20"/>
              </w:rPr>
              <w:tab/>
              <w:t>dla inwestycji realizowanych wzdłuż drogowej sieci bazowej TEN-T lub w odległości do 3 km jazdy od najbliższego zjazdu z drogi TEN-T:</w:t>
            </w:r>
          </w:p>
          <w:p w14:paraId="16BEAA22"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powstanie co najmniej 3 ogólnodostępnych stacji ładowania, z których każda posiada co najmniej jeden punkt ładowania o mocy wyjściowej co najmniej  350 kW– 1 pkt </w:t>
            </w:r>
          </w:p>
          <w:p w14:paraId="2B91A01D"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4 do 5 punktów ogólnodostępnych stacji ładowania, z których każda posiada co najmniej jeden punkt ładowania o mocy wyjściowej co najmniej  350 kW – 2 pkt</w:t>
            </w:r>
          </w:p>
          <w:p w14:paraId="0CB83023"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6 do 7 ogólnodostępnych stacji ładowania, z których każda posiada co najmniej jeden punkt ładowania o mocy wyjściowej co najmniej  350 kW – 3 pkt</w:t>
            </w:r>
          </w:p>
          <w:p w14:paraId="111B59A7"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co najmniej 8 ogólnodostępnych stacji ładowania, z których każda posiada co najmniej jeden punkt ładowania o mocy wyjściowej co najmniej  350 kW – 5 pkt</w:t>
            </w:r>
          </w:p>
          <w:p w14:paraId="614B1237"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dla inwestycji realizowanych na terenie centrum logistycznego (DEPOT), bazie eksploatacyjnej lub terminala intermodalnego w odległości do 3 km jazdy od tych obiektów:</w:t>
            </w:r>
          </w:p>
          <w:p w14:paraId="1806AAD0"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powstanie co najmniej 2 ogólnodostępnych stacji ładowania, z których każda posiada co najmniej jeden punkt ładowania o mocy wyjściowej co najmniej  350 kW – 1 pkt </w:t>
            </w:r>
          </w:p>
          <w:p w14:paraId="52D3B771"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powstanie co najmniej 3 ogólnodostępnych stacji ładowania, z których każda posiada co najmniej jeden punkt ładowania o mocy wyjściowej co najmniej  350 kW – 2 pkt</w:t>
            </w:r>
          </w:p>
          <w:p w14:paraId="1F3147A3"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co najmniej 4 ogólnodostępnych stacji ładowania, z których każda posiada co najmniej jeden punkt ładowania o mocy wyjściowej co najmniej  350 kW – 3 pkt</w:t>
            </w:r>
          </w:p>
          <w:p w14:paraId="77CC61A0" w14:textId="40960D09"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co najmniej 5 ogólnodostępnych stacji ładowania, z których każda posiada co najmniej jeden punkt ładowania o mocy wyjściowej co najmniej  350 kW – 5 pkt</w:t>
            </w:r>
            <w:r w:rsidRPr="005552B5">
              <w:rPr>
                <w:rFonts w:asciiTheme="minorHAnsi" w:hAnsiTheme="minorHAnsi" w:cstheme="minorHAnsi"/>
                <w:sz w:val="20"/>
                <w:szCs w:val="20"/>
              </w:rPr>
              <w:tab/>
            </w:r>
          </w:p>
        </w:tc>
      </w:tr>
      <w:tr w:rsidR="006B6BC1" w:rsidRPr="005552B5" w14:paraId="0B27BAF6" w14:textId="77777777" w:rsidTr="00F301CE">
        <w:tc>
          <w:tcPr>
            <w:tcW w:w="0" w:type="auto"/>
            <w:vAlign w:val="center"/>
          </w:tcPr>
          <w:p w14:paraId="44C259D2" w14:textId="5CD3B731" w:rsidR="006B6BC1" w:rsidRPr="005552B5" w:rsidRDefault="00026E75" w:rsidP="006B6BC1">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lastRenderedPageBreak/>
              <w:t>76</w:t>
            </w:r>
          </w:p>
        </w:tc>
        <w:tc>
          <w:tcPr>
            <w:tcW w:w="1925" w:type="dxa"/>
          </w:tcPr>
          <w:p w14:paraId="556C03BD"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2BD84393"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22A5370B"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373D7644"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4BEEDD4D"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25ACC192"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6F8AB569"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6EFC9F09" w14:textId="375E5FE7" w:rsidR="006B6BC1"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5C2ADCDC"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 xml:space="preserve">7.3 Warunki dofinansowania </w:t>
            </w:r>
          </w:p>
          <w:p w14:paraId="7367B9B6"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6C6DFCA0" w14:textId="6D4C7A7E"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Przypis 4: Przy czym decyduje kolejność złożenia poszczególnych wniosków</w:t>
            </w:r>
          </w:p>
        </w:tc>
        <w:tc>
          <w:tcPr>
            <w:tcW w:w="3486" w:type="dxa"/>
          </w:tcPr>
          <w:p w14:paraId="528176BE" w14:textId="3D003182"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Uwaga o charakterze ogólnym</w:t>
            </w:r>
          </w:p>
        </w:tc>
        <w:tc>
          <w:tcPr>
            <w:tcW w:w="3486" w:type="dxa"/>
          </w:tcPr>
          <w:p w14:paraId="34D9AD27"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naszej ocenie punkt ten wymaga doprecyzowania w jaki sposób będzie funkcjonowała kolejność złożenia wniosków w trybie konkursowym. </w:t>
            </w:r>
          </w:p>
          <w:p w14:paraId="1DD49041"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4BB53129" w14:textId="3B8F5E40"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Chcemy zwrócić szczególną uwagę, że kolejność złożenia wniosków będzie m</w:t>
            </w:r>
            <w:r w:rsidR="001B1276">
              <w:rPr>
                <w:rStyle w:val="hgkelc"/>
                <w:rFonts w:asciiTheme="minorHAnsi" w:hAnsiTheme="minorHAnsi" w:cstheme="minorHAnsi"/>
                <w:sz w:val="20"/>
                <w:szCs w:val="20"/>
              </w:rPr>
              <w:t>iała znaczenie wyłącznie w przy</w:t>
            </w:r>
            <w:r w:rsidRPr="005552B5">
              <w:rPr>
                <w:rStyle w:val="hgkelc"/>
                <w:rFonts w:asciiTheme="minorHAnsi" w:hAnsiTheme="minorHAnsi" w:cstheme="minorHAnsi"/>
                <w:sz w:val="20"/>
                <w:szCs w:val="20"/>
              </w:rPr>
              <w:t>padku gdy podmioty będą miały taką samą ilość punktów po ocenie projektu, a kryterium rozstrzygające jest niejasne.</w:t>
            </w:r>
          </w:p>
        </w:tc>
        <w:tc>
          <w:tcPr>
            <w:tcW w:w="3253" w:type="dxa"/>
          </w:tcPr>
          <w:p w14:paraId="012BDF72" w14:textId="548AEDA4" w:rsidR="006B6BC1" w:rsidRPr="005552B5" w:rsidRDefault="001B1276" w:rsidP="001B1276">
            <w:pPr>
              <w:spacing w:after="0" w:line="240" w:lineRule="auto"/>
              <w:jc w:val="both"/>
              <w:rPr>
                <w:rFonts w:asciiTheme="minorHAnsi" w:hAnsiTheme="minorHAnsi" w:cstheme="minorHAnsi"/>
                <w:sz w:val="20"/>
                <w:szCs w:val="20"/>
              </w:rPr>
            </w:pPr>
            <w:r>
              <w:rPr>
                <w:rFonts w:asciiTheme="minorHAnsi" w:hAnsiTheme="minorHAnsi" w:cstheme="minorHAnsi"/>
                <w:sz w:val="20"/>
                <w:szCs w:val="20"/>
              </w:rPr>
              <w:t>Kolejność złożenia wniosku nie będzie wpływała na usytuowanie na liście rankingowej. Regulamin naboru wniosków i zasady oceny, zostaną opublikowane wraz z ogłoszeniem naboru.</w:t>
            </w:r>
          </w:p>
        </w:tc>
      </w:tr>
      <w:tr w:rsidR="006B6BC1" w:rsidRPr="005552B5" w14:paraId="4D035776" w14:textId="77777777" w:rsidTr="00F301CE">
        <w:tc>
          <w:tcPr>
            <w:tcW w:w="0" w:type="auto"/>
            <w:vAlign w:val="center"/>
          </w:tcPr>
          <w:p w14:paraId="0E3C18BB" w14:textId="7692BCBD" w:rsidR="006B6BC1" w:rsidRPr="005552B5" w:rsidRDefault="00026E75" w:rsidP="006B6BC1">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lastRenderedPageBreak/>
              <w:t>77</w:t>
            </w:r>
          </w:p>
        </w:tc>
        <w:tc>
          <w:tcPr>
            <w:tcW w:w="1925" w:type="dxa"/>
          </w:tcPr>
          <w:p w14:paraId="57E76FE1" w14:textId="2B613366" w:rsidR="00400B04" w:rsidRPr="00400B04" w:rsidRDefault="006B6BC1"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Po</w:t>
            </w:r>
            <w:r w:rsidR="00400B04" w:rsidRPr="00400B04">
              <w:rPr>
                <w:rFonts w:asciiTheme="minorHAnsi" w:hAnsiTheme="minorHAnsi" w:cstheme="minorHAnsi"/>
                <w:b/>
                <w:sz w:val="20"/>
                <w:szCs w:val="20"/>
              </w:rPr>
              <w:t xml:space="preserve"> Polska Izba Rozwoju </w:t>
            </w:r>
            <w:proofErr w:type="spellStart"/>
            <w:r w:rsidR="00400B04" w:rsidRPr="00400B04">
              <w:rPr>
                <w:rFonts w:asciiTheme="minorHAnsi" w:hAnsiTheme="minorHAnsi" w:cstheme="minorHAnsi"/>
                <w:b/>
                <w:sz w:val="20"/>
                <w:szCs w:val="20"/>
              </w:rPr>
              <w:t>Elektromobilności</w:t>
            </w:r>
            <w:proofErr w:type="spellEnd"/>
            <w:r w:rsidR="00400B04" w:rsidRPr="00400B04">
              <w:rPr>
                <w:rFonts w:asciiTheme="minorHAnsi" w:hAnsiTheme="minorHAnsi" w:cstheme="minorHAnsi"/>
                <w:b/>
                <w:sz w:val="20"/>
                <w:szCs w:val="20"/>
              </w:rPr>
              <w:t xml:space="preserve"> – PIRE</w:t>
            </w:r>
          </w:p>
          <w:p w14:paraId="64BBEC85"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186D85BB"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3CB0217D"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4C0187F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71CAA4A3"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061AF61B"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328D871A" w14:textId="53602B12" w:rsidR="006B6BC1" w:rsidRPr="00170BCF"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7. BP Polska)</w:t>
            </w:r>
          </w:p>
        </w:tc>
        <w:tc>
          <w:tcPr>
            <w:tcW w:w="2770" w:type="dxa"/>
          </w:tcPr>
          <w:p w14:paraId="2505BC59"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KRYTERIA JAKOŚCIOWE PUNKTOWE</w:t>
            </w:r>
          </w:p>
          <w:p w14:paraId="68175A14"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62E7907F"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3. Efektywność rzeczowa inwestycji</w:t>
            </w:r>
          </w:p>
          <w:p w14:paraId="689F532B"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43467C33"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Ogólnodostępna stacja ładowania wyposażona:</w:t>
            </w:r>
          </w:p>
          <w:p w14:paraId="021799BB"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w 3 punkty ładowania o indywidualnej mocy wyjściowej wynoszącej co najmniej 350 kW –  1 p. </w:t>
            </w:r>
          </w:p>
          <w:p w14:paraId="5E714F4F"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4 do 5 punktów ładowania o indywidualnej mocy wyjściowej wynoszącej co najmniej 350 kW – 2 p.</w:t>
            </w:r>
          </w:p>
          <w:p w14:paraId="3BFC6244"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6 do 7 punktów ładowania o indywidualnej mocy wyjściowej wynoszącej co najmniej 350 kW – 3 p.</w:t>
            </w:r>
          </w:p>
          <w:p w14:paraId="5C52B001"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co najmniej 8 punktów ładowania o indywidualnej mocy wyjściowej wynoszącej co najmniej 350 kW – 5 p.</w:t>
            </w:r>
          </w:p>
          <w:p w14:paraId="6B370661"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dla inwestycji realizowanych dla inwestycji realizowanych na terenie centrum logistycznego (DEPOT) lub terminala intermodalnego:</w:t>
            </w:r>
          </w:p>
          <w:p w14:paraId="38FCA648"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Ogólnodostępna stacja ładowania wyposażona:</w:t>
            </w:r>
          </w:p>
          <w:p w14:paraId="4F83F97D"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w 2 punkty ładowania o indywidualnej mocy wyjściowej wynoszącej co najmniej 350 kW –  1 p. </w:t>
            </w:r>
          </w:p>
          <w:p w14:paraId="15070861"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3 punkty ładowania o indywidualnej mocy wyjściowej wynoszącej co najmniej 350 kW – 2 p.</w:t>
            </w:r>
          </w:p>
          <w:p w14:paraId="49D92E28"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2BCC81DC"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5F9E99C8"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4 punkty ładowania o indywidualnej mocy wyjściowej wynoszącej co najmniej 350 kW – 3 p.</w:t>
            </w:r>
          </w:p>
          <w:p w14:paraId="7A84C560" w14:textId="627E64B9"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co najmniej 5 punktów ładowania o indywidualnej mocy wyjściowej wynoszącej co najmniej 350 kW – 5 p.</w:t>
            </w:r>
          </w:p>
        </w:tc>
        <w:tc>
          <w:tcPr>
            <w:tcW w:w="3486" w:type="dxa"/>
          </w:tcPr>
          <w:p w14:paraId="25832393"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KRYTERIA JAKOŚCIOWE PUNKTOWE</w:t>
            </w:r>
          </w:p>
          <w:p w14:paraId="32F884FC"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03129570"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3. Efektywność rzeczowa inwestycji</w:t>
            </w:r>
          </w:p>
          <w:p w14:paraId="7AFB8DA6"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1F7620B4"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Ogólnodostępna stacja ładowania wyposażona:</w:t>
            </w:r>
          </w:p>
          <w:p w14:paraId="11D16C7D"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w 3 punkty ładowania o indywidualnej mocy wyjściowej wynoszącej co najmniej 350 kW –  1 p. </w:t>
            </w:r>
          </w:p>
          <w:p w14:paraId="2A3BBBBF"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4 do 5 punktów ładowania o indywidualnej mocy wyjściowej wynoszącej co najmniej 350 kW – 2 p.</w:t>
            </w:r>
          </w:p>
          <w:p w14:paraId="509E5B0A"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6 do 7 punktów ładowania o indywidualnej mocy wyjściowej wynoszącej co najmniej 350 kW – 3 p.</w:t>
            </w:r>
          </w:p>
          <w:p w14:paraId="66176180"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co najmniej 8 punktów ładowania o indywidualnej mocy wyjściowej wynoszącej co najmniej 350 kW – 5 p.</w:t>
            </w:r>
          </w:p>
          <w:p w14:paraId="2A0467A8"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dla inwestycji realizowanych dla inwestycji realizowanych na terenie centrum logistycznego (DEPOT) lub terminala intermodalnego:</w:t>
            </w:r>
          </w:p>
          <w:p w14:paraId="0609710D"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Ogólnodostępna stacja ładowania wyposażona:</w:t>
            </w:r>
          </w:p>
          <w:p w14:paraId="3342AB1B"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w 2 punkty ładowania o indywidualnej mocy wyjściowej wynoszącej co najmniej 350 kW –  1 p. </w:t>
            </w:r>
          </w:p>
          <w:p w14:paraId="1FAB0B2B"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3 punkty ładowania o indywidualnej mocy wyjściowej wynoszącej co najmniej 350 kW – 2 p.</w:t>
            </w:r>
          </w:p>
          <w:p w14:paraId="7FD83AB9"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2551BDB3"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4BE7447C"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4 punkty ładowania o indywidualnej mocy wyjściowej wynoszącej co najmniej 350 kW – 3 p.</w:t>
            </w:r>
          </w:p>
          <w:p w14:paraId="023B1554"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w co najmniej 5 punktów ładowania o indywidualnej mocy wyjściowej wynoszącej co najmniej 350 kW – 5 p.</w:t>
            </w:r>
          </w:p>
          <w:p w14:paraId="2FADE78C"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5294DCA9" w14:textId="3D98A9E6"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w:t>
            </w:r>
            <w:r w:rsidRPr="005552B5">
              <w:rPr>
                <w:rStyle w:val="hgkelc"/>
                <w:rFonts w:asciiTheme="minorHAnsi" w:hAnsiTheme="minorHAnsi" w:cstheme="minorHAnsi"/>
                <w:sz w:val="20"/>
                <w:szCs w:val="20"/>
              </w:rPr>
              <w:tab/>
              <w:t>dla inwestycji realizowanych na terenie bezpiecznych i chronionych parkingów - w 2 stacje ładowania o indywidualnej mocy wyjściowej wynoszącej co najmniej 100 kW –  1 p. – w 4 stacje ładowania o indywidualnej mocy wyjściowej wynoszącej co najmniej 350 kW – 3 p.</w:t>
            </w:r>
          </w:p>
        </w:tc>
        <w:tc>
          <w:tcPr>
            <w:tcW w:w="3486" w:type="dxa"/>
          </w:tcPr>
          <w:p w14:paraId="473E9823"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 xml:space="preserve">Zgodnie z uwagą nr 5. Proponujemy dodanie wymogów dla stacji ładowania zlokalizowanych na terenie bezpiecznego i chronionego parkingu do kryteriów </w:t>
            </w:r>
          </w:p>
          <w:p w14:paraId="475F4EFB"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2E65CBFA"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Ponadto w naszej ocenie punkt ten wymaga doprecyzowania, czy wymogiem będzie posiadanie punktów o indywidualnej mocy wyjściowej co najmniej 350 kW na każdy punkt, czy stacji ładowania o łącznej mocy 350 kW, ponieważ punkt ten jest obecnie niespójny z celem programu:</w:t>
            </w:r>
          </w:p>
          <w:p w14:paraId="124EF2AA"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79C02A1D"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Liczba wybudowanych lub rozbudowanych ogólnodostępnych stacji ładowania prądem stałym o mocy nie mniejszej niż 350 </w:t>
            </w:r>
            <w:proofErr w:type="spellStart"/>
            <w:r w:rsidRPr="005552B5">
              <w:rPr>
                <w:rStyle w:val="hgkelc"/>
                <w:rFonts w:asciiTheme="minorHAnsi" w:hAnsiTheme="minorHAnsi" w:cstheme="minorHAnsi"/>
                <w:sz w:val="20"/>
                <w:szCs w:val="20"/>
              </w:rPr>
              <w:t>kW.</w:t>
            </w:r>
            <w:proofErr w:type="spellEnd"/>
            <w:r w:rsidRPr="005552B5">
              <w:rPr>
                <w:rStyle w:val="hgkelc"/>
                <w:rFonts w:asciiTheme="minorHAnsi" w:hAnsiTheme="minorHAnsi" w:cstheme="minorHAnsi"/>
                <w:sz w:val="20"/>
                <w:szCs w:val="20"/>
              </w:rPr>
              <w:t xml:space="preserve"> </w:t>
            </w:r>
          </w:p>
          <w:p w14:paraId="5C1C89E1"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4DE25394"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Większość obecnie stosowanych stacji ładowania typu stand </w:t>
            </w:r>
            <w:proofErr w:type="spellStart"/>
            <w:r w:rsidRPr="005552B5">
              <w:rPr>
                <w:rStyle w:val="hgkelc"/>
                <w:rFonts w:asciiTheme="minorHAnsi" w:hAnsiTheme="minorHAnsi" w:cstheme="minorHAnsi"/>
                <w:sz w:val="20"/>
                <w:szCs w:val="20"/>
              </w:rPr>
              <w:t>alone</w:t>
            </w:r>
            <w:proofErr w:type="spellEnd"/>
            <w:r w:rsidRPr="005552B5">
              <w:rPr>
                <w:rStyle w:val="hgkelc"/>
                <w:rFonts w:asciiTheme="minorHAnsi" w:hAnsiTheme="minorHAnsi" w:cstheme="minorHAnsi"/>
                <w:sz w:val="20"/>
                <w:szCs w:val="20"/>
              </w:rPr>
              <w:t xml:space="preserve"> posiada moc łączną w zakresie 300-480 kW i ma możliwość podziału mocy na złącza ładowania (2-3 złączy typu CCS Combo 2, podział mocy na sztywno lub dynamiczny) lub stacje typu </w:t>
            </w:r>
            <w:proofErr w:type="spellStart"/>
            <w:r w:rsidRPr="005552B5">
              <w:rPr>
                <w:rStyle w:val="hgkelc"/>
                <w:rFonts w:asciiTheme="minorHAnsi" w:hAnsiTheme="minorHAnsi" w:cstheme="minorHAnsi"/>
                <w:sz w:val="20"/>
                <w:szCs w:val="20"/>
              </w:rPr>
              <w:t>power</w:t>
            </w:r>
            <w:proofErr w:type="spellEnd"/>
            <w:r w:rsidRPr="005552B5">
              <w:rPr>
                <w:rStyle w:val="hgkelc"/>
                <w:rFonts w:asciiTheme="minorHAnsi" w:hAnsiTheme="minorHAnsi" w:cstheme="minorHAnsi"/>
                <w:sz w:val="20"/>
                <w:szCs w:val="20"/>
              </w:rPr>
              <w:t xml:space="preserve"> unit + indywidualne satelity ze złączami. W zastosowanych kryteriach można odczytać intencję NFOŚiGW o wybudowanie jak największej ilości punktów ładowania o mocy 350 kW zgodnie z wytycznymi AFIR i definicją punktów ładowania. </w:t>
            </w:r>
          </w:p>
          <w:p w14:paraId="7EAD429B"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57E13F73"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W naszej ocenie brakującą definicją w programie jest strefa ładowania, która została zastosowana w AFIR i adresuje wymogi w zakresie dostępności danej ilości punktów ładowania o mocy 350 </w:t>
            </w:r>
            <w:r w:rsidRPr="005552B5">
              <w:rPr>
                <w:rStyle w:val="hgkelc"/>
                <w:rFonts w:asciiTheme="minorHAnsi" w:hAnsiTheme="minorHAnsi" w:cstheme="minorHAnsi"/>
                <w:sz w:val="20"/>
                <w:szCs w:val="20"/>
              </w:rPr>
              <w:lastRenderedPageBreak/>
              <w:t xml:space="preserve">kW w strefie.  Obecnie nie ma technicznej możliwości, aby zrealizować inwestycję z zastosowaniem stacji ładowania typu stand </w:t>
            </w:r>
            <w:proofErr w:type="spellStart"/>
            <w:r w:rsidRPr="005552B5">
              <w:rPr>
                <w:rStyle w:val="hgkelc"/>
                <w:rFonts w:asciiTheme="minorHAnsi" w:hAnsiTheme="minorHAnsi" w:cstheme="minorHAnsi"/>
                <w:sz w:val="20"/>
                <w:szCs w:val="20"/>
              </w:rPr>
              <w:t>alone</w:t>
            </w:r>
            <w:proofErr w:type="spellEnd"/>
            <w:r w:rsidRPr="005552B5">
              <w:rPr>
                <w:rStyle w:val="hgkelc"/>
                <w:rFonts w:asciiTheme="minorHAnsi" w:hAnsiTheme="minorHAnsi" w:cstheme="minorHAnsi"/>
                <w:sz w:val="20"/>
                <w:szCs w:val="20"/>
              </w:rPr>
              <w:t xml:space="preserve"> o łącznej mocy 700 kW z podziałem na dwa złącza. Obserwacje </w:t>
            </w:r>
            <w:proofErr w:type="spellStart"/>
            <w:r w:rsidRPr="005552B5">
              <w:rPr>
                <w:rStyle w:val="hgkelc"/>
                <w:rFonts w:asciiTheme="minorHAnsi" w:hAnsiTheme="minorHAnsi" w:cstheme="minorHAnsi"/>
                <w:sz w:val="20"/>
                <w:szCs w:val="20"/>
              </w:rPr>
              <w:t>hubów</w:t>
            </w:r>
            <w:proofErr w:type="spellEnd"/>
            <w:r w:rsidRPr="005552B5">
              <w:rPr>
                <w:rStyle w:val="hgkelc"/>
                <w:rFonts w:asciiTheme="minorHAnsi" w:hAnsiTheme="minorHAnsi" w:cstheme="minorHAnsi"/>
                <w:sz w:val="20"/>
                <w:szCs w:val="20"/>
              </w:rPr>
              <w:t xml:space="preserve">/stref ładowania na zachodzie wskazuje, że stosowane są stacje 300-400 kW z podziałem na 2 złącza, ale dostarczające tylko 1 złącze o mocy 350 kW, lub moc deklarowaną 350 kW/złącze. Dlatego wnioskujemy o ponowne rozpatrzenie kryteriów i doprecyzowanie wymogów względem możliwości rynkowych. </w:t>
            </w:r>
          </w:p>
          <w:p w14:paraId="774C0474"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3A53C2A3"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Obecnie zaproponowane kryteria pomijają punktacją wnioski, które posiadają tylko dwa punkty ładowania dla sieci TEN-T lub jeden dla inwestycji realizowanych na terenie centrum logistycznego (DEPOT) lub terminala intermodalnego. Czy zatem minimalne ilości punktów ładowania określone w programie będą również punktowane wg kryteriów?</w:t>
            </w:r>
          </w:p>
          <w:p w14:paraId="3A5EC1A7"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33E22D77" w14:textId="77777777" w:rsidR="006B6BC1" w:rsidRPr="005552B5" w:rsidRDefault="006B6BC1" w:rsidP="006B6BC1">
            <w:pPr>
              <w:spacing w:after="0" w:line="240" w:lineRule="auto"/>
              <w:jc w:val="both"/>
              <w:rPr>
                <w:rStyle w:val="hgkelc"/>
                <w:rFonts w:asciiTheme="minorHAnsi" w:hAnsiTheme="minorHAnsi" w:cstheme="minorHAnsi"/>
                <w:sz w:val="20"/>
                <w:szCs w:val="20"/>
              </w:rPr>
            </w:pPr>
          </w:p>
        </w:tc>
        <w:tc>
          <w:tcPr>
            <w:tcW w:w="3253" w:type="dxa"/>
          </w:tcPr>
          <w:p w14:paraId="12D16C11" w14:textId="77777777" w:rsidR="006B6BC1" w:rsidRPr="005552B5" w:rsidRDefault="006B6BC1" w:rsidP="006B6BC1">
            <w:pPr>
              <w:spacing w:after="0" w:line="240" w:lineRule="auto"/>
              <w:jc w:val="both"/>
              <w:rPr>
                <w:rFonts w:asciiTheme="minorHAnsi" w:hAnsiTheme="minorHAnsi" w:cstheme="minorHAnsi"/>
                <w:sz w:val="20"/>
                <w:szCs w:val="20"/>
              </w:rPr>
            </w:pPr>
          </w:p>
          <w:p w14:paraId="65288B90"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dotycząca parkingów nie została uwzględniona na tym etapie prac. W przyszłości rozważymy  ewentualne rozszerzenie zakresu programu priorytetowego.</w:t>
            </w:r>
          </w:p>
          <w:p w14:paraId="1CDC140F" w14:textId="4F95EED0" w:rsidR="006B6BC1" w:rsidRPr="005552B5" w:rsidRDefault="006B6BC1" w:rsidP="006B6BC1">
            <w:pPr>
              <w:spacing w:after="0" w:line="240" w:lineRule="auto"/>
              <w:jc w:val="both"/>
              <w:rPr>
                <w:rFonts w:asciiTheme="minorHAnsi" w:hAnsiTheme="minorHAnsi" w:cstheme="minorHAnsi"/>
                <w:sz w:val="20"/>
                <w:szCs w:val="20"/>
              </w:rPr>
            </w:pPr>
          </w:p>
          <w:p w14:paraId="286D8A95" w14:textId="77777777" w:rsidR="006B6BC1" w:rsidRPr="005552B5" w:rsidRDefault="006B6BC1" w:rsidP="006B6BC1">
            <w:pPr>
              <w:spacing w:after="0" w:line="240" w:lineRule="auto"/>
              <w:jc w:val="both"/>
              <w:rPr>
                <w:rFonts w:asciiTheme="minorHAnsi" w:hAnsiTheme="minorHAnsi" w:cstheme="minorHAnsi"/>
                <w:sz w:val="20"/>
                <w:szCs w:val="20"/>
              </w:rPr>
            </w:pPr>
          </w:p>
          <w:p w14:paraId="7425B30E" w14:textId="506AB34E"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Uwaga uwzględniona – doprecyzowano:</w:t>
            </w:r>
          </w:p>
          <w:p w14:paraId="65531918"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Inwestycje, których realizacja przyczyni się do osiągnięcia najlepszego efektu rzeczowego, rozumianego jako utworzenie jak największej liczby ogólnodostępnych stacji ładowania, posiadających co najmniej jednej punkt o mocy wyjściowej co najmniej 350 </w:t>
            </w:r>
            <w:proofErr w:type="spellStart"/>
            <w:r w:rsidRPr="005552B5">
              <w:rPr>
                <w:rFonts w:asciiTheme="minorHAnsi" w:hAnsiTheme="minorHAnsi" w:cstheme="minorHAnsi"/>
                <w:sz w:val="20"/>
                <w:szCs w:val="20"/>
              </w:rPr>
              <w:t>kW.</w:t>
            </w:r>
            <w:proofErr w:type="spellEnd"/>
          </w:p>
          <w:p w14:paraId="3FF6950C"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Sposób przyznawania punktacji:</w:t>
            </w:r>
          </w:p>
          <w:p w14:paraId="71C0B357"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dla inwestycji realizowanych wzdłuż drogowej sieci bazowej TEN-T lub w odległości do 3 km jazdy od najbliższego zjazdu z drogi TEN-T:</w:t>
            </w:r>
          </w:p>
          <w:p w14:paraId="08AD0379"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powstanie co najmniej 3 ogólnodostępnych stacji ładowania, z których każda posiada co najmniej jeden punkt ładowania o mocy wyjściowej co najmniej  350 kW– 1 pkt </w:t>
            </w:r>
          </w:p>
          <w:p w14:paraId="706AFDF7"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4 do 5 punktów ogólnodostępnych stacji ładowania, z których każda posiada co najmniej jeden punkt ładowania o mocy wyjściowej co najmniej  350 kW – 2 pkt</w:t>
            </w:r>
          </w:p>
          <w:p w14:paraId="539DD1BC"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6 do 7 ogólnodostępnych stacji ładowania, z których każda posiada co najmniej jeden punkt ładowania o mocy wyjściowej co najmniej  350 kW – 3 pkt</w:t>
            </w:r>
          </w:p>
          <w:p w14:paraId="6883ED70"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powstanie co najmniej 8 ogólnodostępnych stacji ładowania, z których każda posiada co najmniej jeden punkt ładowania o mocy wyjściowej co najmniej  350 kW – 5 pkt</w:t>
            </w:r>
          </w:p>
          <w:p w14:paraId="2838E138"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w:t>
            </w:r>
            <w:r w:rsidRPr="005552B5">
              <w:rPr>
                <w:rFonts w:asciiTheme="minorHAnsi" w:hAnsiTheme="minorHAnsi" w:cstheme="minorHAnsi"/>
                <w:sz w:val="20"/>
                <w:szCs w:val="20"/>
              </w:rPr>
              <w:tab/>
              <w:t>dla inwestycji realizowanych na terenie centrum logistycznego (DEPOT), bazie eksploatacyjnej lub terminala intermodalnego w odległości do 3 km jazdy od tych obiektów:</w:t>
            </w:r>
          </w:p>
          <w:p w14:paraId="2924DAAA"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 powstanie co najmniej 2 ogólnodostępnych stacji ładowania, z których każda posiada co najmniej jeden punkt ładowania o mocy wyjściowej co najmniej  350 kW – 1 pkt </w:t>
            </w:r>
          </w:p>
          <w:p w14:paraId="05E583E1"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co najmniej 3 ogólnodostępnych stacji ładowania, z których każda posiada co najmniej jeden punkt ładowania o mocy wyjściowej co najmniej  350 kW – 2 pkt</w:t>
            </w:r>
          </w:p>
          <w:p w14:paraId="5100F33A" w14:textId="77777777"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co najmniej 4 ogólnodostępnych stacji ładowania, z których każda posiada co najmniej jeden punkt ładowania o mocy wyjściowej co najmniej  350 kW – 3 pkt</w:t>
            </w:r>
          </w:p>
          <w:p w14:paraId="06F7018E" w14:textId="2C7FE385"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powstanie co najmniej 5 ogólnodostępnych stacji ładowania, z których każda posiada co najmniej jeden punkt ładowania o mocy wyjściowej co najmniej  350 kW – 5 pkt</w:t>
            </w:r>
            <w:r w:rsidRPr="005552B5">
              <w:rPr>
                <w:rFonts w:asciiTheme="minorHAnsi" w:hAnsiTheme="minorHAnsi" w:cstheme="minorHAnsi"/>
                <w:sz w:val="20"/>
                <w:szCs w:val="20"/>
              </w:rPr>
              <w:tab/>
            </w:r>
          </w:p>
        </w:tc>
      </w:tr>
      <w:tr w:rsidR="006B6BC1" w:rsidRPr="005552B5" w14:paraId="72E5EF55" w14:textId="77777777" w:rsidTr="00F301CE">
        <w:tc>
          <w:tcPr>
            <w:tcW w:w="0" w:type="auto"/>
            <w:vAlign w:val="center"/>
          </w:tcPr>
          <w:p w14:paraId="143F3086" w14:textId="0C32F370" w:rsidR="006B6BC1" w:rsidRPr="005552B5" w:rsidRDefault="00026E75" w:rsidP="006B6BC1">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lastRenderedPageBreak/>
              <w:t>78</w:t>
            </w:r>
          </w:p>
        </w:tc>
        <w:tc>
          <w:tcPr>
            <w:tcW w:w="1925" w:type="dxa"/>
          </w:tcPr>
          <w:p w14:paraId="111072D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3F130EBB"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lastRenderedPageBreak/>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5928E73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113BD7B2"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3FCE748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6E59F121"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0B8469C4"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5735324F" w14:textId="71DA3188" w:rsidR="006B6BC1"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1C92BA82"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KRYTERIA JAKOŚCIOWE DOPUSZCZAJĄCE</w:t>
            </w:r>
          </w:p>
          <w:p w14:paraId="4409CE6A"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2ED7F24B" w14:textId="47409365"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3. Poprawność kalkulacji kosztów inwestycyjnych pod warunkiem zaakceptowania ich kwalifikowalności w poszczególnych kategoriach, w tym kosztów eksploatacyjnych infrastruktury. Należy również precyzyjnie wskazać kategorie kosztów wraz z podaniem podstawowych danych technicznych dotyczących urządzeń.</w:t>
            </w:r>
          </w:p>
        </w:tc>
        <w:tc>
          <w:tcPr>
            <w:tcW w:w="3486" w:type="dxa"/>
          </w:tcPr>
          <w:p w14:paraId="4CD6F38A"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KRYTERIA JAKOŚCIOWE DOPUSZCZAJĄCE</w:t>
            </w:r>
          </w:p>
          <w:p w14:paraId="6D49C11C"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2D76E8CF" w14:textId="4182300E"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3. Poprawność kalkulacji kosztów inwestycyjnych pod warunkiem zaakceptowania ich kwalifikowalności w poszczególnych kategoriach, w tym kosztów eksploatacyjnych infrastruktury (lub za AFIR strefy ładowania). Należy również precyzyjnie wskazać kategorie kosztów wraz z podaniem podstawowych danych technicznych dotyczących urządzeń.</w:t>
            </w:r>
          </w:p>
        </w:tc>
        <w:tc>
          <w:tcPr>
            <w:tcW w:w="3486" w:type="dxa"/>
          </w:tcPr>
          <w:p w14:paraId="45CE2491" w14:textId="446FD14C"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Proponujemy ujednolicić stosowanie definicji.</w:t>
            </w:r>
          </w:p>
        </w:tc>
        <w:tc>
          <w:tcPr>
            <w:tcW w:w="3253" w:type="dxa"/>
          </w:tcPr>
          <w:p w14:paraId="105DA093" w14:textId="2986D8C4" w:rsidR="006B6BC1" w:rsidRPr="005552B5" w:rsidRDefault="006B6BC1" w:rsidP="006B6BC1">
            <w:pPr>
              <w:spacing w:after="0" w:line="240" w:lineRule="auto"/>
              <w:jc w:val="both"/>
              <w:rPr>
                <w:rFonts w:asciiTheme="minorHAnsi" w:hAnsiTheme="minorHAnsi" w:cstheme="minorHAnsi"/>
                <w:sz w:val="20"/>
                <w:szCs w:val="20"/>
              </w:rPr>
            </w:pPr>
            <w:proofErr w:type="spellStart"/>
            <w:r w:rsidRPr="005552B5">
              <w:rPr>
                <w:rFonts w:asciiTheme="minorHAnsi" w:hAnsiTheme="minorHAnsi" w:cstheme="minorHAnsi"/>
                <w:sz w:val="20"/>
                <w:szCs w:val="20"/>
              </w:rPr>
              <w:t>Doszczeegółowiono</w:t>
            </w:r>
            <w:proofErr w:type="spellEnd"/>
            <w:r w:rsidRPr="005552B5">
              <w:rPr>
                <w:rFonts w:asciiTheme="minorHAnsi" w:hAnsiTheme="minorHAnsi" w:cstheme="minorHAnsi"/>
                <w:sz w:val="20"/>
                <w:szCs w:val="20"/>
              </w:rPr>
              <w:t xml:space="preserve">/ </w:t>
            </w:r>
            <w:proofErr w:type="spellStart"/>
            <w:r w:rsidRPr="005552B5">
              <w:rPr>
                <w:rFonts w:asciiTheme="minorHAnsi" w:hAnsiTheme="minorHAnsi" w:cstheme="minorHAnsi"/>
                <w:sz w:val="20"/>
                <w:szCs w:val="20"/>
              </w:rPr>
              <w:t>doprecyzwano</w:t>
            </w:r>
            <w:proofErr w:type="spellEnd"/>
            <w:r w:rsidRPr="005552B5">
              <w:rPr>
                <w:rFonts w:asciiTheme="minorHAnsi" w:hAnsiTheme="minorHAnsi" w:cstheme="minorHAnsi"/>
                <w:sz w:val="20"/>
                <w:szCs w:val="20"/>
              </w:rPr>
              <w:t xml:space="preserve"> pojęcie stacji I punktu ładowania.</w:t>
            </w:r>
          </w:p>
        </w:tc>
      </w:tr>
      <w:tr w:rsidR="006B6BC1" w:rsidRPr="005552B5" w14:paraId="09951326" w14:textId="77777777" w:rsidTr="00F301CE">
        <w:tc>
          <w:tcPr>
            <w:tcW w:w="0" w:type="auto"/>
            <w:vAlign w:val="center"/>
          </w:tcPr>
          <w:p w14:paraId="7A1B781A" w14:textId="4DC95A59" w:rsidR="006B6BC1" w:rsidRPr="005552B5" w:rsidRDefault="00026E75" w:rsidP="006B6BC1">
            <w:pPr>
              <w:tabs>
                <w:tab w:val="left" w:pos="142"/>
              </w:tabs>
              <w:spacing w:after="0" w:line="240" w:lineRule="auto"/>
              <w:jc w:val="both"/>
              <w:rPr>
                <w:rFonts w:asciiTheme="minorHAnsi" w:hAnsiTheme="minorHAnsi" w:cstheme="minorHAnsi"/>
                <w:sz w:val="20"/>
                <w:szCs w:val="20"/>
                <w:lang w:val="en-US"/>
              </w:rPr>
            </w:pPr>
            <w:r>
              <w:rPr>
                <w:rFonts w:asciiTheme="minorHAnsi" w:hAnsiTheme="minorHAnsi" w:cstheme="minorHAnsi"/>
                <w:sz w:val="20"/>
                <w:szCs w:val="20"/>
                <w:lang w:val="en-US"/>
              </w:rPr>
              <w:t>79</w:t>
            </w:r>
          </w:p>
        </w:tc>
        <w:tc>
          <w:tcPr>
            <w:tcW w:w="1925" w:type="dxa"/>
          </w:tcPr>
          <w:p w14:paraId="7929CDE7"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Polska Izba Rozwoju </w:t>
            </w:r>
            <w:proofErr w:type="spellStart"/>
            <w:r w:rsidRPr="00400B04">
              <w:rPr>
                <w:rFonts w:asciiTheme="minorHAnsi" w:hAnsiTheme="minorHAnsi" w:cstheme="minorHAnsi"/>
                <w:b/>
                <w:sz w:val="20"/>
                <w:szCs w:val="20"/>
              </w:rPr>
              <w:t>Elektromobilności</w:t>
            </w:r>
            <w:proofErr w:type="spellEnd"/>
            <w:r w:rsidRPr="00400B04">
              <w:rPr>
                <w:rFonts w:asciiTheme="minorHAnsi" w:hAnsiTheme="minorHAnsi" w:cstheme="minorHAnsi"/>
                <w:b/>
                <w:sz w:val="20"/>
                <w:szCs w:val="20"/>
              </w:rPr>
              <w:t xml:space="preserve"> – PIRE</w:t>
            </w:r>
          </w:p>
          <w:p w14:paraId="53CD21C2"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(1. Stowarzyszenie Polska Izba Rozwoju </w:t>
            </w:r>
            <w:proofErr w:type="spellStart"/>
            <w:r w:rsidRPr="00400B04">
              <w:rPr>
                <w:rFonts w:asciiTheme="minorHAnsi" w:hAnsiTheme="minorHAnsi" w:cstheme="minorHAnsi"/>
                <w:b/>
                <w:sz w:val="20"/>
                <w:szCs w:val="20"/>
              </w:rPr>
              <w:t>Elektromobilności</w:t>
            </w:r>
            <w:proofErr w:type="spellEnd"/>
          </w:p>
          <w:p w14:paraId="7F94FFA4"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2. Fundacja Promocji Pojazdów Elektrycznych</w:t>
            </w:r>
          </w:p>
          <w:p w14:paraId="12203390"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3. Scania Polska</w:t>
            </w:r>
          </w:p>
          <w:p w14:paraId="7866CDE3"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4. FM Logistics</w:t>
            </w:r>
          </w:p>
          <w:p w14:paraId="1AF56E9C"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 xml:space="preserve">5. </w:t>
            </w:r>
            <w:proofErr w:type="spellStart"/>
            <w:r w:rsidRPr="00400B04">
              <w:rPr>
                <w:rFonts w:asciiTheme="minorHAnsi" w:hAnsiTheme="minorHAnsi" w:cstheme="minorHAnsi"/>
                <w:b/>
                <w:sz w:val="20"/>
                <w:szCs w:val="20"/>
              </w:rPr>
              <w:t>Ekoenergetyka</w:t>
            </w:r>
            <w:proofErr w:type="spellEnd"/>
            <w:r w:rsidRPr="00400B04">
              <w:rPr>
                <w:rFonts w:asciiTheme="minorHAnsi" w:hAnsiTheme="minorHAnsi" w:cstheme="minorHAnsi"/>
                <w:b/>
                <w:sz w:val="20"/>
                <w:szCs w:val="20"/>
              </w:rPr>
              <w:t xml:space="preserve"> Polska </w:t>
            </w:r>
          </w:p>
          <w:p w14:paraId="54A114F0" w14:textId="77777777" w:rsidR="00400B04" w:rsidRPr="00400B04" w:rsidRDefault="00400B04" w:rsidP="00400B04">
            <w:pPr>
              <w:spacing w:after="0" w:line="240" w:lineRule="auto"/>
              <w:jc w:val="both"/>
              <w:rPr>
                <w:rFonts w:asciiTheme="minorHAnsi" w:hAnsiTheme="minorHAnsi" w:cstheme="minorHAnsi"/>
                <w:b/>
                <w:sz w:val="20"/>
                <w:szCs w:val="20"/>
              </w:rPr>
            </w:pPr>
            <w:r w:rsidRPr="00400B04">
              <w:rPr>
                <w:rFonts w:asciiTheme="minorHAnsi" w:hAnsiTheme="minorHAnsi" w:cstheme="minorHAnsi"/>
                <w:b/>
                <w:sz w:val="20"/>
                <w:szCs w:val="20"/>
              </w:rPr>
              <w:t>6. Sylwia Jagódka Magazyny 123</w:t>
            </w:r>
          </w:p>
          <w:p w14:paraId="0ADB70C3" w14:textId="42AD12DB" w:rsidR="006B6BC1" w:rsidRPr="005552B5" w:rsidRDefault="00400B04" w:rsidP="00400B04">
            <w:pPr>
              <w:spacing w:after="0" w:line="240" w:lineRule="auto"/>
              <w:jc w:val="both"/>
              <w:rPr>
                <w:rFonts w:asciiTheme="minorHAnsi" w:hAnsiTheme="minorHAnsi" w:cstheme="minorHAnsi"/>
                <w:b/>
                <w:sz w:val="20"/>
                <w:szCs w:val="20"/>
                <w:lang w:val="en-US"/>
              </w:rPr>
            </w:pPr>
            <w:r w:rsidRPr="00400B04">
              <w:rPr>
                <w:rFonts w:asciiTheme="minorHAnsi" w:hAnsiTheme="minorHAnsi" w:cstheme="minorHAnsi"/>
                <w:b/>
                <w:sz w:val="20"/>
                <w:szCs w:val="20"/>
              </w:rPr>
              <w:t>7. BP Polska)</w:t>
            </w:r>
          </w:p>
        </w:tc>
        <w:tc>
          <w:tcPr>
            <w:tcW w:w="2770" w:type="dxa"/>
          </w:tcPr>
          <w:p w14:paraId="5BE01C83"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KRYTERIA JAKOŚCIOWE PUNKTOWE</w:t>
            </w:r>
          </w:p>
          <w:p w14:paraId="3FB2B956"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2. Termin realizacji inwestycji</w:t>
            </w:r>
          </w:p>
          <w:p w14:paraId="467CF9B9"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4385141C"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Kryterium mierzone będzie zadeklarowanym terminem realizacji inwestycji. </w:t>
            </w:r>
          </w:p>
          <w:p w14:paraId="63615135"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Sposób przyznawania punktacji:</w:t>
            </w:r>
          </w:p>
          <w:p w14:paraId="277552B2"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Termin zakończenia realizacji inwestycji rozumianej jako data przekazania do eksploatacji: </w:t>
            </w:r>
          </w:p>
          <w:p w14:paraId="5AF2347B"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przed 31.12.2026 r. - 4 pkt;</w:t>
            </w:r>
          </w:p>
          <w:p w14:paraId="18D426E8"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 przed 31.12.2027 r. - 2 pkt;</w:t>
            </w:r>
          </w:p>
          <w:p w14:paraId="1F81B14C" w14:textId="1DE54C0E"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 po 31.12.2027 r. - 1 pkt;</w:t>
            </w:r>
          </w:p>
        </w:tc>
        <w:tc>
          <w:tcPr>
            <w:tcW w:w="3486" w:type="dxa"/>
          </w:tcPr>
          <w:p w14:paraId="3CAD227D"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KRYTERIA JAKOŚCIOWE PUNKTOWE</w:t>
            </w:r>
          </w:p>
          <w:p w14:paraId="5910FCA9"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7BB9C4C5"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2. Termin realizacji inwestycji</w:t>
            </w:r>
          </w:p>
          <w:p w14:paraId="20BEB08E" w14:textId="77777777" w:rsidR="006B6BC1" w:rsidRPr="005552B5" w:rsidRDefault="006B6BC1" w:rsidP="006B6BC1">
            <w:pPr>
              <w:spacing w:after="0" w:line="240" w:lineRule="auto"/>
              <w:jc w:val="both"/>
              <w:rPr>
                <w:rStyle w:val="hgkelc"/>
                <w:rFonts w:asciiTheme="minorHAnsi" w:hAnsiTheme="minorHAnsi" w:cstheme="minorHAnsi"/>
                <w:strike/>
                <w:sz w:val="20"/>
                <w:szCs w:val="20"/>
              </w:rPr>
            </w:pPr>
            <w:r w:rsidRPr="005552B5">
              <w:rPr>
                <w:rStyle w:val="hgkelc"/>
                <w:rFonts w:asciiTheme="minorHAnsi" w:hAnsiTheme="minorHAnsi" w:cstheme="minorHAnsi"/>
                <w:strike/>
                <w:sz w:val="20"/>
                <w:szCs w:val="20"/>
              </w:rPr>
              <w:t xml:space="preserve">Kryterium mierzone będzie zadeklarowanym terminem realizacji inwestycji. </w:t>
            </w:r>
          </w:p>
          <w:p w14:paraId="4E87FC25" w14:textId="77777777" w:rsidR="006B6BC1" w:rsidRPr="005552B5" w:rsidRDefault="006B6BC1" w:rsidP="006B6BC1">
            <w:pPr>
              <w:spacing w:after="0" w:line="240" w:lineRule="auto"/>
              <w:jc w:val="both"/>
              <w:rPr>
                <w:rStyle w:val="hgkelc"/>
                <w:rFonts w:asciiTheme="minorHAnsi" w:hAnsiTheme="minorHAnsi" w:cstheme="minorHAnsi"/>
                <w:strike/>
                <w:sz w:val="20"/>
                <w:szCs w:val="20"/>
              </w:rPr>
            </w:pPr>
            <w:r w:rsidRPr="005552B5">
              <w:rPr>
                <w:rStyle w:val="hgkelc"/>
                <w:rFonts w:asciiTheme="minorHAnsi" w:hAnsiTheme="minorHAnsi" w:cstheme="minorHAnsi"/>
                <w:strike/>
                <w:sz w:val="20"/>
                <w:szCs w:val="20"/>
              </w:rPr>
              <w:t>Sposób przyznawania punktacji:</w:t>
            </w:r>
          </w:p>
          <w:p w14:paraId="51E0F8FF" w14:textId="77777777" w:rsidR="006B6BC1" w:rsidRPr="005552B5" w:rsidRDefault="006B6BC1" w:rsidP="006B6BC1">
            <w:pPr>
              <w:spacing w:after="0" w:line="240" w:lineRule="auto"/>
              <w:jc w:val="both"/>
              <w:rPr>
                <w:rStyle w:val="hgkelc"/>
                <w:rFonts w:asciiTheme="minorHAnsi" w:hAnsiTheme="minorHAnsi" w:cstheme="minorHAnsi"/>
                <w:strike/>
                <w:sz w:val="20"/>
                <w:szCs w:val="20"/>
              </w:rPr>
            </w:pPr>
            <w:r w:rsidRPr="005552B5">
              <w:rPr>
                <w:rStyle w:val="hgkelc"/>
                <w:rFonts w:asciiTheme="minorHAnsi" w:hAnsiTheme="minorHAnsi" w:cstheme="minorHAnsi"/>
                <w:strike/>
                <w:sz w:val="20"/>
                <w:szCs w:val="20"/>
              </w:rPr>
              <w:t xml:space="preserve">Termin zakończenia realizacji inwestycji rozumianej jako data przekazania do eksploatacji: </w:t>
            </w:r>
          </w:p>
          <w:p w14:paraId="3EBD3B82" w14:textId="77777777" w:rsidR="006B6BC1" w:rsidRPr="005552B5" w:rsidRDefault="006B6BC1" w:rsidP="006B6BC1">
            <w:pPr>
              <w:spacing w:after="0" w:line="240" w:lineRule="auto"/>
              <w:jc w:val="both"/>
              <w:rPr>
                <w:rStyle w:val="hgkelc"/>
                <w:rFonts w:asciiTheme="minorHAnsi" w:hAnsiTheme="minorHAnsi" w:cstheme="minorHAnsi"/>
                <w:strike/>
                <w:sz w:val="20"/>
                <w:szCs w:val="20"/>
              </w:rPr>
            </w:pPr>
            <w:r w:rsidRPr="005552B5">
              <w:rPr>
                <w:rStyle w:val="hgkelc"/>
                <w:rFonts w:asciiTheme="minorHAnsi" w:hAnsiTheme="minorHAnsi" w:cstheme="minorHAnsi"/>
                <w:strike/>
                <w:sz w:val="20"/>
                <w:szCs w:val="20"/>
              </w:rPr>
              <w:t>- przed 31.12.2026 r. - 4 pkt;</w:t>
            </w:r>
          </w:p>
          <w:p w14:paraId="7CA0C124" w14:textId="77777777" w:rsidR="006B6BC1" w:rsidRPr="005552B5" w:rsidRDefault="006B6BC1" w:rsidP="006B6BC1">
            <w:pPr>
              <w:spacing w:after="0" w:line="240" w:lineRule="auto"/>
              <w:jc w:val="both"/>
              <w:rPr>
                <w:rStyle w:val="hgkelc"/>
                <w:rFonts w:asciiTheme="minorHAnsi" w:hAnsiTheme="minorHAnsi" w:cstheme="minorHAnsi"/>
                <w:strike/>
                <w:sz w:val="20"/>
                <w:szCs w:val="20"/>
              </w:rPr>
            </w:pPr>
            <w:r w:rsidRPr="005552B5">
              <w:rPr>
                <w:rStyle w:val="hgkelc"/>
                <w:rFonts w:asciiTheme="minorHAnsi" w:hAnsiTheme="minorHAnsi" w:cstheme="minorHAnsi"/>
                <w:strike/>
                <w:sz w:val="20"/>
                <w:szCs w:val="20"/>
              </w:rPr>
              <w:t xml:space="preserve"> - przed 31.12.2027 r. - 2 pkt;</w:t>
            </w:r>
          </w:p>
          <w:p w14:paraId="4D7B7CE3" w14:textId="3E1E76E4"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trike/>
                <w:sz w:val="20"/>
                <w:szCs w:val="20"/>
              </w:rPr>
              <w:t xml:space="preserve"> - po 31.12.2027 r. - 1 pkt;</w:t>
            </w:r>
          </w:p>
        </w:tc>
        <w:tc>
          <w:tcPr>
            <w:tcW w:w="3486" w:type="dxa"/>
          </w:tcPr>
          <w:p w14:paraId="72F99C69"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Proponujemy, aby zlikwidować to kryterium ze względu na deklaratywność i braku sankcji w przypadku nie dotrzymanie terminów. </w:t>
            </w:r>
          </w:p>
          <w:p w14:paraId="6CF26D11" w14:textId="77777777" w:rsidR="006B6BC1" w:rsidRPr="005552B5" w:rsidRDefault="006B6BC1" w:rsidP="006B6BC1">
            <w:pPr>
              <w:spacing w:after="0" w:line="240" w:lineRule="auto"/>
              <w:jc w:val="both"/>
              <w:rPr>
                <w:rStyle w:val="hgkelc"/>
                <w:rFonts w:asciiTheme="minorHAnsi" w:hAnsiTheme="minorHAnsi" w:cstheme="minorHAnsi"/>
                <w:sz w:val="20"/>
                <w:szCs w:val="20"/>
              </w:rPr>
            </w:pPr>
          </w:p>
          <w:p w14:paraId="1572E6DC" w14:textId="2B4F0802"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 przypadku tak dużych i wieloetapowych inwestycji opóźnienia często nie wynikają ze złej woli beneficjenta, lecz czynników zewnętrznych takich jak: opóźnienia w realizacji przyłączy. Ten fakt nabiera szczególnego znaczenia w przypadku realizacji przyłączy z sieci średniego i wysokiego napięcia, gdzie terminy realizacji są dłuższe oraz stopień skomplikowania budowy przyłączy jest większy ze względu na konieczność uzyskania służebności gruntów przez które przyłącze będzie przebiegało.</w:t>
            </w:r>
          </w:p>
        </w:tc>
        <w:tc>
          <w:tcPr>
            <w:tcW w:w="3253" w:type="dxa"/>
          </w:tcPr>
          <w:p w14:paraId="740F49F4" w14:textId="7DDADCF3"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Dofinasowanie do 100%, program ma charakter konkursowy. W przypadku niedotrzymania zadeklarowanego terminu Beneficjent będzie zobligowany do zwrotu dofinansowania (w odpowiedniej części lub całości).</w:t>
            </w:r>
          </w:p>
        </w:tc>
      </w:tr>
      <w:tr w:rsidR="006B6BC1" w:rsidRPr="005552B5" w14:paraId="19155F41" w14:textId="77777777" w:rsidTr="00F301CE">
        <w:trPr>
          <w:trHeight w:val="1691"/>
        </w:trPr>
        <w:tc>
          <w:tcPr>
            <w:tcW w:w="0" w:type="auto"/>
            <w:vAlign w:val="center"/>
          </w:tcPr>
          <w:p w14:paraId="370C55DF" w14:textId="6B7BA5CD" w:rsidR="006B6BC1" w:rsidRPr="005552B5" w:rsidRDefault="006B6BC1" w:rsidP="00026E75">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8</w:t>
            </w:r>
            <w:r w:rsidR="00026E75">
              <w:rPr>
                <w:rFonts w:asciiTheme="minorHAnsi" w:hAnsiTheme="minorHAnsi" w:cstheme="minorHAnsi"/>
                <w:sz w:val="20"/>
                <w:szCs w:val="20"/>
              </w:rPr>
              <w:t>0</w:t>
            </w:r>
          </w:p>
        </w:tc>
        <w:tc>
          <w:tcPr>
            <w:tcW w:w="1925" w:type="dxa"/>
          </w:tcPr>
          <w:p w14:paraId="1B5A8E05" w14:textId="77777777" w:rsidR="00D07CE1" w:rsidRPr="00D07CE1" w:rsidRDefault="00D07CE1" w:rsidP="00D07CE1">
            <w:pPr>
              <w:spacing w:after="0" w:line="240" w:lineRule="auto"/>
              <w:jc w:val="both"/>
              <w:rPr>
                <w:rFonts w:asciiTheme="minorHAnsi" w:hAnsiTheme="minorHAnsi" w:cstheme="minorHAnsi"/>
                <w:b/>
                <w:sz w:val="20"/>
                <w:szCs w:val="20"/>
              </w:rPr>
            </w:pPr>
            <w:r w:rsidRPr="00D07CE1">
              <w:rPr>
                <w:rFonts w:asciiTheme="minorHAnsi" w:hAnsiTheme="minorHAnsi" w:cstheme="minorHAnsi"/>
                <w:b/>
                <w:sz w:val="20"/>
                <w:szCs w:val="20"/>
              </w:rPr>
              <w:t xml:space="preserve">Polska Izba Rozwoju </w:t>
            </w:r>
            <w:proofErr w:type="spellStart"/>
            <w:r w:rsidRPr="00D07CE1">
              <w:rPr>
                <w:rFonts w:asciiTheme="minorHAnsi" w:hAnsiTheme="minorHAnsi" w:cstheme="minorHAnsi"/>
                <w:b/>
                <w:sz w:val="20"/>
                <w:szCs w:val="20"/>
              </w:rPr>
              <w:t>Elektromobilności</w:t>
            </w:r>
            <w:proofErr w:type="spellEnd"/>
            <w:r w:rsidRPr="00D07CE1">
              <w:rPr>
                <w:rFonts w:asciiTheme="minorHAnsi" w:hAnsiTheme="minorHAnsi" w:cstheme="minorHAnsi"/>
                <w:b/>
                <w:sz w:val="20"/>
                <w:szCs w:val="20"/>
              </w:rPr>
              <w:t xml:space="preserve"> – PIRE</w:t>
            </w:r>
          </w:p>
          <w:p w14:paraId="7C071E0B" w14:textId="77777777" w:rsidR="00D07CE1" w:rsidRPr="00D07CE1" w:rsidRDefault="00D07CE1" w:rsidP="00D07CE1">
            <w:pPr>
              <w:spacing w:after="0" w:line="240" w:lineRule="auto"/>
              <w:jc w:val="both"/>
              <w:rPr>
                <w:rFonts w:asciiTheme="minorHAnsi" w:hAnsiTheme="minorHAnsi" w:cstheme="minorHAnsi"/>
                <w:b/>
                <w:sz w:val="20"/>
                <w:szCs w:val="20"/>
              </w:rPr>
            </w:pPr>
            <w:r w:rsidRPr="00D07CE1">
              <w:rPr>
                <w:rFonts w:asciiTheme="minorHAnsi" w:hAnsiTheme="minorHAnsi" w:cstheme="minorHAnsi"/>
                <w:b/>
                <w:sz w:val="20"/>
                <w:szCs w:val="20"/>
              </w:rPr>
              <w:t xml:space="preserve">(1. Stowarzyszenie Polska Izba Rozwoju </w:t>
            </w:r>
            <w:proofErr w:type="spellStart"/>
            <w:r w:rsidRPr="00D07CE1">
              <w:rPr>
                <w:rFonts w:asciiTheme="minorHAnsi" w:hAnsiTheme="minorHAnsi" w:cstheme="minorHAnsi"/>
                <w:b/>
                <w:sz w:val="20"/>
                <w:szCs w:val="20"/>
              </w:rPr>
              <w:t>Elektromobilności</w:t>
            </w:r>
            <w:proofErr w:type="spellEnd"/>
          </w:p>
          <w:p w14:paraId="38189018" w14:textId="77777777" w:rsidR="00D07CE1" w:rsidRPr="00D07CE1" w:rsidRDefault="00D07CE1" w:rsidP="00D07CE1">
            <w:pPr>
              <w:spacing w:after="0" w:line="240" w:lineRule="auto"/>
              <w:jc w:val="both"/>
              <w:rPr>
                <w:rFonts w:asciiTheme="minorHAnsi" w:hAnsiTheme="minorHAnsi" w:cstheme="minorHAnsi"/>
                <w:b/>
                <w:sz w:val="20"/>
                <w:szCs w:val="20"/>
              </w:rPr>
            </w:pPr>
            <w:r w:rsidRPr="00D07CE1">
              <w:rPr>
                <w:rFonts w:asciiTheme="minorHAnsi" w:hAnsiTheme="minorHAnsi" w:cstheme="minorHAnsi"/>
                <w:b/>
                <w:sz w:val="20"/>
                <w:szCs w:val="20"/>
              </w:rPr>
              <w:lastRenderedPageBreak/>
              <w:t>2. Fundacja Promocji Pojazdów Elektrycznych</w:t>
            </w:r>
          </w:p>
          <w:p w14:paraId="215CCB8D" w14:textId="77777777" w:rsidR="00D07CE1" w:rsidRPr="00D07CE1" w:rsidRDefault="00D07CE1" w:rsidP="00D07CE1">
            <w:pPr>
              <w:spacing w:after="0" w:line="240" w:lineRule="auto"/>
              <w:jc w:val="both"/>
              <w:rPr>
                <w:rFonts w:asciiTheme="minorHAnsi" w:hAnsiTheme="minorHAnsi" w:cstheme="minorHAnsi"/>
                <w:b/>
                <w:sz w:val="20"/>
                <w:szCs w:val="20"/>
              </w:rPr>
            </w:pPr>
            <w:r w:rsidRPr="00D07CE1">
              <w:rPr>
                <w:rFonts w:asciiTheme="minorHAnsi" w:hAnsiTheme="minorHAnsi" w:cstheme="minorHAnsi"/>
                <w:b/>
                <w:sz w:val="20"/>
                <w:szCs w:val="20"/>
              </w:rPr>
              <w:t>3. Scania Polska</w:t>
            </w:r>
          </w:p>
          <w:p w14:paraId="7FF9AA19" w14:textId="77777777" w:rsidR="00D07CE1" w:rsidRPr="00D07CE1" w:rsidRDefault="00D07CE1" w:rsidP="00D07CE1">
            <w:pPr>
              <w:spacing w:after="0" w:line="240" w:lineRule="auto"/>
              <w:jc w:val="both"/>
              <w:rPr>
                <w:rFonts w:asciiTheme="minorHAnsi" w:hAnsiTheme="minorHAnsi" w:cstheme="minorHAnsi"/>
                <w:b/>
                <w:sz w:val="20"/>
                <w:szCs w:val="20"/>
              </w:rPr>
            </w:pPr>
            <w:r w:rsidRPr="00D07CE1">
              <w:rPr>
                <w:rFonts w:asciiTheme="minorHAnsi" w:hAnsiTheme="minorHAnsi" w:cstheme="minorHAnsi"/>
                <w:b/>
                <w:sz w:val="20"/>
                <w:szCs w:val="20"/>
              </w:rPr>
              <w:t>4. FM Logistics</w:t>
            </w:r>
          </w:p>
          <w:p w14:paraId="27FF8508" w14:textId="77777777" w:rsidR="00D07CE1" w:rsidRPr="00D07CE1" w:rsidRDefault="00D07CE1" w:rsidP="00D07CE1">
            <w:pPr>
              <w:spacing w:after="0" w:line="240" w:lineRule="auto"/>
              <w:jc w:val="both"/>
              <w:rPr>
                <w:rFonts w:asciiTheme="minorHAnsi" w:hAnsiTheme="minorHAnsi" w:cstheme="minorHAnsi"/>
                <w:b/>
                <w:sz w:val="20"/>
                <w:szCs w:val="20"/>
              </w:rPr>
            </w:pPr>
            <w:r w:rsidRPr="00D07CE1">
              <w:rPr>
                <w:rFonts w:asciiTheme="minorHAnsi" w:hAnsiTheme="minorHAnsi" w:cstheme="minorHAnsi"/>
                <w:b/>
                <w:sz w:val="20"/>
                <w:szCs w:val="20"/>
              </w:rPr>
              <w:t xml:space="preserve">5. </w:t>
            </w:r>
            <w:proofErr w:type="spellStart"/>
            <w:r w:rsidRPr="00D07CE1">
              <w:rPr>
                <w:rFonts w:asciiTheme="minorHAnsi" w:hAnsiTheme="minorHAnsi" w:cstheme="minorHAnsi"/>
                <w:b/>
                <w:sz w:val="20"/>
                <w:szCs w:val="20"/>
              </w:rPr>
              <w:t>Ekoenergetyka</w:t>
            </w:r>
            <w:proofErr w:type="spellEnd"/>
            <w:r w:rsidRPr="00D07CE1">
              <w:rPr>
                <w:rFonts w:asciiTheme="minorHAnsi" w:hAnsiTheme="minorHAnsi" w:cstheme="minorHAnsi"/>
                <w:b/>
                <w:sz w:val="20"/>
                <w:szCs w:val="20"/>
              </w:rPr>
              <w:t xml:space="preserve"> Polska </w:t>
            </w:r>
          </w:p>
          <w:p w14:paraId="109F58CE" w14:textId="77777777" w:rsidR="00D07CE1" w:rsidRPr="00D07CE1" w:rsidRDefault="00D07CE1" w:rsidP="00D07CE1">
            <w:pPr>
              <w:spacing w:after="0" w:line="240" w:lineRule="auto"/>
              <w:jc w:val="both"/>
              <w:rPr>
                <w:rFonts w:asciiTheme="minorHAnsi" w:hAnsiTheme="minorHAnsi" w:cstheme="minorHAnsi"/>
                <w:b/>
                <w:sz w:val="20"/>
                <w:szCs w:val="20"/>
              </w:rPr>
            </w:pPr>
            <w:r w:rsidRPr="00D07CE1">
              <w:rPr>
                <w:rFonts w:asciiTheme="minorHAnsi" w:hAnsiTheme="minorHAnsi" w:cstheme="minorHAnsi"/>
                <w:b/>
                <w:sz w:val="20"/>
                <w:szCs w:val="20"/>
              </w:rPr>
              <w:t>6. Sylwia Jagódka Magazyny 123</w:t>
            </w:r>
          </w:p>
          <w:p w14:paraId="6F472746" w14:textId="4C1E8298" w:rsidR="006B6BC1" w:rsidRPr="005552B5" w:rsidRDefault="00D07CE1" w:rsidP="00D07CE1">
            <w:pPr>
              <w:spacing w:after="0" w:line="240" w:lineRule="auto"/>
              <w:jc w:val="both"/>
              <w:rPr>
                <w:rFonts w:asciiTheme="minorHAnsi" w:hAnsiTheme="minorHAnsi" w:cstheme="minorHAnsi"/>
                <w:b/>
                <w:sz w:val="20"/>
                <w:szCs w:val="20"/>
              </w:rPr>
            </w:pPr>
            <w:r w:rsidRPr="00D07CE1">
              <w:rPr>
                <w:rFonts w:asciiTheme="minorHAnsi" w:hAnsiTheme="minorHAnsi" w:cstheme="minorHAnsi"/>
                <w:b/>
                <w:sz w:val="20"/>
                <w:szCs w:val="20"/>
              </w:rPr>
              <w:t>7. BP Polska)</w:t>
            </w:r>
          </w:p>
        </w:tc>
        <w:tc>
          <w:tcPr>
            <w:tcW w:w="2770" w:type="dxa"/>
          </w:tcPr>
          <w:p w14:paraId="6D4C230A"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Postanowienia dodatkowe</w:t>
            </w:r>
          </w:p>
          <w:p w14:paraId="17BA8B6A" w14:textId="1CE925B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w:t>
            </w:r>
            <w:r w:rsidRPr="005552B5">
              <w:rPr>
                <w:rStyle w:val="hgkelc"/>
                <w:rFonts w:asciiTheme="minorHAnsi" w:hAnsiTheme="minorHAnsi" w:cstheme="minorHAnsi"/>
                <w:sz w:val="20"/>
                <w:szCs w:val="20"/>
              </w:rPr>
              <w:tab/>
              <w:t xml:space="preserve">Beneficjent, realizujący inwestycję współfinansowaną ze środków Funduszu Modernizacyjnego, ma obowiązek prowadzenia działań </w:t>
            </w:r>
            <w:proofErr w:type="spellStart"/>
            <w:r w:rsidRPr="005552B5">
              <w:rPr>
                <w:rStyle w:val="hgkelc"/>
                <w:rFonts w:asciiTheme="minorHAnsi" w:hAnsiTheme="minorHAnsi" w:cstheme="minorHAnsi"/>
                <w:sz w:val="20"/>
                <w:szCs w:val="20"/>
              </w:rPr>
              <w:t>informacyjno</w:t>
            </w:r>
            <w:proofErr w:type="spellEnd"/>
            <w:r w:rsidRPr="005552B5">
              <w:rPr>
                <w:rStyle w:val="hgkelc"/>
                <w:rFonts w:asciiTheme="minorHAnsi" w:hAnsiTheme="minorHAnsi" w:cstheme="minorHAnsi"/>
                <w:sz w:val="20"/>
                <w:szCs w:val="20"/>
              </w:rPr>
              <w:t xml:space="preserve"> – </w:t>
            </w:r>
            <w:r w:rsidRPr="005552B5">
              <w:rPr>
                <w:rStyle w:val="hgkelc"/>
                <w:rFonts w:asciiTheme="minorHAnsi" w:hAnsiTheme="minorHAnsi" w:cstheme="minorHAnsi"/>
                <w:sz w:val="20"/>
                <w:szCs w:val="20"/>
              </w:rPr>
              <w:lastRenderedPageBreak/>
              <w:t>promocyjnych, dotyczących przedmiotowej inwestycji;</w:t>
            </w:r>
          </w:p>
        </w:tc>
        <w:tc>
          <w:tcPr>
            <w:tcW w:w="3486" w:type="dxa"/>
          </w:tcPr>
          <w:p w14:paraId="6A831308" w14:textId="6FFFD318"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Uwaga o charakterze ogólnym</w:t>
            </w:r>
          </w:p>
        </w:tc>
        <w:tc>
          <w:tcPr>
            <w:tcW w:w="3486" w:type="dxa"/>
          </w:tcPr>
          <w:p w14:paraId="417E1C95" w14:textId="724570F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Wnioskujemy o doprecyzowanie charakteru i zakresu działań promocyjno-informacyjnych przez beneficjentów.</w:t>
            </w:r>
          </w:p>
        </w:tc>
        <w:tc>
          <w:tcPr>
            <w:tcW w:w="3253" w:type="dxa"/>
          </w:tcPr>
          <w:p w14:paraId="1E1B5194" w14:textId="51367EA2" w:rsidR="006B6BC1" w:rsidRPr="005552B5" w:rsidRDefault="006B6BC1" w:rsidP="006B6BC1">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uwzględniona. Wykasowano z programu. Doprecyzowanie znajdzie się w </w:t>
            </w:r>
            <w:proofErr w:type="spellStart"/>
            <w:r w:rsidRPr="005552B5">
              <w:rPr>
                <w:rFonts w:asciiTheme="minorHAnsi" w:hAnsiTheme="minorHAnsi" w:cstheme="minorHAnsi"/>
                <w:sz w:val="20"/>
                <w:szCs w:val="20"/>
              </w:rPr>
              <w:t>UoD</w:t>
            </w:r>
            <w:proofErr w:type="spellEnd"/>
            <w:r w:rsidRPr="005552B5">
              <w:rPr>
                <w:rFonts w:asciiTheme="minorHAnsi" w:hAnsiTheme="minorHAnsi" w:cstheme="minorHAnsi"/>
                <w:sz w:val="20"/>
                <w:szCs w:val="20"/>
              </w:rPr>
              <w:t xml:space="preserve"> (Umowie o Dofinansowaniu).</w:t>
            </w:r>
          </w:p>
        </w:tc>
      </w:tr>
      <w:tr w:rsidR="006B6BC1" w:rsidRPr="005552B5" w14:paraId="5F141700" w14:textId="77777777" w:rsidTr="00F301CE">
        <w:tc>
          <w:tcPr>
            <w:tcW w:w="0" w:type="auto"/>
            <w:vAlign w:val="center"/>
          </w:tcPr>
          <w:p w14:paraId="4AC7CD95" w14:textId="46465557" w:rsidR="006B6BC1" w:rsidRPr="00EE0F7E" w:rsidRDefault="00EE0F7E" w:rsidP="006B6BC1">
            <w:pPr>
              <w:tabs>
                <w:tab w:val="left" w:pos="142"/>
              </w:tabs>
              <w:spacing w:after="0" w:line="240" w:lineRule="auto"/>
              <w:jc w:val="both"/>
              <w:rPr>
                <w:rFonts w:asciiTheme="minorHAnsi" w:hAnsiTheme="minorHAnsi" w:cstheme="minorHAnsi"/>
                <w:sz w:val="20"/>
                <w:szCs w:val="20"/>
              </w:rPr>
            </w:pPr>
            <w:r w:rsidRPr="00EE0F7E">
              <w:rPr>
                <w:rFonts w:asciiTheme="minorHAnsi" w:hAnsiTheme="minorHAnsi" w:cstheme="minorHAnsi"/>
                <w:sz w:val="20"/>
                <w:szCs w:val="20"/>
              </w:rPr>
              <w:t>81</w:t>
            </w:r>
          </w:p>
        </w:tc>
        <w:tc>
          <w:tcPr>
            <w:tcW w:w="1925" w:type="dxa"/>
          </w:tcPr>
          <w:p w14:paraId="6E26AD1C" w14:textId="054F1794" w:rsidR="006B6BC1" w:rsidRPr="00EE0F7E" w:rsidRDefault="006B6BC1" w:rsidP="006B6BC1">
            <w:pPr>
              <w:spacing w:after="0" w:line="240" w:lineRule="auto"/>
              <w:jc w:val="both"/>
              <w:rPr>
                <w:rFonts w:asciiTheme="minorHAnsi" w:hAnsiTheme="minorHAnsi" w:cstheme="minorHAnsi"/>
                <w:b/>
                <w:sz w:val="20"/>
                <w:szCs w:val="20"/>
              </w:rPr>
            </w:pPr>
            <w:r w:rsidRPr="00EE0F7E">
              <w:rPr>
                <w:rFonts w:asciiTheme="minorHAnsi" w:hAnsiTheme="minorHAnsi" w:cstheme="minorHAnsi"/>
                <w:b/>
                <w:sz w:val="20"/>
                <w:szCs w:val="20"/>
              </w:rPr>
              <w:t xml:space="preserve">ING </w:t>
            </w:r>
            <w:proofErr w:type="spellStart"/>
            <w:r w:rsidRPr="00EE0F7E">
              <w:rPr>
                <w:rFonts w:asciiTheme="minorHAnsi" w:hAnsiTheme="minorHAnsi" w:cstheme="minorHAnsi"/>
                <w:b/>
                <w:sz w:val="20"/>
                <w:szCs w:val="20"/>
              </w:rPr>
              <w:t>Lease</w:t>
            </w:r>
            <w:proofErr w:type="spellEnd"/>
            <w:r w:rsidRPr="00EE0F7E">
              <w:rPr>
                <w:rFonts w:asciiTheme="minorHAnsi" w:hAnsiTheme="minorHAnsi" w:cstheme="minorHAnsi"/>
                <w:b/>
                <w:sz w:val="20"/>
                <w:szCs w:val="20"/>
              </w:rPr>
              <w:t xml:space="preserve"> (Polska) Sp. z o.o.</w:t>
            </w:r>
          </w:p>
        </w:tc>
        <w:tc>
          <w:tcPr>
            <w:tcW w:w="2770" w:type="dxa"/>
          </w:tcPr>
          <w:p w14:paraId="5CCBFF29" w14:textId="61A665F5"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11)</w:t>
            </w:r>
            <w:r w:rsidRPr="005552B5">
              <w:rPr>
                <w:rStyle w:val="hgkelc"/>
                <w:rFonts w:asciiTheme="minorHAnsi" w:hAnsiTheme="minorHAnsi" w:cstheme="minorHAnsi"/>
                <w:b/>
                <w:sz w:val="20"/>
                <w:szCs w:val="20"/>
              </w:rPr>
              <w:tab/>
              <w:t>wypłata dotacji może nastąpić wyłącznie w formie refundacji</w:t>
            </w:r>
          </w:p>
        </w:tc>
        <w:tc>
          <w:tcPr>
            <w:tcW w:w="3486" w:type="dxa"/>
          </w:tcPr>
          <w:p w14:paraId="1908A8A1" w14:textId="53D1889E"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11)</w:t>
            </w:r>
            <w:r w:rsidRPr="005552B5">
              <w:rPr>
                <w:rStyle w:val="hgkelc"/>
                <w:rFonts w:asciiTheme="minorHAnsi" w:hAnsiTheme="minorHAnsi" w:cstheme="minorHAnsi"/>
                <w:b/>
                <w:sz w:val="20"/>
                <w:szCs w:val="20"/>
              </w:rPr>
              <w:tab/>
              <w:t>wypłata dotacji może nastąpić wyłącznie w formie refundacji na rachunek Beneficjenta lub Instytucji Finansującej. W przypadku firm leasingowych na podstawie wystawionych faktur lub not.</w:t>
            </w:r>
          </w:p>
        </w:tc>
        <w:tc>
          <w:tcPr>
            <w:tcW w:w="3486" w:type="dxa"/>
          </w:tcPr>
          <w:p w14:paraId="7C39EF11" w14:textId="02382980"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Dla firm leasingowych bądź banków może być istotny aspekt zabezpieczenia finansowania Beneficjenta poprzez cesję z Umowy o dofinansowanie wraz z bezpośrednią wypłatą środków przez NFOŚiGW na rzecz instytucji finansującej.</w:t>
            </w:r>
          </w:p>
        </w:tc>
        <w:tc>
          <w:tcPr>
            <w:tcW w:w="3253" w:type="dxa"/>
          </w:tcPr>
          <w:p w14:paraId="4E510BB4" w14:textId="4499A7AD" w:rsidR="006B6BC1" w:rsidRDefault="00CD680B" w:rsidP="006B6BC1">
            <w:pPr>
              <w:spacing w:after="0" w:line="240" w:lineRule="auto"/>
              <w:jc w:val="both"/>
              <w:rPr>
                <w:rFonts w:asciiTheme="minorHAnsi" w:hAnsiTheme="minorHAnsi" w:cstheme="minorHAnsi"/>
                <w:sz w:val="20"/>
                <w:szCs w:val="20"/>
              </w:rPr>
            </w:pPr>
            <w:r>
              <w:rPr>
                <w:rFonts w:asciiTheme="minorHAnsi" w:hAnsiTheme="minorHAnsi" w:cstheme="minorHAnsi"/>
                <w:sz w:val="20"/>
                <w:szCs w:val="20"/>
              </w:rPr>
              <w:t>Uwaga nie została uwzględniona.</w:t>
            </w:r>
          </w:p>
          <w:p w14:paraId="55C26CD1" w14:textId="77777777" w:rsidR="00CD680B" w:rsidRDefault="00CD680B" w:rsidP="006B6BC1">
            <w:pPr>
              <w:spacing w:after="0" w:line="240" w:lineRule="auto"/>
              <w:jc w:val="both"/>
              <w:rPr>
                <w:rFonts w:asciiTheme="minorHAnsi" w:hAnsiTheme="minorHAnsi" w:cstheme="minorHAnsi"/>
                <w:sz w:val="20"/>
                <w:szCs w:val="20"/>
              </w:rPr>
            </w:pPr>
          </w:p>
          <w:p w14:paraId="5595636C" w14:textId="0D3CABFA" w:rsidR="00CD680B" w:rsidRPr="005552B5" w:rsidRDefault="00CD680B" w:rsidP="00CD680B">
            <w:pPr>
              <w:spacing w:after="0" w:line="240" w:lineRule="auto"/>
              <w:jc w:val="both"/>
              <w:rPr>
                <w:rFonts w:asciiTheme="minorHAnsi" w:hAnsiTheme="minorHAnsi" w:cstheme="minorHAnsi"/>
                <w:sz w:val="20"/>
                <w:szCs w:val="20"/>
              </w:rPr>
            </w:pPr>
            <w:r>
              <w:rPr>
                <w:rFonts w:asciiTheme="minorHAnsi" w:hAnsiTheme="minorHAnsi" w:cstheme="minorHAnsi"/>
                <w:sz w:val="20"/>
                <w:szCs w:val="20"/>
              </w:rPr>
              <w:t>Refundacja środków przez NFOŚiGW następuje na podstawie przyjętej i zatwierdzonej do wypłaty, przez inwestora, faktury VAT, która nie musi być jeszcze opłacona</w:t>
            </w:r>
            <w:r w:rsidR="00260040">
              <w:rPr>
                <w:rFonts w:asciiTheme="minorHAnsi" w:hAnsiTheme="minorHAnsi" w:cstheme="minorHAnsi"/>
                <w:sz w:val="20"/>
                <w:szCs w:val="20"/>
              </w:rPr>
              <w:t>,</w:t>
            </w:r>
            <w:r>
              <w:rPr>
                <w:rFonts w:asciiTheme="minorHAnsi" w:hAnsiTheme="minorHAnsi" w:cstheme="minorHAnsi"/>
                <w:sz w:val="20"/>
                <w:szCs w:val="20"/>
              </w:rPr>
              <w:t xml:space="preserve"> w momencie składania do NFOŚiGW</w:t>
            </w:r>
            <w:r w:rsidR="00260040">
              <w:rPr>
                <w:rFonts w:asciiTheme="minorHAnsi" w:hAnsiTheme="minorHAnsi" w:cstheme="minorHAnsi"/>
                <w:sz w:val="20"/>
                <w:szCs w:val="20"/>
              </w:rPr>
              <w:t xml:space="preserve"> (odroczony termin zapłaty)</w:t>
            </w:r>
            <w:r>
              <w:rPr>
                <w:rFonts w:asciiTheme="minorHAnsi" w:hAnsiTheme="minorHAnsi" w:cstheme="minorHAnsi"/>
                <w:sz w:val="20"/>
                <w:szCs w:val="20"/>
              </w:rPr>
              <w:t>.</w:t>
            </w:r>
          </w:p>
        </w:tc>
      </w:tr>
      <w:tr w:rsidR="006B6BC1" w:rsidRPr="005552B5" w14:paraId="266F5EEB" w14:textId="77777777" w:rsidTr="00F301CE">
        <w:tc>
          <w:tcPr>
            <w:tcW w:w="0" w:type="auto"/>
            <w:vAlign w:val="center"/>
          </w:tcPr>
          <w:p w14:paraId="20C34301" w14:textId="17C10858" w:rsidR="006B6BC1" w:rsidRPr="005552B5" w:rsidRDefault="006B6BC1" w:rsidP="00EE0F7E">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8</w:t>
            </w:r>
            <w:r w:rsidR="00EE0F7E">
              <w:rPr>
                <w:rFonts w:asciiTheme="minorHAnsi" w:hAnsiTheme="minorHAnsi" w:cstheme="minorHAnsi"/>
                <w:sz w:val="20"/>
                <w:szCs w:val="20"/>
                <w:lang w:val="en-US"/>
              </w:rPr>
              <w:t>2</w:t>
            </w:r>
          </w:p>
        </w:tc>
        <w:tc>
          <w:tcPr>
            <w:tcW w:w="1925" w:type="dxa"/>
          </w:tcPr>
          <w:p w14:paraId="7DEE3555" w14:textId="55FB6E46" w:rsidR="006B6BC1" w:rsidRPr="005552B5" w:rsidRDefault="006B6BC1" w:rsidP="006B6BC1">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 xml:space="preserve">ING </w:t>
            </w:r>
            <w:proofErr w:type="spellStart"/>
            <w:r w:rsidRPr="005552B5">
              <w:rPr>
                <w:rFonts w:asciiTheme="minorHAnsi" w:hAnsiTheme="minorHAnsi" w:cstheme="minorHAnsi"/>
                <w:b/>
                <w:sz w:val="20"/>
                <w:szCs w:val="20"/>
              </w:rPr>
              <w:t>Lease</w:t>
            </w:r>
            <w:proofErr w:type="spellEnd"/>
            <w:r w:rsidRPr="005552B5">
              <w:rPr>
                <w:rFonts w:asciiTheme="minorHAnsi" w:hAnsiTheme="minorHAnsi" w:cstheme="minorHAnsi"/>
                <w:b/>
                <w:sz w:val="20"/>
                <w:szCs w:val="20"/>
              </w:rPr>
              <w:t xml:space="preserve"> (Polska) Sp. z o.o.</w:t>
            </w:r>
          </w:p>
        </w:tc>
        <w:tc>
          <w:tcPr>
            <w:tcW w:w="2770" w:type="dxa"/>
          </w:tcPr>
          <w:p w14:paraId="3680F205" w14:textId="1A1E2135"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p>
        </w:tc>
        <w:tc>
          <w:tcPr>
            <w:tcW w:w="3486" w:type="dxa"/>
          </w:tcPr>
          <w:p w14:paraId="0BD17247" w14:textId="45B53B22"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12) NFOŚiGW dopuszcza możliwość dokonywania przelewu praw z tytułu  Umowy o Dofinansowanie na rzecz Instytucji Finansującej</w:t>
            </w:r>
            <w:r w:rsidR="00260040">
              <w:rPr>
                <w:rStyle w:val="hgkelc"/>
                <w:rFonts w:asciiTheme="minorHAnsi" w:hAnsiTheme="minorHAnsi" w:cstheme="minorHAnsi"/>
                <w:sz w:val="20"/>
                <w:szCs w:val="20"/>
              </w:rPr>
              <w:t>.</w:t>
            </w:r>
          </w:p>
        </w:tc>
        <w:tc>
          <w:tcPr>
            <w:tcW w:w="3486" w:type="dxa"/>
          </w:tcPr>
          <w:p w14:paraId="7D19B3B4" w14:textId="18E50365" w:rsidR="006B6BC1" w:rsidRPr="005552B5" w:rsidRDefault="006B6BC1" w:rsidP="006B6BC1">
            <w:pPr>
              <w:spacing w:after="0" w:line="240" w:lineRule="auto"/>
              <w:jc w:val="both"/>
              <w:rPr>
                <w:rStyle w:val="hgkelc"/>
                <w:rFonts w:asciiTheme="minorHAnsi" w:hAnsiTheme="minorHAnsi" w:cstheme="minorHAnsi"/>
                <w:sz w:val="20"/>
                <w:szCs w:val="20"/>
              </w:rPr>
            </w:pPr>
            <w:proofErr w:type="spellStart"/>
            <w:r w:rsidRPr="005552B5">
              <w:rPr>
                <w:rStyle w:val="hgkelc"/>
                <w:rFonts w:asciiTheme="minorHAnsi" w:hAnsiTheme="minorHAnsi" w:cstheme="minorHAnsi"/>
                <w:sz w:val="20"/>
                <w:szCs w:val="20"/>
              </w:rPr>
              <w:t>j.w</w:t>
            </w:r>
            <w:proofErr w:type="spellEnd"/>
            <w:r w:rsidRPr="005552B5">
              <w:rPr>
                <w:rStyle w:val="hgkelc"/>
                <w:rFonts w:asciiTheme="minorHAnsi" w:hAnsiTheme="minorHAnsi" w:cstheme="minorHAnsi"/>
                <w:sz w:val="20"/>
                <w:szCs w:val="20"/>
              </w:rPr>
              <w:t>.</w:t>
            </w:r>
          </w:p>
        </w:tc>
        <w:tc>
          <w:tcPr>
            <w:tcW w:w="3253" w:type="dxa"/>
          </w:tcPr>
          <w:p w14:paraId="5E0FFD25" w14:textId="309B37CB" w:rsidR="006B6BC1" w:rsidRPr="005552B5" w:rsidRDefault="00991C5A" w:rsidP="006B6BC1">
            <w:pPr>
              <w:spacing w:after="0" w:line="240" w:lineRule="auto"/>
              <w:jc w:val="both"/>
              <w:rPr>
                <w:rFonts w:asciiTheme="minorHAnsi" w:hAnsiTheme="minorHAnsi" w:cstheme="minorHAnsi"/>
                <w:sz w:val="20"/>
                <w:szCs w:val="20"/>
              </w:rPr>
            </w:pPr>
            <w:r w:rsidRPr="00991C5A">
              <w:rPr>
                <w:rFonts w:asciiTheme="minorHAnsi" w:hAnsiTheme="minorHAnsi" w:cstheme="minorHAnsi"/>
                <w:sz w:val="20"/>
                <w:szCs w:val="20"/>
              </w:rPr>
              <w:t>Refundacja środków przez NFOŚiGW następuje na podstawie przyjętej i zatwierdzonej do wypłaty, przez inwestora, faktury VAT, która nie musi być jeszcze opłacona, w momencie składania do NFOŚiGW (odroczony termin zapłaty).</w:t>
            </w:r>
          </w:p>
        </w:tc>
      </w:tr>
      <w:tr w:rsidR="006B6BC1" w:rsidRPr="005552B5" w14:paraId="1DD1C652" w14:textId="77777777" w:rsidTr="00F301CE">
        <w:tc>
          <w:tcPr>
            <w:tcW w:w="0" w:type="auto"/>
            <w:vAlign w:val="center"/>
          </w:tcPr>
          <w:p w14:paraId="1999151F" w14:textId="6D4FB6D6" w:rsidR="006B6BC1" w:rsidRPr="005552B5" w:rsidRDefault="006B6BC1" w:rsidP="00437126">
            <w:pPr>
              <w:tabs>
                <w:tab w:val="left" w:pos="142"/>
              </w:tabs>
              <w:spacing w:after="0" w:line="240" w:lineRule="auto"/>
              <w:jc w:val="both"/>
              <w:rPr>
                <w:rFonts w:asciiTheme="minorHAnsi" w:hAnsiTheme="minorHAnsi" w:cstheme="minorHAnsi"/>
                <w:sz w:val="20"/>
                <w:szCs w:val="20"/>
                <w:lang w:val="en-US"/>
              </w:rPr>
            </w:pPr>
            <w:r w:rsidRPr="005552B5">
              <w:rPr>
                <w:rFonts w:asciiTheme="minorHAnsi" w:hAnsiTheme="minorHAnsi" w:cstheme="minorHAnsi"/>
                <w:sz w:val="20"/>
                <w:szCs w:val="20"/>
                <w:lang w:val="en-US"/>
              </w:rPr>
              <w:t>8</w:t>
            </w:r>
            <w:r w:rsidR="00437126">
              <w:rPr>
                <w:rFonts w:asciiTheme="minorHAnsi" w:hAnsiTheme="minorHAnsi" w:cstheme="minorHAnsi"/>
                <w:sz w:val="20"/>
                <w:szCs w:val="20"/>
                <w:lang w:val="en-US"/>
              </w:rPr>
              <w:t>3</w:t>
            </w:r>
          </w:p>
        </w:tc>
        <w:tc>
          <w:tcPr>
            <w:tcW w:w="1925" w:type="dxa"/>
          </w:tcPr>
          <w:p w14:paraId="20CBFF22" w14:textId="7DD0AAE5" w:rsidR="006B6BC1" w:rsidRPr="005552B5" w:rsidRDefault="006B6BC1" w:rsidP="006B6BC1">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Toyota Central Europe sp. z o. o.</w:t>
            </w:r>
          </w:p>
        </w:tc>
        <w:tc>
          <w:tcPr>
            <w:tcW w:w="2770" w:type="dxa"/>
          </w:tcPr>
          <w:p w14:paraId="0175EF61" w14:textId="77777777" w:rsidR="006B6BC1" w:rsidRPr="005552B5" w:rsidRDefault="006B6BC1" w:rsidP="006B6BC1">
            <w:pPr>
              <w:spacing w:after="0" w:line="240" w:lineRule="auto"/>
              <w:jc w:val="both"/>
              <w:rPr>
                <w:rStyle w:val="hgkelc"/>
                <w:rFonts w:asciiTheme="minorHAnsi" w:hAnsiTheme="minorHAnsi" w:cstheme="minorHAnsi"/>
                <w:b/>
                <w:sz w:val="20"/>
                <w:szCs w:val="20"/>
              </w:rPr>
            </w:pPr>
          </w:p>
          <w:p w14:paraId="246CFB56"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 xml:space="preserve">Pkt. 2 Wskaźnik osiągnięcia celu </w:t>
            </w:r>
          </w:p>
          <w:p w14:paraId="03F2D456"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Stopień realizacji celu programu mierzony za pomocą wskaźnika osiągnięcia celu pn.:</w:t>
            </w:r>
          </w:p>
          <w:p w14:paraId="15C887CD"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Liczba wybudowanych lub rozbudowanych ogólnodostępnych stacji ładowania prądem stałym o mocy nie mniejszej niż 350 kW</w:t>
            </w:r>
          </w:p>
          <w:p w14:paraId="490E872C"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Planowane wartości wskaźnika osiągnięcia celu dla bezzwrotnej formy </w:t>
            </w:r>
            <w:r w:rsidRPr="005552B5">
              <w:rPr>
                <w:rStyle w:val="hgkelc"/>
                <w:rFonts w:asciiTheme="minorHAnsi" w:hAnsiTheme="minorHAnsi" w:cstheme="minorHAnsi"/>
                <w:sz w:val="20"/>
                <w:szCs w:val="20"/>
              </w:rPr>
              <w:lastRenderedPageBreak/>
              <w:t xml:space="preserve">dofinansowania wynosi co najmniej XXX sztuk. </w:t>
            </w:r>
          </w:p>
          <w:p w14:paraId="4D079005" w14:textId="77777777" w:rsidR="006B6BC1" w:rsidRPr="005552B5" w:rsidRDefault="006B6BC1" w:rsidP="006B6BC1">
            <w:pPr>
              <w:spacing w:after="0" w:line="240" w:lineRule="auto"/>
              <w:jc w:val="both"/>
              <w:rPr>
                <w:rStyle w:val="hgkelc"/>
                <w:rFonts w:asciiTheme="minorHAnsi" w:hAnsiTheme="minorHAnsi" w:cstheme="minorHAnsi"/>
                <w:sz w:val="20"/>
                <w:szCs w:val="20"/>
              </w:rPr>
            </w:pPr>
          </w:p>
        </w:tc>
        <w:tc>
          <w:tcPr>
            <w:tcW w:w="3486" w:type="dxa"/>
          </w:tcPr>
          <w:p w14:paraId="35B7FFF6"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lastRenderedPageBreak/>
              <w:t>1)</w:t>
            </w:r>
            <w:r w:rsidRPr="005552B5">
              <w:rPr>
                <w:rStyle w:val="hgkelc"/>
                <w:rFonts w:asciiTheme="minorHAnsi" w:hAnsiTheme="minorHAnsi" w:cstheme="minorHAnsi"/>
                <w:b/>
                <w:sz w:val="20"/>
                <w:szCs w:val="20"/>
              </w:rPr>
              <w:tab/>
            </w:r>
          </w:p>
          <w:p w14:paraId="6EE340BA"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 xml:space="preserve">Pkt. 2 Wskaźnik osiągnięcia celu </w:t>
            </w:r>
          </w:p>
          <w:p w14:paraId="1F3720E6"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Stopień realizacji celu programu mierzony za pomocą wskaźnika osiągnięcia celu pn.:</w:t>
            </w:r>
          </w:p>
          <w:p w14:paraId="20F5DED0" w14:textId="77777777" w:rsidR="006B6BC1" w:rsidRPr="005552B5" w:rsidRDefault="006B6BC1" w:rsidP="006B6BC1">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 xml:space="preserve">Liczba wybudowanych lub rozbudowanych ogólnodostępnych stacji ładowania prądem stałym o mocy nie mniejszej niż 350 kW oraz  ogólnodostępnych stacji tankowania wodorem o ciśnieniu 35 i 70 </w:t>
            </w:r>
            <w:proofErr w:type="spellStart"/>
            <w:r w:rsidRPr="005552B5">
              <w:rPr>
                <w:rStyle w:val="hgkelc"/>
                <w:rFonts w:asciiTheme="minorHAnsi" w:hAnsiTheme="minorHAnsi" w:cstheme="minorHAnsi"/>
                <w:b/>
                <w:sz w:val="20"/>
                <w:szCs w:val="20"/>
              </w:rPr>
              <w:t>MPa</w:t>
            </w:r>
            <w:proofErr w:type="spellEnd"/>
          </w:p>
          <w:p w14:paraId="362CF366" w14:textId="1371A170"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Planowane wartości wskaźnika osiągnięcia celu dla bezzwrotnej formy dofinansowania wynosi co najmniej XXX </w:t>
            </w:r>
            <w:r w:rsidRPr="005552B5">
              <w:rPr>
                <w:rStyle w:val="hgkelc"/>
                <w:rFonts w:asciiTheme="minorHAnsi" w:hAnsiTheme="minorHAnsi" w:cstheme="minorHAnsi"/>
                <w:sz w:val="20"/>
                <w:szCs w:val="20"/>
              </w:rPr>
              <w:lastRenderedPageBreak/>
              <w:t>sztuk stacji ładowania oraz YYY sztuk stacji tankowania.</w:t>
            </w:r>
          </w:p>
        </w:tc>
        <w:tc>
          <w:tcPr>
            <w:tcW w:w="3486" w:type="dxa"/>
          </w:tcPr>
          <w:p w14:paraId="3B7C0EC0" w14:textId="77777777"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 xml:space="preserve">Pojazdy ciężarowe zasilane wodorem są tak pojazdy ciężarowe zasilane energią zgromadzoną w akumulatorach trakcyjnych pojazdami elektrycznymi, zeroemisyjnymi i mają ten sam wpływ na zmniejszenie liczby pojazdów emitujących CO2 i </w:t>
            </w:r>
            <w:proofErr w:type="spellStart"/>
            <w:r w:rsidRPr="005552B5">
              <w:rPr>
                <w:rStyle w:val="hgkelc"/>
                <w:rFonts w:asciiTheme="minorHAnsi" w:hAnsiTheme="minorHAnsi" w:cstheme="minorHAnsi"/>
                <w:sz w:val="20"/>
                <w:szCs w:val="20"/>
              </w:rPr>
              <w:t>NOx</w:t>
            </w:r>
            <w:proofErr w:type="spellEnd"/>
            <w:r w:rsidRPr="005552B5">
              <w:rPr>
                <w:rStyle w:val="hgkelc"/>
                <w:rFonts w:asciiTheme="minorHAnsi" w:hAnsiTheme="minorHAnsi" w:cstheme="minorHAnsi"/>
                <w:sz w:val="20"/>
                <w:szCs w:val="20"/>
              </w:rPr>
              <w:t xml:space="preserve">, a tym samym na poprawę jakość powietrza. </w:t>
            </w:r>
          </w:p>
          <w:p w14:paraId="758252E3" w14:textId="214E9E83" w:rsidR="006B6BC1" w:rsidRPr="005552B5" w:rsidRDefault="006B6BC1" w:rsidP="006B6BC1">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Pominięcie w tym programie rozwoju infrastruktury tankowania wodorem pojazdów ciężarowych uniemożliwienie ich wprowadzenie na rynek, dyskryminując ich rozwój oraz nie jest zgodne z podejściem do programu </w:t>
            </w:r>
            <w:r w:rsidRPr="005552B5">
              <w:rPr>
                <w:rStyle w:val="hgkelc"/>
                <w:rFonts w:asciiTheme="minorHAnsi" w:hAnsiTheme="minorHAnsi" w:cstheme="minorHAnsi"/>
                <w:sz w:val="20"/>
                <w:szCs w:val="20"/>
              </w:rPr>
              <w:lastRenderedPageBreak/>
              <w:t>poprawy jakości powietrza z zachowaniem neutralności technologicznej. Równoległy rozwój dwóch typów infrastruktury przyspiesza oraz wzmacnia oddziaływanie  na jakość środowiska naturalnego. Daje także możliwość dywersyfikacji energii  zmniejszając ryzyko związane dostarczeniem jej.</w:t>
            </w:r>
          </w:p>
        </w:tc>
        <w:tc>
          <w:tcPr>
            <w:tcW w:w="3253" w:type="dxa"/>
          </w:tcPr>
          <w:p w14:paraId="23B2CF91" w14:textId="7EF8D435" w:rsidR="006B6BC1" w:rsidRPr="005552B5" w:rsidRDefault="001D5E69" w:rsidP="001D5E69">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lastRenderedPageBreak/>
              <w:t xml:space="preserve">Uwaga nie została uwzględniona. Program uwzględnia stacje ładowania pojazdów prądem stałym – w obecnym kształcie programu nie przewidujemy stacji tankowania wodorem. Kwestia finansowania inwestycji wodorowych jest przedmiotem innych programów w ofercie NFOŚiGW, jak również wspierany jest obszar wodorowy w KPO oraz </w:t>
            </w:r>
            <w:proofErr w:type="spellStart"/>
            <w:r w:rsidRPr="005552B5">
              <w:rPr>
                <w:rFonts w:asciiTheme="minorHAnsi" w:hAnsiTheme="minorHAnsi" w:cstheme="minorHAnsi"/>
                <w:sz w:val="20"/>
                <w:szCs w:val="20"/>
              </w:rPr>
              <w:t>FEnIKS</w:t>
            </w:r>
            <w:proofErr w:type="spellEnd"/>
            <w:r w:rsidRPr="005552B5">
              <w:rPr>
                <w:rFonts w:asciiTheme="minorHAnsi" w:hAnsiTheme="minorHAnsi" w:cstheme="minorHAnsi"/>
                <w:sz w:val="20"/>
                <w:szCs w:val="20"/>
              </w:rPr>
              <w:t>.</w:t>
            </w:r>
          </w:p>
        </w:tc>
      </w:tr>
      <w:tr w:rsidR="001D5E69" w:rsidRPr="005552B5" w14:paraId="3DBC7877" w14:textId="77777777" w:rsidTr="00F301CE">
        <w:tc>
          <w:tcPr>
            <w:tcW w:w="0" w:type="auto"/>
            <w:vAlign w:val="center"/>
          </w:tcPr>
          <w:p w14:paraId="13B1E6B2" w14:textId="7D9A18DE" w:rsidR="001D5E69" w:rsidRPr="005552B5" w:rsidRDefault="001D5E69" w:rsidP="00437126">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8</w:t>
            </w:r>
            <w:r w:rsidR="00437126">
              <w:rPr>
                <w:rFonts w:asciiTheme="minorHAnsi" w:hAnsiTheme="minorHAnsi" w:cstheme="minorHAnsi"/>
                <w:sz w:val="20"/>
                <w:szCs w:val="20"/>
              </w:rPr>
              <w:t>4</w:t>
            </w:r>
          </w:p>
        </w:tc>
        <w:tc>
          <w:tcPr>
            <w:tcW w:w="1925" w:type="dxa"/>
          </w:tcPr>
          <w:p w14:paraId="2AEC0944" w14:textId="600C9255" w:rsidR="001D5E69" w:rsidRPr="005552B5" w:rsidRDefault="001D5E69" w:rsidP="001D5E69">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Toyota Central Europe sp. z o. o.</w:t>
            </w:r>
          </w:p>
        </w:tc>
        <w:tc>
          <w:tcPr>
            <w:tcW w:w="2770" w:type="dxa"/>
          </w:tcPr>
          <w:p w14:paraId="7F7BA671" w14:textId="77777777" w:rsidR="001D5E69" w:rsidRPr="005552B5" w:rsidRDefault="001D5E69" w:rsidP="001D5E69">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3. Budżet</w:t>
            </w:r>
          </w:p>
          <w:p w14:paraId="45AD474B"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co najmniej 80% budżetu przeznaczona będzie na wsparcie budowy i/lub rozbudowy ogólnodostępnych stacji ładowania dla transportu ciężkiego, zlokalizowanych wzdłuż sieci TEN-T;</w:t>
            </w:r>
          </w:p>
          <w:p w14:paraId="3C2C3DEF" w14:textId="2394E708"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do 20% budżetu przeznaczona będzie na wsparcie budowy i/lub rozbudowy ogólnodostępnych stacji ładowania dla transportu ciężkiego, zlokalizowanych na obszarze centrum logistycznego lub terminalu intermodalnego.</w:t>
            </w:r>
          </w:p>
        </w:tc>
        <w:tc>
          <w:tcPr>
            <w:tcW w:w="3486" w:type="dxa"/>
          </w:tcPr>
          <w:p w14:paraId="72E83083"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co najmniej 80% budżetu przeznaczona będzie na wsparcie budowy i/lub rozbudowy ogólnodostępnych stacji ładowania oraz stacji tankowania wodorem dla transportu ciężkiego, zlokalizowanych wzdłuż sieci TEN-T;</w:t>
            </w:r>
          </w:p>
          <w:p w14:paraId="509A043B"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do 20% budżetu przeznaczona będzie na wsparcie budowy i/lub rozbudowy ogólnodostępnych stacji ładowania oraz stacji tankowania wodorem dla transportu ciężkiego, zlokalizowanych na obszarze centrum logistycznego lub terminalu intermodalnego. </w:t>
            </w:r>
          </w:p>
          <w:p w14:paraId="0850D790" w14:textId="77777777"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486" w:type="dxa"/>
          </w:tcPr>
          <w:p w14:paraId="57EE97B5"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Jw.</w:t>
            </w:r>
          </w:p>
          <w:p w14:paraId="206A6BB5" w14:textId="773EEB5E"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Budżet winien uwzględniać obydwa sposoby uzupełniania energii w pojazdach.</w:t>
            </w:r>
          </w:p>
        </w:tc>
        <w:tc>
          <w:tcPr>
            <w:tcW w:w="3253" w:type="dxa"/>
          </w:tcPr>
          <w:p w14:paraId="2DB2C1AB" w14:textId="4325A65F" w:rsidR="001D5E69" w:rsidRPr="005552B5" w:rsidRDefault="001D5E69" w:rsidP="001D5E69">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nie została uwzględniona. Program uwzględnia stacje ładowania pojazdów prądem stałym – w obecnym kształcie programu nie przewidujemy stacji tankowania wodorem. Kwestia finansowania inwestycji wodorowych jest przedmiotem innych programów w ofercie NFOŚiGW, jak również wspierany jest obszar wodorowy w KPO oraz </w:t>
            </w:r>
            <w:proofErr w:type="spellStart"/>
            <w:r w:rsidRPr="005552B5">
              <w:rPr>
                <w:rFonts w:asciiTheme="minorHAnsi" w:hAnsiTheme="minorHAnsi" w:cstheme="minorHAnsi"/>
                <w:sz w:val="20"/>
                <w:szCs w:val="20"/>
              </w:rPr>
              <w:t>FEnIKS</w:t>
            </w:r>
            <w:proofErr w:type="spellEnd"/>
            <w:r w:rsidRPr="005552B5">
              <w:rPr>
                <w:rFonts w:asciiTheme="minorHAnsi" w:hAnsiTheme="minorHAnsi" w:cstheme="minorHAnsi"/>
                <w:sz w:val="20"/>
                <w:szCs w:val="20"/>
              </w:rPr>
              <w:t>.</w:t>
            </w:r>
          </w:p>
        </w:tc>
      </w:tr>
      <w:tr w:rsidR="001D5E69" w:rsidRPr="005552B5" w14:paraId="1C96BC36" w14:textId="77777777" w:rsidTr="00F301CE">
        <w:tc>
          <w:tcPr>
            <w:tcW w:w="0" w:type="auto"/>
            <w:vAlign w:val="center"/>
          </w:tcPr>
          <w:p w14:paraId="026641AE" w14:textId="02329E81" w:rsidR="001D5E69" w:rsidRPr="005552B5" w:rsidRDefault="001D5E69" w:rsidP="00437126">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8</w:t>
            </w:r>
            <w:r w:rsidR="00437126">
              <w:rPr>
                <w:rFonts w:asciiTheme="minorHAnsi" w:hAnsiTheme="minorHAnsi" w:cstheme="minorHAnsi"/>
                <w:sz w:val="20"/>
                <w:szCs w:val="20"/>
              </w:rPr>
              <w:t>5</w:t>
            </w:r>
          </w:p>
        </w:tc>
        <w:tc>
          <w:tcPr>
            <w:tcW w:w="1925" w:type="dxa"/>
          </w:tcPr>
          <w:p w14:paraId="27F25886" w14:textId="2C7B0784" w:rsidR="001D5E69" w:rsidRPr="005552B5" w:rsidRDefault="001D5E69" w:rsidP="001D5E69">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Toyota Central Europe sp. z o. o.</w:t>
            </w:r>
          </w:p>
        </w:tc>
        <w:tc>
          <w:tcPr>
            <w:tcW w:w="2770" w:type="dxa"/>
          </w:tcPr>
          <w:p w14:paraId="69181C3F" w14:textId="77777777" w:rsidR="001D5E69" w:rsidRPr="005552B5" w:rsidRDefault="001D5E69" w:rsidP="001D5E69">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5.</w:t>
            </w:r>
            <w:r w:rsidRPr="005552B5">
              <w:rPr>
                <w:rStyle w:val="hgkelc"/>
                <w:rFonts w:asciiTheme="minorHAnsi" w:hAnsiTheme="minorHAnsi" w:cstheme="minorHAnsi"/>
                <w:b/>
                <w:sz w:val="20"/>
                <w:szCs w:val="20"/>
              </w:rPr>
              <w:tab/>
              <w:t>Terminy i sposób składania wniosków</w:t>
            </w:r>
          </w:p>
          <w:p w14:paraId="173ADBE2" w14:textId="617235E5"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Nabór wniosków o dofinansowanie inwestycji</w:t>
            </w:r>
            <w:r w:rsidRPr="005552B5">
              <w:rPr>
                <w:rStyle w:val="hgkelc"/>
                <w:rFonts w:asciiTheme="minorHAnsi" w:hAnsiTheme="minorHAnsi" w:cstheme="minorHAnsi"/>
                <w:sz w:val="20"/>
                <w:szCs w:val="20"/>
                <w:vertAlign w:val="superscript"/>
              </w:rPr>
              <w:t>1</w:t>
            </w:r>
            <w:r w:rsidRPr="005552B5">
              <w:rPr>
                <w:rStyle w:val="hgkelc"/>
                <w:rFonts w:asciiTheme="minorHAnsi" w:hAnsiTheme="minorHAnsi" w:cstheme="minorHAnsi"/>
                <w:sz w:val="20"/>
                <w:szCs w:val="20"/>
              </w:rPr>
              <w:t xml:space="preserve"> , polegających na budowie lub rozbudowie ogólnodostępnych stacji ładowania jest prowadzony w trybie konkursowym.</w:t>
            </w:r>
          </w:p>
        </w:tc>
        <w:tc>
          <w:tcPr>
            <w:tcW w:w="3486" w:type="dxa"/>
          </w:tcPr>
          <w:p w14:paraId="4812375B" w14:textId="6BC88633"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Nabór wniosków o dofinansowanie inwestycji</w:t>
            </w:r>
            <w:r w:rsidRPr="005552B5">
              <w:rPr>
                <w:rStyle w:val="hgkelc"/>
                <w:rFonts w:asciiTheme="minorHAnsi" w:hAnsiTheme="minorHAnsi" w:cstheme="minorHAnsi"/>
                <w:sz w:val="20"/>
                <w:szCs w:val="20"/>
                <w:vertAlign w:val="superscript"/>
              </w:rPr>
              <w:t>2</w:t>
            </w:r>
            <w:r w:rsidRPr="005552B5">
              <w:rPr>
                <w:rStyle w:val="hgkelc"/>
                <w:rFonts w:asciiTheme="minorHAnsi" w:hAnsiTheme="minorHAnsi" w:cstheme="minorHAnsi"/>
                <w:sz w:val="20"/>
                <w:szCs w:val="20"/>
              </w:rPr>
              <w:t>, polegających na budowie lub rozbudowie ogólnodostępnych stacji ładowania oraz stacji tankowania wodorem jest prowadzony w trybie konkursowym.</w:t>
            </w:r>
          </w:p>
        </w:tc>
        <w:tc>
          <w:tcPr>
            <w:tcW w:w="3486" w:type="dxa"/>
          </w:tcPr>
          <w:p w14:paraId="40845D52"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Jak w punkcie 1</w:t>
            </w:r>
          </w:p>
          <w:p w14:paraId="1879D28B" w14:textId="77777777" w:rsidR="001D5E69" w:rsidRPr="005552B5" w:rsidRDefault="001D5E69" w:rsidP="001D5E69">
            <w:pPr>
              <w:spacing w:after="0" w:line="240" w:lineRule="auto"/>
              <w:jc w:val="both"/>
              <w:rPr>
                <w:rStyle w:val="hgkelc"/>
                <w:rFonts w:asciiTheme="minorHAnsi" w:hAnsiTheme="minorHAnsi" w:cstheme="minorHAnsi"/>
                <w:sz w:val="20"/>
                <w:szCs w:val="20"/>
              </w:rPr>
            </w:pPr>
          </w:p>
          <w:p w14:paraId="2531A883" w14:textId="77777777" w:rsidR="001D5E69" w:rsidRPr="005552B5" w:rsidRDefault="001D5E69" w:rsidP="001D5E69">
            <w:pPr>
              <w:pStyle w:val="Tekstprzypisudolnego"/>
              <w:jc w:val="both"/>
              <w:rPr>
                <w:rFonts w:asciiTheme="minorHAnsi" w:hAnsiTheme="minorHAnsi" w:cstheme="minorHAnsi"/>
              </w:rPr>
            </w:pPr>
            <w:r w:rsidRPr="005552B5">
              <w:rPr>
                <w:rStyle w:val="Odwoanieprzypisudolnego"/>
                <w:rFonts w:asciiTheme="minorHAnsi" w:hAnsiTheme="minorHAnsi" w:cstheme="minorHAnsi"/>
              </w:rPr>
              <w:footnoteRef/>
            </w:r>
            <w:r w:rsidRPr="005552B5">
              <w:rPr>
                <w:rFonts w:asciiTheme="minorHAnsi" w:hAnsiTheme="minorHAnsi" w:cstheme="minorHAnsi"/>
              </w:rPr>
              <w:t xml:space="preserve"> Przez inwestycję należy rozumieć budowę i/lub rozbudowę stacji ładowania w określonej lokalizacji. Wniosek o dofinansowanie może obejmować tylko jedną inwestycję.</w:t>
            </w:r>
          </w:p>
          <w:p w14:paraId="7D1A7DA8" w14:textId="4B989D2F" w:rsidR="001D5E69" w:rsidRPr="005552B5" w:rsidRDefault="001D5E69" w:rsidP="001D5E69">
            <w:pPr>
              <w:pStyle w:val="Tekstprzypisudolnego"/>
              <w:jc w:val="both"/>
              <w:rPr>
                <w:rFonts w:asciiTheme="minorHAnsi" w:hAnsiTheme="minorHAnsi" w:cstheme="minorHAnsi"/>
              </w:rPr>
            </w:pPr>
            <w:r w:rsidRPr="005552B5">
              <w:rPr>
                <w:rStyle w:val="Odwoanieprzypisudolnego"/>
                <w:rFonts w:asciiTheme="minorHAnsi" w:hAnsiTheme="minorHAnsi" w:cstheme="minorHAnsi"/>
              </w:rPr>
              <w:t>2</w:t>
            </w:r>
            <w:r w:rsidRPr="005552B5">
              <w:rPr>
                <w:rFonts w:asciiTheme="minorHAnsi" w:hAnsiTheme="minorHAnsi" w:cstheme="minorHAnsi"/>
              </w:rPr>
              <w:t xml:space="preserve"> Przez inwestycję należy rozumieć budowę i/lub rozbudowę stacji ładowania w określonej lokalizacji. Wniosek o dofinansowanie może obejmować tylko jedną inwestycję.</w:t>
            </w:r>
          </w:p>
          <w:p w14:paraId="7DE2781E" w14:textId="6E784EF4"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253" w:type="dxa"/>
          </w:tcPr>
          <w:p w14:paraId="742723D6" w14:textId="51FAEDD2" w:rsidR="001D5E69" w:rsidRPr="005552B5" w:rsidRDefault="001D5E69" w:rsidP="001D5E69">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nie została uwzględniona. Program uwzględnia stacje ładowania pojazdów prądem stałym – w obecnym kształcie programu nie przewidujemy stacji tankowania wodorem. Kwestia finansowania inwestycji wodorowych jest przedmiotem innych programów w ofercie NFOŚiGW, jak również wspierany jest obszar wodorowy w KPO oraz </w:t>
            </w:r>
            <w:proofErr w:type="spellStart"/>
            <w:r w:rsidRPr="005552B5">
              <w:rPr>
                <w:rFonts w:asciiTheme="minorHAnsi" w:hAnsiTheme="minorHAnsi" w:cstheme="minorHAnsi"/>
                <w:sz w:val="20"/>
                <w:szCs w:val="20"/>
              </w:rPr>
              <w:t>FEnIKS</w:t>
            </w:r>
            <w:proofErr w:type="spellEnd"/>
            <w:r w:rsidRPr="005552B5">
              <w:rPr>
                <w:rFonts w:asciiTheme="minorHAnsi" w:hAnsiTheme="minorHAnsi" w:cstheme="minorHAnsi"/>
                <w:sz w:val="20"/>
                <w:szCs w:val="20"/>
              </w:rPr>
              <w:t>.</w:t>
            </w:r>
          </w:p>
        </w:tc>
      </w:tr>
      <w:tr w:rsidR="001D5E69" w:rsidRPr="005552B5" w14:paraId="17FD427D" w14:textId="77777777" w:rsidTr="00F301CE">
        <w:tc>
          <w:tcPr>
            <w:tcW w:w="0" w:type="auto"/>
            <w:vAlign w:val="center"/>
          </w:tcPr>
          <w:p w14:paraId="5DBF13A5" w14:textId="522332F5" w:rsidR="001D5E69" w:rsidRPr="005552B5" w:rsidRDefault="00437126" w:rsidP="001D5E69">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lastRenderedPageBreak/>
              <w:t>86</w:t>
            </w:r>
          </w:p>
        </w:tc>
        <w:tc>
          <w:tcPr>
            <w:tcW w:w="1925" w:type="dxa"/>
          </w:tcPr>
          <w:p w14:paraId="06618B58" w14:textId="06DC16D8" w:rsidR="001D5E69" w:rsidRPr="005552B5" w:rsidRDefault="001D5E69" w:rsidP="001D5E69">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Toyota Central Europe sp. z o. o.</w:t>
            </w:r>
          </w:p>
        </w:tc>
        <w:tc>
          <w:tcPr>
            <w:tcW w:w="2770" w:type="dxa"/>
          </w:tcPr>
          <w:p w14:paraId="24BB2ACF" w14:textId="77777777" w:rsidR="001D5E69" w:rsidRPr="005552B5" w:rsidRDefault="001D5E69" w:rsidP="001D5E69">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6.</w:t>
            </w:r>
            <w:r w:rsidRPr="005552B5">
              <w:rPr>
                <w:rStyle w:val="hgkelc"/>
                <w:rFonts w:asciiTheme="minorHAnsi" w:hAnsiTheme="minorHAnsi" w:cstheme="minorHAnsi"/>
                <w:b/>
                <w:sz w:val="20"/>
                <w:szCs w:val="20"/>
              </w:rPr>
              <w:tab/>
              <w:t xml:space="preserve">Koszty kwalifikowane </w:t>
            </w:r>
          </w:p>
          <w:p w14:paraId="3B6617E6"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koszty nabycia środków trwałych bezpośrednio związanych z budową/rozbudową stacji ładowania lub koszt ich wytworzenia przez beneficjenta, z wyłączeniem kosztów budowy i modernizacji instalacji OZE;</w:t>
            </w:r>
          </w:p>
          <w:p w14:paraId="56AF9E15"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część kapitałowa rat leasingowych – koszty dotyczące środków trwałych bezpośrednio związanych z budową stacji ładowania, z wyłączeniem kosztów budowy i modernizacji instalacji odnawialnych źródeł energii. Raty i opłaty, o których mowa w zdaniu poprzedzającym muszą być ustalone w umowach leasingu, które muszą również zawierać zobowiązanie korzystającego/leasingobiorcy (beneficjenta dofinansowania) do zakupu środków trwałych po upływie okresu leasingu i wskazanie, że środki trwałe będą umiejscowione na terenie stacji ładowania - co najmniej w okresie trwałości inwestycji;</w:t>
            </w:r>
          </w:p>
          <w:p w14:paraId="2A506911"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koszt budowy magazynu energii, pod warunkiem magazynowania w nim energii OZE wytworzonej na miejscu i wykorzystania magazynu wyłącznie na potrzeby budowanej/rozbudowywanej stacji ładowania.</w:t>
            </w:r>
          </w:p>
          <w:p w14:paraId="672B5FBF" w14:textId="77777777"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486" w:type="dxa"/>
          </w:tcPr>
          <w:p w14:paraId="752D4107"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w:t>
            </w:r>
            <w:r w:rsidRPr="005552B5">
              <w:rPr>
                <w:rStyle w:val="hgkelc"/>
                <w:rFonts w:asciiTheme="minorHAnsi" w:hAnsiTheme="minorHAnsi" w:cstheme="minorHAnsi"/>
                <w:sz w:val="20"/>
                <w:szCs w:val="20"/>
              </w:rPr>
              <w:tab/>
              <w:t>koszty nabycia środków trwałych bezpośrednio związanych z budową/rozbudową stacji ładowania oraz stacji tankowania wodorem lub koszt ich wytworzenia przez beneficjenta, z wyłączeniem kosztów budowy i modernizacji instalacji OZE;</w:t>
            </w:r>
          </w:p>
          <w:p w14:paraId="6424973C"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część kapitałowa rat leasingowych – koszty dotyczące środków trwałych bezpośrednio związanych z budową stacji ładowania oraz stacji tankowania wodorem, z wyłączeniem kosztów budowy i modernizacji instalacji odnawialnych źródeł energii. Raty i opłaty, o których mowa w zdaniu poprzedzającym muszą być ustalone w umowach leasingu, które muszą również zawierać zobowiązanie korzystającego/leasingobiorcy (beneficjenta dofinansowania) do zakupu środków trwałych po upływie okresu leasingu i wskazanie, że środki trwałe będą umiejscowione na terenie stacji ładowania - co najmniej w okresie trwałości inwestycji;</w:t>
            </w:r>
          </w:p>
          <w:p w14:paraId="6ACAD600"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koszt budowy magazynu energii lub wodoru, pod warunkiem magazynowania w nim energii OZE lub wodoru, wytworzonej/wytworzonego  na miejscu i wykorzystania magazynu wyłącznie na potrzeby budowanej/rozbudowywanej stacji ładowania oraz stacji tankowania wodorem.</w:t>
            </w:r>
          </w:p>
          <w:p w14:paraId="0280ABD9" w14:textId="77777777" w:rsidR="001D5E69" w:rsidRPr="005552B5" w:rsidRDefault="001D5E69" w:rsidP="001D5E69">
            <w:pPr>
              <w:spacing w:after="0" w:line="240" w:lineRule="auto"/>
              <w:jc w:val="both"/>
              <w:rPr>
                <w:rStyle w:val="hgkelc"/>
                <w:rFonts w:asciiTheme="minorHAnsi" w:hAnsiTheme="minorHAnsi" w:cstheme="minorHAnsi"/>
                <w:sz w:val="20"/>
                <w:szCs w:val="20"/>
              </w:rPr>
            </w:pPr>
          </w:p>
          <w:p w14:paraId="060505BF" w14:textId="77777777"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486" w:type="dxa"/>
          </w:tcPr>
          <w:p w14:paraId="09BA1E52" w14:textId="31D2966F"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Jak w punkcie 1</w:t>
            </w:r>
          </w:p>
        </w:tc>
        <w:tc>
          <w:tcPr>
            <w:tcW w:w="3253" w:type="dxa"/>
          </w:tcPr>
          <w:p w14:paraId="4429F087" w14:textId="6ACA4394" w:rsidR="001D5E69" w:rsidRPr="005552B5" w:rsidRDefault="001D5E69" w:rsidP="001D5E69">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nie została uwzględniona. Program uwzględnia stacje ładowania pojazdów prądem stałym – w obecnym kształcie programu nie przewidujemy stacji tankowania wodorem. Kwestia finansowania inwestycji wodorowych jest przedmiotem innych programów w ofercie NFOŚiGW, jak również wspierany jest obszar wodorowy w KPO oraz </w:t>
            </w:r>
            <w:proofErr w:type="spellStart"/>
            <w:r w:rsidRPr="005552B5">
              <w:rPr>
                <w:rFonts w:asciiTheme="minorHAnsi" w:hAnsiTheme="minorHAnsi" w:cstheme="minorHAnsi"/>
                <w:sz w:val="20"/>
                <w:szCs w:val="20"/>
              </w:rPr>
              <w:t>FEnIKS</w:t>
            </w:r>
            <w:proofErr w:type="spellEnd"/>
            <w:r w:rsidRPr="005552B5">
              <w:rPr>
                <w:rFonts w:asciiTheme="minorHAnsi" w:hAnsiTheme="minorHAnsi" w:cstheme="minorHAnsi"/>
                <w:sz w:val="20"/>
                <w:szCs w:val="20"/>
              </w:rPr>
              <w:t>.</w:t>
            </w:r>
          </w:p>
        </w:tc>
      </w:tr>
      <w:tr w:rsidR="001D5E69" w:rsidRPr="005552B5" w14:paraId="3B02F468" w14:textId="77777777" w:rsidTr="00F301CE">
        <w:tc>
          <w:tcPr>
            <w:tcW w:w="0" w:type="auto"/>
            <w:vAlign w:val="center"/>
          </w:tcPr>
          <w:p w14:paraId="69EC67E9" w14:textId="26826616" w:rsidR="001D5E69" w:rsidRPr="005552B5" w:rsidRDefault="00437126" w:rsidP="001D5E69">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87</w:t>
            </w:r>
          </w:p>
        </w:tc>
        <w:tc>
          <w:tcPr>
            <w:tcW w:w="1925" w:type="dxa"/>
          </w:tcPr>
          <w:p w14:paraId="2D5B3FD2" w14:textId="4464FF4F" w:rsidR="001D5E69" w:rsidRPr="005552B5" w:rsidRDefault="001D5E69" w:rsidP="001D5E69">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Toyota Central Europe sp. z o. o.</w:t>
            </w:r>
          </w:p>
        </w:tc>
        <w:tc>
          <w:tcPr>
            <w:tcW w:w="2770" w:type="dxa"/>
          </w:tcPr>
          <w:p w14:paraId="3F3E7652" w14:textId="77777777" w:rsidR="001D5E69" w:rsidRPr="005552B5" w:rsidRDefault="001D5E69" w:rsidP="001D5E69">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7.1 Forma dofinasowania</w:t>
            </w:r>
          </w:p>
          <w:p w14:paraId="5A4E0D2B" w14:textId="1C583A62"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dotacja do budowy i/lub rozbudowy stacji ładowania, lub</w:t>
            </w:r>
          </w:p>
          <w:p w14:paraId="20AC1D87" w14:textId="77777777"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486" w:type="dxa"/>
          </w:tcPr>
          <w:p w14:paraId="05F58D67" w14:textId="3220F551"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t>
            </w:r>
            <w:r w:rsidRPr="005552B5">
              <w:rPr>
                <w:rStyle w:val="hgkelc"/>
                <w:rFonts w:asciiTheme="minorHAnsi" w:hAnsiTheme="minorHAnsi" w:cstheme="minorHAnsi"/>
                <w:sz w:val="20"/>
                <w:szCs w:val="20"/>
              </w:rPr>
              <w:tab/>
              <w:t>dotacja do budowy i/lub rozbudowy stacji ładowania, lub tankowania wodorem</w:t>
            </w:r>
          </w:p>
        </w:tc>
        <w:tc>
          <w:tcPr>
            <w:tcW w:w="3486" w:type="dxa"/>
          </w:tcPr>
          <w:p w14:paraId="7AB472DC"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Jak w pkt. 1.</w:t>
            </w:r>
          </w:p>
          <w:p w14:paraId="383E553A" w14:textId="77A74A85"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Sam dokument źródłowy sugeruje lub …..</w:t>
            </w:r>
          </w:p>
        </w:tc>
        <w:tc>
          <w:tcPr>
            <w:tcW w:w="3253" w:type="dxa"/>
          </w:tcPr>
          <w:p w14:paraId="4A585D5F" w14:textId="070A8B9C" w:rsidR="001D5E69" w:rsidRPr="005552B5" w:rsidRDefault="001D5E69" w:rsidP="00170BCF">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nie została uwzględniona. Program uwzględnia stacje ładowania pojazdów prądem stałym – w obecnym kształcie programu nie przewidujemy stacji tankowania wodorem. Kwestia finansowania inwestycji wodorowych jest przedmiotem innych programów w ofercie NFOŚiGW, jak również wspierany jest obszar wodorowy w KPO oraz </w:t>
            </w:r>
            <w:proofErr w:type="spellStart"/>
            <w:r w:rsidRPr="005552B5">
              <w:rPr>
                <w:rFonts w:asciiTheme="minorHAnsi" w:hAnsiTheme="minorHAnsi" w:cstheme="minorHAnsi"/>
                <w:sz w:val="20"/>
                <w:szCs w:val="20"/>
              </w:rPr>
              <w:t>FEnIKS</w:t>
            </w:r>
            <w:proofErr w:type="spellEnd"/>
            <w:r w:rsidRPr="005552B5">
              <w:rPr>
                <w:rFonts w:asciiTheme="minorHAnsi" w:hAnsiTheme="minorHAnsi" w:cstheme="minorHAnsi"/>
                <w:sz w:val="20"/>
                <w:szCs w:val="20"/>
              </w:rPr>
              <w:t>.</w:t>
            </w:r>
          </w:p>
        </w:tc>
      </w:tr>
      <w:tr w:rsidR="001D5E69" w:rsidRPr="005552B5" w14:paraId="1C8FC3EC" w14:textId="77777777" w:rsidTr="00F301CE">
        <w:tc>
          <w:tcPr>
            <w:tcW w:w="0" w:type="auto"/>
            <w:vAlign w:val="center"/>
          </w:tcPr>
          <w:p w14:paraId="7B670D06" w14:textId="1B8073B7" w:rsidR="001D5E69" w:rsidRPr="005552B5" w:rsidRDefault="00437126" w:rsidP="001D5E69">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88</w:t>
            </w:r>
          </w:p>
        </w:tc>
        <w:tc>
          <w:tcPr>
            <w:tcW w:w="1925" w:type="dxa"/>
          </w:tcPr>
          <w:p w14:paraId="3B6B97D1" w14:textId="71A3654B" w:rsidR="001D5E69" w:rsidRPr="005552B5" w:rsidRDefault="001D5E69" w:rsidP="001D5E69">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Toyota Central Europe sp. z o. o.</w:t>
            </w:r>
          </w:p>
        </w:tc>
        <w:tc>
          <w:tcPr>
            <w:tcW w:w="2770" w:type="dxa"/>
          </w:tcPr>
          <w:p w14:paraId="2742F483" w14:textId="77777777" w:rsidR="001D5E69" w:rsidRPr="005552B5" w:rsidRDefault="001D5E69" w:rsidP="001D5E69">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7.3</w:t>
            </w:r>
            <w:r w:rsidRPr="005552B5">
              <w:rPr>
                <w:rStyle w:val="hgkelc"/>
                <w:rFonts w:asciiTheme="minorHAnsi" w:hAnsiTheme="minorHAnsi" w:cstheme="minorHAnsi"/>
                <w:b/>
                <w:sz w:val="20"/>
                <w:szCs w:val="20"/>
              </w:rPr>
              <w:tab/>
              <w:t>Warunki dofinasowania</w:t>
            </w:r>
          </w:p>
          <w:p w14:paraId="4EAAFFA9"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w:t>
            </w:r>
            <w:r w:rsidRPr="005552B5">
              <w:rPr>
                <w:rStyle w:val="hgkelc"/>
                <w:rFonts w:asciiTheme="minorHAnsi" w:hAnsiTheme="minorHAnsi" w:cstheme="minorHAnsi"/>
                <w:sz w:val="20"/>
                <w:szCs w:val="20"/>
              </w:rPr>
              <w:tab/>
              <w:t>objęta dofinansowaniem ogólnodostępna stacja ładowania musi być zlokalizowana wzdłuż dróg sieci bazowej TEN-T tj. na drodze należącej do sieci drogowej TEN-T lub w odległości do 3 km jazdy od najbliższego zjazdu z drogi TEN-T lub bezpośrednio na terenie centrum logistycznego (DEPOT) lub terminalu intermodalnego;</w:t>
            </w:r>
          </w:p>
          <w:p w14:paraId="111EC778"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4)</w:t>
            </w:r>
            <w:r w:rsidRPr="005552B5">
              <w:rPr>
                <w:rStyle w:val="hgkelc"/>
                <w:rFonts w:asciiTheme="minorHAnsi" w:hAnsiTheme="minorHAnsi" w:cstheme="minorHAnsi"/>
                <w:sz w:val="20"/>
                <w:szCs w:val="20"/>
              </w:rPr>
              <w:tab/>
              <w:t>objęta dofinansowaniem ogólnodostępna stacja ładowania wybudowana lub rozbudowana zlokalizowana wzdłuż drogowej sieci bazowej TEN-T musi posiadać najmniej dwa punkty ładowania  o indywidualnej mocy wyjściowej wynoszącej co najmniej 350 kW;</w:t>
            </w:r>
          </w:p>
          <w:p w14:paraId="64D70E99"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5)</w:t>
            </w:r>
            <w:r w:rsidRPr="005552B5">
              <w:rPr>
                <w:rStyle w:val="hgkelc"/>
                <w:rFonts w:asciiTheme="minorHAnsi" w:hAnsiTheme="minorHAnsi" w:cstheme="minorHAnsi"/>
                <w:sz w:val="20"/>
                <w:szCs w:val="20"/>
              </w:rPr>
              <w:tab/>
              <w:t xml:space="preserve">objęta dofinansowaniem </w:t>
            </w:r>
            <w:r w:rsidRPr="005552B5">
              <w:rPr>
                <w:rStyle w:val="hgkelc"/>
                <w:rFonts w:asciiTheme="minorHAnsi" w:hAnsiTheme="minorHAnsi" w:cstheme="minorHAnsi"/>
                <w:sz w:val="20"/>
                <w:szCs w:val="20"/>
              </w:rPr>
              <w:lastRenderedPageBreak/>
              <w:t>ogólnodostępna stacja ładowania wybudowana lub rozbudowana, zlokalizowana na terenie centrum logistycznego (DEPOT) lub terminala intermodalnego, musi posiadać co najmniej jeden punkt ładowania o indywidualnej mocy wyjściowej wynoszącej co najmniej 350 kW;</w:t>
            </w:r>
          </w:p>
          <w:p w14:paraId="2957F2C7"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8)</w:t>
            </w:r>
            <w:r w:rsidRPr="005552B5">
              <w:rPr>
                <w:rStyle w:val="hgkelc"/>
                <w:rFonts w:asciiTheme="minorHAnsi" w:hAnsiTheme="minorHAnsi" w:cstheme="minorHAnsi"/>
                <w:sz w:val="20"/>
                <w:szCs w:val="20"/>
              </w:rPr>
              <w:tab/>
              <w:t>infrastruktura ładowania objęta dofinansowaniem musi być ubezpieczona od uszkodzeń, zniszczeń oraz utraty na skutek zdarzeń losowych, uszkodzeń przez osoby trzecie oraz kradzieży przez cały okres trwałości;</w:t>
            </w:r>
          </w:p>
          <w:p w14:paraId="2E09850D" w14:textId="77777777" w:rsidR="001D5E69" w:rsidRPr="005552B5" w:rsidRDefault="001D5E69" w:rsidP="001D5E69">
            <w:pPr>
              <w:spacing w:after="0" w:line="240" w:lineRule="auto"/>
              <w:jc w:val="both"/>
              <w:rPr>
                <w:rStyle w:val="hgkelc"/>
                <w:rFonts w:asciiTheme="minorHAnsi" w:hAnsiTheme="minorHAnsi" w:cstheme="minorHAnsi"/>
                <w:sz w:val="20"/>
                <w:szCs w:val="20"/>
              </w:rPr>
            </w:pPr>
          </w:p>
          <w:p w14:paraId="3E420583" w14:textId="77777777" w:rsidR="001D5E69" w:rsidRPr="005552B5" w:rsidRDefault="001D5E69" w:rsidP="001D5E69">
            <w:pPr>
              <w:spacing w:after="0" w:line="240" w:lineRule="auto"/>
              <w:jc w:val="both"/>
              <w:rPr>
                <w:rStyle w:val="hgkelc"/>
                <w:rFonts w:asciiTheme="minorHAnsi" w:hAnsiTheme="minorHAnsi" w:cstheme="minorHAnsi"/>
                <w:sz w:val="20"/>
                <w:szCs w:val="20"/>
              </w:rPr>
            </w:pPr>
          </w:p>
          <w:p w14:paraId="29ABF17D" w14:textId="77777777"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486" w:type="dxa"/>
          </w:tcPr>
          <w:p w14:paraId="36822077"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1)</w:t>
            </w:r>
            <w:r w:rsidRPr="005552B5">
              <w:rPr>
                <w:rStyle w:val="hgkelc"/>
                <w:rFonts w:asciiTheme="minorHAnsi" w:hAnsiTheme="minorHAnsi" w:cstheme="minorHAnsi"/>
                <w:sz w:val="20"/>
                <w:szCs w:val="20"/>
              </w:rPr>
              <w:tab/>
              <w:t>objęta dofinansowaniem ogólnodostępna stacja ładowania lub tankowania wodorem musi być zlokalizowana wzdłuż dróg sieci bazowej TEN-T tj. na drodze należącej do sieci drogowej TEN-T lub w odległości do 3 km jazdy od najbliższego zjazdu z drogi TEN-T lub bezpośrednio na terenie centrum logistycznego (DEPOT) lub terminalu intermodalnego;</w:t>
            </w:r>
          </w:p>
          <w:p w14:paraId="39243F90"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4)</w:t>
            </w:r>
            <w:r w:rsidRPr="005552B5">
              <w:rPr>
                <w:rStyle w:val="hgkelc"/>
                <w:rFonts w:asciiTheme="minorHAnsi" w:hAnsiTheme="minorHAnsi" w:cstheme="minorHAnsi"/>
                <w:sz w:val="20"/>
                <w:szCs w:val="20"/>
              </w:rPr>
              <w:tab/>
              <w:t xml:space="preserve">objęta dofinansowaniem ogólnodostępna stacja ładowania lub tankowania wodorem wybudowana lub rozbudowana zlokalizowana wzdłuż drogowej sieci bazowej TEN-T musi posiadać najmniej dwa punkty ładowania  o indywidualnej mocy wyjściowej wynoszącej co najmniej 350 kW lub dwa punkty tankowania wodorem o ciśnieniu 35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i dwa punkty tankowania wodorem  ciśnieniu 70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w:t>
            </w:r>
          </w:p>
          <w:p w14:paraId="3EA748FC"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5)</w:t>
            </w:r>
            <w:r w:rsidRPr="005552B5">
              <w:rPr>
                <w:rStyle w:val="hgkelc"/>
                <w:rFonts w:asciiTheme="minorHAnsi" w:hAnsiTheme="minorHAnsi" w:cstheme="minorHAnsi"/>
                <w:sz w:val="20"/>
                <w:szCs w:val="20"/>
              </w:rPr>
              <w:tab/>
              <w:t xml:space="preserve">objęta dofinansowaniem ogólnodostępna stacja ładowania lub tankowania wodorem wybudowana lub rozbudowana, zlokalizowana na terenie centrum logistycznego (DEPOT) lub terminala intermodalnego, musi </w:t>
            </w:r>
            <w:r w:rsidRPr="005552B5">
              <w:rPr>
                <w:rStyle w:val="hgkelc"/>
                <w:rFonts w:asciiTheme="minorHAnsi" w:hAnsiTheme="minorHAnsi" w:cstheme="minorHAnsi"/>
                <w:sz w:val="20"/>
                <w:szCs w:val="20"/>
              </w:rPr>
              <w:lastRenderedPageBreak/>
              <w:t xml:space="preserve">posiadać co najmniej jeden punkt ładowania o indywidualnej mocy wyjściowej wynoszącej co najmniej 350 kW lub </w:t>
            </w:r>
            <w:proofErr w:type="spellStart"/>
            <w:r w:rsidRPr="005552B5">
              <w:rPr>
                <w:rStyle w:val="hgkelc"/>
                <w:rFonts w:asciiTheme="minorHAnsi" w:hAnsiTheme="minorHAnsi" w:cstheme="minorHAnsi"/>
                <w:sz w:val="20"/>
                <w:szCs w:val="20"/>
              </w:rPr>
              <w:t>lub</w:t>
            </w:r>
            <w:proofErr w:type="spellEnd"/>
            <w:r w:rsidRPr="005552B5">
              <w:rPr>
                <w:rStyle w:val="hgkelc"/>
                <w:rFonts w:asciiTheme="minorHAnsi" w:hAnsiTheme="minorHAnsi" w:cstheme="minorHAnsi"/>
                <w:sz w:val="20"/>
                <w:szCs w:val="20"/>
              </w:rPr>
              <w:t xml:space="preserve"> jeden punkt tankowania wodorem o ciśnieniu 35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i jeden punkty tankowania wodorem  ciśnieniu 70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w:t>
            </w:r>
          </w:p>
          <w:p w14:paraId="32A7C4F0"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8)</w:t>
            </w:r>
            <w:r w:rsidRPr="005552B5">
              <w:rPr>
                <w:rStyle w:val="hgkelc"/>
                <w:rFonts w:asciiTheme="minorHAnsi" w:hAnsiTheme="minorHAnsi" w:cstheme="minorHAnsi"/>
                <w:sz w:val="20"/>
                <w:szCs w:val="20"/>
              </w:rPr>
              <w:tab/>
              <w:t>infrastruktura ładowania lub tankowania wodorem  objęta dofinansowaniem musi być ubezpieczona od uszkodzeń, zniszczeń oraz utraty na skutek zdarzeń losowych, uszkodzeń przez osoby trzecie oraz kradzieży przez cały okres trwałości;</w:t>
            </w:r>
          </w:p>
          <w:p w14:paraId="445C039B" w14:textId="77777777"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486" w:type="dxa"/>
          </w:tcPr>
          <w:p w14:paraId="7A134716"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Jak w pkt. 1.</w:t>
            </w:r>
          </w:p>
          <w:p w14:paraId="190317D2" w14:textId="509B2189"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Pojazdy ciężarowe zasilane wodorem na runku europejskim tworzone są w dwóch standardach – dotychczasowym 35MPa oraz obecnie obowiązującym na świecie 70MPa.</w:t>
            </w:r>
          </w:p>
        </w:tc>
        <w:tc>
          <w:tcPr>
            <w:tcW w:w="3253" w:type="dxa"/>
          </w:tcPr>
          <w:p w14:paraId="26B583D8" w14:textId="48BBADBB" w:rsidR="001D5E69" w:rsidRPr="005552B5" w:rsidRDefault="001D5E69" w:rsidP="001D5E69">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nie została uwzględniona. Program uwzględnia stacje ładowania pojazdów prądem stałym – w obecnym kształcie programu nie przewidujemy stacji tankowania wodorem. Kwestia finansowania inwestycji wodorowych jest przedmiotem innych programów w ofercie NFOŚiGW, jak również wspierany jest obszar wodorowy w KPO oraz </w:t>
            </w:r>
            <w:proofErr w:type="spellStart"/>
            <w:r w:rsidRPr="005552B5">
              <w:rPr>
                <w:rFonts w:asciiTheme="minorHAnsi" w:hAnsiTheme="minorHAnsi" w:cstheme="minorHAnsi"/>
                <w:sz w:val="20"/>
                <w:szCs w:val="20"/>
              </w:rPr>
              <w:t>FEnIKS</w:t>
            </w:r>
            <w:proofErr w:type="spellEnd"/>
            <w:r w:rsidRPr="005552B5">
              <w:rPr>
                <w:rFonts w:asciiTheme="minorHAnsi" w:hAnsiTheme="minorHAnsi" w:cstheme="minorHAnsi"/>
                <w:sz w:val="20"/>
                <w:szCs w:val="20"/>
              </w:rPr>
              <w:t>.</w:t>
            </w:r>
          </w:p>
        </w:tc>
      </w:tr>
      <w:tr w:rsidR="001D5E69" w:rsidRPr="005552B5" w14:paraId="4FE6E393" w14:textId="77777777" w:rsidTr="00F301CE">
        <w:tc>
          <w:tcPr>
            <w:tcW w:w="0" w:type="auto"/>
            <w:vAlign w:val="center"/>
          </w:tcPr>
          <w:p w14:paraId="525BEF07" w14:textId="488E14A9" w:rsidR="001D5E69" w:rsidRPr="005552B5" w:rsidRDefault="00437126" w:rsidP="001D5E69">
            <w:pPr>
              <w:tabs>
                <w:tab w:val="left" w:pos="142"/>
              </w:tabs>
              <w:spacing w:after="0" w:line="240" w:lineRule="auto"/>
              <w:jc w:val="both"/>
              <w:rPr>
                <w:rFonts w:asciiTheme="minorHAnsi" w:hAnsiTheme="minorHAnsi" w:cstheme="minorHAnsi"/>
                <w:sz w:val="20"/>
                <w:szCs w:val="20"/>
              </w:rPr>
            </w:pPr>
            <w:r>
              <w:rPr>
                <w:rFonts w:asciiTheme="minorHAnsi" w:hAnsiTheme="minorHAnsi" w:cstheme="minorHAnsi"/>
                <w:sz w:val="20"/>
                <w:szCs w:val="20"/>
              </w:rPr>
              <w:t>89</w:t>
            </w:r>
          </w:p>
        </w:tc>
        <w:tc>
          <w:tcPr>
            <w:tcW w:w="1925" w:type="dxa"/>
          </w:tcPr>
          <w:p w14:paraId="2BEDC586" w14:textId="2471E828" w:rsidR="001D5E69" w:rsidRPr="005552B5" w:rsidRDefault="001D5E69" w:rsidP="001D5E69">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Toyota Central Europe sp. z o. o.</w:t>
            </w:r>
          </w:p>
        </w:tc>
        <w:tc>
          <w:tcPr>
            <w:tcW w:w="2770" w:type="dxa"/>
          </w:tcPr>
          <w:p w14:paraId="2B5C2C56" w14:textId="77777777" w:rsidR="001D5E69" w:rsidRPr="005552B5" w:rsidRDefault="001D5E69" w:rsidP="001D5E69">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7.5</w:t>
            </w:r>
            <w:r w:rsidRPr="005552B5">
              <w:rPr>
                <w:rStyle w:val="hgkelc"/>
                <w:rFonts w:asciiTheme="minorHAnsi" w:hAnsiTheme="minorHAnsi" w:cstheme="minorHAnsi"/>
                <w:b/>
                <w:sz w:val="20"/>
                <w:szCs w:val="20"/>
              </w:rPr>
              <w:tab/>
              <w:t>Rodzaje inwestycji</w:t>
            </w:r>
          </w:p>
          <w:p w14:paraId="0A1DA228" w14:textId="77777777" w:rsidR="001D5E69" w:rsidRPr="005552B5" w:rsidRDefault="001D5E69" w:rsidP="001D5E69">
            <w:pPr>
              <w:spacing w:after="0" w:line="240" w:lineRule="auto"/>
              <w:jc w:val="both"/>
              <w:rPr>
                <w:rStyle w:val="hgkelc"/>
                <w:rFonts w:asciiTheme="minorHAnsi" w:hAnsiTheme="minorHAnsi" w:cstheme="minorHAnsi"/>
                <w:sz w:val="20"/>
                <w:szCs w:val="20"/>
              </w:rPr>
            </w:pPr>
          </w:p>
          <w:p w14:paraId="2DE293E0"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Inwestycje polegające na:</w:t>
            </w:r>
          </w:p>
          <w:p w14:paraId="684FCCD1"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w:t>
            </w:r>
            <w:r w:rsidRPr="005552B5">
              <w:rPr>
                <w:rStyle w:val="hgkelc"/>
                <w:rFonts w:asciiTheme="minorHAnsi" w:hAnsiTheme="minorHAnsi" w:cstheme="minorHAnsi"/>
                <w:sz w:val="20"/>
                <w:szCs w:val="20"/>
              </w:rPr>
              <w:tab/>
              <w:t>budowie ogólnodostępnej stacji ładowania prądem stałym posiadającej co najmniej:</w:t>
            </w:r>
          </w:p>
          <w:p w14:paraId="587162F6"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dwa punkty ładowania o indywidualnej mocy wyjściowej wynoszącej co najmniej 350 kW – dla inwestycji realizowanych wzdłuż drogowej sieci bazowej TEN-T,</w:t>
            </w:r>
          </w:p>
          <w:p w14:paraId="10EE6CEF"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jeden punkt ładowania o indywidualnej mocy wyjściowej wynoszącej co najmniej 350 kW – dla inwestycji realizowanych </w:t>
            </w:r>
            <w:r w:rsidRPr="005552B5">
              <w:rPr>
                <w:rStyle w:val="hgkelc"/>
                <w:rFonts w:asciiTheme="minorHAnsi" w:hAnsiTheme="minorHAnsi" w:cstheme="minorHAnsi"/>
                <w:sz w:val="20"/>
                <w:szCs w:val="20"/>
              </w:rPr>
              <w:lastRenderedPageBreak/>
              <w:t>na terenie centrum logistycznego (DEPOT) lub terminala intermodalnego;</w:t>
            </w:r>
          </w:p>
          <w:p w14:paraId="25D5C014"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2)</w:t>
            </w:r>
            <w:r w:rsidRPr="005552B5">
              <w:rPr>
                <w:rStyle w:val="hgkelc"/>
                <w:rFonts w:asciiTheme="minorHAnsi" w:hAnsiTheme="minorHAnsi" w:cstheme="minorHAnsi"/>
                <w:sz w:val="20"/>
                <w:szCs w:val="20"/>
              </w:rPr>
              <w:tab/>
              <w:t>przebudowie ogólnodostępnej stacji ładowania prądem stałym, skutkującej przyrostem jej mocy w taki sposób, aby utworzone zostały co najmniej:</w:t>
            </w:r>
          </w:p>
          <w:p w14:paraId="14367C09"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dwa punkty ładowania o indywidualnej mocy wyjściowej wynoszącej co najmniej 350 kW – dla inwestycji realizowanych wzdłuż drogowej sieci bazowej TEN-T,</w:t>
            </w:r>
          </w:p>
          <w:p w14:paraId="5BBF6152" w14:textId="094124AA"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jeden punkt ładowania o indywidualnej mocy wyjściowej wynoszącej co najmniej 350 kW – dla inwestycji realizowanych na terenie centrum logistycznego (DEPOT) lub terminala intermodalnego.</w:t>
            </w:r>
          </w:p>
        </w:tc>
        <w:tc>
          <w:tcPr>
            <w:tcW w:w="3486" w:type="dxa"/>
          </w:tcPr>
          <w:p w14:paraId="7DFBB470"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Inwestycje polegające na:</w:t>
            </w:r>
          </w:p>
          <w:p w14:paraId="3C463176"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1)</w:t>
            </w:r>
            <w:r w:rsidRPr="005552B5">
              <w:rPr>
                <w:rStyle w:val="hgkelc"/>
                <w:rFonts w:asciiTheme="minorHAnsi" w:hAnsiTheme="minorHAnsi" w:cstheme="minorHAnsi"/>
                <w:sz w:val="20"/>
                <w:szCs w:val="20"/>
              </w:rPr>
              <w:tab/>
              <w:t>budowie ogólnodostępnej stacji ładowania prądem stałym posiadającej co najmniej:</w:t>
            </w:r>
          </w:p>
          <w:p w14:paraId="6BE4509C"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dwa punkty ładowania o indywidualnej mocy wyjściowej wynoszącej co najmniej 350 kW lub dwa punkty tankowania wodorem o ciśnieniu 35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i dwa punkty tankowania wodorem  ciśnieniu 70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 dla inwestycji realizowanych wzdłuż drogowej sieci bazowej TEN-T,</w:t>
            </w:r>
          </w:p>
          <w:p w14:paraId="30F55B39"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jeden punkt ładowania o indywidualnej mocy wyjściowej wynoszącej co najmniej 350 kW lub jeden punkt tankowania wodorem o ciśnieniu 35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i jeden punkty </w:t>
            </w:r>
            <w:r w:rsidRPr="005552B5">
              <w:rPr>
                <w:rStyle w:val="hgkelc"/>
                <w:rFonts w:asciiTheme="minorHAnsi" w:hAnsiTheme="minorHAnsi" w:cstheme="minorHAnsi"/>
                <w:sz w:val="20"/>
                <w:szCs w:val="20"/>
              </w:rPr>
              <w:lastRenderedPageBreak/>
              <w:t xml:space="preserve">tankowania wodorem  ciśnieniu 70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 dla inwestycji realizowanych na terenie centrum logistycznego (DEPOT) lub terminala intermodalnego;</w:t>
            </w:r>
          </w:p>
          <w:p w14:paraId="4FB95892"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2)</w:t>
            </w:r>
            <w:r w:rsidRPr="005552B5">
              <w:rPr>
                <w:rStyle w:val="hgkelc"/>
                <w:rFonts w:asciiTheme="minorHAnsi" w:hAnsiTheme="minorHAnsi" w:cstheme="minorHAnsi"/>
                <w:sz w:val="20"/>
                <w:szCs w:val="20"/>
              </w:rPr>
              <w:tab/>
              <w:t>przebudowie ogólnodostępnej stacji ładowania prądem stałym, skutkującej przyrostem jej mocy w taki sposób, aby utworzone zostały co najmniej :</w:t>
            </w:r>
          </w:p>
          <w:p w14:paraId="1487C217"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dwa punkty ładowania o indywidualnej mocy wyjściowej wynoszącej co najmniej 350 kW dwa punkty tankowania wodorem o ciśnieniu 35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i dwa punkty tankowania wodorem  ciśnieniu 70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 dla inwestycji realizowanych wzdłuż drogowej sieci bazowej TEN-T,</w:t>
            </w:r>
          </w:p>
          <w:p w14:paraId="5805771B" w14:textId="372DB928"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jeden punkt ładowania o indywidualnej mocy wyjściowej wynoszącej co najmniej 350 kW lub jeden punkt tankowania wodorem o ciśnieniu 35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i jeden punkty tankowania wodorem  ciśnieniu 70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 dla inwestycji realizowanych na terenie centrum logistycznego (DEPOT) lub terminala intermodalnego.</w:t>
            </w:r>
          </w:p>
        </w:tc>
        <w:tc>
          <w:tcPr>
            <w:tcW w:w="3486" w:type="dxa"/>
          </w:tcPr>
          <w:p w14:paraId="64B72B5C" w14:textId="26C7709B"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Jak w punkcie 6</w:t>
            </w:r>
          </w:p>
        </w:tc>
        <w:tc>
          <w:tcPr>
            <w:tcW w:w="3253" w:type="dxa"/>
          </w:tcPr>
          <w:p w14:paraId="62075F7B" w14:textId="16D31A25" w:rsidR="001D5E69" w:rsidRPr="005552B5" w:rsidRDefault="001D5E69" w:rsidP="001D5E69">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nie została uwzględniona. Program uwzględnia stacje ładowania pojazdów prądem stałym – w obecnym kształcie programu nie przewidujemy stacji tankowania wodorem. Kwestia finansowania inwestycji wodorowych jest przedmiotem innych programów w ofercie NFOŚiGW, jak również wspierany jest obszar wodorowy w KPO oraz </w:t>
            </w:r>
            <w:proofErr w:type="spellStart"/>
            <w:r w:rsidRPr="005552B5">
              <w:rPr>
                <w:rFonts w:asciiTheme="minorHAnsi" w:hAnsiTheme="minorHAnsi" w:cstheme="minorHAnsi"/>
                <w:sz w:val="20"/>
                <w:szCs w:val="20"/>
              </w:rPr>
              <w:t>FEnIKS</w:t>
            </w:r>
            <w:proofErr w:type="spellEnd"/>
            <w:r w:rsidRPr="005552B5">
              <w:rPr>
                <w:rFonts w:asciiTheme="minorHAnsi" w:hAnsiTheme="minorHAnsi" w:cstheme="minorHAnsi"/>
                <w:sz w:val="20"/>
                <w:szCs w:val="20"/>
              </w:rPr>
              <w:t>.</w:t>
            </w:r>
          </w:p>
        </w:tc>
      </w:tr>
      <w:tr w:rsidR="001D5E69" w:rsidRPr="005552B5" w14:paraId="78550DDC" w14:textId="77777777" w:rsidTr="00F301CE">
        <w:tc>
          <w:tcPr>
            <w:tcW w:w="0" w:type="auto"/>
            <w:vAlign w:val="center"/>
          </w:tcPr>
          <w:p w14:paraId="67B55BD6" w14:textId="59CF3BC3" w:rsidR="001D5E69" w:rsidRPr="005552B5" w:rsidRDefault="001D5E69" w:rsidP="00437126">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9</w:t>
            </w:r>
            <w:r w:rsidR="00437126">
              <w:rPr>
                <w:rFonts w:asciiTheme="minorHAnsi" w:hAnsiTheme="minorHAnsi" w:cstheme="minorHAnsi"/>
                <w:sz w:val="20"/>
                <w:szCs w:val="20"/>
              </w:rPr>
              <w:t>0</w:t>
            </w:r>
          </w:p>
        </w:tc>
        <w:tc>
          <w:tcPr>
            <w:tcW w:w="1925" w:type="dxa"/>
          </w:tcPr>
          <w:p w14:paraId="33910DFD" w14:textId="4071CE11" w:rsidR="001D5E69" w:rsidRPr="005552B5" w:rsidRDefault="001D5E69" w:rsidP="001D5E69">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Toyota Central Europe sp. z o. o.</w:t>
            </w:r>
          </w:p>
        </w:tc>
        <w:tc>
          <w:tcPr>
            <w:tcW w:w="2770" w:type="dxa"/>
          </w:tcPr>
          <w:p w14:paraId="5B8B5D4A" w14:textId="77777777" w:rsidR="001D5E69" w:rsidRPr="005552B5" w:rsidRDefault="001D5E69" w:rsidP="001D5E69">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8. Szczegółowe kryteria wyboru inwestycji</w:t>
            </w:r>
          </w:p>
          <w:p w14:paraId="0C86BD06" w14:textId="77777777" w:rsidR="001D5E69" w:rsidRPr="005552B5" w:rsidRDefault="001D5E69" w:rsidP="001D5E69">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KRYTERIA JAKOŚCIOWE DOPUSZCZALNE</w:t>
            </w:r>
          </w:p>
          <w:p w14:paraId="280E3A31"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4. Zgodność stacji ładowania z co najmniej z następującymi wymogami:</w:t>
            </w:r>
          </w:p>
          <w:p w14:paraId="44DB2751"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punkty ładowania o dużej mocy na prąd stały (DC) przeznaczone dla pojazdów elektrycznych muszą być wyposażone, do celów interoperacyjności, co najmniej w złącza połączonego systemu ładowania „Combo 2”, </w:t>
            </w:r>
            <w:r w:rsidRPr="005552B5">
              <w:rPr>
                <w:rStyle w:val="hgkelc"/>
                <w:rFonts w:asciiTheme="minorHAnsi" w:hAnsiTheme="minorHAnsi" w:cstheme="minorHAnsi"/>
                <w:sz w:val="20"/>
                <w:szCs w:val="20"/>
              </w:rPr>
              <w:lastRenderedPageBreak/>
              <w:t>jak opisano w normie EN 62196-3:2014.</w:t>
            </w:r>
          </w:p>
          <w:p w14:paraId="26802D23" w14:textId="77777777" w:rsidR="001D5E69" w:rsidRPr="005552B5" w:rsidRDefault="001D5E69" w:rsidP="001D5E69">
            <w:pPr>
              <w:spacing w:after="0" w:line="240" w:lineRule="auto"/>
              <w:jc w:val="both"/>
              <w:rPr>
                <w:rStyle w:val="hgkelc"/>
                <w:rFonts w:asciiTheme="minorHAnsi" w:hAnsiTheme="minorHAnsi" w:cstheme="minorHAnsi"/>
                <w:sz w:val="20"/>
                <w:szCs w:val="20"/>
              </w:rPr>
            </w:pPr>
          </w:p>
          <w:p w14:paraId="5ED2764E" w14:textId="1E5061F9" w:rsidR="001D5E69" w:rsidRPr="005552B5" w:rsidRDefault="001D5E69" w:rsidP="001D5E69">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KRYTERIA JAKOŚCIOWE PUNKTOWE</w:t>
            </w:r>
          </w:p>
        </w:tc>
        <w:tc>
          <w:tcPr>
            <w:tcW w:w="3486" w:type="dxa"/>
          </w:tcPr>
          <w:p w14:paraId="27002168"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4. Zgodność stacji ładowania z co najmniej z następującymi wymogami:</w:t>
            </w:r>
          </w:p>
          <w:p w14:paraId="4B0E5218"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punkty ładowania o dużej mocy na prąd stały (DC) przeznaczone dla pojazdów elektrycznych muszą być wyposażone, do celów interoperacyjności, co najmniej w złącza połączonego systemu ładowania „Combo 2”, jak opisano w normie EN 62196-3:2014</w:t>
            </w:r>
          </w:p>
          <w:p w14:paraId="7F704F36" w14:textId="77777777"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 stacje tankowania pojazdów powinny być wyposażone w punkty tankowania spełniające standardy ciśnień 35 oraz 70 </w:t>
            </w:r>
            <w:proofErr w:type="spellStart"/>
            <w:r w:rsidRPr="005552B5">
              <w:rPr>
                <w:rStyle w:val="hgkelc"/>
                <w:rFonts w:asciiTheme="minorHAnsi" w:hAnsiTheme="minorHAnsi" w:cstheme="minorHAnsi"/>
                <w:sz w:val="20"/>
                <w:szCs w:val="20"/>
              </w:rPr>
              <w:t>MPa</w:t>
            </w:r>
            <w:proofErr w:type="spellEnd"/>
            <w:r w:rsidRPr="005552B5">
              <w:rPr>
                <w:rStyle w:val="hgkelc"/>
                <w:rFonts w:asciiTheme="minorHAnsi" w:hAnsiTheme="minorHAnsi" w:cstheme="minorHAnsi"/>
                <w:sz w:val="20"/>
                <w:szCs w:val="20"/>
              </w:rPr>
              <w:t xml:space="preserve">  z godne ze standardami normy EN 17127</w:t>
            </w:r>
          </w:p>
          <w:p w14:paraId="129BCB6C" w14:textId="77777777" w:rsidR="001D5E69" w:rsidRPr="005552B5" w:rsidRDefault="001D5E69" w:rsidP="001D5E69">
            <w:pPr>
              <w:spacing w:after="0" w:line="240" w:lineRule="auto"/>
              <w:jc w:val="both"/>
              <w:rPr>
                <w:rStyle w:val="hgkelc"/>
                <w:rFonts w:asciiTheme="minorHAnsi" w:hAnsiTheme="minorHAnsi" w:cstheme="minorHAnsi"/>
                <w:sz w:val="20"/>
                <w:szCs w:val="20"/>
              </w:rPr>
            </w:pPr>
          </w:p>
          <w:p w14:paraId="7DD7AAFF" w14:textId="77777777" w:rsidR="001D5E69" w:rsidRPr="005552B5" w:rsidRDefault="001D5E69" w:rsidP="001D5E69">
            <w:pPr>
              <w:spacing w:after="0" w:line="240" w:lineRule="auto"/>
              <w:jc w:val="both"/>
              <w:rPr>
                <w:rStyle w:val="hgkelc"/>
                <w:rFonts w:asciiTheme="minorHAnsi" w:hAnsiTheme="minorHAnsi" w:cstheme="minorHAnsi"/>
                <w:b/>
                <w:sz w:val="20"/>
                <w:szCs w:val="20"/>
              </w:rPr>
            </w:pPr>
            <w:r w:rsidRPr="005552B5">
              <w:rPr>
                <w:rStyle w:val="hgkelc"/>
                <w:rFonts w:asciiTheme="minorHAnsi" w:hAnsiTheme="minorHAnsi" w:cstheme="minorHAnsi"/>
                <w:b/>
                <w:sz w:val="20"/>
                <w:szCs w:val="20"/>
              </w:rPr>
              <w:t>KRYTERIA JAKOŚCIOWE PUNKTOWE</w:t>
            </w:r>
          </w:p>
          <w:p w14:paraId="4B116E8B" w14:textId="55C804C0"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Kryteria te dla stacji tankowania wodorem wymagają opracowania zgodnego z normami: EN 17127, EN 17124, EN ISO 17268</w:t>
            </w:r>
          </w:p>
        </w:tc>
        <w:tc>
          <w:tcPr>
            <w:tcW w:w="3486" w:type="dxa"/>
          </w:tcPr>
          <w:p w14:paraId="76CAAD06" w14:textId="295A0EC2"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lastRenderedPageBreak/>
              <w:t>Jak w punkcie 6</w:t>
            </w:r>
          </w:p>
        </w:tc>
        <w:tc>
          <w:tcPr>
            <w:tcW w:w="3253" w:type="dxa"/>
          </w:tcPr>
          <w:p w14:paraId="585CB9E9" w14:textId="75FB5F3A" w:rsidR="001D5E69" w:rsidRPr="005552B5" w:rsidRDefault="001D5E69" w:rsidP="001D5E69">
            <w:pPr>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 xml:space="preserve">Uwaga nie została uwzględniona. Program uwzględnia stacje ładowania pojazdów prądem stałym – w obecnym kształcie programu nie przewidujemy stacji tankowania wodorem. Kwestia finansowania inwestycji wodorowych jest przedmiotem innych programów w ofercie NFOŚiGW, jak również wspierany jest obszar wodorowy w KPO oraz </w:t>
            </w:r>
            <w:proofErr w:type="spellStart"/>
            <w:r w:rsidRPr="005552B5">
              <w:rPr>
                <w:rFonts w:asciiTheme="minorHAnsi" w:hAnsiTheme="minorHAnsi" w:cstheme="minorHAnsi"/>
                <w:sz w:val="20"/>
                <w:szCs w:val="20"/>
              </w:rPr>
              <w:t>FEnIKS</w:t>
            </w:r>
            <w:proofErr w:type="spellEnd"/>
            <w:r w:rsidRPr="005552B5">
              <w:rPr>
                <w:rFonts w:asciiTheme="minorHAnsi" w:hAnsiTheme="minorHAnsi" w:cstheme="minorHAnsi"/>
                <w:sz w:val="20"/>
                <w:szCs w:val="20"/>
              </w:rPr>
              <w:t>.</w:t>
            </w:r>
          </w:p>
        </w:tc>
      </w:tr>
      <w:tr w:rsidR="001D5E69" w:rsidRPr="005552B5" w14:paraId="63FB17D8" w14:textId="77777777" w:rsidTr="00F301CE">
        <w:tc>
          <w:tcPr>
            <w:tcW w:w="0" w:type="auto"/>
            <w:vAlign w:val="center"/>
          </w:tcPr>
          <w:p w14:paraId="7201B88A" w14:textId="3B0319C3" w:rsidR="001D5E69" w:rsidRPr="005552B5" w:rsidRDefault="001D5E69" w:rsidP="00437126">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9</w:t>
            </w:r>
            <w:r w:rsidR="00437126">
              <w:rPr>
                <w:rFonts w:asciiTheme="minorHAnsi" w:hAnsiTheme="minorHAnsi" w:cstheme="minorHAnsi"/>
                <w:sz w:val="20"/>
                <w:szCs w:val="20"/>
              </w:rPr>
              <w:t>1</w:t>
            </w:r>
          </w:p>
        </w:tc>
        <w:tc>
          <w:tcPr>
            <w:tcW w:w="1925" w:type="dxa"/>
          </w:tcPr>
          <w:p w14:paraId="47117DA5" w14:textId="07ACF113" w:rsidR="001D5E69" w:rsidRPr="005552B5" w:rsidRDefault="001D5E69" w:rsidP="001D5E69">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PZPM – spotkanie stacjonarne</w:t>
            </w:r>
          </w:p>
        </w:tc>
        <w:tc>
          <w:tcPr>
            <w:tcW w:w="2770" w:type="dxa"/>
          </w:tcPr>
          <w:p w14:paraId="050DF1FF" w14:textId="77777777"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486" w:type="dxa"/>
          </w:tcPr>
          <w:p w14:paraId="030968F4" w14:textId="77777777"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486" w:type="dxa"/>
          </w:tcPr>
          <w:p w14:paraId="1B0C1DA7" w14:textId="4876EDC1"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 xml:space="preserve">Przedstawienie i podsumowanie </w:t>
            </w:r>
            <w:proofErr w:type="spellStart"/>
            <w:r w:rsidRPr="005552B5">
              <w:rPr>
                <w:rStyle w:val="hgkelc"/>
                <w:rFonts w:asciiTheme="minorHAnsi" w:hAnsiTheme="minorHAnsi" w:cstheme="minorHAnsi"/>
                <w:sz w:val="20"/>
                <w:szCs w:val="20"/>
              </w:rPr>
              <w:t>elektromobilności</w:t>
            </w:r>
            <w:proofErr w:type="spellEnd"/>
            <w:r w:rsidRPr="005552B5">
              <w:rPr>
                <w:rStyle w:val="hgkelc"/>
                <w:rFonts w:asciiTheme="minorHAnsi" w:hAnsiTheme="minorHAnsi" w:cstheme="minorHAnsi"/>
                <w:sz w:val="20"/>
                <w:szCs w:val="20"/>
              </w:rPr>
              <w:t xml:space="preserve"> w Polsce – omówienie spraw związanych z pojazdami i infrastrukturą.</w:t>
            </w:r>
          </w:p>
        </w:tc>
        <w:tc>
          <w:tcPr>
            <w:tcW w:w="3253" w:type="dxa"/>
          </w:tcPr>
          <w:p w14:paraId="3ADA4E50" w14:textId="77777777" w:rsidR="001D5E69" w:rsidRPr="005552B5" w:rsidRDefault="001D5E69" w:rsidP="001D5E69">
            <w:pPr>
              <w:spacing w:after="0" w:line="240" w:lineRule="auto"/>
              <w:jc w:val="both"/>
              <w:rPr>
                <w:rFonts w:asciiTheme="minorHAnsi" w:hAnsiTheme="minorHAnsi" w:cstheme="minorHAnsi"/>
                <w:sz w:val="20"/>
                <w:szCs w:val="20"/>
              </w:rPr>
            </w:pPr>
          </w:p>
        </w:tc>
      </w:tr>
      <w:tr w:rsidR="001D5E69" w:rsidRPr="005552B5" w14:paraId="1EB155F7" w14:textId="77777777" w:rsidTr="00F301CE">
        <w:tc>
          <w:tcPr>
            <w:tcW w:w="0" w:type="auto"/>
            <w:vAlign w:val="center"/>
          </w:tcPr>
          <w:p w14:paraId="32CEAFEE" w14:textId="3A28861C" w:rsidR="001D5E69" w:rsidRPr="005552B5" w:rsidRDefault="001D5E69" w:rsidP="00437126">
            <w:pPr>
              <w:tabs>
                <w:tab w:val="left" w:pos="142"/>
              </w:tabs>
              <w:spacing w:after="0" w:line="240" w:lineRule="auto"/>
              <w:jc w:val="both"/>
              <w:rPr>
                <w:rFonts w:asciiTheme="minorHAnsi" w:hAnsiTheme="minorHAnsi" w:cstheme="minorHAnsi"/>
                <w:sz w:val="20"/>
                <w:szCs w:val="20"/>
              </w:rPr>
            </w:pPr>
            <w:r w:rsidRPr="005552B5">
              <w:rPr>
                <w:rFonts w:asciiTheme="minorHAnsi" w:hAnsiTheme="minorHAnsi" w:cstheme="minorHAnsi"/>
                <w:sz w:val="20"/>
                <w:szCs w:val="20"/>
              </w:rPr>
              <w:t>9</w:t>
            </w:r>
            <w:r w:rsidR="00437126">
              <w:rPr>
                <w:rFonts w:asciiTheme="minorHAnsi" w:hAnsiTheme="minorHAnsi" w:cstheme="minorHAnsi"/>
                <w:sz w:val="20"/>
                <w:szCs w:val="20"/>
              </w:rPr>
              <w:t>2</w:t>
            </w:r>
          </w:p>
        </w:tc>
        <w:tc>
          <w:tcPr>
            <w:tcW w:w="1925" w:type="dxa"/>
          </w:tcPr>
          <w:p w14:paraId="3E401DF8" w14:textId="46093281" w:rsidR="001D5E69" w:rsidRPr="005552B5" w:rsidRDefault="001D5E69" w:rsidP="001D5E69">
            <w:pPr>
              <w:spacing w:after="0" w:line="240" w:lineRule="auto"/>
              <w:jc w:val="both"/>
              <w:rPr>
                <w:rFonts w:asciiTheme="minorHAnsi" w:hAnsiTheme="minorHAnsi" w:cstheme="minorHAnsi"/>
                <w:b/>
                <w:sz w:val="20"/>
                <w:szCs w:val="20"/>
              </w:rPr>
            </w:pPr>
            <w:r w:rsidRPr="005552B5">
              <w:rPr>
                <w:rFonts w:asciiTheme="minorHAnsi" w:hAnsiTheme="minorHAnsi" w:cstheme="minorHAnsi"/>
                <w:b/>
                <w:sz w:val="20"/>
                <w:szCs w:val="20"/>
              </w:rPr>
              <w:t>Ministerstwo Finansów</w:t>
            </w:r>
          </w:p>
        </w:tc>
        <w:tc>
          <w:tcPr>
            <w:tcW w:w="2770" w:type="dxa"/>
          </w:tcPr>
          <w:p w14:paraId="3CCA8B23" w14:textId="74B0A5F1"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486" w:type="dxa"/>
          </w:tcPr>
          <w:p w14:paraId="4148819A" w14:textId="05FF0207" w:rsidR="001D5E69" w:rsidRPr="005552B5" w:rsidRDefault="001D5E69" w:rsidP="001D5E69">
            <w:pPr>
              <w:spacing w:after="0" w:line="240" w:lineRule="auto"/>
              <w:jc w:val="both"/>
              <w:rPr>
                <w:rStyle w:val="hgkelc"/>
                <w:rFonts w:asciiTheme="minorHAnsi" w:hAnsiTheme="minorHAnsi" w:cstheme="minorHAnsi"/>
                <w:sz w:val="20"/>
                <w:szCs w:val="20"/>
              </w:rPr>
            </w:pPr>
          </w:p>
        </w:tc>
        <w:tc>
          <w:tcPr>
            <w:tcW w:w="3486" w:type="dxa"/>
          </w:tcPr>
          <w:p w14:paraId="15A0BA27" w14:textId="65AD9428"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Należałoby rozważyć wymóg dłuższego okresu trwałości projektu, wobec natury urządzeń i ich kluczowej roli w elektryfikacji transportu (zwłaszcza w sieci TEN</w:t>
            </w:r>
            <w:r w:rsidRPr="005552B5">
              <w:rPr>
                <w:rStyle w:val="hgkelc"/>
                <w:rFonts w:asciiTheme="minorHAnsi" w:hAnsiTheme="minorHAnsi" w:cstheme="minorHAnsi"/>
                <w:sz w:val="20"/>
                <w:szCs w:val="20"/>
              </w:rPr>
              <w:noBreakHyphen/>
              <w:t>T)</w:t>
            </w:r>
          </w:p>
        </w:tc>
        <w:tc>
          <w:tcPr>
            <w:tcW w:w="3253" w:type="dxa"/>
          </w:tcPr>
          <w:p w14:paraId="52122F67" w14:textId="76EE23DD" w:rsidR="001D5E69" w:rsidRPr="005552B5" w:rsidRDefault="001D5E69" w:rsidP="001D5E69">
            <w:pPr>
              <w:spacing w:after="0" w:line="240" w:lineRule="auto"/>
              <w:jc w:val="both"/>
              <w:rPr>
                <w:rStyle w:val="hgkelc"/>
                <w:rFonts w:asciiTheme="minorHAnsi" w:hAnsiTheme="minorHAnsi" w:cstheme="minorHAnsi"/>
                <w:sz w:val="20"/>
                <w:szCs w:val="20"/>
              </w:rPr>
            </w:pPr>
            <w:r w:rsidRPr="005552B5">
              <w:rPr>
                <w:rStyle w:val="hgkelc"/>
                <w:rFonts w:asciiTheme="minorHAnsi" w:hAnsiTheme="minorHAnsi" w:cstheme="minorHAnsi"/>
                <w:sz w:val="20"/>
                <w:szCs w:val="20"/>
              </w:rPr>
              <w:t>W toku konsultacji społecznych przedstawiciele sektora postulowali skrócenie okresu trwałości do 3 lat. Pozostawiliśmy 5 lat jako standard stosowany przez NFOŚiGW w podobnych programach wsparcia, w tym ramach Polityki Spójności UE.</w:t>
            </w:r>
          </w:p>
        </w:tc>
      </w:tr>
    </w:tbl>
    <w:p w14:paraId="3CA3F111" w14:textId="77777777" w:rsidR="00633223" w:rsidRPr="005552B5" w:rsidRDefault="00633223" w:rsidP="002355A3">
      <w:pPr>
        <w:spacing w:after="0" w:line="240" w:lineRule="auto"/>
        <w:jc w:val="both"/>
        <w:rPr>
          <w:rFonts w:asciiTheme="minorHAnsi" w:hAnsiTheme="minorHAnsi" w:cstheme="minorHAnsi"/>
          <w:sz w:val="20"/>
          <w:szCs w:val="20"/>
        </w:rPr>
      </w:pPr>
    </w:p>
    <w:sectPr w:rsidR="00633223" w:rsidRPr="005552B5" w:rsidSect="00667247">
      <w:footerReference w:type="even" r:id="rId8"/>
      <w:footerReference w:type="default" r:id="rId9"/>
      <w:headerReference w:type="first" r:id="rId10"/>
      <w:footerReference w:type="first" r:id="rId11"/>
      <w:pgSz w:w="16838" w:h="11906" w:orient="landscape" w:code="9"/>
      <w:pgMar w:top="720"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001AA" w14:textId="77777777" w:rsidR="00667247" w:rsidRDefault="00667247">
      <w:pPr>
        <w:spacing w:after="0" w:line="240" w:lineRule="auto"/>
      </w:pPr>
      <w:r>
        <w:separator/>
      </w:r>
    </w:p>
  </w:endnote>
  <w:endnote w:type="continuationSeparator" w:id="0">
    <w:p w14:paraId="371D054C" w14:textId="77777777" w:rsidR="00667247" w:rsidRDefault="00667247">
      <w:pPr>
        <w:spacing w:after="0" w:line="240" w:lineRule="auto"/>
      </w:pPr>
      <w:r>
        <w:continuationSeparator/>
      </w:r>
    </w:p>
  </w:endnote>
  <w:endnote w:type="continuationNotice" w:id="1">
    <w:p w14:paraId="77D63612" w14:textId="77777777" w:rsidR="00667247" w:rsidRDefault="00667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E152B" w14:textId="77777777" w:rsidR="00C83405" w:rsidRDefault="00C83405" w:rsidP="00987F1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w:t>
    </w:r>
    <w:r>
      <w:rPr>
        <w:rStyle w:val="Numerstrony"/>
      </w:rPr>
      <w:fldChar w:fldCharType="end"/>
    </w:r>
  </w:p>
  <w:p w14:paraId="5C7ECBB7" w14:textId="77777777" w:rsidR="00C83405" w:rsidRDefault="00C83405" w:rsidP="00987F1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6914E" w14:textId="711C6633" w:rsidR="00C83405" w:rsidRPr="00EC0A61" w:rsidRDefault="00C83405" w:rsidP="00EC0A61">
    <w:pPr>
      <w:pStyle w:val="Stopka"/>
      <w:tabs>
        <w:tab w:val="clear" w:pos="4536"/>
        <w:tab w:val="clear" w:pos="9072"/>
        <w:tab w:val="right" w:pos="14004"/>
      </w:tabs>
      <w:rPr>
        <w:rFonts w:ascii="Cambria" w:hAnsi="Cambria"/>
      </w:rPr>
    </w:pPr>
    <w:r>
      <w:rPr>
        <w:rFonts w:ascii="Cambria" w:hAnsi="Cambria"/>
      </w:rPr>
      <w:tab/>
    </w:r>
    <w:r w:rsidRPr="00EC0A61">
      <w:rPr>
        <w:rFonts w:ascii="Cambria" w:hAnsi="Cambria"/>
      </w:rPr>
      <w:t xml:space="preserve"> </w:t>
    </w:r>
    <w:r>
      <w:fldChar w:fldCharType="begin"/>
    </w:r>
    <w:r>
      <w:instrText>PAGE   \* MERGEFORMAT</w:instrText>
    </w:r>
    <w:r>
      <w:fldChar w:fldCharType="separate"/>
    </w:r>
    <w:r w:rsidR="00D07CE1" w:rsidRPr="00D07CE1">
      <w:rPr>
        <w:rFonts w:ascii="Cambria" w:hAnsi="Cambria"/>
        <w:noProof/>
      </w:rPr>
      <w:t>49</w:t>
    </w:r>
    <w:r>
      <w:fldChar w:fldCharType="end"/>
    </w:r>
  </w:p>
  <w:p w14:paraId="1961214C" w14:textId="77777777" w:rsidR="00C83405" w:rsidRPr="00CD18E2" w:rsidRDefault="00C83405" w:rsidP="00987F10">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B52C2" w14:textId="77777777" w:rsidR="00C83405" w:rsidRPr="00A92FD3" w:rsidRDefault="00C83405" w:rsidP="00A92FD3">
    <w:pPr>
      <w:pStyle w:val="Stopka"/>
      <w:tabs>
        <w:tab w:val="clear" w:pos="4536"/>
        <w:tab w:val="clear" w:pos="9072"/>
        <w:tab w:val="right" w:pos="14004"/>
      </w:tabs>
      <w:rPr>
        <w:rFonts w:ascii="Calibri" w:hAnsi="Calibri" w:cs="Calibri"/>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353F2" w14:textId="77777777" w:rsidR="00667247" w:rsidRDefault="00667247">
      <w:pPr>
        <w:spacing w:after="0" w:line="240" w:lineRule="auto"/>
      </w:pPr>
      <w:r>
        <w:separator/>
      </w:r>
    </w:p>
  </w:footnote>
  <w:footnote w:type="continuationSeparator" w:id="0">
    <w:p w14:paraId="7BB338F4" w14:textId="77777777" w:rsidR="00667247" w:rsidRDefault="00667247">
      <w:pPr>
        <w:spacing w:after="0" w:line="240" w:lineRule="auto"/>
      </w:pPr>
      <w:r>
        <w:continuationSeparator/>
      </w:r>
    </w:p>
  </w:footnote>
  <w:footnote w:type="continuationNotice" w:id="1">
    <w:p w14:paraId="0F109EA1" w14:textId="77777777" w:rsidR="00667247" w:rsidRDefault="00667247">
      <w:pPr>
        <w:spacing w:after="0" w:line="240" w:lineRule="auto"/>
      </w:pPr>
    </w:p>
  </w:footnote>
  <w:footnote w:id="2">
    <w:p w14:paraId="0DE897E7" w14:textId="77777777" w:rsidR="00C83405" w:rsidRDefault="00C83405" w:rsidP="00E22EE8">
      <w:pPr>
        <w:pStyle w:val="Tekstprzypisudolnego"/>
      </w:pPr>
      <w:bookmarkStart w:id="0" w:name="_Hlk157682276"/>
      <w:r w:rsidRPr="00C20151">
        <w:rPr>
          <w:rStyle w:val="Odwoanieprzypisudolnego"/>
          <w:rFonts w:asciiTheme="minorHAnsi" w:hAnsiTheme="minorHAnsi" w:cstheme="minorHAnsi"/>
        </w:rPr>
        <w:footnoteRef/>
      </w:r>
      <w:r w:rsidRPr="00C20151">
        <w:rPr>
          <w:rFonts w:asciiTheme="minorHAnsi" w:hAnsiTheme="minorHAnsi" w:cstheme="minorHAnsi"/>
        </w:rPr>
        <w:t xml:space="preserve"> </w:t>
      </w:r>
      <w:r>
        <w:rPr>
          <w:rFonts w:asciiTheme="minorHAnsi" w:hAnsiTheme="minorHAnsi" w:cstheme="minorHAnsi"/>
        </w:rPr>
        <w:t>O</w:t>
      </w:r>
      <w:r w:rsidRPr="00C20151">
        <w:rPr>
          <w:rFonts w:asciiTheme="minorHAnsi" w:hAnsiTheme="minorHAnsi" w:cstheme="minorHAnsi"/>
        </w:rPr>
        <w:t xml:space="preserve">znacza </w:t>
      </w:r>
      <w:r>
        <w:rPr>
          <w:rFonts w:asciiTheme="minorHAnsi" w:hAnsiTheme="minorHAnsi" w:cstheme="minorHAnsi"/>
        </w:rPr>
        <w:t xml:space="preserve">istniejącą lub będącą w budowie drogę klasy A lub S na </w:t>
      </w:r>
      <w:r w:rsidRPr="00C20151">
        <w:rPr>
          <w:rFonts w:asciiTheme="minorHAnsi" w:hAnsiTheme="minorHAnsi" w:cstheme="minorHAnsi"/>
        </w:rPr>
        <w:t>sie</w:t>
      </w:r>
      <w:r>
        <w:rPr>
          <w:rFonts w:asciiTheme="minorHAnsi" w:hAnsiTheme="minorHAnsi" w:cstheme="minorHAnsi"/>
        </w:rPr>
        <w:t>ci</w:t>
      </w:r>
      <w:r w:rsidRPr="00C20151">
        <w:rPr>
          <w:rFonts w:asciiTheme="minorHAnsi" w:hAnsiTheme="minorHAnsi" w:cstheme="minorHAnsi"/>
        </w:rPr>
        <w:t xml:space="preserve"> </w:t>
      </w:r>
      <w:r>
        <w:rPr>
          <w:rFonts w:asciiTheme="minorHAnsi" w:hAnsiTheme="minorHAnsi" w:cstheme="minorHAnsi"/>
        </w:rPr>
        <w:t>TEN-T, według mapy dostępnej w serwisie TEN-</w:t>
      </w:r>
      <w:proofErr w:type="spellStart"/>
      <w:r>
        <w:rPr>
          <w:rFonts w:asciiTheme="minorHAnsi" w:hAnsiTheme="minorHAnsi" w:cstheme="minorHAnsi"/>
        </w:rPr>
        <w:t>Tec</w:t>
      </w:r>
      <w:proofErr w:type="spellEnd"/>
      <w:r>
        <w:rPr>
          <w:rFonts w:asciiTheme="minorHAnsi" w:hAnsiTheme="minorHAnsi" w:cstheme="minorHAnsi"/>
        </w:rPr>
        <w:t xml:space="preserve"> uzgodnionej w podejściu ogólnym Rady ST 15058/22 (</w:t>
      </w:r>
      <w:hyperlink r:id="rId1" w:history="1">
        <w:r w:rsidRPr="00F2322C">
          <w:rPr>
            <w:rStyle w:val="Hipercze"/>
            <w:rFonts w:asciiTheme="minorHAnsi" w:hAnsiTheme="minorHAnsi" w:cstheme="minorHAnsi"/>
          </w:rPr>
          <w:t>https://ec.europa.eu/transport/infrastructure/tentec/tentec-portal/map/maps.html</w:t>
        </w:r>
      </w:hyperlink>
      <w:r>
        <w:rPr>
          <w:rFonts w:asciiTheme="minorHAnsi" w:hAnsiTheme="minorHAnsi" w:cstheme="minorHAnsi"/>
        </w:rPr>
        <w:t>).</w:t>
      </w:r>
      <w:bookmarkEnd w:id="0"/>
    </w:p>
  </w:footnote>
  <w:footnote w:id="3">
    <w:p w14:paraId="46887BD1" w14:textId="77777777" w:rsidR="00C83405" w:rsidRDefault="00C83405" w:rsidP="00FD28CB">
      <w:pPr>
        <w:pStyle w:val="Tekstprzypisudolnego"/>
      </w:pPr>
      <w:r>
        <w:rPr>
          <w:rStyle w:val="Odwoanieprzypisudolnego"/>
          <w:rFonts w:asciiTheme="minorHAnsi" w:hAnsiTheme="minorHAnsi" w:cstheme="minorHAnsi"/>
        </w:rPr>
        <w:footnoteRef/>
      </w:r>
      <w:r>
        <w:rPr>
          <w:rFonts w:asciiTheme="minorHAnsi" w:hAnsiTheme="minorHAnsi" w:cstheme="minorHAnsi"/>
        </w:rPr>
        <w:t xml:space="preserve"> Oznacza sieć bazową w rozumieniu art. 38 rozporządzenia (UE) nr 1315/2013</w:t>
      </w:r>
    </w:p>
  </w:footnote>
  <w:footnote w:id="4">
    <w:p w14:paraId="6FDA7688" w14:textId="77777777" w:rsidR="00C83405" w:rsidRDefault="00C83405" w:rsidP="00FD28CB">
      <w:pPr>
        <w:pStyle w:val="Tekstprzypisudolnego"/>
      </w:pPr>
      <w:r>
        <w:rPr>
          <w:rStyle w:val="Odwoanieprzypisudolnego"/>
          <w:rFonts w:asciiTheme="minorHAnsi" w:hAnsiTheme="minorHAnsi" w:cstheme="minorHAnsi"/>
        </w:rPr>
        <w:footnoteRef/>
      </w:r>
      <w:r>
        <w:rPr>
          <w:rFonts w:asciiTheme="minorHAnsi" w:hAnsiTheme="minorHAnsi" w:cstheme="minorHAnsi"/>
        </w:rPr>
        <w:t xml:space="preserve"> Oznacza sieć bazową w rozumieniu art. 38 rozporządzenia (UE) nr 1315/2013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5022" w14:textId="77777777" w:rsidR="00C83405" w:rsidRPr="00F02F66" w:rsidRDefault="00C83405" w:rsidP="00EC0A61">
    <w:pPr>
      <w:pStyle w:val="Nagwek"/>
      <w:spacing w:after="0" w:line="240" w:lineRule="auto"/>
      <w:jc w:val="center"/>
      <w:rPr>
        <w:rFonts w:cs="Calibri"/>
        <w:b/>
        <w:lang w:val="pl-PL"/>
      </w:rPr>
    </w:pPr>
  </w:p>
  <w:p w14:paraId="12B6D1A4" w14:textId="77777777" w:rsidR="00C83405" w:rsidRDefault="00C83405" w:rsidP="00EC0A61">
    <w:pPr>
      <w:pStyle w:val="Nagwek"/>
      <w:spacing w:after="0" w:line="240" w:lineRule="auto"/>
      <w:jc w:val="center"/>
      <w:rPr>
        <w:rFonts w:ascii="Arial" w:hAnsi="Arial" w:cs="Arial"/>
        <w:b/>
        <w:sz w:val="20"/>
        <w:lang w:val="pl-PL"/>
      </w:rPr>
    </w:pPr>
  </w:p>
  <w:p w14:paraId="45DBCE8A" w14:textId="77777777" w:rsidR="00C83405" w:rsidRPr="00EC0A61" w:rsidRDefault="00C83405" w:rsidP="00EC0A61">
    <w:pPr>
      <w:pStyle w:val="Nagwek"/>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6D4E"/>
    <w:multiLevelType w:val="hybridMultilevel"/>
    <w:tmpl w:val="31E6D14C"/>
    <w:lvl w:ilvl="0" w:tplc="CD5E3732">
      <w:start w:val="1"/>
      <w:numFmt w:val="decimal"/>
      <w:lvlText w:val="%1."/>
      <w:lvlJc w:val="left"/>
      <w:pPr>
        <w:ind w:left="720" w:hanging="360"/>
      </w:pPr>
    </w:lvl>
    <w:lvl w:ilvl="1" w:tplc="D7602C54">
      <w:start w:val="1"/>
      <w:numFmt w:val="lowerLetter"/>
      <w:lvlText w:val="%2."/>
      <w:lvlJc w:val="left"/>
      <w:pPr>
        <w:ind w:left="1440" w:hanging="360"/>
      </w:pPr>
    </w:lvl>
    <w:lvl w:ilvl="2" w:tplc="03BA58D4">
      <w:start w:val="1"/>
      <w:numFmt w:val="lowerRoman"/>
      <w:lvlText w:val="%3."/>
      <w:lvlJc w:val="right"/>
      <w:pPr>
        <w:ind w:left="2160" w:hanging="180"/>
      </w:pPr>
    </w:lvl>
    <w:lvl w:ilvl="3" w:tplc="18A02706">
      <w:start w:val="1"/>
      <w:numFmt w:val="decimal"/>
      <w:lvlText w:val="%4."/>
      <w:lvlJc w:val="left"/>
      <w:pPr>
        <w:ind w:left="2880" w:hanging="360"/>
      </w:pPr>
    </w:lvl>
    <w:lvl w:ilvl="4" w:tplc="5D424832">
      <w:start w:val="1"/>
      <w:numFmt w:val="lowerLetter"/>
      <w:lvlText w:val="%5."/>
      <w:lvlJc w:val="left"/>
      <w:pPr>
        <w:ind w:left="3600" w:hanging="360"/>
      </w:pPr>
    </w:lvl>
    <w:lvl w:ilvl="5" w:tplc="01BAA958">
      <w:start w:val="1"/>
      <w:numFmt w:val="lowerRoman"/>
      <w:lvlText w:val="%6."/>
      <w:lvlJc w:val="right"/>
      <w:pPr>
        <w:ind w:left="4320" w:hanging="180"/>
      </w:pPr>
    </w:lvl>
    <w:lvl w:ilvl="6" w:tplc="336E85C6">
      <w:start w:val="1"/>
      <w:numFmt w:val="decimal"/>
      <w:lvlText w:val="%7."/>
      <w:lvlJc w:val="left"/>
      <w:pPr>
        <w:ind w:left="5040" w:hanging="360"/>
      </w:pPr>
    </w:lvl>
    <w:lvl w:ilvl="7" w:tplc="7CCAE9B8">
      <w:start w:val="1"/>
      <w:numFmt w:val="lowerLetter"/>
      <w:lvlText w:val="%8."/>
      <w:lvlJc w:val="left"/>
      <w:pPr>
        <w:ind w:left="5760" w:hanging="360"/>
      </w:pPr>
    </w:lvl>
    <w:lvl w:ilvl="8" w:tplc="D03ADFA4">
      <w:start w:val="1"/>
      <w:numFmt w:val="lowerRoman"/>
      <w:lvlText w:val="%9."/>
      <w:lvlJc w:val="right"/>
      <w:pPr>
        <w:ind w:left="6480" w:hanging="180"/>
      </w:pPr>
    </w:lvl>
  </w:abstractNum>
  <w:abstractNum w:abstractNumId="1" w15:restartNumberingAfterBreak="0">
    <w:nsid w:val="13554DBA"/>
    <w:multiLevelType w:val="hybridMultilevel"/>
    <w:tmpl w:val="C7024A90"/>
    <w:lvl w:ilvl="0" w:tplc="DFD46ED2">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5E051B"/>
    <w:multiLevelType w:val="hybridMultilevel"/>
    <w:tmpl w:val="01E63FD8"/>
    <w:lvl w:ilvl="0" w:tplc="04150001">
      <w:start w:val="1"/>
      <w:numFmt w:val="bullet"/>
      <w:lvlText w:val=""/>
      <w:lvlJc w:val="left"/>
      <w:pPr>
        <w:ind w:left="1032" w:hanging="360"/>
      </w:pPr>
      <w:rPr>
        <w:rFonts w:ascii="Symbol" w:hAnsi="Symbol" w:hint="default"/>
      </w:rPr>
    </w:lvl>
    <w:lvl w:ilvl="1" w:tplc="04150003" w:tentative="1">
      <w:start w:val="1"/>
      <w:numFmt w:val="bullet"/>
      <w:lvlText w:val="o"/>
      <w:lvlJc w:val="left"/>
      <w:pPr>
        <w:ind w:left="1752" w:hanging="360"/>
      </w:pPr>
      <w:rPr>
        <w:rFonts w:ascii="Courier New" w:hAnsi="Courier New" w:cs="Courier New" w:hint="default"/>
      </w:rPr>
    </w:lvl>
    <w:lvl w:ilvl="2" w:tplc="04150005" w:tentative="1">
      <w:start w:val="1"/>
      <w:numFmt w:val="bullet"/>
      <w:lvlText w:val=""/>
      <w:lvlJc w:val="left"/>
      <w:pPr>
        <w:ind w:left="2472" w:hanging="360"/>
      </w:pPr>
      <w:rPr>
        <w:rFonts w:ascii="Wingdings" w:hAnsi="Wingdings" w:hint="default"/>
      </w:rPr>
    </w:lvl>
    <w:lvl w:ilvl="3" w:tplc="04150001" w:tentative="1">
      <w:start w:val="1"/>
      <w:numFmt w:val="bullet"/>
      <w:lvlText w:val=""/>
      <w:lvlJc w:val="left"/>
      <w:pPr>
        <w:ind w:left="3192" w:hanging="360"/>
      </w:pPr>
      <w:rPr>
        <w:rFonts w:ascii="Symbol" w:hAnsi="Symbol" w:hint="default"/>
      </w:rPr>
    </w:lvl>
    <w:lvl w:ilvl="4" w:tplc="04150003" w:tentative="1">
      <w:start w:val="1"/>
      <w:numFmt w:val="bullet"/>
      <w:lvlText w:val="o"/>
      <w:lvlJc w:val="left"/>
      <w:pPr>
        <w:ind w:left="3912" w:hanging="360"/>
      </w:pPr>
      <w:rPr>
        <w:rFonts w:ascii="Courier New" w:hAnsi="Courier New" w:cs="Courier New" w:hint="default"/>
      </w:rPr>
    </w:lvl>
    <w:lvl w:ilvl="5" w:tplc="04150005" w:tentative="1">
      <w:start w:val="1"/>
      <w:numFmt w:val="bullet"/>
      <w:lvlText w:val=""/>
      <w:lvlJc w:val="left"/>
      <w:pPr>
        <w:ind w:left="4632" w:hanging="360"/>
      </w:pPr>
      <w:rPr>
        <w:rFonts w:ascii="Wingdings" w:hAnsi="Wingdings" w:hint="default"/>
      </w:rPr>
    </w:lvl>
    <w:lvl w:ilvl="6" w:tplc="04150001" w:tentative="1">
      <w:start w:val="1"/>
      <w:numFmt w:val="bullet"/>
      <w:lvlText w:val=""/>
      <w:lvlJc w:val="left"/>
      <w:pPr>
        <w:ind w:left="5352" w:hanging="360"/>
      </w:pPr>
      <w:rPr>
        <w:rFonts w:ascii="Symbol" w:hAnsi="Symbol" w:hint="default"/>
      </w:rPr>
    </w:lvl>
    <w:lvl w:ilvl="7" w:tplc="04150003" w:tentative="1">
      <w:start w:val="1"/>
      <w:numFmt w:val="bullet"/>
      <w:lvlText w:val="o"/>
      <w:lvlJc w:val="left"/>
      <w:pPr>
        <w:ind w:left="6072" w:hanging="360"/>
      </w:pPr>
      <w:rPr>
        <w:rFonts w:ascii="Courier New" w:hAnsi="Courier New" w:cs="Courier New" w:hint="default"/>
      </w:rPr>
    </w:lvl>
    <w:lvl w:ilvl="8" w:tplc="04150005" w:tentative="1">
      <w:start w:val="1"/>
      <w:numFmt w:val="bullet"/>
      <w:lvlText w:val=""/>
      <w:lvlJc w:val="left"/>
      <w:pPr>
        <w:ind w:left="6792" w:hanging="360"/>
      </w:pPr>
      <w:rPr>
        <w:rFonts w:ascii="Wingdings" w:hAnsi="Wingdings" w:hint="default"/>
      </w:rPr>
    </w:lvl>
  </w:abstractNum>
  <w:abstractNum w:abstractNumId="3" w15:restartNumberingAfterBreak="0">
    <w:nsid w:val="23B45A89"/>
    <w:multiLevelType w:val="hybridMultilevel"/>
    <w:tmpl w:val="88127C36"/>
    <w:lvl w:ilvl="0" w:tplc="6656530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6F70D9"/>
    <w:multiLevelType w:val="hybridMultilevel"/>
    <w:tmpl w:val="01768D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7F521F4"/>
    <w:multiLevelType w:val="hybridMultilevel"/>
    <w:tmpl w:val="A5844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2358BC"/>
    <w:multiLevelType w:val="hybridMultilevel"/>
    <w:tmpl w:val="EC60CF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21E5E38"/>
    <w:multiLevelType w:val="hybridMultilevel"/>
    <w:tmpl w:val="C8BA3C4E"/>
    <w:lvl w:ilvl="0" w:tplc="B652FB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1C091D"/>
    <w:multiLevelType w:val="hybridMultilevel"/>
    <w:tmpl w:val="A878A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64B6866"/>
    <w:multiLevelType w:val="hybridMultilevel"/>
    <w:tmpl w:val="9E56B8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423E9E"/>
    <w:multiLevelType w:val="hybridMultilevel"/>
    <w:tmpl w:val="77AA2F60"/>
    <w:lvl w:ilvl="0" w:tplc="D9A4F84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1366BF"/>
    <w:multiLevelType w:val="hybridMultilevel"/>
    <w:tmpl w:val="D33ADB96"/>
    <w:lvl w:ilvl="0" w:tplc="04150011">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E95E6D"/>
    <w:multiLevelType w:val="hybridMultilevel"/>
    <w:tmpl w:val="F1285052"/>
    <w:lvl w:ilvl="0" w:tplc="F5B0F98E">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735287"/>
    <w:multiLevelType w:val="hybridMultilevel"/>
    <w:tmpl w:val="7D3247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6E4FB0"/>
    <w:multiLevelType w:val="hybridMultilevel"/>
    <w:tmpl w:val="C36E066A"/>
    <w:lvl w:ilvl="0" w:tplc="1DFA8552">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15:restartNumberingAfterBreak="0">
    <w:nsid w:val="5FA766FE"/>
    <w:multiLevelType w:val="hybridMultilevel"/>
    <w:tmpl w:val="CBA070AC"/>
    <w:lvl w:ilvl="0" w:tplc="DA9C32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FB61E82"/>
    <w:multiLevelType w:val="hybridMultilevel"/>
    <w:tmpl w:val="240C49C2"/>
    <w:lvl w:ilvl="0" w:tplc="D8FA832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EF05C7"/>
    <w:multiLevelType w:val="hybridMultilevel"/>
    <w:tmpl w:val="A8B47876"/>
    <w:lvl w:ilvl="0" w:tplc="1578DD98">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18" w15:restartNumberingAfterBreak="0">
    <w:nsid w:val="695D58A3"/>
    <w:multiLevelType w:val="hybridMultilevel"/>
    <w:tmpl w:val="43A0DA42"/>
    <w:lvl w:ilvl="0" w:tplc="CECC27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6F676F"/>
    <w:multiLevelType w:val="hybridMultilevel"/>
    <w:tmpl w:val="D43A65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1687CB4"/>
    <w:multiLevelType w:val="hybridMultilevel"/>
    <w:tmpl w:val="3830D10A"/>
    <w:lvl w:ilvl="0" w:tplc="279AC33E">
      <w:start w:val="1"/>
      <w:numFmt w:val="low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8400874"/>
    <w:multiLevelType w:val="hybridMultilevel"/>
    <w:tmpl w:val="40D244F2"/>
    <w:lvl w:ilvl="0" w:tplc="0408164E">
      <w:start w:val="1"/>
      <w:numFmt w:val="lowerLetter"/>
      <w:lvlText w:val="%1)"/>
      <w:lvlJc w:val="left"/>
      <w:pPr>
        <w:ind w:left="2097" w:hanging="360"/>
      </w:pPr>
      <w:rPr>
        <w:b w:val="0"/>
      </w:rPr>
    </w:lvl>
    <w:lvl w:ilvl="1" w:tplc="04150001">
      <w:start w:val="1"/>
      <w:numFmt w:val="bullet"/>
      <w:lvlText w:val=""/>
      <w:lvlJc w:val="left"/>
      <w:pPr>
        <w:ind w:left="2877" w:hanging="420"/>
      </w:pPr>
      <w:rPr>
        <w:rFonts w:ascii="Symbol" w:hAnsi="Symbol" w:hint="default"/>
      </w:rPr>
    </w:lvl>
    <w:lvl w:ilvl="2" w:tplc="8EEC5A3A">
      <w:start w:val="1"/>
      <w:numFmt w:val="decimal"/>
      <w:lvlText w:val="%3)"/>
      <w:lvlJc w:val="left"/>
      <w:pPr>
        <w:ind w:left="3717" w:hanging="360"/>
      </w:pPr>
      <w:rPr>
        <w:rFonts w:hint="default"/>
      </w:rPr>
    </w:lvl>
    <w:lvl w:ilvl="3" w:tplc="0415000F" w:tentative="1">
      <w:start w:val="1"/>
      <w:numFmt w:val="decimal"/>
      <w:lvlText w:val="%4."/>
      <w:lvlJc w:val="left"/>
      <w:pPr>
        <w:ind w:left="4257" w:hanging="360"/>
      </w:pPr>
    </w:lvl>
    <w:lvl w:ilvl="4" w:tplc="04150019" w:tentative="1">
      <w:start w:val="1"/>
      <w:numFmt w:val="lowerLetter"/>
      <w:lvlText w:val="%5."/>
      <w:lvlJc w:val="left"/>
      <w:pPr>
        <w:ind w:left="4977" w:hanging="360"/>
      </w:pPr>
    </w:lvl>
    <w:lvl w:ilvl="5" w:tplc="0415001B" w:tentative="1">
      <w:start w:val="1"/>
      <w:numFmt w:val="lowerRoman"/>
      <w:lvlText w:val="%6."/>
      <w:lvlJc w:val="right"/>
      <w:pPr>
        <w:ind w:left="5697" w:hanging="180"/>
      </w:pPr>
    </w:lvl>
    <w:lvl w:ilvl="6" w:tplc="0415000F" w:tentative="1">
      <w:start w:val="1"/>
      <w:numFmt w:val="decimal"/>
      <w:lvlText w:val="%7."/>
      <w:lvlJc w:val="left"/>
      <w:pPr>
        <w:ind w:left="6417" w:hanging="360"/>
      </w:pPr>
    </w:lvl>
    <w:lvl w:ilvl="7" w:tplc="04150019" w:tentative="1">
      <w:start w:val="1"/>
      <w:numFmt w:val="lowerLetter"/>
      <w:lvlText w:val="%8."/>
      <w:lvlJc w:val="left"/>
      <w:pPr>
        <w:ind w:left="7137" w:hanging="360"/>
      </w:pPr>
    </w:lvl>
    <w:lvl w:ilvl="8" w:tplc="0415001B" w:tentative="1">
      <w:start w:val="1"/>
      <w:numFmt w:val="lowerRoman"/>
      <w:lvlText w:val="%9."/>
      <w:lvlJc w:val="right"/>
      <w:pPr>
        <w:ind w:left="7857" w:hanging="180"/>
      </w:pPr>
    </w:lvl>
  </w:abstractNum>
  <w:abstractNum w:abstractNumId="22" w15:restartNumberingAfterBreak="0">
    <w:nsid w:val="78A77ED6"/>
    <w:multiLevelType w:val="hybridMultilevel"/>
    <w:tmpl w:val="3DE85C2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7C7E5131"/>
    <w:multiLevelType w:val="hybridMultilevel"/>
    <w:tmpl w:val="94AC049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C86004A"/>
    <w:multiLevelType w:val="hybridMultilevel"/>
    <w:tmpl w:val="6AB62F5E"/>
    <w:lvl w:ilvl="0" w:tplc="D908897C">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99555292">
    <w:abstractNumId w:val="22"/>
  </w:num>
  <w:num w:numId="2" w16cid:durableId="359933107">
    <w:abstractNumId w:val="24"/>
  </w:num>
  <w:num w:numId="3" w16cid:durableId="731585763">
    <w:abstractNumId w:val="1"/>
  </w:num>
  <w:num w:numId="4" w16cid:durableId="452211994">
    <w:abstractNumId w:val="10"/>
  </w:num>
  <w:num w:numId="5" w16cid:durableId="293758887">
    <w:abstractNumId w:val="16"/>
  </w:num>
  <w:num w:numId="6" w16cid:durableId="1040011095">
    <w:abstractNumId w:val="5"/>
  </w:num>
  <w:num w:numId="7" w16cid:durableId="1480612396">
    <w:abstractNumId w:val="7"/>
  </w:num>
  <w:num w:numId="8" w16cid:durableId="595092831">
    <w:abstractNumId w:val="0"/>
  </w:num>
  <w:num w:numId="9" w16cid:durableId="1152018880">
    <w:abstractNumId w:val="15"/>
  </w:num>
  <w:num w:numId="10" w16cid:durableId="839006974">
    <w:abstractNumId w:val="12"/>
  </w:num>
  <w:num w:numId="11" w16cid:durableId="1473601309">
    <w:abstractNumId w:val="18"/>
  </w:num>
  <w:num w:numId="12" w16cid:durableId="21029914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3333469">
    <w:abstractNumId w:val="8"/>
  </w:num>
  <w:num w:numId="14" w16cid:durableId="1291521570">
    <w:abstractNumId w:val="14"/>
  </w:num>
  <w:num w:numId="15" w16cid:durableId="1866479818">
    <w:abstractNumId w:val="20"/>
  </w:num>
  <w:num w:numId="16" w16cid:durableId="1103257900">
    <w:abstractNumId w:val="17"/>
  </w:num>
  <w:num w:numId="17" w16cid:durableId="1164128861">
    <w:abstractNumId w:val="13"/>
  </w:num>
  <w:num w:numId="18" w16cid:durableId="1699888975">
    <w:abstractNumId w:val="9"/>
  </w:num>
  <w:num w:numId="19" w16cid:durableId="1154418688">
    <w:abstractNumId w:val="23"/>
  </w:num>
  <w:num w:numId="20" w16cid:durableId="556205678">
    <w:abstractNumId w:val="6"/>
  </w:num>
  <w:num w:numId="21" w16cid:durableId="1625190446">
    <w:abstractNumId w:val="11"/>
  </w:num>
  <w:num w:numId="22" w16cid:durableId="1948655462">
    <w:abstractNumId w:val="3"/>
  </w:num>
  <w:num w:numId="23" w16cid:durableId="1290093849">
    <w:abstractNumId w:val="2"/>
  </w:num>
  <w:num w:numId="24" w16cid:durableId="1848445538">
    <w:abstractNumId w:val="21"/>
  </w:num>
  <w:num w:numId="25" w16cid:durableId="19420291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trackRevisions/>
  <w:documentProtection w:edit="trackedChanges" w:enforcement="1" w:cryptProviderType="rsaAES" w:cryptAlgorithmClass="hash" w:cryptAlgorithmType="typeAny" w:cryptAlgorithmSid="14" w:cryptSpinCount="100000" w:hash="0nDW5CJqvINUEmoDCcF6VOrXkiXyCytpdTZU843BhpA8ElLsnnlluiDM/1miFyDmc11ICH3sGG+F3PVjVAtqUg==" w:salt="sB5sVyno0eKEmw5v4MEcI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BE"/>
    <w:rsid w:val="00000291"/>
    <w:rsid w:val="0000055C"/>
    <w:rsid w:val="000009FA"/>
    <w:rsid w:val="00001139"/>
    <w:rsid w:val="00001AE4"/>
    <w:rsid w:val="0000258E"/>
    <w:rsid w:val="00002EA1"/>
    <w:rsid w:val="000043E3"/>
    <w:rsid w:val="00004E49"/>
    <w:rsid w:val="000052C2"/>
    <w:rsid w:val="00005598"/>
    <w:rsid w:val="000056EB"/>
    <w:rsid w:val="000058D3"/>
    <w:rsid w:val="00006179"/>
    <w:rsid w:val="00006ACB"/>
    <w:rsid w:val="000073EB"/>
    <w:rsid w:val="0000783F"/>
    <w:rsid w:val="00010CB9"/>
    <w:rsid w:val="000130D8"/>
    <w:rsid w:val="00013F56"/>
    <w:rsid w:val="000148D2"/>
    <w:rsid w:val="00014B2C"/>
    <w:rsid w:val="00017107"/>
    <w:rsid w:val="00017A4E"/>
    <w:rsid w:val="00020226"/>
    <w:rsid w:val="00021276"/>
    <w:rsid w:val="000213DA"/>
    <w:rsid w:val="0002157A"/>
    <w:rsid w:val="000216DF"/>
    <w:rsid w:val="000219E0"/>
    <w:rsid w:val="000236BC"/>
    <w:rsid w:val="00023AA0"/>
    <w:rsid w:val="00023C29"/>
    <w:rsid w:val="00024EE6"/>
    <w:rsid w:val="000259D0"/>
    <w:rsid w:val="00026E75"/>
    <w:rsid w:val="00027066"/>
    <w:rsid w:val="000270B5"/>
    <w:rsid w:val="0002714B"/>
    <w:rsid w:val="00027A9F"/>
    <w:rsid w:val="00030E8F"/>
    <w:rsid w:val="00033210"/>
    <w:rsid w:val="00033423"/>
    <w:rsid w:val="00033C44"/>
    <w:rsid w:val="00034475"/>
    <w:rsid w:val="00034C10"/>
    <w:rsid w:val="00035B0A"/>
    <w:rsid w:val="00036772"/>
    <w:rsid w:val="00037C6E"/>
    <w:rsid w:val="0004085A"/>
    <w:rsid w:val="00041635"/>
    <w:rsid w:val="0004222C"/>
    <w:rsid w:val="00044DD5"/>
    <w:rsid w:val="00044E17"/>
    <w:rsid w:val="00045DBF"/>
    <w:rsid w:val="00046716"/>
    <w:rsid w:val="00046CAF"/>
    <w:rsid w:val="00047845"/>
    <w:rsid w:val="000478EB"/>
    <w:rsid w:val="0004798B"/>
    <w:rsid w:val="00050008"/>
    <w:rsid w:val="00050EF6"/>
    <w:rsid w:val="0005352F"/>
    <w:rsid w:val="000538C1"/>
    <w:rsid w:val="00053B39"/>
    <w:rsid w:val="00054500"/>
    <w:rsid w:val="00054FCE"/>
    <w:rsid w:val="00055B60"/>
    <w:rsid w:val="00056698"/>
    <w:rsid w:val="00060F18"/>
    <w:rsid w:val="00061313"/>
    <w:rsid w:val="00061911"/>
    <w:rsid w:val="000619F6"/>
    <w:rsid w:val="000622BC"/>
    <w:rsid w:val="00063AFA"/>
    <w:rsid w:val="00064A10"/>
    <w:rsid w:val="00064C72"/>
    <w:rsid w:val="00064EA5"/>
    <w:rsid w:val="0006693B"/>
    <w:rsid w:val="00067A1B"/>
    <w:rsid w:val="00070D15"/>
    <w:rsid w:val="000716A7"/>
    <w:rsid w:val="00072012"/>
    <w:rsid w:val="000728BD"/>
    <w:rsid w:val="0007462B"/>
    <w:rsid w:val="00077806"/>
    <w:rsid w:val="00077AE3"/>
    <w:rsid w:val="00077FD4"/>
    <w:rsid w:val="0008021B"/>
    <w:rsid w:val="000805E3"/>
    <w:rsid w:val="00081DA9"/>
    <w:rsid w:val="00082038"/>
    <w:rsid w:val="00082D65"/>
    <w:rsid w:val="00083037"/>
    <w:rsid w:val="00084959"/>
    <w:rsid w:val="000857ED"/>
    <w:rsid w:val="00086284"/>
    <w:rsid w:val="00086945"/>
    <w:rsid w:val="0008704A"/>
    <w:rsid w:val="00087431"/>
    <w:rsid w:val="000911A6"/>
    <w:rsid w:val="000929AD"/>
    <w:rsid w:val="000929C4"/>
    <w:rsid w:val="00093B40"/>
    <w:rsid w:val="0009430D"/>
    <w:rsid w:val="00094BC8"/>
    <w:rsid w:val="0009511F"/>
    <w:rsid w:val="00095792"/>
    <w:rsid w:val="000963C2"/>
    <w:rsid w:val="00096825"/>
    <w:rsid w:val="00096B12"/>
    <w:rsid w:val="00097690"/>
    <w:rsid w:val="00097CD3"/>
    <w:rsid w:val="000A0C2C"/>
    <w:rsid w:val="000A1145"/>
    <w:rsid w:val="000A21AD"/>
    <w:rsid w:val="000A24C0"/>
    <w:rsid w:val="000A2BB0"/>
    <w:rsid w:val="000A2E7F"/>
    <w:rsid w:val="000A2EED"/>
    <w:rsid w:val="000A3271"/>
    <w:rsid w:val="000A3978"/>
    <w:rsid w:val="000A4D08"/>
    <w:rsid w:val="000A5E26"/>
    <w:rsid w:val="000A6CD7"/>
    <w:rsid w:val="000A6D3E"/>
    <w:rsid w:val="000A7A61"/>
    <w:rsid w:val="000A7D1F"/>
    <w:rsid w:val="000B0776"/>
    <w:rsid w:val="000B1FC1"/>
    <w:rsid w:val="000B2859"/>
    <w:rsid w:val="000B2D25"/>
    <w:rsid w:val="000B3806"/>
    <w:rsid w:val="000B3BE8"/>
    <w:rsid w:val="000B475D"/>
    <w:rsid w:val="000B4CA0"/>
    <w:rsid w:val="000B581D"/>
    <w:rsid w:val="000B69E6"/>
    <w:rsid w:val="000B713A"/>
    <w:rsid w:val="000B72D0"/>
    <w:rsid w:val="000B7E68"/>
    <w:rsid w:val="000C08C4"/>
    <w:rsid w:val="000C1319"/>
    <w:rsid w:val="000C1348"/>
    <w:rsid w:val="000C1594"/>
    <w:rsid w:val="000C1BA8"/>
    <w:rsid w:val="000C2077"/>
    <w:rsid w:val="000C24CB"/>
    <w:rsid w:val="000C2C33"/>
    <w:rsid w:val="000C326C"/>
    <w:rsid w:val="000C34D2"/>
    <w:rsid w:val="000C42E9"/>
    <w:rsid w:val="000C49C8"/>
    <w:rsid w:val="000C4E9E"/>
    <w:rsid w:val="000C5547"/>
    <w:rsid w:val="000C59E6"/>
    <w:rsid w:val="000C6BD8"/>
    <w:rsid w:val="000C7556"/>
    <w:rsid w:val="000D05AB"/>
    <w:rsid w:val="000D0D6A"/>
    <w:rsid w:val="000D119F"/>
    <w:rsid w:val="000D16DC"/>
    <w:rsid w:val="000D1D48"/>
    <w:rsid w:val="000D1DCF"/>
    <w:rsid w:val="000D218C"/>
    <w:rsid w:val="000D3449"/>
    <w:rsid w:val="000D3A44"/>
    <w:rsid w:val="000D3FB5"/>
    <w:rsid w:val="000D61CD"/>
    <w:rsid w:val="000D6257"/>
    <w:rsid w:val="000D78CC"/>
    <w:rsid w:val="000D7CA4"/>
    <w:rsid w:val="000E1F50"/>
    <w:rsid w:val="000E3020"/>
    <w:rsid w:val="000E46EE"/>
    <w:rsid w:val="000E4FD7"/>
    <w:rsid w:val="000E696A"/>
    <w:rsid w:val="000E75C4"/>
    <w:rsid w:val="000E7BDE"/>
    <w:rsid w:val="000F0DE4"/>
    <w:rsid w:val="000F3957"/>
    <w:rsid w:val="000F495B"/>
    <w:rsid w:val="000F4FED"/>
    <w:rsid w:val="000F5E6E"/>
    <w:rsid w:val="00100568"/>
    <w:rsid w:val="00100F62"/>
    <w:rsid w:val="00101A8D"/>
    <w:rsid w:val="00101E7B"/>
    <w:rsid w:val="001024F7"/>
    <w:rsid w:val="00104577"/>
    <w:rsid w:val="00104F3F"/>
    <w:rsid w:val="00105F3E"/>
    <w:rsid w:val="00106FB4"/>
    <w:rsid w:val="00112249"/>
    <w:rsid w:val="00112C89"/>
    <w:rsid w:val="00113DBE"/>
    <w:rsid w:val="001143B9"/>
    <w:rsid w:val="001154DE"/>
    <w:rsid w:val="001157EF"/>
    <w:rsid w:val="00115A34"/>
    <w:rsid w:val="00115DFB"/>
    <w:rsid w:val="00116AF0"/>
    <w:rsid w:val="001174F8"/>
    <w:rsid w:val="00120480"/>
    <w:rsid w:val="00121E4B"/>
    <w:rsid w:val="00123A8C"/>
    <w:rsid w:val="00124C5A"/>
    <w:rsid w:val="0012547C"/>
    <w:rsid w:val="00125571"/>
    <w:rsid w:val="00127943"/>
    <w:rsid w:val="00127975"/>
    <w:rsid w:val="00127FA7"/>
    <w:rsid w:val="001301BC"/>
    <w:rsid w:val="0013100B"/>
    <w:rsid w:val="00133BEB"/>
    <w:rsid w:val="00134441"/>
    <w:rsid w:val="00134921"/>
    <w:rsid w:val="0013496D"/>
    <w:rsid w:val="00134F3E"/>
    <w:rsid w:val="001356A1"/>
    <w:rsid w:val="001357EF"/>
    <w:rsid w:val="00136087"/>
    <w:rsid w:val="00136A70"/>
    <w:rsid w:val="00136ADA"/>
    <w:rsid w:val="00137001"/>
    <w:rsid w:val="00141057"/>
    <w:rsid w:val="00142BDB"/>
    <w:rsid w:val="001438CE"/>
    <w:rsid w:val="001438F7"/>
    <w:rsid w:val="00143BD2"/>
    <w:rsid w:val="001440CD"/>
    <w:rsid w:val="001441FD"/>
    <w:rsid w:val="00145AA3"/>
    <w:rsid w:val="00145CBB"/>
    <w:rsid w:val="00145D2B"/>
    <w:rsid w:val="0014662D"/>
    <w:rsid w:val="00146FB5"/>
    <w:rsid w:val="00147F00"/>
    <w:rsid w:val="00150564"/>
    <w:rsid w:val="001517A9"/>
    <w:rsid w:val="001520C9"/>
    <w:rsid w:val="001523DE"/>
    <w:rsid w:val="0015406A"/>
    <w:rsid w:val="00154A07"/>
    <w:rsid w:val="00156DA3"/>
    <w:rsid w:val="0015789C"/>
    <w:rsid w:val="00157F3E"/>
    <w:rsid w:val="00160F9B"/>
    <w:rsid w:val="00161DE8"/>
    <w:rsid w:val="00162155"/>
    <w:rsid w:val="00162A0E"/>
    <w:rsid w:val="00162D8A"/>
    <w:rsid w:val="00163277"/>
    <w:rsid w:val="001635A2"/>
    <w:rsid w:val="00163823"/>
    <w:rsid w:val="00163CFA"/>
    <w:rsid w:val="0016441F"/>
    <w:rsid w:val="00164A56"/>
    <w:rsid w:val="00165839"/>
    <w:rsid w:val="0016594A"/>
    <w:rsid w:val="00167225"/>
    <w:rsid w:val="00170BCF"/>
    <w:rsid w:val="00172892"/>
    <w:rsid w:val="001729F2"/>
    <w:rsid w:val="001739B8"/>
    <w:rsid w:val="00173E43"/>
    <w:rsid w:val="001753FA"/>
    <w:rsid w:val="00175AFD"/>
    <w:rsid w:val="00176249"/>
    <w:rsid w:val="0018071F"/>
    <w:rsid w:val="0018111E"/>
    <w:rsid w:val="0018195A"/>
    <w:rsid w:val="00181E78"/>
    <w:rsid w:val="00182139"/>
    <w:rsid w:val="00183F46"/>
    <w:rsid w:val="00184E17"/>
    <w:rsid w:val="00185035"/>
    <w:rsid w:val="001851A1"/>
    <w:rsid w:val="00185D77"/>
    <w:rsid w:val="00185ED0"/>
    <w:rsid w:val="0018632A"/>
    <w:rsid w:val="0018660E"/>
    <w:rsid w:val="001866A4"/>
    <w:rsid w:val="001868F3"/>
    <w:rsid w:val="00186A5A"/>
    <w:rsid w:val="00186D22"/>
    <w:rsid w:val="001876EF"/>
    <w:rsid w:val="0019003D"/>
    <w:rsid w:val="00191088"/>
    <w:rsid w:val="001910B7"/>
    <w:rsid w:val="00191107"/>
    <w:rsid w:val="00191367"/>
    <w:rsid w:val="001920B5"/>
    <w:rsid w:val="001923BE"/>
    <w:rsid w:val="001925D7"/>
    <w:rsid w:val="00193D8F"/>
    <w:rsid w:val="00194894"/>
    <w:rsid w:val="00195B86"/>
    <w:rsid w:val="0019768F"/>
    <w:rsid w:val="00197B23"/>
    <w:rsid w:val="00197FEB"/>
    <w:rsid w:val="001A0387"/>
    <w:rsid w:val="001A04F3"/>
    <w:rsid w:val="001A15C1"/>
    <w:rsid w:val="001A1D4F"/>
    <w:rsid w:val="001A1F6E"/>
    <w:rsid w:val="001A25A2"/>
    <w:rsid w:val="001A359B"/>
    <w:rsid w:val="001A4807"/>
    <w:rsid w:val="001A4F5E"/>
    <w:rsid w:val="001A55C9"/>
    <w:rsid w:val="001A603F"/>
    <w:rsid w:val="001A6112"/>
    <w:rsid w:val="001A6ED1"/>
    <w:rsid w:val="001B02E9"/>
    <w:rsid w:val="001B1276"/>
    <w:rsid w:val="001B1315"/>
    <w:rsid w:val="001B175D"/>
    <w:rsid w:val="001B1D01"/>
    <w:rsid w:val="001B23D7"/>
    <w:rsid w:val="001B2CB6"/>
    <w:rsid w:val="001B65B3"/>
    <w:rsid w:val="001B671F"/>
    <w:rsid w:val="001B6D7A"/>
    <w:rsid w:val="001B721B"/>
    <w:rsid w:val="001B7385"/>
    <w:rsid w:val="001B7857"/>
    <w:rsid w:val="001C0025"/>
    <w:rsid w:val="001C15A8"/>
    <w:rsid w:val="001C24AF"/>
    <w:rsid w:val="001C24EB"/>
    <w:rsid w:val="001C25E0"/>
    <w:rsid w:val="001C35B6"/>
    <w:rsid w:val="001C3C27"/>
    <w:rsid w:val="001C6AF5"/>
    <w:rsid w:val="001C6E1C"/>
    <w:rsid w:val="001D12E7"/>
    <w:rsid w:val="001D1D69"/>
    <w:rsid w:val="001D2506"/>
    <w:rsid w:val="001D2978"/>
    <w:rsid w:val="001D2B22"/>
    <w:rsid w:val="001D2B41"/>
    <w:rsid w:val="001D32D9"/>
    <w:rsid w:val="001D3FE3"/>
    <w:rsid w:val="001D4AD0"/>
    <w:rsid w:val="001D5921"/>
    <w:rsid w:val="001D5DB5"/>
    <w:rsid w:val="001D5E69"/>
    <w:rsid w:val="001D6A6F"/>
    <w:rsid w:val="001D771A"/>
    <w:rsid w:val="001D79B1"/>
    <w:rsid w:val="001D7D38"/>
    <w:rsid w:val="001D7F20"/>
    <w:rsid w:val="001E0D1B"/>
    <w:rsid w:val="001E0F5A"/>
    <w:rsid w:val="001E0FE0"/>
    <w:rsid w:val="001E1B06"/>
    <w:rsid w:val="001E60B5"/>
    <w:rsid w:val="001E78AF"/>
    <w:rsid w:val="001F0FF2"/>
    <w:rsid w:val="001F105D"/>
    <w:rsid w:val="001F2087"/>
    <w:rsid w:val="001F2CCC"/>
    <w:rsid w:val="001F309B"/>
    <w:rsid w:val="001F36C5"/>
    <w:rsid w:val="001F4649"/>
    <w:rsid w:val="001F471E"/>
    <w:rsid w:val="001F4751"/>
    <w:rsid w:val="001F48A3"/>
    <w:rsid w:val="001F5485"/>
    <w:rsid w:val="001F5CCF"/>
    <w:rsid w:val="001F6627"/>
    <w:rsid w:val="001F7361"/>
    <w:rsid w:val="002001D7"/>
    <w:rsid w:val="00201218"/>
    <w:rsid w:val="002015D5"/>
    <w:rsid w:val="00203054"/>
    <w:rsid w:val="00203CAF"/>
    <w:rsid w:val="00203D81"/>
    <w:rsid w:val="00204197"/>
    <w:rsid w:val="0020453D"/>
    <w:rsid w:val="002056A2"/>
    <w:rsid w:val="002063F8"/>
    <w:rsid w:val="002065D5"/>
    <w:rsid w:val="0020684F"/>
    <w:rsid w:val="00206CC4"/>
    <w:rsid w:val="0020701B"/>
    <w:rsid w:val="00207296"/>
    <w:rsid w:val="002101CA"/>
    <w:rsid w:val="0021092E"/>
    <w:rsid w:val="00210AC6"/>
    <w:rsid w:val="00210D05"/>
    <w:rsid w:val="002110D7"/>
    <w:rsid w:val="00211DE4"/>
    <w:rsid w:val="002120DB"/>
    <w:rsid w:val="0021497D"/>
    <w:rsid w:val="00215062"/>
    <w:rsid w:val="00215BFC"/>
    <w:rsid w:val="00216478"/>
    <w:rsid w:val="002169EC"/>
    <w:rsid w:val="00216B2C"/>
    <w:rsid w:val="002172E9"/>
    <w:rsid w:val="002202E0"/>
    <w:rsid w:val="00220639"/>
    <w:rsid w:val="00220656"/>
    <w:rsid w:val="002225F3"/>
    <w:rsid w:val="00222A7D"/>
    <w:rsid w:val="00224F4D"/>
    <w:rsid w:val="00225079"/>
    <w:rsid w:val="00226A69"/>
    <w:rsid w:val="00226DA6"/>
    <w:rsid w:val="00227709"/>
    <w:rsid w:val="00230040"/>
    <w:rsid w:val="00230514"/>
    <w:rsid w:val="0023074C"/>
    <w:rsid w:val="002307E1"/>
    <w:rsid w:val="0023082A"/>
    <w:rsid w:val="00230D42"/>
    <w:rsid w:val="002310D5"/>
    <w:rsid w:val="00231A14"/>
    <w:rsid w:val="00233621"/>
    <w:rsid w:val="002337EC"/>
    <w:rsid w:val="00233E33"/>
    <w:rsid w:val="00233F00"/>
    <w:rsid w:val="00234AA6"/>
    <w:rsid w:val="00234BDE"/>
    <w:rsid w:val="00234CB7"/>
    <w:rsid w:val="00234D58"/>
    <w:rsid w:val="0023554C"/>
    <w:rsid w:val="002355A3"/>
    <w:rsid w:val="002357CF"/>
    <w:rsid w:val="00235A0C"/>
    <w:rsid w:val="00235D85"/>
    <w:rsid w:val="002372B7"/>
    <w:rsid w:val="002376CE"/>
    <w:rsid w:val="00237A2B"/>
    <w:rsid w:val="00237D12"/>
    <w:rsid w:val="00237D89"/>
    <w:rsid w:val="0024163D"/>
    <w:rsid w:val="00241AB8"/>
    <w:rsid w:val="00242466"/>
    <w:rsid w:val="00243A34"/>
    <w:rsid w:val="0024411D"/>
    <w:rsid w:val="00244292"/>
    <w:rsid w:val="00244FAC"/>
    <w:rsid w:val="00245ACE"/>
    <w:rsid w:val="00247668"/>
    <w:rsid w:val="0024773D"/>
    <w:rsid w:val="00250D74"/>
    <w:rsid w:val="00251B4D"/>
    <w:rsid w:val="00252B33"/>
    <w:rsid w:val="00252D1E"/>
    <w:rsid w:val="00253833"/>
    <w:rsid w:val="002542DA"/>
    <w:rsid w:val="00255FB7"/>
    <w:rsid w:val="002578C7"/>
    <w:rsid w:val="00257D85"/>
    <w:rsid w:val="00257F6C"/>
    <w:rsid w:val="00260040"/>
    <w:rsid w:val="00260B77"/>
    <w:rsid w:val="00262775"/>
    <w:rsid w:val="00263B59"/>
    <w:rsid w:val="00264A3B"/>
    <w:rsid w:val="00264A76"/>
    <w:rsid w:val="00264F76"/>
    <w:rsid w:val="00266285"/>
    <w:rsid w:val="00266661"/>
    <w:rsid w:val="00266BDF"/>
    <w:rsid w:val="0026753E"/>
    <w:rsid w:val="0026786D"/>
    <w:rsid w:val="00267C18"/>
    <w:rsid w:val="0027308B"/>
    <w:rsid w:val="00273BA7"/>
    <w:rsid w:val="00273D5A"/>
    <w:rsid w:val="0027478C"/>
    <w:rsid w:val="00274DD1"/>
    <w:rsid w:val="00276488"/>
    <w:rsid w:val="00276767"/>
    <w:rsid w:val="00276E47"/>
    <w:rsid w:val="00277B4B"/>
    <w:rsid w:val="002803B6"/>
    <w:rsid w:val="002810FC"/>
    <w:rsid w:val="002814D4"/>
    <w:rsid w:val="00281A1E"/>
    <w:rsid w:val="0028245B"/>
    <w:rsid w:val="002828A3"/>
    <w:rsid w:val="00282B66"/>
    <w:rsid w:val="00283099"/>
    <w:rsid w:val="0028385A"/>
    <w:rsid w:val="00283863"/>
    <w:rsid w:val="00284FDC"/>
    <w:rsid w:val="00285D5F"/>
    <w:rsid w:val="00286D62"/>
    <w:rsid w:val="002901FA"/>
    <w:rsid w:val="00290AAF"/>
    <w:rsid w:val="0029137E"/>
    <w:rsid w:val="00291561"/>
    <w:rsid w:val="00291E0E"/>
    <w:rsid w:val="002926CC"/>
    <w:rsid w:val="002934E3"/>
    <w:rsid w:val="00293566"/>
    <w:rsid w:val="00293699"/>
    <w:rsid w:val="002950FE"/>
    <w:rsid w:val="00295B18"/>
    <w:rsid w:val="00296474"/>
    <w:rsid w:val="0029649D"/>
    <w:rsid w:val="00296C14"/>
    <w:rsid w:val="002976DE"/>
    <w:rsid w:val="00297AAD"/>
    <w:rsid w:val="002A0052"/>
    <w:rsid w:val="002A07CB"/>
    <w:rsid w:val="002A0F4C"/>
    <w:rsid w:val="002A299B"/>
    <w:rsid w:val="002A341F"/>
    <w:rsid w:val="002A64DB"/>
    <w:rsid w:val="002A679D"/>
    <w:rsid w:val="002A6C79"/>
    <w:rsid w:val="002A7C4C"/>
    <w:rsid w:val="002A7CEC"/>
    <w:rsid w:val="002A7D7E"/>
    <w:rsid w:val="002B0764"/>
    <w:rsid w:val="002B0CC8"/>
    <w:rsid w:val="002B0ED0"/>
    <w:rsid w:val="002B1D4C"/>
    <w:rsid w:val="002B218E"/>
    <w:rsid w:val="002B27D8"/>
    <w:rsid w:val="002B4406"/>
    <w:rsid w:val="002B4902"/>
    <w:rsid w:val="002B539E"/>
    <w:rsid w:val="002B5597"/>
    <w:rsid w:val="002B6144"/>
    <w:rsid w:val="002B6542"/>
    <w:rsid w:val="002B709E"/>
    <w:rsid w:val="002B7D2B"/>
    <w:rsid w:val="002C1FD0"/>
    <w:rsid w:val="002C2875"/>
    <w:rsid w:val="002C2A55"/>
    <w:rsid w:val="002C2C6D"/>
    <w:rsid w:val="002C2E90"/>
    <w:rsid w:val="002C4301"/>
    <w:rsid w:val="002C446E"/>
    <w:rsid w:val="002C4517"/>
    <w:rsid w:val="002C5854"/>
    <w:rsid w:val="002C69C0"/>
    <w:rsid w:val="002D2539"/>
    <w:rsid w:val="002D253F"/>
    <w:rsid w:val="002D3FBE"/>
    <w:rsid w:val="002D4167"/>
    <w:rsid w:val="002D41A7"/>
    <w:rsid w:val="002D512D"/>
    <w:rsid w:val="002D690E"/>
    <w:rsid w:val="002D6E4B"/>
    <w:rsid w:val="002D7620"/>
    <w:rsid w:val="002E088C"/>
    <w:rsid w:val="002E1438"/>
    <w:rsid w:val="002E1C67"/>
    <w:rsid w:val="002E2E52"/>
    <w:rsid w:val="002E3A14"/>
    <w:rsid w:val="002E4CFA"/>
    <w:rsid w:val="002E58B4"/>
    <w:rsid w:val="002F07B4"/>
    <w:rsid w:val="002F1579"/>
    <w:rsid w:val="002F15B1"/>
    <w:rsid w:val="002F1C7D"/>
    <w:rsid w:val="002F2C87"/>
    <w:rsid w:val="002F312A"/>
    <w:rsid w:val="002F34BD"/>
    <w:rsid w:val="002F34E8"/>
    <w:rsid w:val="002F3DC4"/>
    <w:rsid w:val="002F401D"/>
    <w:rsid w:val="002F4699"/>
    <w:rsid w:val="002F58B1"/>
    <w:rsid w:val="002F59DC"/>
    <w:rsid w:val="002F5B9C"/>
    <w:rsid w:val="002F5E14"/>
    <w:rsid w:val="002F664E"/>
    <w:rsid w:val="002F6821"/>
    <w:rsid w:val="002F7853"/>
    <w:rsid w:val="002F787D"/>
    <w:rsid w:val="002F7E82"/>
    <w:rsid w:val="003003F4"/>
    <w:rsid w:val="00301A60"/>
    <w:rsid w:val="00301F83"/>
    <w:rsid w:val="00302BFF"/>
    <w:rsid w:val="00303D19"/>
    <w:rsid w:val="003041F6"/>
    <w:rsid w:val="00304D5B"/>
    <w:rsid w:val="00304ECF"/>
    <w:rsid w:val="0030500C"/>
    <w:rsid w:val="003052D3"/>
    <w:rsid w:val="003057B1"/>
    <w:rsid w:val="003060FD"/>
    <w:rsid w:val="00306347"/>
    <w:rsid w:val="003074C6"/>
    <w:rsid w:val="003079B5"/>
    <w:rsid w:val="00311AA7"/>
    <w:rsid w:val="003124D3"/>
    <w:rsid w:val="00312DAB"/>
    <w:rsid w:val="0031468E"/>
    <w:rsid w:val="00315319"/>
    <w:rsid w:val="003155CF"/>
    <w:rsid w:val="00315974"/>
    <w:rsid w:val="00317030"/>
    <w:rsid w:val="00317238"/>
    <w:rsid w:val="00317456"/>
    <w:rsid w:val="00317508"/>
    <w:rsid w:val="00317FAF"/>
    <w:rsid w:val="00320AA9"/>
    <w:rsid w:val="0032140C"/>
    <w:rsid w:val="00321791"/>
    <w:rsid w:val="00322C30"/>
    <w:rsid w:val="00322E0F"/>
    <w:rsid w:val="003230EB"/>
    <w:rsid w:val="00323710"/>
    <w:rsid w:val="003237A3"/>
    <w:rsid w:val="0032485B"/>
    <w:rsid w:val="00324F4C"/>
    <w:rsid w:val="00325305"/>
    <w:rsid w:val="003256BD"/>
    <w:rsid w:val="00326018"/>
    <w:rsid w:val="003265EC"/>
    <w:rsid w:val="0032700A"/>
    <w:rsid w:val="003306C3"/>
    <w:rsid w:val="00330768"/>
    <w:rsid w:val="00330AE5"/>
    <w:rsid w:val="00331820"/>
    <w:rsid w:val="003319DF"/>
    <w:rsid w:val="003323C4"/>
    <w:rsid w:val="00332F2D"/>
    <w:rsid w:val="003331CC"/>
    <w:rsid w:val="00333ACD"/>
    <w:rsid w:val="00334D0F"/>
    <w:rsid w:val="00335D84"/>
    <w:rsid w:val="00336883"/>
    <w:rsid w:val="003368AA"/>
    <w:rsid w:val="00336E6D"/>
    <w:rsid w:val="00340144"/>
    <w:rsid w:val="003406AB"/>
    <w:rsid w:val="00340729"/>
    <w:rsid w:val="003414C4"/>
    <w:rsid w:val="00341D05"/>
    <w:rsid w:val="00344118"/>
    <w:rsid w:val="00345041"/>
    <w:rsid w:val="003451BB"/>
    <w:rsid w:val="003456DE"/>
    <w:rsid w:val="00345B03"/>
    <w:rsid w:val="00345C24"/>
    <w:rsid w:val="00346477"/>
    <w:rsid w:val="003472AF"/>
    <w:rsid w:val="00347510"/>
    <w:rsid w:val="003475B0"/>
    <w:rsid w:val="0034761A"/>
    <w:rsid w:val="003503FE"/>
    <w:rsid w:val="00350D0F"/>
    <w:rsid w:val="00351596"/>
    <w:rsid w:val="00351DFF"/>
    <w:rsid w:val="003533FC"/>
    <w:rsid w:val="003546FC"/>
    <w:rsid w:val="0035565E"/>
    <w:rsid w:val="0035576C"/>
    <w:rsid w:val="00355A6B"/>
    <w:rsid w:val="00355F4D"/>
    <w:rsid w:val="0035625D"/>
    <w:rsid w:val="00357C6C"/>
    <w:rsid w:val="00360934"/>
    <w:rsid w:val="00360CAF"/>
    <w:rsid w:val="00361067"/>
    <w:rsid w:val="00361570"/>
    <w:rsid w:val="00361F0D"/>
    <w:rsid w:val="00362729"/>
    <w:rsid w:val="003637BF"/>
    <w:rsid w:val="00363FC1"/>
    <w:rsid w:val="00365076"/>
    <w:rsid w:val="00366682"/>
    <w:rsid w:val="00367709"/>
    <w:rsid w:val="00370044"/>
    <w:rsid w:val="0037112F"/>
    <w:rsid w:val="0037137A"/>
    <w:rsid w:val="00371C76"/>
    <w:rsid w:val="00372A02"/>
    <w:rsid w:val="00373034"/>
    <w:rsid w:val="00373957"/>
    <w:rsid w:val="00373E5C"/>
    <w:rsid w:val="0037450E"/>
    <w:rsid w:val="003747E1"/>
    <w:rsid w:val="003760D5"/>
    <w:rsid w:val="00377C9D"/>
    <w:rsid w:val="0038024E"/>
    <w:rsid w:val="003809A8"/>
    <w:rsid w:val="0038273A"/>
    <w:rsid w:val="003838B8"/>
    <w:rsid w:val="00385031"/>
    <w:rsid w:val="00386A74"/>
    <w:rsid w:val="00386B78"/>
    <w:rsid w:val="003872FE"/>
    <w:rsid w:val="00387361"/>
    <w:rsid w:val="00390453"/>
    <w:rsid w:val="0039197C"/>
    <w:rsid w:val="00392443"/>
    <w:rsid w:val="003929BB"/>
    <w:rsid w:val="00393414"/>
    <w:rsid w:val="00394177"/>
    <w:rsid w:val="00395D98"/>
    <w:rsid w:val="003963B6"/>
    <w:rsid w:val="00396433"/>
    <w:rsid w:val="003A16DE"/>
    <w:rsid w:val="003A22EC"/>
    <w:rsid w:val="003A40BA"/>
    <w:rsid w:val="003A4D06"/>
    <w:rsid w:val="003A4D34"/>
    <w:rsid w:val="003A6C9D"/>
    <w:rsid w:val="003A7321"/>
    <w:rsid w:val="003A75B8"/>
    <w:rsid w:val="003A7DCB"/>
    <w:rsid w:val="003B02E1"/>
    <w:rsid w:val="003B195A"/>
    <w:rsid w:val="003B1C5A"/>
    <w:rsid w:val="003B20F0"/>
    <w:rsid w:val="003B2551"/>
    <w:rsid w:val="003B36D1"/>
    <w:rsid w:val="003B49C6"/>
    <w:rsid w:val="003B6146"/>
    <w:rsid w:val="003B63AA"/>
    <w:rsid w:val="003B67BB"/>
    <w:rsid w:val="003B6A3B"/>
    <w:rsid w:val="003B6B24"/>
    <w:rsid w:val="003B70FC"/>
    <w:rsid w:val="003B7791"/>
    <w:rsid w:val="003B7EB8"/>
    <w:rsid w:val="003C11CD"/>
    <w:rsid w:val="003C15AD"/>
    <w:rsid w:val="003C16B8"/>
    <w:rsid w:val="003C1D8D"/>
    <w:rsid w:val="003C2FB5"/>
    <w:rsid w:val="003C4773"/>
    <w:rsid w:val="003C5061"/>
    <w:rsid w:val="003C5179"/>
    <w:rsid w:val="003C5344"/>
    <w:rsid w:val="003C749B"/>
    <w:rsid w:val="003C7F46"/>
    <w:rsid w:val="003D0EB6"/>
    <w:rsid w:val="003D11DF"/>
    <w:rsid w:val="003D146F"/>
    <w:rsid w:val="003D27BD"/>
    <w:rsid w:val="003D2BB0"/>
    <w:rsid w:val="003D304F"/>
    <w:rsid w:val="003D3A55"/>
    <w:rsid w:val="003D4210"/>
    <w:rsid w:val="003D4802"/>
    <w:rsid w:val="003D605C"/>
    <w:rsid w:val="003D7AF1"/>
    <w:rsid w:val="003E008A"/>
    <w:rsid w:val="003E11D0"/>
    <w:rsid w:val="003E1B68"/>
    <w:rsid w:val="003E2D05"/>
    <w:rsid w:val="003E3F22"/>
    <w:rsid w:val="003E42DB"/>
    <w:rsid w:val="003E5222"/>
    <w:rsid w:val="003E5958"/>
    <w:rsid w:val="003E5AF0"/>
    <w:rsid w:val="003E60CB"/>
    <w:rsid w:val="003E60D4"/>
    <w:rsid w:val="003E6B12"/>
    <w:rsid w:val="003E6C45"/>
    <w:rsid w:val="003E713D"/>
    <w:rsid w:val="003F0390"/>
    <w:rsid w:val="003F1629"/>
    <w:rsid w:val="003F3006"/>
    <w:rsid w:val="003F388C"/>
    <w:rsid w:val="003F4A77"/>
    <w:rsid w:val="003F5A66"/>
    <w:rsid w:val="003F5F09"/>
    <w:rsid w:val="003F5FA4"/>
    <w:rsid w:val="003F68C8"/>
    <w:rsid w:val="004009E3"/>
    <w:rsid w:val="00400AA0"/>
    <w:rsid w:val="00400B04"/>
    <w:rsid w:val="00400FD7"/>
    <w:rsid w:val="0040140E"/>
    <w:rsid w:val="004014D0"/>
    <w:rsid w:val="00401593"/>
    <w:rsid w:val="0040186B"/>
    <w:rsid w:val="00401BC2"/>
    <w:rsid w:val="00403295"/>
    <w:rsid w:val="00404489"/>
    <w:rsid w:val="00404F2E"/>
    <w:rsid w:val="004056EC"/>
    <w:rsid w:val="00405B43"/>
    <w:rsid w:val="00405C12"/>
    <w:rsid w:val="004069B9"/>
    <w:rsid w:val="00407A26"/>
    <w:rsid w:val="00407A58"/>
    <w:rsid w:val="0041002E"/>
    <w:rsid w:val="00410C1F"/>
    <w:rsid w:val="004111E7"/>
    <w:rsid w:val="0041346A"/>
    <w:rsid w:val="004138DF"/>
    <w:rsid w:val="00413E2C"/>
    <w:rsid w:val="00414021"/>
    <w:rsid w:val="00417C23"/>
    <w:rsid w:val="00420537"/>
    <w:rsid w:val="00420680"/>
    <w:rsid w:val="00420CE6"/>
    <w:rsid w:val="004212CE"/>
    <w:rsid w:val="0042176B"/>
    <w:rsid w:val="00421BD5"/>
    <w:rsid w:val="00422039"/>
    <w:rsid w:val="00423340"/>
    <w:rsid w:val="0042379A"/>
    <w:rsid w:val="0042398C"/>
    <w:rsid w:val="00423FE9"/>
    <w:rsid w:val="00424160"/>
    <w:rsid w:val="00424236"/>
    <w:rsid w:val="004248B7"/>
    <w:rsid w:val="00426FAB"/>
    <w:rsid w:val="00430428"/>
    <w:rsid w:val="00433BC2"/>
    <w:rsid w:val="00433F3D"/>
    <w:rsid w:val="0043585E"/>
    <w:rsid w:val="00435BFE"/>
    <w:rsid w:val="00436909"/>
    <w:rsid w:val="00436A00"/>
    <w:rsid w:val="00437021"/>
    <w:rsid w:val="00437126"/>
    <w:rsid w:val="00437257"/>
    <w:rsid w:val="00437641"/>
    <w:rsid w:val="00441374"/>
    <w:rsid w:val="00441575"/>
    <w:rsid w:val="004438AB"/>
    <w:rsid w:val="00444159"/>
    <w:rsid w:val="00444B39"/>
    <w:rsid w:val="00445BAE"/>
    <w:rsid w:val="00445E37"/>
    <w:rsid w:val="00445ED4"/>
    <w:rsid w:val="004462E4"/>
    <w:rsid w:val="00447435"/>
    <w:rsid w:val="00450940"/>
    <w:rsid w:val="00450D0D"/>
    <w:rsid w:val="004514A6"/>
    <w:rsid w:val="004532EF"/>
    <w:rsid w:val="00454FB4"/>
    <w:rsid w:val="00456446"/>
    <w:rsid w:val="0045689B"/>
    <w:rsid w:val="00456A52"/>
    <w:rsid w:val="004571BD"/>
    <w:rsid w:val="00460894"/>
    <w:rsid w:val="00460D9C"/>
    <w:rsid w:val="0046169F"/>
    <w:rsid w:val="00462AEC"/>
    <w:rsid w:val="00462EB3"/>
    <w:rsid w:val="00463D45"/>
    <w:rsid w:val="00463DE1"/>
    <w:rsid w:val="00464D6F"/>
    <w:rsid w:val="00466565"/>
    <w:rsid w:val="0047141C"/>
    <w:rsid w:val="00471B3B"/>
    <w:rsid w:val="00471DC2"/>
    <w:rsid w:val="00472486"/>
    <w:rsid w:val="00473128"/>
    <w:rsid w:val="0047510E"/>
    <w:rsid w:val="0047511C"/>
    <w:rsid w:val="0047566B"/>
    <w:rsid w:val="00476DF8"/>
    <w:rsid w:val="00480158"/>
    <w:rsid w:val="004814C6"/>
    <w:rsid w:val="004825BE"/>
    <w:rsid w:val="00482D11"/>
    <w:rsid w:val="004832DE"/>
    <w:rsid w:val="00483A6E"/>
    <w:rsid w:val="00483E44"/>
    <w:rsid w:val="00484201"/>
    <w:rsid w:val="004859FA"/>
    <w:rsid w:val="004861C5"/>
    <w:rsid w:val="00486A99"/>
    <w:rsid w:val="00490C38"/>
    <w:rsid w:val="004923D5"/>
    <w:rsid w:val="00494298"/>
    <w:rsid w:val="004942FD"/>
    <w:rsid w:val="00494432"/>
    <w:rsid w:val="004945C1"/>
    <w:rsid w:val="00494C2F"/>
    <w:rsid w:val="004954A0"/>
    <w:rsid w:val="00495FF3"/>
    <w:rsid w:val="0049618A"/>
    <w:rsid w:val="00496741"/>
    <w:rsid w:val="00496F88"/>
    <w:rsid w:val="00497ED3"/>
    <w:rsid w:val="004A064F"/>
    <w:rsid w:val="004A2E2D"/>
    <w:rsid w:val="004A2ED0"/>
    <w:rsid w:val="004A34A3"/>
    <w:rsid w:val="004A384F"/>
    <w:rsid w:val="004A3DBF"/>
    <w:rsid w:val="004A45E0"/>
    <w:rsid w:val="004A472D"/>
    <w:rsid w:val="004A4B81"/>
    <w:rsid w:val="004A54B5"/>
    <w:rsid w:val="004A5847"/>
    <w:rsid w:val="004A5D4F"/>
    <w:rsid w:val="004A615F"/>
    <w:rsid w:val="004A68A0"/>
    <w:rsid w:val="004A78EB"/>
    <w:rsid w:val="004B02D1"/>
    <w:rsid w:val="004B035F"/>
    <w:rsid w:val="004B0A21"/>
    <w:rsid w:val="004B1784"/>
    <w:rsid w:val="004B1BA5"/>
    <w:rsid w:val="004B1FC6"/>
    <w:rsid w:val="004B218E"/>
    <w:rsid w:val="004B2501"/>
    <w:rsid w:val="004B2B77"/>
    <w:rsid w:val="004B4FA8"/>
    <w:rsid w:val="004B5459"/>
    <w:rsid w:val="004B5BD0"/>
    <w:rsid w:val="004B5C1B"/>
    <w:rsid w:val="004B5EB0"/>
    <w:rsid w:val="004B5F6D"/>
    <w:rsid w:val="004B6B44"/>
    <w:rsid w:val="004B7A68"/>
    <w:rsid w:val="004C002E"/>
    <w:rsid w:val="004C00E7"/>
    <w:rsid w:val="004C01C4"/>
    <w:rsid w:val="004C07F6"/>
    <w:rsid w:val="004C096B"/>
    <w:rsid w:val="004C0D81"/>
    <w:rsid w:val="004C19DF"/>
    <w:rsid w:val="004C1B7A"/>
    <w:rsid w:val="004C3479"/>
    <w:rsid w:val="004C63B2"/>
    <w:rsid w:val="004D066B"/>
    <w:rsid w:val="004D0F7F"/>
    <w:rsid w:val="004D10DE"/>
    <w:rsid w:val="004D1413"/>
    <w:rsid w:val="004D17E4"/>
    <w:rsid w:val="004D18D2"/>
    <w:rsid w:val="004D1F4A"/>
    <w:rsid w:val="004D203A"/>
    <w:rsid w:val="004D2259"/>
    <w:rsid w:val="004D2943"/>
    <w:rsid w:val="004D2F9E"/>
    <w:rsid w:val="004D3B7F"/>
    <w:rsid w:val="004D4D35"/>
    <w:rsid w:val="004D4D54"/>
    <w:rsid w:val="004D57D9"/>
    <w:rsid w:val="004D5A8C"/>
    <w:rsid w:val="004D5A8D"/>
    <w:rsid w:val="004D760D"/>
    <w:rsid w:val="004D7623"/>
    <w:rsid w:val="004D7BEC"/>
    <w:rsid w:val="004D7EE9"/>
    <w:rsid w:val="004E0C99"/>
    <w:rsid w:val="004E146E"/>
    <w:rsid w:val="004E218A"/>
    <w:rsid w:val="004E3438"/>
    <w:rsid w:val="004E4BA8"/>
    <w:rsid w:val="004E4DFE"/>
    <w:rsid w:val="004E64D2"/>
    <w:rsid w:val="004E691E"/>
    <w:rsid w:val="004E6B43"/>
    <w:rsid w:val="004E6C2C"/>
    <w:rsid w:val="004F0CB1"/>
    <w:rsid w:val="004F0E90"/>
    <w:rsid w:val="004F132A"/>
    <w:rsid w:val="004F1F20"/>
    <w:rsid w:val="004F504C"/>
    <w:rsid w:val="004F527F"/>
    <w:rsid w:val="004F5789"/>
    <w:rsid w:val="004F5F64"/>
    <w:rsid w:val="004F6ADB"/>
    <w:rsid w:val="005001BB"/>
    <w:rsid w:val="00500431"/>
    <w:rsid w:val="00500477"/>
    <w:rsid w:val="00500AB1"/>
    <w:rsid w:val="00501648"/>
    <w:rsid w:val="005028FC"/>
    <w:rsid w:val="00503EC7"/>
    <w:rsid w:val="00505071"/>
    <w:rsid w:val="0050554A"/>
    <w:rsid w:val="00505633"/>
    <w:rsid w:val="0050772D"/>
    <w:rsid w:val="00510106"/>
    <w:rsid w:val="00510E1F"/>
    <w:rsid w:val="00510FF0"/>
    <w:rsid w:val="00512286"/>
    <w:rsid w:val="00512632"/>
    <w:rsid w:val="00512DEB"/>
    <w:rsid w:val="005144CD"/>
    <w:rsid w:val="00514B37"/>
    <w:rsid w:val="0051552A"/>
    <w:rsid w:val="00515BB6"/>
    <w:rsid w:val="005164B8"/>
    <w:rsid w:val="005164C6"/>
    <w:rsid w:val="00516510"/>
    <w:rsid w:val="00516771"/>
    <w:rsid w:val="00516FE8"/>
    <w:rsid w:val="005170B1"/>
    <w:rsid w:val="005200E2"/>
    <w:rsid w:val="00520B4B"/>
    <w:rsid w:val="0052184A"/>
    <w:rsid w:val="00521DA8"/>
    <w:rsid w:val="00521FFA"/>
    <w:rsid w:val="00522633"/>
    <w:rsid w:val="005230DB"/>
    <w:rsid w:val="00523F41"/>
    <w:rsid w:val="005245F9"/>
    <w:rsid w:val="00525BED"/>
    <w:rsid w:val="00526651"/>
    <w:rsid w:val="005267DD"/>
    <w:rsid w:val="00526989"/>
    <w:rsid w:val="00526DA6"/>
    <w:rsid w:val="005277A4"/>
    <w:rsid w:val="005277F0"/>
    <w:rsid w:val="00527EF2"/>
    <w:rsid w:val="0053435F"/>
    <w:rsid w:val="005352F0"/>
    <w:rsid w:val="00535848"/>
    <w:rsid w:val="00537D8A"/>
    <w:rsid w:val="0054000C"/>
    <w:rsid w:val="00540FBA"/>
    <w:rsid w:val="005414E3"/>
    <w:rsid w:val="00541C9D"/>
    <w:rsid w:val="00541DF5"/>
    <w:rsid w:val="0054260D"/>
    <w:rsid w:val="00542683"/>
    <w:rsid w:val="00543597"/>
    <w:rsid w:val="00544177"/>
    <w:rsid w:val="005442F8"/>
    <w:rsid w:val="0054468A"/>
    <w:rsid w:val="00544BDE"/>
    <w:rsid w:val="0054587F"/>
    <w:rsid w:val="00545DE4"/>
    <w:rsid w:val="005506ED"/>
    <w:rsid w:val="0055092F"/>
    <w:rsid w:val="00552171"/>
    <w:rsid w:val="0055254E"/>
    <w:rsid w:val="00553C66"/>
    <w:rsid w:val="0055426F"/>
    <w:rsid w:val="00554B6D"/>
    <w:rsid w:val="005550FC"/>
    <w:rsid w:val="005552B5"/>
    <w:rsid w:val="005573AD"/>
    <w:rsid w:val="0055786E"/>
    <w:rsid w:val="005600AC"/>
    <w:rsid w:val="00561265"/>
    <w:rsid w:val="00561682"/>
    <w:rsid w:val="005618BB"/>
    <w:rsid w:val="005627CC"/>
    <w:rsid w:val="005629F5"/>
    <w:rsid w:val="005635BF"/>
    <w:rsid w:val="00563B52"/>
    <w:rsid w:val="005645DD"/>
    <w:rsid w:val="0056575F"/>
    <w:rsid w:val="00565F4D"/>
    <w:rsid w:val="005661BD"/>
    <w:rsid w:val="00566AB5"/>
    <w:rsid w:val="0056737D"/>
    <w:rsid w:val="0057001F"/>
    <w:rsid w:val="00570676"/>
    <w:rsid w:val="00571264"/>
    <w:rsid w:val="005718AB"/>
    <w:rsid w:val="00571A92"/>
    <w:rsid w:val="00571C7E"/>
    <w:rsid w:val="005725AB"/>
    <w:rsid w:val="005725D9"/>
    <w:rsid w:val="00574032"/>
    <w:rsid w:val="0057645C"/>
    <w:rsid w:val="00577D41"/>
    <w:rsid w:val="005811B4"/>
    <w:rsid w:val="0058125B"/>
    <w:rsid w:val="0058150B"/>
    <w:rsid w:val="00582F4C"/>
    <w:rsid w:val="00583017"/>
    <w:rsid w:val="0058313D"/>
    <w:rsid w:val="005839BB"/>
    <w:rsid w:val="00583DF3"/>
    <w:rsid w:val="00584D9B"/>
    <w:rsid w:val="00586595"/>
    <w:rsid w:val="00587D5F"/>
    <w:rsid w:val="00587E1B"/>
    <w:rsid w:val="00590339"/>
    <w:rsid w:val="00590565"/>
    <w:rsid w:val="005907A4"/>
    <w:rsid w:val="00590F6D"/>
    <w:rsid w:val="0059106B"/>
    <w:rsid w:val="00591679"/>
    <w:rsid w:val="005926F4"/>
    <w:rsid w:val="00595899"/>
    <w:rsid w:val="00595CEB"/>
    <w:rsid w:val="005970C1"/>
    <w:rsid w:val="005A0A9D"/>
    <w:rsid w:val="005A1721"/>
    <w:rsid w:val="005A1EE7"/>
    <w:rsid w:val="005A2F63"/>
    <w:rsid w:val="005A2FC0"/>
    <w:rsid w:val="005A37DA"/>
    <w:rsid w:val="005A3BE9"/>
    <w:rsid w:val="005A3E25"/>
    <w:rsid w:val="005A3F7B"/>
    <w:rsid w:val="005A4215"/>
    <w:rsid w:val="005A676D"/>
    <w:rsid w:val="005A6D45"/>
    <w:rsid w:val="005B0DD1"/>
    <w:rsid w:val="005B0E02"/>
    <w:rsid w:val="005B1AA4"/>
    <w:rsid w:val="005B1B1A"/>
    <w:rsid w:val="005B2B23"/>
    <w:rsid w:val="005B2EA4"/>
    <w:rsid w:val="005B4437"/>
    <w:rsid w:val="005B46F4"/>
    <w:rsid w:val="005B4838"/>
    <w:rsid w:val="005B497B"/>
    <w:rsid w:val="005B4FA9"/>
    <w:rsid w:val="005B53FA"/>
    <w:rsid w:val="005B59DA"/>
    <w:rsid w:val="005B6671"/>
    <w:rsid w:val="005B6B63"/>
    <w:rsid w:val="005C2F87"/>
    <w:rsid w:val="005C3E33"/>
    <w:rsid w:val="005C492B"/>
    <w:rsid w:val="005C4936"/>
    <w:rsid w:val="005C4A51"/>
    <w:rsid w:val="005C5110"/>
    <w:rsid w:val="005C5AE1"/>
    <w:rsid w:val="005D010C"/>
    <w:rsid w:val="005D031F"/>
    <w:rsid w:val="005D1B8B"/>
    <w:rsid w:val="005D21E5"/>
    <w:rsid w:val="005D39E7"/>
    <w:rsid w:val="005D3FB6"/>
    <w:rsid w:val="005D473A"/>
    <w:rsid w:val="005D5A06"/>
    <w:rsid w:val="005D5FE4"/>
    <w:rsid w:val="005D7EA9"/>
    <w:rsid w:val="005E05CC"/>
    <w:rsid w:val="005E0B60"/>
    <w:rsid w:val="005E0DA7"/>
    <w:rsid w:val="005E0DF2"/>
    <w:rsid w:val="005E102F"/>
    <w:rsid w:val="005E3625"/>
    <w:rsid w:val="005E4008"/>
    <w:rsid w:val="005E556D"/>
    <w:rsid w:val="005E68FC"/>
    <w:rsid w:val="005E6E08"/>
    <w:rsid w:val="005E6F54"/>
    <w:rsid w:val="005E793E"/>
    <w:rsid w:val="005E7F71"/>
    <w:rsid w:val="005F194C"/>
    <w:rsid w:val="005F1F5F"/>
    <w:rsid w:val="005F1FA7"/>
    <w:rsid w:val="005F4F07"/>
    <w:rsid w:val="005F5623"/>
    <w:rsid w:val="005F7275"/>
    <w:rsid w:val="005F7AA3"/>
    <w:rsid w:val="00600164"/>
    <w:rsid w:val="006001E4"/>
    <w:rsid w:val="00600385"/>
    <w:rsid w:val="006014F8"/>
    <w:rsid w:val="00602023"/>
    <w:rsid w:val="00602EC3"/>
    <w:rsid w:val="006038E2"/>
    <w:rsid w:val="00603984"/>
    <w:rsid w:val="00603F95"/>
    <w:rsid w:val="0060486D"/>
    <w:rsid w:val="00607468"/>
    <w:rsid w:val="00612600"/>
    <w:rsid w:val="00613D54"/>
    <w:rsid w:val="00614507"/>
    <w:rsid w:val="00614CCD"/>
    <w:rsid w:val="00616A88"/>
    <w:rsid w:val="00616EF2"/>
    <w:rsid w:val="00616F55"/>
    <w:rsid w:val="006174DF"/>
    <w:rsid w:val="00617887"/>
    <w:rsid w:val="00620419"/>
    <w:rsid w:val="00621681"/>
    <w:rsid w:val="00622132"/>
    <w:rsid w:val="00623E82"/>
    <w:rsid w:val="00623E88"/>
    <w:rsid w:val="00623F9C"/>
    <w:rsid w:val="00623FD8"/>
    <w:rsid w:val="0062405D"/>
    <w:rsid w:val="0062619D"/>
    <w:rsid w:val="00626352"/>
    <w:rsid w:val="0062644C"/>
    <w:rsid w:val="0062647B"/>
    <w:rsid w:val="00626578"/>
    <w:rsid w:val="00626F1D"/>
    <w:rsid w:val="0062770D"/>
    <w:rsid w:val="006302B4"/>
    <w:rsid w:val="00631C80"/>
    <w:rsid w:val="006321F1"/>
    <w:rsid w:val="00632348"/>
    <w:rsid w:val="00633223"/>
    <w:rsid w:val="00633622"/>
    <w:rsid w:val="006339BE"/>
    <w:rsid w:val="006348C8"/>
    <w:rsid w:val="00634D30"/>
    <w:rsid w:val="00634E0A"/>
    <w:rsid w:val="0063637A"/>
    <w:rsid w:val="0063710A"/>
    <w:rsid w:val="006400C4"/>
    <w:rsid w:val="00640450"/>
    <w:rsid w:val="00640C77"/>
    <w:rsid w:val="0064142B"/>
    <w:rsid w:val="00642485"/>
    <w:rsid w:val="0064373E"/>
    <w:rsid w:val="00643902"/>
    <w:rsid w:val="0064407A"/>
    <w:rsid w:val="00644BCF"/>
    <w:rsid w:val="006457B9"/>
    <w:rsid w:val="00650D41"/>
    <w:rsid w:val="006512BD"/>
    <w:rsid w:val="00651607"/>
    <w:rsid w:val="00653D73"/>
    <w:rsid w:val="006545E9"/>
    <w:rsid w:val="00654635"/>
    <w:rsid w:val="006555BF"/>
    <w:rsid w:val="00655EA4"/>
    <w:rsid w:val="0065620F"/>
    <w:rsid w:val="006563F8"/>
    <w:rsid w:val="00657AF1"/>
    <w:rsid w:val="00657EBE"/>
    <w:rsid w:val="00660368"/>
    <w:rsid w:val="00660B17"/>
    <w:rsid w:val="006633C4"/>
    <w:rsid w:val="00663565"/>
    <w:rsid w:val="0066358D"/>
    <w:rsid w:val="00663C59"/>
    <w:rsid w:val="00663D92"/>
    <w:rsid w:val="00664A7B"/>
    <w:rsid w:val="006654C6"/>
    <w:rsid w:val="00666116"/>
    <w:rsid w:val="006663E7"/>
    <w:rsid w:val="00666958"/>
    <w:rsid w:val="00666B3F"/>
    <w:rsid w:val="00667247"/>
    <w:rsid w:val="0067226C"/>
    <w:rsid w:val="00672B1B"/>
    <w:rsid w:val="006737A1"/>
    <w:rsid w:val="006749A0"/>
    <w:rsid w:val="006749F0"/>
    <w:rsid w:val="00674AF1"/>
    <w:rsid w:val="00674D32"/>
    <w:rsid w:val="006765CB"/>
    <w:rsid w:val="00676C87"/>
    <w:rsid w:val="00676D05"/>
    <w:rsid w:val="0067723E"/>
    <w:rsid w:val="00680613"/>
    <w:rsid w:val="00680B6C"/>
    <w:rsid w:val="006818F3"/>
    <w:rsid w:val="00681F40"/>
    <w:rsid w:val="006827C2"/>
    <w:rsid w:val="00683836"/>
    <w:rsid w:val="00684067"/>
    <w:rsid w:val="006846E2"/>
    <w:rsid w:val="0068476A"/>
    <w:rsid w:val="006868E5"/>
    <w:rsid w:val="00691891"/>
    <w:rsid w:val="00691B21"/>
    <w:rsid w:val="00692208"/>
    <w:rsid w:val="00692360"/>
    <w:rsid w:val="00692DD0"/>
    <w:rsid w:val="00693000"/>
    <w:rsid w:val="0069303E"/>
    <w:rsid w:val="00693E58"/>
    <w:rsid w:val="00693E93"/>
    <w:rsid w:val="00693FB1"/>
    <w:rsid w:val="006941FF"/>
    <w:rsid w:val="00695BE3"/>
    <w:rsid w:val="00695BFC"/>
    <w:rsid w:val="006968BA"/>
    <w:rsid w:val="00696D3A"/>
    <w:rsid w:val="006A07D7"/>
    <w:rsid w:val="006A0B03"/>
    <w:rsid w:val="006A2581"/>
    <w:rsid w:val="006A2CFA"/>
    <w:rsid w:val="006A313A"/>
    <w:rsid w:val="006A327C"/>
    <w:rsid w:val="006A3341"/>
    <w:rsid w:val="006A363C"/>
    <w:rsid w:val="006A3AD8"/>
    <w:rsid w:val="006A5884"/>
    <w:rsid w:val="006A60AD"/>
    <w:rsid w:val="006A624E"/>
    <w:rsid w:val="006A7874"/>
    <w:rsid w:val="006B0277"/>
    <w:rsid w:val="006B046D"/>
    <w:rsid w:val="006B0940"/>
    <w:rsid w:val="006B0D94"/>
    <w:rsid w:val="006B16F9"/>
    <w:rsid w:val="006B176F"/>
    <w:rsid w:val="006B1797"/>
    <w:rsid w:val="006B291C"/>
    <w:rsid w:val="006B3730"/>
    <w:rsid w:val="006B3A6D"/>
    <w:rsid w:val="006B41E3"/>
    <w:rsid w:val="006B4F72"/>
    <w:rsid w:val="006B54B4"/>
    <w:rsid w:val="006B58E5"/>
    <w:rsid w:val="006B5FC5"/>
    <w:rsid w:val="006B6462"/>
    <w:rsid w:val="006B6BC1"/>
    <w:rsid w:val="006B792D"/>
    <w:rsid w:val="006B7ADE"/>
    <w:rsid w:val="006C023A"/>
    <w:rsid w:val="006C0364"/>
    <w:rsid w:val="006C0A45"/>
    <w:rsid w:val="006C0C30"/>
    <w:rsid w:val="006C3860"/>
    <w:rsid w:val="006C3C6B"/>
    <w:rsid w:val="006C5089"/>
    <w:rsid w:val="006C58E9"/>
    <w:rsid w:val="006C757F"/>
    <w:rsid w:val="006C778A"/>
    <w:rsid w:val="006D0422"/>
    <w:rsid w:val="006D1609"/>
    <w:rsid w:val="006D16E3"/>
    <w:rsid w:val="006D1865"/>
    <w:rsid w:val="006D1B69"/>
    <w:rsid w:val="006D2235"/>
    <w:rsid w:val="006D2A0B"/>
    <w:rsid w:val="006D2FF2"/>
    <w:rsid w:val="006D36B3"/>
    <w:rsid w:val="006D3F79"/>
    <w:rsid w:val="006D4B73"/>
    <w:rsid w:val="006D5D88"/>
    <w:rsid w:val="006E00F1"/>
    <w:rsid w:val="006E291F"/>
    <w:rsid w:val="006E34BE"/>
    <w:rsid w:val="006E3B94"/>
    <w:rsid w:val="006E3F52"/>
    <w:rsid w:val="006E4349"/>
    <w:rsid w:val="006E4D1C"/>
    <w:rsid w:val="006E5085"/>
    <w:rsid w:val="006E606A"/>
    <w:rsid w:val="006E6AE7"/>
    <w:rsid w:val="006E6F45"/>
    <w:rsid w:val="006E7A6E"/>
    <w:rsid w:val="006F0FC5"/>
    <w:rsid w:val="006F1678"/>
    <w:rsid w:val="006F2DA9"/>
    <w:rsid w:val="006F5883"/>
    <w:rsid w:val="006F59DD"/>
    <w:rsid w:val="006F690F"/>
    <w:rsid w:val="007003E3"/>
    <w:rsid w:val="007011DA"/>
    <w:rsid w:val="0070149E"/>
    <w:rsid w:val="0070325F"/>
    <w:rsid w:val="0070330D"/>
    <w:rsid w:val="00703813"/>
    <w:rsid w:val="007046FF"/>
    <w:rsid w:val="00706DC5"/>
    <w:rsid w:val="00706DDF"/>
    <w:rsid w:val="00706F24"/>
    <w:rsid w:val="007075AC"/>
    <w:rsid w:val="00707CDF"/>
    <w:rsid w:val="00707FE5"/>
    <w:rsid w:val="007105EA"/>
    <w:rsid w:val="00710E15"/>
    <w:rsid w:val="00710F35"/>
    <w:rsid w:val="0071252E"/>
    <w:rsid w:val="007133E8"/>
    <w:rsid w:val="00713B2A"/>
    <w:rsid w:val="00713FC8"/>
    <w:rsid w:val="007153D7"/>
    <w:rsid w:val="0071637E"/>
    <w:rsid w:val="00716DD5"/>
    <w:rsid w:val="00716E18"/>
    <w:rsid w:val="00717877"/>
    <w:rsid w:val="00717E7E"/>
    <w:rsid w:val="007212B1"/>
    <w:rsid w:val="007224A5"/>
    <w:rsid w:val="00722D51"/>
    <w:rsid w:val="00723566"/>
    <w:rsid w:val="0072378E"/>
    <w:rsid w:val="00725127"/>
    <w:rsid w:val="007254EF"/>
    <w:rsid w:val="00726D40"/>
    <w:rsid w:val="00726E6B"/>
    <w:rsid w:val="00727A12"/>
    <w:rsid w:val="007300BC"/>
    <w:rsid w:val="00730B49"/>
    <w:rsid w:val="0073122F"/>
    <w:rsid w:val="007313BE"/>
    <w:rsid w:val="00731790"/>
    <w:rsid w:val="00731914"/>
    <w:rsid w:val="00733C3C"/>
    <w:rsid w:val="00735454"/>
    <w:rsid w:val="00736BED"/>
    <w:rsid w:val="0074174D"/>
    <w:rsid w:val="007432B8"/>
    <w:rsid w:val="00743683"/>
    <w:rsid w:val="00743739"/>
    <w:rsid w:val="00743783"/>
    <w:rsid w:val="007441DD"/>
    <w:rsid w:val="00744C89"/>
    <w:rsid w:val="00745A2E"/>
    <w:rsid w:val="00745AFC"/>
    <w:rsid w:val="00746277"/>
    <w:rsid w:val="0074799B"/>
    <w:rsid w:val="00747E6F"/>
    <w:rsid w:val="00750300"/>
    <w:rsid w:val="00751014"/>
    <w:rsid w:val="0075101B"/>
    <w:rsid w:val="00753D6B"/>
    <w:rsid w:val="007542FD"/>
    <w:rsid w:val="00755238"/>
    <w:rsid w:val="0075622C"/>
    <w:rsid w:val="007563C3"/>
    <w:rsid w:val="00756793"/>
    <w:rsid w:val="007578E2"/>
    <w:rsid w:val="00757EE6"/>
    <w:rsid w:val="00760056"/>
    <w:rsid w:val="00760211"/>
    <w:rsid w:val="00760834"/>
    <w:rsid w:val="00760B16"/>
    <w:rsid w:val="00761016"/>
    <w:rsid w:val="007611BC"/>
    <w:rsid w:val="007613C1"/>
    <w:rsid w:val="00761405"/>
    <w:rsid w:val="00761D19"/>
    <w:rsid w:val="007630AA"/>
    <w:rsid w:val="00764BE9"/>
    <w:rsid w:val="00765A50"/>
    <w:rsid w:val="00766ED7"/>
    <w:rsid w:val="00767C26"/>
    <w:rsid w:val="00771445"/>
    <w:rsid w:val="007741A0"/>
    <w:rsid w:val="007750B1"/>
    <w:rsid w:val="007761B4"/>
    <w:rsid w:val="007763EF"/>
    <w:rsid w:val="007772B4"/>
    <w:rsid w:val="00777A15"/>
    <w:rsid w:val="00777C27"/>
    <w:rsid w:val="00780221"/>
    <w:rsid w:val="007811C1"/>
    <w:rsid w:val="00782344"/>
    <w:rsid w:val="00783507"/>
    <w:rsid w:val="0078474B"/>
    <w:rsid w:val="00785232"/>
    <w:rsid w:val="00785273"/>
    <w:rsid w:val="007858E0"/>
    <w:rsid w:val="00785BE2"/>
    <w:rsid w:val="0078647C"/>
    <w:rsid w:val="0078688A"/>
    <w:rsid w:val="00786E0D"/>
    <w:rsid w:val="00787CB2"/>
    <w:rsid w:val="00790690"/>
    <w:rsid w:val="007910A8"/>
    <w:rsid w:val="007912D8"/>
    <w:rsid w:val="00791E58"/>
    <w:rsid w:val="00793633"/>
    <w:rsid w:val="00794424"/>
    <w:rsid w:val="00795627"/>
    <w:rsid w:val="00795E61"/>
    <w:rsid w:val="00795F47"/>
    <w:rsid w:val="00796C3D"/>
    <w:rsid w:val="0079798B"/>
    <w:rsid w:val="00797EDE"/>
    <w:rsid w:val="007A0870"/>
    <w:rsid w:val="007A1F55"/>
    <w:rsid w:val="007A2B64"/>
    <w:rsid w:val="007A4066"/>
    <w:rsid w:val="007A5EFC"/>
    <w:rsid w:val="007A6A8E"/>
    <w:rsid w:val="007A6D01"/>
    <w:rsid w:val="007A6DF4"/>
    <w:rsid w:val="007A6F70"/>
    <w:rsid w:val="007A77D8"/>
    <w:rsid w:val="007B0412"/>
    <w:rsid w:val="007B1112"/>
    <w:rsid w:val="007B234B"/>
    <w:rsid w:val="007B304F"/>
    <w:rsid w:val="007B4520"/>
    <w:rsid w:val="007B49C8"/>
    <w:rsid w:val="007B5F10"/>
    <w:rsid w:val="007B5F21"/>
    <w:rsid w:val="007B682A"/>
    <w:rsid w:val="007B7DFF"/>
    <w:rsid w:val="007C0225"/>
    <w:rsid w:val="007C07F6"/>
    <w:rsid w:val="007C1CB5"/>
    <w:rsid w:val="007C2830"/>
    <w:rsid w:val="007C2C9D"/>
    <w:rsid w:val="007C2DC8"/>
    <w:rsid w:val="007C3E3B"/>
    <w:rsid w:val="007C4725"/>
    <w:rsid w:val="007C4782"/>
    <w:rsid w:val="007C4AF3"/>
    <w:rsid w:val="007C6539"/>
    <w:rsid w:val="007C6F71"/>
    <w:rsid w:val="007C6FD4"/>
    <w:rsid w:val="007C7F3A"/>
    <w:rsid w:val="007D0055"/>
    <w:rsid w:val="007D1883"/>
    <w:rsid w:val="007D1DEB"/>
    <w:rsid w:val="007D1F2A"/>
    <w:rsid w:val="007D20DD"/>
    <w:rsid w:val="007D2D22"/>
    <w:rsid w:val="007D50E0"/>
    <w:rsid w:val="007D5285"/>
    <w:rsid w:val="007D56F4"/>
    <w:rsid w:val="007D62ED"/>
    <w:rsid w:val="007D634A"/>
    <w:rsid w:val="007D65D0"/>
    <w:rsid w:val="007E1677"/>
    <w:rsid w:val="007E1879"/>
    <w:rsid w:val="007E2A77"/>
    <w:rsid w:val="007E3706"/>
    <w:rsid w:val="007E3AD4"/>
    <w:rsid w:val="007E5710"/>
    <w:rsid w:val="007E5FFE"/>
    <w:rsid w:val="007E70B6"/>
    <w:rsid w:val="007E7767"/>
    <w:rsid w:val="007E77D2"/>
    <w:rsid w:val="007E7B61"/>
    <w:rsid w:val="007F002A"/>
    <w:rsid w:val="007F15B6"/>
    <w:rsid w:val="007F1A42"/>
    <w:rsid w:val="007F1C5B"/>
    <w:rsid w:val="007F366F"/>
    <w:rsid w:val="007F49E3"/>
    <w:rsid w:val="007F53C3"/>
    <w:rsid w:val="007F5877"/>
    <w:rsid w:val="007F5ABE"/>
    <w:rsid w:val="007F6112"/>
    <w:rsid w:val="007F6A75"/>
    <w:rsid w:val="00800FEF"/>
    <w:rsid w:val="0080120E"/>
    <w:rsid w:val="00802727"/>
    <w:rsid w:val="00803101"/>
    <w:rsid w:val="008043CE"/>
    <w:rsid w:val="00804CA6"/>
    <w:rsid w:val="00804E36"/>
    <w:rsid w:val="00805A56"/>
    <w:rsid w:val="00806B55"/>
    <w:rsid w:val="00806DFF"/>
    <w:rsid w:val="008100E4"/>
    <w:rsid w:val="00811293"/>
    <w:rsid w:val="00811813"/>
    <w:rsid w:val="00811AA5"/>
    <w:rsid w:val="00812A01"/>
    <w:rsid w:val="00812CC0"/>
    <w:rsid w:val="00814C5D"/>
    <w:rsid w:val="00815F30"/>
    <w:rsid w:val="00816F8B"/>
    <w:rsid w:val="008174AF"/>
    <w:rsid w:val="0081760C"/>
    <w:rsid w:val="00820503"/>
    <w:rsid w:val="0082069B"/>
    <w:rsid w:val="00820E28"/>
    <w:rsid w:val="00820EB2"/>
    <w:rsid w:val="00822090"/>
    <w:rsid w:val="00822222"/>
    <w:rsid w:val="0082261A"/>
    <w:rsid w:val="00823D5E"/>
    <w:rsid w:val="0082459B"/>
    <w:rsid w:val="00824B4A"/>
    <w:rsid w:val="00826F73"/>
    <w:rsid w:val="008277A9"/>
    <w:rsid w:val="00830FC2"/>
    <w:rsid w:val="00832F15"/>
    <w:rsid w:val="00832FB5"/>
    <w:rsid w:val="00833E09"/>
    <w:rsid w:val="0083428C"/>
    <w:rsid w:val="00834C40"/>
    <w:rsid w:val="00835213"/>
    <w:rsid w:val="00835678"/>
    <w:rsid w:val="0083608A"/>
    <w:rsid w:val="0083675A"/>
    <w:rsid w:val="00836F07"/>
    <w:rsid w:val="00840143"/>
    <w:rsid w:val="00840F14"/>
    <w:rsid w:val="00841518"/>
    <w:rsid w:val="00841FD8"/>
    <w:rsid w:val="00842A6E"/>
    <w:rsid w:val="00843722"/>
    <w:rsid w:val="00843E88"/>
    <w:rsid w:val="0084482F"/>
    <w:rsid w:val="00845437"/>
    <w:rsid w:val="00846989"/>
    <w:rsid w:val="00846C92"/>
    <w:rsid w:val="00847642"/>
    <w:rsid w:val="008478BE"/>
    <w:rsid w:val="00847995"/>
    <w:rsid w:val="00850B5D"/>
    <w:rsid w:val="00850D28"/>
    <w:rsid w:val="008510B3"/>
    <w:rsid w:val="008512F5"/>
    <w:rsid w:val="008513EC"/>
    <w:rsid w:val="00851514"/>
    <w:rsid w:val="008517A4"/>
    <w:rsid w:val="00851818"/>
    <w:rsid w:val="0085237E"/>
    <w:rsid w:val="0085253C"/>
    <w:rsid w:val="00852B38"/>
    <w:rsid w:val="008536C8"/>
    <w:rsid w:val="0085373E"/>
    <w:rsid w:val="00853DA1"/>
    <w:rsid w:val="008542A4"/>
    <w:rsid w:val="008542CD"/>
    <w:rsid w:val="00854A1C"/>
    <w:rsid w:val="008574CE"/>
    <w:rsid w:val="00857919"/>
    <w:rsid w:val="00860AEB"/>
    <w:rsid w:val="0086138F"/>
    <w:rsid w:val="008618F4"/>
    <w:rsid w:val="00862388"/>
    <w:rsid w:val="008628EC"/>
    <w:rsid w:val="00863879"/>
    <w:rsid w:val="00863D60"/>
    <w:rsid w:val="00865067"/>
    <w:rsid w:val="00865A0A"/>
    <w:rsid w:val="0086677D"/>
    <w:rsid w:val="00866F9B"/>
    <w:rsid w:val="00867D78"/>
    <w:rsid w:val="00867DD4"/>
    <w:rsid w:val="00867E0E"/>
    <w:rsid w:val="00870163"/>
    <w:rsid w:val="00871FE4"/>
    <w:rsid w:val="008721BF"/>
    <w:rsid w:val="00872683"/>
    <w:rsid w:val="008730DF"/>
    <w:rsid w:val="00873E1A"/>
    <w:rsid w:val="008740D4"/>
    <w:rsid w:val="008745D8"/>
    <w:rsid w:val="00874CFD"/>
    <w:rsid w:val="00875114"/>
    <w:rsid w:val="0087530A"/>
    <w:rsid w:val="008755D9"/>
    <w:rsid w:val="00876126"/>
    <w:rsid w:val="00876D97"/>
    <w:rsid w:val="00877157"/>
    <w:rsid w:val="008772A4"/>
    <w:rsid w:val="00877A95"/>
    <w:rsid w:val="00877CA1"/>
    <w:rsid w:val="0088079F"/>
    <w:rsid w:val="008837B9"/>
    <w:rsid w:val="00883DED"/>
    <w:rsid w:val="00884435"/>
    <w:rsid w:val="00885346"/>
    <w:rsid w:val="0088607F"/>
    <w:rsid w:val="008863F4"/>
    <w:rsid w:val="00887678"/>
    <w:rsid w:val="00890868"/>
    <w:rsid w:val="00891DB5"/>
    <w:rsid w:val="0089239A"/>
    <w:rsid w:val="00892DBE"/>
    <w:rsid w:val="00893DD9"/>
    <w:rsid w:val="00894889"/>
    <w:rsid w:val="00894E0B"/>
    <w:rsid w:val="008957D8"/>
    <w:rsid w:val="0089592D"/>
    <w:rsid w:val="00896204"/>
    <w:rsid w:val="0089647B"/>
    <w:rsid w:val="008A1492"/>
    <w:rsid w:val="008A1BAD"/>
    <w:rsid w:val="008A2ED5"/>
    <w:rsid w:val="008A3636"/>
    <w:rsid w:val="008A366A"/>
    <w:rsid w:val="008A39C4"/>
    <w:rsid w:val="008A419E"/>
    <w:rsid w:val="008A4E7E"/>
    <w:rsid w:val="008A5CC7"/>
    <w:rsid w:val="008A790A"/>
    <w:rsid w:val="008A79B3"/>
    <w:rsid w:val="008A7CD0"/>
    <w:rsid w:val="008B190B"/>
    <w:rsid w:val="008B2460"/>
    <w:rsid w:val="008B2686"/>
    <w:rsid w:val="008B3532"/>
    <w:rsid w:val="008B39A2"/>
    <w:rsid w:val="008B3E67"/>
    <w:rsid w:val="008B59F8"/>
    <w:rsid w:val="008B6073"/>
    <w:rsid w:val="008B6C73"/>
    <w:rsid w:val="008B7513"/>
    <w:rsid w:val="008B7B15"/>
    <w:rsid w:val="008C0A40"/>
    <w:rsid w:val="008C11E4"/>
    <w:rsid w:val="008C2278"/>
    <w:rsid w:val="008C2818"/>
    <w:rsid w:val="008C3765"/>
    <w:rsid w:val="008C3AAF"/>
    <w:rsid w:val="008C6100"/>
    <w:rsid w:val="008C615E"/>
    <w:rsid w:val="008C66D2"/>
    <w:rsid w:val="008C7054"/>
    <w:rsid w:val="008C7A87"/>
    <w:rsid w:val="008D07A6"/>
    <w:rsid w:val="008D20AC"/>
    <w:rsid w:val="008D215B"/>
    <w:rsid w:val="008D5D42"/>
    <w:rsid w:val="008D60D0"/>
    <w:rsid w:val="008D79DD"/>
    <w:rsid w:val="008E0A0D"/>
    <w:rsid w:val="008E0E33"/>
    <w:rsid w:val="008E118E"/>
    <w:rsid w:val="008E25A3"/>
    <w:rsid w:val="008E33C2"/>
    <w:rsid w:val="008E37DE"/>
    <w:rsid w:val="008E3B2B"/>
    <w:rsid w:val="008E4FC4"/>
    <w:rsid w:val="008E626A"/>
    <w:rsid w:val="008E6D32"/>
    <w:rsid w:val="008F077C"/>
    <w:rsid w:val="008F0D83"/>
    <w:rsid w:val="008F12FE"/>
    <w:rsid w:val="008F1729"/>
    <w:rsid w:val="008F31EA"/>
    <w:rsid w:val="008F38FF"/>
    <w:rsid w:val="008F6181"/>
    <w:rsid w:val="008F6E02"/>
    <w:rsid w:val="008F71F8"/>
    <w:rsid w:val="008F72A3"/>
    <w:rsid w:val="00901894"/>
    <w:rsid w:val="00901EF9"/>
    <w:rsid w:val="009022CB"/>
    <w:rsid w:val="00902D1C"/>
    <w:rsid w:val="00903FE5"/>
    <w:rsid w:val="009049AA"/>
    <w:rsid w:val="00904F65"/>
    <w:rsid w:val="009058DC"/>
    <w:rsid w:val="00906FA3"/>
    <w:rsid w:val="0090710D"/>
    <w:rsid w:val="00912E89"/>
    <w:rsid w:val="00913A98"/>
    <w:rsid w:val="0091497C"/>
    <w:rsid w:val="009150C7"/>
    <w:rsid w:val="009151E6"/>
    <w:rsid w:val="009154F3"/>
    <w:rsid w:val="009159A6"/>
    <w:rsid w:val="00917CFF"/>
    <w:rsid w:val="00921014"/>
    <w:rsid w:val="009213B6"/>
    <w:rsid w:val="0092165D"/>
    <w:rsid w:val="009216D4"/>
    <w:rsid w:val="00921813"/>
    <w:rsid w:val="0092209D"/>
    <w:rsid w:val="009233D7"/>
    <w:rsid w:val="009235E8"/>
    <w:rsid w:val="00924EE5"/>
    <w:rsid w:val="0092540E"/>
    <w:rsid w:val="009267CC"/>
    <w:rsid w:val="009277E3"/>
    <w:rsid w:val="00931334"/>
    <w:rsid w:val="00932558"/>
    <w:rsid w:val="00932667"/>
    <w:rsid w:val="00933081"/>
    <w:rsid w:val="00933D84"/>
    <w:rsid w:val="00936C56"/>
    <w:rsid w:val="00936E15"/>
    <w:rsid w:val="00936E23"/>
    <w:rsid w:val="00936EA7"/>
    <w:rsid w:val="00937304"/>
    <w:rsid w:val="0093738F"/>
    <w:rsid w:val="009411C0"/>
    <w:rsid w:val="0094280D"/>
    <w:rsid w:val="009433CB"/>
    <w:rsid w:val="0094379B"/>
    <w:rsid w:val="00943FDD"/>
    <w:rsid w:val="00944F61"/>
    <w:rsid w:val="00945348"/>
    <w:rsid w:val="0094707B"/>
    <w:rsid w:val="00947BDC"/>
    <w:rsid w:val="00947C2F"/>
    <w:rsid w:val="009501FD"/>
    <w:rsid w:val="0095041A"/>
    <w:rsid w:val="00950C58"/>
    <w:rsid w:val="00950D4C"/>
    <w:rsid w:val="00951BD8"/>
    <w:rsid w:val="0095253E"/>
    <w:rsid w:val="009532A6"/>
    <w:rsid w:val="00954C5D"/>
    <w:rsid w:val="00955763"/>
    <w:rsid w:val="009607DB"/>
    <w:rsid w:val="00960B8B"/>
    <w:rsid w:val="00960F49"/>
    <w:rsid w:val="009611CF"/>
    <w:rsid w:val="00961974"/>
    <w:rsid w:val="00961A38"/>
    <w:rsid w:val="00962015"/>
    <w:rsid w:val="0096297A"/>
    <w:rsid w:val="00964A38"/>
    <w:rsid w:val="00965342"/>
    <w:rsid w:val="0096573F"/>
    <w:rsid w:val="00965BCB"/>
    <w:rsid w:val="00965EC6"/>
    <w:rsid w:val="0097034D"/>
    <w:rsid w:val="009710A3"/>
    <w:rsid w:val="009710C2"/>
    <w:rsid w:val="009714F1"/>
    <w:rsid w:val="009734B4"/>
    <w:rsid w:val="00973C8B"/>
    <w:rsid w:val="009753E4"/>
    <w:rsid w:val="00976A8D"/>
    <w:rsid w:val="00976EA1"/>
    <w:rsid w:val="009773CF"/>
    <w:rsid w:val="009807C2"/>
    <w:rsid w:val="00981B76"/>
    <w:rsid w:val="0098245B"/>
    <w:rsid w:val="00982471"/>
    <w:rsid w:val="00984576"/>
    <w:rsid w:val="009852D9"/>
    <w:rsid w:val="0098541A"/>
    <w:rsid w:val="00987BC0"/>
    <w:rsid w:val="00987E08"/>
    <w:rsid w:val="00987F10"/>
    <w:rsid w:val="00990C79"/>
    <w:rsid w:val="0099166D"/>
    <w:rsid w:val="0099169D"/>
    <w:rsid w:val="00991C5A"/>
    <w:rsid w:val="00991D48"/>
    <w:rsid w:val="00992037"/>
    <w:rsid w:val="00992884"/>
    <w:rsid w:val="00994600"/>
    <w:rsid w:val="009950F3"/>
    <w:rsid w:val="00995315"/>
    <w:rsid w:val="00995521"/>
    <w:rsid w:val="0099640F"/>
    <w:rsid w:val="009968F3"/>
    <w:rsid w:val="009A0713"/>
    <w:rsid w:val="009A163A"/>
    <w:rsid w:val="009A1660"/>
    <w:rsid w:val="009A22F8"/>
    <w:rsid w:val="009A2331"/>
    <w:rsid w:val="009A23C4"/>
    <w:rsid w:val="009A45E2"/>
    <w:rsid w:val="009A4828"/>
    <w:rsid w:val="009A4C1E"/>
    <w:rsid w:val="009A664D"/>
    <w:rsid w:val="009A67C0"/>
    <w:rsid w:val="009A7EB9"/>
    <w:rsid w:val="009B0355"/>
    <w:rsid w:val="009B1DC9"/>
    <w:rsid w:val="009B1F5B"/>
    <w:rsid w:val="009B46A6"/>
    <w:rsid w:val="009B4A30"/>
    <w:rsid w:val="009B4C32"/>
    <w:rsid w:val="009B55CE"/>
    <w:rsid w:val="009B644F"/>
    <w:rsid w:val="009B6702"/>
    <w:rsid w:val="009B6C93"/>
    <w:rsid w:val="009B7D34"/>
    <w:rsid w:val="009C01A1"/>
    <w:rsid w:val="009C07E8"/>
    <w:rsid w:val="009C08A1"/>
    <w:rsid w:val="009C1493"/>
    <w:rsid w:val="009C2301"/>
    <w:rsid w:val="009C2517"/>
    <w:rsid w:val="009C38E4"/>
    <w:rsid w:val="009C3C3D"/>
    <w:rsid w:val="009C3DEF"/>
    <w:rsid w:val="009C43B2"/>
    <w:rsid w:val="009C4587"/>
    <w:rsid w:val="009C4A87"/>
    <w:rsid w:val="009C4D3B"/>
    <w:rsid w:val="009C564D"/>
    <w:rsid w:val="009C60DE"/>
    <w:rsid w:val="009C6CD1"/>
    <w:rsid w:val="009C7C48"/>
    <w:rsid w:val="009D0ADB"/>
    <w:rsid w:val="009D0F6A"/>
    <w:rsid w:val="009D28C3"/>
    <w:rsid w:val="009D2AF4"/>
    <w:rsid w:val="009D2DDA"/>
    <w:rsid w:val="009D3F00"/>
    <w:rsid w:val="009D440E"/>
    <w:rsid w:val="009D507B"/>
    <w:rsid w:val="009D6579"/>
    <w:rsid w:val="009D77D5"/>
    <w:rsid w:val="009D7BDA"/>
    <w:rsid w:val="009D7CD8"/>
    <w:rsid w:val="009E05D9"/>
    <w:rsid w:val="009E06F2"/>
    <w:rsid w:val="009E0846"/>
    <w:rsid w:val="009E28B5"/>
    <w:rsid w:val="009E297A"/>
    <w:rsid w:val="009E29C5"/>
    <w:rsid w:val="009E2A93"/>
    <w:rsid w:val="009E3A61"/>
    <w:rsid w:val="009E4537"/>
    <w:rsid w:val="009E4855"/>
    <w:rsid w:val="009E4889"/>
    <w:rsid w:val="009E52B9"/>
    <w:rsid w:val="009E6533"/>
    <w:rsid w:val="009E6644"/>
    <w:rsid w:val="009E679E"/>
    <w:rsid w:val="009F12C1"/>
    <w:rsid w:val="009F3085"/>
    <w:rsid w:val="009F4BA7"/>
    <w:rsid w:val="009F5E0F"/>
    <w:rsid w:val="009F7308"/>
    <w:rsid w:val="009F75B5"/>
    <w:rsid w:val="00A0023D"/>
    <w:rsid w:val="00A00666"/>
    <w:rsid w:val="00A011DA"/>
    <w:rsid w:val="00A0150C"/>
    <w:rsid w:val="00A01783"/>
    <w:rsid w:val="00A01DCE"/>
    <w:rsid w:val="00A028B8"/>
    <w:rsid w:val="00A0320B"/>
    <w:rsid w:val="00A032B0"/>
    <w:rsid w:val="00A04820"/>
    <w:rsid w:val="00A0711D"/>
    <w:rsid w:val="00A073E3"/>
    <w:rsid w:val="00A07BD5"/>
    <w:rsid w:val="00A1028A"/>
    <w:rsid w:val="00A116DD"/>
    <w:rsid w:val="00A125CE"/>
    <w:rsid w:val="00A1273B"/>
    <w:rsid w:val="00A141C0"/>
    <w:rsid w:val="00A15AD0"/>
    <w:rsid w:val="00A171CC"/>
    <w:rsid w:val="00A17325"/>
    <w:rsid w:val="00A17472"/>
    <w:rsid w:val="00A17491"/>
    <w:rsid w:val="00A17B99"/>
    <w:rsid w:val="00A17C11"/>
    <w:rsid w:val="00A17CED"/>
    <w:rsid w:val="00A20640"/>
    <w:rsid w:val="00A20F11"/>
    <w:rsid w:val="00A21028"/>
    <w:rsid w:val="00A21151"/>
    <w:rsid w:val="00A22775"/>
    <w:rsid w:val="00A22EFC"/>
    <w:rsid w:val="00A237FB"/>
    <w:rsid w:val="00A24B67"/>
    <w:rsid w:val="00A25AAF"/>
    <w:rsid w:val="00A25DF6"/>
    <w:rsid w:val="00A2631E"/>
    <w:rsid w:val="00A273B8"/>
    <w:rsid w:val="00A274E3"/>
    <w:rsid w:val="00A277CF"/>
    <w:rsid w:val="00A27BBD"/>
    <w:rsid w:val="00A3151D"/>
    <w:rsid w:val="00A32E78"/>
    <w:rsid w:val="00A330DC"/>
    <w:rsid w:val="00A3327D"/>
    <w:rsid w:val="00A33874"/>
    <w:rsid w:val="00A33D3C"/>
    <w:rsid w:val="00A34A91"/>
    <w:rsid w:val="00A34AB9"/>
    <w:rsid w:val="00A36286"/>
    <w:rsid w:val="00A37041"/>
    <w:rsid w:val="00A405BE"/>
    <w:rsid w:val="00A40D3D"/>
    <w:rsid w:val="00A41B47"/>
    <w:rsid w:val="00A41C0C"/>
    <w:rsid w:val="00A4339E"/>
    <w:rsid w:val="00A43634"/>
    <w:rsid w:val="00A43B80"/>
    <w:rsid w:val="00A43C0B"/>
    <w:rsid w:val="00A43CC2"/>
    <w:rsid w:val="00A43E18"/>
    <w:rsid w:val="00A4422C"/>
    <w:rsid w:val="00A4534B"/>
    <w:rsid w:val="00A455A5"/>
    <w:rsid w:val="00A466CB"/>
    <w:rsid w:val="00A46D5D"/>
    <w:rsid w:val="00A502A8"/>
    <w:rsid w:val="00A50E1F"/>
    <w:rsid w:val="00A5171B"/>
    <w:rsid w:val="00A52032"/>
    <w:rsid w:val="00A52603"/>
    <w:rsid w:val="00A52F02"/>
    <w:rsid w:val="00A53A45"/>
    <w:rsid w:val="00A54381"/>
    <w:rsid w:val="00A55075"/>
    <w:rsid w:val="00A5519D"/>
    <w:rsid w:val="00A56238"/>
    <w:rsid w:val="00A568CA"/>
    <w:rsid w:val="00A5752E"/>
    <w:rsid w:val="00A60FC2"/>
    <w:rsid w:val="00A615AB"/>
    <w:rsid w:val="00A6292E"/>
    <w:rsid w:val="00A62B8B"/>
    <w:rsid w:val="00A6328A"/>
    <w:rsid w:val="00A6457E"/>
    <w:rsid w:val="00A64CEF"/>
    <w:rsid w:val="00A65802"/>
    <w:rsid w:val="00A65EEF"/>
    <w:rsid w:val="00A66305"/>
    <w:rsid w:val="00A67011"/>
    <w:rsid w:val="00A672E3"/>
    <w:rsid w:val="00A7014B"/>
    <w:rsid w:val="00A70B5F"/>
    <w:rsid w:val="00A71BB2"/>
    <w:rsid w:val="00A71F1E"/>
    <w:rsid w:val="00A72544"/>
    <w:rsid w:val="00A727F2"/>
    <w:rsid w:val="00A72928"/>
    <w:rsid w:val="00A73421"/>
    <w:rsid w:val="00A7439B"/>
    <w:rsid w:val="00A746B2"/>
    <w:rsid w:val="00A7509C"/>
    <w:rsid w:val="00A75858"/>
    <w:rsid w:val="00A75D2A"/>
    <w:rsid w:val="00A75D4D"/>
    <w:rsid w:val="00A76667"/>
    <w:rsid w:val="00A7686C"/>
    <w:rsid w:val="00A77CB7"/>
    <w:rsid w:val="00A801E1"/>
    <w:rsid w:val="00A8135A"/>
    <w:rsid w:val="00A815F9"/>
    <w:rsid w:val="00A81A74"/>
    <w:rsid w:val="00A81E46"/>
    <w:rsid w:val="00A8332D"/>
    <w:rsid w:val="00A83B31"/>
    <w:rsid w:val="00A8432E"/>
    <w:rsid w:val="00A85745"/>
    <w:rsid w:val="00A85A4A"/>
    <w:rsid w:val="00A861FA"/>
    <w:rsid w:val="00A8691D"/>
    <w:rsid w:val="00A90337"/>
    <w:rsid w:val="00A9038A"/>
    <w:rsid w:val="00A90468"/>
    <w:rsid w:val="00A910FA"/>
    <w:rsid w:val="00A91536"/>
    <w:rsid w:val="00A91681"/>
    <w:rsid w:val="00A9182A"/>
    <w:rsid w:val="00A92FD3"/>
    <w:rsid w:val="00A95695"/>
    <w:rsid w:val="00A965E6"/>
    <w:rsid w:val="00A96A50"/>
    <w:rsid w:val="00A96AC8"/>
    <w:rsid w:val="00A97E8A"/>
    <w:rsid w:val="00AA187D"/>
    <w:rsid w:val="00AA2BD8"/>
    <w:rsid w:val="00AA2D28"/>
    <w:rsid w:val="00AA34F6"/>
    <w:rsid w:val="00AA38C8"/>
    <w:rsid w:val="00AA396D"/>
    <w:rsid w:val="00AA3A09"/>
    <w:rsid w:val="00AA54DF"/>
    <w:rsid w:val="00AA5D17"/>
    <w:rsid w:val="00AA6062"/>
    <w:rsid w:val="00AA6AE0"/>
    <w:rsid w:val="00AA7159"/>
    <w:rsid w:val="00AB037B"/>
    <w:rsid w:val="00AB0E20"/>
    <w:rsid w:val="00AB18D8"/>
    <w:rsid w:val="00AB25D8"/>
    <w:rsid w:val="00AB2816"/>
    <w:rsid w:val="00AB485B"/>
    <w:rsid w:val="00AB5438"/>
    <w:rsid w:val="00AB58E3"/>
    <w:rsid w:val="00AB5953"/>
    <w:rsid w:val="00AB78B7"/>
    <w:rsid w:val="00AC05D7"/>
    <w:rsid w:val="00AC1687"/>
    <w:rsid w:val="00AC28C4"/>
    <w:rsid w:val="00AC37DD"/>
    <w:rsid w:val="00AC431D"/>
    <w:rsid w:val="00AC528C"/>
    <w:rsid w:val="00AC5455"/>
    <w:rsid w:val="00AC5EC8"/>
    <w:rsid w:val="00AD0365"/>
    <w:rsid w:val="00AD0558"/>
    <w:rsid w:val="00AD1014"/>
    <w:rsid w:val="00AD1DE8"/>
    <w:rsid w:val="00AD1FF8"/>
    <w:rsid w:val="00AD2F05"/>
    <w:rsid w:val="00AD380C"/>
    <w:rsid w:val="00AD44F6"/>
    <w:rsid w:val="00AD636F"/>
    <w:rsid w:val="00AD66D9"/>
    <w:rsid w:val="00AD67B3"/>
    <w:rsid w:val="00AD7171"/>
    <w:rsid w:val="00AE0DD5"/>
    <w:rsid w:val="00AE131B"/>
    <w:rsid w:val="00AE214B"/>
    <w:rsid w:val="00AE29C5"/>
    <w:rsid w:val="00AE34F2"/>
    <w:rsid w:val="00AE3FCB"/>
    <w:rsid w:val="00AE454F"/>
    <w:rsid w:val="00AE489E"/>
    <w:rsid w:val="00AE5CC2"/>
    <w:rsid w:val="00AE6A77"/>
    <w:rsid w:val="00AE7E20"/>
    <w:rsid w:val="00AF00F4"/>
    <w:rsid w:val="00AF02B2"/>
    <w:rsid w:val="00AF0814"/>
    <w:rsid w:val="00AF1690"/>
    <w:rsid w:val="00AF1A2B"/>
    <w:rsid w:val="00AF2ACF"/>
    <w:rsid w:val="00AF3507"/>
    <w:rsid w:val="00AF3988"/>
    <w:rsid w:val="00AF574E"/>
    <w:rsid w:val="00AF5AF9"/>
    <w:rsid w:val="00AF7B49"/>
    <w:rsid w:val="00AF7CBD"/>
    <w:rsid w:val="00AF7F94"/>
    <w:rsid w:val="00B00CC7"/>
    <w:rsid w:val="00B00D6C"/>
    <w:rsid w:val="00B020C8"/>
    <w:rsid w:val="00B026B0"/>
    <w:rsid w:val="00B037F2"/>
    <w:rsid w:val="00B03A15"/>
    <w:rsid w:val="00B04D8F"/>
    <w:rsid w:val="00B06ACB"/>
    <w:rsid w:val="00B07209"/>
    <w:rsid w:val="00B07250"/>
    <w:rsid w:val="00B0783E"/>
    <w:rsid w:val="00B07E3A"/>
    <w:rsid w:val="00B10744"/>
    <w:rsid w:val="00B10DF3"/>
    <w:rsid w:val="00B10E7B"/>
    <w:rsid w:val="00B1166E"/>
    <w:rsid w:val="00B117DD"/>
    <w:rsid w:val="00B11878"/>
    <w:rsid w:val="00B11E73"/>
    <w:rsid w:val="00B12136"/>
    <w:rsid w:val="00B1258D"/>
    <w:rsid w:val="00B127AB"/>
    <w:rsid w:val="00B12C3D"/>
    <w:rsid w:val="00B143A4"/>
    <w:rsid w:val="00B147C0"/>
    <w:rsid w:val="00B14AD0"/>
    <w:rsid w:val="00B14E21"/>
    <w:rsid w:val="00B15673"/>
    <w:rsid w:val="00B157D4"/>
    <w:rsid w:val="00B16A2D"/>
    <w:rsid w:val="00B21949"/>
    <w:rsid w:val="00B21F95"/>
    <w:rsid w:val="00B220C7"/>
    <w:rsid w:val="00B25AA8"/>
    <w:rsid w:val="00B25E7F"/>
    <w:rsid w:val="00B269B1"/>
    <w:rsid w:val="00B27178"/>
    <w:rsid w:val="00B27242"/>
    <w:rsid w:val="00B27408"/>
    <w:rsid w:val="00B277D8"/>
    <w:rsid w:val="00B30364"/>
    <w:rsid w:val="00B30DA4"/>
    <w:rsid w:val="00B313AD"/>
    <w:rsid w:val="00B31403"/>
    <w:rsid w:val="00B319E7"/>
    <w:rsid w:val="00B32BDE"/>
    <w:rsid w:val="00B33F5A"/>
    <w:rsid w:val="00B342BE"/>
    <w:rsid w:val="00B353EC"/>
    <w:rsid w:val="00B36545"/>
    <w:rsid w:val="00B3792B"/>
    <w:rsid w:val="00B37E9F"/>
    <w:rsid w:val="00B41290"/>
    <w:rsid w:val="00B424E6"/>
    <w:rsid w:val="00B43911"/>
    <w:rsid w:val="00B43F49"/>
    <w:rsid w:val="00B4772D"/>
    <w:rsid w:val="00B50465"/>
    <w:rsid w:val="00B51403"/>
    <w:rsid w:val="00B51767"/>
    <w:rsid w:val="00B52072"/>
    <w:rsid w:val="00B5221E"/>
    <w:rsid w:val="00B52245"/>
    <w:rsid w:val="00B528F9"/>
    <w:rsid w:val="00B536ED"/>
    <w:rsid w:val="00B54C2E"/>
    <w:rsid w:val="00B56137"/>
    <w:rsid w:val="00B57446"/>
    <w:rsid w:val="00B57AF2"/>
    <w:rsid w:val="00B602E6"/>
    <w:rsid w:val="00B6156B"/>
    <w:rsid w:val="00B61CE1"/>
    <w:rsid w:val="00B626D6"/>
    <w:rsid w:val="00B63EEF"/>
    <w:rsid w:val="00B65477"/>
    <w:rsid w:val="00B6582F"/>
    <w:rsid w:val="00B65B45"/>
    <w:rsid w:val="00B65CDB"/>
    <w:rsid w:val="00B66F4A"/>
    <w:rsid w:val="00B71DAA"/>
    <w:rsid w:val="00B71E44"/>
    <w:rsid w:val="00B724A8"/>
    <w:rsid w:val="00B72A5D"/>
    <w:rsid w:val="00B72C26"/>
    <w:rsid w:val="00B72C8C"/>
    <w:rsid w:val="00B72D56"/>
    <w:rsid w:val="00B73341"/>
    <w:rsid w:val="00B73A9B"/>
    <w:rsid w:val="00B73D34"/>
    <w:rsid w:val="00B75E5B"/>
    <w:rsid w:val="00B75E9E"/>
    <w:rsid w:val="00B75EFB"/>
    <w:rsid w:val="00B76385"/>
    <w:rsid w:val="00B773C9"/>
    <w:rsid w:val="00B77451"/>
    <w:rsid w:val="00B8023A"/>
    <w:rsid w:val="00B804E9"/>
    <w:rsid w:val="00B81C21"/>
    <w:rsid w:val="00B81EC7"/>
    <w:rsid w:val="00B8224E"/>
    <w:rsid w:val="00B8404A"/>
    <w:rsid w:val="00B84DEB"/>
    <w:rsid w:val="00B85023"/>
    <w:rsid w:val="00B8589C"/>
    <w:rsid w:val="00B85E71"/>
    <w:rsid w:val="00B86A9F"/>
    <w:rsid w:val="00B86BDA"/>
    <w:rsid w:val="00B87184"/>
    <w:rsid w:val="00B9035C"/>
    <w:rsid w:val="00B9051E"/>
    <w:rsid w:val="00B90549"/>
    <w:rsid w:val="00B90605"/>
    <w:rsid w:val="00B907F0"/>
    <w:rsid w:val="00B912C5"/>
    <w:rsid w:val="00B92320"/>
    <w:rsid w:val="00B92D2F"/>
    <w:rsid w:val="00B93179"/>
    <w:rsid w:val="00B942D7"/>
    <w:rsid w:val="00B95DE8"/>
    <w:rsid w:val="00B975FE"/>
    <w:rsid w:val="00BA0B90"/>
    <w:rsid w:val="00BA0F38"/>
    <w:rsid w:val="00BA1044"/>
    <w:rsid w:val="00BA29D2"/>
    <w:rsid w:val="00BA31E2"/>
    <w:rsid w:val="00BA353B"/>
    <w:rsid w:val="00BA4E2A"/>
    <w:rsid w:val="00BA5821"/>
    <w:rsid w:val="00BA59A6"/>
    <w:rsid w:val="00BA59D3"/>
    <w:rsid w:val="00BA6CAB"/>
    <w:rsid w:val="00BA6D6D"/>
    <w:rsid w:val="00BB0FC0"/>
    <w:rsid w:val="00BB177E"/>
    <w:rsid w:val="00BB1907"/>
    <w:rsid w:val="00BB2805"/>
    <w:rsid w:val="00BB35B0"/>
    <w:rsid w:val="00BB447E"/>
    <w:rsid w:val="00BB45FE"/>
    <w:rsid w:val="00BB4B21"/>
    <w:rsid w:val="00BB4C60"/>
    <w:rsid w:val="00BB683D"/>
    <w:rsid w:val="00BB7772"/>
    <w:rsid w:val="00BB7B80"/>
    <w:rsid w:val="00BC1915"/>
    <w:rsid w:val="00BC1E29"/>
    <w:rsid w:val="00BC1E4F"/>
    <w:rsid w:val="00BC214C"/>
    <w:rsid w:val="00BC3504"/>
    <w:rsid w:val="00BC3AE9"/>
    <w:rsid w:val="00BC40E3"/>
    <w:rsid w:val="00BC4C77"/>
    <w:rsid w:val="00BC543F"/>
    <w:rsid w:val="00BC7CA1"/>
    <w:rsid w:val="00BD03C3"/>
    <w:rsid w:val="00BD0FC1"/>
    <w:rsid w:val="00BD2139"/>
    <w:rsid w:val="00BD26E0"/>
    <w:rsid w:val="00BD33C8"/>
    <w:rsid w:val="00BD3B29"/>
    <w:rsid w:val="00BD561F"/>
    <w:rsid w:val="00BD5C41"/>
    <w:rsid w:val="00BD5E7A"/>
    <w:rsid w:val="00BD6A0C"/>
    <w:rsid w:val="00BD6BE8"/>
    <w:rsid w:val="00BD75AA"/>
    <w:rsid w:val="00BE015A"/>
    <w:rsid w:val="00BE0648"/>
    <w:rsid w:val="00BE0DAA"/>
    <w:rsid w:val="00BE140C"/>
    <w:rsid w:val="00BE162A"/>
    <w:rsid w:val="00BE1B18"/>
    <w:rsid w:val="00BE306A"/>
    <w:rsid w:val="00BE5E42"/>
    <w:rsid w:val="00BE67BC"/>
    <w:rsid w:val="00BE7625"/>
    <w:rsid w:val="00BE7856"/>
    <w:rsid w:val="00BF12EB"/>
    <w:rsid w:val="00BF1583"/>
    <w:rsid w:val="00BF1731"/>
    <w:rsid w:val="00BF1F40"/>
    <w:rsid w:val="00BF3EEB"/>
    <w:rsid w:val="00BF4B92"/>
    <w:rsid w:val="00BF4D1E"/>
    <w:rsid w:val="00BF5C7A"/>
    <w:rsid w:val="00BF6631"/>
    <w:rsid w:val="00BF6AB0"/>
    <w:rsid w:val="00C00002"/>
    <w:rsid w:val="00C00BBE"/>
    <w:rsid w:val="00C011FF"/>
    <w:rsid w:val="00C0259A"/>
    <w:rsid w:val="00C02AE0"/>
    <w:rsid w:val="00C03526"/>
    <w:rsid w:val="00C03B99"/>
    <w:rsid w:val="00C03D11"/>
    <w:rsid w:val="00C04F94"/>
    <w:rsid w:val="00C05F6C"/>
    <w:rsid w:val="00C0651A"/>
    <w:rsid w:val="00C1074E"/>
    <w:rsid w:val="00C10EA2"/>
    <w:rsid w:val="00C10F3C"/>
    <w:rsid w:val="00C119B4"/>
    <w:rsid w:val="00C12834"/>
    <w:rsid w:val="00C128D4"/>
    <w:rsid w:val="00C1309A"/>
    <w:rsid w:val="00C1331F"/>
    <w:rsid w:val="00C142F5"/>
    <w:rsid w:val="00C14701"/>
    <w:rsid w:val="00C14D93"/>
    <w:rsid w:val="00C1590A"/>
    <w:rsid w:val="00C15B66"/>
    <w:rsid w:val="00C176B8"/>
    <w:rsid w:val="00C1787C"/>
    <w:rsid w:val="00C17E0E"/>
    <w:rsid w:val="00C201E4"/>
    <w:rsid w:val="00C206C6"/>
    <w:rsid w:val="00C20DB6"/>
    <w:rsid w:val="00C21642"/>
    <w:rsid w:val="00C21BDA"/>
    <w:rsid w:val="00C22193"/>
    <w:rsid w:val="00C245D6"/>
    <w:rsid w:val="00C24D41"/>
    <w:rsid w:val="00C25CF7"/>
    <w:rsid w:val="00C25F06"/>
    <w:rsid w:val="00C3140F"/>
    <w:rsid w:val="00C315AE"/>
    <w:rsid w:val="00C32B43"/>
    <w:rsid w:val="00C32CFD"/>
    <w:rsid w:val="00C336DB"/>
    <w:rsid w:val="00C3446A"/>
    <w:rsid w:val="00C3613D"/>
    <w:rsid w:val="00C375D0"/>
    <w:rsid w:val="00C40889"/>
    <w:rsid w:val="00C422A9"/>
    <w:rsid w:val="00C43B9A"/>
    <w:rsid w:val="00C44314"/>
    <w:rsid w:val="00C44442"/>
    <w:rsid w:val="00C44C0C"/>
    <w:rsid w:val="00C44EE2"/>
    <w:rsid w:val="00C46105"/>
    <w:rsid w:val="00C46BEB"/>
    <w:rsid w:val="00C47496"/>
    <w:rsid w:val="00C50459"/>
    <w:rsid w:val="00C50DBD"/>
    <w:rsid w:val="00C51AAF"/>
    <w:rsid w:val="00C525CF"/>
    <w:rsid w:val="00C53D6D"/>
    <w:rsid w:val="00C555BC"/>
    <w:rsid w:val="00C56B7B"/>
    <w:rsid w:val="00C5785F"/>
    <w:rsid w:val="00C605C2"/>
    <w:rsid w:val="00C60D1D"/>
    <w:rsid w:val="00C61A9A"/>
    <w:rsid w:val="00C61B97"/>
    <w:rsid w:val="00C62F2D"/>
    <w:rsid w:val="00C631C8"/>
    <w:rsid w:val="00C63681"/>
    <w:rsid w:val="00C650D0"/>
    <w:rsid w:val="00C66011"/>
    <w:rsid w:val="00C71449"/>
    <w:rsid w:val="00C71F69"/>
    <w:rsid w:val="00C72798"/>
    <w:rsid w:val="00C72D5F"/>
    <w:rsid w:val="00C731EA"/>
    <w:rsid w:val="00C73B2A"/>
    <w:rsid w:val="00C74436"/>
    <w:rsid w:val="00C7542A"/>
    <w:rsid w:val="00C757B2"/>
    <w:rsid w:val="00C76D24"/>
    <w:rsid w:val="00C80A7D"/>
    <w:rsid w:val="00C81B4F"/>
    <w:rsid w:val="00C82673"/>
    <w:rsid w:val="00C82ADD"/>
    <w:rsid w:val="00C82E53"/>
    <w:rsid w:val="00C83033"/>
    <w:rsid w:val="00C83405"/>
    <w:rsid w:val="00C8470E"/>
    <w:rsid w:val="00C84F11"/>
    <w:rsid w:val="00C85561"/>
    <w:rsid w:val="00C86EE5"/>
    <w:rsid w:val="00C91142"/>
    <w:rsid w:val="00C929EE"/>
    <w:rsid w:val="00C936D5"/>
    <w:rsid w:val="00C94A19"/>
    <w:rsid w:val="00C94E17"/>
    <w:rsid w:val="00C94FDB"/>
    <w:rsid w:val="00C950E3"/>
    <w:rsid w:val="00C950F5"/>
    <w:rsid w:val="00C96F47"/>
    <w:rsid w:val="00C974CC"/>
    <w:rsid w:val="00CA0DD7"/>
    <w:rsid w:val="00CA0F0E"/>
    <w:rsid w:val="00CA1554"/>
    <w:rsid w:val="00CA1CA6"/>
    <w:rsid w:val="00CA2345"/>
    <w:rsid w:val="00CA3C57"/>
    <w:rsid w:val="00CA40DD"/>
    <w:rsid w:val="00CA41F4"/>
    <w:rsid w:val="00CA51FD"/>
    <w:rsid w:val="00CA58AF"/>
    <w:rsid w:val="00CA597C"/>
    <w:rsid w:val="00CA5DB3"/>
    <w:rsid w:val="00CA5DE3"/>
    <w:rsid w:val="00CA6BD1"/>
    <w:rsid w:val="00CA6DAA"/>
    <w:rsid w:val="00CA7C15"/>
    <w:rsid w:val="00CB00A4"/>
    <w:rsid w:val="00CB047C"/>
    <w:rsid w:val="00CB2B83"/>
    <w:rsid w:val="00CB2D2A"/>
    <w:rsid w:val="00CB36B9"/>
    <w:rsid w:val="00CB5A60"/>
    <w:rsid w:val="00CB5C2D"/>
    <w:rsid w:val="00CB6680"/>
    <w:rsid w:val="00CB6797"/>
    <w:rsid w:val="00CB724B"/>
    <w:rsid w:val="00CC069C"/>
    <w:rsid w:val="00CC2A5F"/>
    <w:rsid w:val="00CC4D8C"/>
    <w:rsid w:val="00CC5C27"/>
    <w:rsid w:val="00CC7C8D"/>
    <w:rsid w:val="00CD02AF"/>
    <w:rsid w:val="00CD16FE"/>
    <w:rsid w:val="00CD18E2"/>
    <w:rsid w:val="00CD1A24"/>
    <w:rsid w:val="00CD1EBD"/>
    <w:rsid w:val="00CD2421"/>
    <w:rsid w:val="00CD4288"/>
    <w:rsid w:val="00CD50BD"/>
    <w:rsid w:val="00CD5A41"/>
    <w:rsid w:val="00CD604B"/>
    <w:rsid w:val="00CD6058"/>
    <w:rsid w:val="00CD65D1"/>
    <w:rsid w:val="00CD6788"/>
    <w:rsid w:val="00CD67DB"/>
    <w:rsid w:val="00CD680B"/>
    <w:rsid w:val="00CD68BF"/>
    <w:rsid w:val="00CD6933"/>
    <w:rsid w:val="00CE1282"/>
    <w:rsid w:val="00CE2D2C"/>
    <w:rsid w:val="00CE40E2"/>
    <w:rsid w:val="00CE439B"/>
    <w:rsid w:val="00CE469C"/>
    <w:rsid w:val="00CE630D"/>
    <w:rsid w:val="00CE78F8"/>
    <w:rsid w:val="00CF022E"/>
    <w:rsid w:val="00CF063F"/>
    <w:rsid w:val="00CF13CD"/>
    <w:rsid w:val="00CF1850"/>
    <w:rsid w:val="00CF1E11"/>
    <w:rsid w:val="00CF2756"/>
    <w:rsid w:val="00CF3774"/>
    <w:rsid w:val="00CF4359"/>
    <w:rsid w:val="00CF57F3"/>
    <w:rsid w:val="00CF71DE"/>
    <w:rsid w:val="00CF7E3D"/>
    <w:rsid w:val="00D00E21"/>
    <w:rsid w:val="00D011A4"/>
    <w:rsid w:val="00D0138F"/>
    <w:rsid w:val="00D02510"/>
    <w:rsid w:val="00D028BA"/>
    <w:rsid w:val="00D0362D"/>
    <w:rsid w:val="00D037A9"/>
    <w:rsid w:val="00D03A5E"/>
    <w:rsid w:val="00D03D4A"/>
    <w:rsid w:val="00D03EFF"/>
    <w:rsid w:val="00D03F56"/>
    <w:rsid w:val="00D050D5"/>
    <w:rsid w:val="00D05BBC"/>
    <w:rsid w:val="00D06B5D"/>
    <w:rsid w:val="00D06BDF"/>
    <w:rsid w:val="00D06E73"/>
    <w:rsid w:val="00D07355"/>
    <w:rsid w:val="00D07A50"/>
    <w:rsid w:val="00D07BDB"/>
    <w:rsid w:val="00D07CE1"/>
    <w:rsid w:val="00D10115"/>
    <w:rsid w:val="00D107C7"/>
    <w:rsid w:val="00D13741"/>
    <w:rsid w:val="00D1469D"/>
    <w:rsid w:val="00D146CB"/>
    <w:rsid w:val="00D1488A"/>
    <w:rsid w:val="00D14E1F"/>
    <w:rsid w:val="00D150EA"/>
    <w:rsid w:val="00D15AB0"/>
    <w:rsid w:val="00D1607C"/>
    <w:rsid w:val="00D1697E"/>
    <w:rsid w:val="00D20632"/>
    <w:rsid w:val="00D20912"/>
    <w:rsid w:val="00D20EBD"/>
    <w:rsid w:val="00D21660"/>
    <w:rsid w:val="00D226A3"/>
    <w:rsid w:val="00D23397"/>
    <w:rsid w:val="00D23F3D"/>
    <w:rsid w:val="00D25DB7"/>
    <w:rsid w:val="00D27AC1"/>
    <w:rsid w:val="00D306E5"/>
    <w:rsid w:val="00D30B7F"/>
    <w:rsid w:val="00D30E72"/>
    <w:rsid w:val="00D31843"/>
    <w:rsid w:val="00D31886"/>
    <w:rsid w:val="00D3196B"/>
    <w:rsid w:val="00D31F80"/>
    <w:rsid w:val="00D33F1D"/>
    <w:rsid w:val="00D33FF0"/>
    <w:rsid w:val="00D345FB"/>
    <w:rsid w:val="00D34915"/>
    <w:rsid w:val="00D34D67"/>
    <w:rsid w:val="00D35502"/>
    <w:rsid w:val="00D36E50"/>
    <w:rsid w:val="00D36FD0"/>
    <w:rsid w:val="00D400A4"/>
    <w:rsid w:val="00D4069E"/>
    <w:rsid w:val="00D40870"/>
    <w:rsid w:val="00D413A6"/>
    <w:rsid w:val="00D41993"/>
    <w:rsid w:val="00D41A7A"/>
    <w:rsid w:val="00D41C47"/>
    <w:rsid w:val="00D42171"/>
    <w:rsid w:val="00D42C2A"/>
    <w:rsid w:val="00D42D2F"/>
    <w:rsid w:val="00D42E02"/>
    <w:rsid w:val="00D43709"/>
    <w:rsid w:val="00D43EA0"/>
    <w:rsid w:val="00D461A3"/>
    <w:rsid w:val="00D471C6"/>
    <w:rsid w:val="00D50A22"/>
    <w:rsid w:val="00D51D2B"/>
    <w:rsid w:val="00D533F6"/>
    <w:rsid w:val="00D53906"/>
    <w:rsid w:val="00D56EB7"/>
    <w:rsid w:val="00D5756F"/>
    <w:rsid w:val="00D57A14"/>
    <w:rsid w:val="00D60949"/>
    <w:rsid w:val="00D60C77"/>
    <w:rsid w:val="00D61164"/>
    <w:rsid w:val="00D62648"/>
    <w:rsid w:val="00D64A0F"/>
    <w:rsid w:val="00D6552C"/>
    <w:rsid w:val="00D66745"/>
    <w:rsid w:val="00D70602"/>
    <w:rsid w:val="00D706D6"/>
    <w:rsid w:val="00D707D7"/>
    <w:rsid w:val="00D723B0"/>
    <w:rsid w:val="00D769FE"/>
    <w:rsid w:val="00D7718E"/>
    <w:rsid w:val="00D777CF"/>
    <w:rsid w:val="00D77F68"/>
    <w:rsid w:val="00D808B7"/>
    <w:rsid w:val="00D820A8"/>
    <w:rsid w:val="00D826DA"/>
    <w:rsid w:val="00D834E3"/>
    <w:rsid w:val="00D844E9"/>
    <w:rsid w:val="00D847C7"/>
    <w:rsid w:val="00D86C43"/>
    <w:rsid w:val="00D877E0"/>
    <w:rsid w:val="00D87EEF"/>
    <w:rsid w:val="00D87FEC"/>
    <w:rsid w:val="00D90469"/>
    <w:rsid w:val="00D907CA"/>
    <w:rsid w:val="00D91EE0"/>
    <w:rsid w:val="00D92166"/>
    <w:rsid w:val="00D944AD"/>
    <w:rsid w:val="00D94FE7"/>
    <w:rsid w:val="00D951A8"/>
    <w:rsid w:val="00D954F2"/>
    <w:rsid w:val="00D95E35"/>
    <w:rsid w:val="00D964F3"/>
    <w:rsid w:val="00D96C91"/>
    <w:rsid w:val="00D96F4F"/>
    <w:rsid w:val="00DA42A0"/>
    <w:rsid w:val="00DA7239"/>
    <w:rsid w:val="00DB0BF7"/>
    <w:rsid w:val="00DB0DCB"/>
    <w:rsid w:val="00DB0FC9"/>
    <w:rsid w:val="00DB147A"/>
    <w:rsid w:val="00DB2195"/>
    <w:rsid w:val="00DB3366"/>
    <w:rsid w:val="00DB3428"/>
    <w:rsid w:val="00DB38C4"/>
    <w:rsid w:val="00DB3D85"/>
    <w:rsid w:val="00DB40D9"/>
    <w:rsid w:val="00DB4E55"/>
    <w:rsid w:val="00DB51E4"/>
    <w:rsid w:val="00DB5C9E"/>
    <w:rsid w:val="00DB7BDD"/>
    <w:rsid w:val="00DC080F"/>
    <w:rsid w:val="00DC2361"/>
    <w:rsid w:val="00DC2458"/>
    <w:rsid w:val="00DC27EA"/>
    <w:rsid w:val="00DC2D26"/>
    <w:rsid w:val="00DC3438"/>
    <w:rsid w:val="00DC4B87"/>
    <w:rsid w:val="00DC53C4"/>
    <w:rsid w:val="00DC6196"/>
    <w:rsid w:val="00DC6E89"/>
    <w:rsid w:val="00DD0DA4"/>
    <w:rsid w:val="00DD10E8"/>
    <w:rsid w:val="00DD114F"/>
    <w:rsid w:val="00DD13E7"/>
    <w:rsid w:val="00DD174D"/>
    <w:rsid w:val="00DD1766"/>
    <w:rsid w:val="00DD18B3"/>
    <w:rsid w:val="00DD292D"/>
    <w:rsid w:val="00DD31BB"/>
    <w:rsid w:val="00DD32F7"/>
    <w:rsid w:val="00DD443F"/>
    <w:rsid w:val="00DD4648"/>
    <w:rsid w:val="00DD59E5"/>
    <w:rsid w:val="00DD5EBC"/>
    <w:rsid w:val="00DD658B"/>
    <w:rsid w:val="00DD66B4"/>
    <w:rsid w:val="00DD76A1"/>
    <w:rsid w:val="00DD76E8"/>
    <w:rsid w:val="00DE063C"/>
    <w:rsid w:val="00DE28B0"/>
    <w:rsid w:val="00DE2993"/>
    <w:rsid w:val="00DE35CB"/>
    <w:rsid w:val="00DE3F2B"/>
    <w:rsid w:val="00DE4AAF"/>
    <w:rsid w:val="00DE4CEB"/>
    <w:rsid w:val="00DE5228"/>
    <w:rsid w:val="00DE566C"/>
    <w:rsid w:val="00DE5708"/>
    <w:rsid w:val="00DE589B"/>
    <w:rsid w:val="00DE6165"/>
    <w:rsid w:val="00DE63CB"/>
    <w:rsid w:val="00DE6427"/>
    <w:rsid w:val="00DE6B5A"/>
    <w:rsid w:val="00DE6B5F"/>
    <w:rsid w:val="00DE78F1"/>
    <w:rsid w:val="00DE7E54"/>
    <w:rsid w:val="00DF02F2"/>
    <w:rsid w:val="00DF06FF"/>
    <w:rsid w:val="00DF0910"/>
    <w:rsid w:val="00DF238C"/>
    <w:rsid w:val="00DF25BA"/>
    <w:rsid w:val="00DF2769"/>
    <w:rsid w:val="00DF282F"/>
    <w:rsid w:val="00DF4065"/>
    <w:rsid w:val="00DF50BF"/>
    <w:rsid w:val="00DF599C"/>
    <w:rsid w:val="00DF5B9B"/>
    <w:rsid w:val="00DF5E1B"/>
    <w:rsid w:val="00DF6A85"/>
    <w:rsid w:val="00DF6F35"/>
    <w:rsid w:val="00DF71E4"/>
    <w:rsid w:val="00DF7B4C"/>
    <w:rsid w:val="00E00B26"/>
    <w:rsid w:val="00E00F52"/>
    <w:rsid w:val="00E04DFD"/>
    <w:rsid w:val="00E0549E"/>
    <w:rsid w:val="00E06AC8"/>
    <w:rsid w:val="00E07B56"/>
    <w:rsid w:val="00E1002B"/>
    <w:rsid w:val="00E106D8"/>
    <w:rsid w:val="00E1165E"/>
    <w:rsid w:val="00E11977"/>
    <w:rsid w:val="00E12144"/>
    <w:rsid w:val="00E12DB5"/>
    <w:rsid w:val="00E13C59"/>
    <w:rsid w:val="00E145D3"/>
    <w:rsid w:val="00E17B0E"/>
    <w:rsid w:val="00E21361"/>
    <w:rsid w:val="00E216C1"/>
    <w:rsid w:val="00E2196F"/>
    <w:rsid w:val="00E21C65"/>
    <w:rsid w:val="00E22EE8"/>
    <w:rsid w:val="00E230B4"/>
    <w:rsid w:val="00E23737"/>
    <w:rsid w:val="00E2586B"/>
    <w:rsid w:val="00E25978"/>
    <w:rsid w:val="00E26715"/>
    <w:rsid w:val="00E27074"/>
    <w:rsid w:val="00E272A4"/>
    <w:rsid w:val="00E27595"/>
    <w:rsid w:val="00E2780D"/>
    <w:rsid w:val="00E3078F"/>
    <w:rsid w:val="00E30E31"/>
    <w:rsid w:val="00E31257"/>
    <w:rsid w:val="00E31B11"/>
    <w:rsid w:val="00E31D8E"/>
    <w:rsid w:val="00E31E8B"/>
    <w:rsid w:val="00E3214A"/>
    <w:rsid w:val="00E3297A"/>
    <w:rsid w:val="00E33EA4"/>
    <w:rsid w:val="00E34D8C"/>
    <w:rsid w:val="00E36A2D"/>
    <w:rsid w:val="00E36CC9"/>
    <w:rsid w:val="00E37B02"/>
    <w:rsid w:val="00E4098B"/>
    <w:rsid w:val="00E40BB4"/>
    <w:rsid w:val="00E42623"/>
    <w:rsid w:val="00E42A5C"/>
    <w:rsid w:val="00E43B7E"/>
    <w:rsid w:val="00E441BA"/>
    <w:rsid w:val="00E44215"/>
    <w:rsid w:val="00E47A0D"/>
    <w:rsid w:val="00E47BDD"/>
    <w:rsid w:val="00E50658"/>
    <w:rsid w:val="00E50CA4"/>
    <w:rsid w:val="00E5140A"/>
    <w:rsid w:val="00E51CF9"/>
    <w:rsid w:val="00E51F60"/>
    <w:rsid w:val="00E5234F"/>
    <w:rsid w:val="00E5258E"/>
    <w:rsid w:val="00E52973"/>
    <w:rsid w:val="00E52A99"/>
    <w:rsid w:val="00E53291"/>
    <w:rsid w:val="00E53663"/>
    <w:rsid w:val="00E53BFC"/>
    <w:rsid w:val="00E54483"/>
    <w:rsid w:val="00E54CFD"/>
    <w:rsid w:val="00E55637"/>
    <w:rsid w:val="00E57DBE"/>
    <w:rsid w:val="00E57F06"/>
    <w:rsid w:val="00E6041C"/>
    <w:rsid w:val="00E61A19"/>
    <w:rsid w:val="00E61DC9"/>
    <w:rsid w:val="00E621F7"/>
    <w:rsid w:val="00E634FD"/>
    <w:rsid w:val="00E63D15"/>
    <w:rsid w:val="00E65297"/>
    <w:rsid w:val="00E659DC"/>
    <w:rsid w:val="00E65D55"/>
    <w:rsid w:val="00E65D84"/>
    <w:rsid w:val="00E667DF"/>
    <w:rsid w:val="00E66BBC"/>
    <w:rsid w:val="00E66D9E"/>
    <w:rsid w:val="00E671AA"/>
    <w:rsid w:val="00E707C2"/>
    <w:rsid w:val="00E70853"/>
    <w:rsid w:val="00E71B28"/>
    <w:rsid w:val="00E74BE0"/>
    <w:rsid w:val="00E75827"/>
    <w:rsid w:val="00E75E23"/>
    <w:rsid w:val="00E76B5C"/>
    <w:rsid w:val="00E7760D"/>
    <w:rsid w:val="00E77A09"/>
    <w:rsid w:val="00E77F0A"/>
    <w:rsid w:val="00E77F5A"/>
    <w:rsid w:val="00E811EC"/>
    <w:rsid w:val="00E818B4"/>
    <w:rsid w:val="00E81AC0"/>
    <w:rsid w:val="00E8209D"/>
    <w:rsid w:val="00E82B84"/>
    <w:rsid w:val="00E8343D"/>
    <w:rsid w:val="00E834A0"/>
    <w:rsid w:val="00E83A98"/>
    <w:rsid w:val="00E84837"/>
    <w:rsid w:val="00E84A8E"/>
    <w:rsid w:val="00E852BB"/>
    <w:rsid w:val="00E85DB7"/>
    <w:rsid w:val="00E85FDC"/>
    <w:rsid w:val="00E86496"/>
    <w:rsid w:val="00E86AB8"/>
    <w:rsid w:val="00E90365"/>
    <w:rsid w:val="00E905B2"/>
    <w:rsid w:val="00E90737"/>
    <w:rsid w:val="00E90E33"/>
    <w:rsid w:val="00E90EE5"/>
    <w:rsid w:val="00E91406"/>
    <w:rsid w:val="00E926BB"/>
    <w:rsid w:val="00E938C5"/>
    <w:rsid w:val="00E955D5"/>
    <w:rsid w:val="00EA0183"/>
    <w:rsid w:val="00EA0CE9"/>
    <w:rsid w:val="00EA0CFA"/>
    <w:rsid w:val="00EA0E94"/>
    <w:rsid w:val="00EA32AA"/>
    <w:rsid w:val="00EA3869"/>
    <w:rsid w:val="00EA3B7E"/>
    <w:rsid w:val="00EA3F99"/>
    <w:rsid w:val="00EA4A3F"/>
    <w:rsid w:val="00EA4E41"/>
    <w:rsid w:val="00EA57E3"/>
    <w:rsid w:val="00EA712A"/>
    <w:rsid w:val="00EA779C"/>
    <w:rsid w:val="00EB01A5"/>
    <w:rsid w:val="00EB1463"/>
    <w:rsid w:val="00EB1F66"/>
    <w:rsid w:val="00EB402E"/>
    <w:rsid w:val="00EB45F0"/>
    <w:rsid w:val="00EB4743"/>
    <w:rsid w:val="00EB52D3"/>
    <w:rsid w:val="00EB5FEF"/>
    <w:rsid w:val="00EB7E28"/>
    <w:rsid w:val="00EC0A1F"/>
    <w:rsid w:val="00EC0A61"/>
    <w:rsid w:val="00EC1148"/>
    <w:rsid w:val="00EC2D6B"/>
    <w:rsid w:val="00EC2F4F"/>
    <w:rsid w:val="00EC3AF5"/>
    <w:rsid w:val="00EC4865"/>
    <w:rsid w:val="00EC5009"/>
    <w:rsid w:val="00EC52C0"/>
    <w:rsid w:val="00EC62AF"/>
    <w:rsid w:val="00EC6654"/>
    <w:rsid w:val="00EC6C28"/>
    <w:rsid w:val="00EC6CD2"/>
    <w:rsid w:val="00EC6E54"/>
    <w:rsid w:val="00EC7045"/>
    <w:rsid w:val="00EC7891"/>
    <w:rsid w:val="00EC7E76"/>
    <w:rsid w:val="00ED0CEC"/>
    <w:rsid w:val="00ED157B"/>
    <w:rsid w:val="00ED1E95"/>
    <w:rsid w:val="00ED3421"/>
    <w:rsid w:val="00ED3AC9"/>
    <w:rsid w:val="00ED3CDA"/>
    <w:rsid w:val="00ED3D74"/>
    <w:rsid w:val="00ED4489"/>
    <w:rsid w:val="00ED6ADE"/>
    <w:rsid w:val="00ED7020"/>
    <w:rsid w:val="00ED7390"/>
    <w:rsid w:val="00EE0D86"/>
    <w:rsid w:val="00EE0E38"/>
    <w:rsid w:val="00EE0F7E"/>
    <w:rsid w:val="00EE1225"/>
    <w:rsid w:val="00EE1615"/>
    <w:rsid w:val="00EE3CEF"/>
    <w:rsid w:val="00EE48FE"/>
    <w:rsid w:val="00EE4C93"/>
    <w:rsid w:val="00EE540C"/>
    <w:rsid w:val="00EE6053"/>
    <w:rsid w:val="00EE75F4"/>
    <w:rsid w:val="00EE7AB3"/>
    <w:rsid w:val="00EE7E1F"/>
    <w:rsid w:val="00EF0DA8"/>
    <w:rsid w:val="00EF1133"/>
    <w:rsid w:val="00EF1984"/>
    <w:rsid w:val="00EF1AE9"/>
    <w:rsid w:val="00EF23D1"/>
    <w:rsid w:val="00EF3E75"/>
    <w:rsid w:val="00EF4565"/>
    <w:rsid w:val="00EF643B"/>
    <w:rsid w:val="00EF6F43"/>
    <w:rsid w:val="00EF700D"/>
    <w:rsid w:val="00EF78C0"/>
    <w:rsid w:val="00EF7AF9"/>
    <w:rsid w:val="00F0191A"/>
    <w:rsid w:val="00F026E7"/>
    <w:rsid w:val="00F02F66"/>
    <w:rsid w:val="00F035D5"/>
    <w:rsid w:val="00F03F44"/>
    <w:rsid w:val="00F04806"/>
    <w:rsid w:val="00F06BD3"/>
    <w:rsid w:val="00F07399"/>
    <w:rsid w:val="00F122DE"/>
    <w:rsid w:val="00F12C59"/>
    <w:rsid w:val="00F13285"/>
    <w:rsid w:val="00F1341F"/>
    <w:rsid w:val="00F13A4B"/>
    <w:rsid w:val="00F14DCE"/>
    <w:rsid w:val="00F15013"/>
    <w:rsid w:val="00F15401"/>
    <w:rsid w:val="00F15DD9"/>
    <w:rsid w:val="00F16EE8"/>
    <w:rsid w:val="00F173DB"/>
    <w:rsid w:val="00F17464"/>
    <w:rsid w:val="00F2015C"/>
    <w:rsid w:val="00F20794"/>
    <w:rsid w:val="00F228F4"/>
    <w:rsid w:val="00F25347"/>
    <w:rsid w:val="00F257B1"/>
    <w:rsid w:val="00F267FD"/>
    <w:rsid w:val="00F26D40"/>
    <w:rsid w:val="00F2738C"/>
    <w:rsid w:val="00F2767B"/>
    <w:rsid w:val="00F27E94"/>
    <w:rsid w:val="00F301CE"/>
    <w:rsid w:val="00F306D6"/>
    <w:rsid w:val="00F31537"/>
    <w:rsid w:val="00F32112"/>
    <w:rsid w:val="00F3214E"/>
    <w:rsid w:val="00F32D81"/>
    <w:rsid w:val="00F351FE"/>
    <w:rsid w:val="00F35C86"/>
    <w:rsid w:val="00F37717"/>
    <w:rsid w:val="00F37768"/>
    <w:rsid w:val="00F37B92"/>
    <w:rsid w:val="00F37E46"/>
    <w:rsid w:val="00F4004D"/>
    <w:rsid w:val="00F40DA9"/>
    <w:rsid w:val="00F41002"/>
    <w:rsid w:val="00F41E0B"/>
    <w:rsid w:val="00F422EC"/>
    <w:rsid w:val="00F42358"/>
    <w:rsid w:val="00F42974"/>
    <w:rsid w:val="00F42EB6"/>
    <w:rsid w:val="00F4370B"/>
    <w:rsid w:val="00F458BD"/>
    <w:rsid w:val="00F45FCF"/>
    <w:rsid w:val="00F4601A"/>
    <w:rsid w:val="00F46C42"/>
    <w:rsid w:val="00F517C0"/>
    <w:rsid w:val="00F51919"/>
    <w:rsid w:val="00F525F1"/>
    <w:rsid w:val="00F528E2"/>
    <w:rsid w:val="00F52C83"/>
    <w:rsid w:val="00F52E6D"/>
    <w:rsid w:val="00F551FF"/>
    <w:rsid w:val="00F55AEF"/>
    <w:rsid w:val="00F55BA0"/>
    <w:rsid w:val="00F56073"/>
    <w:rsid w:val="00F56399"/>
    <w:rsid w:val="00F56713"/>
    <w:rsid w:val="00F60097"/>
    <w:rsid w:val="00F60F75"/>
    <w:rsid w:val="00F6102B"/>
    <w:rsid w:val="00F61E3D"/>
    <w:rsid w:val="00F62A36"/>
    <w:rsid w:val="00F6446B"/>
    <w:rsid w:val="00F64C16"/>
    <w:rsid w:val="00F64EC7"/>
    <w:rsid w:val="00F64F3B"/>
    <w:rsid w:val="00F651C2"/>
    <w:rsid w:val="00F652E3"/>
    <w:rsid w:val="00F65B73"/>
    <w:rsid w:val="00F662DC"/>
    <w:rsid w:val="00F66475"/>
    <w:rsid w:val="00F66F36"/>
    <w:rsid w:val="00F67193"/>
    <w:rsid w:val="00F67379"/>
    <w:rsid w:val="00F67C58"/>
    <w:rsid w:val="00F7021E"/>
    <w:rsid w:val="00F70C2F"/>
    <w:rsid w:val="00F7110F"/>
    <w:rsid w:val="00F71EA1"/>
    <w:rsid w:val="00F72F24"/>
    <w:rsid w:val="00F732D2"/>
    <w:rsid w:val="00F735A7"/>
    <w:rsid w:val="00F7388A"/>
    <w:rsid w:val="00F73E6C"/>
    <w:rsid w:val="00F745E8"/>
    <w:rsid w:val="00F74FBD"/>
    <w:rsid w:val="00F753A6"/>
    <w:rsid w:val="00F75957"/>
    <w:rsid w:val="00F75D08"/>
    <w:rsid w:val="00F778A6"/>
    <w:rsid w:val="00F80048"/>
    <w:rsid w:val="00F8080E"/>
    <w:rsid w:val="00F816FF"/>
    <w:rsid w:val="00F827A7"/>
    <w:rsid w:val="00F827CF"/>
    <w:rsid w:val="00F82EF6"/>
    <w:rsid w:val="00F8391D"/>
    <w:rsid w:val="00F8431D"/>
    <w:rsid w:val="00F843E9"/>
    <w:rsid w:val="00F84FD9"/>
    <w:rsid w:val="00F861AD"/>
    <w:rsid w:val="00F86858"/>
    <w:rsid w:val="00F877A8"/>
    <w:rsid w:val="00F879C3"/>
    <w:rsid w:val="00F87A01"/>
    <w:rsid w:val="00F90071"/>
    <w:rsid w:val="00F901F3"/>
    <w:rsid w:val="00F90C45"/>
    <w:rsid w:val="00F91160"/>
    <w:rsid w:val="00F9117E"/>
    <w:rsid w:val="00F915DB"/>
    <w:rsid w:val="00F91A92"/>
    <w:rsid w:val="00F92B86"/>
    <w:rsid w:val="00F92BE5"/>
    <w:rsid w:val="00F93F00"/>
    <w:rsid w:val="00F94031"/>
    <w:rsid w:val="00F95860"/>
    <w:rsid w:val="00F95C50"/>
    <w:rsid w:val="00F96530"/>
    <w:rsid w:val="00F9673F"/>
    <w:rsid w:val="00F96C75"/>
    <w:rsid w:val="00F96CAB"/>
    <w:rsid w:val="00F97722"/>
    <w:rsid w:val="00FA0831"/>
    <w:rsid w:val="00FA0A58"/>
    <w:rsid w:val="00FA0B63"/>
    <w:rsid w:val="00FA0C68"/>
    <w:rsid w:val="00FA1C34"/>
    <w:rsid w:val="00FA3A30"/>
    <w:rsid w:val="00FA3C7E"/>
    <w:rsid w:val="00FA4475"/>
    <w:rsid w:val="00FA4FD5"/>
    <w:rsid w:val="00FA59EF"/>
    <w:rsid w:val="00FA5A63"/>
    <w:rsid w:val="00FA5ECB"/>
    <w:rsid w:val="00FA669E"/>
    <w:rsid w:val="00FA7DAA"/>
    <w:rsid w:val="00FB0ECA"/>
    <w:rsid w:val="00FB1036"/>
    <w:rsid w:val="00FB14A6"/>
    <w:rsid w:val="00FB1893"/>
    <w:rsid w:val="00FB1C8C"/>
    <w:rsid w:val="00FB1C96"/>
    <w:rsid w:val="00FB1CA0"/>
    <w:rsid w:val="00FB2734"/>
    <w:rsid w:val="00FB4D75"/>
    <w:rsid w:val="00FB5D04"/>
    <w:rsid w:val="00FB5DA1"/>
    <w:rsid w:val="00FB65B3"/>
    <w:rsid w:val="00FB6868"/>
    <w:rsid w:val="00FB698C"/>
    <w:rsid w:val="00FB74C9"/>
    <w:rsid w:val="00FB76CD"/>
    <w:rsid w:val="00FC0C8F"/>
    <w:rsid w:val="00FC1FA8"/>
    <w:rsid w:val="00FC31BD"/>
    <w:rsid w:val="00FC32CE"/>
    <w:rsid w:val="00FC3CD7"/>
    <w:rsid w:val="00FC4573"/>
    <w:rsid w:val="00FC59BD"/>
    <w:rsid w:val="00FC5F69"/>
    <w:rsid w:val="00FC6F79"/>
    <w:rsid w:val="00FD145F"/>
    <w:rsid w:val="00FD1FFA"/>
    <w:rsid w:val="00FD28CB"/>
    <w:rsid w:val="00FD2E87"/>
    <w:rsid w:val="00FD64F5"/>
    <w:rsid w:val="00FE0AF9"/>
    <w:rsid w:val="00FE1C60"/>
    <w:rsid w:val="00FE3DFB"/>
    <w:rsid w:val="00FE3FB1"/>
    <w:rsid w:val="00FE49F2"/>
    <w:rsid w:val="00FE5478"/>
    <w:rsid w:val="00FF0276"/>
    <w:rsid w:val="00FF0637"/>
    <w:rsid w:val="00FF06F8"/>
    <w:rsid w:val="00FF16BE"/>
    <w:rsid w:val="00FF2ED5"/>
    <w:rsid w:val="00FF317D"/>
    <w:rsid w:val="00FF4CED"/>
    <w:rsid w:val="00FF5267"/>
    <w:rsid w:val="00FF54F0"/>
    <w:rsid w:val="00FF5693"/>
    <w:rsid w:val="00FF6002"/>
    <w:rsid w:val="00FF6EF7"/>
    <w:rsid w:val="00FF72F0"/>
    <w:rsid w:val="00FF77F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C5650A"/>
  <w15:chartTrackingRefBased/>
  <w15:docId w15:val="{AB59B0B8-539D-4FD3-8207-4605BB00E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6BC1"/>
    <w:pPr>
      <w:spacing w:after="200" w:line="276" w:lineRule="auto"/>
    </w:pPr>
    <w:rPr>
      <w:rFonts w:cs="Times New Roman"/>
      <w:sz w:val="22"/>
      <w:szCs w:val="22"/>
      <w:lang w:eastAsia="en-US"/>
    </w:rPr>
  </w:style>
  <w:style w:type="paragraph" w:styleId="Nagwek1">
    <w:name w:val="heading 1"/>
    <w:basedOn w:val="Normalny"/>
    <w:next w:val="Normalny"/>
    <w:link w:val="Nagwek1Znak"/>
    <w:uiPriority w:val="9"/>
    <w:qFormat/>
    <w:rsid w:val="00AE7E20"/>
    <w:pPr>
      <w:keepNext/>
      <w:keepLines/>
      <w:numPr>
        <w:numId w:val="2"/>
      </w:numPr>
      <w:spacing w:before="480" w:after="240" w:line="240" w:lineRule="auto"/>
      <w:ind w:left="360"/>
      <w:jc w:val="both"/>
      <w:outlineLvl w:val="0"/>
    </w:pPr>
    <w:rPr>
      <w:rFonts w:ascii="Times New Roman" w:hAnsi="Times New Roman"/>
      <w:b/>
      <w:bCs/>
      <w:color w:val="365F91"/>
      <w:sz w:val="28"/>
      <w:szCs w:val="28"/>
    </w:rPr>
  </w:style>
  <w:style w:type="paragraph" w:styleId="Nagwek2">
    <w:name w:val="heading 2"/>
    <w:basedOn w:val="Normalny"/>
    <w:next w:val="Normalny"/>
    <w:link w:val="Nagwek2Znak"/>
    <w:uiPriority w:val="9"/>
    <w:semiHidden/>
    <w:unhideWhenUsed/>
    <w:qFormat/>
    <w:rsid w:val="00E864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semiHidden/>
    <w:unhideWhenUsed/>
    <w:qFormat/>
    <w:rsid w:val="006D1B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rsid w:val="00FF16BE"/>
    <w:rPr>
      <w:rFonts w:cs="Times New Roman"/>
      <w:color w:val="0000FF"/>
      <w:u w:val="single"/>
    </w:rPr>
  </w:style>
  <w:style w:type="paragraph" w:styleId="Stopka">
    <w:name w:val="footer"/>
    <w:basedOn w:val="Normalny"/>
    <w:link w:val="StopkaZnak"/>
    <w:uiPriority w:val="99"/>
    <w:rsid w:val="00FF16BE"/>
    <w:pPr>
      <w:tabs>
        <w:tab w:val="center" w:pos="4536"/>
        <w:tab w:val="right" w:pos="9072"/>
      </w:tabs>
      <w:spacing w:after="0" w:line="240" w:lineRule="auto"/>
    </w:pPr>
    <w:rPr>
      <w:rFonts w:ascii="Times New Roman" w:hAnsi="Times New Roman"/>
      <w:sz w:val="24"/>
      <w:szCs w:val="20"/>
      <w:lang w:val="x-none" w:eastAsia="x-none"/>
    </w:rPr>
  </w:style>
  <w:style w:type="character" w:customStyle="1" w:styleId="StopkaZnak">
    <w:name w:val="Stopka Znak"/>
    <w:link w:val="Stopka"/>
    <w:uiPriority w:val="99"/>
    <w:locked/>
    <w:rsid w:val="00FF16BE"/>
    <w:rPr>
      <w:rFonts w:ascii="Times New Roman" w:hAnsi="Times New Roman" w:cs="Times New Roman"/>
      <w:sz w:val="24"/>
    </w:rPr>
  </w:style>
  <w:style w:type="character" w:styleId="Numerstrony">
    <w:name w:val="page number"/>
    <w:uiPriority w:val="99"/>
    <w:rsid w:val="00FF16BE"/>
    <w:rPr>
      <w:rFonts w:cs="Times New Roman"/>
    </w:rPr>
  </w:style>
  <w:style w:type="table" w:styleId="Tabela-Siatka">
    <w:name w:val="Table Grid"/>
    <w:basedOn w:val="Standardowy"/>
    <w:uiPriority w:val="59"/>
    <w:rsid w:val="00186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B65B3"/>
    <w:pPr>
      <w:tabs>
        <w:tab w:val="center" w:pos="4536"/>
        <w:tab w:val="right" w:pos="9072"/>
      </w:tabs>
    </w:pPr>
    <w:rPr>
      <w:szCs w:val="20"/>
      <w:lang w:val="x-none"/>
    </w:rPr>
  </w:style>
  <w:style w:type="character" w:customStyle="1" w:styleId="NagwekZnak">
    <w:name w:val="Nagłówek Znak"/>
    <w:link w:val="Nagwek"/>
    <w:uiPriority w:val="99"/>
    <w:locked/>
    <w:rsid w:val="00FB65B3"/>
    <w:rPr>
      <w:rFonts w:cs="Times New Roman"/>
      <w:sz w:val="22"/>
      <w:lang w:val="x-none" w:eastAsia="en-US"/>
    </w:rPr>
  </w:style>
  <w:style w:type="paragraph" w:styleId="Tekstdymka">
    <w:name w:val="Balloon Text"/>
    <w:basedOn w:val="Normalny"/>
    <w:link w:val="TekstdymkaZnak"/>
    <w:uiPriority w:val="99"/>
    <w:semiHidden/>
    <w:unhideWhenUsed/>
    <w:rsid w:val="00FB65B3"/>
    <w:pPr>
      <w:spacing w:after="0" w:line="240" w:lineRule="auto"/>
    </w:pPr>
    <w:rPr>
      <w:rFonts w:ascii="Tahoma" w:hAnsi="Tahoma"/>
      <w:sz w:val="16"/>
      <w:szCs w:val="20"/>
      <w:lang w:val="x-none"/>
    </w:rPr>
  </w:style>
  <w:style w:type="character" w:customStyle="1" w:styleId="TekstdymkaZnak">
    <w:name w:val="Tekst dymka Znak"/>
    <w:link w:val="Tekstdymka"/>
    <w:uiPriority w:val="99"/>
    <w:semiHidden/>
    <w:locked/>
    <w:rsid w:val="00FB65B3"/>
    <w:rPr>
      <w:rFonts w:ascii="Tahoma" w:hAnsi="Tahoma" w:cs="Times New Roman"/>
      <w:sz w:val="16"/>
      <w:lang w:val="x-none" w:eastAsia="en-US"/>
    </w:rPr>
  </w:style>
  <w:style w:type="paragraph" w:styleId="Tekstprzypisukocowego">
    <w:name w:val="endnote text"/>
    <w:basedOn w:val="Normalny"/>
    <w:link w:val="TekstprzypisukocowegoZnak"/>
    <w:uiPriority w:val="99"/>
    <w:semiHidden/>
    <w:unhideWhenUsed/>
    <w:rsid w:val="00FB65B3"/>
    <w:rPr>
      <w:sz w:val="20"/>
      <w:szCs w:val="20"/>
      <w:lang w:val="x-none"/>
    </w:rPr>
  </w:style>
  <w:style w:type="character" w:customStyle="1" w:styleId="TekstprzypisukocowegoZnak">
    <w:name w:val="Tekst przypisu końcowego Znak"/>
    <w:link w:val="Tekstprzypisukocowego"/>
    <w:uiPriority w:val="99"/>
    <w:semiHidden/>
    <w:locked/>
    <w:rsid w:val="00FB65B3"/>
    <w:rPr>
      <w:rFonts w:cs="Times New Roman"/>
      <w:lang w:val="x-none" w:eastAsia="en-US"/>
    </w:rPr>
  </w:style>
  <w:style w:type="character" w:styleId="Odwoanieprzypisukocowego">
    <w:name w:val="endnote reference"/>
    <w:uiPriority w:val="99"/>
    <w:semiHidden/>
    <w:unhideWhenUsed/>
    <w:rsid w:val="00FB65B3"/>
    <w:rPr>
      <w:rFonts w:cs="Times New Roman"/>
      <w:vertAlign w:val="superscript"/>
    </w:rPr>
  </w:style>
  <w:style w:type="paragraph" w:styleId="Bezodstpw">
    <w:name w:val="No Spacing"/>
    <w:uiPriority w:val="1"/>
    <w:qFormat/>
    <w:rsid w:val="00EC0A61"/>
    <w:rPr>
      <w:rFonts w:cs="Times New Roman"/>
      <w:sz w:val="22"/>
      <w:szCs w:val="22"/>
      <w:lang w:eastAsia="en-US"/>
    </w:rPr>
  </w:style>
  <w:style w:type="character" w:styleId="Odwoaniedokomentarza">
    <w:name w:val="annotation reference"/>
    <w:uiPriority w:val="99"/>
    <w:unhideWhenUsed/>
    <w:rsid w:val="00F827A7"/>
    <w:rPr>
      <w:sz w:val="16"/>
      <w:szCs w:val="16"/>
    </w:rPr>
  </w:style>
  <w:style w:type="paragraph" w:styleId="Tekstkomentarza">
    <w:name w:val="annotation text"/>
    <w:basedOn w:val="Normalny"/>
    <w:link w:val="TekstkomentarzaZnak"/>
    <w:uiPriority w:val="99"/>
    <w:unhideWhenUsed/>
    <w:rsid w:val="00F827A7"/>
    <w:pPr>
      <w:spacing w:after="160" w:line="240" w:lineRule="auto"/>
      <w:jc w:val="both"/>
    </w:pPr>
    <w:rPr>
      <w:rFonts w:ascii="Times New Roman" w:eastAsia="Calibri" w:hAnsi="Times New Roman"/>
      <w:sz w:val="20"/>
      <w:szCs w:val="20"/>
    </w:rPr>
  </w:style>
  <w:style w:type="character" w:customStyle="1" w:styleId="TekstkomentarzaZnak">
    <w:name w:val="Tekst komentarza Znak"/>
    <w:link w:val="Tekstkomentarza"/>
    <w:uiPriority w:val="99"/>
    <w:rsid w:val="00F827A7"/>
    <w:rPr>
      <w:rFonts w:ascii="Times New Roman" w:eastAsia="Calibri" w:hAnsi="Times New Roman" w:cs="Times New Roman"/>
      <w:lang w:eastAsia="en-US"/>
    </w:rPr>
  </w:style>
  <w:style w:type="character" w:customStyle="1" w:styleId="Nagwek1Znak">
    <w:name w:val="Nagłówek 1 Znak"/>
    <w:link w:val="Nagwek1"/>
    <w:uiPriority w:val="9"/>
    <w:rsid w:val="00AE7E20"/>
    <w:rPr>
      <w:rFonts w:ascii="Times New Roman" w:eastAsia="Times New Roman" w:hAnsi="Times New Roman" w:cs="Times New Roman"/>
      <w:b/>
      <w:bCs/>
      <w:color w:val="365F91"/>
      <w:sz w:val="28"/>
      <w:szCs w:val="28"/>
      <w:lang w:eastAsia="en-US"/>
    </w:rPr>
  </w:style>
  <w:style w:type="character" w:customStyle="1" w:styleId="Nierozpoznanawzmianka1">
    <w:name w:val="Nierozpoznana wzmianka1"/>
    <w:uiPriority w:val="99"/>
    <w:semiHidden/>
    <w:unhideWhenUsed/>
    <w:rsid w:val="00944F61"/>
    <w:rPr>
      <w:color w:val="605E5C"/>
      <w:shd w:val="clear" w:color="auto" w:fill="E1DFDD"/>
    </w:rPr>
  </w:style>
  <w:style w:type="paragraph" w:styleId="Akapitzlist">
    <w:name w:val="List Paragraph"/>
    <w:aliases w:val="lp1,Preambuła,Tytuły"/>
    <w:basedOn w:val="Normalny"/>
    <w:link w:val="AkapitzlistZnak"/>
    <w:uiPriority w:val="34"/>
    <w:qFormat/>
    <w:rsid w:val="006B046D"/>
    <w:pPr>
      <w:spacing w:after="160" w:line="259" w:lineRule="auto"/>
      <w:ind w:left="720"/>
      <w:contextualSpacing/>
    </w:pPr>
    <w:rPr>
      <w:rFonts w:eastAsia="Calibri"/>
    </w:rPr>
  </w:style>
  <w:style w:type="paragraph" w:styleId="Tematkomentarza">
    <w:name w:val="annotation subject"/>
    <w:basedOn w:val="Tekstkomentarza"/>
    <w:next w:val="Tekstkomentarza"/>
    <w:link w:val="TematkomentarzaZnak"/>
    <w:uiPriority w:val="99"/>
    <w:semiHidden/>
    <w:unhideWhenUsed/>
    <w:rsid w:val="004E4BA8"/>
    <w:pPr>
      <w:spacing w:after="200" w:line="276" w:lineRule="auto"/>
      <w:jc w:val="left"/>
    </w:pPr>
    <w:rPr>
      <w:rFonts w:ascii="Calibri" w:eastAsia="Times New Roman" w:hAnsi="Calibri"/>
      <w:b/>
      <w:bCs/>
    </w:rPr>
  </w:style>
  <w:style w:type="character" w:customStyle="1" w:styleId="TematkomentarzaZnak">
    <w:name w:val="Temat komentarza Znak"/>
    <w:basedOn w:val="TekstkomentarzaZnak"/>
    <w:link w:val="Tematkomentarza"/>
    <w:uiPriority w:val="99"/>
    <w:semiHidden/>
    <w:rsid w:val="004E4BA8"/>
    <w:rPr>
      <w:rFonts w:ascii="Times New Roman" w:eastAsia="Calibri" w:hAnsi="Times New Roman" w:cs="Times New Roman"/>
      <w:b/>
      <w:bCs/>
      <w:lang w:eastAsia="en-US"/>
    </w:rPr>
  </w:style>
  <w:style w:type="character" w:customStyle="1" w:styleId="Nagwek2Znak">
    <w:name w:val="Nagłówek 2 Znak"/>
    <w:basedOn w:val="Domylnaczcionkaakapitu"/>
    <w:link w:val="Nagwek2"/>
    <w:uiPriority w:val="9"/>
    <w:semiHidden/>
    <w:rsid w:val="00E86496"/>
    <w:rPr>
      <w:rFonts w:asciiTheme="majorHAnsi" w:eastAsiaTheme="majorEastAsia" w:hAnsiTheme="majorHAnsi" w:cstheme="majorBidi"/>
      <w:color w:val="2F5496" w:themeColor="accent1" w:themeShade="BF"/>
      <w:sz w:val="26"/>
      <w:szCs w:val="26"/>
      <w:lang w:eastAsia="en-US"/>
    </w:rPr>
  </w:style>
  <w:style w:type="character" w:customStyle="1" w:styleId="Nagwek3Znak">
    <w:name w:val="Nagłówek 3 Znak"/>
    <w:basedOn w:val="Domylnaczcionkaakapitu"/>
    <w:link w:val="Nagwek3"/>
    <w:uiPriority w:val="9"/>
    <w:semiHidden/>
    <w:rsid w:val="006D1B69"/>
    <w:rPr>
      <w:rFonts w:asciiTheme="majorHAnsi" w:eastAsiaTheme="majorEastAsia" w:hAnsiTheme="majorHAnsi" w:cstheme="majorBidi"/>
      <w:color w:val="1F3763" w:themeColor="accent1" w:themeShade="7F"/>
      <w:sz w:val="24"/>
      <w:szCs w:val="24"/>
      <w:lang w:eastAsia="en-US"/>
    </w:rPr>
  </w:style>
  <w:style w:type="paragraph" w:styleId="Tekstprzypisudolnego">
    <w:name w:val="footnote text"/>
    <w:basedOn w:val="Normalny"/>
    <w:link w:val="TekstprzypisudolnegoZnak"/>
    <w:uiPriority w:val="99"/>
    <w:unhideWhenUsed/>
    <w:rsid w:val="000C131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0C1319"/>
    <w:rPr>
      <w:rFonts w:cs="Times New Roman"/>
      <w:lang w:eastAsia="en-US"/>
    </w:rPr>
  </w:style>
  <w:style w:type="character" w:styleId="Odwoanieprzypisudolnego">
    <w:name w:val="footnote reference"/>
    <w:basedOn w:val="Domylnaczcionkaakapitu"/>
    <w:uiPriority w:val="99"/>
    <w:semiHidden/>
    <w:unhideWhenUsed/>
    <w:rsid w:val="000C1319"/>
    <w:rPr>
      <w:vertAlign w:val="superscript"/>
    </w:rPr>
  </w:style>
  <w:style w:type="paragraph" w:customStyle="1" w:styleId="Default">
    <w:name w:val="Default"/>
    <w:rsid w:val="00C25CF7"/>
    <w:pPr>
      <w:autoSpaceDE w:val="0"/>
      <w:autoSpaceDN w:val="0"/>
      <w:adjustRightInd w:val="0"/>
    </w:pPr>
    <w:rPr>
      <w:color w:val="000000"/>
      <w:sz w:val="24"/>
      <w:szCs w:val="24"/>
    </w:rPr>
  </w:style>
  <w:style w:type="character" w:customStyle="1" w:styleId="AkapitzlistZnak">
    <w:name w:val="Akapit z listą Znak"/>
    <w:aliases w:val="lp1 Znak,Preambuła Znak,Tytuły Znak"/>
    <w:link w:val="Akapitzlist"/>
    <w:uiPriority w:val="34"/>
    <w:qFormat/>
    <w:locked/>
    <w:rsid w:val="00AE29C5"/>
    <w:rPr>
      <w:rFonts w:eastAsia="Calibri" w:cs="Times New Roman"/>
      <w:sz w:val="22"/>
      <w:szCs w:val="22"/>
      <w:lang w:eastAsia="en-US"/>
    </w:rPr>
  </w:style>
  <w:style w:type="character" w:customStyle="1" w:styleId="normaltextrun">
    <w:name w:val="normaltextrun"/>
    <w:basedOn w:val="Domylnaczcionkaakapitu"/>
    <w:rsid w:val="00FF2ED5"/>
  </w:style>
  <w:style w:type="character" w:customStyle="1" w:styleId="eop">
    <w:name w:val="eop"/>
    <w:basedOn w:val="Domylnaczcionkaakapitu"/>
    <w:rsid w:val="00FF2ED5"/>
  </w:style>
  <w:style w:type="character" w:customStyle="1" w:styleId="hgkelc">
    <w:name w:val="hgkelc"/>
    <w:basedOn w:val="Domylnaczcionkaakapitu"/>
    <w:rsid w:val="00FF2ED5"/>
  </w:style>
  <w:style w:type="paragraph" w:customStyle="1" w:styleId="PKTpunkt">
    <w:name w:val="PKT – punkt"/>
    <w:uiPriority w:val="13"/>
    <w:qFormat/>
    <w:rsid w:val="00F3214E"/>
    <w:pPr>
      <w:spacing w:line="360" w:lineRule="auto"/>
      <w:ind w:left="510" w:hanging="510"/>
      <w:jc w:val="both"/>
    </w:pPr>
    <w:rPr>
      <w:rFonts w:ascii="Times" w:eastAsiaTheme="minorEastAsia" w:hAnsi="Times" w:cs="Arial"/>
      <w:bCs/>
      <w:sz w:val="24"/>
    </w:rPr>
  </w:style>
  <w:style w:type="paragraph" w:styleId="Poprawka">
    <w:name w:val="Revision"/>
    <w:hidden/>
    <w:uiPriority w:val="99"/>
    <w:semiHidden/>
    <w:rsid w:val="0039197C"/>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42075">
      <w:bodyDiv w:val="1"/>
      <w:marLeft w:val="0"/>
      <w:marRight w:val="0"/>
      <w:marTop w:val="0"/>
      <w:marBottom w:val="0"/>
      <w:divBdr>
        <w:top w:val="none" w:sz="0" w:space="0" w:color="auto"/>
        <w:left w:val="none" w:sz="0" w:space="0" w:color="auto"/>
        <w:bottom w:val="none" w:sz="0" w:space="0" w:color="auto"/>
        <w:right w:val="none" w:sz="0" w:space="0" w:color="auto"/>
      </w:divBdr>
    </w:div>
    <w:div w:id="730273298">
      <w:bodyDiv w:val="1"/>
      <w:marLeft w:val="0"/>
      <w:marRight w:val="0"/>
      <w:marTop w:val="0"/>
      <w:marBottom w:val="0"/>
      <w:divBdr>
        <w:top w:val="none" w:sz="0" w:space="0" w:color="auto"/>
        <w:left w:val="none" w:sz="0" w:space="0" w:color="auto"/>
        <w:bottom w:val="none" w:sz="0" w:space="0" w:color="auto"/>
        <w:right w:val="none" w:sz="0" w:space="0" w:color="auto"/>
      </w:divBdr>
    </w:div>
    <w:div w:id="762069625">
      <w:bodyDiv w:val="1"/>
      <w:marLeft w:val="0"/>
      <w:marRight w:val="0"/>
      <w:marTop w:val="0"/>
      <w:marBottom w:val="0"/>
      <w:divBdr>
        <w:top w:val="none" w:sz="0" w:space="0" w:color="auto"/>
        <w:left w:val="none" w:sz="0" w:space="0" w:color="auto"/>
        <w:bottom w:val="none" w:sz="0" w:space="0" w:color="auto"/>
        <w:right w:val="none" w:sz="0" w:space="0" w:color="auto"/>
      </w:divBdr>
    </w:div>
    <w:div w:id="855004739">
      <w:bodyDiv w:val="1"/>
      <w:marLeft w:val="0"/>
      <w:marRight w:val="0"/>
      <w:marTop w:val="0"/>
      <w:marBottom w:val="0"/>
      <w:divBdr>
        <w:top w:val="none" w:sz="0" w:space="0" w:color="auto"/>
        <w:left w:val="none" w:sz="0" w:space="0" w:color="auto"/>
        <w:bottom w:val="none" w:sz="0" w:space="0" w:color="auto"/>
        <w:right w:val="none" w:sz="0" w:space="0" w:color="auto"/>
      </w:divBdr>
    </w:div>
    <w:div w:id="866678831">
      <w:bodyDiv w:val="1"/>
      <w:marLeft w:val="0"/>
      <w:marRight w:val="0"/>
      <w:marTop w:val="0"/>
      <w:marBottom w:val="0"/>
      <w:divBdr>
        <w:top w:val="none" w:sz="0" w:space="0" w:color="auto"/>
        <w:left w:val="none" w:sz="0" w:space="0" w:color="auto"/>
        <w:bottom w:val="none" w:sz="0" w:space="0" w:color="auto"/>
        <w:right w:val="none" w:sz="0" w:space="0" w:color="auto"/>
      </w:divBdr>
    </w:div>
    <w:div w:id="1017999063">
      <w:bodyDiv w:val="1"/>
      <w:marLeft w:val="0"/>
      <w:marRight w:val="0"/>
      <w:marTop w:val="0"/>
      <w:marBottom w:val="0"/>
      <w:divBdr>
        <w:top w:val="none" w:sz="0" w:space="0" w:color="auto"/>
        <w:left w:val="none" w:sz="0" w:space="0" w:color="auto"/>
        <w:bottom w:val="none" w:sz="0" w:space="0" w:color="auto"/>
        <w:right w:val="none" w:sz="0" w:space="0" w:color="auto"/>
      </w:divBdr>
    </w:div>
    <w:div w:id="1197430044">
      <w:bodyDiv w:val="1"/>
      <w:marLeft w:val="0"/>
      <w:marRight w:val="0"/>
      <w:marTop w:val="0"/>
      <w:marBottom w:val="0"/>
      <w:divBdr>
        <w:top w:val="none" w:sz="0" w:space="0" w:color="auto"/>
        <w:left w:val="none" w:sz="0" w:space="0" w:color="auto"/>
        <w:bottom w:val="none" w:sz="0" w:space="0" w:color="auto"/>
        <w:right w:val="none" w:sz="0" w:space="0" w:color="auto"/>
      </w:divBdr>
    </w:div>
    <w:div w:id="1501578055">
      <w:bodyDiv w:val="1"/>
      <w:marLeft w:val="0"/>
      <w:marRight w:val="0"/>
      <w:marTop w:val="0"/>
      <w:marBottom w:val="0"/>
      <w:divBdr>
        <w:top w:val="none" w:sz="0" w:space="0" w:color="auto"/>
        <w:left w:val="none" w:sz="0" w:space="0" w:color="auto"/>
        <w:bottom w:val="none" w:sz="0" w:space="0" w:color="auto"/>
        <w:right w:val="none" w:sz="0" w:space="0" w:color="auto"/>
      </w:divBdr>
    </w:div>
    <w:div w:id="1558005616">
      <w:bodyDiv w:val="1"/>
      <w:marLeft w:val="0"/>
      <w:marRight w:val="0"/>
      <w:marTop w:val="0"/>
      <w:marBottom w:val="0"/>
      <w:divBdr>
        <w:top w:val="none" w:sz="0" w:space="0" w:color="auto"/>
        <w:left w:val="none" w:sz="0" w:space="0" w:color="auto"/>
        <w:bottom w:val="none" w:sz="0" w:space="0" w:color="auto"/>
        <w:right w:val="none" w:sz="0" w:space="0" w:color="auto"/>
      </w:divBdr>
    </w:div>
    <w:div w:id="1687318783">
      <w:bodyDiv w:val="1"/>
      <w:marLeft w:val="0"/>
      <w:marRight w:val="0"/>
      <w:marTop w:val="0"/>
      <w:marBottom w:val="0"/>
      <w:divBdr>
        <w:top w:val="none" w:sz="0" w:space="0" w:color="auto"/>
        <w:left w:val="none" w:sz="0" w:space="0" w:color="auto"/>
        <w:bottom w:val="none" w:sz="0" w:space="0" w:color="auto"/>
        <w:right w:val="none" w:sz="0" w:space="0" w:color="auto"/>
      </w:divBdr>
    </w:div>
    <w:div w:id="1879731649">
      <w:bodyDiv w:val="1"/>
      <w:marLeft w:val="0"/>
      <w:marRight w:val="0"/>
      <w:marTop w:val="0"/>
      <w:marBottom w:val="0"/>
      <w:divBdr>
        <w:top w:val="none" w:sz="0" w:space="0" w:color="auto"/>
        <w:left w:val="none" w:sz="0" w:space="0" w:color="auto"/>
        <w:bottom w:val="none" w:sz="0" w:space="0" w:color="auto"/>
        <w:right w:val="none" w:sz="0" w:space="0" w:color="auto"/>
      </w:divBdr>
    </w:div>
    <w:div w:id="212522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transport/infrastructure/tentec/tentec-portal/map/maps.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C3D35-FAF5-4E30-826C-AA8929C6F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17608</Words>
  <Characters>105652</Characters>
  <Application>Microsoft Office Word</Application>
  <DocSecurity>0</DocSecurity>
  <Lines>880</Lines>
  <Paragraphs>246</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123014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umwm</dc:creator>
  <cp:keywords/>
  <cp:lastModifiedBy>Sobota Michał</cp:lastModifiedBy>
  <cp:revision>2</cp:revision>
  <cp:lastPrinted>2021-10-20T06:58:00Z</cp:lastPrinted>
  <dcterms:created xsi:type="dcterms:W3CDTF">2024-04-15T12:16:00Z</dcterms:created>
  <dcterms:modified xsi:type="dcterms:W3CDTF">2024-04-15T12:16:00Z</dcterms:modified>
</cp:coreProperties>
</file>