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line="240" w:lineRule="auto"/>
        <w:ind w:left="0" w:right="0" w:firstLine="0"/>
        <w:jc w:val="right"/>
      </w:pPr>
      <w:bookmarkStart w:id="0" w:name="bookmark0"/>
      <w:r>
        <w:rPr>
          <w:rStyle w:val="CharStyle5"/>
          <w:b/>
          <w:bCs/>
        </w:rPr>
        <w:t>MINISTERSTWO KLIMATU I ŚRODOWIKA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Szanowna Pani Minister,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działając w imieniu Fundacji zwracam się z petycją o pilne podjęcie działań legislacyjnych zmierzających do doprecyzowania treści § 3 ust. 1 pkt 62 rozporządzenia Rady Ministrów z dnia 10 września 2019 r. w sprawie przedsięwzięć mogących znacząco oddziaływać na środowisko, poprzez jednoznaczne wskazanie, że drogi dla pieszych, drogi dla pieszych i rowerów oraz drogi dla rowerów nie stanowią przedsięwzięć mogących potencjalnie znacząco oddziaływać na środowisko wyłącznie z tego powodu, że ich długość przekracza 1 km.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both"/>
      </w:pPr>
      <w:r>
        <w:rPr>
          <w:rStyle w:val="CharStyle3"/>
        </w:rPr>
        <w:t>Obecnie na terenie Rzeczypospolitej Polskiej jednostki samorządu terytorialnego, korzystając przede wszystkim ze środków unijnych, coraz częściej planują lub realizują inwestycje polegające na budowie dróg dla rowerów albo dróg dla pieszych i rowerów. Są to przedsięwzięcia służące rozwojowi zrównoważonej mobilności, poprawie bezpieczeństwa niechronionych uczestników ruchu drogowego, ograniczeniu emisji pochodzących z transportu indywidualnego oraz zwiększeniu dostępności komunikacyjnej obszarów miejskich i pozamiejskich.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W praktyce procesu inwestycyjnego, już na etapie projektowym, coraz częściej pojawiają się jednak wątpliwości interpretacyjne, czy droga dla rowerów albo droga dla pieszych i rowerów o długości powyżej 1 km objęta jest obowiązkiem uzyskania decyzji o środowiskowych uwarunkowaniach.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Pomimo że Generalny Dyrektor Ochrony Środowiska przedstawił w tym zakresie bardzo przejrzyste stanowisko kierunkowe, organy właściwe do wydawania decyzji o środowiskowych uwarunkowaniach w dalszym ciągu dokonują rozbieżnej wykładni podstawowego przepisu i nakładają na inwestorów obowiązek przeprowadzenia procedury środowiskowej także w odniesieniu do inwestycji polegających wyłącznie na budowie drogi dla rowerów albo drogi dla pieszych i rowerów. Prowadzi to do nieuzasadnionego wydłużenia procesu inwestycyjnego, zwiększenia kosztów przygotowania dokumentacji projektowej oraz ryzyka utraty lub opóźnienia wykorzystania środków publicznych, w tym środków pochodzących z funduszy Unii Europejskiej.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Należy podkreślić, że w stanowisku Generalnego Dyrektora Ochrony Środowiska wyraźnie wskazano, iż mimo że rower na gruncie przepisów Prawa o ruchu drogowym jest pojazdem, to nigdy nie było intencją projektodawcy rozporządzenia, aby droga dla rowerów przeznaczona do prowadzenia ruchu rowerów była kwalifikowana jako droga w rozumieniu § 3 ust. 1 pkt 62 rozporządzenia. Jednocześnie GDOŚ wskazał, że użytkowanie drogi rowerowej nie wiąże się zasadniczo z generowaniem oddziaływań, ponieważ nie jest nią prowadzony ruch pojazdów silnikowych.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Powyższe stanowisko znajduje również potwierdzenie w odpowiedzi Ministerstwa Klimatu i Środowiska na interpelację poselską (DOP-WŚ.050.58.2025.WM), w której wskazano, że nie było intencją projektodawcy rozporządzenia, aby droga dla rowerów była kwalifikowana jako droga w rozumieniu § 3 ust. 1 pkt 62 rozporządzenia, a kluczowe znaczenie ma fakt, że użytkowanie drogi rowerowej nie wiąże się zasadniczo z generowaniem oddziaływań, albowiem nie jest nią prowadzony ruch pojazdów silnikowych.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Co istotne, zarówno Generalny Dyrektor Ochrony Środowiska, jak i Ministerstwo Klimatu i Środowiska wskazali, że katalog inwestycji objętych dyrektywą EIA nie obejmuje swoim zakresem dróg, odnosno ścieżek rowerowych, a zatem inwestycje tego rodzaju nie zostały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uznane za przedsięwzięcia mogące znacząco oddziaływać na środowisko także na gruncie prawa krajowego.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Szczególnie istotne jest również to, że w latach 2007–2010 ścieżki rowerowe były literalnie wyłączone z katalogu przedsięwzięć mogących znacząco oddziaływać na środowisko. Jak wynika z przedstawionych dokumentów, dawne brzmienie przepisu wprost wyłączało m.in. chodniki i ścieżki rowerowe, a późniejsze wykreślenie tych elementów nie oznaczało zmiany podejścia do kwalifikacji tego rodzaju przedsięwzięć.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Z dokumentów tych wynika jednoznacznie, że pomimo zmian legislacyjnych podejście do kwalifikacji przedsięwzięć nie uległo zmianie, a realizacja samodzielnie funkcjonującej drogi dla pieszych i rowerów nie wymaga uzyskania decyzji o środowiskowych uwarunkowaniach. Analogiczne stanowisko zostało powtórzone w odpowiedzi Ministerstwa Klimatu i Środowiska na interpelację poselską, w której wskazano, że realizacja samodzielnie funkcjonującej drogi dla pieszych i rowerów nie wymaga uzyskania decyzji o środowiskowych uwarunkowaniach.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  <w:b/>
          <w:bCs/>
        </w:rPr>
        <w:t>Przedmiot sprawy jest szczególnie istotny, ponieważ pomimo interpelacji poselskich, stanowisk organów oraz pogłębionych analiz przedstawionych przez Generalnego Dyrektora Ochrony Środowiska i Ministerstwo Klimatu i Środowiska, w praktyce stosowania prawa nadal występują rozbieżności interpretacyjne. Co więcej, sam Generalny Dyrektor Ochrony Środowiska wskazał, że jego pismo nie stanowi oficjalnej wykładni prawa i nie jest wiążące dla organów administracyjnych orzekających w sprawach indywidualnych. W konsekwencji nawet najbardziej racjonalne i merytorycznie uzasadnione stanowisko kierunkowe nie eliminuje ryzyka odmiennej praktyki organów administracji publicznej</w:t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0" w:right="0" w:firstLine="0"/>
        <w:jc w:val="both"/>
      </w:pPr>
      <w:r>
        <w:rPr>
          <w:rStyle w:val="CharStyle3"/>
        </w:rPr>
        <w:t>Jednocześnie w dokumentach tych wskazano, że z uwagi na dotychczasowe orzecznictwo sądów administracyjnych oraz istniejące nadal wątpliwości interpretacyjne, kwestia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doprecyzowania § 3 ust. 1 pkt 62 rozporządzenia w zakresie dróg rowerowych powinna zostać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0" w:right="0" w:firstLine="0"/>
        <w:jc w:val="both"/>
      </w:pPr>
      <w:r>
        <w:rPr>
          <w:rStyle w:val="CharStyle3"/>
        </w:rPr>
        <w:t>szczegółowo przeanalizowana w toku prac nad zmianą rozporządzenia. Takie stanowisko zostało także przedstawione w odpowiedzi Ministerstwa Klimatu i Środowiska na interpelację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poselską, gdzie wskazano na potrzebę analizy stosownego doprecyzowania tego przepisu w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both"/>
      </w:pPr>
      <w:r>
        <w:rPr>
          <w:rStyle w:val="CharStyle3"/>
        </w:rPr>
        <w:t>toku ewentualnych prac nad zmianą rozporządzenia.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righ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12700</wp:posOffset>
                </wp:positionV>
                <wp:extent cx="2346960" cy="201295"/>
                <wp:wrapSquare wrapText="righ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46960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Mając powyższe na uwadze, Fundacja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1.600000000000009pt;margin-top:1.pt;width:184.80000000000001pt;height:15.8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Mając powyższe na uwadze, Fundacja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harStyle3"/>
        </w:rPr>
        <w:t>wnosi o pilne wprowadzenie zmiany w § 3 ust. 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pkt 62 rozporządzenia poprzez nadanie temu przepisowi brzmienia, które w sposób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jednoznaczny i niebudzący wątpliwości wyłączy z zakresu tego przepisu drogi dla pieszych, drogi dla pieszych i rowerów oraz drogi dla rowerów.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Proponowane brzmienie przepisu: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„</w:t>
      </w:r>
      <w:r>
        <w:rPr>
          <w:rStyle w:val="CharStyle3"/>
          <w:i/>
          <w:iCs/>
        </w:rPr>
        <w:t xml:space="preserve">Do przedsięwzięć mogących potencjalnie znacząco oddziaływać na środowisko, wymagających uzyskania decyzji o środowiskowych uwarunkowaniach, należą drogi o nawierzchni twardej o całkowitej długości przedsięwzięcia powyżej 1 km, inne niż wymienione w § 2 ust. 1 pkt 31 i 32, oraz obiekty mostowe w ciągu drogi o nawierzchni twardej, z wyłączeniem przebudowy dróg oraz obiektów mostowych służących do obsługi stacji elektroenergetycznych i zlokalizowanych poza obszarami objętymi formami ochrony przyrody, o których mowa w art. 6 ust. 1 pkt 1–5, 8 i 9 ustawy z dnia 16 kwietnia 2004 r. o ochronie przyrody, </w:t>
      </w:r>
      <w:r>
        <w:rPr>
          <w:rStyle w:val="CharStyle3"/>
          <w:i/>
          <w:iCs/>
          <w:color w:val="EE0000"/>
        </w:rPr>
        <w:t>oraz z wyłączeniem dróg dla pieszych, dróg dla pieszych i rowerów oraz dróg dla rowerów.</w:t>
      </w:r>
      <w:r>
        <w:rPr>
          <w:rStyle w:val="CharStyle3"/>
        </w:rPr>
        <w:t>”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W ocenie Fundacji zaproponowane doprecyzowanie nie zmienia istoty obowiązującej regulacji, lecz porządkuje faktyczny i prawny stan rzeczy. Skoro bowiem z przedstawionych dokumentów wynika, że samodzielnie funkcjonujące drogi dla rowerów oraz drogi dla pieszych i rowerów nie powinny być kwalifikowane jako przedsięwzięcia wymagające uzyskania decyzji o środowiskowych uwarunkowaniach, to zasadne jest przeniesienie tej wykładni wprost do treści aktu prawnego.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Taki zapis byłby czytelny dla wszystkich uczestników procesu inwestycyjnego i budowlanego, w szczególności dla inwestorów publicznych, projektantów, jednostek samorządu terytorialnego, organów właściwych do wydawania decyzji o środowiskowych uwarunkowaniach, a także dla organów administracji architektoniczno-budowlanej. Pozwoliłby on wyeliminować rozbieżności interpretacyjne, ujednolicić praktykę stosowania prawa oraz ograniczyć nieuzasadnione obciążenia proceduralne w inwestycjach, które ze swojej istoty służą ochronie środowiska, poprawie bezpieczeństwa i rozwojowi niskoemisyjnego transportu.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Wprowadzenie proponowanej zmiany miałoby również istotne znaczenie praktyczne dla samorządów realizujących projekty z udziałem środków unijnych. Obecny stan niepewności prawnej może prowadzić do wydłużenia procesu przygotowania inwestycji, zwiększenia kosztów dokumentacyjnych, dublowania procedur oraz tworzenia barier administracyjnych dla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przedsięwzięć, które nie generują typowych oddziaływań środowiskowych charakterystycznych dla dróg przeznaczonych do ruchu pojazdów silnikowych.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Mając na względzie zasadę pewności prawa, zasadę proporcjonalności oraz potrzebę racjonalizacji procedur administracyjnych, Fundacja wnosi o pilne podjęcie działań legislacyjnych w powyższym zakresie.</w:t>
      </w:r>
    </w:p>
    <w:sectPr>
      <w:footnotePr>
        <w:pos w:val="pageBottom"/>
        <w:numFmt w:val="decimal"/>
        <w:numRestart w:val="continuous"/>
      </w:footnotePr>
      <w:pgSz w:w="11900" w:h="16840"/>
      <w:pgMar w:top="1407" w:right="1223" w:bottom="1217" w:left="1278" w:header="979" w:footer="78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CharStyle5">
    <w:name w:val="Heading #1_"/>
    <w:basedOn w:val="DefaultParagraphFont"/>
    <w:link w:val="Style4"/>
    <w:rPr>
      <w:rFonts w:ascii="Calibri" w:eastAsia="Calibri" w:hAnsi="Calibri" w:cs="Calibri"/>
      <w:b/>
      <w:bCs/>
      <w:i w:val="0"/>
      <w:iCs w:val="0"/>
      <w:smallCaps w:val="0"/>
      <w:strike w:val="0"/>
      <w:color w:val="215E99"/>
      <w:sz w:val="28"/>
      <w:szCs w:val="28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40" w:line="360" w:lineRule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auto"/>
      <w:spacing w:before="5520" w:after="700"/>
      <w:jc w:val="right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color w:val="215E99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MaKo Consulting</dc:creator>
  <cp:keywords/>
</cp:coreProperties>
</file>