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DC7A" w14:textId="29CA7A59" w:rsidR="008C6687" w:rsidRDefault="008C6687" w:rsidP="008C6687">
      <w:pPr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8C6687">
        <w:rPr>
          <w:rFonts w:ascii="Calibri" w:eastAsia="Calibri" w:hAnsi="Calibri" w:cs="Times New Roman"/>
          <w:noProof/>
          <w:kern w:val="0"/>
          <w:sz w:val="18"/>
          <w:szCs w:val="20"/>
          <w14:ligatures w14:val="none"/>
        </w:rPr>
        <w:drawing>
          <wp:inline distT="0" distB="0" distL="0" distR="0" wp14:anchorId="57C482C5" wp14:editId="28D9A2A0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FA2BF" w14:textId="55C5A849" w:rsidR="00D175CC" w:rsidRPr="00D175CC" w:rsidRDefault="00D175CC" w:rsidP="00D175CC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D175C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WARUNKI UMOWY DOTACJI</w:t>
      </w:r>
    </w:p>
    <w:p w14:paraId="5773418B" w14:textId="77777777" w:rsidR="00D175CC" w:rsidRPr="00D175CC" w:rsidRDefault="00D175CC" w:rsidP="00D175CC">
      <w:pPr>
        <w:rPr>
          <w:rFonts w:ascii="Calibri" w:eastAsia="Calibri" w:hAnsi="Calibri" w:cs="Times New Roman"/>
          <w:kern w:val="0"/>
          <w14:ligatures w14:val="none"/>
        </w:rPr>
      </w:pPr>
      <w:r w:rsidRPr="00D175CC">
        <w:rPr>
          <w:rFonts w:ascii="Calibri" w:eastAsia="Calibri" w:hAnsi="Calibri" w:cs="Times New Roman"/>
          <w:kern w:val="0"/>
          <w14:ligatures w14:val="none"/>
        </w:rPr>
        <w:t>1. Efekt rzeczowy i ekologiczny</w:t>
      </w:r>
    </w:p>
    <w:p w14:paraId="7BA64842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1) W wyniku realizacji przedsięwzięcia Beneficjent czyli osoba fizyczna (dane osobowe w sekcji A. „Dane wnioskodawcy”), której udzielono dotację na realizację przedsięwzięcia opisanego w umowie, zobowiązuje się do terminowego zrealizowania zakresu rzeczowego, zgodnie z rodzajem i zakresem przedsięwzięcia wskazanym w niniejszym wniosku w sekcji C i przedłożenia do WFOŚiGW (pełna nazwa i adres siedziby w pkt E.1) jego rozliczenia (wniosek o płatność) zgodnego z zasadami programu priorytetowego „Czyste Powietrze” (dalej Program) na podstawie ust. 3 pkt 1-3 niniejszej umowy.</w:t>
      </w:r>
    </w:p>
    <w:p w14:paraId="352F1938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2) W wyniku realizacji umowy o dofinansowanie zostanie osiągnięty efekt ekologiczny wynikający ze zrealizowanego zakresu rzeczowego oraz zostanie osiągnięty</w:t>
      </w:r>
      <w:r w:rsidRPr="00D175C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określony w polu B.2.29 wskaźnik zapotrzebowania na energię użytkową do ogrzewania dla budynku/lokalu mieszkalnego. </w:t>
      </w:r>
    </w:p>
    <w:p w14:paraId="6AE73BF4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Efekt ekologiczny, w zakresie:</w:t>
      </w:r>
    </w:p>
    <w:tbl>
      <w:tblPr>
        <w:tblStyle w:val="Tabela-Siatka"/>
        <w:tblpPr w:leftFromText="141" w:rightFromText="141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2122"/>
      </w:tblGrid>
      <w:tr w:rsidR="00D175CC" w:rsidRPr="00D175CC" w14:paraId="7FAB55AB" w14:textId="77777777" w:rsidTr="001B1E57">
        <w:tc>
          <w:tcPr>
            <w:tcW w:w="2122" w:type="dxa"/>
            <w:shd w:val="clear" w:color="auto" w:fill="auto"/>
          </w:tcPr>
          <w:p w14:paraId="43F3EBD6" w14:textId="77777777" w:rsidR="00D175CC" w:rsidRPr="00D175CC" w:rsidRDefault="00D175CC" w:rsidP="00D175CC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175CC">
              <w:rPr>
                <w:rFonts w:ascii="Calibri" w:eastAsia="Calibri" w:hAnsi="Calibri" w:cs="Times New Roman"/>
                <w:sz w:val="16"/>
                <w:szCs w:val="16"/>
              </w:rPr>
              <w:t>Pole F.8 …………   MWh/rok</w:t>
            </w:r>
          </w:p>
        </w:tc>
      </w:tr>
    </w:tbl>
    <w:p w14:paraId="6B0274A9" w14:textId="77777777" w:rsidR="00D175CC" w:rsidRPr="00D175CC" w:rsidRDefault="00D175CC" w:rsidP="00D175CC">
      <w:pPr>
        <w:numPr>
          <w:ilvl w:val="0"/>
          <w:numId w:val="9"/>
        </w:numPr>
        <w:ind w:left="360"/>
        <w:contextualSpacing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bookmarkStart w:id="0" w:name="_Hlk192260143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oszczędności energii pierwotnej:       </w:t>
      </w:r>
    </w:p>
    <w:tbl>
      <w:tblPr>
        <w:tblStyle w:val="Tabela-Siatka"/>
        <w:tblpPr w:leftFromText="141" w:rightFromText="141" w:vertAnchor="text" w:horzAnchor="page" w:tblpX="5509" w:tblpY="31"/>
        <w:tblW w:w="0" w:type="auto"/>
        <w:tblLook w:val="04A0" w:firstRow="1" w:lastRow="0" w:firstColumn="1" w:lastColumn="0" w:noHBand="0" w:noVBand="1"/>
      </w:tblPr>
      <w:tblGrid>
        <w:gridCol w:w="2122"/>
      </w:tblGrid>
      <w:tr w:rsidR="00D175CC" w:rsidRPr="00D175CC" w14:paraId="03BD3657" w14:textId="77777777" w:rsidTr="001B1E57">
        <w:tc>
          <w:tcPr>
            <w:tcW w:w="2122" w:type="dxa"/>
          </w:tcPr>
          <w:p w14:paraId="584254D4" w14:textId="77777777" w:rsidR="00D175CC" w:rsidRPr="00D175CC" w:rsidRDefault="00D175CC" w:rsidP="00D175CC">
            <w:pPr>
              <w:ind w:right="-103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175CC">
              <w:rPr>
                <w:rFonts w:ascii="Calibri" w:eastAsia="Calibri" w:hAnsi="Calibri" w:cs="Times New Roman"/>
                <w:sz w:val="16"/>
                <w:szCs w:val="16"/>
              </w:rPr>
              <w:t>Pole F.9 …………        t CO2/rok</w:t>
            </w:r>
          </w:p>
        </w:tc>
      </w:tr>
    </w:tbl>
    <w:p w14:paraId="0CDA5B9C" w14:textId="77777777" w:rsidR="00D175CC" w:rsidRPr="00D175CC" w:rsidRDefault="00D175CC" w:rsidP="00D175CC">
      <w:pPr>
        <w:numPr>
          <w:ilvl w:val="0"/>
          <w:numId w:val="9"/>
        </w:numPr>
        <w:ind w:left="36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zmniejszenia emisji gazów cieplarnianych (CO</w:t>
      </w:r>
      <w:r w:rsidRPr="00D175CC">
        <w:rPr>
          <w:rFonts w:ascii="Calibri" w:eastAsia="Calibri" w:hAnsi="Calibri" w:cs="Times New Roman"/>
          <w:kern w:val="0"/>
          <w:sz w:val="16"/>
          <w:szCs w:val="16"/>
          <w:vertAlign w:val="subscript"/>
          <w14:ligatures w14:val="none"/>
        </w:rPr>
        <w:t>2</w:t>
      </w: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):  </w:t>
      </w:r>
      <w:bookmarkEnd w:id="0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</w:t>
      </w:r>
    </w:p>
    <w:p w14:paraId="2FF92566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Powyższe wartości są podstawą do wyliczenia oczekiwanych skumulowanych oszczędności MWh energii pierwotnej do końca okresu istnienia inwestycji (przedsięwzięcia), oraz oczekiwanego skumulowanego zmniejszenia emisji gazów cieplarnianych (CO2) do końca okresu </w:t>
      </w:r>
      <w:proofErr w:type="gram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istnienia  inwestycji</w:t>
      </w:r>
      <w:proofErr w:type="gram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(przedsięwzięcia).</w:t>
      </w:r>
    </w:p>
    <w:p w14:paraId="041C769A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3) Obowiązkiem Beneficjenta jest wydatkowanie dotacji zgodnie z przeznaczeniem, przepisami prawa powszechnie obowiązującego, w sposób oszczędny (z zachowaniem zasady minimalizacji kosztów zasobów użytych do osiągnięcia efektu rzeczowego przedsięwzięcia z uwzględnieniem odpowiedniej jego jakości) racjonalny i efektywny (z zachowaniem zasad uzyskiwania najlepszych efektów z danych nakładów).</w:t>
      </w:r>
    </w:p>
    <w:p w14:paraId="52FE9C6E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D175CC">
        <w:rPr>
          <w:rFonts w:ascii="Calibri" w:eastAsia="Calibri" w:hAnsi="Calibri" w:cs="Times New Roman"/>
          <w:kern w:val="0"/>
          <w14:ligatures w14:val="none"/>
        </w:rPr>
        <w:t>2. Realizacja i trwałość przedsięwzięcia oraz okres istnienia inwestycji (przedsięwzięcia)</w:t>
      </w:r>
    </w:p>
    <w:p w14:paraId="0CC4016E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1) Data zakończenia realizacji przedsięwzięcia musi być zgodna z Programem i wskazywana jest w końcowym wniosku o płatność. Datą tą jest data wystawienia ostatniej faktury lub równoważnego dokumentu księgowego lub innego dokumentu potwierdzającego wykonanie prac w zakresie przedsięwzięcia (jeżeli data tego dokumentu jest późniejsza niż ostatniej faktury).</w:t>
      </w:r>
    </w:p>
    <w:p w14:paraId="567787CA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2) Beneficjent zobowiązany jest zapewnić trwałość przedsięwzięcia przez okres 5 lat licząc od daty zakończenia realizacji przedsięwzięcia.</w:t>
      </w:r>
    </w:p>
    <w:p w14:paraId="42A13E61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3) Przez trwałość przedsięwzięcia rozumie się niedokonanie zmiany przeznaczenia budynku lub lokalu mieszkalnego zdefiniowanego w Programie oraz niedokonanie demontażu urządzeń, instalacji oraz wyrobów budowlanych zakupionych i zainstalowanych w trakcie realizacji przedsięwzięcia, z wyjątkiem wymiany wadliwych instalacji lub urządzeń na inne o parametrach nie gorszych od urządzeń zdemontowanych, a także nie może zainstalować dodatkowych źródeł ciepła, niespełniających warunków określonych w ust. 9.3.1. pkt 14 Programu.</w:t>
      </w:r>
    </w:p>
    <w:p w14:paraId="3EE2DB97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4) Zbycie budynku/lokalu mieszkalnego objętego przedsięwzięciem nie zwalnia Beneficjenta z realizacji niniejszej umowy, w szczególności zapewnienia zachowania trwałości przedsięwzięcia. W umowie zbycia nieruchomości jej nabywca może przejąć wszystkie obowiązki Beneficjenta z niniejszej umowy, wówczas to na Beneficjencie spoczywa obowiązek pisemnego poinformowania o tym fakcie WFOŚiGW, który udzielił dofinansowania na przedsięwzięcie w terminie 30 dni od daty zbycia budynku/lokalu mieszkalnego.</w:t>
      </w:r>
    </w:p>
    <w:p w14:paraId="200F0D38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5) Do zakończenia okresu trwałości Beneficjent jest zobowiązany do przechowywania oryginałów faktur lub innych dokumentów księgowych oraz innych dokumentów dotyczących przedsięwzięcia, w tym odpowiednio: zaświadczenia wydanego zgodnie z art. 411 ust. 10g ustawy – Prawo ochrony środowiska lub dokumentów potwierdzających dochód Beneficjenta albo zaświadczenia potwierdzającego ustalone prawo do otrzymywania zasiłku (w zależności od załącznika przedstawionego w pkt F.2), dokumentów potwierdzających prawomocne orzeczenie separacji – jeśli dotyczy, audytu energetycznego budynku/lokalu mieszkalnego, świadectwa charakterystyki energetycznej budynku/lokalu mieszkalnego, dokumentów potwierdzających umocowanie pełnomocnika. </w:t>
      </w:r>
    </w:p>
    <w:p w14:paraId="7C7ADD41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6)</w:t>
      </w:r>
      <w:r w:rsidRPr="00D175C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Beneficjent</w:t>
      </w:r>
      <w:r w:rsidRPr="00D175C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ponosi wyłączną odpowiedzialność wobec osób trzecich za szkody powstałe w związku z realizacją przedsięwzięcia oraz za skutki działań i zaniechań związanych z realizacją przedsięwzięcia.</w:t>
      </w:r>
    </w:p>
    <w:p w14:paraId="1087047F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lastRenderedPageBreak/>
        <w:t>7) Przewidywany okres istnienia inwestycji (przedsięwzięcia), o którym mowa w ust. 1 pkt 2 to 15 lat od daty jej zakończenia.</w:t>
      </w:r>
    </w:p>
    <w:p w14:paraId="26C4359C" w14:textId="77777777" w:rsidR="00D175CC" w:rsidRPr="00D175CC" w:rsidRDefault="00D175CC" w:rsidP="00D175CC">
      <w:pPr>
        <w:rPr>
          <w:rFonts w:ascii="Calibri" w:eastAsia="Calibri" w:hAnsi="Calibri" w:cs="Times New Roman"/>
          <w:kern w:val="0"/>
          <w14:ligatures w14:val="none"/>
        </w:rPr>
      </w:pPr>
      <w:r w:rsidRPr="00D175CC">
        <w:rPr>
          <w:rFonts w:ascii="Calibri" w:eastAsia="Calibri" w:hAnsi="Calibri" w:cs="Times New Roman"/>
          <w:kern w:val="0"/>
          <w14:ligatures w14:val="none"/>
        </w:rPr>
        <w:t>3. Wypłata dotacji</w:t>
      </w:r>
    </w:p>
    <w:p w14:paraId="5049615C" w14:textId="77777777" w:rsidR="00D175CC" w:rsidRPr="00D175CC" w:rsidRDefault="00D175CC" w:rsidP="00D175CC">
      <w:pPr>
        <w:numPr>
          <w:ilvl w:val="0"/>
          <w:numId w:val="3"/>
        </w:numPr>
        <w:tabs>
          <w:tab w:val="left" w:pos="142"/>
        </w:tabs>
        <w:spacing w:before="240" w:after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Wypłata kwoty dotacji nastąpi w terminie 60 dni od dnia złożenia przez Beneficjenta prawidłowo podpisanego, kompletnego i poprawnie wypełnionego wniosku o płatność (wniosek ten sporządza się zgodnie ze wzorem i w formie obowiązującej w ramach Programu - formularz wniosku odpowiadający wzorowi, o którym mowa powyżej jest dostępny w Generatorze Wniosków o Dofinansowanie, zwanym dalej „GWD”, po utworzeniu konta i zalogowaniu, na stronie internetowej NFOŚiGW pod adresem http://gwd.nfosigw.gov.pl, na wskazany we wniosku o płatność lub dokumentach załączonych do niego rachunek bankowy wykonawcy lub sprzedawcy, po zakupie, dostawie lub montażu urządzeń oraz materiałów wskazanych we wniosku o dofinansowanie</w:t>
      </w:r>
      <w:r w:rsidRPr="00D175CC">
        <w:rPr>
          <w:rFonts w:ascii="Calibri" w:eastAsia="Calibri" w:hAnsi="Calibri" w:cs="Times New Roman"/>
          <w:kern w:val="0"/>
          <w14:ligatures w14:val="none"/>
        </w:rPr>
        <w:t>,</w:t>
      </w: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z zastrzeżeniem pkt 2). Beneficjent rozumie i akceptuje, że wysokość wypłaconej dotacji może być niższa niż wskazana w polu D.13, w zależności od obliczenia dokonanego zgodnie z niniejszą umową i zakresu udokumentowania poniesionych kosztów. Do terminu wypłaty kwoty dotacji, o którym mowa w zdaniu pierwszym nie wlicza się czasu przeznaczonego na przeprowadzenie kontroli realizacji przedsięwzięcia przed płatnością końcową mającej na celu potwierdzenie zgodnej z niniejszą umową realizacji przedsięwzięcia, a także prawdziwości informacji i oświadczeń zawartych przez Beneficjenta we wniosku o dofinansowanie oraz wnioskach o płatność. </w:t>
      </w:r>
      <w:bookmarkStart w:id="1" w:name="_Hlk192784121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Wniosek o płatność częściową/końcową w ramach najwyższego poziomu dofinansowania musi być złożony w systemie GWD poprzez konto grupowe operatora</w:t>
      </w:r>
      <w:bookmarkEnd w:id="1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. </w:t>
      </w:r>
    </w:p>
    <w:p w14:paraId="2A28EF66" w14:textId="77777777" w:rsidR="00D175CC" w:rsidRPr="00D175CC" w:rsidRDefault="00D175CC" w:rsidP="00D175CC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7F74E1E2" w14:textId="77777777" w:rsidR="00D175CC" w:rsidRPr="00D175CC" w:rsidRDefault="00D175CC" w:rsidP="00D175CC">
      <w:pPr>
        <w:numPr>
          <w:ilvl w:val="0"/>
          <w:numId w:val="3"/>
        </w:num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Jeżeli Beneficjent dokonał zapłaty na rzecz wykonawcy lub sprzedawcy, wypłata kwot dotacji może zostać dokonana na rachunek bankowy Beneficjenta, wskazany we wniosku o płatność.</w:t>
      </w:r>
    </w:p>
    <w:p w14:paraId="420AA665" w14:textId="77777777" w:rsidR="00D175CC" w:rsidRPr="00D175CC" w:rsidRDefault="00D175CC" w:rsidP="00D175CC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2D9E3DF2" w14:textId="77777777" w:rsidR="00D175CC" w:rsidRPr="00D175CC" w:rsidRDefault="00D175CC" w:rsidP="00D175CC">
      <w:pPr>
        <w:numPr>
          <w:ilvl w:val="0"/>
          <w:numId w:val="3"/>
        </w:numPr>
        <w:ind w:left="142" w:hanging="142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Warunkiem przekazania kwoty dotacji jest przedłożenie przez Beneficjenta do WFOŚiGW, sporządzonego w GWD, zgodnie ze wzorem i w formie obowiązującej w ramach Programu, prawidłowo podpisanego, kompletnego i poprawnie wypełnionego wniosku o płatność wraz z wymaganymi załącznikami oraz dołączenie kopii faktur lub innych równoważnych dokumentów księgowych (wystawionych na Beneficjenta lub Beneficjenta i małżonka wspólnie), w tym dokumentów potwierdzających dokonanie zapłaty na rzecz wykonawcy lub sprzedawcy, w sytuacji, kiedy Beneficjent wnioskuje o wypłatę na swój rachunek bankowy, a także zrealizowanie i udokumentowanie zgodnie z warunkami Programu przedsięwzięcia określonego w niniejszej umowie. Nie są kwalifikowane koszty w ramach Programu w sytuacji, gdy małżonek Beneficjenta pozostający z nim w ustawowej wspólności </w:t>
      </w:r>
      <w:proofErr w:type="gram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majątkowej,</w:t>
      </w:r>
      <w:proofErr w:type="gram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jako osoba fizyczna prowadząca działalność gospodarczą, dokonuje sprzedaży lub dostawy lub wykonuje usługę i wystawia fakturę lub równoważny dokument księgowy na Beneficjenta.</w:t>
      </w:r>
    </w:p>
    <w:p w14:paraId="2ABB2ACE" w14:textId="77777777" w:rsidR="00D175CC" w:rsidRPr="00D175CC" w:rsidRDefault="00D175CC" w:rsidP="00D175CC">
      <w:pPr>
        <w:numPr>
          <w:ilvl w:val="0"/>
          <w:numId w:val="3"/>
        </w:numPr>
        <w:tabs>
          <w:tab w:val="left" w:pos="142"/>
        </w:tabs>
        <w:ind w:left="426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Dotacja do przedsięwzięcia w budynku/lokalu mieszkalnym, wskazanego w tabeli 9.2.2. „Rodzaje przedsięwzięć” w Programie, należna jest po spełnieniu łącznie następujących warunków:</w:t>
      </w:r>
    </w:p>
    <w:p w14:paraId="6965FC05" w14:textId="77777777" w:rsidR="00D175CC" w:rsidRPr="00D175CC" w:rsidRDefault="00D175CC" w:rsidP="00D175CC">
      <w:pPr>
        <w:numPr>
          <w:ilvl w:val="0"/>
          <w:numId w:val="4"/>
        </w:num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color w:val="4472C4"/>
          <w:kern w:val="0"/>
          <w:sz w:val="16"/>
          <w:szCs w:val="16"/>
          <w14:ligatures w14:val="none"/>
        </w:rPr>
        <w:t xml:space="preserve">(widoczne od </w:t>
      </w:r>
      <w:r w:rsidRPr="00D175CC">
        <w:rPr>
          <w:rFonts w:ascii="Calibri" w:eastAsia="Calibri" w:hAnsi="Calibri" w:cs="Times New Roman"/>
          <w:bCs/>
          <w:color w:val="4472C4"/>
          <w:kern w:val="0"/>
          <w:sz w:val="16"/>
          <w:szCs w:val="16"/>
          <w14:ligatures w14:val="none"/>
        </w:rPr>
        <w:t>jeśli WOD składany do 4 miesięcy po uruchomieniu naboru</w:t>
      </w:r>
      <w:r w:rsidRPr="00D175CC">
        <w:rPr>
          <w:rFonts w:ascii="Calibri" w:eastAsia="Calibri" w:hAnsi="Calibri" w:cs="Times New Roman"/>
          <w:color w:val="4472C4"/>
          <w:kern w:val="0"/>
          <w:sz w:val="16"/>
          <w:szCs w:val="16"/>
          <w14:ligatures w14:val="none"/>
        </w:rPr>
        <w:t>)</w:t>
      </w: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Został przeprowadzony audyt energetyczny budynku/lokalu mieszkalnego i został sporządzony na obowiązującym w ramach Programu wzorze Dokument podsumowujący audyt energetyczny budynku/lokalu mieszkalnego i złożony wraz z wnioskiem o dofinansowanie. Audyt energetyczny musi być podpisany przez osobę go </w:t>
      </w:r>
      <w:proofErr w:type="gram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wykonującą,  Dokument</w:t>
      </w:r>
      <w:proofErr w:type="gram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podsumowujący audyt energetyczny musi być podpisany przez osobę wpisaną do rejestru osób uprawnionych do sporządzania świadectw charakterystyki energetycznej;</w:t>
      </w:r>
    </w:p>
    <w:p w14:paraId="08824E32" w14:textId="77777777" w:rsidR="00D175CC" w:rsidRPr="00D175CC" w:rsidRDefault="00D175CC" w:rsidP="00D175CC">
      <w:pPr>
        <w:numPr>
          <w:ilvl w:val="0"/>
          <w:numId w:val="5"/>
        </w:num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color w:val="4472C4"/>
          <w:kern w:val="0"/>
          <w:sz w:val="16"/>
          <w:szCs w:val="16"/>
          <w14:ligatures w14:val="none"/>
        </w:rPr>
        <w:t xml:space="preserve">(widoczne od </w:t>
      </w:r>
      <w:r w:rsidRPr="00D175CC">
        <w:rPr>
          <w:rFonts w:ascii="Calibri" w:eastAsia="Calibri" w:hAnsi="Calibri" w:cs="Times New Roman"/>
          <w:bCs/>
          <w:color w:val="4472C4"/>
          <w:kern w:val="0"/>
          <w:sz w:val="16"/>
          <w:szCs w:val="16"/>
          <w14:ligatures w14:val="none"/>
        </w:rPr>
        <w:t>jeśli WOD składany od 4 miesięcy po uruchomieniu naboru</w:t>
      </w:r>
      <w:r w:rsidRPr="00D175CC">
        <w:rPr>
          <w:rFonts w:ascii="Calibri" w:eastAsia="Calibri" w:hAnsi="Calibri" w:cs="Times New Roman"/>
          <w:color w:val="4472C4"/>
          <w:kern w:val="0"/>
          <w:sz w:val="16"/>
          <w:szCs w:val="16"/>
          <w14:ligatures w14:val="none"/>
        </w:rPr>
        <w:t>)</w:t>
      </w: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Został przeprowadzony audyt energetyczny budynku/lokalu mieszkalnego i został sporządzony na obowiązującym w ramach Programu wzorze Dokument podsumowujący audyt energetyczny budynku/lokalu mieszkalnego i złożony wraz z wnioskiem o dofinansowanie. Audyt energetyczny oraz Dokument podsumowujący audyt energetyczny musi być podpisany przez osobę wpisaną do rejestru osób uprawnionych do sporządzania świadectw charakterystyki energetycznej;</w:t>
      </w:r>
    </w:p>
    <w:p w14:paraId="09FE89BE" w14:textId="77777777" w:rsidR="00D175CC" w:rsidRPr="00D175CC" w:rsidRDefault="00D175CC" w:rsidP="00D175CC">
      <w:pPr>
        <w:numPr>
          <w:ilvl w:val="0"/>
          <w:numId w:val="5"/>
        </w:num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Po zakończeniu realizacji przedsięwzięcia zostało wykonane świadectwo charakterystyki energetycznej budynku/lokalu mieszkalnego potwierdzające osiągnięcie zmniejszenia zapotrzebowania na energię użytkową do ogrzewania zgodnie z warunkami określonymi w powyższej tabeli, w zależności od realizowanego rodzaju przedsięwzięcia i dostarczone wraz z wnioskiem o płatność końcową;</w:t>
      </w:r>
    </w:p>
    <w:p w14:paraId="04F6ECA2" w14:textId="77777777" w:rsidR="00D175CC" w:rsidRPr="00D175CC" w:rsidRDefault="00D175CC" w:rsidP="00D175CC">
      <w:pPr>
        <w:numPr>
          <w:ilvl w:val="0"/>
          <w:numId w:val="5"/>
        </w:num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Zrealizowany został w całości zakres przedsięwzięcia wskazany w Dokumencie </w:t>
      </w:r>
      <w:proofErr w:type="gram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podsumowującym  audyt</w:t>
      </w:r>
      <w:proofErr w:type="gram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energetyczny budynku/lokalu mieszkalnego.</w:t>
      </w:r>
    </w:p>
    <w:p w14:paraId="0FE0B595" w14:textId="77777777" w:rsidR="00D175CC" w:rsidRPr="00D175CC" w:rsidRDefault="00D175CC" w:rsidP="00D175CC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3AA2C77B" w14:textId="77777777" w:rsidR="00D175CC" w:rsidRPr="00D175CC" w:rsidRDefault="00D175CC" w:rsidP="00D175CC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4a) W przypadku braku spełnienia minimum jednego z warunków wskazanych w punkcie 4) dotacja staje się nienależna w całości. W razie ustalenia, że wypłacona Beneficjentowi kwota dotacji jest nienależna zgodnie ze zdaniem pierwszym, Beneficjent jest zobowiązany do zwrotu wypłaconej kwoty dotacji na rachunek bankowy WFOŚiGW wraz z odsetkami w wysokości jak dla zaległości podatkowych, naliczonymi od dnia przekazania środków na rzecz Beneficjenta do dnia uznania rachunku bankowego WFOŚiGW, a w pozostałej części wynikającej z umowy nie będzie wypłacona.</w:t>
      </w:r>
    </w:p>
    <w:p w14:paraId="11CB95EC" w14:textId="77777777" w:rsidR="00D175CC" w:rsidRPr="00D175CC" w:rsidRDefault="00D175CC" w:rsidP="00D175CC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4A434936" w14:textId="77777777" w:rsidR="00D175CC" w:rsidRPr="00D175CC" w:rsidRDefault="00D175CC" w:rsidP="00D175CC">
      <w:pPr>
        <w:numPr>
          <w:ilvl w:val="0"/>
          <w:numId w:val="3"/>
        </w:num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Zatwierdzenie przez WFOŚiGW wniosku o płatność nie stanowi ostatecznego potwierdzenia kwalifikowalności wydatków i nie wyklucza stwierdzenia w późniejszym okresie </w:t>
      </w:r>
      <w:proofErr w:type="spell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niekwalifikowalności</w:t>
      </w:r>
      <w:proofErr w:type="spell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poniesionych przez Beneficjenta kosztów. Wypłata dofinansowania nie potwierdza prawidłowości przedstawionych przez Beneficjenta do rozliczenia kosztów i realizacji przedsięwzięcia. Kwalifikowalność poniesionych kosztów weryfikowana będzie również po wypłacie dotacji w trakcie realizacji przedsięwzięcia oraz w okresie trwałości, w trakcie kontroli prowadzonych przez uprawnione podmioty.</w:t>
      </w:r>
    </w:p>
    <w:p w14:paraId="125C8B97" w14:textId="77777777" w:rsidR="00D175CC" w:rsidRPr="00D175CC" w:rsidRDefault="00D175CC" w:rsidP="00D175CC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0363D3B6" w14:textId="77777777" w:rsidR="00D175CC" w:rsidRPr="00D175CC" w:rsidRDefault="00D175CC" w:rsidP="00D175CC">
      <w:pPr>
        <w:numPr>
          <w:ilvl w:val="0"/>
          <w:numId w:val="3"/>
        </w:num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Nie wypłaca się dofinansowania, jeżeli Beneficjent zbył przed zakończeniem całości wypłat dotacji prawo własności/współwłasności dotyczące budynku/lokalu mieszkalnego objętego dofinansowaniem. </w:t>
      </w:r>
    </w:p>
    <w:p w14:paraId="27BD94E8" w14:textId="77777777" w:rsidR="00D175CC" w:rsidRPr="00D175CC" w:rsidRDefault="00D175CC" w:rsidP="00D175CC">
      <w:pPr>
        <w:ind w:left="720"/>
        <w:contextualSpacing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2F064D11" w14:textId="77777777" w:rsidR="00D175CC" w:rsidRPr="00D175CC" w:rsidRDefault="00D175CC" w:rsidP="00D175CC">
      <w:pPr>
        <w:tabs>
          <w:tab w:val="left" w:pos="142"/>
          <w:tab w:val="left" w:pos="709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lastRenderedPageBreak/>
        <w:t xml:space="preserve">6a) Nie wypłaca się dofinansowania, jeżeli Beneficjent przed wypłatą dotacji uzyskał dofinansowanie w ramach Programu obowiązującego od 22.04.2024 r., na realizację przedsięwzięcia w innym budynku/lokalu mieszkalnym, tj. zawarł umowę dotacji i nie została ona rozwiązana. </w:t>
      </w:r>
    </w:p>
    <w:p w14:paraId="1FC75547" w14:textId="77777777" w:rsidR="00D175CC" w:rsidRPr="00D175CC" w:rsidRDefault="00D175CC" w:rsidP="00D175CC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3D1F3EF0" w14:textId="77777777" w:rsidR="00D175CC" w:rsidRPr="00D175CC" w:rsidRDefault="00D175CC" w:rsidP="00D175CC">
      <w:pPr>
        <w:numPr>
          <w:ilvl w:val="0"/>
          <w:numId w:val="3"/>
        </w:num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WFOŚiGW może wstrzymać wypłatę kwoty </w:t>
      </w:r>
      <w:proofErr w:type="gram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dotacji</w:t>
      </w:r>
      <w:proofErr w:type="gram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jeżeli wniosek o płatność jest niekompletny lub nieprawidłowo wypełniony lub nie załączono do niego wymaganych załączników lub do czasu wyjaśnienia wątpliwości dotyczących treści wniosku lub jego załączników.</w:t>
      </w:r>
    </w:p>
    <w:p w14:paraId="72BE553A" w14:textId="77777777" w:rsidR="00D175CC" w:rsidRPr="00D175CC" w:rsidRDefault="00D175CC" w:rsidP="00D175CC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0AD87C52" w14:textId="77777777" w:rsidR="00D175CC" w:rsidRPr="00D175CC" w:rsidRDefault="00D175CC" w:rsidP="00D175CC">
      <w:pPr>
        <w:numPr>
          <w:ilvl w:val="0"/>
          <w:numId w:val="3"/>
        </w:numPr>
        <w:tabs>
          <w:tab w:val="left" w:pos="142"/>
        </w:tabs>
        <w:ind w:left="142" w:hanging="142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Dotacja nie podlega wypłacie, jeżeli Beneficjent nie złożył w terminie 90 dni od upływu terminu na realizację przedsięwzięcia określonego w pkt 6.3.3 Programu wniosku o płatność, o którym mowa w pkt 3. O zachowaniu terminu złożenia decyduje data złożenia wniosku o płatność (dotyczy również wniosków składanych przy udziale operatora): </w:t>
      </w:r>
    </w:p>
    <w:p w14:paraId="2E261F25" w14:textId="77777777" w:rsidR="00D175CC" w:rsidRPr="00D175CC" w:rsidRDefault="00D175CC" w:rsidP="00D175CC">
      <w:pPr>
        <w:numPr>
          <w:ilvl w:val="0"/>
          <w:numId w:val="6"/>
        </w:numPr>
        <w:tabs>
          <w:tab w:val="left" w:pos="142"/>
        </w:tabs>
        <w:ind w:left="851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dla wniosku składanego wyłącznie w postaci elektronicznej - data jego wysłania poprzez </w:t>
      </w:r>
      <w:proofErr w:type="gram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serwis  gov.pl</w:t>
      </w:r>
      <w:proofErr w:type="gram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do właściwego </w:t>
      </w:r>
      <w:proofErr w:type="spell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wfośigw</w:t>
      </w:r>
      <w:proofErr w:type="spell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widoczna jako data wysłania do </w:t>
      </w:r>
      <w:proofErr w:type="spell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ePUAP</w:t>
      </w:r>
      <w:proofErr w:type="spell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; </w:t>
      </w:r>
    </w:p>
    <w:p w14:paraId="0785A19E" w14:textId="77777777" w:rsidR="00D175CC" w:rsidRPr="00D175CC" w:rsidRDefault="00D175CC" w:rsidP="00D175CC">
      <w:pPr>
        <w:numPr>
          <w:ilvl w:val="0"/>
          <w:numId w:val="6"/>
        </w:numPr>
        <w:tabs>
          <w:tab w:val="left" w:pos="142"/>
        </w:tabs>
        <w:ind w:left="851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dla wniosku w formie papierowej, wypełnionego w systemie GWD: </w:t>
      </w:r>
    </w:p>
    <w:p w14:paraId="2C95CF57" w14:textId="77777777" w:rsidR="00D175CC" w:rsidRPr="00D175CC" w:rsidRDefault="00D175CC" w:rsidP="00D175CC">
      <w:pPr>
        <w:numPr>
          <w:ilvl w:val="0"/>
          <w:numId w:val="7"/>
        </w:num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data wpływu papierowej postaci wniosku do właściwego </w:t>
      </w:r>
      <w:proofErr w:type="spell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wfośigw</w:t>
      </w:r>
      <w:proofErr w:type="spell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(potwierdzana na pierwszej stronie dostarczonego wniosku poprzez stempel kancelarii lub potwierdzana poprzez odbiór przesyłki) - jeżeli wniosek o dofinansowanie został dostarczony przez Wnioskodawcę lub przedstawiciela Wnioskodawcy osobiście albo za pośrednictwem kuriera, lub</w:t>
      </w:r>
    </w:p>
    <w:p w14:paraId="0A400524" w14:textId="77777777" w:rsidR="00D175CC" w:rsidRPr="00D175CC" w:rsidRDefault="00D175CC" w:rsidP="00D175CC">
      <w:pPr>
        <w:numPr>
          <w:ilvl w:val="0"/>
          <w:numId w:val="7"/>
        </w:num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data nadania do właściwego </w:t>
      </w:r>
      <w:proofErr w:type="spell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wfośigw</w:t>
      </w:r>
      <w:proofErr w:type="spell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papierowej postaci wniosku w polskiej placówce pocztowej operatora wyznaczonego w rozumieniu ustawy z dnia 23 listopada 2012 r. - Prawo pocztowe (w latach 2016-2025 funkcję operatora wyznaczonego w rozumieniu tej ustawy pełni Poczta Polska S.A.) lub</w:t>
      </w:r>
    </w:p>
    <w:p w14:paraId="5511E2F6" w14:textId="77777777" w:rsidR="00D175CC" w:rsidRPr="00D175CC" w:rsidRDefault="00D175CC" w:rsidP="00D175CC">
      <w:pPr>
        <w:numPr>
          <w:ilvl w:val="0"/>
          <w:numId w:val="7"/>
        </w:num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data wpływu papierowej postaci wniosku do gminy, która zawarła porozumienie w sprawie ustalenia zasad wspólnej realizacji Programu (data potwierdzona na pierwszej stronie dostarczonego wniosku poprzez stempel kancelarii lub potwierdzona poprzez odbiór przesyłki).</w:t>
      </w:r>
    </w:p>
    <w:p w14:paraId="2A3CC9A4" w14:textId="77777777" w:rsidR="00D175CC" w:rsidRPr="00D175CC" w:rsidRDefault="00D175CC" w:rsidP="00D175CC">
      <w:pPr>
        <w:spacing w:after="0"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Brak złożenia wniosku o płatność w terminie określonym w zdaniu pierwszym skutkuje wypowiedzeniem umowy o dofinansowanie przez WFOŚiGW.</w:t>
      </w:r>
    </w:p>
    <w:p w14:paraId="79105CFC" w14:textId="77777777" w:rsidR="00D175CC" w:rsidRPr="00D175CC" w:rsidRDefault="00D175CC" w:rsidP="00D175CC">
      <w:pPr>
        <w:spacing w:before="240"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9)</w:t>
      </w:r>
      <w:r w:rsidRPr="00D175C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Wyboru wykonawcy/wykonawców realizującego/realizujących przedsięwzięcie Beneficjent dokonuje na własne ryzyko. Wykonawców i WFOŚiGW nie łączy żadna umowa lub zobowiązania z tytułu niewykonania lub nienależytego wykonania umów związanych z realizacją przedsięwzięcia, zawieranych przez Beneficjentów z wykonawcami.</w:t>
      </w:r>
    </w:p>
    <w:p w14:paraId="03CC2989" w14:textId="77777777" w:rsidR="00D175CC" w:rsidRPr="00D175CC" w:rsidRDefault="00D175CC" w:rsidP="00D175CC">
      <w:pPr>
        <w:keepNext/>
        <w:spacing w:after="0"/>
        <w:jc w:val="both"/>
        <w:rPr>
          <w:rFonts w:ascii="Calibri" w:eastAsia="Calibri" w:hAnsi="Calibri" w:cs="Times New Roman"/>
          <w:bCs/>
          <w:color w:val="4472C4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color w:val="2E74B5"/>
          <w:kern w:val="0"/>
          <w:sz w:val="16"/>
          <w:szCs w:val="16"/>
          <w14:ligatures w14:val="none"/>
        </w:rPr>
        <w:t>(</w:t>
      </w:r>
      <w:proofErr w:type="gramStart"/>
      <w:r w:rsidRPr="00D175CC">
        <w:rPr>
          <w:rFonts w:ascii="Calibri" w:eastAsia="Calibri" w:hAnsi="Calibri" w:cs="Times New Roman"/>
          <w:color w:val="2E74B5"/>
          <w:kern w:val="0"/>
          <w:sz w:val="16"/>
          <w:szCs w:val="16"/>
          <w14:ligatures w14:val="none"/>
        </w:rPr>
        <w:t>widoczne</w:t>
      </w:r>
      <w:proofErr w:type="gramEnd"/>
      <w:r w:rsidRPr="00D175CC">
        <w:rPr>
          <w:rFonts w:ascii="Calibri" w:eastAsia="Calibri" w:hAnsi="Calibri" w:cs="Times New Roman"/>
          <w:color w:val="2E74B5"/>
          <w:kern w:val="0"/>
          <w:sz w:val="16"/>
          <w:szCs w:val="16"/>
          <w14:ligatures w14:val="none"/>
        </w:rPr>
        <w:t xml:space="preserve"> jeśli wybrano jedno z pól od C.9 do C.16</w:t>
      </w:r>
      <w:r w:rsidRPr="00D175CC">
        <w:rPr>
          <w:rFonts w:ascii="Calibri" w:eastAsia="Calibri" w:hAnsi="Calibri" w:cs="Times New Roman"/>
          <w:bCs/>
          <w:color w:val="4472C4"/>
          <w:kern w:val="0"/>
          <w:sz w:val="16"/>
          <w:szCs w:val="16"/>
          <w14:ligatures w14:val="none"/>
        </w:rPr>
        <w:t xml:space="preserve"> oraz jeśli WOD składany do 4 miesięcy po uruchomieniu naboru)</w:t>
      </w:r>
    </w:p>
    <w:p w14:paraId="4A621528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10) W przypadku pomp ciepła (również do </w:t>
      </w:r>
      <w:proofErr w:type="spell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cwu</w:t>
      </w:r>
      <w:proofErr w:type="spell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) oraz kotłów na </w:t>
      </w:r>
      <w:proofErr w:type="spell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pellet</w:t>
      </w:r>
      <w:proofErr w:type="spell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drzewny o podwyższonym standardzie i kotłów zgazowujących drewno o podwyższonym standardzie, gdy do rozliczenia przedstawiana jest faktura/równoważny dokument księgowy albo przedstawiane są faktury/równoważne dokumenty księgowe dotyczące zakupu lub montażu tych urządzeń wystawione od 14.06.2024 r., do dofinansowania kwalifikują się wyłącznie urządzenia znajdujące się na liście Zielonych Urządzeń i Materiałów (ZUM) dostępnej na stronie internetowej: </w:t>
      </w:r>
      <w:hyperlink r:id="rId6" w:history="1">
        <w:r w:rsidRPr="00D175CC">
          <w:rPr>
            <w:rFonts w:ascii="Calibri" w:eastAsia="Calibri" w:hAnsi="Calibri" w:cs="Times New Roman"/>
            <w:kern w:val="0"/>
            <w:sz w:val="16"/>
            <w:szCs w:val="16"/>
            <w14:ligatures w14:val="none"/>
          </w:rPr>
          <w:t>https://lista-zum.ios.edu.pl</w:t>
        </w:r>
      </w:hyperlink>
    </w:p>
    <w:p w14:paraId="2FD275B3" w14:textId="77777777" w:rsidR="00D175CC" w:rsidRPr="00D175CC" w:rsidRDefault="00D175CC" w:rsidP="00D175CC">
      <w:pPr>
        <w:tabs>
          <w:tab w:val="left" w:pos="2250"/>
        </w:tabs>
        <w:spacing w:after="0"/>
        <w:jc w:val="both"/>
        <w:rPr>
          <w:rFonts w:ascii="Calibri" w:eastAsia="Calibri" w:hAnsi="Calibri" w:cs="Times New Roman"/>
          <w:bCs/>
          <w:color w:val="4472C4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bCs/>
          <w:color w:val="4472C4"/>
          <w:kern w:val="0"/>
          <w:sz w:val="16"/>
          <w:szCs w:val="16"/>
          <w14:ligatures w14:val="none"/>
        </w:rPr>
        <w:t>(</w:t>
      </w:r>
      <w:proofErr w:type="gramStart"/>
      <w:r w:rsidRPr="00D175CC">
        <w:rPr>
          <w:rFonts w:ascii="Calibri" w:eastAsia="Calibri" w:hAnsi="Calibri" w:cs="Times New Roman"/>
          <w:color w:val="2E74B5"/>
          <w:kern w:val="0"/>
          <w:sz w:val="16"/>
          <w:szCs w:val="16"/>
          <w14:ligatures w14:val="none"/>
        </w:rPr>
        <w:t>widoczne</w:t>
      </w:r>
      <w:proofErr w:type="gramEnd"/>
      <w:r w:rsidRPr="00D175CC">
        <w:rPr>
          <w:rFonts w:ascii="Calibri" w:eastAsia="Calibri" w:hAnsi="Calibri" w:cs="Times New Roman"/>
          <w:color w:val="2E74B5"/>
          <w:kern w:val="0"/>
          <w:sz w:val="16"/>
          <w:szCs w:val="16"/>
          <w14:ligatures w14:val="none"/>
        </w:rPr>
        <w:t xml:space="preserve"> jeśli wybrano jedno z pól od C.9 do C.16</w:t>
      </w:r>
      <w:r w:rsidRPr="00D175CC">
        <w:rPr>
          <w:rFonts w:ascii="Calibri" w:eastAsia="Calibri" w:hAnsi="Calibri" w:cs="Times New Roman"/>
          <w:bCs/>
          <w:color w:val="4472C4"/>
          <w:kern w:val="0"/>
          <w:sz w:val="16"/>
          <w:szCs w:val="16"/>
          <w14:ligatures w14:val="none"/>
        </w:rPr>
        <w:t xml:space="preserve"> oraz jeśli WOD składany od 4 miesięcy po uruchomieniu naboru)</w:t>
      </w:r>
    </w:p>
    <w:p w14:paraId="37FA2985" w14:textId="77777777" w:rsidR="00D175CC" w:rsidRPr="00D175CC" w:rsidRDefault="00D175CC" w:rsidP="00D175CC">
      <w:pPr>
        <w:tabs>
          <w:tab w:val="left" w:pos="142"/>
        </w:tabs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10) W przypadku pomp ciepła (również do </w:t>
      </w:r>
      <w:proofErr w:type="spell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cwu</w:t>
      </w:r>
      <w:proofErr w:type="spell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) oraz kotłów na </w:t>
      </w:r>
      <w:proofErr w:type="spell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pellet</w:t>
      </w:r>
      <w:proofErr w:type="spell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drzewny o podwyższonym standardzie i kotłów zgazowujących drewno o podwyższonym standardzie, gdy do rozliczenia przedstawiana jest faktura/równoważny dokument księgowy albo przedstawiane są faktury/równoważne dokumenty księgowe dotyczące zakupu lub montażu tych urządzeń, do dofinansowania kwalifikują się wyłącznie urządzenia znajdujące się na liście Zielonych Urządzeń i Materiałów (ZUM) dostępnej na stronie internetowej: </w:t>
      </w:r>
      <w:hyperlink r:id="rId7" w:history="1">
        <w:r w:rsidRPr="00D175CC">
          <w:rPr>
            <w:rFonts w:ascii="Calibri" w:eastAsia="Calibri" w:hAnsi="Calibri" w:cs="Times New Roman"/>
            <w:color w:val="0563C1"/>
            <w:kern w:val="0"/>
            <w:sz w:val="16"/>
            <w:szCs w:val="16"/>
            <w:u w:val="single"/>
            <w14:ligatures w14:val="none"/>
          </w:rPr>
          <w:t>https://lista-zum.ios.edu.pl</w:t>
        </w:r>
      </w:hyperlink>
    </w:p>
    <w:p w14:paraId="1317B6D3" w14:textId="77777777" w:rsidR="00D175CC" w:rsidRPr="00D175CC" w:rsidRDefault="00D175CC" w:rsidP="00D175CC">
      <w:pPr>
        <w:tabs>
          <w:tab w:val="left" w:pos="142"/>
        </w:tabs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11) W przypadku zaistnienia podejrzenia naruszenia postanowień niniejszej umowy lub naruszenia prawa w związku z m.in. przygotowaniem, wyborem lub realizacją przedsięwzięcia, WFOŚiGW może wstrzymać zatwierdzenie i rozliczenie wydatków kwalifikowanych lub przekazanie dotacji do czasu </w:t>
      </w:r>
      <w:proofErr w:type="gram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wyjaśnienia,</w:t>
      </w:r>
      <w:proofErr w:type="gram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czy naruszenie ma wpływ na wysokość lub prawidłowość wydatków kwalifikowanych w ramach przedsięwzięcia lub prawidłowość przygotowania, wyboru lub realizacji przedsięwzięcia. W szczególności wstrzymanie zatwierdzenia i rozliczenia wydatków kwalifikowanych lub przekazania dotacji może mieć miejsce do czasu ostatecznego zakończenia postępowań prowadzonych przez odpowiednie organy ścigania lub inne uprawnione organy w zakresie przedmiotowego podejrzenia naruszenia, jak również do czasu prawomocnego zakończenia postępowań sądowych. W uzasadnionych przypadkach WFOŚiGW może uznać wydatki odnoszące się do tej części przedsięwzięcia, której dotyczy podejrzenie naruszenia prawa lub postanowień niniejszej umowy za niekwalifikowane. </w:t>
      </w:r>
    </w:p>
    <w:p w14:paraId="0FCD7886" w14:textId="77777777" w:rsidR="00D175CC" w:rsidRPr="00D175CC" w:rsidRDefault="00D175CC" w:rsidP="00D175CC">
      <w:pPr>
        <w:tabs>
          <w:tab w:val="left" w:pos="142"/>
        </w:tabs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12)WFOŚiGW nie ponosi odpowiedzialności za szkodę wynikającą z opóźnienia w przekazaniu, wstrzymania przekazania dotacji lub niedokonania przekazania dotacji, będących rezultatem w szczególności:</w:t>
      </w:r>
    </w:p>
    <w:p w14:paraId="5895652D" w14:textId="77777777" w:rsidR="00D175CC" w:rsidRPr="00D175CC" w:rsidRDefault="00D175CC" w:rsidP="00D175CC">
      <w:pPr>
        <w:tabs>
          <w:tab w:val="left" w:pos="142"/>
          <w:tab w:val="left" w:pos="284"/>
        </w:tabs>
        <w:spacing w:after="0"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a) braku dostępności środków do przekazania, wstrzymania lub odmowy przez uprawnione instytucje </w:t>
      </w:r>
      <w:proofErr w:type="gram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wypłaty  dotacji</w:t>
      </w:r>
      <w:proofErr w:type="gram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;</w:t>
      </w:r>
    </w:p>
    <w:p w14:paraId="76574789" w14:textId="77777777" w:rsidR="00D175CC" w:rsidRPr="00D175CC" w:rsidRDefault="00D175CC" w:rsidP="00D175CC">
      <w:pPr>
        <w:tabs>
          <w:tab w:val="left" w:pos="142"/>
          <w:tab w:val="left" w:pos="284"/>
        </w:tabs>
        <w:spacing w:after="0"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b) niewykonania lub nienależytego wykonania przez Beneficjenta obowiązków wynikających z niniejszej umowy,</w:t>
      </w:r>
    </w:p>
    <w:p w14:paraId="0D604AF5" w14:textId="77777777" w:rsidR="00D175CC" w:rsidRPr="00D175CC" w:rsidRDefault="00D175CC" w:rsidP="00D175CC">
      <w:pPr>
        <w:tabs>
          <w:tab w:val="left" w:pos="142"/>
          <w:tab w:val="left" w:pos="284"/>
        </w:tabs>
        <w:spacing w:after="0"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c) zaistnienia podejrzenia naruszenia postanowień niniejszej umowy lub naruszenia prawa.</w:t>
      </w:r>
    </w:p>
    <w:p w14:paraId="422859F8" w14:textId="77777777" w:rsidR="00D175CC" w:rsidRPr="00D175CC" w:rsidRDefault="00D175CC" w:rsidP="00D175CC">
      <w:pPr>
        <w:tabs>
          <w:tab w:val="left" w:pos="142"/>
          <w:tab w:val="left" w:pos="284"/>
        </w:tabs>
        <w:spacing w:after="0"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21104514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D175CC">
        <w:rPr>
          <w:rFonts w:ascii="Calibri" w:eastAsia="Calibri" w:hAnsi="Calibri" w:cs="Times New Roman"/>
          <w:kern w:val="0"/>
          <w14:ligatures w14:val="none"/>
        </w:rPr>
        <w:t xml:space="preserve">4. Obowiązki informacyjne Beneficjenta </w:t>
      </w:r>
    </w:p>
    <w:p w14:paraId="0836DCC5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1) Beneficjent zobowiązuje się do niezwłocznego informowania WFOŚiGW o wystąpieniu okoliczności mających wpływ na udzieloną dotację, w szczególności o zwiększeniu, do czasu rozliczenia przedsięwzięcia, udziału procentowego powierzchni wykorzystywanej na prowadzenie działalności gospodarczej w budynku/lokalu mieszkalnym objętym przedsięwzięciem lub uzyskaniu dofinansowania na realizację przedsięwzięcia z innych środków publicznych, w szczególności ze środków Unii Europejskiej lub na podstawie art. 15a ustawy o efektywności energetycznej.</w:t>
      </w:r>
    </w:p>
    <w:p w14:paraId="3BC03680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lastRenderedPageBreak/>
        <w:t xml:space="preserve">2) W </w:t>
      </w:r>
      <w:proofErr w:type="gram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przypadku</w:t>
      </w:r>
      <w:proofErr w:type="gram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gdy Beneficjent skorzystał z ulgi termomodernizacyjnej, a udzielona dotacja ma wpływ na wysokość lub inne warunki tej ulgi, Beneficjent zobowiązany jest do poinformowania o udzielonej dotacji właściwy urząd skarbowy oraz jeżeli to konieczne skorygowania rozliczenia tej ulgi.</w:t>
      </w:r>
    </w:p>
    <w:p w14:paraId="57F7AA89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D175CC">
        <w:rPr>
          <w:rFonts w:ascii="Calibri" w:eastAsia="Calibri" w:hAnsi="Calibri" w:cs="Times New Roman"/>
          <w:kern w:val="0"/>
          <w14:ligatures w14:val="none"/>
        </w:rPr>
        <w:t xml:space="preserve">5. Wypowiedzenie umowy i zwrot środków </w:t>
      </w:r>
    </w:p>
    <w:p w14:paraId="53562209" w14:textId="77777777" w:rsidR="00D175CC" w:rsidRPr="00D175CC" w:rsidRDefault="00D175CC" w:rsidP="00D175CC">
      <w:pPr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1) WFOŚiGW może wypowiedzieć umowę ze skutkiem natychmiastowym w przypadku naruszenia jej postanowień, naruszenia przepisów prawa, naruszenia wymogów Programu lub jego załączników, wykorzystania środków niezgodnie z celami przedsięwzięcia o których mowa w ust. 1, a także w przypadku złożenia nieprawdziwego oświadczenia przez Beneficjenta w umowie lub wniosku o płatność, w tym między innymi w przypadku:</w:t>
      </w:r>
    </w:p>
    <w:p w14:paraId="2A648C10" w14:textId="77777777" w:rsidR="00D175CC" w:rsidRPr="00D175CC" w:rsidRDefault="00D175CC" w:rsidP="00D175CC">
      <w:pPr>
        <w:numPr>
          <w:ilvl w:val="0"/>
          <w:numId w:val="1"/>
        </w:numPr>
        <w:ind w:left="426" w:hanging="284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gdy budynek/lokal mieszkalny, w którym realizowane jest przedsięwzięcie nie spełnia wymogów Programu, </w:t>
      </w:r>
    </w:p>
    <w:p w14:paraId="6E5DFEA7" w14:textId="77777777" w:rsidR="00D175CC" w:rsidRPr="00D175CC" w:rsidRDefault="00D175CC" w:rsidP="00D175CC">
      <w:pPr>
        <w:numPr>
          <w:ilvl w:val="0"/>
          <w:numId w:val="1"/>
        </w:numPr>
        <w:ind w:left="426" w:hanging="284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niezłożenia wniosku o płatność zgodnie z ust. 3 pkt 3 w terminie, o którym mowa w ust. 3 pkt 8.</w:t>
      </w:r>
    </w:p>
    <w:p w14:paraId="26FF3964" w14:textId="77777777" w:rsidR="00D175CC" w:rsidRPr="00D175CC" w:rsidRDefault="00D175CC" w:rsidP="00D175CC">
      <w:pPr>
        <w:ind w:left="426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28497A63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2) W przypadku wypowiedzenia umowy Beneficjent zobowiązany jest do zwrotu:</w:t>
      </w:r>
    </w:p>
    <w:p w14:paraId="25E8DF44" w14:textId="77777777" w:rsidR="00D175CC" w:rsidRPr="00D175CC" w:rsidRDefault="00D175CC" w:rsidP="00D175CC">
      <w:pPr>
        <w:numPr>
          <w:ilvl w:val="0"/>
          <w:numId w:val="2"/>
        </w:numPr>
        <w:ind w:left="426" w:hanging="284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kwoty wypłaconej dotacji,</w:t>
      </w:r>
    </w:p>
    <w:p w14:paraId="71C9E920" w14:textId="77777777" w:rsidR="00D175CC" w:rsidRPr="00D175CC" w:rsidRDefault="00D175CC" w:rsidP="00D175CC">
      <w:pPr>
        <w:numPr>
          <w:ilvl w:val="0"/>
          <w:numId w:val="2"/>
        </w:numPr>
        <w:ind w:left="426" w:hanging="284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odsetek w wysokości jak dla zaległości podatkowych, naliczanych od dnia przekazania środków na rzecz Beneficjenta do dnia uznania rachunku bankowego WFOŚiGW.</w:t>
      </w:r>
    </w:p>
    <w:p w14:paraId="6A015E05" w14:textId="77777777" w:rsidR="00D175CC" w:rsidRPr="00D175CC" w:rsidRDefault="00D175CC" w:rsidP="00D175CC">
      <w:pPr>
        <w:spacing w:after="0"/>
        <w:ind w:left="426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5180C726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3) Beneficjentowi przysługuje prawo wypowiedzenia umowy z zachowaniem 14-dniowego okresu wypowiedzenia pod warunkiem zwrotu przed upływem okresu wypowiedzenia otrzymanej kwoty dotacji wraz z odsetkami w wysokości jak dla zaległości podatkowych, naliczonymi od dnia przekazania środków na rzecz Beneficjenta do dnia uznania rachunku bankowego WFOŚiGW.</w:t>
      </w:r>
    </w:p>
    <w:p w14:paraId="5464D4C5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4) Za dzień wypowiedzenia umowy uznaje się dzień doręczenia wypowiedzenia drugiej Stronie, przy czym pismo zwrócone z adnotacją urzędu pocztowego: „nie podjęto w terminie”, „adresat wyprowadził się” lub tym podobne, uznaje się za prawidłowo doręczone z dniem zwrotu przesyłki do nadawcy.</w:t>
      </w:r>
    </w:p>
    <w:p w14:paraId="3B436CD9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5) Brak dokonania zwrotu dofinansowania w wyznaczonym terminie skutkować będzie podjęciem przez WFOŚiGW działań zmierzających do odzyskania środków z wykorzystaniem wszelkich środków prawnych.</w:t>
      </w:r>
    </w:p>
    <w:p w14:paraId="24B38E29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D175CC">
        <w:rPr>
          <w:rFonts w:ascii="Calibri" w:eastAsia="Calibri" w:hAnsi="Calibri" w:cs="Times New Roman"/>
          <w:kern w:val="0"/>
          <w14:ligatures w14:val="none"/>
        </w:rPr>
        <w:t>6. Kontrola przedsięwzięcia</w:t>
      </w:r>
    </w:p>
    <w:p w14:paraId="17617FC2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1) NFOŚiGW/WFOŚiGW lub podmioty zewnętrzne przez nie wyznaczone mają prawo kontrolowania sposobu wykorzystania udzielonej dotacji, w tym miejsca realizacji przedsięwzięcia oraz osiągniętego efektu ekologicznego, a Beneficjent zobowiązany jest udostępnić dokumenty związane z dotacją oraz miejsce realizacji przedsięwzięcia.</w:t>
      </w:r>
    </w:p>
    <w:p w14:paraId="126EE62F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2) Beneficjent poddaje się kontroli lub audytowi Przedsięwzięcia dokonywanym przez NFOŚiGW, WFOŚiGW lub inne uprawnione instytucje i ograny, samodzielnie lub przez podmioty zewnętrzne, w budynku mieszkalnym/ lokalu mieszkalnym objętym przedsięwzięciem oraz dokumentów związanych z dotacją, zgodnie z przepisami prawa krajowego i unijnego oraz dokumentami dotyczącymi środków pożyczki dla Polski w ramach instrumentu finansowego Banku Światowego Program for </w:t>
      </w:r>
      <w:proofErr w:type="spell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Results</w:t>
      </w:r>
      <w:proofErr w:type="spell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oraz dokumentami związanymi z finansowaniem z Funduszu Modernizacyjnego, o którym mowa w art. 10d dyrektywy 2003/87/WE.</w:t>
      </w:r>
    </w:p>
    <w:p w14:paraId="43814F19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3) W razie ustalenia, że wypłacona Beneficjentowi kwota dotacji jest wyższa niż kwota należnej dotacji wynikającej z warunków określonych w ust. 3, Beneficjent jest zobowiązany do zwrotu różnicy na rachunek bankowy WFOŚiGW wraz z odsetkami w wysokości jak dla zaległości podatkowych, naliczonymi od dnia przekazania środków na rzecz Beneficjenta do dnia uznania rachunku bankowego WFOŚiGW.</w:t>
      </w:r>
    </w:p>
    <w:p w14:paraId="52C44A7F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2" w:name="_Hlk158726891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4)</w:t>
      </w:r>
      <w:r w:rsidRPr="00D175C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Zwrot </w:t>
      </w:r>
      <w:proofErr w:type="gramStart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środków</w:t>
      </w:r>
      <w:proofErr w:type="gramEnd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o których mowa w pkt 3) może zostać dokonany przez pomniejszenie kolejnej płatności na rzecz beneficjenta o kwotę podlegającą zwrotowi wraz z odsetkami w wysokości określonej jak dla zaległości podatkowych. Odsetki, w takim przypadku, nalicza się do dnia wpływu do WFOŚiGW pisemnej zgody na pomniejszenie kolejnych płatności, jeżeli taka zgoda została wyrażona</w:t>
      </w:r>
      <w:bookmarkEnd w:id="2"/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.</w:t>
      </w:r>
    </w:p>
    <w:p w14:paraId="4F6AD0DD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D175CC">
        <w:rPr>
          <w:rFonts w:ascii="Calibri" w:eastAsia="Calibri" w:hAnsi="Calibri" w:cs="Times New Roman"/>
          <w:kern w:val="0"/>
          <w14:ligatures w14:val="none"/>
        </w:rPr>
        <w:t>7. Postanowienia końcowe</w:t>
      </w:r>
    </w:p>
    <w:p w14:paraId="4FDB893F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1) Jeżeli umowa nie stanowi inaczej, wszelkie zmiany umowy, a także wypowiedzenie wymagają formy pisemnej pod rygorem nieważności.</w:t>
      </w:r>
    </w:p>
    <w:p w14:paraId="342D235C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2) Przez umowę należy rozumieć niniejsze warunki umowy dotacji oraz pozostałą część wniosku o dofinansowanie. </w:t>
      </w:r>
    </w:p>
    <w:p w14:paraId="42B2425C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3) Ewentualne spory powstałe w związku z niniejszą umową będą rozpatrywane przez sąd powszechny właściwy dla siedziby WFOŚiGW.</w:t>
      </w:r>
    </w:p>
    <w:p w14:paraId="4BA89744" w14:textId="77777777" w:rsidR="00D175CC" w:rsidRPr="00D175CC" w:rsidRDefault="00D175CC" w:rsidP="00D175CC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4) Ilekroć w umowie jest mowa o:</w:t>
      </w:r>
    </w:p>
    <w:p w14:paraId="1DBFEF5C" w14:textId="77777777" w:rsidR="00D175CC" w:rsidRPr="00D175CC" w:rsidRDefault="00D175CC" w:rsidP="00D175CC">
      <w:pPr>
        <w:numPr>
          <w:ilvl w:val="1"/>
          <w:numId w:val="8"/>
        </w:numPr>
        <w:spacing w:after="0"/>
        <w:ind w:left="567" w:hanging="283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przedsięwzięciu – należy przez to także rozumieć inwestycję, o której mowa w art. 50a ustawy o systemie handlu uprawnieniami do emisji gazów cieplarnianych, a na potrzeby niniejszej umowy pojęcia te są używane zamiennie;</w:t>
      </w:r>
    </w:p>
    <w:p w14:paraId="674E6639" w14:textId="77777777" w:rsidR="00D175CC" w:rsidRPr="00D175CC" w:rsidRDefault="00D175CC" w:rsidP="00D175CC">
      <w:pPr>
        <w:numPr>
          <w:ilvl w:val="1"/>
          <w:numId w:val="8"/>
        </w:numPr>
        <w:spacing w:after="0"/>
        <w:ind w:left="567" w:hanging="283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operatorze - należy przez to rozumieć podmiot, który zawarł umowę/porozumienie w celu pełnienia funkcji operatora w Programie i udzieli bezpośredniej pomocy Beneficjentowi w przygotowaniu i realizacji przedsięwzięcia (pomoc operatora nie dotyczy beneficjentów podstawowego poziomu dofinansowania).</w:t>
      </w:r>
    </w:p>
    <w:p w14:paraId="45B495B0" w14:textId="77777777" w:rsidR="00D175CC" w:rsidRPr="00D175CC" w:rsidRDefault="00D175CC" w:rsidP="00D175CC">
      <w:pPr>
        <w:spacing w:after="0"/>
        <w:ind w:left="567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3BDF59E1" w14:textId="77777777" w:rsidR="00D175CC" w:rsidRPr="00D175CC" w:rsidRDefault="00D175CC" w:rsidP="00D175CC">
      <w:pPr>
        <w:tabs>
          <w:tab w:val="left" w:pos="284"/>
        </w:tabs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5) NFOŚiGW / WFOŚiGW ma prawo do udostępnienia osobom trzecim oraz podawania do publicznej wiadomości, w tym do zamieszczenia na stronie internetowej NFOŚiGW / WFOŚiGW oraz w materiałach informacyjnych i promocyjnych NFOŚiGW / WFOŚiGW, informacji o dofinansowaniu przedsięwzięcia ze środków NFOŚiGW zgromadzonych na rachunku Funduszu Modernizacyjnego, w szczególności </w:t>
      </w:r>
      <w:r w:rsidRPr="00D175CC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lastRenderedPageBreak/>
        <w:t>obejmujących numer wniosku o dofinansowanie, nazwę przedsięwzięcia, kwotę udzielonego Beneficjentowi dofinansowania oraz skrócony opis. Powyższe uprawnienie NFOŚiGW/WFOŚiGW podlega ograniczeniom jedynie w zakresie i na zasadach określonych w przepisach odrębnych.</w:t>
      </w:r>
    </w:p>
    <w:p w14:paraId="5610501C" w14:textId="77777777" w:rsidR="00444511" w:rsidRDefault="00444511"/>
    <w:sectPr w:rsidR="0044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564"/>
    <w:multiLevelType w:val="hybridMultilevel"/>
    <w:tmpl w:val="1F181C7A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FFFFFFFF" w:tentative="1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467574C"/>
    <w:multiLevelType w:val="hybridMultilevel"/>
    <w:tmpl w:val="C8F4BCFE"/>
    <w:lvl w:ilvl="0" w:tplc="FFFFFFFF">
      <w:start w:val="1"/>
      <w:numFmt w:val="lowerLetter"/>
      <w:lvlText w:val="%1."/>
      <w:lvlJc w:val="left"/>
      <w:pPr>
        <w:ind w:left="1212" w:hanging="360"/>
      </w:pPr>
    </w:lvl>
    <w:lvl w:ilvl="1" w:tplc="FFFFFFFF" w:tentative="1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3B295005"/>
    <w:multiLevelType w:val="hybridMultilevel"/>
    <w:tmpl w:val="DC7C29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11A0"/>
    <w:multiLevelType w:val="hybridMultilevel"/>
    <w:tmpl w:val="90CE9B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A5C81"/>
    <w:multiLevelType w:val="hybridMultilevel"/>
    <w:tmpl w:val="E98C4998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4641680E"/>
    <w:multiLevelType w:val="hybridMultilevel"/>
    <w:tmpl w:val="69E60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00024"/>
    <w:multiLevelType w:val="hybridMultilevel"/>
    <w:tmpl w:val="16704FA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9FF439A"/>
    <w:multiLevelType w:val="hybridMultilevel"/>
    <w:tmpl w:val="C8F4BCFE"/>
    <w:lvl w:ilvl="0" w:tplc="04150019">
      <w:start w:val="1"/>
      <w:numFmt w:val="lowerLetter"/>
      <w:lvlText w:val="%1."/>
      <w:lvlJc w:val="left"/>
      <w:pPr>
        <w:ind w:left="1212" w:hanging="360"/>
      </w:pPr>
    </w:lvl>
    <w:lvl w:ilvl="1" w:tplc="FFFFFFFF" w:tentative="1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716622A9"/>
    <w:multiLevelType w:val="hybridMultilevel"/>
    <w:tmpl w:val="CF300292"/>
    <w:lvl w:ilvl="0" w:tplc="6FD01D2C">
      <w:start w:val="1"/>
      <w:numFmt w:val="bullet"/>
      <w:lvlText w:val="-"/>
      <w:lvlJc w:val="left"/>
      <w:pPr>
        <w:ind w:left="1212" w:hanging="36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1782452634">
    <w:abstractNumId w:val="5"/>
  </w:num>
  <w:num w:numId="2" w16cid:durableId="793524302">
    <w:abstractNumId w:val="6"/>
  </w:num>
  <w:num w:numId="3" w16cid:durableId="2093774254">
    <w:abstractNumId w:val="4"/>
  </w:num>
  <w:num w:numId="4" w16cid:durableId="828987310">
    <w:abstractNumId w:val="7"/>
  </w:num>
  <w:num w:numId="5" w16cid:durableId="1493642500">
    <w:abstractNumId w:val="1"/>
  </w:num>
  <w:num w:numId="6" w16cid:durableId="23405957">
    <w:abstractNumId w:val="0"/>
  </w:num>
  <w:num w:numId="7" w16cid:durableId="1689063503">
    <w:abstractNumId w:val="8"/>
  </w:num>
  <w:num w:numId="8" w16cid:durableId="1859657454">
    <w:abstractNumId w:val="3"/>
  </w:num>
  <w:num w:numId="9" w16cid:durableId="1610775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CC"/>
    <w:rsid w:val="00444511"/>
    <w:rsid w:val="005578CC"/>
    <w:rsid w:val="006B2DBF"/>
    <w:rsid w:val="008C6687"/>
    <w:rsid w:val="00950EF3"/>
    <w:rsid w:val="00C3278A"/>
    <w:rsid w:val="00D175CC"/>
    <w:rsid w:val="00DC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0A778"/>
  <w15:chartTrackingRefBased/>
  <w15:docId w15:val="{DE675EEB-DE6C-49F2-81D3-FD320229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7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5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5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5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5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5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5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7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5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5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75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5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5C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175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sta-zum.io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sta-zum.ios.edu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3068</Words>
  <Characters>18414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Czyste Powietrze Wzór Warunki umowy dotacji</dc:title>
  <dc:subject/>
  <dc:creator>Adamska Małgorzata</dc:creator>
  <cp:keywords/>
  <dc:description/>
  <cp:lastModifiedBy>Handzlik Elżbieta</cp:lastModifiedBy>
  <cp:revision>3</cp:revision>
  <dcterms:created xsi:type="dcterms:W3CDTF">2025-03-31T10:11:00Z</dcterms:created>
  <dcterms:modified xsi:type="dcterms:W3CDTF">2025-03-31T10:13:00Z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cab9c7ca-eccb-4bd4-9d50-38f98170497b</vt:lpwstr>
  </property>
</Properties>
</file>