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70" w:rsidRPr="003852E5" w:rsidRDefault="00125F70" w:rsidP="00554414">
      <w:pPr>
        <w:spacing w:after="120" w:line="264" w:lineRule="atLeast"/>
        <w:ind w:left="40"/>
        <w:jc w:val="center"/>
        <w:outlineLvl w:val="1"/>
        <w:rPr>
          <w:rFonts w:ascii="Arial" w:hAnsi="Arial" w:cs="Arial"/>
          <w:color w:val="000000"/>
          <w:sz w:val="29"/>
          <w:szCs w:val="29"/>
          <w:lang w:eastAsia="pl-PL"/>
        </w:rPr>
      </w:pPr>
      <w:r w:rsidRPr="00B305A5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 xml:space="preserve">OGŁOSZENIE O NABORZE WNIOSKÓW nr </w:t>
      </w:r>
      <w:r w:rsidR="00533956" w:rsidRPr="00B305A5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5</w:t>
      </w:r>
      <w:r w:rsidRPr="003852E5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/2016</w:t>
      </w:r>
    </w:p>
    <w:p w:rsidR="00125F70" w:rsidRPr="003852E5" w:rsidRDefault="00125F70" w:rsidP="00554414">
      <w:pPr>
        <w:spacing w:after="120" w:line="264" w:lineRule="atLeast"/>
        <w:ind w:left="40"/>
        <w:jc w:val="center"/>
        <w:outlineLvl w:val="1"/>
        <w:rPr>
          <w:rFonts w:ascii="Arial" w:hAnsi="Arial" w:cs="Arial"/>
          <w:color w:val="000000"/>
          <w:sz w:val="29"/>
          <w:szCs w:val="29"/>
          <w:lang w:eastAsia="pl-PL"/>
        </w:rPr>
      </w:pPr>
      <w:r w:rsidRPr="003852E5">
        <w:rPr>
          <w:rFonts w:ascii="Arial" w:hAnsi="Arial" w:cs="Arial"/>
          <w:b/>
          <w:bCs/>
          <w:color w:val="000000"/>
          <w:sz w:val="29"/>
          <w:szCs w:val="29"/>
          <w:lang w:eastAsia="pl-PL"/>
        </w:rPr>
        <w:t>OTWARTY KONKURS W RAMACH FUNDUSZU AZYLU, MIGRACJI I INTEGRACJI</w:t>
      </w:r>
    </w:p>
    <w:p w:rsidR="00533956" w:rsidRPr="004E46A1" w:rsidRDefault="00533956" w:rsidP="00533956">
      <w:pPr>
        <w:spacing w:after="0" w:line="0" w:lineRule="atLeast"/>
        <w:ind w:left="40"/>
        <w:jc w:val="center"/>
        <w:rPr>
          <w:rFonts w:ascii="Arial" w:hAnsi="Arial" w:cs="Arial"/>
          <w:b/>
          <w:bCs/>
          <w:color w:val="010101"/>
          <w:sz w:val="24"/>
          <w:szCs w:val="18"/>
          <w:lang w:eastAsia="pl-PL"/>
        </w:rPr>
      </w:pPr>
      <w:r w:rsidRPr="004E46A1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MINISTERSTWO SPRAW WEWNĘTRZNYCH I ADMIN</w:t>
      </w:r>
      <w:r w:rsidR="00B305A5" w:rsidRPr="004E46A1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I</w:t>
      </w:r>
      <w:r w:rsidRPr="004E46A1">
        <w:rPr>
          <w:rFonts w:ascii="Arial" w:hAnsi="Arial" w:cs="Arial"/>
          <w:b/>
          <w:bCs/>
          <w:color w:val="010101"/>
          <w:sz w:val="24"/>
          <w:szCs w:val="18"/>
          <w:lang w:eastAsia="pl-PL"/>
        </w:rPr>
        <w:t>STRACJI</w:t>
      </w:r>
    </w:p>
    <w:p w:rsidR="00533956" w:rsidRPr="003852E5" w:rsidRDefault="00533956" w:rsidP="004E46A1">
      <w:pPr>
        <w:spacing w:after="0" w:line="0" w:lineRule="atLeast"/>
        <w:ind w:left="40"/>
        <w:jc w:val="center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(</w:t>
      </w:r>
      <w:r w:rsidR="00125F70"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ORGAN ODPOWIEDZIALNY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)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hAnsi="Arial"/>
          <w:b/>
          <w:color w:val="010101"/>
          <w:sz w:val="18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OGŁASZA NABÓR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br/>
        <w:t>WNIOSKÓW W TRYBIE KONKURSOWYM NA DOFINANSOWANIE PROJEKTÓW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br/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na kwotę 2 000 000 EUR = </w:t>
      </w:r>
      <w:r w:rsidR="00900C62" w:rsidRPr="00900C62">
        <w:rPr>
          <w:rFonts w:ascii="Arial" w:hAnsi="Arial" w:cs="Arial"/>
          <w:b/>
          <w:color w:val="010101"/>
          <w:sz w:val="18"/>
          <w:szCs w:val="18"/>
          <w:lang w:eastAsia="pl-PL"/>
        </w:rPr>
        <w:t>8</w:t>
      </w:r>
      <w:r w:rsidR="00900C62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 </w:t>
      </w:r>
      <w:r w:rsidR="00432557">
        <w:rPr>
          <w:rFonts w:ascii="Arial" w:hAnsi="Arial" w:cs="Arial"/>
          <w:b/>
          <w:color w:val="010101"/>
          <w:sz w:val="18"/>
          <w:szCs w:val="18"/>
          <w:lang w:eastAsia="pl-PL"/>
        </w:rPr>
        <w:t>636</w:t>
      </w:r>
      <w:r w:rsidR="00900C62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 </w:t>
      </w:r>
      <w:r w:rsidR="00432557">
        <w:rPr>
          <w:rFonts w:ascii="Arial" w:hAnsi="Arial" w:cs="Arial"/>
          <w:b/>
          <w:color w:val="010101"/>
          <w:sz w:val="18"/>
          <w:szCs w:val="18"/>
          <w:lang w:eastAsia="pl-PL"/>
        </w:rPr>
        <w:t>2</w:t>
      </w:r>
      <w:r w:rsidR="00900C62" w:rsidRPr="00900C62">
        <w:rPr>
          <w:rFonts w:ascii="Arial" w:hAnsi="Arial" w:cs="Arial"/>
          <w:b/>
          <w:color w:val="010101"/>
          <w:sz w:val="18"/>
          <w:szCs w:val="18"/>
          <w:lang w:eastAsia="pl-PL"/>
        </w:rPr>
        <w:t>00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 PLN*</w:t>
      </w:r>
    </w:p>
    <w:p w:rsidR="00125F70" w:rsidRPr="003852E5" w:rsidRDefault="00125F70" w:rsidP="00C47924">
      <w:pPr>
        <w:jc w:val="both"/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*liczone wg średniego miesięcznego kursu publikowanego w serii C Oficjalnego Dziennika Unii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br/>
        <w:t>Europejskiego, liczonego dla 6 miesięcznego okresu sprzed miesiąca publikacji ogłoszenia, tj. 1 EUR = </w:t>
      </w:r>
      <w:r w:rsidR="00900C62" w:rsidRPr="004A2B7B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4.31</w:t>
      </w:r>
      <w:r w:rsidR="00432557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81</w:t>
      </w:r>
      <w:r w:rsidR="00900C62" w:rsidRPr="00643BDC">
        <w:t xml:space="preserve"> </w:t>
      </w:r>
      <w:r w:rsidRPr="003852E5">
        <w:t>PLN</w:t>
      </w:r>
    </w:p>
    <w:p w:rsidR="00125F70" w:rsidRPr="003852E5" w:rsidRDefault="00125F70" w:rsidP="00BC5A73">
      <w:pPr>
        <w:spacing w:after="120" w:line="312" w:lineRule="atLeast"/>
        <w:ind w:left="40"/>
        <w:jc w:val="center"/>
        <w:outlineLvl w:val="2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na</w:t>
      </w:r>
      <w:r w:rsidRPr="003852E5">
        <w:rPr>
          <w:rFonts w:ascii="Arial" w:hAnsi="Arial" w:cs="Arial"/>
          <w:b/>
          <w:bCs/>
          <w:color w:val="4C4C4C"/>
          <w:sz w:val="29"/>
          <w:szCs w:val="29"/>
          <w:lang w:eastAsia="pl-PL"/>
        </w:rPr>
        <w:t xml:space="preserve"> 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Cel szczegółowy: integracja/legalna migracja</w:t>
      </w:r>
    </w:p>
    <w:p w:rsidR="00125F70" w:rsidRPr="003852E5" w:rsidRDefault="00125F70" w:rsidP="00BC5A73">
      <w:pPr>
        <w:spacing w:after="120" w:line="312" w:lineRule="atLeast"/>
        <w:ind w:left="40"/>
        <w:jc w:val="center"/>
        <w:outlineLvl w:val="2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Cel krajowy: integracja </w:t>
      </w:r>
    </w:p>
    <w:p w:rsidR="00880F7B" w:rsidRDefault="00880F7B">
      <w:pPr>
        <w:spacing w:after="120" w:line="312" w:lineRule="atLeast"/>
        <w:ind w:left="40"/>
        <w:jc w:val="center"/>
        <w:outlineLvl w:val="2"/>
        <w:rPr>
          <w:rFonts w:ascii="Arial" w:hAnsi="Arial"/>
          <w:b/>
          <w:color w:val="010101"/>
          <w:sz w:val="18"/>
        </w:rPr>
      </w:pPr>
    </w:p>
    <w:p w:rsidR="00125F70" w:rsidRPr="003852E5" w:rsidRDefault="00125F70" w:rsidP="00554414">
      <w:pPr>
        <w:spacing w:before="100" w:beforeAutospacing="1" w:after="100" w:afterAutospacing="1" w:line="336" w:lineRule="atLeast"/>
        <w:ind w:left="40"/>
        <w:jc w:val="center"/>
        <w:rPr>
          <w:rFonts w:ascii="Arial" w:hAnsi="Arial" w:cs="Arial"/>
          <w:b/>
          <w:color w:val="010101"/>
          <w:sz w:val="24"/>
          <w:szCs w:val="24"/>
          <w:lang w:eastAsia="pl-PL"/>
        </w:rPr>
      </w:pPr>
      <w:r w:rsidRPr="003852E5">
        <w:rPr>
          <w:rFonts w:ascii="Arial" w:hAnsi="Arial" w:cs="Arial"/>
          <w:b/>
          <w:color w:val="010101"/>
          <w:sz w:val="24"/>
          <w:szCs w:val="24"/>
          <w:lang w:eastAsia="pl-PL"/>
        </w:rPr>
        <w:t xml:space="preserve">Szczegółowy zakres naboru nr </w:t>
      </w:r>
      <w:r w:rsidR="003E0C79">
        <w:rPr>
          <w:rFonts w:ascii="Arial" w:hAnsi="Arial" w:cs="Arial"/>
          <w:b/>
          <w:color w:val="010101"/>
          <w:sz w:val="24"/>
          <w:szCs w:val="24"/>
          <w:lang w:eastAsia="pl-PL"/>
        </w:rPr>
        <w:t>5</w:t>
      </w:r>
      <w:r w:rsidRPr="003852E5">
        <w:rPr>
          <w:rFonts w:ascii="Arial" w:hAnsi="Arial" w:cs="Arial"/>
          <w:b/>
          <w:color w:val="010101"/>
          <w:sz w:val="24"/>
          <w:szCs w:val="24"/>
          <w:lang w:eastAsia="pl-PL"/>
        </w:rPr>
        <w:t>/2016</w:t>
      </w:r>
    </w:p>
    <w:p w:rsidR="00125F70" w:rsidRPr="003852E5" w:rsidRDefault="00125F70" w:rsidP="00554414">
      <w:pPr>
        <w:spacing w:after="120" w:line="312" w:lineRule="atLeast"/>
        <w:ind w:left="40"/>
        <w:jc w:val="center"/>
        <w:outlineLvl w:val="2"/>
        <w:rPr>
          <w:rFonts w:ascii="Arial" w:hAnsi="Arial" w:cs="Arial"/>
          <w:b/>
          <w:bCs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b/>
          <w:bCs/>
          <w:color w:val="4C4C4C"/>
          <w:sz w:val="29"/>
          <w:szCs w:val="29"/>
          <w:lang w:eastAsia="pl-PL"/>
        </w:rPr>
        <w:t>Cel szczegółowy: integracja/legalna migracja</w:t>
      </w:r>
    </w:p>
    <w:p w:rsidR="00125F70" w:rsidRPr="003852E5" w:rsidRDefault="00125F70" w:rsidP="00554414">
      <w:pPr>
        <w:spacing w:after="120" w:line="312" w:lineRule="atLeast"/>
        <w:ind w:left="40"/>
        <w:jc w:val="center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b/>
          <w:bCs/>
          <w:color w:val="4C4C4C"/>
          <w:sz w:val="29"/>
          <w:szCs w:val="29"/>
          <w:lang w:eastAsia="pl-PL"/>
        </w:rPr>
        <w:t>Cel krajowy: integracja</w:t>
      </w:r>
    </w:p>
    <w:p w:rsidR="00125F70" w:rsidRPr="003852E5" w:rsidRDefault="00125F70" w:rsidP="00061875">
      <w:pPr>
        <w:spacing w:after="0" w:line="336" w:lineRule="atLeast"/>
        <w:ind w:right="240"/>
        <w:jc w:val="both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</w:p>
    <w:p w:rsidR="00125F70" w:rsidRPr="003852E5" w:rsidRDefault="00125F70" w:rsidP="00061875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u w:val="single"/>
          <w:lang w:eastAsia="pl-PL"/>
        </w:rPr>
      </w:pPr>
      <w:r w:rsidRPr="003852E5">
        <w:rPr>
          <w:rFonts w:ascii="Arial" w:hAnsi="Arial" w:cs="Arial"/>
          <w:bCs/>
          <w:color w:val="010101"/>
          <w:sz w:val="18"/>
          <w:szCs w:val="18"/>
          <w:u w:val="single"/>
          <w:lang w:eastAsia="pl-PL"/>
        </w:rPr>
        <w:t>Zakres naboru,</w:t>
      </w:r>
      <w:r w:rsidRPr="003852E5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 xml:space="preserve"> stanowi katalog zamknięty działań kwalifikujących się do dofinansowania w naborze nr </w:t>
      </w:r>
      <w:r w:rsidR="005500AC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>5</w:t>
      </w:r>
      <w:r w:rsidRPr="003852E5">
        <w:rPr>
          <w:rFonts w:ascii="Arial" w:hAnsi="Arial" w:cs="Arial"/>
          <w:color w:val="010101"/>
          <w:sz w:val="18"/>
          <w:szCs w:val="18"/>
          <w:u w:val="single"/>
          <w:lang w:eastAsia="pl-PL"/>
        </w:rPr>
        <w:t>/2016:</w:t>
      </w:r>
    </w:p>
    <w:p w:rsidR="00125F70" w:rsidRPr="004E46A1" w:rsidRDefault="00A43C95" w:rsidP="006C7EB9">
      <w:pPr>
        <w:pStyle w:val="Style1"/>
        <w:numPr>
          <w:ilvl w:val="0"/>
          <w:numId w:val="1"/>
        </w:numPr>
        <w:adjustRightInd/>
        <w:spacing w:before="120" w:after="120" w:line="360" w:lineRule="auto"/>
        <w:ind w:left="240" w:right="24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3852E5">
        <w:rPr>
          <w:rFonts w:ascii="Arial" w:hAnsi="Arial" w:cs="Arial"/>
          <w:b/>
          <w:bCs/>
          <w:sz w:val="18"/>
          <w:szCs w:val="18"/>
          <w:lang w:eastAsia="en-US"/>
        </w:rPr>
        <w:t>D</w:t>
      </w:r>
      <w:r w:rsidR="00125F70" w:rsidRPr="003852E5">
        <w:rPr>
          <w:rFonts w:ascii="Arial" w:hAnsi="Arial" w:cs="Arial"/>
          <w:b/>
          <w:bCs/>
          <w:sz w:val="18"/>
          <w:szCs w:val="18"/>
          <w:lang w:eastAsia="en-US"/>
        </w:rPr>
        <w:t xml:space="preserve">ziałania wprowadzające migrantów w społeczeństwo przyjmujące i ułatwiające dostosowanie się i integrację, w tym ułatwiające pozyskiwanie informacji o prawach i obowiązkach, dostępności do usług, opieki nad dziećmi, uczestnictwo w życiu społecznym i kulturalnym </w:t>
      </w:r>
      <w:r w:rsidR="00125F70" w:rsidRPr="004E46A1">
        <w:rPr>
          <w:rFonts w:ascii="Arial" w:hAnsi="Arial" w:cs="Arial"/>
          <w:bCs/>
          <w:sz w:val="18"/>
          <w:szCs w:val="18"/>
        </w:rPr>
        <w:t>(</w:t>
      </w:r>
      <w:r w:rsidR="003E0C79" w:rsidRPr="004E46A1">
        <w:rPr>
          <w:rFonts w:ascii="Arial" w:hAnsi="Arial" w:cs="Arial"/>
          <w:bCs/>
          <w:sz w:val="18"/>
          <w:szCs w:val="18"/>
        </w:rPr>
        <w:t>w ramach</w:t>
      </w:r>
      <w:r w:rsidR="003E0C79">
        <w:rPr>
          <w:rFonts w:ascii="Arial" w:hAnsi="Arial" w:cs="Arial"/>
          <w:b/>
          <w:bCs/>
          <w:sz w:val="18"/>
          <w:szCs w:val="18"/>
        </w:rPr>
        <w:t xml:space="preserve"> </w:t>
      </w:r>
      <w:r w:rsidR="00125F70" w:rsidRPr="003852E5">
        <w:rPr>
          <w:rFonts w:ascii="Arial" w:hAnsi="Arial" w:cs="Arial"/>
          <w:bCs/>
          <w:sz w:val="18"/>
          <w:szCs w:val="18"/>
        </w:rPr>
        <w:t>działani</w:t>
      </w:r>
      <w:r w:rsidR="003E0C79">
        <w:rPr>
          <w:rFonts w:ascii="Arial" w:hAnsi="Arial" w:cs="Arial"/>
          <w:bCs/>
          <w:sz w:val="18"/>
          <w:szCs w:val="18"/>
        </w:rPr>
        <w:t>a</w:t>
      </w:r>
      <w:r w:rsidR="00125F70" w:rsidRPr="003852E5">
        <w:rPr>
          <w:rFonts w:ascii="Arial" w:hAnsi="Arial" w:cs="Arial"/>
          <w:bCs/>
          <w:sz w:val="18"/>
          <w:szCs w:val="18"/>
        </w:rPr>
        <w:t xml:space="preserve"> nr 6 z Programu Krajowego FAMI</w:t>
      </w:r>
      <w:r w:rsidR="00125F70" w:rsidRPr="003852E5">
        <w:rPr>
          <w:rFonts w:ascii="Arial" w:hAnsi="Arial" w:cs="Arial"/>
          <w:bCs/>
          <w:color w:val="010101"/>
          <w:sz w:val="18"/>
          <w:szCs w:val="18"/>
        </w:rPr>
        <w:t>, cel krajowy: Integracja</w:t>
      </w:r>
      <w:r w:rsidR="00125F70" w:rsidRPr="003852E5">
        <w:rPr>
          <w:rFonts w:ascii="Arial" w:hAnsi="Arial" w:cs="Arial"/>
          <w:bCs/>
          <w:sz w:val="18"/>
          <w:szCs w:val="18"/>
        </w:rPr>
        <w:t>)</w:t>
      </w:r>
    </w:p>
    <w:p w:rsidR="00880F7B" w:rsidRDefault="003E0C79">
      <w:pPr>
        <w:pStyle w:val="Style1"/>
        <w:numPr>
          <w:ilvl w:val="0"/>
          <w:numId w:val="1"/>
        </w:numPr>
        <w:adjustRightInd/>
        <w:spacing w:before="120" w:after="120" w:line="360" w:lineRule="auto"/>
        <w:ind w:left="240" w:right="240"/>
        <w:jc w:val="both"/>
        <w:rPr>
          <w:rFonts w:ascii="Arial" w:hAnsi="Arial"/>
          <w:b/>
          <w:sz w:val="18"/>
        </w:rPr>
      </w:pPr>
      <w:r w:rsidRPr="004E46A1">
        <w:rPr>
          <w:rFonts w:ascii="Arial" w:hAnsi="Arial" w:cs="Arial"/>
          <w:b/>
          <w:bCs/>
          <w:sz w:val="18"/>
          <w:szCs w:val="18"/>
          <w:lang w:eastAsia="en-US"/>
        </w:rPr>
        <w:t xml:space="preserve">Działania kierowane do społeczeństwa przyjmującego </w:t>
      </w:r>
      <w:r w:rsidRPr="004E46A1">
        <w:rPr>
          <w:rFonts w:ascii="Arial" w:hAnsi="Arial" w:cs="Arial"/>
          <w:bCs/>
          <w:sz w:val="18"/>
          <w:szCs w:val="18"/>
          <w:lang w:eastAsia="en-US"/>
        </w:rPr>
        <w:t>(</w:t>
      </w:r>
      <w:r>
        <w:rPr>
          <w:rFonts w:ascii="Arial" w:hAnsi="Arial" w:cs="Arial"/>
          <w:bCs/>
          <w:sz w:val="18"/>
          <w:szCs w:val="18"/>
          <w:lang w:eastAsia="en-US"/>
        </w:rPr>
        <w:t xml:space="preserve">w ramach </w:t>
      </w:r>
      <w:r w:rsidRPr="003852E5">
        <w:rPr>
          <w:rFonts w:ascii="Arial" w:hAnsi="Arial" w:cs="Arial"/>
          <w:bCs/>
          <w:sz w:val="18"/>
          <w:szCs w:val="18"/>
          <w:lang w:eastAsia="en-US"/>
        </w:rPr>
        <w:t>działania</w:t>
      </w:r>
      <w:r w:rsidRPr="004E46A1">
        <w:rPr>
          <w:rFonts w:ascii="Arial" w:hAnsi="Arial" w:cs="Arial"/>
          <w:bCs/>
          <w:sz w:val="18"/>
          <w:szCs w:val="18"/>
          <w:lang w:eastAsia="en-US"/>
        </w:rPr>
        <w:t xml:space="preserve"> nr 7 z Programu Krajowego FAMI</w:t>
      </w:r>
      <w:r w:rsidR="00D8258C" w:rsidRPr="00D8258C">
        <w:rPr>
          <w:rFonts w:ascii="Arial" w:hAnsi="Arial"/>
          <w:sz w:val="18"/>
        </w:rPr>
        <w:t>, cel krajowy: Integracja</w:t>
      </w:r>
      <w:r w:rsidRPr="004E46A1">
        <w:rPr>
          <w:rFonts w:ascii="Arial" w:hAnsi="Arial" w:cs="Arial"/>
          <w:bCs/>
          <w:sz w:val="18"/>
          <w:szCs w:val="18"/>
          <w:lang w:eastAsia="en-US"/>
        </w:rPr>
        <w:t>)</w:t>
      </w:r>
      <w:r w:rsidRPr="004E46A1"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</w:p>
    <w:p w:rsidR="00125F70" w:rsidRDefault="00125F70" w:rsidP="006C7EB9">
      <w:pPr>
        <w:pStyle w:val="NormalnyWeb"/>
        <w:shd w:val="clear" w:color="auto" w:fill="FFFFFF"/>
        <w:spacing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3852E5">
        <w:rPr>
          <w:rFonts w:ascii="Arial" w:hAnsi="Arial" w:cs="Arial"/>
          <w:color w:val="010101"/>
          <w:sz w:val="18"/>
          <w:szCs w:val="18"/>
        </w:rPr>
        <w:t xml:space="preserve">W naborze </w:t>
      </w:r>
      <w:r w:rsidR="00B95D35" w:rsidRPr="003852E5">
        <w:rPr>
          <w:rFonts w:ascii="Arial" w:hAnsi="Arial" w:cs="Arial"/>
          <w:color w:val="010101"/>
          <w:sz w:val="18"/>
          <w:szCs w:val="18"/>
        </w:rPr>
        <w:t>5</w:t>
      </w:r>
      <w:r w:rsidRPr="003852E5">
        <w:rPr>
          <w:rFonts w:ascii="Arial" w:hAnsi="Arial" w:cs="Arial"/>
          <w:color w:val="010101"/>
          <w:sz w:val="18"/>
          <w:szCs w:val="18"/>
        </w:rPr>
        <w:t xml:space="preserve">/2016 preferowane będą projekty kompleksowe, obejmujące określone </w:t>
      </w:r>
      <w:r w:rsidR="00EA2EAB">
        <w:rPr>
          <w:rFonts w:ascii="Arial" w:hAnsi="Arial" w:cs="Arial"/>
          <w:color w:val="010101"/>
          <w:sz w:val="18"/>
          <w:szCs w:val="18"/>
        </w:rPr>
        <w:t xml:space="preserve">lokalne </w:t>
      </w:r>
      <w:r w:rsidRPr="003852E5">
        <w:rPr>
          <w:rFonts w:ascii="Arial" w:hAnsi="Arial" w:cs="Arial"/>
          <w:color w:val="010101"/>
          <w:sz w:val="18"/>
          <w:szCs w:val="18"/>
        </w:rPr>
        <w:t xml:space="preserve">środowisko lub miejsce szeregiem uzupełniających się działań </w:t>
      </w:r>
      <w:r w:rsidR="00CE3746">
        <w:rPr>
          <w:rFonts w:ascii="Arial" w:hAnsi="Arial" w:cs="Arial"/>
          <w:color w:val="010101"/>
          <w:sz w:val="18"/>
          <w:szCs w:val="18"/>
        </w:rPr>
        <w:t>kierowanych do społeczeństwa przyjmującego</w:t>
      </w:r>
      <w:r w:rsidR="00CE3746" w:rsidRPr="003852E5">
        <w:rPr>
          <w:rFonts w:ascii="Arial" w:hAnsi="Arial" w:cs="Arial"/>
          <w:color w:val="010101"/>
          <w:sz w:val="18"/>
          <w:szCs w:val="18"/>
        </w:rPr>
        <w:t xml:space="preserve"> </w:t>
      </w:r>
      <w:r w:rsidR="00CE3746">
        <w:rPr>
          <w:rFonts w:ascii="Arial" w:hAnsi="Arial" w:cs="Arial"/>
          <w:color w:val="010101"/>
          <w:sz w:val="18"/>
          <w:szCs w:val="18"/>
        </w:rPr>
        <w:t xml:space="preserve">oraz </w:t>
      </w:r>
      <w:r w:rsidRPr="003852E5">
        <w:rPr>
          <w:rFonts w:ascii="Arial" w:hAnsi="Arial" w:cs="Arial"/>
          <w:color w:val="010101"/>
          <w:sz w:val="18"/>
          <w:szCs w:val="18"/>
        </w:rPr>
        <w:t>wprowadzając</w:t>
      </w:r>
      <w:r w:rsidR="00EA2EAB">
        <w:rPr>
          <w:rFonts w:ascii="Arial" w:hAnsi="Arial" w:cs="Arial"/>
          <w:color w:val="010101"/>
          <w:sz w:val="18"/>
          <w:szCs w:val="18"/>
        </w:rPr>
        <w:t>ych</w:t>
      </w:r>
      <w:r w:rsidRPr="003852E5">
        <w:rPr>
          <w:rFonts w:ascii="Arial" w:hAnsi="Arial" w:cs="Arial"/>
          <w:color w:val="010101"/>
          <w:sz w:val="18"/>
          <w:szCs w:val="18"/>
        </w:rPr>
        <w:t xml:space="preserve"> migrantów w społeczeństwo polskie i ułatwiając</w:t>
      </w:r>
      <w:r w:rsidR="00EA2EAB">
        <w:rPr>
          <w:rFonts w:ascii="Arial" w:hAnsi="Arial" w:cs="Arial"/>
          <w:color w:val="010101"/>
          <w:sz w:val="18"/>
          <w:szCs w:val="18"/>
        </w:rPr>
        <w:t>ych</w:t>
      </w:r>
      <w:r w:rsidRPr="003852E5">
        <w:rPr>
          <w:rFonts w:ascii="Arial" w:hAnsi="Arial" w:cs="Arial"/>
          <w:color w:val="010101"/>
          <w:sz w:val="18"/>
          <w:szCs w:val="18"/>
        </w:rPr>
        <w:t xml:space="preserve"> dostosowanie się i integrację, w tym przekazywanie informacji o prawach i obowiązkach cudzoziemców, dostępności usług zdrowotnych, edukacyjnych, opieki nad dziećmi, uczestnictwie w życiu społecznym i kulturalnym, funkcjonowaniu urzędów i rynku pracy</w:t>
      </w:r>
      <w:r w:rsidR="00EA2EAB">
        <w:rPr>
          <w:rFonts w:ascii="Arial" w:hAnsi="Arial" w:cs="Arial"/>
          <w:color w:val="010101"/>
          <w:sz w:val="18"/>
          <w:szCs w:val="18"/>
        </w:rPr>
        <w:t>, np.:</w:t>
      </w:r>
    </w:p>
    <w:p w:rsidR="006B67AB" w:rsidRDefault="00EA2EAB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 xml:space="preserve">- </w:t>
      </w:r>
      <w:r w:rsidR="004D518C" w:rsidRPr="004E46A1">
        <w:rPr>
          <w:rFonts w:ascii="Arial" w:hAnsi="Arial" w:cs="Arial"/>
          <w:color w:val="010101"/>
          <w:sz w:val="18"/>
          <w:szCs w:val="18"/>
        </w:rPr>
        <w:t>spotkania</w:t>
      </w:r>
      <w:r w:rsidR="00CE3746">
        <w:rPr>
          <w:rFonts w:ascii="Arial" w:hAnsi="Arial" w:cs="Arial"/>
          <w:color w:val="010101"/>
          <w:sz w:val="18"/>
          <w:szCs w:val="18"/>
        </w:rPr>
        <w:t>, szkolenia, warsztaty</w:t>
      </w:r>
      <w:r w:rsidR="004D518C" w:rsidRPr="004E46A1">
        <w:rPr>
          <w:rFonts w:ascii="Arial" w:hAnsi="Arial" w:cs="Arial"/>
          <w:color w:val="010101"/>
          <w:sz w:val="18"/>
          <w:szCs w:val="18"/>
        </w:rPr>
        <w:t xml:space="preserve"> </w:t>
      </w:r>
      <w:r w:rsidR="006B67AB">
        <w:rPr>
          <w:rFonts w:ascii="Arial" w:hAnsi="Arial" w:cs="Arial"/>
          <w:color w:val="010101"/>
          <w:sz w:val="18"/>
          <w:szCs w:val="18"/>
        </w:rPr>
        <w:t>i materiały informacyjne dla cudzoziemców;</w:t>
      </w:r>
    </w:p>
    <w:p w:rsidR="006B67AB" w:rsidRDefault="006B67AB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>- wsparcie asystentów wprowadzających w lokalne społecz</w:t>
      </w:r>
      <w:r w:rsidR="007214A5">
        <w:rPr>
          <w:rFonts w:ascii="Arial" w:hAnsi="Arial" w:cs="Arial"/>
          <w:color w:val="010101"/>
          <w:sz w:val="18"/>
          <w:szCs w:val="18"/>
        </w:rPr>
        <w:t>ności</w:t>
      </w:r>
      <w:r>
        <w:rPr>
          <w:rFonts w:ascii="Arial" w:hAnsi="Arial" w:cs="Arial"/>
          <w:color w:val="010101"/>
          <w:sz w:val="18"/>
          <w:szCs w:val="18"/>
        </w:rPr>
        <w:t xml:space="preserve"> i polskie uwarunkowania;</w:t>
      </w:r>
    </w:p>
    <w:p w:rsidR="004D518C" w:rsidRPr="004E46A1" w:rsidRDefault="006B67AB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>
        <w:rPr>
          <w:rFonts w:ascii="Arial" w:hAnsi="Arial" w:cs="Arial"/>
          <w:color w:val="010101"/>
          <w:sz w:val="18"/>
          <w:szCs w:val="18"/>
        </w:rPr>
        <w:t xml:space="preserve">- spotkania </w:t>
      </w:r>
      <w:r w:rsidR="004D518C" w:rsidRPr="004E46A1">
        <w:rPr>
          <w:rFonts w:ascii="Arial" w:hAnsi="Arial" w:cs="Arial"/>
          <w:color w:val="010101"/>
          <w:sz w:val="18"/>
          <w:szCs w:val="18"/>
        </w:rPr>
        <w:t>integracyjne i warsztaty dla dzieci, obejmujące kompetencje międzykulturowe</w:t>
      </w:r>
      <w:r w:rsidRPr="003852E5">
        <w:rPr>
          <w:rFonts w:ascii="Arial" w:hAnsi="Arial" w:cs="Arial"/>
          <w:color w:val="010101"/>
          <w:sz w:val="18"/>
          <w:szCs w:val="18"/>
        </w:rPr>
        <w:t>;</w:t>
      </w:r>
    </w:p>
    <w:p w:rsidR="00880F7B" w:rsidRDefault="004D518C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lastRenderedPageBreak/>
        <w:t xml:space="preserve">- 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szkolenia dla </w:t>
      </w:r>
      <w:r w:rsidR="003852E5">
        <w:rPr>
          <w:rFonts w:ascii="Arial" w:hAnsi="Arial" w:cs="Arial"/>
          <w:color w:val="010101"/>
          <w:sz w:val="18"/>
          <w:szCs w:val="18"/>
        </w:rPr>
        <w:t xml:space="preserve">personelu szkół 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>w zakresie pracy z dziećmi różnych narodowości i k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ultur, rozwiązywania konfliktów;</w:t>
      </w:r>
    </w:p>
    <w:p w:rsidR="004D518C" w:rsidRPr="004E46A1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>-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 naw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iązanie współpracy z rodzicami</w:t>
      </w:r>
      <w:r w:rsidR="003852E5">
        <w:rPr>
          <w:rFonts w:ascii="Arial" w:hAnsi="Arial" w:cs="Arial"/>
          <w:color w:val="010101"/>
          <w:sz w:val="18"/>
          <w:szCs w:val="18"/>
        </w:rPr>
        <w:t xml:space="preserve"> cudzoziemskimi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;</w:t>
      </w:r>
    </w:p>
    <w:p w:rsidR="004D518C" w:rsidRPr="004E46A1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 xml:space="preserve">- 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>przygotowanie kadry do kontaktów z rodzicami imigrantami (np. przygot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owanie dokumentów w ich języku);</w:t>
      </w:r>
    </w:p>
    <w:p w:rsidR="004D518C" w:rsidRPr="004E46A1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>-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 opracowanie materiałów </w:t>
      </w:r>
      <w:r w:rsidR="006B67AB">
        <w:rPr>
          <w:rFonts w:ascii="Arial" w:hAnsi="Arial" w:cs="Arial"/>
          <w:color w:val="010101"/>
          <w:sz w:val="18"/>
          <w:szCs w:val="18"/>
        </w:rPr>
        <w:t xml:space="preserve">szkoleniowych i edukacyjnych, w tym 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dla dzieci (np. komiksy);</w:t>
      </w:r>
    </w:p>
    <w:p w:rsidR="004D518C" w:rsidRPr="004E46A1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>-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 organizacja imprez integracyjnych uwzg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lędniających prezentację kultur;</w:t>
      </w:r>
    </w:p>
    <w:p w:rsidR="00EA2EAB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  <w:r w:rsidRPr="004E46A1">
        <w:rPr>
          <w:rFonts w:ascii="Arial" w:hAnsi="Arial" w:cs="Arial"/>
          <w:color w:val="010101"/>
          <w:sz w:val="18"/>
          <w:szCs w:val="18"/>
        </w:rPr>
        <w:t>-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 </w:t>
      </w:r>
      <w:r w:rsidRPr="004E46A1">
        <w:rPr>
          <w:rFonts w:ascii="Arial" w:hAnsi="Arial" w:cs="Arial"/>
          <w:color w:val="010101"/>
          <w:sz w:val="18"/>
          <w:szCs w:val="18"/>
        </w:rPr>
        <w:t>n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a terenach miejskich kompleksowe działania mogą obejmować otwarte imprezy plenerowe połączone ze spotkaniami mieszkańców z imigrantami zamieszkującymi dany teren, szkolenia </w:t>
      </w:r>
      <w:r w:rsidRPr="004E46A1">
        <w:rPr>
          <w:rFonts w:ascii="Arial" w:hAnsi="Arial" w:cs="Arial"/>
          <w:color w:val="010101"/>
          <w:sz w:val="18"/>
          <w:szCs w:val="18"/>
        </w:rPr>
        <w:t>obejmujące kompetencje międzykulturowe</w:t>
      </w:r>
      <w:r w:rsidR="00EA2EAB" w:rsidRPr="004E46A1">
        <w:rPr>
          <w:rFonts w:ascii="Arial" w:hAnsi="Arial" w:cs="Arial"/>
          <w:color w:val="010101"/>
          <w:sz w:val="18"/>
          <w:szCs w:val="18"/>
        </w:rPr>
        <w:t xml:space="preserve"> dla lokalnych liderów, psycho</w:t>
      </w:r>
      <w:r w:rsidR="006B67AB" w:rsidRPr="003852E5">
        <w:rPr>
          <w:rFonts w:ascii="Arial" w:hAnsi="Arial" w:cs="Arial"/>
          <w:color w:val="010101"/>
          <w:sz w:val="18"/>
          <w:szCs w:val="18"/>
        </w:rPr>
        <w:t>logów szkolnych lub aktywistów.</w:t>
      </w:r>
    </w:p>
    <w:p w:rsidR="004D518C" w:rsidRPr="004E46A1" w:rsidRDefault="004D518C" w:rsidP="004E46A1">
      <w:pPr>
        <w:pStyle w:val="NormalnyWeb"/>
        <w:shd w:val="clear" w:color="auto" w:fill="FFFFFF"/>
        <w:spacing w:before="120" w:beforeAutospacing="0" w:after="0" w:afterAutospacing="0" w:line="281" w:lineRule="atLeast"/>
        <w:jc w:val="both"/>
        <w:rPr>
          <w:rFonts w:ascii="Arial" w:hAnsi="Arial" w:cs="Arial"/>
          <w:color w:val="010101"/>
          <w:sz w:val="18"/>
          <w:szCs w:val="18"/>
        </w:rPr>
      </w:pPr>
    </w:p>
    <w:p w:rsidR="00B44147" w:rsidRPr="003852E5" w:rsidRDefault="00B44147" w:rsidP="004164CA">
      <w:pPr>
        <w:pStyle w:val="Default"/>
        <w:spacing w:line="360" w:lineRule="auto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Proponowane działania </w:t>
      </w:r>
      <w:r>
        <w:rPr>
          <w:rFonts w:ascii="Arial" w:hAnsi="Arial" w:cs="Arial"/>
          <w:color w:val="010101"/>
          <w:sz w:val="18"/>
          <w:szCs w:val="18"/>
          <w:lang w:eastAsia="pl-PL"/>
        </w:rPr>
        <w:t>muszą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 być realizowane na terenach</w:t>
      </w:r>
      <w:r>
        <w:rPr>
          <w:rFonts w:ascii="Arial" w:hAnsi="Arial" w:cs="Arial"/>
          <w:color w:val="010101"/>
          <w:sz w:val="18"/>
          <w:szCs w:val="18"/>
          <w:lang w:eastAsia="pl-PL"/>
        </w:rPr>
        <w:t xml:space="preserve"> dużych miast</w:t>
      </w:r>
      <w:r w:rsidRPr="00643BDC">
        <w:rPr>
          <w:rFonts w:ascii="Arial" w:hAnsi="Arial" w:cs="Arial"/>
          <w:color w:val="010101"/>
          <w:sz w:val="18"/>
          <w:szCs w:val="18"/>
          <w:lang w:eastAsia="pl-PL"/>
        </w:rPr>
        <w:t xml:space="preserve">, gdzie </w:t>
      </w:r>
      <w:r>
        <w:rPr>
          <w:rFonts w:ascii="Arial" w:hAnsi="Arial" w:cs="Arial"/>
          <w:color w:val="010101"/>
          <w:sz w:val="18"/>
          <w:szCs w:val="18"/>
          <w:lang w:eastAsia="pl-PL"/>
        </w:rPr>
        <w:t xml:space="preserve">znajdują się skupiska cudzoziemców, w synergii z prowadzoną polityką rządu. 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Potrzeby </w:t>
      </w:r>
      <w:r w:rsidR="00EA2EAB" w:rsidRPr="00A611A6">
        <w:rPr>
          <w:rFonts w:ascii="Arial" w:hAnsi="Arial"/>
          <w:color w:val="010101"/>
          <w:sz w:val="18"/>
        </w:rPr>
        <w:t>cudzoziemców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i </w:t>
      </w:r>
      <w:r w:rsidR="00125F70" w:rsidRPr="00A611A6">
        <w:rPr>
          <w:rFonts w:ascii="Arial" w:hAnsi="Arial"/>
          <w:color w:val="010101"/>
          <w:sz w:val="18"/>
        </w:rPr>
        <w:t>społeczeństwa przyjmującego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mus</w:t>
      </w:r>
      <w:r w:rsidR="00EA2EAB">
        <w:rPr>
          <w:rFonts w:ascii="Arial" w:hAnsi="Arial" w:cs="Arial"/>
          <w:color w:val="010101"/>
          <w:sz w:val="18"/>
          <w:szCs w:val="18"/>
          <w:lang w:eastAsia="pl-PL"/>
        </w:rPr>
        <w:t>zą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zostać opisan</w:t>
      </w:r>
      <w:r w:rsidR="00EA2EAB">
        <w:rPr>
          <w:rFonts w:ascii="Arial" w:hAnsi="Arial" w:cs="Arial"/>
          <w:color w:val="010101"/>
          <w:sz w:val="18"/>
          <w:szCs w:val="18"/>
          <w:lang w:eastAsia="pl-PL"/>
        </w:rPr>
        <w:t>e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przez wnioskodawcę, zaś zasadność realizacji projektu w </w:t>
      </w:r>
      <w:r w:rsidR="00EA2EAB">
        <w:rPr>
          <w:rFonts w:ascii="Arial" w:hAnsi="Arial" w:cs="Arial"/>
          <w:color w:val="010101"/>
          <w:sz w:val="18"/>
          <w:szCs w:val="18"/>
          <w:lang w:eastAsia="pl-PL"/>
        </w:rPr>
        <w:t xml:space="preserve">zaproponowanych </w:t>
      </w:r>
      <w:r w:rsidR="00125F70" w:rsidRPr="003852E5">
        <w:rPr>
          <w:rFonts w:ascii="Arial" w:hAnsi="Arial" w:cs="Arial"/>
          <w:color w:val="010101"/>
          <w:sz w:val="18"/>
          <w:szCs w:val="18"/>
          <w:lang w:eastAsia="pl-PL"/>
        </w:rPr>
        <w:t>miejscach/okolicach dobrze uzasadniona w pkt. II.4 Formularza wniosku o przyznanie dofinansowania.</w:t>
      </w:r>
      <w:r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125F70" w:rsidRDefault="00125F70" w:rsidP="004164CA">
      <w:pPr>
        <w:spacing w:after="0" w:line="336" w:lineRule="atLeast"/>
        <w:ind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W niniejszym naborze dodatkowo premiowane będzie partnerstwo z </w:t>
      </w:r>
      <w:r w:rsidR="005500AC">
        <w:rPr>
          <w:rFonts w:ascii="Arial" w:hAnsi="Arial" w:cs="Arial"/>
          <w:color w:val="010101"/>
          <w:sz w:val="18"/>
          <w:szCs w:val="18"/>
          <w:lang w:eastAsia="pl-PL"/>
        </w:rPr>
        <w:t xml:space="preserve">udziałem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jednostk</w:t>
      </w:r>
      <w:r w:rsidR="005500AC">
        <w:rPr>
          <w:rFonts w:ascii="Arial" w:hAnsi="Arial" w:cs="Arial"/>
          <w:color w:val="010101"/>
          <w:sz w:val="18"/>
          <w:szCs w:val="18"/>
          <w:lang w:eastAsia="pl-PL"/>
        </w:rPr>
        <w:t>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samorządu terytorialnego.</w:t>
      </w:r>
      <w:r w:rsidR="00E7665B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5500AC" w:rsidRPr="003852E5" w:rsidRDefault="005500AC" w:rsidP="004164CA">
      <w:pPr>
        <w:spacing w:after="0" w:line="336" w:lineRule="atLeast"/>
        <w:ind w:right="240"/>
        <w:jc w:val="both"/>
        <w:rPr>
          <w:rFonts w:ascii="Arial" w:hAnsi="Arial"/>
          <w:color w:val="010101"/>
          <w:sz w:val="18"/>
        </w:rPr>
      </w:pPr>
    </w:p>
    <w:p w:rsidR="00125F70" w:rsidRPr="003852E5" w:rsidRDefault="00125F70" w:rsidP="00192F9F">
      <w:pPr>
        <w:spacing w:after="0" w:line="336" w:lineRule="atLeast"/>
        <w:ind w:right="240"/>
        <w:jc w:val="both"/>
        <w:rPr>
          <w:rFonts w:ascii="Arial" w:hAnsi="Arial" w:cs="Arial"/>
          <w:b/>
          <w:bCs/>
          <w:color w:val="FF0000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FF0000"/>
          <w:sz w:val="18"/>
          <w:szCs w:val="18"/>
          <w:lang w:eastAsia="pl-PL"/>
        </w:rPr>
        <w:t>UWAGA!</w:t>
      </w:r>
    </w:p>
    <w:p w:rsidR="00125F70" w:rsidRPr="003852E5" w:rsidRDefault="00125F70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W ramach naboru nr </w:t>
      </w:r>
      <w:r w:rsidR="00230E16"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5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/2016 wnioskodawca może złożyć tylko jeden wniosek. 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 xml:space="preserve">Jednocześnie organizacja, która składa wniosek jako wnioskodawca może figurować jako partner tylko w jednym projekcie innej organizacji/instytucji (ograniczenie dotyczące partnerstwa nie dotyczy </w:t>
      </w:r>
      <w:r w:rsidR="003852E5">
        <w:rPr>
          <w:rFonts w:ascii="Arial" w:hAnsi="Arial" w:cs="Arial"/>
          <w:b/>
          <w:color w:val="010101"/>
          <w:sz w:val="18"/>
          <w:szCs w:val="18"/>
          <w:lang w:eastAsia="pl-PL"/>
        </w:rPr>
        <w:t>jednostek samorządu terytorialnego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).</w:t>
      </w:r>
    </w:p>
    <w:p w:rsidR="00125F70" w:rsidRPr="003852E5" w:rsidRDefault="00DB3C52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M</w:t>
      </w:r>
      <w:bookmarkStart w:id="9" w:name="_GoBack"/>
      <w:bookmarkEnd w:id="9"/>
      <w:r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inimalna całkowita wartość takiego projektu musi wynieść 200 000 PLN</w:t>
      </w:r>
      <w:r w:rsidR="00CE3746">
        <w:rPr>
          <w:rFonts w:ascii="Arial" w:hAnsi="Arial" w:cs="Arial"/>
          <w:b/>
          <w:color w:val="010101"/>
          <w:sz w:val="18"/>
          <w:szCs w:val="18"/>
          <w:lang w:eastAsia="pl-PL"/>
        </w:rPr>
        <w:t>.</w:t>
      </w:r>
    </w:p>
    <w:p w:rsidR="00125F70" w:rsidRPr="003852E5" w:rsidRDefault="00125F70" w:rsidP="007F7A0A">
      <w:pPr>
        <w:pStyle w:val="Akapitzlist"/>
        <w:numPr>
          <w:ilvl w:val="0"/>
          <w:numId w:val="18"/>
        </w:numPr>
        <w:spacing w:after="0" w:line="336" w:lineRule="atLeast"/>
        <w:ind w:right="240"/>
        <w:jc w:val="both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Redukcja wartości projektu podczas oceny wniosków do kwoty</w:t>
      </w:r>
      <w:r w:rsidRPr="003852E5">
        <w:rPr>
          <w:rFonts w:ascii="Arial" w:hAnsi="Arial" w:cs="Arial"/>
          <w:b/>
          <w:sz w:val="18"/>
          <w:szCs w:val="18"/>
          <w:lang w:eastAsia="pl-PL"/>
        </w:rPr>
        <w:t xml:space="preserve"> poniżej 200 000 PLN nie s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powoduje odrzucenia wniosku.</w:t>
      </w:r>
    </w:p>
    <w:p w:rsidR="00125F70" w:rsidRPr="003852E5" w:rsidRDefault="00125F70" w:rsidP="006E390F">
      <w:pPr>
        <w:spacing w:after="0" w:line="336" w:lineRule="atLeast"/>
        <w:ind w:right="240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125F70" w:rsidRPr="003852E5" w:rsidRDefault="00125F70" w:rsidP="003171E7">
      <w:pPr>
        <w:spacing w:after="0" w:line="336" w:lineRule="atLeast"/>
        <w:ind w:right="240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125F70" w:rsidRPr="003852E5" w:rsidRDefault="00125F70" w:rsidP="00554414">
      <w:pPr>
        <w:numPr>
          <w:ilvl w:val="0"/>
          <w:numId w:val="6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color w:val="4C4C4C"/>
          <w:sz w:val="29"/>
          <w:szCs w:val="29"/>
          <w:lang w:eastAsia="pl-PL"/>
        </w:rPr>
        <w:t>Wartość dofinansowania</w:t>
      </w:r>
    </w:p>
    <w:p w:rsidR="00125F70" w:rsidRPr="003852E5" w:rsidRDefault="00125F70" w:rsidP="001A673C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 przypadku projektów wybranych w otwartym naborze, w tym projektów organizacji pozarządowych, dofinansowanie z Funduszu nie przekroczy 75% całkowitych kosztów kwalifikowanych projektu. Pozostałe dofinansowanie projektów musi być zapewnione przez beneficjentów/partnerów projektów. Organizacje pozarządowe mogą wnioskować o dodatkowe dofinansowanie z budżetu państwa w wysokości max. 10%.</w:t>
      </w:r>
    </w:p>
    <w:p w:rsidR="00125F70" w:rsidRPr="003852E5" w:rsidRDefault="00125F70" w:rsidP="00554414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3852E5">
        <w:rPr>
          <w:rFonts w:ascii="Arial" w:hAnsi="Arial" w:cs="Arial"/>
          <w:b/>
          <w:bCs/>
          <w:color w:val="00B0E5"/>
          <w:lang w:eastAsia="pl-PL"/>
        </w:rPr>
        <w:t>Wydatki kwalifikowane i niekwalifikowane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Dokładny katalog i opis wydatków kwalifikowalnych zawiera Podręcznik dla Beneficjenta.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Kwalifikowalne są poniższe kategorie wydatków: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koszty personelu (z wyłączeniem kosztów zarządzania projektem)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koszty transportu, podróży i utrzymania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sprzęt i wyposażenie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nieruchomości (zakup, budowa, remont, najem, usługi ogólne)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towary zużywające się i zaopatrzenie, inne wydatki drobne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usługi </w:t>
      </w:r>
      <w:r w:rsidRPr="003852E5">
        <w:rPr>
          <w:rFonts w:ascii="Arial" w:hAnsi="Arial" w:cs="Arial"/>
          <w:sz w:val="18"/>
          <w:szCs w:val="18"/>
          <w:lang w:eastAsia="pl-PL"/>
        </w:rPr>
        <w:t>zewnętrzne (podwykonawstwo)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informacje, publikacje i promocja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inne koszy bezpośrednie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koszty niestanowiące podstawy obliczenia kosztów pośrednich</w:t>
      </w:r>
    </w:p>
    <w:p w:rsidR="00125F70" w:rsidRPr="003852E5" w:rsidRDefault="00125F70" w:rsidP="00554414">
      <w:pPr>
        <w:numPr>
          <w:ilvl w:val="0"/>
          <w:numId w:val="7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koszty pośrednie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Koszty pośrednie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Kalkulację kosztów pośrednich w projektach dokonuje się w sposób określony w rozdziale 3.12 Podręcznika dla Beneficjenta.</w:t>
      </w:r>
    </w:p>
    <w:p w:rsidR="00125F70" w:rsidRPr="003852E5" w:rsidRDefault="00125F70" w:rsidP="00554414">
      <w:pPr>
        <w:numPr>
          <w:ilvl w:val="0"/>
          <w:numId w:val="8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color w:val="4C4C4C"/>
          <w:sz w:val="29"/>
          <w:szCs w:val="29"/>
          <w:lang w:eastAsia="pl-PL"/>
        </w:rPr>
        <w:t>System przepływów finansowych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i/>
          <w:iCs/>
          <w:color w:val="010101"/>
          <w:sz w:val="18"/>
          <w:szCs w:val="18"/>
          <w:lang w:eastAsia="pl-PL"/>
        </w:rPr>
        <w:t>Państwowe Jednostki Budżetowe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Wydatki państwowych jednostek budżetowych objęte zostaną w całości prefinansowaniem z budżetu państwa.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i/>
          <w:iCs/>
          <w:color w:val="010101"/>
          <w:sz w:val="18"/>
          <w:szCs w:val="18"/>
          <w:lang w:eastAsia="pl-PL"/>
        </w:rPr>
        <w:t>Podmioty niebędące państwowymi jednostkami budżetowymi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Pierwsza płatność zaliczki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 – Beneficjent składa wniosek o pierwszą zaliczkę do Organu Delegowanego w terminach określonych w zawartej Umowie.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Druga płatność zaliczki –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 może być przekazana, jeżeli Beneficjent rozliczy w raporcie kwartalnym za pierwszy kwartał realizacji Projektu min. 70% wydatków planowanych w pierwszym kwartale. Jeżeli wydatki rozliczone w pierwszym kwartale realizacji Projektu nie osiągną progu 70% wydatków planowanych w tym kwartale Beneficjent może złożyć raport dodatkowy za kolejne miesiące realizacji Projektu, jeżeli w tym okresie osiągnie próg 70% wydatków planowanych w pierwszym kwartale.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Trzecia płatność zaliczki –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 może być przekazana, jeżeli Beneficjent rozliczy w raportach kwartalnych za drugi i trzeci kwartał realizacji Projektu min. 70% wydatków planowanych w tych kwartałach.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Jeżeli wydatki rozliczone w drugim i trzecim kwartale realizacji Projektu nie osiągną progu 70% wydatków planowanych w tych kwartałach Beneficjent może złożyć raport dodatkowy za kolejne miesiące realizacji Projektu, jeżeli w tym okresie osiągnie próg 70% wydatków planowanych w kwartałach drugim i trzecim.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Czwarta i następne płatności zaliczki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 – czwarta i następne płatności zaliczki wypłacane są w sposób analogiczny do zaliczki trzeciej, tj. zaliczka na kwartały n i n+1 może być przekazana, jeżeli Beneficjent rozliczy w raportach kwartalnych za kwartały n-2 i n-3 realizacji Projektu min. 70% wydatków planowanych w tych kwartałach, z uwzględnieniem możliwości składania raportów dodatkowych.</w:t>
      </w:r>
    </w:p>
    <w:p w:rsidR="00125F70" w:rsidRPr="003852E5" w:rsidRDefault="00125F70" w:rsidP="00554414">
      <w:pPr>
        <w:numPr>
          <w:ilvl w:val="0"/>
          <w:numId w:val="9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color w:val="4C4C4C"/>
          <w:sz w:val="29"/>
          <w:szCs w:val="29"/>
          <w:lang w:eastAsia="pl-PL"/>
        </w:rPr>
        <w:lastRenderedPageBreak/>
        <w:t>Okres kwalifikowalności wydatków w naborze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b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Początkowa data kwalifikowalności wydatków to 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1 sierpnia 2016 r.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Końcowa data kwalifikowalności wydatków nie może wykraczać poza dzień </w:t>
      </w:r>
      <w:r w:rsidRPr="003852E5">
        <w:rPr>
          <w:rFonts w:ascii="Arial" w:hAnsi="Arial" w:cs="Arial"/>
          <w:b/>
          <w:color w:val="010101"/>
          <w:sz w:val="18"/>
          <w:szCs w:val="18"/>
          <w:lang w:eastAsia="pl-PL"/>
        </w:rPr>
        <w:t>31 grudnia 2018 r.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b/>
          <w:bCs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Uwaga! Maksymalny czas realizacji projektu dla tego naboru to 24 miesiące.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</w:p>
    <w:p w:rsidR="00125F70" w:rsidRPr="003852E5" w:rsidRDefault="00125F70" w:rsidP="00554414">
      <w:pPr>
        <w:numPr>
          <w:ilvl w:val="0"/>
          <w:numId w:val="10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color w:val="4C4C4C"/>
          <w:sz w:val="29"/>
          <w:szCs w:val="29"/>
          <w:lang w:eastAsia="pl-PL"/>
        </w:rPr>
        <w:t>Ocena projektów</w:t>
      </w:r>
    </w:p>
    <w:p w:rsidR="00125F70" w:rsidRPr="003852E5" w:rsidRDefault="00125F70" w:rsidP="00554414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3852E5">
        <w:rPr>
          <w:rFonts w:ascii="Arial" w:hAnsi="Arial" w:cs="Arial"/>
          <w:b/>
          <w:bCs/>
          <w:color w:val="00B0E5"/>
          <w:u w:val="single"/>
          <w:lang w:eastAsia="pl-PL"/>
        </w:rPr>
        <w:t>Ocena formalna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Wnioski o dofinansowanie podlegają ocenie formalnej niezwłocznie po ich złożeniu do </w:t>
      </w:r>
      <w:r w:rsidR="00F6765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="00554414" w:rsidRPr="00DA11F5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przez ekspertów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F6765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="00D8258C" w:rsidRPr="00900C62">
        <w:rPr>
          <w:rFonts w:ascii="Arial" w:hAnsi="Arial"/>
          <w:color w:val="010101"/>
          <w:sz w:val="18"/>
        </w:rPr>
        <w:t xml:space="preserve">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przy użyciu Arkusza oceny formalnej, którego wzór został załączony do niniejszego ogłoszenia.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Po stwierdzeniu braków lub błędów </w:t>
      </w:r>
      <w:r w:rsidRPr="003852E5">
        <w:rPr>
          <w:rFonts w:ascii="Arial" w:hAnsi="Arial" w:cs="Arial"/>
          <w:sz w:val="18"/>
          <w:szCs w:val="18"/>
          <w:lang w:eastAsia="pl-PL"/>
        </w:rPr>
        <w:t>formalnych podlegających procedurze uzupełnień, wskazanych w pkt 5 niniejszego ogłoszenia, do wnioskodawcy wysyłane jest pismo z prośbą o korektę wniosku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. Przesłana przez wnioskodawcę korekta nie może powodować zmiany merytorycznej zawartości wniosku. Wprowadzenie we wniosku zmian wykraczających poza prośbę o korektę skierowaną do wnioskodawcy może zostać potraktowane, jako niedopuszczalna modyfikacja wniosku i skutkować jego odrzuceniem.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Uwaga! Jeżeli uzupełnienie wniosku nie zmieni ogólnego układu dokumentu należy przysyłać jedynie zmienioną część wniosku.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Jeżeli w terminie określonym w piśmie do wnioskodawcy korekta nie zostanie przesłana wniosek zostanie odrzucony. </w:t>
      </w:r>
      <w:r w:rsidRPr="003852E5">
        <w:rPr>
          <w:rFonts w:ascii="Arial" w:hAnsi="Arial" w:cs="Arial"/>
          <w:sz w:val="18"/>
          <w:szCs w:val="18"/>
          <w:lang w:eastAsia="pl-PL"/>
        </w:rPr>
        <w:t>W przypadku przesyłania poprawionych dokumentów pocztą, o dochowaniu terminu decyduje data stempla pocztowego.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u w:val="single"/>
          <w:lang w:eastAsia="pl-PL"/>
        </w:rPr>
        <w:t>Odwołanie od oceny formalnej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Wnioskodawca ma prawo do złożenia odwołania na tym etapie oceny.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Odwołanie będzie rozpatrywane przez eksperta wybranego w drodze losowania z puli ekspertów wybranych do oceny projektów dla przedmiotowego naboru.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W celu rozpatrzenia odwołania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1C2E94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MSW</w:t>
      </w:r>
      <w:r w:rsidR="00F6765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i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analizuje wniosek pod względem kryteriów formalnych, biorąc pod uwagę argumentację Wnioskodawcy zawartą w odwołaniu. Po zakończonej ponownej ocenie Wnioskodawca jest informowany o wyniku rozpatrzenia odwołania. W przypadku uznania odwołania Wnioskodawcy i pozytywnej oceny wniosku pod względem kryteriów formalnych, wniosek podlega ocenie merytorycznej.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Odwołanie powinno zostać złożone do </w:t>
      </w:r>
      <w:r w:rsidR="00F67659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A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w ciągu 10 dni kalendarzowych od daty otrzymania przez Wnioskodawcę pisma zawiadamiającego o odrzuceniu wniosku na etapie oceny formalnej.</w:t>
      </w:r>
    </w:p>
    <w:p w:rsidR="00125F70" w:rsidRPr="003852E5" w:rsidRDefault="00125F70" w:rsidP="00554414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3852E5">
        <w:rPr>
          <w:rFonts w:ascii="Arial" w:hAnsi="Arial" w:cs="Arial"/>
          <w:b/>
          <w:bCs/>
          <w:color w:val="00B0E5"/>
          <w:u w:val="single"/>
          <w:lang w:eastAsia="pl-PL"/>
        </w:rPr>
        <w:lastRenderedPageBreak/>
        <w:t>Ocena merytoryczna projektów</w:t>
      </w:r>
    </w:p>
    <w:p w:rsidR="00125F70" w:rsidRPr="003852E5" w:rsidRDefault="00125F70" w:rsidP="00962B33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Oceny merytorycznej projektów dokonuje Komisja Oceny Projektów (KOP), w skład której wchodzą przedstawiciele Organu Odpowiedzialnego (Departament Polityki Granicznej i Funduszy Międzynarodowych Ministerstwa Spraw </w:t>
      </w:r>
      <w:r w:rsidR="00D8258C" w:rsidRPr="00D8258C">
        <w:rPr>
          <w:rFonts w:ascii="Arial" w:hAnsi="Arial"/>
          <w:sz w:val="18"/>
        </w:rPr>
        <w:t>Wewnętrznych i Administracji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), 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Organu Delegowanego (COPE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)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oraz eksperci Ministerstwa </w:t>
      </w:r>
      <w:r w:rsidR="001C2E94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Rodziny,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Pracy i Polityki Społecznej. Zadaniem osób oceniających jest dokonanie niezależnej i bezstronnej oceny zgłoszonych przez wnioskodawców projektów wg kryteriów zestawionych w formularzu Arkusz Oceny Merytorycznej Wniosku, którego wzór został załączony do niniejszego ogłoszenia.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Ocena merytoryczna odbywa się w ciągu maks. 45 dni po zakończeniu oceny formalnej. Osoby oceniające zobowiązują się do przestrzegania zasad bezstronności i poufności.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Podczas spotkania KOP Przewodniczący losuje osoby oceniające poszczególne projekty.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 przypadku, gdy rozbieżność punktowa między osobami oceniającymi dany wniosek wynosi min. 30 punktów lub gdy ogólna punktacja przyznana przez jednego z oceniających jest poniżej progu kwalifikującego do dofinansowania, zaś punktacja przyznana przez drugiego z oceniających jest powyżej progu kwalifikującego do dofinansowania (pod warunkiem, że w żadnej z kategorii B, C lub D obaj oceniający jednocześnie nie zdyskwalifikowali wniosku) wniosek podlega dodatkowej ocenie przez trzeciego oceniającego, wyznaczanego przez Przewodniczącego KOP.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 takiej sytuacji ostateczną oceną wniosku jest ocena trzeciego oceniającego oraz tego z pierwotnych oceniających, którego ocena jest bliższa punktowo ocenie trzeciego oceniającego. W przypadku, gdy ocena trzeciego oceniającego jest punktowo jednakowo oddalona od ocen obu pierwotnych oceniających pod uwagę bierze się ocenę z większą liczbą punktów.</w:t>
      </w:r>
    </w:p>
    <w:p w:rsidR="00125F70" w:rsidRPr="003852E5" w:rsidRDefault="00125F70" w:rsidP="00554414">
      <w:pPr>
        <w:spacing w:before="100" w:beforeAutospacing="1" w:after="100" w:afterAutospacing="1" w:line="264" w:lineRule="atLeast"/>
        <w:outlineLvl w:val="3"/>
        <w:rPr>
          <w:rFonts w:ascii="Arial" w:hAnsi="Arial" w:cs="Arial"/>
          <w:b/>
          <w:bCs/>
          <w:color w:val="00B0E5"/>
          <w:lang w:eastAsia="pl-PL"/>
        </w:rPr>
      </w:pPr>
      <w:r w:rsidRPr="003852E5">
        <w:rPr>
          <w:rFonts w:ascii="Arial" w:hAnsi="Arial" w:cs="Arial"/>
          <w:b/>
          <w:bCs/>
          <w:color w:val="00B0E5"/>
          <w:u w:val="single"/>
          <w:lang w:eastAsia="pl-PL"/>
        </w:rPr>
        <w:t>Wybór wniosków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Na podstawie rekomendacji KOP, wyboru wniosków dokonuje Międzyresortowy Zespół ds. Europejskich Funduszy Spraw Wewnętrznych (dalej: Międzyresortowy Zespół).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Decyzja Międzyresortowego Zespołu jest ostateczna.</w:t>
      </w:r>
    </w:p>
    <w:p w:rsidR="00125F70" w:rsidRPr="003852E5" w:rsidRDefault="00125F70" w:rsidP="000C6807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Akceptację Międzyresortowego Zespołu mogą uzyskać jedynie wnioski, które otrzymały co najmniej 65 punktów oraz minimum 50% punktów możliwych do uzyskania w kategorii B, C i D „Arkusza Oceny Merytorycznej Wniosku”. Kolejność akceptacji wniosków do finansowania jest zgodna z liczbą punktów przyznanych podczas oceny merytorycznej.</w:t>
      </w:r>
    </w:p>
    <w:p w:rsidR="00125F70" w:rsidRPr="003852E5" w:rsidRDefault="00125F70" w:rsidP="00554414">
      <w:pPr>
        <w:numPr>
          <w:ilvl w:val="0"/>
          <w:numId w:val="11"/>
        </w:numPr>
        <w:spacing w:after="120" w:line="312" w:lineRule="atLeast"/>
        <w:ind w:left="240" w:right="240"/>
        <w:outlineLvl w:val="2"/>
        <w:rPr>
          <w:rFonts w:ascii="Arial" w:hAnsi="Arial" w:cs="Arial"/>
          <w:color w:val="4C4C4C"/>
          <w:sz w:val="29"/>
          <w:szCs w:val="29"/>
          <w:lang w:eastAsia="pl-PL"/>
        </w:rPr>
      </w:pPr>
      <w:r w:rsidRPr="003852E5">
        <w:rPr>
          <w:rFonts w:ascii="Arial" w:hAnsi="Arial" w:cs="Arial"/>
          <w:color w:val="4C4C4C"/>
          <w:sz w:val="29"/>
          <w:szCs w:val="29"/>
          <w:lang w:eastAsia="pl-PL"/>
        </w:rPr>
        <w:t>Kryteria wyboru projektów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formalne dla naboru wniosków są następujące: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Cs/>
          <w:color w:val="010101"/>
          <w:sz w:val="18"/>
          <w:szCs w:val="18"/>
          <w:lang w:eastAsia="pl-PL"/>
        </w:rPr>
        <w:t>KRYTERIA OCENY FORMALNEJ NIEPODLEGAJĄCE TRYBOWI UZUPEŁNIEŃ</w:t>
      </w:r>
    </w:p>
    <w:p w:rsidR="00125F70" w:rsidRPr="003852E5" w:rsidRDefault="00125F70" w:rsidP="00554414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lastRenderedPageBreak/>
        <w:t>Kryteria administracyjne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125F70" w:rsidRPr="003852E5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Wniosek wpłynął do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w wyznaczonym terminie</w:t>
      </w:r>
    </w:p>
    <w:p w:rsidR="00125F70" w:rsidRPr="003852E5" w:rsidRDefault="00125F70" w:rsidP="00554414">
      <w:pPr>
        <w:numPr>
          <w:ilvl w:val="1"/>
          <w:numId w:val="12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Wniosek został przygotowany na odpowiednim formularzu</w:t>
      </w:r>
    </w:p>
    <w:p w:rsidR="00125F70" w:rsidRPr="003852E5" w:rsidRDefault="00125F70" w:rsidP="00554414">
      <w:pPr>
        <w:numPr>
          <w:ilvl w:val="0"/>
          <w:numId w:val="12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kwalifikacji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</w:p>
    <w:p w:rsidR="00125F70" w:rsidRPr="003852E5" w:rsidRDefault="00125F70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Wnioskodawca jest uprawniony do ubiegania się o dofinansowanie w ramach Funduszu</w:t>
      </w:r>
    </w:p>
    <w:p w:rsidR="00125F70" w:rsidRPr="003852E5" w:rsidRDefault="00125F70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Czas realizacji projektu nie przekracza 24 miesięcy</w:t>
      </w:r>
    </w:p>
    <w:p w:rsidR="00125F70" w:rsidRPr="003852E5" w:rsidRDefault="00125F70" w:rsidP="00554414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Wartość projektu nie jest niższa niż minimalna wartość projektu określona w naborze </w:t>
      </w:r>
    </w:p>
    <w:p w:rsidR="00125F70" w:rsidRPr="003852E5" w:rsidRDefault="00125F70" w:rsidP="0065429F">
      <w:pPr>
        <w:numPr>
          <w:ilvl w:val="1"/>
          <w:numId w:val="13"/>
        </w:numPr>
        <w:spacing w:after="0" w:line="336" w:lineRule="atLeast"/>
        <w:ind w:left="480" w:right="48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Daty rozpoczęcia i zakończenia projektu nie wykraczają poza dopuszczalny termin kwalifikowalności wydatków ustalony dla naboru </w:t>
      </w:r>
    </w:p>
    <w:p w:rsidR="00125F70" w:rsidRPr="003852E5" w:rsidRDefault="00125F70" w:rsidP="00061875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OCENY FORMALNEJ PODLEGAJĄCE PROCEDURZE UZUPEŁNIEŃ W TRYBIE 3 DNI ROBOCZYCH</w:t>
      </w:r>
    </w:p>
    <w:p w:rsidR="00125F70" w:rsidRPr="003852E5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Złożono 2 wymagane egzemplarze wniosku (dwa oryginały albo jeden oryginał i kopia potwierdzona za zgodność z oryginałem). Wniosek wraz z załącznikami został złożony w formie papierowej (dokumentom nie brakuje żadnej ze stron)</w:t>
      </w:r>
    </w:p>
    <w:p w:rsidR="00125F70" w:rsidRPr="003852E5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sz w:val="18"/>
          <w:szCs w:val="18"/>
          <w:lang w:eastAsia="pl-PL"/>
        </w:rPr>
        <w:t>Złożono wszystkie obowiązkowe załączniki w 2 egzemplarzach w formie papierowej (dwa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osoby), dokumentom nie brakuje żadnej ze stron</w:t>
      </w:r>
    </w:p>
    <w:p w:rsidR="00125F70" w:rsidRPr="003852E5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sz w:val="18"/>
          <w:szCs w:val="18"/>
          <w:lang w:eastAsia="pl-PL"/>
        </w:rPr>
        <w:t xml:space="preserve">Złożono płytę CD/DVD zawierającą edytowalną wersję wniosku i wszystkich obowiązkowych załączników </w:t>
      </w:r>
    </w:p>
    <w:p w:rsidR="00125F70" w:rsidRPr="003852E5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sz w:val="18"/>
          <w:szCs w:val="18"/>
          <w:lang w:eastAsia="pl-PL"/>
        </w:rPr>
        <w:t xml:space="preserve">Wnioskodawca zadeklarował identyczność wersji papierowej z elektroniczną wersją złożonej dokumentacji </w:t>
      </w:r>
    </w:p>
    <w:p w:rsidR="00125F70" w:rsidRPr="003852E5" w:rsidRDefault="00125F70" w:rsidP="00061875">
      <w:pPr>
        <w:numPr>
          <w:ilvl w:val="0"/>
          <w:numId w:val="14"/>
        </w:numPr>
        <w:spacing w:after="0" w:line="336" w:lineRule="atLeast"/>
        <w:ind w:left="240" w:right="240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sz w:val="18"/>
          <w:szCs w:val="18"/>
          <w:lang w:eastAsia="pl-PL"/>
        </w:rPr>
        <w:t>Podpisy i pieczęci (niezbędne jeśli podpis jest nieczytelny) Wnioskodawcy pod wnioskiem i obowiązkowymi załącznikami oraz Partnera/ów pod Deklaracją Partnerstwa (jeśli dotyczy)</w:t>
      </w:r>
    </w:p>
    <w:p w:rsidR="00125F70" w:rsidRPr="003852E5" w:rsidRDefault="00125F70" w:rsidP="00962B33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KRYTERIA MERYTORYCZNE dla naboru wniosków są następujące: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projekt jest zgodny z zakresem ogłoszonego konkursu? TAK/NIE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Sytuacja i wymogi w Państwie Członkowskim 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Czy projekt jest spójny w zakresie celów, oczekiwanych rezultatów, uzasadnienia, opisu działań, harmonogramu, budżetu </w:t>
      </w:r>
      <w:r w:rsidR="001E3989">
        <w:rPr>
          <w:rFonts w:ascii="Arial" w:hAnsi="Arial" w:cs="Arial"/>
          <w:color w:val="010101"/>
          <w:sz w:val="18"/>
          <w:szCs w:val="18"/>
          <w:lang w:eastAsia="pl-PL"/>
        </w:rPr>
        <w:t>i formularza wskaźników? – max 8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Wnioskodawca przedstawił projekt w sposób wyczerpując</w:t>
      </w:r>
      <w:r w:rsidR="001E3989">
        <w:rPr>
          <w:rFonts w:ascii="Arial" w:hAnsi="Arial" w:cs="Arial"/>
          <w:color w:val="010101"/>
          <w:sz w:val="18"/>
          <w:szCs w:val="18"/>
          <w:lang w:eastAsia="pl-PL"/>
        </w:rPr>
        <w:t>y? – max 7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stanowi kompleksową odpowiedź na zidentyfikowane problemy? – max.12 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odpowiada na istniejące problemy i przyczynia się do polepszenia sytuacji grupy docelowej? – max. 13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Czy i w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>ofiary handlu ludźmi oraz osoby potrzebujące natychmiastowej opieki i niezbędnego leczenia chorób? – max. 5 pkt.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Efektywność kosztowa i trwałość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ogólny stosunek między szacowanymi kosztami a oczekiwanymi rezultatami jest zadowalający? – max 7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Czy i w jakim stopniu poszczególne wydatki (w tym ich wysokość) są konieczne i adekwatne do realizacji działań przewidzianych w projekcie? – max </w:t>
      </w:r>
      <w:r w:rsidR="00AC0C69">
        <w:rPr>
          <w:rFonts w:ascii="Arial" w:hAnsi="Arial" w:cs="Arial"/>
          <w:color w:val="010101"/>
          <w:sz w:val="18"/>
          <w:szCs w:val="18"/>
          <w:lang w:eastAsia="pl-PL"/>
        </w:rPr>
        <w:t>10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zawiera obiektywnie sprawdzalne i możliwe do osiągnięcia wskaźniki dla zakładanych celów? – max 6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projekt spełnia kryterium trwałości rezultatów (czy rezultaty będą miały długofalowy wpływ na grupę docelową i/lub społeczeństwo przyjmujące)? – max 5 pkt.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Doświadczenie, wiedza fachowa, wiarygodność i wkład finansowy wnioskodawcy i partnera/ów 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na ile doświadczenie wnioskodawcy oraz partnerów w zarządzaniu projektami o tematyce odpowiadającej przedmiotowemu projektowi jest wystarczające? – max 3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na ile kompetencje merytoryczne wnioskodawcy oraz partnerów, a także zaproponowana kadra specjalistów zaangażowanych w projekt są wystarczające? – max 5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na ile zasoby techniczne i rzeczowe wnioskodawcy oraz partnerów umożliwiają realizację projektu? – max 3 pkt.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źródła finansowania wnioskodawcy oraz partnerów zapewniają ciągłość realizacji projektu? – max 3 pkt.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Zapewnienie widoczności finansowania 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projekt przyczyni się do rozpowszechnienia informacji na temat FAMI? – max 1 pkt.</w:t>
      </w:r>
    </w:p>
    <w:p w:rsidR="00125F70" w:rsidRPr="003852E5" w:rsidRDefault="00125F70" w:rsidP="00061875">
      <w:pPr>
        <w:numPr>
          <w:ilvl w:val="0"/>
          <w:numId w:val="15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Zakres, w jakim projekt uzupełnia inne działania finansowane z budżetu Unii Europejskiej lub stanowi część programów krajowych </w:t>
      </w:r>
    </w:p>
    <w:p w:rsidR="00125F70" w:rsidRPr="003852E5" w:rsidRDefault="00125F70" w:rsidP="00061875">
      <w:pPr>
        <w:numPr>
          <w:ilvl w:val="1"/>
          <w:numId w:val="15"/>
        </w:numPr>
        <w:spacing w:after="0" w:line="336" w:lineRule="atLeast"/>
        <w:ind w:left="480" w:right="48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Czy i w jakim stopniu proponowane działania są kompatybilne z innymi działaniami na poziomie regionalnym, krajowym i/lub unijnym – max 2 pkt.</w:t>
      </w:r>
    </w:p>
    <w:p w:rsidR="00125F70" w:rsidRPr="003852E5" w:rsidRDefault="00125F70" w:rsidP="00962B33">
      <w:pPr>
        <w:numPr>
          <w:ilvl w:val="0"/>
          <w:numId w:val="15"/>
        </w:numPr>
        <w:tabs>
          <w:tab w:val="clear" w:pos="720"/>
          <w:tab w:val="num" w:pos="426"/>
        </w:tabs>
        <w:spacing w:after="0" w:line="336" w:lineRule="atLeast"/>
        <w:ind w:right="480" w:hanging="72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Partnerstwo z </w:t>
      </w:r>
      <w:r w:rsidR="005500AC">
        <w:rPr>
          <w:rFonts w:ascii="Arial" w:hAnsi="Arial" w:cs="Arial"/>
          <w:color w:val="010101"/>
          <w:sz w:val="18"/>
          <w:szCs w:val="18"/>
          <w:lang w:eastAsia="pl-PL"/>
        </w:rPr>
        <w:t>udziałem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</w:t>
      </w:r>
      <w:r w:rsidR="001C2E94" w:rsidRPr="003852E5">
        <w:rPr>
          <w:rFonts w:ascii="Arial" w:hAnsi="Arial" w:cs="Arial"/>
          <w:color w:val="010101"/>
          <w:sz w:val="18"/>
          <w:szCs w:val="18"/>
          <w:lang w:eastAsia="pl-PL"/>
        </w:rPr>
        <w:t>jednostk</w:t>
      </w:r>
      <w:r w:rsidR="005500AC">
        <w:rPr>
          <w:rFonts w:ascii="Arial" w:hAnsi="Arial" w:cs="Arial"/>
          <w:color w:val="010101"/>
          <w:sz w:val="18"/>
          <w:szCs w:val="18"/>
          <w:lang w:eastAsia="pl-PL"/>
        </w:rPr>
        <w:t>i</w:t>
      </w:r>
      <w:r w:rsidR="001C2E94"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samorządu terytorialnego 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– 1</w:t>
      </w:r>
      <w:r w:rsidR="005500AC">
        <w:rPr>
          <w:rFonts w:ascii="Arial" w:hAnsi="Arial" w:cs="Arial"/>
          <w:color w:val="010101"/>
          <w:sz w:val="18"/>
          <w:szCs w:val="18"/>
          <w:lang w:eastAsia="pl-PL"/>
        </w:rPr>
        <w:t>0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pkt.</w:t>
      </w:r>
    </w:p>
    <w:p w:rsidR="00125F70" w:rsidRPr="003852E5" w:rsidRDefault="00125F70" w:rsidP="00061875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Projekty, które uzyskają co najmniej 65 punktów na ocenie merytorycznej (w tym minimum 50% punktacji w ramach kategorii B, C i D) zostaną umieszczone na liście rankingowej. Projekty, które ze względu na niewystarczającą ilość środków nie uzyskały dofinansowania, będą umieszczone na liście rezerwowej.</w:t>
      </w:r>
    </w:p>
    <w:p w:rsidR="00125F70" w:rsidRPr="003852E5" w:rsidRDefault="00125F70" w:rsidP="00061875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Karty oceny formalnej i merytorycznej zawierające kryteria wyboru projektów znajdują się w załączniku do ogłoszenia.</w:t>
      </w:r>
    </w:p>
    <w:p w:rsidR="00125F70" w:rsidRPr="003852E5" w:rsidRDefault="00125F70" w:rsidP="009F1EE2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Ostatecznej rekomendacji projektów do dofinansowania dokonuje </w:t>
      </w:r>
      <w:r w:rsidRPr="003852E5">
        <w:rPr>
          <w:rFonts w:ascii="Arial" w:hAnsi="Arial" w:cs="Arial"/>
          <w:b/>
          <w:bCs/>
          <w:i/>
          <w:iCs/>
          <w:color w:val="010101"/>
          <w:sz w:val="18"/>
          <w:szCs w:val="18"/>
          <w:lang w:eastAsia="pl-PL"/>
        </w:rPr>
        <w:t>Międzyresortowy Zespół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.</w:t>
      </w:r>
    </w:p>
    <w:p w:rsidR="00125F70" w:rsidRPr="003852E5" w:rsidRDefault="00125F70" w:rsidP="009F1EE2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Termin, miejsce i sposób składania wniosków o dofinansowanie projektów</w:t>
      </w:r>
    </w:p>
    <w:p w:rsidR="00125F70" w:rsidRPr="003852E5" w:rsidRDefault="00125F70" w:rsidP="00962B33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Nabór projektów odbywa się w okresie od dnia </w:t>
      </w:r>
      <w:r w:rsidR="00BB345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432557">
        <w:rPr>
          <w:rFonts w:ascii="Arial" w:hAnsi="Arial" w:cs="Arial"/>
          <w:b/>
          <w:bCs/>
          <w:sz w:val="18"/>
          <w:szCs w:val="18"/>
          <w:lang w:eastAsia="pl-PL"/>
        </w:rPr>
        <w:t>5</w:t>
      </w:r>
      <w:r w:rsidR="00BB3450">
        <w:rPr>
          <w:rFonts w:ascii="Arial" w:hAnsi="Arial" w:cs="Arial"/>
          <w:b/>
          <w:bCs/>
          <w:sz w:val="18"/>
          <w:szCs w:val="18"/>
          <w:lang w:eastAsia="pl-PL"/>
        </w:rPr>
        <w:t xml:space="preserve"> kwietnia</w:t>
      </w:r>
      <w:r w:rsidRPr="003852E5">
        <w:rPr>
          <w:rFonts w:ascii="Arial" w:hAnsi="Arial" w:cs="Arial"/>
          <w:b/>
          <w:bCs/>
          <w:sz w:val="18"/>
          <w:szCs w:val="18"/>
          <w:lang w:eastAsia="pl-PL"/>
        </w:rPr>
        <w:t xml:space="preserve"> 2016 r. do d</w:t>
      </w:r>
      <w:r w:rsidRPr="00900C62">
        <w:rPr>
          <w:rFonts w:ascii="Arial" w:hAnsi="Arial" w:cs="Arial"/>
          <w:b/>
          <w:bCs/>
          <w:sz w:val="18"/>
          <w:szCs w:val="18"/>
          <w:lang w:eastAsia="pl-PL"/>
        </w:rPr>
        <w:t xml:space="preserve">nia </w:t>
      </w:r>
      <w:r w:rsidR="00432557">
        <w:rPr>
          <w:rFonts w:ascii="Arial" w:hAnsi="Arial" w:cs="Arial"/>
          <w:b/>
          <w:bCs/>
          <w:sz w:val="18"/>
          <w:szCs w:val="18"/>
          <w:lang w:eastAsia="pl-PL"/>
        </w:rPr>
        <w:t>6</w:t>
      </w:r>
      <w:r w:rsidR="00BB3450">
        <w:rPr>
          <w:rFonts w:ascii="Arial" w:hAnsi="Arial" w:cs="Arial"/>
          <w:b/>
          <w:bCs/>
          <w:sz w:val="18"/>
          <w:szCs w:val="18"/>
          <w:lang w:eastAsia="pl-PL"/>
        </w:rPr>
        <w:t xml:space="preserve"> czerwca</w:t>
      </w:r>
      <w:r w:rsidRPr="00900C62">
        <w:rPr>
          <w:rFonts w:ascii="Arial" w:hAnsi="Arial" w:cs="Arial"/>
          <w:b/>
          <w:bCs/>
          <w:sz w:val="18"/>
          <w:szCs w:val="18"/>
          <w:lang w:eastAsia="pl-PL"/>
        </w:rPr>
        <w:t xml:space="preserve"> 2016</w:t>
      </w:r>
      <w:r w:rsidRPr="003852E5">
        <w:rPr>
          <w:rFonts w:ascii="Arial" w:hAnsi="Arial" w:cs="Arial"/>
          <w:b/>
          <w:bCs/>
          <w:sz w:val="18"/>
          <w:szCs w:val="18"/>
          <w:lang w:eastAsia="pl-PL"/>
        </w:rPr>
        <w:t xml:space="preserve"> r., 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do godz. 16.00.</w:t>
      </w:r>
    </w:p>
    <w:p w:rsidR="00125F70" w:rsidRPr="00900C62" w:rsidRDefault="00125F70" w:rsidP="009F1EE2">
      <w:pPr>
        <w:spacing w:before="100" w:beforeAutospacing="1" w:after="100" w:afterAutospacing="1" w:line="336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lastRenderedPageBreak/>
        <w:t xml:space="preserve">2 komplety dokumentów w języku polskim (dwa oryginały albo jeden oryginał i kopia potwierdzona za zgodność z oryginałem) w wersji papierowej wraz z 2 egzemplarzami załączników oraz wersjami edytowalnymi Wniosku i załączników obowiązkowych na płycie CD/DVD powinny być dostarczone w kopercie lub paczce, drogą pocztową, przesyłką kurierską (w tych przypadkach decyduje data stempla pocztowego lub dowodu nadania) lub osobiście do Ministerstwa Spraw </w:t>
      </w:r>
      <w:r w:rsidRPr="00900C62">
        <w:rPr>
          <w:rFonts w:ascii="Arial" w:hAnsi="Arial" w:cs="Arial"/>
          <w:sz w:val="18"/>
          <w:szCs w:val="18"/>
          <w:lang w:eastAsia="pl-PL"/>
        </w:rPr>
        <w:t>Wewnętrznych</w:t>
      </w:r>
      <w:r w:rsidR="004A39AE" w:rsidRPr="00900C62">
        <w:rPr>
          <w:rFonts w:ascii="Arial" w:eastAsia="Times New Roman" w:hAnsi="Arial" w:cs="Arial"/>
          <w:sz w:val="18"/>
          <w:szCs w:val="18"/>
          <w:lang w:eastAsia="pl-PL"/>
        </w:rPr>
        <w:t xml:space="preserve"> i Administracji</w:t>
      </w:r>
      <w:r w:rsidR="00D8258C" w:rsidRPr="00900C62">
        <w:rPr>
          <w:rFonts w:ascii="Arial" w:hAnsi="Arial"/>
          <w:sz w:val="18"/>
        </w:rPr>
        <w:t xml:space="preserve"> </w:t>
      </w:r>
      <w:r w:rsidRPr="00900C62">
        <w:rPr>
          <w:rFonts w:ascii="Arial" w:hAnsi="Arial" w:cs="Arial"/>
          <w:sz w:val="18"/>
          <w:szCs w:val="18"/>
          <w:lang w:eastAsia="pl-PL"/>
        </w:rPr>
        <w:t>na adres:</w:t>
      </w:r>
    </w:p>
    <w:p w:rsidR="005500AC" w:rsidRPr="00900C62" w:rsidRDefault="00554414" w:rsidP="00554414">
      <w:pPr>
        <w:spacing w:before="100" w:beforeAutospacing="1" w:after="100" w:afterAutospacing="1" w:line="336" w:lineRule="atLeast"/>
        <w:rPr>
          <w:rFonts w:ascii="Arial" w:hAnsi="Arial"/>
          <w:sz w:val="18"/>
        </w:rPr>
      </w:pPr>
      <w:r w:rsidRPr="00900C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Ministerstwo</w:t>
      </w:r>
      <w:r w:rsidR="001C2E94" w:rsidRPr="00900C62">
        <w:rPr>
          <w:rFonts w:ascii="Arial" w:hAnsi="Arial" w:cs="Arial"/>
          <w:b/>
          <w:bCs/>
          <w:sz w:val="18"/>
          <w:szCs w:val="18"/>
          <w:lang w:eastAsia="pl-PL"/>
        </w:rPr>
        <w:t xml:space="preserve"> Spraw Wewnętrznych</w:t>
      </w:r>
      <w:r w:rsidR="004A39AE" w:rsidRPr="00900C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i Administracji</w:t>
      </w:r>
    </w:p>
    <w:p w:rsidR="00554414" w:rsidRPr="00554414" w:rsidRDefault="00962B33" w:rsidP="00554414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010101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 xml:space="preserve">Departament Polityki Granicznej i Funduszy Międzynarodowych 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ul. 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Batorego 5</w:t>
      </w:r>
    </w:p>
    <w:p w:rsidR="00125F70" w:rsidRPr="003852E5" w:rsidRDefault="00125F70" w:rsidP="00554414">
      <w:pPr>
        <w:spacing w:before="100" w:beforeAutospacing="1" w:after="100" w:afterAutospacing="1" w:line="336" w:lineRule="atLeast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02-</w:t>
      </w:r>
      <w:r w:rsidR="00554414" w:rsidRPr="00554414">
        <w:rPr>
          <w:rFonts w:ascii="Arial" w:eastAsia="Times New Roman" w:hAnsi="Arial" w:cs="Arial"/>
          <w:b/>
          <w:bCs/>
          <w:color w:val="010101"/>
          <w:sz w:val="18"/>
          <w:szCs w:val="18"/>
          <w:lang w:eastAsia="pl-PL"/>
        </w:rPr>
        <w:t>591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 Warszawa</w:t>
      </w:r>
    </w:p>
    <w:p w:rsidR="00880F7B" w:rsidRDefault="00125F70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Koperta lub paczka zawierająca kompletną dokumentację aplikacyjną powinna być opatrzona następującymi sformułowaniami:</w:t>
      </w:r>
    </w:p>
    <w:p w:rsidR="00125F70" w:rsidRPr="003852E5" w:rsidRDefault="00125F70" w:rsidP="00061875">
      <w:pPr>
        <w:numPr>
          <w:ilvl w:val="0"/>
          <w:numId w:val="16"/>
        </w:numPr>
        <w:spacing w:after="0" w:line="336" w:lineRule="atLeast"/>
        <w:ind w:left="240" w:right="240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Wniosek o dofinansowanie projektu w ramach naboru nr </w:t>
      </w:r>
      <w:r w:rsidR="002C55DD"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5</w:t>
      </w: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/2016 Funduszu Azylu, Migracji i Integracji</w:t>
      </w:r>
    </w:p>
    <w:p w:rsidR="00125F70" w:rsidRPr="003852E5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pełna nazwa Wnioskodawcy</w:t>
      </w:r>
    </w:p>
    <w:p w:rsidR="00125F70" w:rsidRPr="003852E5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adres Wnioskodawcy</w:t>
      </w:r>
    </w:p>
    <w:p w:rsidR="00125F70" w:rsidRPr="003852E5" w:rsidRDefault="00125F70" w:rsidP="00554414">
      <w:pPr>
        <w:numPr>
          <w:ilvl w:val="0"/>
          <w:numId w:val="16"/>
        </w:numPr>
        <w:spacing w:after="0" w:line="336" w:lineRule="atLeast"/>
        <w:ind w:left="240" w:right="240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>tytuł projektu</w:t>
      </w:r>
    </w:p>
    <w:p w:rsidR="00125F70" w:rsidRPr="003852E5" w:rsidRDefault="00125F70" w:rsidP="005B0F2E">
      <w:pPr>
        <w:spacing w:before="100" w:beforeAutospacing="1" w:after="100" w:afterAutospacing="1" w:line="336" w:lineRule="atLeast"/>
        <w:jc w:val="both"/>
        <w:rPr>
          <w:rFonts w:ascii="Arial" w:hAnsi="Arial" w:cs="Arial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Termin 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dostarczenia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wniosku 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nie może być późniejszy niż 10 dni kalendarzowych następujących po </w:t>
      </w:r>
      <w:r w:rsidR="00AC0C69">
        <w:rPr>
          <w:rFonts w:ascii="Arial" w:hAnsi="Arial" w:cs="Arial"/>
          <w:color w:val="010101"/>
          <w:sz w:val="18"/>
          <w:szCs w:val="18"/>
          <w:lang w:eastAsia="pl-PL"/>
        </w:rPr>
        <w:t>dniu zakończenia naboru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. </w:t>
      </w:r>
      <w:r w:rsidR="00554414" w:rsidRPr="006D427E">
        <w:rPr>
          <w:rFonts w:ascii="Arial" w:eastAsia="Times New Roman" w:hAnsi="Arial" w:cs="Arial"/>
          <w:sz w:val="18"/>
          <w:szCs w:val="18"/>
          <w:lang w:eastAsia="pl-PL"/>
        </w:rPr>
        <w:t>O dochowaniu terminu decyduje data stempla pocztowego</w:t>
      </w:r>
      <w:r w:rsidR="00AC0C69">
        <w:rPr>
          <w:rFonts w:ascii="Arial" w:hAnsi="Arial" w:cs="Arial"/>
          <w:sz w:val="18"/>
          <w:szCs w:val="18"/>
          <w:lang w:eastAsia="pl-PL"/>
        </w:rPr>
        <w:t>.</w:t>
      </w:r>
    </w:p>
    <w:p w:rsidR="00125F70" w:rsidRPr="003852E5" w:rsidRDefault="00125F70" w:rsidP="005B0F2E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Dodatkowe informacje dot. naboru udzielane są w formie pisemnej.</w:t>
      </w:r>
    </w:p>
    <w:p w:rsidR="00125F70" w:rsidRPr="003852E5" w:rsidRDefault="00125F70" w:rsidP="005B0F2E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Korespondencja w sprawie złożonych wniosków przekazywana jest wnioskodawcy przez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DPGIFM</w:t>
      </w:r>
      <w:r w:rsidR="00554414" w:rsidRPr="00554414">
        <w:rPr>
          <w:rFonts w:ascii="Arial" w:eastAsia="Times New Roman" w:hAnsi="Arial" w:cs="Arial"/>
          <w:color w:val="010101"/>
          <w:sz w:val="18"/>
          <w:szCs w:val="18"/>
          <w:lang w:eastAsia="pl-PL"/>
        </w:rPr>
        <w:t xml:space="preserve"> </w:t>
      </w:r>
      <w:r w:rsidR="00962B33">
        <w:rPr>
          <w:rFonts w:ascii="Arial" w:eastAsia="Times New Roman" w:hAnsi="Arial" w:cs="Arial"/>
          <w:color w:val="010101"/>
          <w:sz w:val="18"/>
          <w:szCs w:val="18"/>
          <w:lang w:eastAsia="pl-PL"/>
        </w:rPr>
        <w:t>MSWIA</w:t>
      </w: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 xml:space="preserve"> faksem lub pocztą elektroniczną – zgodnie z danymi podanymi przez wnioskodawcę we wniosku aplikacyjnym. </w:t>
      </w:r>
    </w:p>
    <w:p w:rsidR="00125F70" w:rsidRPr="003852E5" w:rsidRDefault="00125F70" w:rsidP="005B0F2E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Terminy liczone są od terminu przekazania wnioskodawcy informacji faksem (data liczona od potwierdzenia przesłania faksu) lub terminu przesłania wiadomości pocztą elektroniczną za potwierdzeniem odbioru.</w:t>
      </w:r>
    </w:p>
    <w:p w:rsidR="00125F70" w:rsidRPr="003852E5" w:rsidRDefault="00125F70" w:rsidP="005B0F2E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color w:val="010101"/>
          <w:sz w:val="18"/>
          <w:szCs w:val="18"/>
          <w:lang w:eastAsia="pl-PL"/>
        </w:rPr>
        <w:t>Odpowiedź na zapytanie wnioskodawcy przekazywana jest w terminie 5 dni roboczych.</w:t>
      </w:r>
    </w:p>
    <w:p w:rsidR="00125F70" w:rsidRPr="00554414" w:rsidRDefault="00125F70" w:rsidP="00962B33">
      <w:pPr>
        <w:spacing w:before="100" w:beforeAutospacing="1" w:after="100" w:afterAutospacing="1" w:line="336" w:lineRule="atLeast"/>
        <w:jc w:val="both"/>
        <w:rPr>
          <w:rFonts w:ascii="Arial" w:hAnsi="Arial" w:cs="Arial"/>
          <w:color w:val="010101"/>
          <w:sz w:val="18"/>
          <w:szCs w:val="18"/>
          <w:lang w:eastAsia="pl-PL"/>
        </w:rPr>
      </w:pPr>
      <w:r w:rsidRPr="003852E5">
        <w:rPr>
          <w:rFonts w:ascii="Arial" w:hAnsi="Arial" w:cs="Arial"/>
          <w:b/>
          <w:bCs/>
          <w:color w:val="010101"/>
          <w:sz w:val="18"/>
          <w:szCs w:val="18"/>
          <w:lang w:eastAsia="pl-PL"/>
        </w:rPr>
        <w:t xml:space="preserve">Zapytania należy kierować na adres poczty elektronicznej: </w:t>
      </w:r>
      <w:hyperlink r:id="rId9" w:history="1">
        <w:r w:rsidRPr="003852E5">
          <w:rPr>
            <w:rFonts w:ascii="Arial" w:hAnsi="Arial" w:cs="Arial"/>
            <w:b/>
            <w:bCs/>
            <w:color w:val="16377C"/>
            <w:sz w:val="18"/>
            <w:szCs w:val="18"/>
            <w:u w:val="single"/>
            <w:lang w:eastAsia="pl-PL"/>
          </w:rPr>
          <w:t>fundusze.kontakt@MSWiA.gov.pl</w:t>
        </w:r>
      </w:hyperlink>
    </w:p>
    <w:p w:rsidR="00125F70" w:rsidRDefault="00125F70"/>
    <w:sectPr w:rsidR="00125F70" w:rsidSect="00DE02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97" w:rsidRDefault="00833397" w:rsidP="009F1EE2">
      <w:pPr>
        <w:spacing w:after="0" w:line="240" w:lineRule="auto"/>
      </w:pPr>
      <w:r>
        <w:separator/>
      </w:r>
    </w:p>
  </w:endnote>
  <w:endnote w:type="continuationSeparator" w:id="0">
    <w:p w:rsidR="00833397" w:rsidRDefault="00833397" w:rsidP="009F1EE2">
      <w:pPr>
        <w:spacing w:after="0" w:line="240" w:lineRule="auto"/>
      </w:pPr>
      <w:r>
        <w:continuationSeparator/>
      </w:r>
    </w:p>
  </w:endnote>
  <w:endnote w:type="continuationNotice" w:id="1">
    <w:p w:rsidR="00833397" w:rsidRDefault="00833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945860"/>
      <w:docPartObj>
        <w:docPartGallery w:val="Page Numbers (Bottom of Page)"/>
        <w:docPartUnique/>
      </w:docPartObj>
    </w:sdtPr>
    <w:sdtEndPr/>
    <w:sdtContent>
      <w:p w:rsidR="007C38E9" w:rsidRDefault="0083339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C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38E9" w:rsidRDefault="007C3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97" w:rsidRDefault="00833397" w:rsidP="009F1EE2">
      <w:pPr>
        <w:spacing w:after="0" w:line="240" w:lineRule="auto"/>
      </w:pPr>
      <w:r>
        <w:separator/>
      </w:r>
    </w:p>
  </w:footnote>
  <w:footnote w:type="continuationSeparator" w:id="0">
    <w:p w:rsidR="00833397" w:rsidRDefault="00833397" w:rsidP="009F1EE2">
      <w:pPr>
        <w:spacing w:after="0" w:line="240" w:lineRule="auto"/>
      </w:pPr>
      <w:r>
        <w:continuationSeparator/>
      </w:r>
    </w:p>
  </w:footnote>
  <w:footnote w:type="continuationNotice" w:id="1">
    <w:p w:rsidR="00833397" w:rsidRDefault="008333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BF40E1"/>
    <w:multiLevelType w:val="multilevel"/>
    <w:tmpl w:val="4CEEC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170641"/>
    <w:multiLevelType w:val="singleLevel"/>
    <w:tmpl w:val="5F30BB1E"/>
    <w:lvl w:ilvl="0">
      <w:start w:val="3"/>
      <w:numFmt w:val="decimal"/>
      <w:lvlText w:val="%1."/>
      <w:lvlJc w:val="left"/>
      <w:pPr>
        <w:tabs>
          <w:tab w:val="num" w:pos="360"/>
        </w:tabs>
        <w:ind w:left="1512" w:hanging="360"/>
      </w:pPr>
      <w:rPr>
        <w:rFonts w:cs="Times New Roman"/>
        <w:snapToGrid/>
        <w:spacing w:val="-1"/>
        <w:sz w:val="24"/>
        <w:szCs w:val="24"/>
      </w:rPr>
    </w:lvl>
  </w:abstractNum>
  <w:abstractNum w:abstractNumId="2">
    <w:nsid w:val="068C5D8A"/>
    <w:multiLevelType w:val="multilevel"/>
    <w:tmpl w:val="90F48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6B155E0"/>
    <w:multiLevelType w:val="singleLevel"/>
    <w:tmpl w:val="6BBCE99D"/>
    <w:lvl w:ilvl="0">
      <w:start w:val="1"/>
      <w:numFmt w:val="decimal"/>
      <w:lvlText w:val="%1."/>
      <w:lvlJc w:val="left"/>
      <w:pPr>
        <w:tabs>
          <w:tab w:val="num" w:pos="432"/>
        </w:tabs>
        <w:ind w:left="1584" w:hanging="432"/>
      </w:pPr>
      <w:rPr>
        <w:rFonts w:cs="Times New Roman"/>
        <w:snapToGrid/>
        <w:spacing w:val="-2"/>
        <w:sz w:val="24"/>
        <w:szCs w:val="24"/>
      </w:rPr>
    </w:lvl>
  </w:abstractNum>
  <w:abstractNum w:abstractNumId="4">
    <w:nsid w:val="10A008D7"/>
    <w:multiLevelType w:val="multilevel"/>
    <w:tmpl w:val="83BEAD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07032"/>
    <w:multiLevelType w:val="multilevel"/>
    <w:tmpl w:val="E7CE832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92D7F8B"/>
    <w:multiLevelType w:val="hybridMultilevel"/>
    <w:tmpl w:val="BDAC1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33B31"/>
    <w:multiLevelType w:val="multilevel"/>
    <w:tmpl w:val="124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A3174"/>
    <w:multiLevelType w:val="multilevel"/>
    <w:tmpl w:val="E7BA7B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1C6A91"/>
    <w:multiLevelType w:val="hybridMultilevel"/>
    <w:tmpl w:val="9C4C8E54"/>
    <w:lvl w:ilvl="0" w:tplc="5D480C06">
      <w:start w:val="1"/>
      <w:numFmt w:val="decimal"/>
      <w:lvlText w:val="%1."/>
      <w:lvlJc w:val="left"/>
      <w:pPr>
        <w:ind w:left="600" w:hanging="360"/>
      </w:pPr>
      <w:rPr>
        <w:rFonts w:eastAsia="Times New Roman" w:cs="Times New Roman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0">
    <w:nsid w:val="3942676C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946735A"/>
    <w:multiLevelType w:val="multilevel"/>
    <w:tmpl w:val="176A8BC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D6D309A"/>
    <w:multiLevelType w:val="multilevel"/>
    <w:tmpl w:val="6F8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DA40671"/>
    <w:multiLevelType w:val="multilevel"/>
    <w:tmpl w:val="99002A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1246CD"/>
    <w:multiLevelType w:val="hybridMultilevel"/>
    <w:tmpl w:val="E6E686B8"/>
    <w:lvl w:ilvl="0" w:tplc="EB98D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F8042E"/>
    <w:multiLevelType w:val="multilevel"/>
    <w:tmpl w:val="0F5A68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6CD5F13"/>
    <w:multiLevelType w:val="multilevel"/>
    <w:tmpl w:val="5F78D3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E36BEA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5DE7829"/>
    <w:multiLevelType w:val="multilevel"/>
    <w:tmpl w:val="39E8D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8A630C5"/>
    <w:multiLevelType w:val="multilevel"/>
    <w:tmpl w:val="72A81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D3572D5"/>
    <w:multiLevelType w:val="hybridMultilevel"/>
    <w:tmpl w:val="5B3C8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63AB4"/>
    <w:multiLevelType w:val="multilevel"/>
    <w:tmpl w:val="8954FA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69189B"/>
    <w:multiLevelType w:val="multilevel"/>
    <w:tmpl w:val="701C650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5FD6C94"/>
    <w:multiLevelType w:val="multilevel"/>
    <w:tmpl w:val="576E9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2267061"/>
    <w:multiLevelType w:val="multilevel"/>
    <w:tmpl w:val="1982FB5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2947465"/>
    <w:multiLevelType w:val="multilevel"/>
    <w:tmpl w:val="1C7405A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339198F"/>
    <w:multiLevelType w:val="hybridMultilevel"/>
    <w:tmpl w:val="FF2C05D0"/>
    <w:lvl w:ilvl="0" w:tplc="A8A67A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7B4442A8"/>
    <w:multiLevelType w:val="multilevel"/>
    <w:tmpl w:val="BC74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4"/>
  </w:num>
  <w:num w:numId="5">
    <w:abstractNumId w:val="19"/>
  </w:num>
  <w:num w:numId="6">
    <w:abstractNumId w:val="8"/>
  </w:num>
  <w:num w:numId="7">
    <w:abstractNumId w:val="28"/>
  </w:num>
  <w:num w:numId="8">
    <w:abstractNumId w:val="22"/>
  </w:num>
  <w:num w:numId="9">
    <w:abstractNumId w:val="4"/>
  </w:num>
  <w:num w:numId="10">
    <w:abstractNumId w:val="5"/>
  </w:num>
  <w:num w:numId="11">
    <w:abstractNumId w:val="25"/>
  </w:num>
  <w:num w:numId="12">
    <w:abstractNumId w:val="12"/>
  </w:num>
  <w:num w:numId="13">
    <w:abstractNumId w:val="12"/>
    <w:lvlOverride w:ilvl="0"/>
    <w:lvlOverride w:ilvl="1">
      <w:startOverride w:val="1"/>
    </w:lvlOverride>
  </w:num>
  <w:num w:numId="14">
    <w:abstractNumId w:val="23"/>
  </w:num>
  <w:num w:numId="15">
    <w:abstractNumId w:val="0"/>
  </w:num>
  <w:num w:numId="16">
    <w:abstractNumId w:val="13"/>
  </w:num>
  <w:num w:numId="1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1584" w:hanging="432"/>
        </w:pPr>
        <w:rPr>
          <w:rFonts w:cs="Times New Roman"/>
          <w:snapToGrid/>
          <w:spacing w:val="-2"/>
          <w:sz w:val="24"/>
          <w:szCs w:val="24"/>
        </w:rPr>
      </w:lvl>
    </w:lvlOverride>
  </w:num>
  <w:num w:numId="18">
    <w:abstractNumId w:val="6"/>
  </w:num>
  <w:num w:numId="19">
    <w:abstractNumId w:val="9"/>
  </w:num>
  <w:num w:numId="20">
    <w:abstractNumId w:val="10"/>
  </w:num>
  <w:num w:numId="21">
    <w:abstractNumId w:val="14"/>
  </w:num>
  <w:num w:numId="22">
    <w:abstractNumId w:val="17"/>
  </w:num>
  <w:num w:numId="23">
    <w:abstractNumId w:val="11"/>
  </w:num>
  <w:num w:numId="24">
    <w:abstractNumId w:val="16"/>
  </w:num>
  <w:num w:numId="25">
    <w:abstractNumId w:val="15"/>
  </w:num>
  <w:num w:numId="26">
    <w:abstractNumId w:val="26"/>
  </w:num>
  <w:num w:numId="27">
    <w:abstractNumId w:val="3"/>
  </w:num>
  <w:num w:numId="28">
    <w:abstractNumId w:val="7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54414"/>
    <w:rsid w:val="000065BC"/>
    <w:rsid w:val="000470D3"/>
    <w:rsid w:val="00061875"/>
    <w:rsid w:val="000A2A1D"/>
    <w:rsid w:val="000A5D12"/>
    <w:rsid w:val="000A62EC"/>
    <w:rsid w:val="000C090F"/>
    <w:rsid w:val="000C6807"/>
    <w:rsid w:val="000E43BC"/>
    <w:rsid w:val="000F5BD5"/>
    <w:rsid w:val="001077C1"/>
    <w:rsid w:val="001177C1"/>
    <w:rsid w:val="00125F70"/>
    <w:rsid w:val="001555AD"/>
    <w:rsid w:val="0015746A"/>
    <w:rsid w:val="00176D76"/>
    <w:rsid w:val="00192F9F"/>
    <w:rsid w:val="001A673C"/>
    <w:rsid w:val="001C2E94"/>
    <w:rsid w:val="001C4A7B"/>
    <w:rsid w:val="001E3989"/>
    <w:rsid w:val="00230E16"/>
    <w:rsid w:val="00255C76"/>
    <w:rsid w:val="00256D89"/>
    <w:rsid w:val="002C364C"/>
    <w:rsid w:val="002C55DD"/>
    <w:rsid w:val="002F4697"/>
    <w:rsid w:val="002F5A29"/>
    <w:rsid w:val="003171E7"/>
    <w:rsid w:val="00332B66"/>
    <w:rsid w:val="003431AA"/>
    <w:rsid w:val="00364B64"/>
    <w:rsid w:val="003852E5"/>
    <w:rsid w:val="0039203D"/>
    <w:rsid w:val="003A37FB"/>
    <w:rsid w:val="003B5E03"/>
    <w:rsid w:val="003D0C51"/>
    <w:rsid w:val="003D5835"/>
    <w:rsid w:val="003E0C79"/>
    <w:rsid w:val="00402A58"/>
    <w:rsid w:val="00405DB6"/>
    <w:rsid w:val="004140CA"/>
    <w:rsid w:val="004164CA"/>
    <w:rsid w:val="00426F28"/>
    <w:rsid w:val="00432557"/>
    <w:rsid w:val="00432CF8"/>
    <w:rsid w:val="00441653"/>
    <w:rsid w:val="004A39AE"/>
    <w:rsid w:val="004C2FE4"/>
    <w:rsid w:val="004D518C"/>
    <w:rsid w:val="004E46A1"/>
    <w:rsid w:val="004F1089"/>
    <w:rsid w:val="004F2521"/>
    <w:rsid w:val="004F7D3B"/>
    <w:rsid w:val="00504D08"/>
    <w:rsid w:val="00532529"/>
    <w:rsid w:val="00533956"/>
    <w:rsid w:val="00543FED"/>
    <w:rsid w:val="00544B72"/>
    <w:rsid w:val="00546BFA"/>
    <w:rsid w:val="005500AC"/>
    <w:rsid w:val="00554414"/>
    <w:rsid w:val="00580B98"/>
    <w:rsid w:val="005B0F2E"/>
    <w:rsid w:val="005C7977"/>
    <w:rsid w:val="005F2172"/>
    <w:rsid w:val="0065429F"/>
    <w:rsid w:val="006632BE"/>
    <w:rsid w:val="00667595"/>
    <w:rsid w:val="00671BF4"/>
    <w:rsid w:val="00680600"/>
    <w:rsid w:val="006B67AB"/>
    <w:rsid w:val="006C7EB9"/>
    <w:rsid w:val="006D427E"/>
    <w:rsid w:val="006E390F"/>
    <w:rsid w:val="006F7F27"/>
    <w:rsid w:val="007214A5"/>
    <w:rsid w:val="00725DF4"/>
    <w:rsid w:val="00767B7D"/>
    <w:rsid w:val="0077126A"/>
    <w:rsid w:val="007B4DDD"/>
    <w:rsid w:val="007C3145"/>
    <w:rsid w:val="007C38E9"/>
    <w:rsid w:val="007F7A0A"/>
    <w:rsid w:val="00801CC3"/>
    <w:rsid w:val="00825653"/>
    <w:rsid w:val="00833397"/>
    <w:rsid w:val="008549E6"/>
    <w:rsid w:val="008550DB"/>
    <w:rsid w:val="0086048C"/>
    <w:rsid w:val="00863EFC"/>
    <w:rsid w:val="00880F7B"/>
    <w:rsid w:val="008A208E"/>
    <w:rsid w:val="008E5BD8"/>
    <w:rsid w:val="008F295F"/>
    <w:rsid w:val="00900C62"/>
    <w:rsid w:val="009214DB"/>
    <w:rsid w:val="00944742"/>
    <w:rsid w:val="0094662F"/>
    <w:rsid w:val="0095065E"/>
    <w:rsid w:val="00962B33"/>
    <w:rsid w:val="009675DA"/>
    <w:rsid w:val="00967D2D"/>
    <w:rsid w:val="00986C85"/>
    <w:rsid w:val="00991E96"/>
    <w:rsid w:val="009D1047"/>
    <w:rsid w:val="009D3018"/>
    <w:rsid w:val="009F0000"/>
    <w:rsid w:val="009F1EE2"/>
    <w:rsid w:val="00A36508"/>
    <w:rsid w:val="00A43C95"/>
    <w:rsid w:val="00A5246C"/>
    <w:rsid w:val="00A611A6"/>
    <w:rsid w:val="00A62D13"/>
    <w:rsid w:val="00A6651B"/>
    <w:rsid w:val="00A7742E"/>
    <w:rsid w:val="00A90EF6"/>
    <w:rsid w:val="00A92061"/>
    <w:rsid w:val="00AB02D2"/>
    <w:rsid w:val="00AC0C69"/>
    <w:rsid w:val="00B15833"/>
    <w:rsid w:val="00B305A5"/>
    <w:rsid w:val="00B44147"/>
    <w:rsid w:val="00B63D62"/>
    <w:rsid w:val="00B6596F"/>
    <w:rsid w:val="00B8273C"/>
    <w:rsid w:val="00B95CE5"/>
    <w:rsid w:val="00B95D35"/>
    <w:rsid w:val="00BB3450"/>
    <w:rsid w:val="00BC4451"/>
    <w:rsid w:val="00BC5A73"/>
    <w:rsid w:val="00BE36FE"/>
    <w:rsid w:val="00C37A17"/>
    <w:rsid w:val="00C47924"/>
    <w:rsid w:val="00C52B3C"/>
    <w:rsid w:val="00C82DA2"/>
    <w:rsid w:val="00C9344B"/>
    <w:rsid w:val="00CC616A"/>
    <w:rsid w:val="00CD0F21"/>
    <w:rsid w:val="00CE3746"/>
    <w:rsid w:val="00CE668F"/>
    <w:rsid w:val="00CE66A6"/>
    <w:rsid w:val="00CF115C"/>
    <w:rsid w:val="00CF6474"/>
    <w:rsid w:val="00D04DDD"/>
    <w:rsid w:val="00D07089"/>
    <w:rsid w:val="00D7404A"/>
    <w:rsid w:val="00D818A5"/>
    <w:rsid w:val="00D8258C"/>
    <w:rsid w:val="00D95154"/>
    <w:rsid w:val="00D9705D"/>
    <w:rsid w:val="00D97892"/>
    <w:rsid w:val="00DA11F5"/>
    <w:rsid w:val="00DB00A4"/>
    <w:rsid w:val="00DB3C52"/>
    <w:rsid w:val="00DE02E7"/>
    <w:rsid w:val="00DF0765"/>
    <w:rsid w:val="00E162EE"/>
    <w:rsid w:val="00E2433C"/>
    <w:rsid w:val="00E43DFC"/>
    <w:rsid w:val="00E61F26"/>
    <w:rsid w:val="00E7665B"/>
    <w:rsid w:val="00EA2EAB"/>
    <w:rsid w:val="00EC388A"/>
    <w:rsid w:val="00EE5661"/>
    <w:rsid w:val="00F061AB"/>
    <w:rsid w:val="00F26A6A"/>
    <w:rsid w:val="00F67659"/>
    <w:rsid w:val="00F9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1A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</w:p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1A6"/>
    <w:pPr>
      <w:spacing w:after="200" w:line="276" w:lineRule="auto"/>
      <w:pPrChange w:id="0" w:author="mswia" w:date="2016-04-21T17:43:00Z">
        <w:pPr>
          <w:spacing w:after="200" w:line="276" w:lineRule="auto"/>
        </w:pPr>
      </w:pPrChange>
    </w:pPr>
    <w:rPr>
      <w:lang w:eastAsia="en-US"/>
      <w:rPrChange w:id="0" w:author="mswia" w:date="2016-04-21T17:43:00Z">
        <w:rPr>
          <w:rFonts w:asciiTheme="minorHAnsi" w:eastAsiaTheme="minorHAnsi" w:hAnsiTheme="minorHAnsi" w:cstheme="minorBidi"/>
          <w:sz w:val="22"/>
          <w:szCs w:val="22"/>
          <w:lang w:val="pl-PL" w:eastAsia="en-US" w:bidi="ar-SA"/>
        </w:rPr>
      </w:rPrChang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171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11A6"/>
    <w:pPr>
      <w:spacing w:after="0" w:line="240" w:lineRule="auto"/>
      <w:pPrChange w:id="1" w:author="mswia" w:date="2016-04-21T17:43:00Z">
        <w:pPr/>
      </w:pPrChange>
    </w:pPr>
    <w:rPr>
      <w:sz w:val="20"/>
      <w:szCs w:val="20"/>
      <w:rPrChange w:id="1" w:author="mswia" w:date="2016-04-21T17:43:00Z">
        <w:rPr>
          <w:rFonts w:asciiTheme="minorHAnsi" w:eastAsiaTheme="minorHAnsi" w:hAnsiTheme="minorHAnsi" w:cstheme="minorBidi"/>
          <w:lang w:val="pl-PL" w:eastAsia="en-US" w:bidi="ar-SA"/>
        </w:rPr>
      </w:rPrChange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F1EE2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611A6"/>
    <w:rPr>
      <w:rFonts w:cs="Times New Roman"/>
      <w:vertAlign w:val="superscript"/>
      <w:rPrChange w:id="2" w:author="mswia" w:date="2016-04-21T17:43:00Z">
        <w:rPr>
          <w:vertAlign w:val="superscript"/>
        </w:rPr>
      </w:rPrChange>
    </w:rPr>
  </w:style>
  <w:style w:type="paragraph" w:styleId="Tekstdymka">
    <w:name w:val="Balloon Text"/>
    <w:basedOn w:val="Normalny"/>
    <w:link w:val="TekstdymkaZnak"/>
    <w:uiPriority w:val="99"/>
    <w:semiHidden/>
    <w:rsid w:val="00A611A6"/>
    <w:pPr>
      <w:spacing w:after="0" w:line="240" w:lineRule="auto"/>
      <w:pPrChange w:id="3" w:author="mswia" w:date="2016-04-21T17:43:00Z">
        <w:pPr/>
      </w:pPrChange>
    </w:pPr>
    <w:rPr>
      <w:rFonts w:ascii="Tahoma" w:hAnsi="Tahoma" w:cs="Tahoma"/>
      <w:sz w:val="16"/>
      <w:szCs w:val="16"/>
      <w:rPrChange w:id="3" w:author="mswia" w:date="2016-04-21T17:43:00Z">
        <w:rPr>
          <w:rFonts w:ascii="Tahoma" w:eastAsiaTheme="minorHAnsi" w:hAnsi="Tahoma" w:cs="Tahoma"/>
          <w:sz w:val="16"/>
          <w:szCs w:val="16"/>
          <w:lang w:val="pl-PL" w:eastAsia="en-US" w:bidi="ar-SA"/>
        </w:rPr>
      </w:rPrChange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177C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A611A6"/>
    <w:rPr>
      <w:rFonts w:cs="Times New Roman"/>
      <w:sz w:val="16"/>
      <w:szCs w:val="16"/>
      <w:rPrChange w:id="4" w:author="mswia" w:date="2016-04-21T17:43:00Z">
        <w:rPr>
          <w:sz w:val="16"/>
          <w:szCs w:val="16"/>
        </w:rPr>
      </w:rPrChange>
    </w:rPr>
  </w:style>
  <w:style w:type="paragraph" w:styleId="Tekstkomentarza">
    <w:name w:val="annotation text"/>
    <w:basedOn w:val="Normalny"/>
    <w:link w:val="TekstkomentarzaZnak"/>
    <w:uiPriority w:val="99"/>
    <w:semiHidden/>
    <w:rsid w:val="00A611A6"/>
    <w:pPr>
      <w:spacing w:line="240" w:lineRule="auto"/>
      <w:pPrChange w:id="5" w:author="mswia" w:date="2016-04-21T17:43:00Z">
        <w:pPr>
          <w:spacing w:after="200"/>
        </w:pPr>
      </w:pPrChange>
    </w:pPr>
    <w:rPr>
      <w:sz w:val="20"/>
      <w:szCs w:val="20"/>
      <w:rPrChange w:id="5" w:author="mswia" w:date="2016-04-21T17:43:00Z">
        <w:rPr>
          <w:rFonts w:asciiTheme="minorHAnsi" w:eastAsiaTheme="minorHAnsi" w:hAnsiTheme="minorHAnsi" w:cstheme="minorBidi"/>
          <w:lang w:val="pl-PL" w:eastAsia="en-US" w:bidi="ar-SA"/>
        </w:rPr>
      </w:rPrChange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4165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11A6"/>
    <w:pPr>
      <w:pPrChange w:id="6" w:author="mswia" w:date="2016-04-21T17:43:00Z">
        <w:pPr>
          <w:spacing w:after="200"/>
        </w:pPr>
      </w:pPrChange>
    </w:pPr>
    <w:rPr>
      <w:b/>
      <w:bCs/>
      <w:rPrChange w:id="6" w:author="mswia" w:date="2016-04-21T17:43:00Z">
        <w:rPr>
          <w:rFonts w:asciiTheme="minorHAnsi" w:eastAsiaTheme="minorHAnsi" w:hAnsiTheme="minorHAnsi" w:cstheme="minorBidi"/>
          <w:b/>
          <w:bCs/>
          <w:lang w:val="pl-PL" w:eastAsia="en-US" w:bidi="ar-SA"/>
        </w:rPr>
      </w:rPrChange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41653"/>
    <w:rPr>
      <w:b/>
      <w:bCs/>
      <w:sz w:val="20"/>
      <w:szCs w:val="20"/>
      <w:lang w:eastAsia="en-US"/>
    </w:rPr>
  </w:style>
  <w:style w:type="paragraph" w:styleId="Akapitzlist">
    <w:name w:val="List Paragraph"/>
    <w:basedOn w:val="Normalny"/>
    <w:qFormat/>
    <w:rsid w:val="00A611A6"/>
    <w:pPr>
      <w:ind w:left="720"/>
      <w:contextualSpacing/>
      <w:pPrChange w:id="7" w:author="mswia" w:date="2016-04-21T17:43:00Z">
        <w:pPr>
          <w:spacing w:after="200" w:line="276" w:lineRule="auto"/>
          <w:ind w:left="720"/>
          <w:contextualSpacing/>
        </w:pPr>
      </w:pPrChange>
    </w:pPr>
    <w:rPr>
      <w:rPrChange w:id="7" w:author="mswia" w:date="2016-04-21T17:43:00Z">
        <w:rPr>
          <w:rFonts w:asciiTheme="minorHAnsi" w:eastAsiaTheme="minorHAnsi" w:hAnsiTheme="minorHAnsi" w:cstheme="minorBidi"/>
          <w:sz w:val="22"/>
          <w:szCs w:val="22"/>
          <w:lang w:val="pl-PL" w:eastAsia="en-US" w:bidi="ar-SA"/>
        </w:rPr>
      </w:rPrChange>
    </w:rPr>
  </w:style>
  <w:style w:type="paragraph" w:customStyle="1" w:styleId="Default">
    <w:name w:val="Default"/>
    <w:rsid w:val="00332B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A611A6"/>
    <w:pPr>
      <w:spacing w:before="100" w:beforeAutospacing="1" w:after="100" w:afterAutospacing="1" w:line="240" w:lineRule="auto"/>
      <w:pPrChange w:id="8" w:author="mswia" w:date="2016-04-21T17:43:00Z">
        <w:pPr>
          <w:spacing w:before="100" w:beforeAutospacing="1" w:after="100" w:afterAutospacing="1"/>
        </w:pPr>
      </w:pPrChange>
    </w:pPr>
    <w:rPr>
      <w:rFonts w:ascii="Times New Roman" w:eastAsia="Times New Roman" w:hAnsi="Times New Roman"/>
      <w:sz w:val="24"/>
      <w:szCs w:val="24"/>
      <w:lang w:eastAsia="pl-PL"/>
      <w:rPrChange w:id="8" w:author="mswia" w:date="2016-04-21T17:43:00Z">
        <w:rPr>
          <w:sz w:val="24"/>
          <w:szCs w:val="24"/>
          <w:lang w:val="pl-PL" w:eastAsia="pl-PL" w:bidi="ar-SA"/>
        </w:rPr>
      </w:rPrChange>
    </w:rPr>
  </w:style>
  <w:style w:type="paragraph" w:styleId="Poprawka">
    <w:name w:val="Revision"/>
    <w:hidden/>
    <w:uiPriority w:val="99"/>
    <w:semiHidden/>
    <w:rsid w:val="003852E5"/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1A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1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3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undusze.kontakt@msw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2C16-37B4-44C5-B3DD-00087170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2589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nr 2/2016</vt:lpstr>
    </vt:vector>
  </TitlesOfParts>
  <Company>MSWIA</Company>
  <LinksUpToDate>false</LinksUpToDate>
  <CharactersWithSpaces>18093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nr 2/2016</dc:title>
  <dc:creator>Majewska Marta</dc:creator>
  <cp:lastModifiedBy>Piszczatowska Anna</cp:lastModifiedBy>
  <cp:revision>4</cp:revision>
  <dcterms:created xsi:type="dcterms:W3CDTF">2016-04-25T09:21:00Z</dcterms:created>
  <dcterms:modified xsi:type="dcterms:W3CDTF">2016-05-04T08:35:00Z</dcterms:modified>
</cp:coreProperties>
</file>