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4.0 -->
  <w:body>
    <w:p w:rsidR="00A77B3E">
      <w:pPr>
        <w:spacing w:line="240" w:lineRule="auto"/>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Zarządzenie</w:t>
      </w:r>
      <w:r>
        <w:rPr>
          <w:rFonts w:ascii="Times New Roman" w:eastAsia="Times New Roman" w:hAnsi="Times New Roman" w:cs="Times New Roman"/>
          <w:b/>
          <w:caps/>
          <w:sz w:val="24"/>
        </w:rPr>
        <w:br/>
      </w:r>
      <w:r>
        <w:rPr>
          <w:rFonts w:ascii="Times New Roman" w:eastAsia="Times New Roman" w:hAnsi="Times New Roman" w:cs="Times New Roman"/>
          <w:b/>
          <w:caps/>
          <w:sz w:val="24"/>
        </w:rPr>
        <w:t>Regionalnego Dyrektora Ochrony Środowiska w Bydgoszczy</w:t>
      </w:r>
    </w:p>
    <w:p w:rsidR="00A77B3E">
      <w:pPr>
        <w:spacing w:before="280" w:after="280" w:line="240" w:lineRule="auto"/>
        <w:ind w:left="0"/>
        <w:jc w:val="center"/>
        <w:rPr>
          <w:rFonts w:ascii="Times New Roman" w:eastAsia="Times New Roman" w:hAnsi="Times New Roman" w:cs="Times New Roman"/>
          <w:b/>
          <w:caps/>
          <w:sz w:val="24"/>
        </w:rPr>
      </w:pPr>
      <w:r>
        <w:rPr>
          <w:rFonts w:ascii="Times New Roman" w:eastAsia="Times New Roman" w:hAnsi="Times New Roman" w:cs="Times New Roman"/>
          <w:b w:val="0"/>
          <w:caps w:val="0"/>
          <w:sz w:val="24"/>
        </w:rPr>
        <w:t>z dnia 4 czerwca 2025 r.</w:t>
      </w:r>
    </w:p>
    <w:p w:rsidR="00A77B3E">
      <w:pPr>
        <w:spacing w:before="280" w:after="280" w:line="240" w:lineRule="auto"/>
        <w:ind w:left="0"/>
        <w:jc w:val="center"/>
        <w:rPr>
          <w:rFonts w:ascii="Times New Roman" w:eastAsia="Times New Roman" w:hAnsi="Times New Roman" w:cs="Times New Roman"/>
          <w:b w:val="0"/>
          <w:caps w:val="0"/>
          <w:sz w:val="22"/>
        </w:rPr>
      </w:pP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uznania za rezerwat przyrody „Dolina Zamrzonki”</w:t>
      </w:r>
    </w:p>
    <w:p w:rsidR="00A77B3E">
      <w:pPr>
        <w:keepNext w:val="0"/>
        <w:keepLines/>
        <w:spacing w:before="120" w:after="120" w:line="240" w:lineRule="auto"/>
        <w:ind w:left="0" w:right="0" w:firstLine="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16</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kwietnia 2004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roku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ochronie przyrody (Dz. U. z 2024 r. poz. 1478 oraz 1940) zarządza się, co następuje: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auto"/>
          <w:sz w:val="24"/>
          <w:u w:val="none"/>
          <w:vertAlign w:val="baseline"/>
        </w:rPr>
        <w:t>Uznaje się za rezerwat przyrody pod nazwą „Dolina Zamrzonki”, zwany dalej „rezerwatem”, obszar o powierzchni 44,47 ha, położony na terenie gminy Lubiewo, w powiecie tucholskim, w województwie kujawsko-pomorskim.</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 obszarach graniczących z rezerwatem wyznacza się otulinę o powierzchni 24,88 ha, położoną na terenie gminy Lubiewo, w powiecie tucholskim, w województwie kujawsko-pomorskim.</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Położenie i przebieg granicy rezerwatu oraz jego otuliny w postaci mapy są określone w załączniku nr 1 do zarządzenia.</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Położenie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 granicy rezerwatu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wykazu współrzędnych punktów załamania granicy są określone w załączniku nr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zarządzenia.</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Położenie i przebieg granicy otuliny rezerwatu w postaci wykazu współrzędnych punktów załamania granicy są określone w załączniku nr 3 do zarządzenia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2. </w:t>
      </w:r>
      <w:r>
        <w:rPr>
          <w:rFonts w:ascii="Times New Roman" w:eastAsia="Times New Roman" w:hAnsi="Times New Roman" w:cs="Times New Roman"/>
          <w:b w:val="0"/>
          <w:i w:val="0"/>
          <w:caps w:val="0"/>
          <w:strike w:val="0"/>
          <w:color w:val="000000"/>
          <w:sz w:val="24"/>
          <w:u w:val="none" w:color="000000"/>
          <w:vertAlign w:val="baseline"/>
        </w:rPr>
        <w:t>Celem ochrony rezerwatu jest zachowanie mozaiki krajobrazów obecnych wokół strugi Zamrzonki, lasów, łąk i zbiorników wodnych.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rezerwatu określa się rodzaj - Krajobrazowy (K).</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rezerwatu określa się typ i podtyp:</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ze względu na dominujący przedmiot ochrony: typ – Krajobrazów (PKr), podtyp - krajobrazów naturalnych (kn);</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ze względu na główny typ ekosystemu: typ – Różnych ekosystemów (EE), podtyp - mozaiki różnych ekosystemów (me).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4. </w:t>
      </w:r>
      <w:r>
        <w:rPr>
          <w:rFonts w:ascii="Times New Roman" w:eastAsia="Times New Roman" w:hAnsi="Times New Roman" w:cs="Times New Roman"/>
          <w:b w:val="0"/>
          <w:i w:val="0"/>
          <w:caps w:val="0"/>
          <w:strike w:val="0"/>
          <w:color w:val="000000"/>
          <w:sz w:val="24"/>
          <w:u w:val="none" w:color="000000"/>
          <w:vertAlign w:val="baseline"/>
        </w:rPr>
        <w:t>Nadzór nad rezerwatem sprawuje Regionalny Dyrektor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Bydgoszczy.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5. </w:t>
      </w:r>
      <w:r>
        <w:rPr>
          <w:rFonts w:ascii="Times New Roman" w:eastAsia="Times New Roman" w:hAnsi="Times New Roman" w:cs="Times New Roman"/>
          <w:b w:val="0"/>
          <w:i w:val="0"/>
          <w:caps w:val="0"/>
          <w:strike w:val="0"/>
          <w:color w:val="000000"/>
          <w:sz w:val="24"/>
          <w:u w:val="none" w:color="000000"/>
          <w:vertAlign w:val="baseline"/>
        </w:rPr>
        <w:t>Zarządzenie wchodzi w życie po upływie 14 dni od dnia ogłoszenia.</w:t>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2670440" cy="1054608"/>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r:link="rId6"/>
                    <a:stretch>
                      <a:fillRect/>
                    </a:stretch>
                  </pic:blipFill>
                  <pic:spPr>
                    <a:xfrm>
                      <a:off x="0" y="0"/>
                      <a:ext cx="2670440" cy="1054608"/>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4"/>
          <w:u w:val="none" w:color="000000"/>
          <w:vertAlign w:val="baseline"/>
        </w:rPr>
        <w:sectPr>
          <w:footerReference w:type="default" r:id="rId7"/>
          <w:endnotePr>
            <w:numFmt w:val="decimal"/>
          </w:endnotePr>
          <w:pgSz w:w="11906" w:h="16838"/>
          <w:pgMar w:top="992" w:right="1020" w:bottom="992" w:left="1020" w:header="708" w:footer="708" w:gutter="0"/>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czerwca 2025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rezerwatu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jego otuliny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mapy</w:t>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653" cy="7712123"/>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r:link="rId9"/>
                    <a:stretch>
                      <a:fillRect/>
                    </a:stretch>
                  </pic:blipFill>
                  <pic:spPr>
                    <a:xfrm>
                      <a:off x="0" y="0"/>
                      <a:ext cx="6263653" cy="7712123"/>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653" cy="7712123"/>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r:link="rId11"/>
                    <a:stretch>
                      <a:fillRect/>
                    </a:stretch>
                  </pic:blipFill>
                  <pic:spPr>
                    <a:xfrm>
                      <a:off x="0" y="0"/>
                      <a:ext cx="6263653" cy="7712123"/>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653" cy="7712123"/>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r:link="rId13"/>
                    <a:stretch>
                      <a:fillRect/>
                    </a:stretch>
                  </pic:blipFill>
                  <pic:spPr>
                    <a:xfrm>
                      <a:off x="0" y="0"/>
                      <a:ext cx="6263653" cy="7712123"/>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5802840" cy="7144747"/>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r:link="rId15"/>
                    <a:stretch>
                      <a:fillRect/>
                    </a:stretch>
                  </pic:blipFill>
                  <pic:spPr>
                    <a:xfrm>
                      <a:off x="0" y="0"/>
                      <a:ext cx="5802840" cy="7144747"/>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041"/>
        <w:gridCol w:w="504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105"/>
        </w:trPr>
        <w:tc>
          <w:tcPr>
            <w:tcW w:w="5040" w:type="dxa"/>
            <w:tcBorders>
              <w:top w:val="nil"/>
              <w:left w:val="nil"/>
              <w:bottom w:val="nil"/>
              <w:right w:val="nil"/>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p>
        </w:tc>
        <w:tc>
          <w:tcPr>
            <w:tcW w:w="5040" w:type="dxa"/>
            <w:tcBorders>
              <w:top w:val="nil"/>
              <w:left w:val="nil"/>
              <w:bottom w:val="nil"/>
              <w:right w:val="nil"/>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85876" cy="1060704"/>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5" r:link="rId16"/>
                    <a:stretch>
                      <a:fillRect/>
                    </a:stretch>
                  </pic:blipFill>
                  <pic:spPr>
                    <a:xfrm>
                      <a:off x="0" y="0"/>
                      <a:ext cx="2685876" cy="1060704"/>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17"/>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czerwca 2025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rezerwatu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wykazu współrzędnych punktów załamania granicy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układzie współrzędnych płaskich prostokątnych</w:t>
      </w:r>
      <w:r>
        <w:rPr>
          <w:rFonts w:ascii="Times New Roman" w:eastAsia="Times New Roman" w:hAnsi="Times New Roman" w:cs="Times New Roman"/>
          <w:b/>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PL-1992</w:t>
      </w:r>
      <w:r>
        <w:rPr>
          <w:rStyle w:val="FootnoteReference"/>
          <w:rFonts w:ascii="Times New Roman" w:eastAsia="Times New Roman" w:hAnsi="Times New Roman" w:cs="Times New Roman"/>
          <w:b/>
          <w:i w:val="0"/>
          <w:caps w:val="0"/>
          <w:strike w:val="0"/>
          <w:color w:val="000000"/>
          <w:sz w:val="20"/>
          <w:u w:val="none" w:color="000000"/>
          <w:vertAlign w:val="superscript"/>
        </w:rPr>
        <w:footnoteReference w:customMarkFollows="1" w:id="2"/>
        <w:t xml:space="preserve">1)</w:t>
      </w:r>
      <w:r>
        <w:rPr>
          <w:rFonts w:ascii="Times New Roman" w:eastAsia="Times New Roman" w:hAnsi="Times New Roman" w:cs="Times New Roman"/>
          <w:b w:val="0"/>
          <w:i w:val="0"/>
          <w:caps w:val="0"/>
          <w:strike w:val="0"/>
          <w:color w:val="000000"/>
          <w:sz w:val="22"/>
          <w:u w:val="none" w:color="000000"/>
          <w:vertAlign w:val="baseline"/>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292"/>
        <w:gridCol w:w="3395"/>
        <w:gridCol w:w="339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Nr</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X</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Y</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623709,39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427804,80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623703,68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427801,14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623744,25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427777,46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623741,75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427776,60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623726,17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427771,25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623687,01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427726,83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623682,92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427693,51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623667,14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427661,37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623615,70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427597,08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623575,37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427557,92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623595,25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427494,21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623591,16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427457,97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623584,14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427449,21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623558,43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427444,53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623515,21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427421,57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623486,00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427446,77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623457,82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427430,51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623429,12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427398,70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623404,53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427360,52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623415,07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427307,20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623418,51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427300,10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623420,08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427296,85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623441,43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427333,39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623461,11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427330,42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623477,06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427338,72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623498,38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427328,22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623503,06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427301,31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623533,10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427260,09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623530,35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427201,55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623588,00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427122,97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623605,28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427121,96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623588,87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427145,06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623607,79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427159,94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623609,84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427162,21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623609,84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427162,21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623631,04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427187,03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623624,47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427207,18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623592,49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427235,41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623576,55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427255,13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623574,77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427257,33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623561,69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427279,15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623552,51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427326,27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623516,91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427362,89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623528,73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427383,25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623560,43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427382,29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623564,51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427383,74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623566,63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427384,49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623620,71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427420,63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623628,24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427444,63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623707,29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427592,13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623674,67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427631,54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623737,97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427664,77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623776,45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427663,66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623784,79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427665,46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623787,86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427673,10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623790,01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427679,11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623777,81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427716,79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623778,51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427736,92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623783,61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427746,65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623784,54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427748,42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623789,85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427745,07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623806,77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427761,77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623886,85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427823,00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623906,44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427829,63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623925,43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427830,00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623980,80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427825,05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624016,58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427860,52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624028,79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427891,71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624036,02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427923,65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624036,62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427935,71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624090,35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427952,21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624113,42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427957,01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624140,95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427948,75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624141,93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427948,45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624144,21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427986,66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624159,61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428031,15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624159,04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428052,25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624149,35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428075,64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624146,51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428093,89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624153,34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428105,30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624179,58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428115,56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624234,33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428093,32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624279,01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428085,97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624322,35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428078,82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624324,59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428078,45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624353,31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428116,07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624363,80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428129,82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624404,06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428200,40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624405,05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428202,14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624411,50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428213,55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624500,70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428299,74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624560,37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428360,61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624605,57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428404,00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624634,20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428436,40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624661,32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428462,01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624668,86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428469,25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624672,75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428474,42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624683,02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428493,36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624736,66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428587,38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624753,52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428618,06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624800,25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428678,99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624722,38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428723,77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624722,38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428732,14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624714,56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428756,54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624688,43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428746,36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624669,54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428714,78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624662,54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428700,76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624657,40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428696,79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624657,40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428696,79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624653,41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428693,72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624650,78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428696,46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624607,42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428727,40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624598,70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428724,76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624566,14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428714,72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624522,05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428683,32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624496,81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428664,75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624471,20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428643,11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624442,91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428623,78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624441,88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428620,98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624422,06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428587,51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624418,81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428590,59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624367,60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428639,03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624302,31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428700,79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624288,37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428715,59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624251,83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428673,45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624219,33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428679,75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624180,05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428668,70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624146,72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428631,60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624140,11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428617,58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624121,59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428578,30</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624116,80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428537,39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624115,25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428524,19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624107,94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428470,57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624083,08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428426,21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624055,88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428408,61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624054,38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428407,17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624040,18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428393,55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624003,39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428316,56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624003,14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428316,04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624003,62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428303,85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623970,96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428238,04</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623964,23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428181,57</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623964,06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428180,58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623947,39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428085,48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623946,59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428083,61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623935,29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428057,26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623893,65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428030,93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623865,52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428025,78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623847,06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428005,86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623831,35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427967,42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623812,96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427920,75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623812,08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427921,25</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623788,86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427934,52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623788,71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427934,72</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623777,61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427941,88</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156</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623770,08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427947,01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157</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623761,94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427952,13</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623759,38</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427954,69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623757,64</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427957,29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160</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623733,85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427920,96</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161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623712,61</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427868,51</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162</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623736,15</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427856,49</w:t>
            </w:r>
          </w:p>
        </w:tc>
      </w:tr>
      <w:tr>
        <w:tblPrEx>
          <w:tblW w:w="5000" w:type="pct"/>
          <w:tblLayout w:type="fixed"/>
          <w:tblCellMar>
            <w:left w:w="108" w:type="dxa"/>
            <w:right w:w="108" w:type="dxa"/>
          </w:tblCellMar>
        </w:tblPrEx>
        <w:trPr>
          <w:trHeight w:val="255"/>
        </w:trPr>
        <w:tc>
          <w:tcPr>
            <w:tcW w:w="144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163</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623709,39</w:t>
            </w:r>
          </w:p>
        </w:tc>
        <w:tc>
          <w:tcPr>
            <w:tcW w:w="148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427804,80</w:t>
            </w: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70440" cy="1054608"/>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5" r:link="rId18"/>
                    <a:stretch>
                      <a:fillRect/>
                    </a:stretch>
                  </pic:blipFill>
                  <pic:spPr>
                    <a:xfrm>
                      <a:off x="0" y="0"/>
                      <a:ext cx="2670440" cy="1054608"/>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19"/>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czerwca 2025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otuliny rezerwatu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wykazu współrzędnych punktów załamania granicy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układzie współrzędnych płaskich prostokątnych</w:t>
      </w:r>
      <w:r>
        <w:rPr>
          <w:rFonts w:ascii="Times New Roman" w:eastAsia="Times New Roman" w:hAnsi="Times New Roman" w:cs="Times New Roman"/>
          <w:b/>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PL-1992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874"/>
        <w:gridCol w:w="2558"/>
        <w:gridCol w:w="2825"/>
        <w:gridCol w:w="282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Nr</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X</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Y</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2"/>
              </w:rPr>
              <w:t>Komentarz</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623592,49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427235,41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623624,47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427207,18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623631,04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427187,03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623609,84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427162,21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623611,99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427159,42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623621,08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427167,04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623630,46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427171,87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623640,83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427164,64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623656,83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427127,11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623673,67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427115,25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623697,22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427109,94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623726,08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427102,28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623740,98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427104,21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623752,57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427104,49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623760,01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427097,87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623766,32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427064,06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623746,77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426979,24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623740,70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426974,83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623731,32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426973,44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623716,15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426971,79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623693,62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426973,70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623675,21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426996,39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623675,92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426975,20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623676,12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426969,28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623717,65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426960,09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623740,78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426954,97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623746,25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426953,76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623774,01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426947,62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29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623836,99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426933,68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623930,56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426959,13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623956,69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426975,18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624003,86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427021,98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624058,82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427076,51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624060,30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427077,98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623877,66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427175,83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623745,66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427246,54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623671,79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427286,11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623711,09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427351,66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39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623785,70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427476,12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623786,22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427476,98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623791,73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427490,09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623790,29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427491,83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623707,29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427592,13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623628,24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427444,63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623620,71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427420,63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623566,63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427384,49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623564,51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427383,74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623560,43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427382,29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623528,73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427383,25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623516,91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427362,89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623552,51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427326,27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623561,69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427279,15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623574,77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427257,33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623576,55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427255,13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623592,49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427235,41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1</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624090,35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427952,21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624036,62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427935,71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624036,02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427923,65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59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624028,79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427891,71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624016,58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427860,52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623980,80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427825,05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623925,43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427830,00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623906,44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427829,63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623886,85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427823,00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623806,77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427761,77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623789,85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427745,07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623794,65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427742,03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623902,07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427674,09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623903,89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427672,94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623914,23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427681,36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624049,54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427791,60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624099,16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427828,68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624158,37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427884,07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624159,91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427885,51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624158,47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427886,90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624090,35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427952,21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2</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623605,28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427121,96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623588,00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427122,97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79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623530,35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427201,55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623533,10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427260,09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623503,06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427301,31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623498,38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427328,22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623477,06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427338,72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623461,11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427330,42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623441,43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427333,39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623420,08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427296,85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623513,15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427144,08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623525,96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427127,86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89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623569,48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427074,72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623595,44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427092,56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623617,01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427083,41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623608,55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427099,48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623605,28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427121,96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3</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623658,55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427825,50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623586,48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427742,03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623560,76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427737,93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623542,06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427713,97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623521,02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427709,30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99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623490,63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427689,42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623462,57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427705,20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623410,83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427638,11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623402,90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427538,34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623401,42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427519,73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623515,21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427421,57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623558,43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427444,53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623584,14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427449,21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623591,16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427457,97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623595,25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427494,21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109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623575,37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427557,92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623615,70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427597,08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623667,14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427661,37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623682,92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427693,51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623687,01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427726,83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623726,17</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427771,25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623741,75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427776,60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623744,25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427777,46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623703,68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427801,14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118</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623709,39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427804,80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119</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623736,15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427856,49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120</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623712,61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427868,51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121</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623733,85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427920,96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122</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623757,64</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427957,29</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123</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623706,83</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427992,38</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124</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623704,80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427989,92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125</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623602,41</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427869,16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126</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623659,86</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427827,02</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r>
        <w:tblPrEx>
          <w:tblW w:w="5000" w:type="pct"/>
          <w:tblLayout w:type="fixed"/>
          <w:tblCellMar>
            <w:left w:w="108" w:type="dxa"/>
            <w:right w:w="108" w:type="dxa"/>
          </w:tblCellMar>
        </w:tblPrEx>
        <w:trPr>
          <w:trHeight w:val="255"/>
        </w:trPr>
        <w:tc>
          <w:tcPr>
            <w:tcW w:w="94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127</w:t>
            </w:r>
          </w:p>
        </w:tc>
        <w:tc>
          <w:tcPr>
            <w:tcW w:w="12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623658,55</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427825,50</w:t>
            </w:r>
          </w:p>
        </w:tc>
        <w:tc>
          <w:tcPr>
            <w:tcW w:w="1425"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2"/>
              </w:rPr>
              <w:t>część 4</w:t>
            </w: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70440" cy="1054608"/>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5" r:link="rId20"/>
                    <a:stretch>
                      <a:fillRect/>
                    </a:stretch>
                  </pic:blipFill>
                  <pic:spPr>
                    <a:xfrm>
                      <a:off x="0" y="0"/>
                      <a:ext cx="2670440" cy="1054608"/>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21"/>
          <w:endnotePr>
            <w:numFmt w:val="decimal"/>
          </w:endnotePr>
          <w:type w:val="nextPage"/>
          <w:pgSz w:w="11906" w:h="16838"/>
          <w:pgMar w:top="992" w:right="1020" w:bottom="992" w:left="1020" w:header="708" w:footer="708" w:gutter="0"/>
          <w:pgNumType w:start="1"/>
          <w:cols w:space="708"/>
          <w:docGrid w:linePitch="360"/>
        </w:sect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left"/>
        <w:rPr>
          <w:color w:val="000000"/>
          <w:sz w:val="22"/>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w:t>
      </w:r>
      <w:r>
        <w:rPr>
          <w:b/>
          <w:caps/>
          <w:color w:val="000000"/>
          <w:szCs w:val="20"/>
          <w:shd w:val="clear" w:color="auto" w:fill="FFFFFF"/>
        </w:rPr>
        <w:t>ZASADNIENIE</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 xml:space="preserve">Na podstawie art. 13 </w:t>
      </w:r>
      <w:r>
        <w:rPr>
          <w:color w:val="000000"/>
          <w:szCs w:val="20"/>
          <w:shd w:val="clear" w:color="auto" w:fill="FFFFFF"/>
          <w:lang w:val="x-none" w:eastAsia="en-US" w:bidi="ar-SA"/>
        </w:rPr>
        <w:t>ust. </w:t>
      </w:r>
      <w:r>
        <w:rPr>
          <w:color w:val="000000"/>
          <w:szCs w:val="20"/>
          <w:shd w:val="clear" w:color="auto" w:fill="FFFFFF"/>
        </w:rPr>
        <w:t>3</w:t>
      </w:r>
      <w:r>
        <w:rPr>
          <w:color w:val="000000"/>
          <w:szCs w:val="20"/>
          <w:shd w:val="clear" w:color="auto" w:fill="FFFFFF"/>
          <w:lang w:val="x-none" w:eastAsia="en-US" w:bidi="ar-SA"/>
        </w:rPr>
        <w:t xml:space="preserve"> ustawy z dnia 16 kwietnia 2004 roku o ochronie przyrody </w:t>
      </w:r>
      <w:r>
        <w:rPr>
          <w:color w:val="000000"/>
          <w:szCs w:val="20"/>
          <w:shd w:val="clear" w:color="auto" w:fill="FFFFFF"/>
          <w:lang w:val="x-none" w:eastAsia="en-US" w:bidi="ar-SA"/>
        </w:rPr>
        <w:t>(Dz. U. z 202</w:t>
      </w:r>
      <w:r>
        <w:rPr>
          <w:color w:val="000000"/>
          <w:szCs w:val="20"/>
          <w:shd w:val="clear" w:color="auto" w:fill="FFFFFF"/>
        </w:rPr>
        <w:t>4</w:t>
      </w:r>
      <w:r>
        <w:rPr>
          <w:color w:val="000000"/>
          <w:szCs w:val="20"/>
          <w:shd w:val="clear" w:color="auto" w:fill="FFFFFF"/>
          <w:lang w:val="x-none" w:eastAsia="en-US" w:bidi="ar-SA"/>
        </w:rPr>
        <w:t xml:space="preserve"> r. poz. </w:t>
      </w:r>
      <w:r>
        <w:rPr>
          <w:color w:val="000000"/>
          <w:szCs w:val="20"/>
          <w:shd w:val="clear" w:color="auto" w:fill="FFFFFF"/>
        </w:rPr>
        <w:t>1478 ze zm.</w:t>
      </w:r>
      <w:r>
        <w:rPr>
          <w:color w:val="000000"/>
          <w:szCs w:val="20"/>
          <w:shd w:val="clear" w:color="auto" w:fill="FFFFFF"/>
          <w:lang w:val="x-none" w:eastAsia="en-US" w:bidi="ar-SA"/>
        </w:rPr>
        <w:t>)</w:t>
      </w:r>
      <w:r>
        <w:rPr>
          <w:color w:val="000000"/>
          <w:szCs w:val="20"/>
          <w:shd w:val="clear" w:color="auto" w:fill="FFFFFF"/>
        </w:rPr>
        <w:t xml:space="preserve"> u</w:t>
      </w:r>
      <w:r>
        <w:rPr>
          <w:color w:val="000000"/>
          <w:szCs w:val="20"/>
          <w:shd w:val="clear" w:color="auto" w:fill="FFFFFF"/>
          <w:lang w:val="x-none" w:eastAsia="en-US" w:bidi="ar-SA"/>
        </w:rPr>
        <w:t xml:space="preserve">znanie za rezerwat przyrody następuje w drodze aktu prawa miejscowego w formie zarządzenia regionalnego dyrektora ochrony środowiska, które określa jego nazwę, położenie lub przebieg granicy i otulinę, jeżeli została wyznaczona, cele ochrony oraz rodzaj, typ i podtyp rezerwatu przyrody, a także sprawującego nadzór nad rezerwatem. </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lang w:val="x-none" w:eastAsia="en-US" w:bidi="ar-SA"/>
        </w:rPr>
      </w:pPr>
      <w:r>
        <w:rPr>
          <w:color w:val="000000"/>
          <w:szCs w:val="20"/>
          <w:shd w:val="clear" w:color="auto" w:fill="FFFFFF"/>
          <w:lang w:val="x-none" w:eastAsia="en-US" w:bidi="ar-SA"/>
        </w:rPr>
        <w:t>Rezerwat przyrody „</w:t>
      </w:r>
      <w:r>
        <w:rPr>
          <w:color w:val="000000"/>
          <w:szCs w:val="20"/>
          <w:shd w:val="clear" w:color="auto" w:fill="FFFFFF"/>
        </w:rPr>
        <w:t>Dolina Zamrzonki</w:t>
      </w:r>
      <w:r>
        <w:rPr>
          <w:color w:val="000000"/>
          <w:szCs w:val="20"/>
          <w:shd w:val="clear" w:color="auto" w:fill="FFFFFF"/>
          <w:lang w:val="x-none" w:eastAsia="en-US" w:bidi="ar-SA"/>
        </w:rPr>
        <w:t xml:space="preserve">” o powierzchni </w:t>
      </w:r>
      <w:r>
        <w:rPr>
          <w:color w:val="000000"/>
          <w:szCs w:val="20"/>
          <w:shd w:val="clear" w:color="auto" w:fill="FFFFFF"/>
        </w:rPr>
        <w:t>44</w:t>
      </w:r>
      <w:r>
        <w:rPr>
          <w:color w:val="000000"/>
          <w:szCs w:val="20"/>
          <w:shd w:val="clear" w:color="auto" w:fill="FFFFFF"/>
        </w:rPr>
        <w:t>,47</w:t>
      </w:r>
      <w:r>
        <w:rPr>
          <w:color w:val="000000"/>
          <w:szCs w:val="20"/>
          <w:shd w:val="clear" w:color="auto" w:fill="FFFFFF"/>
          <w:lang w:val="x-none" w:eastAsia="en-US" w:bidi="ar-SA"/>
        </w:rPr>
        <w:t xml:space="preserve"> ha zlokalizowany jest </w:t>
      </w:r>
      <w:r>
        <w:rPr>
          <w:color w:val="000000"/>
          <w:szCs w:val="20"/>
          <w:shd w:val="clear" w:color="auto" w:fill="FFFFFF"/>
        </w:rPr>
        <w:t>na terenie gminy Lubiewo, w powiecie tucholskim, w województwie kujawsko-pomorskim.</w:t>
      </w:r>
      <w:r>
        <w:rPr>
          <w:color w:val="000000"/>
          <w:szCs w:val="20"/>
          <w:shd w:val="clear" w:color="auto" w:fill="FFFFFF"/>
        </w:rPr>
        <w:t xml:space="preserve"> W dniu 24  maja 2024 r. do Regionalnej Dyrekcji Ochrony Środowiska w Bydgoszczy, wpłynął wniosek Nadleśnictwa Zamrzenica, o utworzenie powyższego rezerwatu przyrody. Zgodnie z otrzymanym wnioskiem p</w:t>
      </w:r>
      <w:r>
        <w:rPr>
          <w:color w:val="000000"/>
          <w:szCs w:val="20"/>
          <w:shd w:val="clear" w:color="auto" w:fill="FFFFFF"/>
          <w:lang w:val="x-none" w:eastAsia="en-US" w:bidi="ar-SA"/>
        </w:rPr>
        <w:t xml:space="preserve">roponowany do objęcia ochroną rezerwatową </w:t>
      </w:r>
      <w:r>
        <w:rPr>
          <w:color w:val="000000"/>
          <w:szCs w:val="20"/>
          <w:shd w:val="clear" w:color="auto" w:fill="FFFFFF"/>
        </w:rPr>
        <w:t>obszar</w:t>
      </w:r>
      <w:r>
        <w:rPr>
          <w:color w:val="000000"/>
          <w:szCs w:val="20"/>
          <w:shd w:val="clear" w:color="auto" w:fill="FFFFFF"/>
          <w:lang w:val="x-none" w:eastAsia="en-US" w:bidi="ar-SA"/>
        </w:rPr>
        <w:t xml:space="preserve"> stanowi mozaikę różnych ekosystemów, których trzon stanowi struga Zamrzonka, obecnie znana jako Bysławska Struga, która jest lewobrzeżnym dopływem Brdy (wpada do Zalewu Koronowskiego). Struga, na całym swym biegu, przepływa przez szereg jezior, m.in. przez Jezioro Bysławskie oraz Jezioro Zamrzeńskie. </w:t>
      </w:r>
      <w:r>
        <w:rPr>
          <w:color w:val="000000"/>
          <w:szCs w:val="20"/>
          <w:shd w:val="clear" w:color="auto" w:fill="FFFFFF"/>
        </w:rPr>
        <w:t>Jezioro Zamrzeńskie i f</w:t>
      </w:r>
      <w:r>
        <w:rPr>
          <w:color w:val="000000"/>
          <w:szCs w:val="20"/>
          <w:shd w:val="clear" w:color="auto" w:fill="FFFFFF"/>
          <w:lang w:val="x-none" w:eastAsia="en-US" w:bidi="ar-SA"/>
        </w:rPr>
        <w:t xml:space="preserve">ragment strugi płynący poniżej Jeziora Zamrzeńskiego objęty jest niniejszym </w:t>
      </w:r>
      <w:r>
        <w:rPr>
          <w:color w:val="000000"/>
          <w:szCs w:val="20"/>
          <w:shd w:val="clear" w:color="auto" w:fill="FFFFFF"/>
        </w:rPr>
        <w:t>zarządzeniem</w:t>
      </w:r>
      <w:r>
        <w:rPr>
          <w:color w:val="000000"/>
          <w:szCs w:val="20"/>
          <w:shd w:val="clear" w:color="auto" w:fill="FFFFFF"/>
          <w:lang w:val="x-none" w:eastAsia="en-US" w:bidi="ar-SA"/>
        </w:rPr>
        <w:t xml:space="preserve"> </w:t>
      </w:r>
      <w:r>
        <w:rPr>
          <w:color w:val="000000"/>
          <w:szCs w:val="20"/>
          <w:shd w:val="clear" w:color="auto" w:fill="FFFFFF"/>
        </w:rPr>
        <w:t>ustanawiającym</w:t>
      </w:r>
      <w:r>
        <w:rPr>
          <w:color w:val="000000"/>
          <w:szCs w:val="20"/>
          <w:shd w:val="clear" w:color="auto" w:fill="FFFFFF"/>
          <w:lang w:val="x-none" w:eastAsia="en-US" w:bidi="ar-SA"/>
        </w:rPr>
        <w:t xml:space="preserve"> rezerwat przyrody. </w:t>
      </w:r>
      <w:r>
        <w:rPr>
          <w:color w:val="000000"/>
          <w:szCs w:val="20"/>
          <w:shd w:val="clear" w:color="auto" w:fill="FFFFFF"/>
        </w:rPr>
        <w:t>Na obszarach graniczących z rezerwatem wyznacza się otulinę o powierzchni 24,88 ha.</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lang w:val="x-none" w:eastAsia="en-US" w:bidi="ar-SA"/>
        </w:rPr>
      </w:pPr>
      <w:r>
        <w:rPr>
          <w:color w:val="000000"/>
          <w:szCs w:val="20"/>
          <w:shd w:val="clear" w:color="auto" w:fill="FFFFFF"/>
          <w:lang w:val="x-none" w:eastAsia="en-US" w:bidi="ar-SA"/>
        </w:rPr>
        <w:t>Dane o proponowanym rezerwacie pochodzą, między innymi, z dokumentacji związanej z Planem Urządzenia Lasu, opracowanego dla Nadleśnictwa Zamrzenica na lata 2016-2025, lustracji terenowej oraz Roczników Naukowych Polskiego Związku Wędkarskiego (Radtke G, Bernaś R., Dę</w:t>
      </w:r>
      <w:r>
        <w:rPr>
          <w:color w:val="000000"/>
          <w:szCs w:val="20"/>
          <w:shd w:val="clear" w:color="auto" w:fill="FFFFFF"/>
        </w:rPr>
        <w:t>b</w:t>
      </w:r>
      <w:r>
        <w:rPr>
          <w:color w:val="000000"/>
          <w:szCs w:val="20"/>
          <w:shd w:val="clear" w:color="auto" w:fill="FFFFFF"/>
          <w:lang w:val="x-none" w:eastAsia="en-US" w:bidi="ar-SA"/>
        </w:rPr>
        <w:t>owski P., Morzuch J., Skóra M., Ichtiofauna systemu rzeki Brdy).</w:t>
      </w:r>
    </w:p>
    <w:p>
      <w:pPr>
        <w:keepNext w:val="0"/>
        <w:keepLines w:val="0"/>
        <w:widowControl/>
        <w:suppressLineNumbers w:val="0"/>
        <w:shd w:val="clear" w:color="auto" w:fill="auto"/>
        <w:suppressAutoHyphens w:val="0"/>
        <w:spacing w:before="0" w:beforeAutospacing="0" w:after="0" w:afterAutospacing="0" w:line="360" w:lineRule="auto"/>
        <w:ind w:left="0" w:right="0" w:firstLine="708"/>
        <w:contextualSpacing w:val="0"/>
        <w:rPr>
          <w:color w:val="000000"/>
          <w:szCs w:val="20"/>
          <w:shd w:val="clear" w:color="auto" w:fill="FFFFFF"/>
          <w:lang w:val="x-none" w:eastAsia="en-US" w:bidi="ar-SA"/>
        </w:rPr>
      </w:pPr>
      <w:r>
        <w:rPr>
          <w:color w:val="000000"/>
          <w:szCs w:val="20"/>
          <w:shd w:val="clear" w:color="auto" w:fill="FFFFFF"/>
          <w:lang w:val="x-none" w:eastAsia="en-US" w:bidi="ar-SA"/>
        </w:rPr>
        <w:t>Na przedmiotowy obszar składają się lasy, łąki, ciek wodny oraz zbiorniki wodne. Całość stanowi niezwykle urokliwy teren pod względem krajobrazowym. Lasy stanowią w dużej części olszyny złożone głównie z olszy czarnej z domieszką brzozy, wierzby, leszczyny, świerka oraz kruszyny pospolitej. Płaty drzewostanów z dominującą olszą czarną położone są wzdłuż meandrującej Zamrzonki oraz w pobliżu Jeziora Zamrzeńskiego – gdzie znajdują się najstarsze i najcenniejsze drzewostany olszowe, w ich runie występują m.in. gajowiec żółty</w:t>
      </w:r>
      <w:r>
        <w:rPr>
          <w:color w:val="000000"/>
          <w:szCs w:val="20"/>
          <w:shd w:val="clear" w:color="auto" w:fill="FFFFFF"/>
        </w:rPr>
        <w:t xml:space="preserve"> </w:t>
      </w:r>
      <w:r>
        <w:rPr>
          <w:i/>
          <w:color w:val="000000"/>
          <w:szCs w:val="20"/>
          <w:shd w:val="clear" w:color="auto" w:fill="FFFFFF"/>
          <w:lang w:val="x-none" w:eastAsia="en-US" w:bidi="ar-SA"/>
        </w:rPr>
        <w:t>Lamium galeobdolon</w:t>
      </w:r>
      <w:r>
        <w:rPr>
          <w:color w:val="000000"/>
          <w:szCs w:val="20"/>
          <w:shd w:val="clear" w:color="auto" w:fill="FFFFFF"/>
          <w:lang w:val="x-none" w:eastAsia="en-US" w:bidi="ar-SA"/>
        </w:rPr>
        <w:t xml:space="preserve"> (łanowo), czworolist pospolity</w:t>
      </w:r>
      <w:r>
        <w:rPr>
          <w:color w:val="000000"/>
          <w:szCs w:val="20"/>
          <w:shd w:val="clear" w:color="auto" w:fill="FFFFFF"/>
        </w:rPr>
        <w:t xml:space="preserve"> </w:t>
      </w:r>
      <w:r>
        <w:rPr>
          <w:i/>
          <w:color w:val="000000"/>
          <w:szCs w:val="20"/>
          <w:shd w:val="clear" w:color="auto" w:fill="FFFFFF"/>
          <w:lang w:val="x-none" w:eastAsia="en-US" w:bidi="ar-SA"/>
        </w:rPr>
        <w:t>Paris quadrifolia</w:t>
      </w:r>
      <w:r>
        <w:rPr>
          <w:color w:val="000000"/>
          <w:szCs w:val="20"/>
          <w:shd w:val="clear" w:color="auto" w:fill="FFFFFF"/>
          <w:lang w:val="x-none" w:eastAsia="en-US" w:bidi="ar-SA"/>
        </w:rPr>
        <w:t>, konwalijka dwulistna</w:t>
      </w:r>
      <w:r>
        <w:rPr>
          <w:color w:val="000000"/>
          <w:szCs w:val="20"/>
          <w:shd w:val="clear" w:color="auto" w:fill="FFFFFF"/>
        </w:rPr>
        <w:t xml:space="preserve"> </w:t>
      </w:r>
      <w:r>
        <w:rPr>
          <w:i/>
          <w:color w:val="000000"/>
          <w:szCs w:val="20"/>
          <w:shd w:val="clear" w:color="auto" w:fill="FFFFFF"/>
          <w:lang w:val="x-none" w:eastAsia="en-US" w:bidi="ar-SA"/>
        </w:rPr>
        <w:t>Maianthemum bifolium</w:t>
      </w:r>
      <w:r>
        <w:rPr>
          <w:color w:val="000000"/>
          <w:szCs w:val="20"/>
          <w:shd w:val="clear" w:color="auto" w:fill="FFFFFF"/>
          <w:lang w:val="x-none" w:eastAsia="en-US" w:bidi="ar-SA"/>
        </w:rPr>
        <w:t>, zawilec żółty</w:t>
      </w:r>
      <w:r>
        <w:rPr>
          <w:color w:val="000000"/>
          <w:szCs w:val="20"/>
          <w:shd w:val="clear" w:color="auto" w:fill="FFFFFF"/>
        </w:rPr>
        <w:t xml:space="preserve"> </w:t>
      </w:r>
      <w:r>
        <w:rPr>
          <w:i/>
          <w:color w:val="000000"/>
          <w:szCs w:val="20"/>
          <w:shd w:val="clear" w:color="auto" w:fill="FFFFFF"/>
          <w:lang w:val="x-none" w:eastAsia="en-US" w:bidi="ar-SA"/>
        </w:rPr>
        <w:t>Anemone ranunculoides</w:t>
      </w:r>
      <w:r>
        <w:rPr>
          <w:color w:val="000000"/>
          <w:szCs w:val="20"/>
          <w:shd w:val="clear" w:color="auto" w:fill="FFFFFF"/>
          <w:lang w:val="x-none" w:eastAsia="en-US" w:bidi="ar-SA"/>
        </w:rPr>
        <w:t>, zawilec gajowy</w:t>
      </w:r>
      <w:r>
        <w:rPr>
          <w:color w:val="000000"/>
          <w:szCs w:val="20"/>
          <w:shd w:val="clear" w:color="auto" w:fill="FFFFFF"/>
        </w:rPr>
        <w:t xml:space="preserve"> </w:t>
      </w:r>
      <w:r>
        <w:rPr>
          <w:i/>
          <w:color w:val="000000"/>
          <w:szCs w:val="20"/>
          <w:shd w:val="clear" w:color="auto" w:fill="FFFFFF"/>
          <w:lang w:val="x-none" w:eastAsia="en-US" w:bidi="ar-SA"/>
        </w:rPr>
        <w:t>Anemone nemorosa</w:t>
      </w:r>
      <w:r>
        <w:rPr>
          <w:color w:val="000000"/>
          <w:szCs w:val="20"/>
          <w:shd w:val="clear" w:color="auto" w:fill="FFFFFF"/>
          <w:lang w:val="x-none" w:eastAsia="en-US" w:bidi="ar-SA"/>
        </w:rPr>
        <w:t>, skrzyp zimowy</w:t>
      </w:r>
      <w:r>
        <w:rPr>
          <w:color w:val="000000"/>
          <w:szCs w:val="20"/>
          <w:shd w:val="clear" w:color="auto" w:fill="FFFFFF"/>
        </w:rPr>
        <w:t xml:space="preserve"> </w:t>
      </w:r>
      <w:r>
        <w:rPr>
          <w:i/>
          <w:color w:val="000000"/>
          <w:szCs w:val="20"/>
          <w:shd w:val="clear" w:color="auto" w:fill="FFFFFF"/>
          <w:lang w:val="x-none" w:eastAsia="en-US" w:bidi="ar-SA"/>
        </w:rPr>
        <w:t>Equisetum hyemale</w:t>
      </w:r>
      <w:r>
        <w:rPr>
          <w:color w:val="000000"/>
          <w:szCs w:val="20"/>
          <w:shd w:val="clear" w:color="auto" w:fill="FFFFFF"/>
          <w:lang w:val="x-none" w:eastAsia="en-US" w:bidi="ar-SA"/>
        </w:rPr>
        <w:t>, drabik drzewkowaty</w:t>
      </w:r>
      <w:r>
        <w:rPr>
          <w:color w:val="000000"/>
          <w:szCs w:val="20"/>
          <w:shd w:val="clear" w:color="auto" w:fill="FFFFFF"/>
        </w:rPr>
        <w:t xml:space="preserve"> </w:t>
      </w:r>
      <w:r>
        <w:rPr>
          <w:i/>
          <w:color w:val="000000"/>
          <w:szCs w:val="20"/>
          <w:shd w:val="clear" w:color="auto" w:fill="FFFFFF"/>
          <w:lang w:val="x-none" w:eastAsia="en-US" w:bidi="ar-SA"/>
        </w:rPr>
        <w:t>Climacium dendroides</w:t>
      </w:r>
      <w:r>
        <w:rPr>
          <w:color w:val="000000"/>
          <w:szCs w:val="20"/>
          <w:shd w:val="clear" w:color="auto" w:fill="FFFFFF"/>
          <w:lang w:val="x-none" w:eastAsia="en-US" w:bidi="ar-SA"/>
        </w:rPr>
        <w:t>, śledziennica skrętolistna</w:t>
      </w:r>
      <w:r>
        <w:rPr>
          <w:color w:val="000000"/>
          <w:szCs w:val="20"/>
          <w:shd w:val="clear" w:color="auto" w:fill="FFFFFF"/>
        </w:rPr>
        <w:t xml:space="preserve"> </w:t>
      </w:r>
      <w:r>
        <w:rPr>
          <w:i/>
          <w:color w:val="000000"/>
          <w:szCs w:val="20"/>
          <w:shd w:val="clear" w:color="auto" w:fill="FFFFFF"/>
          <w:lang w:val="x-none" w:eastAsia="en-US" w:bidi="ar-SA"/>
        </w:rPr>
        <w:t>Chrysosplenium alternifolium</w:t>
      </w:r>
      <w:r>
        <w:rPr>
          <w:color w:val="000000"/>
          <w:szCs w:val="20"/>
          <w:shd w:val="clear" w:color="auto" w:fill="FFFFFF"/>
          <w:lang w:val="x-none" w:eastAsia="en-US" w:bidi="ar-SA"/>
        </w:rPr>
        <w:t>, wąkrota zwyczajna</w:t>
      </w:r>
      <w:r>
        <w:rPr>
          <w:color w:val="000000"/>
          <w:szCs w:val="20"/>
          <w:shd w:val="clear" w:color="auto" w:fill="FFFFFF"/>
        </w:rPr>
        <w:t xml:space="preserve"> </w:t>
      </w:r>
      <w:r>
        <w:rPr>
          <w:i/>
          <w:color w:val="000000"/>
          <w:szCs w:val="20"/>
          <w:shd w:val="clear" w:color="auto" w:fill="FFFFFF"/>
          <w:lang w:val="x-none" w:eastAsia="en-US" w:bidi="ar-SA"/>
        </w:rPr>
        <w:t>Hydrocotyle vulgaris</w:t>
      </w:r>
      <w:r>
        <w:rPr>
          <w:color w:val="000000"/>
          <w:szCs w:val="20"/>
          <w:shd w:val="clear" w:color="auto" w:fill="FFFFFF"/>
          <w:lang w:val="x-none" w:eastAsia="en-US" w:bidi="ar-SA"/>
        </w:rPr>
        <w:t>, rzeżucha gorzka</w:t>
      </w:r>
      <w:r>
        <w:rPr>
          <w:color w:val="000000"/>
          <w:szCs w:val="20"/>
          <w:shd w:val="clear" w:color="auto" w:fill="FFFFFF"/>
        </w:rPr>
        <w:t xml:space="preserve"> </w:t>
      </w:r>
      <w:r>
        <w:rPr>
          <w:i/>
          <w:color w:val="000000"/>
          <w:szCs w:val="20"/>
          <w:shd w:val="clear" w:color="auto" w:fill="FFFFFF"/>
          <w:lang w:val="x-none" w:eastAsia="en-US" w:bidi="ar-SA"/>
        </w:rPr>
        <w:t>Cardamine amara</w:t>
      </w:r>
      <w:r>
        <w:rPr>
          <w:color w:val="000000"/>
          <w:szCs w:val="20"/>
          <w:shd w:val="clear" w:color="auto" w:fill="FFFFFF"/>
          <w:lang w:val="x-none" w:eastAsia="en-US" w:bidi="ar-SA"/>
        </w:rPr>
        <w:t xml:space="preserve">. Bogatsze drzewostany liściaste otoczone są głównie przez drzewostany sosnowe, w dużej </w:t>
      </w:r>
      <w:r>
        <w:rPr>
          <w:color w:val="000000"/>
          <w:szCs w:val="20"/>
          <w:shd w:val="clear" w:color="auto" w:fill="FFFFFF"/>
          <w:lang w:val="x-none" w:eastAsia="en-US" w:bidi="ar-SA"/>
        </w:rPr>
        <w:t xml:space="preserve">mierze ponad 100-letnie, na siedlisku boru świeżego, całość doliny rzecznej poprzetykana jest wilgotnymi łąkami na podłożu torfowym. Jednocześnie, przedmiotowy obszar posiada nie tylko walory krajobrazowe, jest to również miejsce występowania różnych gatunków zwierząt. W latach 2011-2014 przeprowadzono badania ichtiofauny dopływów Brdy, w tym Bysławskiej Strugi. Stwierdzono wtedy obecność kiełba (bardzo liczny), różanki, kozy i płoci. Na terenie rezerwatu bardzo często widywany jest również bielik, dla którego są to bardzo atrakcyjne tereny pod względem dostępności pokarmu. Regularnie przebywa tutaj wataha wilków, </w:t>
      </w:r>
      <w:r>
        <w:rPr>
          <w:color w:val="000000"/>
          <w:szCs w:val="20"/>
          <w:shd w:val="clear" w:color="auto" w:fill="FFFFFF"/>
        </w:rPr>
        <w:t>widoczne</w:t>
      </w:r>
      <w:r>
        <w:rPr>
          <w:color w:val="000000"/>
          <w:szCs w:val="20"/>
          <w:shd w:val="clear" w:color="auto" w:fill="FFFFFF"/>
          <w:lang w:val="x-none" w:eastAsia="en-US" w:bidi="ar-SA"/>
        </w:rPr>
        <w:t xml:space="preserve"> są liczne ślady obecności bobrów. Z powyższych względów, warto zachować przedmiotowy teren dla przyszłych pokoleń, a ochrona w formie rezerwatu przyrody zapewni trwanie terenów leśnych wokół Zamrzonki oraz pozwoli, w razie potrzeby, zaplanować odpowiednie działania ochronne i wskazać dalszy kierunek postępowania z jej korytem (obecnie w dużej mierze uregulowanym). </w:t>
      </w:r>
    </w:p>
    <w:p>
      <w:pPr>
        <w:keepNext w:val="0"/>
        <w:keepLines w:val="0"/>
        <w:widowControl/>
        <w:suppressLineNumbers w:val="0"/>
        <w:shd w:val="clear" w:color="auto" w:fill="auto"/>
        <w:suppressAutoHyphens w:val="0"/>
        <w:spacing w:before="0" w:beforeAutospacing="0" w:after="0" w:afterAutospacing="0" w:line="360" w:lineRule="auto"/>
        <w:ind w:left="0" w:right="0" w:firstLine="708"/>
        <w:contextualSpacing w:val="0"/>
        <w:rPr>
          <w:color w:val="000000"/>
          <w:szCs w:val="20"/>
          <w:shd w:val="clear" w:color="auto" w:fill="FFFFFF"/>
          <w:lang w:val="x-none" w:eastAsia="en-US" w:bidi="ar-SA"/>
        </w:rPr>
      </w:pPr>
      <w:r>
        <w:rPr>
          <w:color w:val="000000"/>
          <w:szCs w:val="20"/>
          <w:shd w:val="clear" w:color="auto" w:fill="FFFFFF"/>
        </w:rPr>
        <w:t xml:space="preserve">Ze względu na powyższe walory przyrodnicze, celem ochrony </w:t>
      </w:r>
      <w:r>
        <w:rPr>
          <w:color w:val="000000"/>
          <w:szCs w:val="20"/>
          <w:shd w:val="clear" w:color="auto" w:fill="FFFFFF"/>
          <w:lang w:val="x-none" w:eastAsia="en-US" w:bidi="ar-SA"/>
        </w:rPr>
        <w:t xml:space="preserve">rezerwatu jest zachowanie </w:t>
      </w:r>
      <w:r>
        <w:rPr>
          <w:color w:val="000000"/>
          <w:szCs w:val="20"/>
          <w:shd w:val="clear" w:color="auto" w:fill="FFFFFF"/>
        </w:rPr>
        <w:t>mozaiki krajobrazów obecnych wokół strugi Zamrzonki, lasów, łąk i zbiorników wodnych.</w:t>
      </w:r>
    </w:p>
    <w:p>
      <w:pPr>
        <w:keepNext w:val="0"/>
        <w:keepLines w:val="0"/>
        <w:widowControl/>
        <w:suppressLineNumbers w:val="0"/>
        <w:shd w:val="clear" w:color="auto" w:fill="auto"/>
        <w:suppressAutoHyphens w:val="0"/>
        <w:spacing w:before="0" w:beforeAutospacing="0" w:after="0" w:afterAutospacing="0" w:line="360" w:lineRule="auto"/>
        <w:ind w:left="0" w:right="0" w:firstLine="708"/>
        <w:contextualSpacing w:val="0"/>
        <w:rPr>
          <w:color w:val="000000"/>
          <w:szCs w:val="20"/>
          <w:shd w:val="clear" w:color="auto" w:fill="FFFFFF"/>
          <w:lang w:val="x-none" w:eastAsia="en-US" w:bidi="ar-SA"/>
        </w:rPr>
      </w:pPr>
      <w:r>
        <w:rPr>
          <w:color w:val="000000"/>
          <w:szCs w:val="20"/>
          <w:shd w:val="clear" w:color="auto" w:fill="FFFFFF"/>
          <w:lang w:val="x-none" w:eastAsia="en-US" w:bidi="ar-SA"/>
        </w:rPr>
        <w:t>Zgodnie z rozporządzeniem Ministra Środowiska z dnia 30 marca 20</w:t>
      </w:r>
      <w:r>
        <w:rPr>
          <w:color w:val="000000"/>
          <w:szCs w:val="20"/>
          <w:shd w:val="clear" w:color="auto" w:fill="FFFFFF"/>
        </w:rPr>
        <w:t>0</w:t>
      </w:r>
      <w:r>
        <w:rPr>
          <w:color w:val="000000"/>
          <w:szCs w:val="20"/>
          <w:shd w:val="clear" w:color="auto" w:fill="FFFFFF"/>
          <w:lang w:val="x-none" w:eastAsia="en-US" w:bidi="ar-SA"/>
        </w:rPr>
        <w:t xml:space="preserve">5 r. </w:t>
      </w:r>
      <w:r>
        <w:rPr>
          <w:color w:val="000000"/>
          <w:szCs w:val="20"/>
          <w:shd w:val="clear" w:color="auto" w:fill="FFFFFF"/>
        </w:rPr>
        <w:t xml:space="preserve">w sprawie rodzajów, typów i podtypów rezerwatów przyrody </w:t>
      </w:r>
      <w:r>
        <w:rPr>
          <w:color w:val="000000"/>
          <w:szCs w:val="20"/>
          <w:shd w:val="clear" w:color="auto" w:fill="FFFFFF"/>
          <w:lang w:val="x-none" w:eastAsia="en-US" w:bidi="ar-SA"/>
        </w:rPr>
        <w:t xml:space="preserve">(Dz. U. z 2005 r., Nr 60, poz. 533) </w:t>
      </w:r>
      <w:r>
        <w:rPr>
          <w:color w:val="000000"/>
          <w:szCs w:val="20"/>
          <w:shd w:val="clear" w:color="auto" w:fill="FFFFFF"/>
        </w:rPr>
        <w:t xml:space="preserve">dla </w:t>
      </w:r>
      <w:r>
        <w:rPr>
          <w:color w:val="000000"/>
          <w:szCs w:val="20"/>
          <w:shd w:val="clear" w:color="auto" w:fill="FFFFFF"/>
          <w:lang w:val="x-none" w:eastAsia="en-US" w:bidi="ar-SA"/>
        </w:rPr>
        <w:t>rezerwat</w:t>
      </w:r>
      <w:r>
        <w:rPr>
          <w:color w:val="000000"/>
          <w:szCs w:val="20"/>
          <w:shd w:val="clear" w:color="auto" w:fill="FFFFFF"/>
        </w:rPr>
        <w:t>u</w:t>
      </w:r>
      <w:r>
        <w:rPr>
          <w:color w:val="000000"/>
          <w:szCs w:val="20"/>
          <w:shd w:val="clear" w:color="auto" w:fill="FFFFFF"/>
          <w:lang w:val="x-none" w:eastAsia="en-US" w:bidi="ar-SA"/>
        </w:rPr>
        <w:t xml:space="preserve"> przyrody </w:t>
      </w:r>
      <w:r>
        <w:rPr>
          <w:color w:val="000000"/>
          <w:szCs w:val="20"/>
          <w:shd w:val="clear" w:color="auto" w:fill="FFFFFF"/>
          <w:lang w:val="x-none" w:eastAsia="en-US" w:bidi="ar-SA"/>
        </w:rPr>
        <w:t>„</w:t>
      </w:r>
      <w:r>
        <w:rPr>
          <w:color w:val="000000"/>
          <w:szCs w:val="20"/>
          <w:shd w:val="clear" w:color="auto" w:fill="FFFFFF"/>
        </w:rPr>
        <w:t>Dolina Zamrzonki</w:t>
      </w:r>
      <w:r>
        <w:rPr>
          <w:color w:val="000000"/>
          <w:szCs w:val="20"/>
          <w:shd w:val="clear" w:color="auto" w:fill="FFFFFF"/>
          <w:lang w:val="x-none" w:eastAsia="en-US" w:bidi="ar-SA"/>
        </w:rPr>
        <w:t>”</w:t>
      </w:r>
      <w:r>
        <w:rPr>
          <w:color w:val="000000"/>
          <w:szCs w:val="20"/>
          <w:shd w:val="clear" w:color="auto" w:fill="FFFFFF"/>
          <w:lang w:val="x-none" w:eastAsia="en-US" w:bidi="ar-SA"/>
        </w:rPr>
        <w:t xml:space="preserve"> </w:t>
      </w:r>
      <w:r>
        <w:rPr>
          <w:color w:val="000000"/>
          <w:szCs w:val="20"/>
          <w:shd w:val="clear" w:color="auto" w:fill="FFFFFF"/>
        </w:rPr>
        <w:t>określono rodzaj rezerwatu</w:t>
      </w:r>
      <w:r>
        <w:rPr>
          <w:color w:val="000000"/>
          <w:szCs w:val="20"/>
          <w:shd w:val="clear" w:color="auto" w:fill="FFFFFF"/>
          <w:lang w:val="x-none" w:eastAsia="en-US" w:bidi="ar-SA"/>
        </w:rPr>
        <w:t xml:space="preserve"> </w:t>
      </w:r>
      <w:r>
        <w:rPr>
          <w:color w:val="000000"/>
          <w:szCs w:val="20"/>
          <w:shd w:val="clear" w:color="auto" w:fill="FFFFFF"/>
        </w:rPr>
        <w:t>Krajobrazowy</w:t>
      </w:r>
      <w:r>
        <w:rPr>
          <w:color w:val="000000"/>
          <w:szCs w:val="20"/>
          <w:shd w:val="clear" w:color="auto" w:fill="FFFFFF"/>
          <w:lang w:val="x-none" w:eastAsia="en-US" w:bidi="ar-SA"/>
        </w:rPr>
        <w:t xml:space="preserve"> (</w:t>
      </w:r>
      <w:r>
        <w:rPr>
          <w:color w:val="000000"/>
          <w:szCs w:val="20"/>
          <w:shd w:val="clear" w:color="auto" w:fill="FFFFFF"/>
        </w:rPr>
        <w:t>K</w:t>
      </w:r>
      <w:r>
        <w:rPr>
          <w:color w:val="000000"/>
          <w:szCs w:val="20"/>
          <w:shd w:val="clear" w:color="auto" w:fill="FFFFFF"/>
          <w:lang w:val="x-none" w:eastAsia="en-US" w:bidi="ar-SA"/>
        </w:rPr>
        <w:t>)</w:t>
      </w:r>
      <w:r>
        <w:rPr>
          <w:color w:val="000000"/>
          <w:szCs w:val="20"/>
          <w:shd w:val="clear" w:color="auto" w:fill="FFFFFF"/>
        </w:rPr>
        <w:t xml:space="preserve"> oraz </w:t>
      </w:r>
      <w:r>
        <w:rPr>
          <w:color w:val="000000"/>
          <w:szCs w:val="20"/>
          <w:shd w:val="clear" w:color="auto" w:fill="FFFFFF"/>
          <w:lang w:val="x-none" w:eastAsia="en-US" w:bidi="ar-SA"/>
        </w:rPr>
        <w:t>określ</w:t>
      </w:r>
      <w:r>
        <w:rPr>
          <w:color w:val="000000"/>
          <w:szCs w:val="20"/>
          <w:shd w:val="clear" w:color="auto" w:fill="FFFFFF"/>
        </w:rPr>
        <w:t>ono</w:t>
      </w:r>
      <w:r>
        <w:rPr>
          <w:color w:val="000000"/>
          <w:szCs w:val="20"/>
          <w:shd w:val="clear" w:color="auto" w:fill="FFFFFF"/>
          <w:lang w:val="x-none" w:eastAsia="en-US" w:bidi="ar-SA"/>
        </w:rPr>
        <w:t xml:space="preserve"> typ i podtyp:</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 xml:space="preserve">1) ze względu na dominujący przedmiot ochrony: typ – </w:t>
      </w:r>
      <w:r>
        <w:rPr>
          <w:color w:val="000000"/>
          <w:szCs w:val="20"/>
          <w:shd w:val="clear" w:color="auto" w:fill="FFFFFF"/>
        </w:rPr>
        <w:t>Krajobrazów</w:t>
      </w:r>
      <w:r>
        <w:rPr>
          <w:color w:val="000000"/>
          <w:szCs w:val="20"/>
          <w:shd w:val="clear" w:color="auto" w:fill="FFFFFF"/>
          <w:lang w:val="x-none" w:eastAsia="en-US" w:bidi="ar-SA"/>
        </w:rPr>
        <w:t xml:space="preserve"> (</w:t>
      </w:r>
      <w:r>
        <w:rPr>
          <w:color w:val="000000"/>
          <w:szCs w:val="20"/>
          <w:shd w:val="clear" w:color="auto" w:fill="FFFFFF"/>
        </w:rPr>
        <w:t>PKr</w:t>
      </w:r>
      <w:r>
        <w:rPr>
          <w:color w:val="000000"/>
          <w:szCs w:val="20"/>
          <w:shd w:val="clear" w:color="auto" w:fill="FFFFFF"/>
          <w:lang w:val="x-none" w:eastAsia="en-US" w:bidi="ar-SA"/>
        </w:rPr>
        <w:t xml:space="preserve">), podtyp </w:t>
      </w:r>
      <w:r>
        <w:rPr>
          <w:color w:val="000000"/>
          <w:szCs w:val="20"/>
          <w:shd w:val="clear" w:color="auto" w:fill="FFFFFF"/>
        </w:rPr>
        <w:t>- krajobrazów naturalnych</w:t>
      </w:r>
      <w:r>
        <w:rPr>
          <w:color w:val="000000"/>
          <w:szCs w:val="20"/>
          <w:shd w:val="clear" w:color="auto" w:fill="FFFFFF"/>
          <w:lang w:val="x-none" w:eastAsia="en-US" w:bidi="ar-SA"/>
        </w:rPr>
        <w:t xml:space="preserve"> (</w:t>
      </w:r>
      <w:r>
        <w:rPr>
          <w:color w:val="000000"/>
          <w:szCs w:val="20"/>
          <w:shd w:val="clear" w:color="auto" w:fill="FFFFFF"/>
        </w:rPr>
        <w:t>kn</w:t>
      </w:r>
      <w:r>
        <w:rPr>
          <w:color w:val="000000"/>
          <w:szCs w:val="20"/>
          <w:shd w:val="clear" w:color="auto" w:fill="FFFFFF"/>
          <w:lang w:val="x-none" w:eastAsia="en-US" w:bidi="ar-SA"/>
        </w:rPr>
        <w:t>);</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 xml:space="preserve">2) ze względu na główny typ ekosystemu: typ – Różnych ekosystemów (EE), </w:t>
      </w:r>
      <w:r>
        <w:rPr>
          <w:color w:val="000000"/>
          <w:szCs w:val="20"/>
          <w:shd w:val="clear" w:color="auto" w:fill="FFFFFF"/>
        </w:rPr>
        <w:t>podtyp - mozaiki różnych ekosystemów</w:t>
      </w:r>
      <w:r>
        <w:rPr>
          <w:color w:val="000000"/>
          <w:szCs w:val="20"/>
          <w:shd w:val="clear" w:color="auto" w:fill="FFFFFF"/>
          <w:lang w:val="x-none" w:eastAsia="en-US" w:bidi="ar-SA"/>
        </w:rPr>
        <w:t xml:space="preserve"> (</w:t>
      </w:r>
      <w:r>
        <w:rPr>
          <w:color w:val="000000"/>
          <w:szCs w:val="20"/>
          <w:shd w:val="clear" w:color="auto" w:fill="FFFFFF"/>
        </w:rPr>
        <w:t>me</w:t>
      </w:r>
      <w:r>
        <w:rPr>
          <w:color w:val="000000"/>
          <w:szCs w:val="20"/>
          <w:shd w:val="clear" w:color="auto" w:fill="FFFFFF"/>
          <w:lang w:val="x-none" w:eastAsia="en-US" w:bidi="ar-SA"/>
        </w:rPr>
        <w:t>).</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lang w:val="x-none" w:eastAsia="en-US" w:bidi="ar-SA"/>
        </w:rPr>
      </w:pPr>
      <w:r>
        <w:rPr>
          <w:color w:val="000000"/>
          <w:szCs w:val="20"/>
          <w:shd w:val="clear" w:color="auto" w:fill="FFFFFF"/>
          <w:lang w:val="x-none" w:eastAsia="en-US" w:bidi="ar-SA"/>
        </w:rPr>
        <w:t>W niniejszym akcie prawnym, wykorzystując dane systemu informacji przestrzennej, wprowadzono załączniki w postaci mapy obszaru rezerwatu oraz wykaz współrzędnych punktów załamania granic</w:t>
      </w:r>
      <w:r>
        <w:rPr>
          <w:color w:val="000000"/>
          <w:szCs w:val="20"/>
          <w:shd w:val="clear" w:color="auto" w:fill="FFFFFF"/>
        </w:rPr>
        <w:t xml:space="preserve"> rezerwatu</w:t>
      </w:r>
      <w:r>
        <w:rPr>
          <w:color w:val="000000"/>
          <w:szCs w:val="20"/>
          <w:shd w:val="clear" w:color="auto" w:fill="FFFFFF"/>
          <w:lang w:val="x-none" w:eastAsia="en-US" w:bidi="ar-SA"/>
        </w:rPr>
        <w:t xml:space="preserve">, sporządzonych w układzie współrzędnych płaskich prostokątnych PL-1992, o których mowa w rozporządzeniu Rady Ministrów z dnia 15 października 2012 r. w sprawie państwowego systemu odniesień przestrzennych </w:t>
      </w:r>
      <w:r>
        <w:rPr>
          <w:color w:val="000000"/>
          <w:szCs w:val="20"/>
          <w:shd w:val="clear" w:color="auto" w:fill="FFFFFF"/>
          <w:lang w:val="x-none" w:eastAsia="en-US" w:bidi="ar-SA"/>
        </w:rPr>
        <w:t>(Dz.U z 20</w:t>
      </w:r>
      <w:r>
        <w:rPr>
          <w:color w:val="000000"/>
          <w:szCs w:val="20"/>
          <w:shd w:val="clear" w:color="auto" w:fill="FFFFFF"/>
        </w:rPr>
        <w:t>24</w:t>
      </w:r>
      <w:r>
        <w:rPr>
          <w:color w:val="000000"/>
          <w:szCs w:val="20"/>
          <w:shd w:val="clear" w:color="auto" w:fill="FFFFFF"/>
          <w:lang w:val="x-none" w:eastAsia="en-US" w:bidi="ar-SA"/>
        </w:rPr>
        <w:t xml:space="preserve"> r., poz. </w:t>
      </w:r>
      <w:r>
        <w:rPr>
          <w:color w:val="000000"/>
          <w:szCs w:val="20"/>
          <w:shd w:val="clear" w:color="auto" w:fill="FFFFFF"/>
        </w:rPr>
        <w:t>342</w:t>
      </w:r>
      <w:r>
        <w:rPr>
          <w:color w:val="000000"/>
          <w:szCs w:val="20"/>
          <w:shd w:val="clear" w:color="auto" w:fill="FFFFFF"/>
          <w:lang w:val="x-none" w:eastAsia="en-US" w:bidi="ar-SA"/>
        </w:rPr>
        <w:t>).</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u w:color="000000"/>
          <w:shd w:val="clear" w:color="auto" w:fill="FFFFFF"/>
        </w:rPr>
      </w:pPr>
      <w:r>
        <w:rPr>
          <w:color w:val="000000"/>
          <w:szCs w:val="20"/>
          <w:shd w:val="clear" w:color="auto" w:fill="FFFFFF"/>
        </w:rPr>
        <w:t>R</w:t>
      </w:r>
      <w:r>
        <w:rPr>
          <w:color w:val="000000"/>
          <w:szCs w:val="20"/>
          <w:shd w:val="clear" w:color="auto" w:fill="FFFFFF"/>
          <w:lang w:val="x-none" w:eastAsia="en-US" w:bidi="ar-SA"/>
        </w:rPr>
        <w:t xml:space="preserve">ezerwat przyrody </w:t>
      </w:r>
      <w:r>
        <w:rPr>
          <w:color w:val="000000"/>
          <w:szCs w:val="20"/>
          <w:shd w:val="clear" w:color="auto" w:fill="FFFFFF"/>
          <w:lang w:val="x-none" w:eastAsia="en-US" w:bidi="ar-SA"/>
        </w:rPr>
        <w:t>„</w:t>
      </w:r>
      <w:r>
        <w:rPr>
          <w:color w:val="000000"/>
          <w:szCs w:val="20"/>
          <w:shd w:val="clear" w:color="auto" w:fill="FFFFFF"/>
        </w:rPr>
        <w:t>Dolina Zamrzonki</w:t>
      </w:r>
      <w:r>
        <w:rPr>
          <w:color w:val="000000"/>
          <w:szCs w:val="20"/>
          <w:shd w:val="clear" w:color="auto" w:fill="FFFFFF"/>
          <w:lang w:val="x-none" w:eastAsia="en-US" w:bidi="ar-SA"/>
        </w:rPr>
        <w:t>”</w:t>
      </w:r>
      <w:r>
        <w:rPr>
          <w:color w:val="000000"/>
          <w:szCs w:val="20"/>
          <w:shd w:val="clear" w:color="auto" w:fill="FFFFFF"/>
          <w:lang w:val="x-none" w:eastAsia="en-US" w:bidi="ar-SA"/>
        </w:rPr>
        <w:t xml:space="preserve"> </w:t>
      </w:r>
      <w:r>
        <w:rPr>
          <w:color w:val="000000"/>
          <w:szCs w:val="20"/>
          <w:u w:color="000000"/>
          <w:shd w:val="clear" w:color="auto" w:fill="FFFFFF"/>
          <w:lang w:val="x-none" w:eastAsia="en-US" w:bidi="ar-SA"/>
        </w:rPr>
        <w:t>położ</w:t>
      </w:r>
      <w:r>
        <w:rPr>
          <w:color w:val="000000"/>
          <w:szCs w:val="20"/>
          <w:u w:color="000000"/>
          <w:shd w:val="clear" w:color="auto" w:fill="FFFFFF"/>
        </w:rPr>
        <w:t>ony</w:t>
      </w:r>
      <w:r>
        <w:rPr>
          <w:color w:val="000000"/>
          <w:szCs w:val="20"/>
          <w:u w:color="000000"/>
          <w:shd w:val="clear" w:color="auto" w:fill="FFFFFF"/>
          <w:lang w:val="x-none" w:eastAsia="en-US" w:bidi="ar-SA"/>
        </w:rPr>
        <w:t xml:space="preserve"> </w:t>
      </w:r>
      <w:r>
        <w:rPr>
          <w:color w:val="000000"/>
          <w:szCs w:val="20"/>
          <w:u w:color="000000"/>
          <w:shd w:val="clear" w:color="auto" w:fill="FFFFFF"/>
        </w:rPr>
        <w:t>jest</w:t>
      </w:r>
      <w:r>
        <w:rPr>
          <w:color w:val="000000"/>
          <w:szCs w:val="20"/>
          <w:u w:color="000000"/>
          <w:shd w:val="clear" w:color="auto" w:fill="FFFFFF"/>
          <w:lang w:val="x-none" w:eastAsia="en-US" w:bidi="ar-SA"/>
        </w:rPr>
        <w:t xml:space="preserve"> na gruntach należących do Skarbu Państwa, zarządzanych </w:t>
      </w:r>
      <w:r>
        <w:rPr>
          <w:color w:val="000000"/>
          <w:szCs w:val="20"/>
          <w:u w:color="000000"/>
          <w:shd w:val="clear" w:color="auto" w:fill="FFFFFF"/>
        </w:rPr>
        <w:t xml:space="preserve">przez </w:t>
      </w:r>
      <w:r>
        <w:rPr>
          <w:color w:val="000000"/>
          <w:szCs w:val="20"/>
          <w:u w:color="000000"/>
          <w:shd w:val="clear" w:color="auto" w:fill="FFFFFF"/>
          <w:lang w:val="x-none" w:eastAsia="en-US" w:bidi="ar-SA"/>
        </w:rPr>
        <w:t xml:space="preserve">Państwowe Gospodarstwo Leśne Lasy Państwowe Nadleśnictwo </w:t>
      </w:r>
      <w:r>
        <w:rPr>
          <w:color w:val="000000"/>
          <w:szCs w:val="20"/>
          <w:u w:color="000000"/>
          <w:shd w:val="clear" w:color="auto" w:fill="FFFFFF"/>
        </w:rPr>
        <w:t xml:space="preserve">Zamrzenica oraz </w:t>
      </w:r>
      <w:r>
        <w:rPr>
          <w:color w:val="000000"/>
          <w:szCs w:val="20"/>
          <w:u w:color="000000"/>
          <w:shd w:val="clear" w:color="auto" w:fill="FFFFFF"/>
          <w:lang w:val="x-none" w:eastAsia="en-US" w:bidi="ar-SA"/>
        </w:rPr>
        <w:t>Państwowe Gospodarstwo Wodne Wody Polskie Regionalny Zarząd Gospodarki Wodnej w Gdańsku</w:t>
      </w:r>
      <w:r>
        <w:rPr>
          <w:color w:val="000000"/>
          <w:szCs w:val="20"/>
          <w:u w:color="000000"/>
          <w:shd w:val="clear" w:color="auto" w:fill="FFFFFF"/>
        </w:rPr>
        <w:t>.</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u w:color="000000"/>
          <w:shd w:val="clear" w:color="auto" w:fill="FFFFFF"/>
          <w:lang w:val="x-none" w:eastAsia="en-US" w:bidi="ar-SA"/>
        </w:rPr>
        <w:t xml:space="preserve">Państwowe Gospodarstwo Leśne Lasy Państwowe Nadleśnictwo </w:t>
      </w:r>
      <w:r>
        <w:rPr>
          <w:color w:val="000000"/>
          <w:szCs w:val="20"/>
          <w:u w:color="000000"/>
          <w:shd w:val="clear" w:color="auto" w:fill="FFFFFF"/>
        </w:rPr>
        <w:t xml:space="preserve">Zamrzenica, wyraziło zgodę na utworzenie rezerwatu przyrody </w:t>
      </w:r>
      <w:r>
        <w:rPr>
          <w:color w:val="000000"/>
          <w:szCs w:val="20"/>
          <w:shd w:val="clear" w:color="auto" w:fill="FFFFFF"/>
          <w:lang w:val="x-none" w:eastAsia="en-US" w:bidi="ar-SA"/>
        </w:rPr>
        <w:t>„</w:t>
      </w:r>
      <w:r>
        <w:rPr>
          <w:color w:val="000000"/>
          <w:szCs w:val="20"/>
          <w:shd w:val="clear" w:color="auto" w:fill="FFFFFF"/>
        </w:rPr>
        <w:t>Dolina Zamrzonki</w:t>
      </w:r>
      <w:r>
        <w:rPr>
          <w:color w:val="000000"/>
          <w:szCs w:val="20"/>
          <w:shd w:val="clear" w:color="auto" w:fill="FFFFFF"/>
          <w:lang w:val="x-none" w:eastAsia="en-US" w:bidi="ar-SA"/>
        </w:rPr>
        <w:t>”</w:t>
      </w:r>
      <w:r>
        <w:rPr>
          <w:color w:val="000000"/>
          <w:szCs w:val="20"/>
          <w:shd w:val="clear" w:color="auto" w:fill="FFFFFF"/>
        </w:rPr>
        <w:t xml:space="preserve"> i zaopiniowało projekt rezerwatu</w:t>
      </w:r>
      <w:r>
        <w:rPr>
          <w:color w:val="000000"/>
          <w:szCs w:val="20"/>
          <w:shd w:val="clear" w:color="auto" w:fill="FFFFFF"/>
          <w:lang w:val="ar-SA" w:eastAsia="ar-SA" w:bidi="ar-SA"/>
        </w:rPr>
        <w:t xml:space="preserve"> </w:t>
      </w:r>
      <w:r>
        <w:rPr>
          <w:color w:val="000000"/>
          <w:szCs w:val="20"/>
          <w:shd w:val="clear" w:color="auto" w:fill="FFFFFF"/>
        </w:rPr>
        <w:t>pozytywnie pismem z dnia 26 września 2024 r., znak ZG.7212.11.2024.</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u w:color="000000"/>
          <w:shd w:val="clear" w:color="auto" w:fill="FFFFFF"/>
        </w:rPr>
        <w:t xml:space="preserve">Regionalna Dyrekcja Lasów Państwowych w Toruniu wyraziła zgodę na utworzenie rezerwatu przyrody </w:t>
      </w:r>
      <w:r>
        <w:rPr>
          <w:color w:val="000000"/>
          <w:szCs w:val="20"/>
          <w:shd w:val="clear" w:color="auto" w:fill="FFFFFF"/>
          <w:lang w:val="x-none" w:eastAsia="en-US" w:bidi="ar-SA"/>
        </w:rPr>
        <w:t>„</w:t>
      </w:r>
      <w:r>
        <w:rPr>
          <w:color w:val="000000"/>
          <w:szCs w:val="20"/>
          <w:shd w:val="clear" w:color="auto" w:fill="FFFFFF"/>
        </w:rPr>
        <w:t>Dolina Zamrzonki</w:t>
      </w:r>
      <w:r>
        <w:rPr>
          <w:color w:val="000000"/>
          <w:szCs w:val="20"/>
          <w:shd w:val="clear" w:color="auto" w:fill="FFFFFF"/>
          <w:lang w:val="x-none" w:eastAsia="en-US" w:bidi="ar-SA"/>
        </w:rPr>
        <w:t>”</w:t>
      </w:r>
      <w:r>
        <w:rPr>
          <w:color w:val="000000"/>
          <w:szCs w:val="20"/>
          <w:shd w:val="clear" w:color="auto" w:fill="FFFFFF"/>
        </w:rPr>
        <w:t xml:space="preserve"> i zaopiniowała projekt rezerwatu</w:t>
      </w:r>
      <w:r>
        <w:rPr>
          <w:color w:val="000000"/>
          <w:szCs w:val="20"/>
          <w:shd w:val="clear" w:color="auto" w:fill="FFFFFF"/>
          <w:lang w:val="ar-SA" w:eastAsia="ar-SA" w:bidi="ar-SA"/>
        </w:rPr>
        <w:t xml:space="preserve"> </w:t>
      </w:r>
      <w:r>
        <w:rPr>
          <w:color w:val="000000"/>
          <w:szCs w:val="20"/>
          <w:shd w:val="clear" w:color="auto" w:fill="FFFFFF"/>
        </w:rPr>
        <w:t>pozytywnie pismem z dnia 17 września 2024 r., znak 1ZO.7212.13.2024.</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u w:color="000000"/>
          <w:shd w:val="clear" w:color="auto" w:fill="FFFFFF"/>
          <w:lang w:val="x-none" w:eastAsia="en-US" w:bidi="ar-SA"/>
        </w:rPr>
        <w:t>Państwowe Gospodarstwo Wodne Wody Polskie Regionalny Zarząd Gospodarki Wodnej w Gdańsku</w:t>
      </w:r>
      <w:r>
        <w:rPr>
          <w:color w:val="000000"/>
          <w:szCs w:val="20"/>
          <w:u w:color="000000"/>
          <w:shd w:val="clear" w:color="auto" w:fill="FFFFFF"/>
        </w:rPr>
        <w:t xml:space="preserve">, zarządca części obszaru rezerwatu, wyraziło zgodę na utworzenie rezerwatu przyrody </w:t>
      </w:r>
      <w:r>
        <w:rPr>
          <w:color w:val="000000"/>
          <w:szCs w:val="20"/>
          <w:shd w:val="clear" w:color="auto" w:fill="FFFFFF"/>
          <w:lang w:val="x-none" w:eastAsia="en-US" w:bidi="ar-SA"/>
        </w:rPr>
        <w:t>„</w:t>
      </w:r>
      <w:r>
        <w:rPr>
          <w:color w:val="000000"/>
          <w:szCs w:val="20"/>
          <w:shd w:val="clear" w:color="auto" w:fill="FFFFFF"/>
        </w:rPr>
        <w:t>Dolina Zamrzonki</w:t>
      </w:r>
      <w:r>
        <w:rPr>
          <w:color w:val="000000"/>
          <w:szCs w:val="20"/>
          <w:shd w:val="clear" w:color="auto" w:fill="FFFFFF"/>
          <w:lang w:val="x-none" w:eastAsia="en-US" w:bidi="ar-SA"/>
        </w:rPr>
        <w:t>”</w:t>
      </w:r>
      <w:r>
        <w:rPr>
          <w:color w:val="000000"/>
          <w:szCs w:val="20"/>
          <w:shd w:val="clear" w:color="auto" w:fill="FFFFFF"/>
        </w:rPr>
        <w:t xml:space="preserve"> i zaopiniowało projekt rezerwatu</w:t>
      </w:r>
      <w:r>
        <w:rPr>
          <w:color w:val="000000"/>
          <w:szCs w:val="20"/>
          <w:shd w:val="clear" w:color="auto" w:fill="FFFFFF"/>
          <w:lang w:val="ar-SA" w:eastAsia="ar-SA" w:bidi="ar-SA"/>
        </w:rPr>
        <w:t xml:space="preserve"> </w:t>
      </w:r>
      <w:r>
        <w:rPr>
          <w:color w:val="000000"/>
          <w:szCs w:val="20"/>
          <w:shd w:val="clear" w:color="auto" w:fill="FFFFFF"/>
        </w:rPr>
        <w:t>pozytywnie pismem z dnia 13 grudnia 2024 r., znak G.RUM.2313.1.140.2024.RL</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lang w:val="x-none" w:eastAsia="en-US" w:bidi="ar-SA"/>
        </w:rPr>
      </w:pPr>
      <w:r>
        <w:rPr>
          <w:color w:val="000000"/>
          <w:szCs w:val="20"/>
          <w:shd w:val="clear" w:color="auto" w:fill="FFFFFF"/>
          <w:lang w:val="x-none" w:eastAsia="en-US" w:bidi="ar-SA"/>
        </w:rPr>
        <w:t xml:space="preserve">Nadzór nad rezerwatem powierzony został </w:t>
      </w:r>
      <w:r>
        <w:rPr>
          <w:color w:val="000000"/>
          <w:szCs w:val="20"/>
          <w:shd w:val="clear" w:color="auto" w:fill="FFFFFF"/>
          <w:lang w:val="x-none" w:eastAsia="en-US" w:bidi="ar-SA"/>
        </w:rPr>
        <w:t>Regionaln</w:t>
      </w:r>
      <w:r>
        <w:rPr>
          <w:color w:val="000000"/>
          <w:szCs w:val="20"/>
          <w:shd w:val="clear" w:color="auto" w:fill="FFFFFF"/>
        </w:rPr>
        <w:t>emu</w:t>
      </w:r>
      <w:r>
        <w:rPr>
          <w:color w:val="000000"/>
          <w:szCs w:val="20"/>
          <w:shd w:val="clear" w:color="auto" w:fill="FFFFFF"/>
          <w:lang w:val="x-none" w:eastAsia="en-US" w:bidi="ar-SA"/>
        </w:rPr>
        <w:t xml:space="preserve"> Dyrektor</w:t>
      </w:r>
      <w:r>
        <w:rPr>
          <w:color w:val="000000"/>
          <w:szCs w:val="20"/>
          <w:shd w:val="clear" w:color="auto" w:fill="FFFFFF"/>
        </w:rPr>
        <w:t>owi</w:t>
      </w:r>
      <w:r>
        <w:rPr>
          <w:color w:val="000000"/>
          <w:szCs w:val="20"/>
          <w:shd w:val="clear" w:color="auto" w:fill="FFFFFF"/>
          <w:lang w:val="x-none" w:eastAsia="en-US" w:bidi="ar-SA"/>
        </w:rPr>
        <w:t xml:space="preserve"> Ochrony Środowiska w Bydgoszczy</w:t>
      </w:r>
      <w:r>
        <w:rPr>
          <w:color w:val="000000"/>
          <w:szCs w:val="20"/>
          <w:shd w:val="clear" w:color="auto" w:fill="FFFFFF"/>
          <w:lang w:val="x-none" w:eastAsia="en-US" w:bidi="ar-SA"/>
        </w:rPr>
        <w:t>.</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 xml:space="preserve">Projekt zarządzenia został zaopiniowany pozytywnie przez Regionalną Radę Ochrony Przyrody w Bydgoszczy  uchwałą </w:t>
      </w:r>
      <w:r>
        <w:rPr>
          <w:color w:val="000000"/>
          <w:szCs w:val="20"/>
          <w:shd w:val="clear" w:color="auto" w:fill="FFFFFF"/>
        </w:rPr>
        <w:t xml:space="preserve">nr 3/2025, z dnia 13 marca 2025 r. </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lang w:val="en-US" w:eastAsia="en-US" w:bidi="en-US"/>
        </w:rPr>
        <w:t xml:space="preserve">Na podstawie art. 59 ust. 2 ustawy z dnia 23 stycznia 2009 r. o wojewodzie i administracji rządowej w województwie </w:t>
      </w:r>
      <w:r>
        <w:rPr>
          <w:color w:val="000000"/>
          <w:sz w:val="23"/>
          <w:szCs w:val="20"/>
          <w:shd w:val="clear" w:color="auto" w:fill="FFFFFF"/>
        </w:rPr>
        <w:t>(Dz. U. z 2025 r. poz. 428)</w:t>
      </w:r>
      <w:r>
        <w:rPr>
          <w:color w:val="000000"/>
          <w:szCs w:val="20"/>
          <w:shd w:val="clear" w:color="auto" w:fill="FFFFFF"/>
          <w:lang w:val="en-US" w:eastAsia="en-US" w:bidi="en-US"/>
        </w:rPr>
        <w:t xml:space="preserve">, </w:t>
      </w:r>
      <w:r>
        <w:rPr>
          <w:color w:val="000000"/>
          <w:szCs w:val="20"/>
          <w:shd w:val="clear" w:color="auto" w:fill="FFFFFF"/>
        </w:rPr>
        <w:t xml:space="preserve">projekt zarządzenia </w:t>
      </w:r>
      <w:r>
        <w:rPr>
          <w:color w:val="000000"/>
          <w:szCs w:val="20"/>
          <w:shd w:val="clear" w:color="auto" w:fill="FFFFFF"/>
          <w:lang w:val="en-US" w:eastAsia="en-US" w:bidi="en-US"/>
        </w:rPr>
        <w:t xml:space="preserve">został uzgodniony przez Wojewodę Kujawsko-Pomorskiego </w:t>
      </w:r>
      <w:r>
        <w:rPr>
          <w:color w:val="000000"/>
          <w:szCs w:val="20"/>
          <w:shd w:val="clear" w:color="auto" w:fill="FFFFFF"/>
        </w:rPr>
        <w:t xml:space="preserve">pismem znak: WRS.II.710.4.1.2025, z dnia 20 marca 2025 r. </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rPr>
          <w:color w:val="000000"/>
          <w:szCs w:val="20"/>
          <w:shd w:val="clear" w:color="auto" w:fill="FFFFFF"/>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right"/>
        <w:rPr>
          <w:color w:val="000000"/>
          <w:szCs w:val="20"/>
          <w:shd w:val="clear" w:color="auto" w:fill="FFFFFF"/>
          <w:lang w:val="x-none" w:eastAsia="en-US" w:bidi="ar-SA"/>
        </w:rPr>
      </w:pPr>
      <w:r>
        <w:drawing>
          <wp:inline>
            <wp:extent cx="2639060" cy="105219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2"/>
                    <a:stretch>
                      <a:fillRect/>
                    </a:stretch>
                  </pic:blipFill>
                  <pic:spPr>
                    <a:xfrm>
                      <a:off x="0" y="0"/>
                      <a:ext cx="2639060" cy="1052195"/>
                    </a:xfrm>
                    <a:prstGeom prst="rect">
                      <a:avLst/>
                    </a:prstGeom>
                    <a:noFill/>
                  </pic:spPr>
                </pic:pic>
              </a:graphicData>
            </a:graphic>
          </wp:inline>
        </w:drawing>
      </w:r>
    </w:p>
    <w:sectPr>
      <w:footerReference w:type="default" r:id="rId23"/>
      <w:type w:val="nextPage"/>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A90F657F-FA04-44B1-A60D-1EB660BAE0D5. Uchwalony</w:t>
          </w:r>
        </w:p>
      </w:tc>
      <w:tc>
        <w:tcPr>
          <w:tcW w:w="3289" w:type="dxa"/>
          <w:tcBorders>
            <w:top w:val="single" w:sz="2" w:space="0" w:color="auto"/>
            <w:left w:val="nil"/>
            <w:bottom w:val="nil"/>
            <w:right w:val="nil"/>
          </w:tcBorders>
          <w:noWrap w:val="0"/>
          <w:tcMar>
            <w:top w:w="100" w:type="dxa"/>
          </w:tcMar>
          <w:textDirection w:val="lrTb"/>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A90F657F-FA04-44B1-A60D-1EB660BAE0D5. Uchwalony</w:t>
          </w:r>
        </w:p>
      </w:tc>
      <w:tc>
        <w:tcPr>
          <w:tcW w:w="3289" w:type="dxa"/>
          <w:tcBorders>
            <w:top w:val="single" w:sz="2" w:space="0" w:color="auto"/>
            <w:left w:val="nil"/>
            <w:bottom w:val="nil"/>
            <w:right w:val="nil"/>
          </w:tcBorders>
          <w:noWrap w:val="0"/>
          <w:tcMar>
            <w:top w:w="100" w:type="dxa"/>
          </w:tcMar>
          <w:textDirection w:val="lrTb"/>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A90F657F-FA04-44B1-A60D-1EB660BAE0D5. Uchwalony</w:t>
          </w:r>
        </w:p>
      </w:tc>
      <w:tc>
        <w:tcPr>
          <w:tcW w:w="3289" w:type="dxa"/>
          <w:tcBorders>
            <w:top w:val="single" w:sz="2" w:space="0" w:color="auto"/>
            <w:left w:val="nil"/>
            <w:bottom w:val="nil"/>
            <w:right w:val="nil"/>
          </w:tcBorders>
          <w:noWrap w:val="0"/>
          <w:tcMar>
            <w:top w:w="100" w:type="dxa"/>
          </w:tcMar>
          <w:textDirection w:val="lrTb"/>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A90F657F-FA04-44B1-A60D-1EB660BAE0D5. Uchwalony</w:t>
          </w:r>
        </w:p>
      </w:tc>
      <w:tc>
        <w:tcPr>
          <w:tcW w:w="3289" w:type="dxa"/>
          <w:tcBorders>
            <w:top w:val="single" w:sz="2" w:space="0" w:color="auto"/>
            <w:left w:val="nil"/>
            <w:bottom w:val="nil"/>
            <w:right w:val="nil"/>
          </w:tcBorders>
          <w:noWrap w:val="0"/>
          <w:tcMar>
            <w:top w:w="100" w:type="dxa"/>
          </w:tcMar>
          <w:textDirection w:val="lrTb"/>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03"/>
      <w:gridCol w:w="32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403" w:type="dxa"/>
          <w:tcBorders>
            <w:top w:val="single" w:sz="2" w:space="0" w:color="auto"/>
            <w:left w:val="nil"/>
            <w:bottom w:val="nil"/>
            <w:right w:val="nil"/>
          </w:tcBorders>
          <w:noWrap w:val="0"/>
          <w:tcMar>
            <w:top w:w="100" w:type="dxa"/>
          </w:tcMar>
          <w:textDirection w:val="lrTb"/>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A90F657F-FA04-44B1-A60D-1EB660BAE0D5. Uchwalony</w:t>
          </w:r>
        </w:p>
      </w:tc>
      <w:tc>
        <w:tcPr>
          <w:tcW w:w="3202" w:type="dxa"/>
          <w:tcBorders>
            <w:top w:val="single" w:sz="2" w:space="0" w:color="auto"/>
            <w:left w:val="nil"/>
            <w:bottom w:val="nil"/>
            <w:right w:val="nil"/>
          </w:tcBorders>
          <w:noWrap w:val="0"/>
          <w:tcMar>
            <w:top w:w="100" w:type="dxa"/>
          </w:tcMar>
          <w:textDirection w:val="lrTb"/>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pPr>
      <w:r>
        <w:separator/>
      </w:r>
    </w:p>
  </w:footnote>
  <w:footnote w:type="continuationSeparator" w:id="1">
    <w:p>
      <w:pPr>
        <w:spacing w:after="0" w:line="240" w:lineRule="auto"/>
      </w:pPr>
      <w:r>
        <w:continuationSeparator/>
      </w:r>
    </w:p>
  </w:footnote>
  <w:footnote w:id="2">
    <w:p>
      <w:pPr>
        <w:pStyle w:val="FootnoteText"/>
        <w:keepNext w:val="0"/>
        <w:keepLines/>
        <w:spacing w:before="0" w:after="0" w:line="240" w:lineRule="auto"/>
        <w:ind w:left="170" w:right="0" w:hanging="170"/>
        <w:jc w:val="both"/>
        <w:rPr>
          <w:rFonts w:ascii="Times New Roman" w:eastAsia="Times New Roman" w:hAnsi="Times New Roman" w:cs="Times New Roman"/>
          <w:sz w:val="20"/>
        </w:rPr>
      </w:pPr>
      <w:r>
        <w:rPr>
          <w:rStyle w:val="FootnoteReference"/>
          <w:b w:val="0"/>
          <w:caps w:val="0"/>
        </w:rPr>
        <w:t>1) </w:t>
      </w:r>
      <w:r>
        <w:rPr>
          <w:rFonts w:ascii="Times New Roman" w:eastAsia="Times New Roman" w:hAnsi="Times New Roman" w:cs="Times New Roman"/>
          <w:b w:val="0"/>
          <w:caps w:val="0"/>
          <w:sz w:val="20"/>
        </w:rPr>
        <w:t>Układ współrzędnych płaskich prostokątnych PL-1992 jest jednym z układów tworzących państwowy system odniesień przestrzennych, o którym mowa w przepisach wydanych na podstawie art. 3 ust. 5 ustawy z dnia 17 maja 1989 r. – Prawo geodezyjne i kartograficzne (t.j. Dz. U. z 2024 r. poz. 1151 i 1824).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footnotePr>
    <w:footnote w:id="0"/>
    <w:footnote w:id="1"/>
  </w:footnotePr>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lang w:val="pl-PL" w:eastAsia="pl-PL" w:bidi="pl-PL"/>
    </w:rPr>
  </w:style>
  <w:style w:type="character" w:default="1" w:styleId="DefaultParagraphFont">
    <w:name w:val="Default Paragraph Font"/>
    <w:semiHidden/>
    <w:rPr>
      <w:lang w:val="pl-PL" w:eastAsia="pl-PL" w:bidi="pl-PL"/>
    </w:rPr>
  </w:style>
  <w:style w:type="table" w:default="1" w:styleId="TableNormal">
    <w:name w:val="Normal Table"/>
    <w:semiHidden/>
    <w:rPr>
      <w:lang w:val="pl-PL" w:eastAsia="pl-PL" w:bidi="pl-PL"/>
    </w:rPr>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basedOn w:val="DefaultParagraphFont"/>
    <w:rsid w:val="00805BCE"/>
    <w:rPr>
      <w:vertAlign w:val="superscript"/>
    </w:rPr>
  </w:style>
  <w:style w:type="paragraph" w:styleId="FootnoteText">
    <w:name w:val="footnote text"/>
    <w:basedOn w:val="Normal"/>
    <w:rsid w:val="00805BCE"/>
    <w:rPr>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image" Target="Zalacznik13C0D12B-2B2D-4161-A305-69D83206FFEC.jpg" TargetMode="External" /><Relationship Id="rId12" Type="http://schemas.openxmlformats.org/officeDocument/2006/relationships/image" Target="media/image4.png" /><Relationship Id="rId13" Type="http://schemas.openxmlformats.org/officeDocument/2006/relationships/image" Target="Zalacznik7F358C45-CD56-4314-B40B-84FF61B72995.jpg" TargetMode="External" /><Relationship Id="rId14" Type="http://schemas.openxmlformats.org/officeDocument/2006/relationships/image" Target="media/image5.png" /><Relationship Id="rId15" Type="http://schemas.openxmlformats.org/officeDocument/2006/relationships/image" Target="Zalacznik7D279614-B57D-4753-A34D-A3E3AD8C50AF.jpg" TargetMode="External" /><Relationship Id="rId16" Type="http://schemas.openxmlformats.org/officeDocument/2006/relationships/image" Target="ZalacznikD1884A55-D706-48BD-9802-D79E66C119E0.jpg" TargetMode="External" /><Relationship Id="rId17" Type="http://schemas.openxmlformats.org/officeDocument/2006/relationships/footer" Target="footer2.xml" /><Relationship Id="rId18" Type="http://schemas.openxmlformats.org/officeDocument/2006/relationships/image" Target="Zalacznik6DE716DA-1301-4C2A-8F75-9CADD8A19EB3.jpg" TargetMode="External" /><Relationship Id="rId19" Type="http://schemas.openxmlformats.org/officeDocument/2006/relationships/footer" Target="footer3.xml" /><Relationship Id="rId2" Type="http://schemas.openxmlformats.org/officeDocument/2006/relationships/settings" Target="settings.xml" /><Relationship Id="rId20" Type="http://schemas.openxmlformats.org/officeDocument/2006/relationships/image" Target="Zalacznik081ACC90-2245-49DC-BE5A-EB9D59EF2134.jpg" TargetMode="External" /><Relationship Id="rId21" Type="http://schemas.openxmlformats.org/officeDocument/2006/relationships/footer" Target="footer4.xml" /><Relationship Id="rId22" Type="http://schemas.openxmlformats.org/officeDocument/2006/relationships/image" Target="media/image6.jpeg" /><Relationship Id="rId23" Type="http://schemas.openxmlformats.org/officeDocument/2006/relationships/footer" Target="footer5.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jpeg" /><Relationship Id="rId6" Type="http://schemas.openxmlformats.org/officeDocument/2006/relationships/image" Target="Zalacznik8CE1D18C-3D55-4372-AD0E-5E35DB24064A.jpg" TargetMode="External" /><Relationship Id="rId7" Type="http://schemas.openxmlformats.org/officeDocument/2006/relationships/footer" Target="footer1.xml" /><Relationship Id="rId8" Type="http://schemas.openxmlformats.org/officeDocument/2006/relationships/image" Target="media/image2.png" /><Relationship Id="rId9" Type="http://schemas.openxmlformats.org/officeDocument/2006/relationships/image" Target="ZalacznikEE840103-6749-4F0E-A3A0-204B6DA1B87F.jpg" TargetMode="Externa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Regionalny Dyrektor Ochrony Środowiska w Bydgoszczy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z dnia 4 czerwca 2025 r.</dc:title>
  <dc:subject>w^sprawie uznania za rezerwat przyrody „Dolina Zamrzonki”</dc:subject>
  <dc:creator>kleszczynska</dc:creator>
  <cp:lastModifiedBy>kleszczynska</cp:lastModifiedBy>
  <cp:revision>1</cp:revision>
  <dcterms:created xsi:type="dcterms:W3CDTF">2025-06-02T13:14:51Z</dcterms:created>
  <dcterms:modified xsi:type="dcterms:W3CDTF">2025-06-02T13:14:51Z</dcterms:modified>
  <cp:category>Akt prawny</cp:category>
</cp:coreProperties>
</file>