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DD66" w14:textId="508FD3C2" w:rsidR="002A7903" w:rsidRPr="00D9249C" w:rsidRDefault="00065658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D924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70C2">
        <w:rPr>
          <w:rFonts w:asciiTheme="minorHAnsi" w:hAnsiTheme="minorHAnsi" w:cstheme="minorHAnsi"/>
          <w:b/>
          <w:sz w:val="22"/>
          <w:szCs w:val="22"/>
        </w:rPr>
        <w:t>1</w:t>
      </w:r>
      <w:r w:rsidR="00832EE7" w:rsidRPr="00D9249C">
        <w:rPr>
          <w:rFonts w:asciiTheme="minorHAnsi" w:hAnsiTheme="minorHAnsi" w:cstheme="minorHAnsi"/>
          <w:b/>
          <w:sz w:val="22"/>
          <w:szCs w:val="22"/>
        </w:rPr>
        <w:t>/202</w:t>
      </w:r>
      <w:r w:rsidR="00B977CF">
        <w:rPr>
          <w:rFonts w:asciiTheme="minorHAnsi" w:hAnsiTheme="minorHAnsi" w:cstheme="minorHAnsi"/>
          <w:b/>
          <w:sz w:val="22"/>
          <w:szCs w:val="22"/>
        </w:rPr>
        <w:t>5</w:t>
      </w:r>
    </w:p>
    <w:p w14:paraId="3A8242AF" w14:textId="77777777" w:rsidR="00025037" w:rsidRPr="00D9249C" w:rsidRDefault="00025037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D9249C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D9249C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D9249C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D9249C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14:paraId="22862E93" w14:textId="58BBF06B" w:rsidR="000A74FB" w:rsidRPr="00F43D61" w:rsidRDefault="004057C8" w:rsidP="00B63421">
      <w:pPr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3D61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BB23CE">
        <w:rPr>
          <w:rFonts w:asciiTheme="minorHAnsi" w:hAnsiTheme="minorHAnsi" w:cstheme="minorHAnsi"/>
          <w:b/>
          <w:sz w:val="22"/>
          <w:szCs w:val="22"/>
        </w:rPr>
        <w:t>2</w:t>
      </w:r>
      <w:r w:rsidR="0078747B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701" w:rsidRPr="00F43D61">
        <w:rPr>
          <w:rFonts w:asciiTheme="minorHAnsi" w:hAnsiTheme="minorHAnsi" w:cstheme="minorHAnsi"/>
          <w:b/>
          <w:sz w:val="22"/>
          <w:szCs w:val="22"/>
        </w:rPr>
        <w:t>-</w:t>
      </w:r>
      <w:r w:rsidR="0078747B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23CE">
        <w:rPr>
          <w:rFonts w:asciiTheme="minorHAnsi" w:hAnsiTheme="minorHAnsi" w:cstheme="minorHAnsi"/>
          <w:b/>
          <w:sz w:val="22"/>
          <w:szCs w:val="22"/>
        </w:rPr>
        <w:t>31</w:t>
      </w:r>
      <w:r w:rsidR="0059788E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77CF">
        <w:rPr>
          <w:rFonts w:asciiTheme="minorHAnsi" w:hAnsiTheme="minorHAnsi" w:cstheme="minorHAnsi"/>
          <w:b/>
          <w:sz w:val="22"/>
          <w:szCs w:val="22"/>
        </w:rPr>
        <w:t>STYCZNIA</w:t>
      </w:r>
      <w:r w:rsidR="006000E2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F43D61">
        <w:rPr>
          <w:rFonts w:asciiTheme="minorHAnsi" w:hAnsiTheme="minorHAnsi" w:cstheme="minorHAnsi"/>
          <w:b/>
          <w:sz w:val="22"/>
          <w:szCs w:val="22"/>
        </w:rPr>
        <w:t>202</w:t>
      </w:r>
      <w:r w:rsidR="00B977CF">
        <w:rPr>
          <w:rFonts w:asciiTheme="minorHAnsi" w:hAnsiTheme="minorHAnsi" w:cstheme="minorHAnsi"/>
          <w:b/>
          <w:sz w:val="22"/>
          <w:szCs w:val="22"/>
        </w:rPr>
        <w:t>5</w:t>
      </w:r>
      <w:r w:rsidR="005F609B" w:rsidRPr="00F43D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03007670" w14:textId="07D2F5E4" w:rsidR="001135AF" w:rsidRPr="00627A97" w:rsidRDefault="0025693F" w:rsidP="00627A97">
      <w:pPr>
        <w:jc w:val="both"/>
      </w:pPr>
      <w:r w:rsidRPr="0064758B">
        <w:rPr>
          <w:rFonts w:ascii="Calibri" w:hAnsi="Calibri" w:cs="Calibri"/>
          <w:sz w:val="22"/>
          <w:szCs w:val="22"/>
        </w:rPr>
        <w:t xml:space="preserve">W </w:t>
      </w:r>
      <w:r w:rsidRPr="00627A97">
        <w:rPr>
          <w:rFonts w:ascii="Calibri" w:hAnsi="Calibri" w:cs="Calibri"/>
          <w:sz w:val="22"/>
          <w:szCs w:val="22"/>
        </w:rPr>
        <w:t>okresie objętym niniejszą informacją</w:t>
      </w:r>
      <w:r w:rsidR="00627A97" w:rsidRPr="00627A97">
        <w:rPr>
          <w:rFonts w:ascii="Calibri" w:hAnsi="Calibri" w:cs="Calibri"/>
          <w:sz w:val="22"/>
          <w:szCs w:val="22"/>
        </w:rPr>
        <w:t xml:space="preserve"> </w:t>
      </w:r>
      <w:r w:rsidR="000A74FB" w:rsidRPr="00627A97">
        <w:rPr>
          <w:rFonts w:ascii="Calibri" w:hAnsi="Calibri" w:cs="Calibri"/>
          <w:sz w:val="22"/>
          <w:szCs w:val="22"/>
        </w:rPr>
        <w:t>Komitet do Spraw Europejskich w trybie obiegowym</w:t>
      </w:r>
      <w:r w:rsidR="001135AF" w:rsidRPr="00627A97">
        <w:rPr>
          <w:rFonts w:ascii="Calibri" w:hAnsi="Calibri" w:cs="Calibri"/>
          <w:sz w:val="22"/>
          <w:szCs w:val="22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8A4889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F3C2B7B" w14:textId="77777777" w:rsidR="00721DF8" w:rsidRPr="008A4889" w:rsidRDefault="00A73FE5" w:rsidP="00B12CEF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="00B71F9D" w:rsidRPr="008A4889">
              <w:rPr>
                <w:rFonts w:ascii="Calibri" w:hAnsi="Calibri" w:cs="Calibri"/>
                <w:b/>
                <w:sz w:val="22"/>
                <w:szCs w:val="22"/>
              </w:rPr>
              <w:t>ozstrzygnął i przyjął następujące dokumenty:</w:t>
            </w:r>
            <w:r w:rsidR="000B2701" w:rsidRPr="008A488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F3BB84" w14:textId="4A4BC1E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zatwierdzenia przedłużenia okresu oddelegowania pracownika Ministerstwa Rozwoju i Technologii na stanowisku eksperta narodowego w Komisji Europejskiej (DG DEFIS).</w:t>
            </w:r>
          </w:p>
          <w:p w14:paraId="526DAC11" w14:textId="77777777" w:rsidR="002E7B84" w:rsidRPr="0025693F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C-642/24 Komisja Europejska przeciwko Republice Federalnej Niemiec.</w:t>
            </w:r>
          </w:p>
          <w:p w14:paraId="546EDE58" w14:textId="77777777" w:rsidR="002E7B84" w:rsidRPr="0025693F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C-521/21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Rzecznik Praw Obywatelskich.</w:t>
            </w:r>
          </w:p>
          <w:p w14:paraId="3C54AB76" w14:textId="77777777" w:rsidR="002E7B84" w:rsidRPr="0025693F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C-225/22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AW „T”.</w:t>
            </w:r>
          </w:p>
          <w:p w14:paraId="749B6BBD" w14:textId="480193F6" w:rsidR="002E7B84" w:rsidRPr="0025693F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Projekt Fiszki polskiej prezydencji w Radzie Unii Europejskiej w I połowie 2025 r.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Wizja</w:t>
            </w:r>
            <w:r w:rsidR="0025693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dla rolnictwa i żywności.</w:t>
            </w:r>
          </w:p>
          <w:p w14:paraId="0F6B52D0" w14:textId="3DC6C0C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Zalecenie Rady w sprawie zatwierdzenia krajowego średniookresowego planu budżetowo-strukturalnego Polski</w:t>
            </w:r>
            <w:r w:rsidR="0064758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(COM(2024) 723).</w:t>
            </w:r>
          </w:p>
          <w:p w14:paraId="2354AE49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Zalecenie Rady mające na celu likwidację nadmiernego deficytu w Polsce (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COM(2024) 956).</w:t>
            </w:r>
          </w:p>
          <w:p w14:paraId="02AEED42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Sprawozdanie z prac Zespołu roboczego do spraw zapewnienia bezpieczeństwa w trakcie przygotowywania i sprawowania przez Rzeczpospolitą Polską przewodnictwa w Radzie Unii Europejskiej w I. połowie 2025 r.</w:t>
            </w:r>
          </w:p>
          <w:p w14:paraId="0BD09C13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Sprawozdanie z posiedzenia Rady do Spraw Zagranicznych w dniu 16 grudnia 2024 r.</w:t>
            </w:r>
          </w:p>
          <w:p w14:paraId="5D0046FD" w14:textId="70FA802B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Krajowe ramy polityki w zakresie rozwoju rynku w odniesieniu do paliw alternatywnych</w:t>
            </w:r>
            <w:r w:rsidR="008A4889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w sektorze transportu i rozwoju odpowiedniej infrastruktury - wstępny projekt do konsultacji z Komisją Europejską (IC7).</w:t>
            </w:r>
          </w:p>
          <w:p w14:paraId="6EB050AF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14:paraId="0AF5505C" w14:textId="3DAAF3BF" w:rsidR="002E7B84" w:rsidRPr="0025693F" w:rsidRDefault="002E7B84" w:rsidP="0025693F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Założenia do odpowiedzi na zarzuty formalne w związku z nieprzekazaniem przez Polskę aktualizacji zintegrowanego krajowego planu w dziedzinie energii i klimatu (KPEiK), zgodnie</w:t>
            </w:r>
            <w:r w:rsidR="0025693F">
              <w:rPr>
                <w:rFonts w:ascii="Calibri" w:hAnsi="Calibri" w:cs="Calibri"/>
                <w:sz w:val="22"/>
                <w:szCs w:val="22"/>
              </w:rPr>
              <w:br/>
            </w:r>
            <w:r w:rsidRPr="0025693F">
              <w:rPr>
                <w:rFonts w:ascii="Calibri" w:hAnsi="Calibri" w:cs="Calibri"/>
                <w:sz w:val="22"/>
                <w:szCs w:val="22"/>
              </w:rPr>
              <w:t>z art. 14 ust. 2 rozporządzenia (UE) 2018/1999 w sprawie zarządzania unią energetyczną</w:t>
            </w:r>
            <w:r w:rsidR="008A4889" w:rsidRPr="0025693F">
              <w:rPr>
                <w:rFonts w:ascii="Calibri" w:hAnsi="Calibri" w:cs="Calibri"/>
                <w:sz w:val="22"/>
                <w:szCs w:val="22"/>
              </w:rPr>
              <w:br/>
            </w:r>
            <w:r w:rsidRPr="0025693F">
              <w:rPr>
                <w:rFonts w:ascii="Calibri" w:hAnsi="Calibri" w:cs="Calibri"/>
                <w:sz w:val="22"/>
                <w:szCs w:val="22"/>
              </w:rPr>
              <w:t>i działaniami w dziedzinie klimatu – naruszenie nr 2024/2260.</w:t>
            </w:r>
          </w:p>
          <w:p w14:paraId="6F910076" w14:textId="4200C2AD" w:rsidR="002E7B84" w:rsidRPr="0025693F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Pomoc Ukrainie w utrzymaniu stabilności makroekonomicznej, odbudowie i przeprowadzeniu reform – procedura nielegislacyjna.</w:t>
            </w:r>
          </w:p>
          <w:p w14:paraId="2550A205" w14:textId="56FB3614" w:rsidR="002E7B84" w:rsidRPr="0025693F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aktualizacji fiszki polskiej prezydencji w Radzie Unii Europejskiej w I połowie 2025 r.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Relacje Unia Europejska-Zjednoczone Królestwo Wielkiej Brytanii i Irlandii Północnej.</w:t>
            </w:r>
          </w:p>
          <w:p w14:paraId="231803D7" w14:textId="0DF8CB8A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zatwierdzenia przedłużenia okresu oddelegowania pracownika Ministerstwa Finansów na stanowisku eksperta narodowego w Komisji Europejskiej</w:t>
            </w:r>
            <w:r w:rsidR="0025693F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(DG FISMA).</w:t>
            </w:r>
          </w:p>
          <w:p w14:paraId="6B580341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stanowiska Rządu w odniesieniu do dokumentu pozalegislacyjnego UE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Komunikat Komisji do Parlamentu Europejskiego, Rady i Europejskiego Banku Centralnego. Europejski semestr 2025: wprowadzenie w życie nowych ram zarządzania gospodarczego</w:t>
            </w:r>
            <w:r w:rsidRPr="008A4889">
              <w:rPr>
                <w:rFonts w:ascii="Calibri" w:hAnsi="Calibri" w:cs="Calibri"/>
                <w:sz w:val="22"/>
                <w:szCs w:val="22"/>
              </w:rPr>
              <w:t xml:space="preserve"> (COM(2024) 705).</w:t>
            </w:r>
          </w:p>
          <w:p w14:paraId="2A81BEA3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Założenia do stanowiska Rzeczypospolitej Polskiej w postępowaniu w sprawie prejudycjalnej C-602/24 W.</w:t>
            </w:r>
          </w:p>
          <w:p w14:paraId="6B6A6234" w14:textId="415E7194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Założenia do odpowiedzi na zarzuty formalne w związku z brakiem transpozycji dyrektywy Parlamentu Europejskiego i Rady (UE) 2022/2557 w sprawie odporności podmiotów krytycznych – naruszenie nr 2024/0291.</w:t>
            </w:r>
          </w:p>
          <w:p w14:paraId="6B46598D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zmiany przedstawicieli PL w Radzie Zarządzającej Europejskiego Centrum ds. Zapobiegania i Kontroli Chorób (ECDC).</w:t>
            </w:r>
          </w:p>
          <w:p w14:paraId="04E66F63" w14:textId="1BEB7798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zmiany przedstawiciela PL w Zarządzie Agencji Unii Europejskiej</w:t>
            </w:r>
            <w:r w:rsidR="008A4889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ds. Współpracy Organów Ścigania (Europol).</w:t>
            </w:r>
          </w:p>
          <w:p w14:paraId="174BD181" w14:textId="4760B9A5" w:rsidR="002E7B84" w:rsidRPr="0025693F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Projekt rozporządzenia PE i Rady w sprawie instrumentu dla regionów granicznych na rzecz rozwoju</w:t>
            </w:r>
            <w:r w:rsidR="008A4889"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i wzrostu w UE (BRIDGE for EU).</w:t>
            </w:r>
          </w:p>
          <w:p w14:paraId="6B4AAA8F" w14:textId="07AAA101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w sprawie tymczasowego odstępstwa od niektórych przepisów rozporządzenia (UE) 2017/2226 i rozporządzenia (UE) 2016/399 w odniesieniu</w:t>
            </w:r>
            <w:r w:rsidR="008A4889"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25693F">
              <w:rPr>
                <w:rFonts w:ascii="Calibri" w:hAnsi="Calibri" w:cs="Calibri"/>
                <w:i/>
                <w:iCs/>
                <w:sz w:val="22"/>
                <w:szCs w:val="22"/>
              </w:rPr>
              <w:t>do stopniowego uruchamiania systemu wjazdu/wyjazdu</w:t>
            </w:r>
            <w:r w:rsidRPr="008A4889">
              <w:rPr>
                <w:rFonts w:ascii="Calibri" w:hAnsi="Calibri" w:cs="Calibri"/>
                <w:sz w:val="22"/>
                <w:szCs w:val="22"/>
              </w:rPr>
              <w:t xml:space="preserve"> (COM(2024) 567).</w:t>
            </w:r>
          </w:p>
          <w:p w14:paraId="41D9EA3A" w14:textId="718D62AD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zatwierdzenia przedłużenia okresu oddelegowania na stanowisku eksperta narodowego przedstawicielki Krajowej Administracji Skarbowej w Misji UE</w:t>
            </w:r>
            <w:r w:rsidR="008A4889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w Armenii.</w:t>
            </w:r>
          </w:p>
          <w:p w14:paraId="52C39C83" w14:textId="580F5B1B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Ministerstwa Spraw Zagranicznych w sprawie przedłużenia okresu oddelegowania na stanowisku eksperta narodowego Delegaturze UE w Izraelu.</w:t>
            </w:r>
          </w:p>
          <w:p w14:paraId="3558234F" w14:textId="4DBF56AB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Raport z funkcjonowania Mechanizmu Wymiany Poparć z państwami europejskimi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w II</w:t>
            </w:r>
            <w:r w:rsidR="002C1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półroczu 2024 r.</w:t>
            </w:r>
          </w:p>
          <w:p w14:paraId="114F5FC0" w14:textId="16FA91B8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dla Sejmu i Senatu RP o stanowisku RP w odniesieniu do projektów aktów prawnych przewidzianych do rozpatrzenia podczas posiedzenia Rady ds. Rolnictwa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i Rybołówstwa w dniu 27 stycznia 2025 r.</w:t>
            </w:r>
          </w:p>
          <w:p w14:paraId="2D18F842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zatwierdzenia przedłużenia okresu oddelegowania funkcjonariuszy Policji na stanowiskach ekspertów w Misji Obserwacyjnej EUMM w Gruzji.</w:t>
            </w:r>
          </w:p>
          <w:p w14:paraId="31F8B599" w14:textId="00901B45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Zasady wyłaniania kandydatów na członków Europejskiego Komitetu Ekonomiczno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-Społecznego na kadencję 2025 – 2030.</w:t>
            </w:r>
          </w:p>
          <w:p w14:paraId="2D5B7C36" w14:textId="77777777" w:rsidR="002E7B84" w:rsidRPr="002C170A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C-655/24 </w:t>
            </w:r>
            <w:r w:rsidRPr="002C170A">
              <w:rPr>
                <w:rFonts w:ascii="Calibri" w:hAnsi="Calibri" w:cs="Calibri"/>
                <w:i/>
                <w:iCs/>
                <w:sz w:val="22"/>
                <w:szCs w:val="22"/>
              </w:rPr>
              <w:t>Latranov.</w:t>
            </w:r>
          </w:p>
          <w:p w14:paraId="29B8DDFD" w14:textId="602ADF6B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2C170A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decyzji Rady</w:t>
            </w:r>
            <w:r w:rsidR="002C170A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2C170A">
              <w:rPr>
                <w:rFonts w:ascii="Calibri" w:hAnsi="Calibri" w:cs="Calibri"/>
                <w:i/>
                <w:iCs/>
                <w:sz w:val="22"/>
                <w:szCs w:val="22"/>
              </w:rPr>
              <w:t>w sprawie częściowego zawieszenia stosowania Umowy między Unią Europejską a Gruzją</w:t>
            </w:r>
            <w:r w:rsidR="002C170A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2C170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 ułatwieniach w wydawaniu wiz 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(COM(2024) 594).</w:t>
            </w:r>
          </w:p>
          <w:p w14:paraId="3428F97E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Instrukcja na posiedzenie Rady do Spraw Zagranicznych w dniu 27 stycznia 2025 r.</w:t>
            </w:r>
          </w:p>
          <w:p w14:paraId="270901BA" w14:textId="13021AC1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Informacja wyprzedzająca ws. </w:t>
            </w:r>
            <w:r w:rsidR="00076745">
              <w:rPr>
                <w:rFonts w:ascii="Calibri" w:hAnsi="Calibri" w:cs="Calibri"/>
                <w:sz w:val="22"/>
                <w:szCs w:val="22"/>
              </w:rPr>
              <w:t>w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yborów do organizacji europejskich w perspektywie rocznej począwszy od I kwartału 2025 r.</w:t>
            </w:r>
          </w:p>
          <w:p w14:paraId="0A80C19F" w14:textId="4C8BCE98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lastRenderedPageBreak/>
              <w:t>Informacja na temat stanu wdrożenia dyrektyw unijnych i zobowiązań legislacyjnych wynikających z orzeczeń TSUE oraz uwag KE przekazywanych w ramach postępowania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w trybie art. 258 TFUE lub art. 260 TFUE.</w:t>
            </w:r>
          </w:p>
          <w:p w14:paraId="089097CE" w14:textId="41BBE366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zatwierdzenia kandydata Krajowej Administracji Skarbowej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na stanowisko eksperta narodowego w Prokuraturze Europejskiej (EPPO).</w:t>
            </w:r>
          </w:p>
          <w:p w14:paraId="2E1C5F4D" w14:textId="77777777" w:rsidR="002E7B84" w:rsidRPr="002C170A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C-680/24 </w:t>
            </w:r>
            <w:r w:rsidRPr="002C170A">
              <w:rPr>
                <w:rFonts w:ascii="Calibri" w:hAnsi="Calibri" w:cs="Calibri"/>
                <w:i/>
                <w:iCs/>
                <w:sz w:val="22"/>
                <w:szCs w:val="22"/>
              </w:rPr>
              <w:t>WizzAir Hungary.</w:t>
            </w:r>
          </w:p>
          <w:p w14:paraId="6253483E" w14:textId="63905D7A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Założenia do odpowiedzi na zarzuty formalne w związku z brakiem transpozycji dyrektywy Parlamentu Europejskiego i Rady (UE) 2022/2555 w sprawie środków na rzecz wysokiego wspólnego poziomu cyberbezpieczeństwa na terytorium Unii (dyrektywa NIS 2) – naruszenie nr 2024/0290.</w:t>
            </w:r>
          </w:p>
          <w:p w14:paraId="27A10891" w14:textId="536CE265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zatwierdzenia kandydata Ministerstwa Klimatu i Środowiska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na stanowisko eksperta narodowego w Komisji Europejskiej.</w:t>
            </w:r>
          </w:p>
          <w:p w14:paraId="0B8D845A" w14:textId="1DF126BC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Ministerstwa Spraw Zagranicznych w sprawie zatwierdzenia kandydatury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na stanowisko eksperta narodowego: Policy Officer – Policy planning and strategic foresight division (STRAT1), Job No 447491 w ESDZ w Brukseli.</w:t>
            </w:r>
          </w:p>
          <w:p w14:paraId="4F1B278B" w14:textId="71C6FC7A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Podział środków w ramach systemu motywacyjno-lojalnościowego w zakresie dodatków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dla osób wyjeżdżających na delegacje związane ze wzmocnieniem Stałego Przedstawicielstwa RP przy UE lub innych placówek dyplomatycznych.</w:t>
            </w:r>
          </w:p>
          <w:p w14:paraId="370D0C80" w14:textId="00EF8013" w:rsidR="002E7B84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2C170A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 Rady zmieniającego rozporządzenia (UE) nr 1308/2013, (UE) 2021/2115 i (UE) 2021/2116 w odniesieniu do poprawy pozycji rolników w łańcuchu dostaw żywności</w:t>
            </w:r>
            <w:r w:rsidRPr="008A4889">
              <w:rPr>
                <w:rFonts w:ascii="Calibri" w:hAnsi="Calibri" w:cs="Calibri"/>
                <w:sz w:val="22"/>
                <w:szCs w:val="22"/>
              </w:rPr>
              <w:t xml:space="preserve"> (COM(2024) 577).</w:t>
            </w:r>
          </w:p>
          <w:p w14:paraId="70EC26F3" w14:textId="2B5DEE6B" w:rsidR="00627A97" w:rsidRPr="008A4889" w:rsidRDefault="00627A97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na temat przyczyny rozbieżności pomiędzy stanowiskiem Rządu a opinią Komisji do Spraw Unii Europejskiej Sejmu RP w odniesieniu do projektu rozporządzenia Parlamentu Europejskiego i Rady w sprawie statusu i finansowania europejskich partii politycznych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 xml:space="preserve">i europejskich fundacji politycznych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COM(2021) 734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05F177E" w14:textId="0A178DB5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o podziale środków dla ministerstw i urzędów centralnych na 2025 r.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na zapewnienie zakwaterowania osobom oddelegowanym na wzmocnienie SP RP przy UE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i inne wydatki bieżące w związku z przewodnictwem Polski w Radzie UE w I połowie 2025 r.</w:t>
            </w:r>
          </w:p>
          <w:p w14:paraId="43D05FC6" w14:textId="77777777" w:rsidR="00076745" w:rsidRDefault="002E7B84" w:rsidP="0007674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o podziale środków na delegacje krajowe i zagraniczne, koszty organizacji wydarzeń zagranicznych i spotkań w kraju z udziałem gości zagranicznych, a także inne wydatki bieżące w związku z przewodnictwem Polski w Radzie UE w I połowie 2025 r</w:t>
            </w:r>
            <w:r w:rsidR="002C170A">
              <w:rPr>
                <w:rFonts w:ascii="Calibri" w:hAnsi="Calibri" w:cs="Calibri"/>
                <w:sz w:val="22"/>
                <w:szCs w:val="22"/>
              </w:rPr>
              <w:t>.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 xml:space="preserve"> dla ministerstw, urzędów centralnych i KPRM.</w:t>
            </w:r>
          </w:p>
          <w:p w14:paraId="625DA965" w14:textId="217D97A3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Sprawozdanie okresowe z działalności polskiej administracji w Komitecie Doradczym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TDC</w:t>
            </w:r>
            <w:r w:rsidR="002C1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oraz Komitecie ds. Nadmiernego Importu (SFG) za II półrocze 2024 r.</w:t>
            </w:r>
          </w:p>
          <w:p w14:paraId="3E3883B3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nt. procesu rozszerzenia Unii Europejskiej i stanu negocjacji akcesyjnych w okresie lipiec-grudzień 2024 r.</w:t>
            </w:r>
          </w:p>
          <w:p w14:paraId="29FF26CD" w14:textId="20838469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w sprawie zatwierdzenia przedłużenia oddelegowania na stanowiska ekspertów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w Misji Unii Europejskiej w Armenii (EUAM).</w:t>
            </w:r>
          </w:p>
          <w:p w14:paraId="3C803FB8" w14:textId="77777777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Ministerstwa Spraw Zagranicznych w sprawie  przedłużenia okresu oddelegowania eksperta narodowego na stanowisku Zastępcy Szefa Misji UE w Armenii.</w:t>
            </w:r>
          </w:p>
          <w:p w14:paraId="27C54D40" w14:textId="6D9544A9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Aktualizacja nr 5 „Wykazu stanowisk osób kierowanych do Stałego Przedstawicielstwa RP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przy UE w związku z prezydencją Polski w Radzie UE w I połowie 2025 r.”</w:t>
            </w:r>
          </w:p>
          <w:p w14:paraId="1D946FA9" w14:textId="71345AF0" w:rsidR="002E7B84" w:rsidRPr="008A4889" w:rsidRDefault="002E7B84" w:rsidP="002E7B84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lastRenderedPageBreak/>
              <w:t>Propozycja sposobu koordynacji prac w związku z projektem budżetu Unii Europejskiej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na 2026 r., implementacją budżetu na 2025 r. oraz udzieleniem Komisji Europejskiej absolutorium z wykonania budżetu za 2023 r.</w:t>
            </w:r>
          </w:p>
          <w:p w14:paraId="00E70C35" w14:textId="77777777" w:rsidR="002E7B84" w:rsidRPr="008A4889" w:rsidRDefault="002E7B84" w:rsidP="008A4889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3C8DB09" w14:textId="5D2B22F1" w:rsidR="002E7B84" w:rsidRPr="008A4889" w:rsidRDefault="000B2701" w:rsidP="002E7B84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8A488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A64659A" w14:textId="1672CEC4" w:rsidR="002E7B84" w:rsidRPr="008A4889" w:rsidRDefault="002E7B84" w:rsidP="002E7B84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Wniosek o derogację dla Rzeczypospolitej Polskiej na podstawie art. 395 dyrektywy Rady 2006/112/WE z dnia 28 listopada 2006 r. w sprawie wspólnego systemu podatku od wartości dodanej w celu przedłużenia do dnia 31 grudnia 2028 r. upoważnienia do stosowania środków stanowiących odstępstwo  od art. 26 ust. 1 lit. a i art. 168 tej dyrektywy.</w:t>
            </w:r>
          </w:p>
          <w:p w14:paraId="6C4F1345" w14:textId="3EE5A1E2" w:rsidR="002E7B84" w:rsidRPr="002C170A" w:rsidRDefault="002E7B84" w:rsidP="002E7B84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 xml:space="preserve">Projekt planu dostosowania organów polskiej administracji do współpracy z wielkoskalowymi systemami informacyjnymi UE </w:t>
            </w:r>
            <w:r w:rsidRPr="002C170A">
              <w:rPr>
                <w:rFonts w:ascii="Calibri" w:hAnsi="Calibri" w:cs="Calibri"/>
                <w:i/>
                <w:iCs/>
                <w:sz w:val="22"/>
                <w:szCs w:val="22"/>
              </w:rPr>
              <w:t>MasterPlan 2.0.</w:t>
            </w:r>
          </w:p>
          <w:p w14:paraId="30A333DB" w14:textId="059676E4" w:rsidR="002E7B84" w:rsidRPr="008A4889" w:rsidRDefault="002E7B84" w:rsidP="002E7B84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Plan certyfikacji wydatków do Komisji Europejskiej w 2025 r. w programach</w:t>
            </w:r>
            <w:r w:rsidR="002C1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współfinansowanych z funduszy europejskich.</w:t>
            </w:r>
          </w:p>
          <w:p w14:paraId="000920B8" w14:textId="40740F97" w:rsidR="002E7B84" w:rsidRPr="008A4889" w:rsidRDefault="002E7B84" w:rsidP="002E7B84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Projekt ustawy o zmianie niektórych ustaw w związku z zapewnieniem operacyjnej odporności cyfrowej sektora finansowego oraz emitowaniem europejskich zielonych obligacji (UC11)</w:t>
            </w:r>
            <w:r w:rsidR="00076745">
              <w:rPr>
                <w:rFonts w:ascii="Calibri" w:hAnsi="Calibri" w:cs="Calibri"/>
                <w:sz w:val="22"/>
                <w:szCs w:val="22"/>
              </w:rPr>
              <w:t>.</w:t>
            </w:r>
            <w:r w:rsidRPr="008A488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3A4E98" w14:textId="0EF0B2F1" w:rsidR="002E7B84" w:rsidRPr="002C170A" w:rsidRDefault="002E7B84" w:rsidP="002C170A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Projekt ustawy o zarządzaniu danymi (UC67).</w:t>
            </w:r>
          </w:p>
          <w:p w14:paraId="1EC8AB52" w14:textId="77777777" w:rsidR="002C170A" w:rsidRPr="002C170A" w:rsidRDefault="002C170A" w:rsidP="002C170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66059ED" w14:textId="1D6A1D68" w:rsidR="0059788E" w:rsidRPr="008A4889" w:rsidRDefault="003C4BBD" w:rsidP="00B12CEF">
            <w:pPr>
              <w:pStyle w:val="Akapitzlist"/>
              <w:numPr>
                <w:ilvl w:val="0"/>
                <w:numId w:val="1"/>
              </w:numPr>
              <w:ind w:left="357" w:hanging="357"/>
              <w:mirrorIndents/>
              <w:rPr>
                <w:rFonts w:ascii="Calibri" w:hAnsi="Calibri" w:cs="Calibri"/>
                <w:b/>
                <w:sz w:val="22"/>
                <w:szCs w:val="22"/>
              </w:rPr>
            </w:pPr>
            <w:r w:rsidRPr="008A4889">
              <w:rPr>
                <w:rFonts w:ascii="Calibri" w:hAnsi="Calibri" w:cs="Calibri"/>
                <w:b/>
                <w:sz w:val="22"/>
                <w:szCs w:val="22"/>
              </w:rPr>
              <w:t xml:space="preserve">Uzgodnił oraz rekomendował </w:t>
            </w:r>
            <w:r w:rsidR="00021EE0" w:rsidRPr="008A4889">
              <w:rPr>
                <w:rFonts w:ascii="Calibri" w:hAnsi="Calibri" w:cs="Calibri"/>
                <w:b/>
                <w:sz w:val="22"/>
                <w:szCs w:val="22"/>
              </w:rPr>
              <w:t>Radzie Ministrów</w:t>
            </w:r>
            <w:r w:rsidRPr="008A4889">
              <w:rPr>
                <w:rFonts w:ascii="Calibri" w:hAnsi="Calibri" w:cs="Calibri"/>
                <w:b/>
                <w:sz w:val="22"/>
                <w:szCs w:val="22"/>
              </w:rPr>
              <w:t xml:space="preserve"> rozpatrzenie następujących dokumentów:</w:t>
            </w:r>
          </w:p>
          <w:p w14:paraId="10B3CCAB" w14:textId="3868F2F6" w:rsidR="00C30148" w:rsidRPr="008A4889" w:rsidRDefault="00C30148" w:rsidP="00C30148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o przebiegu i wynikach posiedzenia Rady Europejskiej w dniu 19 grudnia 2024 r.</w:t>
            </w:r>
          </w:p>
          <w:p w14:paraId="5CBF8925" w14:textId="6036B4AA" w:rsidR="00C30148" w:rsidRPr="008A4889" w:rsidRDefault="00C30148" w:rsidP="00C3014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Komitet rekomendował RM rozpatrzenie „Sprawozdania z posiedzenia Rady Europejskiej</w:t>
            </w:r>
            <w:r w:rsidR="002C170A">
              <w:rPr>
                <w:rFonts w:ascii="Calibri" w:hAnsi="Calibri" w:cs="Calibri"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sz w:val="22"/>
                <w:szCs w:val="22"/>
              </w:rPr>
              <w:t>w dniu 19 grudnia 2024 r.”</w:t>
            </w:r>
          </w:p>
          <w:p w14:paraId="1E5232DC" w14:textId="54D64F11" w:rsidR="00C30148" w:rsidRPr="008A4889" w:rsidRDefault="00C30148" w:rsidP="00C30148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Informacja o stanowisku Polski na nieformalne spotkanie szefów państw i rządów UE w dniu 3 lutego 2025 r.</w:t>
            </w:r>
          </w:p>
          <w:p w14:paraId="0CF2464E" w14:textId="77777777" w:rsidR="002E7B84" w:rsidRPr="008A4889" w:rsidRDefault="00C30148" w:rsidP="002E7B84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Komitet rekomendował RM rozpatrzenie „Stanowiska Polski na nieformalne spotkanie szefów państw i rządów UE w dniu 3 lutego 2025 r.”.</w:t>
            </w:r>
          </w:p>
          <w:p w14:paraId="00428ED2" w14:textId="314A5D83" w:rsidR="002E7B84" w:rsidRPr="008A4889" w:rsidRDefault="002E7B84" w:rsidP="002E7B84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bCs/>
                <w:sz w:val="22"/>
                <w:szCs w:val="22"/>
              </w:rPr>
              <w:t>Projekt „Planu pracy Komitetu do Spraw Europejskich na 2025 r.”</w:t>
            </w:r>
          </w:p>
          <w:p w14:paraId="4FE31EA6" w14:textId="1EEA9398" w:rsidR="00AD1330" w:rsidRPr="002C170A" w:rsidRDefault="002E7B84" w:rsidP="002C170A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8A4889">
              <w:rPr>
                <w:rFonts w:ascii="Calibri" w:hAnsi="Calibri" w:cs="Calibri"/>
                <w:sz w:val="22"/>
                <w:szCs w:val="22"/>
              </w:rPr>
              <w:t>Komitet rekomendował RM zatwierdzenie „</w:t>
            </w:r>
            <w:r w:rsidRPr="008A4889">
              <w:rPr>
                <w:rFonts w:ascii="Calibri" w:hAnsi="Calibri" w:cs="Calibri"/>
                <w:bCs/>
                <w:sz w:val="22"/>
                <w:szCs w:val="22"/>
              </w:rPr>
              <w:t>Planu pracy Komitetu do Spraw Europejskich</w:t>
            </w:r>
            <w:r w:rsidR="002C170A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8A4889">
              <w:rPr>
                <w:rFonts w:ascii="Calibri" w:hAnsi="Calibri" w:cs="Calibri"/>
                <w:bCs/>
                <w:sz w:val="22"/>
                <w:szCs w:val="22"/>
              </w:rPr>
              <w:t>na 2025 r.”</w:t>
            </w:r>
            <w:r w:rsidRPr="008A48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50CCC5EF" w14:textId="01B0DEC0" w:rsidR="005B7044" w:rsidRPr="00B12CEF" w:rsidRDefault="005B7044" w:rsidP="00B12CEF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B12CEF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25882" w14:textId="77777777" w:rsidR="002B2125" w:rsidRDefault="002B2125">
      <w:r>
        <w:separator/>
      </w:r>
    </w:p>
  </w:endnote>
  <w:endnote w:type="continuationSeparator" w:id="0">
    <w:p w14:paraId="6A285C05" w14:textId="77777777" w:rsidR="002B2125" w:rsidRDefault="002B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1C632" w14:textId="02200D75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F8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FCCCC" w14:textId="77777777" w:rsidR="002B2125" w:rsidRDefault="002B2125">
      <w:r>
        <w:separator/>
      </w:r>
    </w:p>
  </w:footnote>
  <w:footnote w:type="continuationSeparator" w:id="0">
    <w:p w14:paraId="4D2408C2" w14:textId="77777777" w:rsidR="002B2125" w:rsidRDefault="002B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5A15"/>
    <w:multiLevelType w:val="hybridMultilevel"/>
    <w:tmpl w:val="89A4028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331C"/>
    <w:multiLevelType w:val="hybridMultilevel"/>
    <w:tmpl w:val="10E0DB42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5D5D9B"/>
    <w:multiLevelType w:val="hybridMultilevel"/>
    <w:tmpl w:val="B072B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C0C02"/>
    <w:multiLevelType w:val="hybridMultilevel"/>
    <w:tmpl w:val="974851FC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824E2"/>
    <w:multiLevelType w:val="hybridMultilevel"/>
    <w:tmpl w:val="6BD43FD8"/>
    <w:lvl w:ilvl="0" w:tplc="39EEF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97FD6"/>
    <w:multiLevelType w:val="hybridMultilevel"/>
    <w:tmpl w:val="75DE4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813248">
    <w:abstractNumId w:val="23"/>
  </w:num>
  <w:num w:numId="2" w16cid:durableId="1758094566">
    <w:abstractNumId w:val="2"/>
  </w:num>
  <w:num w:numId="3" w16cid:durableId="651442666">
    <w:abstractNumId w:val="9"/>
  </w:num>
  <w:num w:numId="4" w16cid:durableId="415714794">
    <w:abstractNumId w:val="4"/>
  </w:num>
  <w:num w:numId="5" w16cid:durableId="1092699540">
    <w:abstractNumId w:val="19"/>
  </w:num>
  <w:num w:numId="6" w16cid:durableId="219249466">
    <w:abstractNumId w:val="13"/>
  </w:num>
  <w:num w:numId="7" w16cid:durableId="712074045">
    <w:abstractNumId w:val="15"/>
  </w:num>
  <w:num w:numId="8" w16cid:durableId="620763556">
    <w:abstractNumId w:val="16"/>
  </w:num>
  <w:num w:numId="9" w16cid:durableId="1804807957">
    <w:abstractNumId w:val="17"/>
  </w:num>
  <w:num w:numId="10" w16cid:durableId="773935386">
    <w:abstractNumId w:val="3"/>
  </w:num>
  <w:num w:numId="11" w16cid:durableId="619797565">
    <w:abstractNumId w:val="12"/>
  </w:num>
  <w:num w:numId="12" w16cid:durableId="2006979513">
    <w:abstractNumId w:val="18"/>
  </w:num>
  <w:num w:numId="13" w16cid:durableId="1890801903">
    <w:abstractNumId w:val="8"/>
  </w:num>
  <w:num w:numId="14" w16cid:durableId="1532188358">
    <w:abstractNumId w:val="5"/>
  </w:num>
  <w:num w:numId="15" w16cid:durableId="1294864823">
    <w:abstractNumId w:val="14"/>
  </w:num>
  <w:num w:numId="16" w16cid:durableId="1811827588">
    <w:abstractNumId w:val="1"/>
  </w:num>
  <w:num w:numId="17" w16cid:durableId="355694590">
    <w:abstractNumId w:val="6"/>
  </w:num>
  <w:num w:numId="18" w16cid:durableId="1916741002">
    <w:abstractNumId w:val="11"/>
  </w:num>
  <w:num w:numId="19" w16cid:durableId="69432472">
    <w:abstractNumId w:val="10"/>
  </w:num>
  <w:num w:numId="20" w16cid:durableId="2046321930">
    <w:abstractNumId w:val="22"/>
  </w:num>
  <w:num w:numId="21" w16cid:durableId="1881629677">
    <w:abstractNumId w:val="0"/>
  </w:num>
  <w:num w:numId="22" w16cid:durableId="1398431169">
    <w:abstractNumId w:val="7"/>
  </w:num>
  <w:num w:numId="23" w16cid:durableId="1652053270">
    <w:abstractNumId w:val="21"/>
  </w:num>
  <w:num w:numId="24" w16cid:durableId="108167631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5BF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1399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6745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5AB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7B1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6FA6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591B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5556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21B"/>
    <w:rsid w:val="0025596F"/>
    <w:rsid w:val="002567F7"/>
    <w:rsid w:val="0025693F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4F80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125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170A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B84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17A99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565C0"/>
    <w:rsid w:val="00361320"/>
    <w:rsid w:val="003615FB"/>
    <w:rsid w:val="0036202E"/>
    <w:rsid w:val="003627D8"/>
    <w:rsid w:val="00362A4C"/>
    <w:rsid w:val="0036456E"/>
    <w:rsid w:val="00364D96"/>
    <w:rsid w:val="00364E35"/>
    <w:rsid w:val="00364E9D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A7CA7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4F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48D8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4EC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278C6"/>
    <w:rsid w:val="00627A97"/>
    <w:rsid w:val="006328A8"/>
    <w:rsid w:val="00634341"/>
    <w:rsid w:val="00640A9D"/>
    <w:rsid w:val="00640E38"/>
    <w:rsid w:val="00641880"/>
    <w:rsid w:val="00644EA8"/>
    <w:rsid w:val="0064758B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39A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0C2"/>
    <w:rsid w:val="007475E3"/>
    <w:rsid w:val="00747972"/>
    <w:rsid w:val="00747C3E"/>
    <w:rsid w:val="00747DF6"/>
    <w:rsid w:val="007513B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587C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57B32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889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000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4C92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3CE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1EAE"/>
    <w:rsid w:val="00AD2486"/>
    <w:rsid w:val="00AD344B"/>
    <w:rsid w:val="00AD47D1"/>
    <w:rsid w:val="00AD5A89"/>
    <w:rsid w:val="00AD685E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2CEF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4FE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977CF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3CE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0148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9B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CF7DB2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20C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59B0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321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617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2B9B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0DD1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3D5-EBCA-43F7-8C47-723678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1497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14</cp:revision>
  <cp:lastPrinted>2025-02-12T10:07:00Z</cp:lastPrinted>
  <dcterms:created xsi:type="dcterms:W3CDTF">2025-01-09T14:43:00Z</dcterms:created>
  <dcterms:modified xsi:type="dcterms:W3CDTF">2025-02-12T11:46:00Z</dcterms:modified>
</cp:coreProperties>
</file>