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657603847"/>
    <w:bookmarkEnd w:id="0"/>
    <w:p w:rsidR="000B373D" w:rsidRPr="000B373D" w:rsidRDefault="00F40174" w:rsidP="000B373D">
      <w:pPr>
        <w:widowControl w:val="0"/>
        <w:suppressAutoHyphens/>
        <w:spacing w:after="0" w:line="240" w:lineRule="auto"/>
        <w:rPr>
          <w:rFonts w:ascii="Palatino Linotype" w:eastAsia="Lucida Sans Unicode" w:hAnsi="Palatino Linotype" w:cs="Arial"/>
          <w:b/>
          <w:bCs/>
          <w:kern w:val="1"/>
          <w:sz w:val="32"/>
          <w:szCs w:val="32"/>
        </w:rPr>
      </w:pPr>
      <w:r w:rsidRPr="000B373D">
        <w:rPr>
          <w:rFonts w:ascii="Palatino Linotype" w:eastAsia="Lucida Sans Unicode" w:hAnsi="Palatino Linotype" w:cs="Arial"/>
          <w:b/>
          <w:bCs/>
          <w:kern w:val="1"/>
          <w:sz w:val="32"/>
          <w:szCs w:val="32"/>
        </w:rPr>
        <w:object w:dxaOrig="64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pt;height:39.75pt" o:ole="" filled="t">
            <v:fill color2="black"/>
            <v:imagedata r:id="rId5" o:title=""/>
          </v:shape>
          <o:OLEObject Type="Embed" ProgID="Word.Picture.8" ShapeID="_x0000_i1025" DrawAspect="Content" ObjectID="_1701085430" r:id="rId6"/>
        </w:object>
      </w:r>
    </w:p>
    <w:p w:rsidR="000B373D" w:rsidRDefault="000B373D" w:rsidP="000B373D">
      <w:pPr>
        <w:widowControl w:val="0"/>
        <w:suppressAutoHyphens/>
        <w:spacing w:after="0" w:line="408" w:lineRule="auto"/>
        <w:rPr>
          <w:rFonts w:ascii="Arial" w:eastAsia="Lucida Sans Unicode" w:hAnsi="Arial" w:cs="Arial"/>
          <w:bCs/>
          <w:kern w:val="28"/>
          <w:sz w:val="24"/>
          <w:szCs w:val="24"/>
        </w:rPr>
      </w:pPr>
    </w:p>
    <w:p w:rsidR="000B373D" w:rsidRPr="00FF3B84" w:rsidRDefault="000B373D" w:rsidP="009F0EDF">
      <w:pPr>
        <w:widowControl w:val="0"/>
        <w:suppressAutoHyphens/>
        <w:spacing w:after="0" w:line="360" w:lineRule="auto"/>
        <w:rPr>
          <w:rFonts w:ascii="Calibri" w:eastAsia="Lucida Sans Unicode" w:hAnsi="Calibri" w:cs="Calibri"/>
          <w:bCs/>
          <w:kern w:val="28"/>
          <w:sz w:val="24"/>
          <w:szCs w:val="24"/>
        </w:rPr>
      </w:pPr>
      <w:r w:rsidRPr="00FF3B84">
        <w:rPr>
          <w:rFonts w:ascii="Calibri" w:eastAsia="Lucida Sans Unicode" w:hAnsi="Calibri" w:cs="Calibri"/>
          <w:bCs/>
          <w:kern w:val="28"/>
          <w:sz w:val="24"/>
          <w:szCs w:val="24"/>
        </w:rPr>
        <w:t>REGIONALNY DYREKTOR OCHRONY ŚRODOWISKA W OLSZTYNIE</w:t>
      </w:r>
    </w:p>
    <w:p w:rsidR="00F432E6" w:rsidRDefault="006021BE" w:rsidP="009F0EDF">
      <w:pPr>
        <w:widowControl w:val="0"/>
        <w:suppressAutoHyphens/>
        <w:spacing w:after="0"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WOOŚ.</w:t>
      </w:r>
      <w:r w:rsidR="007A6994">
        <w:rPr>
          <w:rFonts w:ascii="Calibri" w:eastAsia="Lucida Sans Unicode" w:hAnsi="Calibri" w:cs="Calibri"/>
          <w:bCs/>
          <w:kern w:val="28"/>
          <w:sz w:val="24"/>
          <w:szCs w:val="24"/>
        </w:rPr>
        <w:t>420.8.2021.BG.18</w:t>
      </w:r>
    </w:p>
    <w:p w:rsidR="00E74C48" w:rsidRDefault="007A6994" w:rsidP="00C503ED">
      <w:pPr>
        <w:widowControl w:val="0"/>
        <w:suppressAutoHyphens/>
        <w:spacing w:after="100" w:afterAutospacing="1"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Olsztyn, 15 grudnia</w:t>
      </w:r>
      <w:r w:rsidR="00267220">
        <w:rPr>
          <w:rFonts w:ascii="Calibri" w:eastAsia="Lucida Sans Unicode" w:hAnsi="Calibri" w:cs="Calibri"/>
          <w:bCs/>
          <w:kern w:val="28"/>
          <w:sz w:val="24"/>
          <w:szCs w:val="24"/>
        </w:rPr>
        <w:t xml:space="preserve"> 2021 r.</w:t>
      </w:r>
    </w:p>
    <w:p w:rsidR="00AA7C36" w:rsidRDefault="00FA64F5" w:rsidP="00403DE4">
      <w:pPr>
        <w:pStyle w:val="Nagwek1"/>
        <w:spacing w:before="0" w:after="100" w:afterAutospacing="1" w:line="360" w:lineRule="auto"/>
        <w:rPr>
          <w:rFonts w:asciiTheme="minorHAnsi" w:eastAsia="SimSun" w:hAnsiTheme="minorHAnsi" w:cstheme="minorHAnsi"/>
          <w:color w:val="auto"/>
          <w:sz w:val="28"/>
          <w:szCs w:val="28"/>
          <w:lang w:eastAsia="zh-CN" w:bidi="hi-IN"/>
        </w:rPr>
      </w:pPr>
      <w:r w:rsidRPr="00080B48">
        <w:rPr>
          <w:rFonts w:asciiTheme="minorHAnsi" w:eastAsia="SimSun" w:hAnsiTheme="minorHAnsi" w:cstheme="minorHAnsi"/>
          <w:color w:val="auto"/>
          <w:sz w:val="28"/>
          <w:szCs w:val="28"/>
          <w:lang w:eastAsia="zh-CN" w:bidi="hi-IN"/>
        </w:rPr>
        <w:t xml:space="preserve">Decyzja </w:t>
      </w:r>
      <w:r w:rsidR="00AA7C36" w:rsidRPr="00080B48">
        <w:rPr>
          <w:rFonts w:asciiTheme="minorHAnsi" w:eastAsia="SimSun" w:hAnsiTheme="minorHAnsi" w:cstheme="minorHAnsi"/>
          <w:color w:val="auto"/>
          <w:sz w:val="28"/>
          <w:szCs w:val="28"/>
          <w:lang w:eastAsia="zh-CN" w:bidi="hi-IN"/>
        </w:rPr>
        <w:t xml:space="preserve">o środowiskowych uwarunkowaniach </w:t>
      </w:r>
    </w:p>
    <w:p w:rsidR="00A62753" w:rsidRPr="00A62753" w:rsidRDefault="00A62753" w:rsidP="00FB74E7">
      <w:pPr>
        <w:spacing w:after="100" w:afterAutospacing="1" w:line="360" w:lineRule="auto"/>
        <w:rPr>
          <w:sz w:val="24"/>
          <w:szCs w:val="24"/>
          <w:lang w:eastAsia="zh-CN" w:bidi="hi-IN"/>
        </w:rPr>
      </w:pPr>
      <w:r w:rsidRPr="00A62753">
        <w:rPr>
          <w:sz w:val="24"/>
          <w:szCs w:val="24"/>
          <w:lang w:eastAsia="zh-CN" w:bidi="hi-IN"/>
        </w:rPr>
        <w:t>Na podstawie art. 71 ust. 2 pkt 1, art. 75 ust. 1 pkt 1 lit. i, art. 82 i art. 85 ust. 1 ustawy z dnia 3 października 2008 r. o udostępnianiu informacji o środowisku i jego ochronie, udziale społeczeństwa w ochronie środowiska oraz o ocenach oddziaływania na środowisko (Dz. U. z</w:t>
      </w:r>
      <w:r>
        <w:rPr>
          <w:sz w:val="24"/>
          <w:szCs w:val="24"/>
          <w:lang w:eastAsia="zh-CN" w:bidi="hi-IN"/>
        </w:rPr>
        <w:t> </w:t>
      </w:r>
      <w:r w:rsidRPr="00A62753">
        <w:rPr>
          <w:sz w:val="24"/>
          <w:szCs w:val="24"/>
          <w:lang w:eastAsia="zh-CN" w:bidi="hi-IN"/>
        </w:rPr>
        <w:t xml:space="preserve">2021 r., poz. 247, z </w:t>
      </w:r>
      <w:proofErr w:type="spellStart"/>
      <w:r w:rsidRPr="00A62753">
        <w:rPr>
          <w:sz w:val="24"/>
          <w:szCs w:val="24"/>
          <w:lang w:eastAsia="zh-CN" w:bidi="hi-IN"/>
        </w:rPr>
        <w:t>późn</w:t>
      </w:r>
      <w:proofErr w:type="spellEnd"/>
      <w:r w:rsidRPr="00A62753">
        <w:rPr>
          <w:sz w:val="24"/>
          <w:szCs w:val="24"/>
          <w:lang w:eastAsia="zh-CN" w:bidi="hi-IN"/>
        </w:rPr>
        <w:t xml:space="preserve">. zm.) oraz § 2 ust. 1 pkt 7 lit. d rozporządzenia Rady Ministrów z dnia 10 września 2019 r. w sprawie przedsięwzięć mogących znacząco oddziaływać na środowisko (Dz. U. z 2019 r. poz. 1839), w związku z art. 104 ustawy z dnia 14 czerwca 1960 r. Kodeks postępowania administracyjnego (Dz. U. z 2021 r. poz. 735, z </w:t>
      </w:r>
      <w:proofErr w:type="spellStart"/>
      <w:r w:rsidRPr="00A62753">
        <w:rPr>
          <w:sz w:val="24"/>
          <w:szCs w:val="24"/>
          <w:lang w:eastAsia="zh-CN" w:bidi="hi-IN"/>
        </w:rPr>
        <w:t>późn</w:t>
      </w:r>
      <w:proofErr w:type="spellEnd"/>
      <w:r w:rsidRPr="00A62753">
        <w:rPr>
          <w:sz w:val="24"/>
          <w:szCs w:val="24"/>
          <w:lang w:eastAsia="zh-CN" w:bidi="hi-IN"/>
        </w:rPr>
        <w:t>. zm.), po rozpatrzeniu wniosku Instytutu Meteorologii i Gospodarki Wodnej - Państwowego Instytutu Badawczego ul. Podleśna 61, 01-673 Warszawa, działającego przez pełnomocnika, Pana Marcina Waltera</w:t>
      </w:r>
    </w:p>
    <w:p w:rsidR="00AA7C36" w:rsidRDefault="00FB74E7" w:rsidP="00463EB7">
      <w:pPr>
        <w:pStyle w:val="Nagwek1"/>
        <w:spacing w:before="0" w:after="100" w:afterAutospacing="1" w:line="360" w:lineRule="auto"/>
        <w:rPr>
          <w:rFonts w:asciiTheme="minorHAnsi" w:hAnsiTheme="minorHAnsi" w:cstheme="minorHAnsi"/>
          <w:color w:val="auto"/>
          <w:sz w:val="28"/>
          <w:szCs w:val="28"/>
        </w:rPr>
      </w:pPr>
      <w:r>
        <w:rPr>
          <w:rFonts w:asciiTheme="minorHAnsi" w:hAnsiTheme="minorHAnsi" w:cstheme="minorHAnsi"/>
          <w:color w:val="auto"/>
          <w:sz w:val="28"/>
          <w:szCs w:val="28"/>
        </w:rPr>
        <w:t>ustalam</w:t>
      </w:r>
    </w:p>
    <w:p w:rsidR="00AC7548" w:rsidRPr="00B66296" w:rsidRDefault="00AC7548" w:rsidP="00B66296">
      <w:pPr>
        <w:spacing w:after="0" w:line="360" w:lineRule="auto"/>
        <w:rPr>
          <w:sz w:val="24"/>
          <w:szCs w:val="24"/>
        </w:rPr>
      </w:pPr>
      <w:r w:rsidRPr="00B66296">
        <w:rPr>
          <w:sz w:val="24"/>
          <w:szCs w:val="24"/>
        </w:rPr>
        <w:t xml:space="preserve">środowiskowe uwarunkowania dla planowanego przedsięwzięcia pn.: Budowa radaru meteorologicznego na działce nr </w:t>
      </w:r>
      <w:proofErr w:type="spellStart"/>
      <w:r w:rsidRPr="00B66296">
        <w:rPr>
          <w:sz w:val="24"/>
          <w:szCs w:val="24"/>
        </w:rPr>
        <w:t>ewid</w:t>
      </w:r>
      <w:proofErr w:type="spellEnd"/>
      <w:r w:rsidRPr="00B66296">
        <w:rPr>
          <w:sz w:val="24"/>
          <w:szCs w:val="24"/>
        </w:rPr>
        <w:t>. 330/3, obręb Użranki, gmina Mrągowo, powiat mrągowski, województwo warmińsko-mazurskie, według wariantu „I” inwestycyjnego i</w:t>
      </w:r>
      <w:r w:rsidR="00B66296">
        <w:rPr>
          <w:sz w:val="24"/>
          <w:szCs w:val="24"/>
        </w:rPr>
        <w:t> </w:t>
      </w:r>
      <w:r w:rsidRPr="00B66296">
        <w:rPr>
          <w:sz w:val="24"/>
          <w:szCs w:val="24"/>
        </w:rPr>
        <w:t>jednocześnie określam:</w:t>
      </w:r>
    </w:p>
    <w:p w:rsidR="00AC7548" w:rsidRPr="00B66296" w:rsidRDefault="00AC7548" w:rsidP="00B66296">
      <w:pPr>
        <w:pStyle w:val="Akapitzlist"/>
        <w:numPr>
          <w:ilvl w:val="0"/>
          <w:numId w:val="14"/>
        </w:numPr>
        <w:spacing w:after="0" w:line="360" w:lineRule="auto"/>
        <w:rPr>
          <w:sz w:val="24"/>
          <w:szCs w:val="24"/>
        </w:rPr>
      </w:pPr>
      <w:r w:rsidRPr="00B66296">
        <w:rPr>
          <w:sz w:val="24"/>
          <w:szCs w:val="24"/>
        </w:rPr>
        <w:t>Rodzaj i miejsce realizacji przedsięwzięcia.</w:t>
      </w:r>
    </w:p>
    <w:p w:rsidR="00AC7548" w:rsidRPr="00B66296" w:rsidRDefault="00AC7548" w:rsidP="00B66296">
      <w:pPr>
        <w:spacing w:after="0" w:line="360" w:lineRule="auto"/>
        <w:rPr>
          <w:sz w:val="24"/>
          <w:szCs w:val="24"/>
        </w:rPr>
      </w:pPr>
      <w:r w:rsidRPr="00B66296">
        <w:rPr>
          <w:sz w:val="24"/>
          <w:szCs w:val="24"/>
        </w:rPr>
        <w:t>Planowane przedsięwzięcie polega na budowie radaru meteorologicznego, którego celem będzie zwiększenie precyzji w monitorowaniu stanu atmosfery pod kątem zjawisk meteorologicznych. W ramach inwestycji planowana jest budowa wieży nowego radaru o</w:t>
      </w:r>
      <w:r w:rsidR="00B66296">
        <w:rPr>
          <w:sz w:val="24"/>
          <w:szCs w:val="24"/>
        </w:rPr>
        <w:t> </w:t>
      </w:r>
      <w:r w:rsidRPr="00B66296">
        <w:rPr>
          <w:sz w:val="24"/>
          <w:szCs w:val="24"/>
        </w:rPr>
        <w:t>wysokości do środka anteny około 35,0 m n.p.t. oraz infrastruktury towarzyszącej. Inwestycja realizowana będzie na działce nr ewidencyjny 330/3, obręb Użranki, gmina Mrągowo, powiat mrągowski, województwo warmińsko-mazurskie.</w:t>
      </w:r>
    </w:p>
    <w:p w:rsidR="00AC7548" w:rsidRPr="00B66296" w:rsidRDefault="00AC7548" w:rsidP="00B66296">
      <w:pPr>
        <w:spacing w:after="0" w:line="360" w:lineRule="auto"/>
        <w:rPr>
          <w:sz w:val="24"/>
          <w:szCs w:val="24"/>
        </w:rPr>
      </w:pPr>
      <w:r w:rsidRPr="00B66296">
        <w:rPr>
          <w:sz w:val="24"/>
          <w:szCs w:val="24"/>
        </w:rPr>
        <w:t xml:space="preserve">Przedmiotowy radar będzie stanowił element Systemu Monitoringu i Osłony Kraju polskiej państwowej służby hydrologiczno-meteorologicznej i włączony zostanie do polskiej sieci </w:t>
      </w:r>
      <w:r w:rsidRPr="00B66296">
        <w:rPr>
          <w:sz w:val="24"/>
          <w:szCs w:val="24"/>
        </w:rPr>
        <w:lastRenderedPageBreak/>
        <w:t>radarów meteorologicznych POLRAD, zapewniając monitorowanie w czasie rzeczywistym oraz skuteczne ostrzeganie przed groźnymi zjawiskami meteorologicznymi.</w:t>
      </w:r>
    </w:p>
    <w:p w:rsidR="00AC7548" w:rsidRPr="00B66296" w:rsidRDefault="00AC7548" w:rsidP="00B66296">
      <w:pPr>
        <w:pStyle w:val="Akapitzlist"/>
        <w:numPr>
          <w:ilvl w:val="0"/>
          <w:numId w:val="14"/>
        </w:numPr>
        <w:spacing w:after="0" w:line="360" w:lineRule="auto"/>
        <w:rPr>
          <w:sz w:val="24"/>
          <w:szCs w:val="24"/>
        </w:rPr>
      </w:pPr>
      <w:r w:rsidRPr="00B66296">
        <w:rPr>
          <w:sz w:val="24"/>
          <w:szCs w:val="24"/>
        </w:rPr>
        <w:t>Istotne warunki korzystania ze środowiska w fazie realizacji i eksploatacji lub użytkowania przedsięwzięcia, ze szczególnym uwzględnieniem konieczności ochrony cennych wartości przyrodniczych, zasobów naturalnych i zabytków oraz ograniczenia uciążliwości dla terenów sąsiednich:</w:t>
      </w:r>
    </w:p>
    <w:p w:rsidR="00B66296" w:rsidRDefault="00AC7548" w:rsidP="00B66296">
      <w:pPr>
        <w:pStyle w:val="Akapitzlist"/>
        <w:numPr>
          <w:ilvl w:val="0"/>
          <w:numId w:val="15"/>
        </w:numPr>
        <w:spacing w:after="0" w:line="360" w:lineRule="auto"/>
        <w:rPr>
          <w:sz w:val="24"/>
          <w:szCs w:val="24"/>
        </w:rPr>
      </w:pPr>
      <w:r w:rsidRPr="00B66296">
        <w:rPr>
          <w:sz w:val="24"/>
          <w:szCs w:val="24"/>
        </w:rPr>
        <w:t>W celu ograniczenia uciążliwości hałasowej prace budowlane, w szczególności najbardziej uciążliwe akustycznie, prowadzić wyłącznie w porze dziennej, tj. w</w:t>
      </w:r>
      <w:r w:rsidR="00B66296">
        <w:rPr>
          <w:sz w:val="24"/>
          <w:szCs w:val="24"/>
        </w:rPr>
        <w:t> </w:t>
      </w:r>
      <w:r w:rsidRPr="00B66296">
        <w:rPr>
          <w:sz w:val="24"/>
          <w:szCs w:val="24"/>
        </w:rPr>
        <w:t xml:space="preserve">godzinach 600-2200; roboty z wykorzystaniem ciężkiego sprzętu budowlanego prowadzić od godziny 7:00 do 19:00, w okresie letnim od II połowy czerwca do końca września oraz wykonywać je z przerwami, z używaniem sprzętu ciężkiego w sposób naprzemienny, </w:t>
      </w:r>
    </w:p>
    <w:p w:rsidR="00B66296" w:rsidRDefault="00AC7548" w:rsidP="00B66296">
      <w:pPr>
        <w:pStyle w:val="Akapitzlist"/>
        <w:numPr>
          <w:ilvl w:val="0"/>
          <w:numId w:val="15"/>
        </w:numPr>
        <w:spacing w:after="0" w:line="360" w:lineRule="auto"/>
        <w:rPr>
          <w:sz w:val="24"/>
          <w:szCs w:val="24"/>
        </w:rPr>
      </w:pPr>
      <w:r w:rsidRPr="00B66296">
        <w:rPr>
          <w:sz w:val="24"/>
          <w:szCs w:val="24"/>
        </w:rPr>
        <w:t>Prace budowlane prowadzić przy użyciu sprawnego technicznie sprzętu budowlanego i środków transportu, prawidłowo eksploatowanych i</w:t>
      </w:r>
      <w:r w:rsidR="00B66296">
        <w:rPr>
          <w:sz w:val="24"/>
          <w:szCs w:val="24"/>
        </w:rPr>
        <w:t> </w:t>
      </w:r>
      <w:r w:rsidRPr="00B66296">
        <w:rPr>
          <w:sz w:val="24"/>
          <w:szCs w:val="24"/>
        </w:rPr>
        <w:t>konserwowanych, użytkowanych zgodnie z ich przeznaczeniem.</w:t>
      </w:r>
    </w:p>
    <w:p w:rsidR="00B66296" w:rsidRDefault="00AC7548" w:rsidP="00B66296">
      <w:pPr>
        <w:pStyle w:val="Akapitzlist"/>
        <w:numPr>
          <w:ilvl w:val="0"/>
          <w:numId w:val="15"/>
        </w:numPr>
        <w:spacing w:after="0" w:line="360" w:lineRule="auto"/>
        <w:rPr>
          <w:sz w:val="24"/>
          <w:szCs w:val="24"/>
        </w:rPr>
      </w:pPr>
      <w:r w:rsidRPr="00B66296">
        <w:rPr>
          <w:sz w:val="24"/>
          <w:szCs w:val="24"/>
        </w:rPr>
        <w:t>W trakcie prac budowlanych należy wyłączać silniki maszyn i pojazdów podczas załadunku i rozładunku materiałów oraz innych przerw w pracy, a także ograniczać pracę maszyn budowlanych na tzw. biegu jałowym.</w:t>
      </w:r>
    </w:p>
    <w:p w:rsidR="00B66296" w:rsidRDefault="00AC7548" w:rsidP="00B66296">
      <w:pPr>
        <w:pStyle w:val="Akapitzlist"/>
        <w:numPr>
          <w:ilvl w:val="0"/>
          <w:numId w:val="15"/>
        </w:numPr>
        <w:spacing w:after="0" w:line="360" w:lineRule="auto"/>
        <w:rPr>
          <w:sz w:val="24"/>
          <w:szCs w:val="24"/>
        </w:rPr>
      </w:pPr>
      <w:r w:rsidRPr="00B66296">
        <w:rPr>
          <w:sz w:val="24"/>
          <w:szCs w:val="24"/>
        </w:rPr>
        <w:t>Ruch samochodów ciężarowych przywożących materiały budowlane oraz sprzęt techniczny należy prowadzić drogami publicznymi z ograniczoną prędkością, a na drodze nieutwardzonej z miejscowości Użranki do terenu inwestycji - z szybkością 10 - 20 km/h.</w:t>
      </w:r>
    </w:p>
    <w:p w:rsidR="00B66296" w:rsidRDefault="00AC7548" w:rsidP="00B66296">
      <w:pPr>
        <w:pStyle w:val="Akapitzlist"/>
        <w:numPr>
          <w:ilvl w:val="0"/>
          <w:numId w:val="15"/>
        </w:numPr>
        <w:spacing w:after="0" w:line="360" w:lineRule="auto"/>
        <w:rPr>
          <w:sz w:val="24"/>
          <w:szCs w:val="24"/>
        </w:rPr>
      </w:pPr>
      <w:r w:rsidRPr="00B66296">
        <w:rPr>
          <w:sz w:val="24"/>
          <w:szCs w:val="24"/>
        </w:rPr>
        <w:t>W celu ograniczenia pylenia należy zraszać wodą teren budowy w okresach suszy; materiały budowlane wykorzystywać na bieżąco, bez ich długotrwałego składowania na miejscu budowy.</w:t>
      </w:r>
    </w:p>
    <w:p w:rsidR="00B66296" w:rsidRDefault="00AC7548" w:rsidP="00B66296">
      <w:pPr>
        <w:pStyle w:val="Akapitzlist"/>
        <w:numPr>
          <w:ilvl w:val="0"/>
          <w:numId w:val="15"/>
        </w:numPr>
        <w:spacing w:after="0" w:line="360" w:lineRule="auto"/>
        <w:rPr>
          <w:sz w:val="24"/>
          <w:szCs w:val="24"/>
        </w:rPr>
      </w:pPr>
      <w:r w:rsidRPr="00B66296">
        <w:rPr>
          <w:sz w:val="24"/>
          <w:szCs w:val="24"/>
        </w:rPr>
        <w:t>Bazę materiałowo-sprzętową oraz park maszyn zlokalizować na terenie utwardzonym.</w:t>
      </w:r>
    </w:p>
    <w:p w:rsidR="00B66296" w:rsidRDefault="00AC7548" w:rsidP="00B66296">
      <w:pPr>
        <w:pStyle w:val="Akapitzlist"/>
        <w:numPr>
          <w:ilvl w:val="0"/>
          <w:numId w:val="15"/>
        </w:numPr>
        <w:spacing w:after="0" w:line="360" w:lineRule="auto"/>
        <w:rPr>
          <w:sz w:val="24"/>
          <w:szCs w:val="24"/>
        </w:rPr>
      </w:pPr>
      <w:r w:rsidRPr="00B66296">
        <w:rPr>
          <w:sz w:val="24"/>
          <w:szCs w:val="24"/>
        </w:rPr>
        <w:t>Plac budowy wyposażyć w stanowisko z sorbentem, służącym do likwidacji ewentualnych wycieków substancji ropopochodnych i innych szkodliwych substancji; w przypadku zaistnienia sytuacji awaryjnej, np. wystąpienia wycieku, zużyty sorbent i</w:t>
      </w:r>
      <w:r w:rsidR="00B66296">
        <w:rPr>
          <w:sz w:val="24"/>
          <w:szCs w:val="24"/>
        </w:rPr>
        <w:t> </w:t>
      </w:r>
      <w:r w:rsidRPr="00B66296">
        <w:rPr>
          <w:sz w:val="24"/>
          <w:szCs w:val="24"/>
        </w:rPr>
        <w:t>ziemię skażoną wyciekiem należy niezwłocznie zebrać i przekazać uprawnionej firmie do dalszego zagospodarowania.</w:t>
      </w:r>
    </w:p>
    <w:p w:rsidR="00B66296" w:rsidRDefault="00AC7548" w:rsidP="00B66296">
      <w:pPr>
        <w:pStyle w:val="Akapitzlist"/>
        <w:numPr>
          <w:ilvl w:val="0"/>
          <w:numId w:val="15"/>
        </w:numPr>
        <w:spacing w:after="0" w:line="360" w:lineRule="auto"/>
        <w:rPr>
          <w:sz w:val="24"/>
          <w:szCs w:val="24"/>
        </w:rPr>
      </w:pPr>
      <w:r w:rsidRPr="00B66296">
        <w:rPr>
          <w:sz w:val="24"/>
          <w:szCs w:val="24"/>
        </w:rPr>
        <w:lastRenderedPageBreak/>
        <w:t>Nie prowadzić tankowania pojazdów i maszyn budowlanych oraz napraw sprzętu, wymiany olejów w maszynach i urządzeniach w trakcie prac budowlanych, na placu budowy.</w:t>
      </w:r>
    </w:p>
    <w:p w:rsidR="00B66296" w:rsidRDefault="00AC7548" w:rsidP="00B66296">
      <w:pPr>
        <w:pStyle w:val="Akapitzlist"/>
        <w:numPr>
          <w:ilvl w:val="0"/>
          <w:numId w:val="15"/>
        </w:numPr>
        <w:spacing w:after="0" w:line="360" w:lineRule="auto"/>
        <w:rPr>
          <w:sz w:val="24"/>
          <w:szCs w:val="24"/>
        </w:rPr>
      </w:pPr>
      <w:r w:rsidRPr="00B66296">
        <w:rPr>
          <w:sz w:val="24"/>
          <w:szCs w:val="24"/>
        </w:rPr>
        <w:t>Znajdujące się na terenie prowadzonych prac substancje niebezpieczne dla środowiska gruntowo-wodnego przechowywać  w szczelnych pojemnikach na zapleczu budowy.</w:t>
      </w:r>
    </w:p>
    <w:p w:rsidR="00B66296" w:rsidRDefault="00AC7548" w:rsidP="00B66296">
      <w:pPr>
        <w:pStyle w:val="Akapitzlist"/>
        <w:numPr>
          <w:ilvl w:val="0"/>
          <w:numId w:val="15"/>
        </w:numPr>
        <w:spacing w:after="0" w:line="360" w:lineRule="auto"/>
        <w:rPr>
          <w:sz w:val="24"/>
          <w:szCs w:val="24"/>
        </w:rPr>
      </w:pPr>
      <w:r w:rsidRPr="00B66296">
        <w:rPr>
          <w:sz w:val="24"/>
          <w:szCs w:val="24"/>
        </w:rPr>
        <w:t>Zaplecze socjalne budowy wyposażyć w szczelne, bezodpływowe zbiorniki na ścieki (przenośne toalety), z zapewnieniem ich opróżniania przez uprawnioną firmę; nie dopuścić do przepełnienia ww. zbiorników.</w:t>
      </w:r>
    </w:p>
    <w:p w:rsidR="00B66296" w:rsidRDefault="00AC7548" w:rsidP="00B66296">
      <w:pPr>
        <w:pStyle w:val="Akapitzlist"/>
        <w:numPr>
          <w:ilvl w:val="0"/>
          <w:numId w:val="15"/>
        </w:numPr>
        <w:spacing w:after="0" w:line="360" w:lineRule="auto"/>
        <w:rPr>
          <w:sz w:val="24"/>
          <w:szCs w:val="24"/>
        </w:rPr>
      </w:pPr>
      <w:r w:rsidRPr="00B66296">
        <w:rPr>
          <w:sz w:val="24"/>
          <w:szCs w:val="24"/>
        </w:rPr>
        <w:t>Masy ziemne oraz wierzchnią warstwę ziemi (urodzajną, składowaną osobno) wykorzystać w jak największym stopniu do zagospodarowania terenu przedsięwzięcia.</w:t>
      </w:r>
    </w:p>
    <w:p w:rsidR="00B66296" w:rsidRDefault="00AC7548" w:rsidP="00B66296">
      <w:pPr>
        <w:pStyle w:val="Akapitzlist"/>
        <w:numPr>
          <w:ilvl w:val="0"/>
          <w:numId w:val="15"/>
        </w:numPr>
        <w:spacing w:after="0" w:line="360" w:lineRule="auto"/>
        <w:rPr>
          <w:sz w:val="24"/>
          <w:szCs w:val="24"/>
        </w:rPr>
      </w:pPr>
      <w:r w:rsidRPr="00B66296">
        <w:rPr>
          <w:sz w:val="24"/>
          <w:szCs w:val="24"/>
        </w:rPr>
        <w:t>Powstające w trakcie realizacji przedsięwzięcia odpady gromadzić selektywnie w wyznaczonych miejscach oraz pojemnikach na terenie zaplecza budowy, oznakowanych oraz zabezpieczonych przed dostępem osób postronnych i</w:t>
      </w:r>
      <w:r w:rsidR="00B66296">
        <w:rPr>
          <w:sz w:val="24"/>
          <w:szCs w:val="24"/>
        </w:rPr>
        <w:t> </w:t>
      </w:r>
      <w:r w:rsidRPr="00B66296">
        <w:rPr>
          <w:sz w:val="24"/>
          <w:szCs w:val="24"/>
        </w:rPr>
        <w:t>systematycznie przekazywać uprawnionym podmiotom.</w:t>
      </w:r>
    </w:p>
    <w:p w:rsidR="00B66296" w:rsidRDefault="00AC7548" w:rsidP="00B66296">
      <w:pPr>
        <w:pStyle w:val="Akapitzlist"/>
        <w:numPr>
          <w:ilvl w:val="0"/>
          <w:numId w:val="15"/>
        </w:numPr>
        <w:spacing w:after="0" w:line="360" w:lineRule="auto"/>
        <w:rPr>
          <w:sz w:val="24"/>
          <w:szCs w:val="24"/>
        </w:rPr>
      </w:pPr>
      <w:r w:rsidRPr="00B66296">
        <w:rPr>
          <w:sz w:val="24"/>
          <w:szCs w:val="24"/>
        </w:rPr>
        <w:t>Prace budowalne z użyciem ciężkiego sprzętu prowadzić poza sezonem lęgowym ptaków, tj. w okresie od września do końca lutego.</w:t>
      </w:r>
    </w:p>
    <w:p w:rsidR="00B66296" w:rsidRDefault="00AC7548" w:rsidP="00B66296">
      <w:pPr>
        <w:pStyle w:val="Akapitzlist"/>
        <w:numPr>
          <w:ilvl w:val="0"/>
          <w:numId w:val="15"/>
        </w:numPr>
        <w:spacing w:after="0" w:line="360" w:lineRule="auto"/>
        <w:rPr>
          <w:sz w:val="24"/>
          <w:szCs w:val="24"/>
        </w:rPr>
      </w:pPr>
      <w:r w:rsidRPr="00B66296">
        <w:rPr>
          <w:sz w:val="24"/>
          <w:szCs w:val="24"/>
        </w:rPr>
        <w:t>Z uwagi na to że droga gruntowa Użranki-Kosewo przekracza Mazurską Ostoję Żółwia Baranowo, a w tym użytek ekologiczny Zawady, transport sprzętu i materiałów powinien odbywać się od zjazdu z drogi krajowej DK59 przez miejscowość Użranki.</w:t>
      </w:r>
    </w:p>
    <w:p w:rsidR="00B66296" w:rsidRDefault="00AC7548" w:rsidP="00B66296">
      <w:pPr>
        <w:pStyle w:val="Akapitzlist"/>
        <w:numPr>
          <w:ilvl w:val="0"/>
          <w:numId w:val="15"/>
        </w:numPr>
        <w:spacing w:after="0" w:line="360" w:lineRule="auto"/>
        <w:rPr>
          <w:sz w:val="24"/>
          <w:szCs w:val="24"/>
        </w:rPr>
      </w:pPr>
      <w:r w:rsidRPr="00B66296">
        <w:rPr>
          <w:sz w:val="24"/>
          <w:szCs w:val="24"/>
        </w:rPr>
        <w:t>W przypadku korzystania z drogi gruntowej Użranki-Kosewo, na okres budowy należy przy przekraczaniu drogi obszarów uwodnionych i miejsc potencjalnych migracji żółwi oraz płazów i innych gadów, ogrodzić te odcinki płotkami z bezpiecznymi pojemnikami na te zwierzęta (zabezpieczonymi przed drapieżnikami). Pojemniki te powinny być opróżniane kilka razy na dobę, a zwierzęta w nich znalezione inwentaryzowane przez specjalistę i przenoszone bezpiecznie na drugą stronę drogi.</w:t>
      </w:r>
    </w:p>
    <w:p w:rsidR="00B66296" w:rsidRDefault="00AC7548" w:rsidP="00B66296">
      <w:pPr>
        <w:pStyle w:val="Akapitzlist"/>
        <w:numPr>
          <w:ilvl w:val="0"/>
          <w:numId w:val="15"/>
        </w:numPr>
        <w:spacing w:after="0" w:line="360" w:lineRule="auto"/>
        <w:rPr>
          <w:sz w:val="24"/>
          <w:szCs w:val="24"/>
        </w:rPr>
      </w:pPr>
      <w:r w:rsidRPr="00B66296">
        <w:rPr>
          <w:sz w:val="24"/>
          <w:szCs w:val="24"/>
        </w:rPr>
        <w:t xml:space="preserve">Przed przystąpieniem do prac teren, na którym będą wykonywane roboty, należy ogrodzić płotkiem uniemożliwiającym przemieszczanie się drobnych zwierząt na teren budowy. Płotki powinny być wykonane z grubej, gładkiej folii o wysokości minimum 40 cm z przewieszką zabezpieczającą przed przedostaniem się zwierząt poza ogrodzony obszar. Folia powinna być rozpięta na metalowych bądź drewnianych palikach wbitych głęboko w grunt tak, aby płotek stanowił sztywną </w:t>
      </w:r>
      <w:r w:rsidRPr="00B66296">
        <w:rPr>
          <w:sz w:val="24"/>
          <w:szCs w:val="24"/>
        </w:rPr>
        <w:lastRenderedPageBreak/>
        <w:t>i</w:t>
      </w:r>
      <w:r w:rsidR="00B66296">
        <w:rPr>
          <w:sz w:val="24"/>
          <w:szCs w:val="24"/>
        </w:rPr>
        <w:t> </w:t>
      </w:r>
      <w:r w:rsidRPr="00B66296">
        <w:rPr>
          <w:sz w:val="24"/>
          <w:szCs w:val="24"/>
        </w:rPr>
        <w:t>stabilną konstrukcję. Dolna krawędź folii powinna być wpuszczona w podłoże w celu uniknięcia przedostawania się zwierząt pod ogrodzeniem. Demontaż płotków powinien nastąpić po zakończeniu wszelkich prac budowlanych. Po wygrodzeniu terenu, przed przystąpieniem do prac, należy skontrolować wygrodzony obszar i</w:t>
      </w:r>
      <w:r w:rsidR="00B66296">
        <w:rPr>
          <w:sz w:val="24"/>
          <w:szCs w:val="24"/>
        </w:rPr>
        <w:t> </w:t>
      </w:r>
      <w:r w:rsidRPr="00B66296">
        <w:rPr>
          <w:sz w:val="24"/>
          <w:szCs w:val="24"/>
        </w:rPr>
        <w:t>w</w:t>
      </w:r>
      <w:r w:rsidR="00B66296">
        <w:rPr>
          <w:sz w:val="24"/>
          <w:szCs w:val="24"/>
        </w:rPr>
        <w:t> </w:t>
      </w:r>
      <w:r w:rsidRPr="00B66296">
        <w:rPr>
          <w:sz w:val="24"/>
          <w:szCs w:val="24"/>
        </w:rPr>
        <w:t>przypadku stwierdzenia płazów, odłowić i przenieść poza teren budowy.</w:t>
      </w:r>
    </w:p>
    <w:p w:rsidR="00B66296" w:rsidRDefault="00AC7548" w:rsidP="00B66296">
      <w:pPr>
        <w:pStyle w:val="Akapitzlist"/>
        <w:numPr>
          <w:ilvl w:val="0"/>
          <w:numId w:val="15"/>
        </w:numPr>
        <w:spacing w:after="0" w:line="360" w:lineRule="auto"/>
        <w:rPr>
          <w:sz w:val="24"/>
          <w:szCs w:val="24"/>
        </w:rPr>
      </w:pPr>
      <w:r w:rsidRPr="00B66296">
        <w:rPr>
          <w:sz w:val="24"/>
          <w:szCs w:val="24"/>
        </w:rPr>
        <w:t>W przypadku konieczności przemieszczania okazów gatunków objętych ochroną gatunkową należy uzyskać zezwolenie Regionalnego Dyrektora Ochrony Środowiska w Olsztynie na wykonywanie czynności podlegających zakazom, w stosunku do gatunków objętych ochroną ścisłą i częściową, wydawane na podstawie art. 56 ust. 2 pkt 1 ustawy z dnia 16 kwietnia 2004 r. o ochronie przyrody (Dz. Urz. z 2020 r. poz. 55).</w:t>
      </w:r>
    </w:p>
    <w:p w:rsidR="00B66296" w:rsidRDefault="00AC7548" w:rsidP="00B66296">
      <w:pPr>
        <w:pStyle w:val="Akapitzlist"/>
        <w:numPr>
          <w:ilvl w:val="0"/>
          <w:numId w:val="15"/>
        </w:numPr>
        <w:spacing w:after="0" w:line="360" w:lineRule="auto"/>
        <w:rPr>
          <w:sz w:val="24"/>
          <w:szCs w:val="24"/>
        </w:rPr>
      </w:pPr>
      <w:r w:rsidRPr="00B66296">
        <w:rPr>
          <w:sz w:val="24"/>
          <w:szCs w:val="24"/>
        </w:rPr>
        <w:t>Po zakończeniu wszystkich prac budowlanych teren przedsięwzięcia uporządkować.</w:t>
      </w:r>
    </w:p>
    <w:p w:rsidR="00B66296" w:rsidRDefault="00AC7548" w:rsidP="00B66296">
      <w:pPr>
        <w:pStyle w:val="Akapitzlist"/>
        <w:numPr>
          <w:ilvl w:val="0"/>
          <w:numId w:val="15"/>
        </w:numPr>
        <w:spacing w:after="0" w:line="360" w:lineRule="auto"/>
        <w:rPr>
          <w:sz w:val="24"/>
          <w:szCs w:val="24"/>
        </w:rPr>
      </w:pPr>
      <w:r w:rsidRPr="00B66296">
        <w:rPr>
          <w:sz w:val="24"/>
          <w:szCs w:val="24"/>
        </w:rPr>
        <w:t>Wodę na potrzeby funkcjonowania przedsięwzięcia pobierać z sieci wodociągowej.</w:t>
      </w:r>
    </w:p>
    <w:p w:rsidR="00B66296" w:rsidRDefault="00AC7548" w:rsidP="00B66296">
      <w:pPr>
        <w:pStyle w:val="Akapitzlist"/>
        <w:numPr>
          <w:ilvl w:val="0"/>
          <w:numId w:val="15"/>
        </w:numPr>
        <w:spacing w:after="0" w:line="360" w:lineRule="auto"/>
        <w:rPr>
          <w:sz w:val="24"/>
          <w:szCs w:val="24"/>
        </w:rPr>
      </w:pPr>
      <w:r w:rsidRPr="00B66296">
        <w:rPr>
          <w:sz w:val="24"/>
          <w:szCs w:val="24"/>
        </w:rPr>
        <w:t>Ścieki socjalno-bytowe na etapie eksploatacji przedsięwzięcia odprowadzać do szczelnego zbiornika bezodpływowego, systematycznie opróżnianego przez uprawnione podmioty; nie dopuszczać do jego przepełnienia.</w:t>
      </w:r>
    </w:p>
    <w:p w:rsidR="00B66296" w:rsidRDefault="00AC7548" w:rsidP="00B66296">
      <w:pPr>
        <w:pStyle w:val="Akapitzlist"/>
        <w:numPr>
          <w:ilvl w:val="0"/>
          <w:numId w:val="15"/>
        </w:numPr>
        <w:spacing w:after="0" w:line="360" w:lineRule="auto"/>
        <w:rPr>
          <w:sz w:val="24"/>
          <w:szCs w:val="24"/>
        </w:rPr>
      </w:pPr>
      <w:r w:rsidRPr="00B66296">
        <w:rPr>
          <w:sz w:val="24"/>
          <w:szCs w:val="24"/>
        </w:rPr>
        <w:t>Zbiornik paliwa do agregatu umieścić w oddzielnym pomieszczeniu w wieży radarowej; w pomieszczeniu tym należy zapewnić sorbent do użycia w przypadku rozlania paliwa w trakcie tankowania.</w:t>
      </w:r>
    </w:p>
    <w:p w:rsidR="00B66296" w:rsidRDefault="00AC7548" w:rsidP="00B66296">
      <w:pPr>
        <w:pStyle w:val="Akapitzlist"/>
        <w:numPr>
          <w:ilvl w:val="0"/>
          <w:numId w:val="15"/>
        </w:numPr>
        <w:spacing w:after="0" w:line="360" w:lineRule="auto"/>
        <w:rPr>
          <w:sz w:val="24"/>
          <w:szCs w:val="24"/>
        </w:rPr>
      </w:pPr>
      <w:r w:rsidRPr="00B66296">
        <w:rPr>
          <w:sz w:val="24"/>
          <w:szCs w:val="24"/>
        </w:rPr>
        <w:t>Wody opadowe i roztopowe z terenów utwardzonych oraz powierzchni dachów odprowadzać powierzchniowo do gruntu na działce własnej Inwestora, bez zakłócania stosunków wodnych terenów sąsiednich.</w:t>
      </w:r>
    </w:p>
    <w:p w:rsidR="00AC7548" w:rsidRPr="00B66296" w:rsidRDefault="00AC7548" w:rsidP="00B66296">
      <w:pPr>
        <w:pStyle w:val="Akapitzlist"/>
        <w:numPr>
          <w:ilvl w:val="0"/>
          <w:numId w:val="15"/>
        </w:numPr>
        <w:spacing w:after="0" w:line="360" w:lineRule="auto"/>
        <w:rPr>
          <w:sz w:val="24"/>
          <w:szCs w:val="24"/>
        </w:rPr>
      </w:pPr>
      <w:r w:rsidRPr="00B66296">
        <w:rPr>
          <w:sz w:val="24"/>
          <w:szCs w:val="24"/>
        </w:rPr>
        <w:t>Odpady wytwarzane w trakcie przeglądów i napraw obiektu zbierać selektywnie, bez magazynowania na terenie stacji radarowej, a następnie przekazywać do dalszego zagospodarowania podmiotom posiadającym uprawnienia w tym zakresie.</w:t>
      </w:r>
    </w:p>
    <w:p w:rsidR="00AC7548" w:rsidRPr="00B66296" w:rsidRDefault="00AC7548" w:rsidP="00B66296">
      <w:pPr>
        <w:pStyle w:val="Akapitzlist"/>
        <w:numPr>
          <w:ilvl w:val="0"/>
          <w:numId w:val="14"/>
        </w:numPr>
        <w:spacing w:after="0" w:line="360" w:lineRule="auto"/>
        <w:rPr>
          <w:sz w:val="24"/>
          <w:szCs w:val="24"/>
        </w:rPr>
      </w:pPr>
      <w:r w:rsidRPr="00B66296">
        <w:rPr>
          <w:sz w:val="24"/>
          <w:szCs w:val="24"/>
        </w:rPr>
        <w:t>Wymagania dotyczące ochrony środowiska konieczne do uwzględnienia w projekcie budowlanym:</w:t>
      </w:r>
    </w:p>
    <w:p w:rsidR="00B66296" w:rsidRDefault="00AC7548" w:rsidP="00B66296">
      <w:pPr>
        <w:pStyle w:val="Akapitzlist"/>
        <w:numPr>
          <w:ilvl w:val="0"/>
          <w:numId w:val="16"/>
        </w:numPr>
        <w:spacing w:after="0" w:line="360" w:lineRule="auto"/>
        <w:rPr>
          <w:sz w:val="24"/>
          <w:szCs w:val="24"/>
        </w:rPr>
      </w:pPr>
      <w:r w:rsidRPr="00B66296">
        <w:rPr>
          <w:sz w:val="24"/>
          <w:szCs w:val="24"/>
        </w:rPr>
        <w:t>Zaprojektować system antenowy w taki sposób, aby obszary średniej gęstości mocy pól elektromagnetycznych o wartości większej lub równej 10 W/m2 koncentrowały się na dużych wysokościach (min. 237 m n.p.m.), w wolnej przestrzeni i w miejscach niedostępnych dla ludności;</w:t>
      </w:r>
    </w:p>
    <w:p w:rsidR="00B66296" w:rsidRDefault="00AC7548" w:rsidP="00B66296">
      <w:pPr>
        <w:pStyle w:val="Akapitzlist"/>
        <w:numPr>
          <w:ilvl w:val="0"/>
          <w:numId w:val="16"/>
        </w:numPr>
        <w:spacing w:after="0" w:line="360" w:lineRule="auto"/>
        <w:rPr>
          <w:sz w:val="24"/>
          <w:szCs w:val="24"/>
        </w:rPr>
      </w:pPr>
      <w:r w:rsidRPr="00B66296">
        <w:rPr>
          <w:sz w:val="24"/>
          <w:szCs w:val="24"/>
        </w:rPr>
        <w:t xml:space="preserve">Zaprojektować system sterowania anteną radaru zapewniający ruch wiązki antenowej tylko w zakresie górnej półsfery i gwarantujący jej horyzontalną pracę, tj. </w:t>
      </w:r>
      <w:r w:rsidRPr="00B66296">
        <w:rPr>
          <w:sz w:val="24"/>
          <w:szCs w:val="24"/>
        </w:rPr>
        <w:lastRenderedPageBreak/>
        <w:t>o konstrukcji anteny wykluczającej możliwość jej pracy pod kątem elewacji poniżej +5° od linii poziomej anteny.</w:t>
      </w:r>
    </w:p>
    <w:p w:rsidR="00B66296" w:rsidRDefault="00AC7548" w:rsidP="00B66296">
      <w:pPr>
        <w:pStyle w:val="Akapitzlist"/>
        <w:numPr>
          <w:ilvl w:val="0"/>
          <w:numId w:val="16"/>
        </w:numPr>
        <w:spacing w:after="0" w:line="360" w:lineRule="auto"/>
        <w:rPr>
          <w:sz w:val="24"/>
          <w:szCs w:val="24"/>
        </w:rPr>
      </w:pPr>
      <w:r w:rsidRPr="00B66296">
        <w:rPr>
          <w:sz w:val="24"/>
          <w:szCs w:val="24"/>
        </w:rPr>
        <w:t>Zaprojektować  szczelny, bezodpływowy zbiornik na ścieki bytowe o pojemności do ok. 10 m3.</w:t>
      </w:r>
    </w:p>
    <w:p w:rsidR="00AC7548" w:rsidRPr="00B66296" w:rsidRDefault="00AC7548" w:rsidP="00B66296">
      <w:pPr>
        <w:pStyle w:val="Akapitzlist"/>
        <w:numPr>
          <w:ilvl w:val="0"/>
          <w:numId w:val="16"/>
        </w:numPr>
        <w:spacing w:after="0" w:line="360" w:lineRule="auto"/>
        <w:rPr>
          <w:sz w:val="24"/>
          <w:szCs w:val="24"/>
        </w:rPr>
      </w:pPr>
      <w:r w:rsidRPr="00B66296">
        <w:rPr>
          <w:sz w:val="24"/>
          <w:szCs w:val="24"/>
        </w:rPr>
        <w:t>Zastosować dwupłaszczowy zbiornik paliwa o pojemności ok. 1000 I, z</w:t>
      </w:r>
      <w:r w:rsidR="00B66296">
        <w:rPr>
          <w:sz w:val="24"/>
          <w:szCs w:val="24"/>
        </w:rPr>
        <w:t> </w:t>
      </w:r>
      <w:r w:rsidRPr="00B66296">
        <w:rPr>
          <w:sz w:val="24"/>
          <w:szCs w:val="24"/>
        </w:rPr>
        <w:t>zabezpieczeniem antykorozyjnym powierzchni zewnętrznej oraz zabezpieczony wanną bezodpływową zdolną przyjąć całą zawartość zbiornika; zbiornik powinien zostać wyposażony w:</w:t>
      </w:r>
    </w:p>
    <w:p w:rsidR="00B66296" w:rsidRDefault="00AC7548" w:rsidP="00B66296">
      <w:pPr>
        <w:pStyle w:val="Akapitzlist"/>
        <w:numPr>
          <w:ilvl w:val="0"/>
          <w:numId w:val="17"/>
        </w:numPr>
        <w:spacing w:after="0" w:line="360" w:lineRule="auto"/>
        <w:rPr>
          <w:sz w:val="24"/>
          <w:szCs w:val="24"/>
        </w:rPr>
      </w:pPr>
      <w:r w:rsidRPr="00B66296">
        <w:rPr>
          <w:sz w:val="24"/>
          <w:szCs w:val="24"/>
        </w:rPr>
        <w:t>system mechanicznych czujników przepełniania w czasie napełniania zbiornika,</w:t>
      </w:r>
    </w:p>
    <w:p w:rsidR="00AC7548" w:rsidRPr="00B66296" w:rsidRDefault="00AC7548" w:rsidP="00B66296">
      <w:pPr>
        <w:pStyle w:val="Akapitzlist"/>
        <w:numPr>
          <w:ilvl w:val="0"/>
          <w:numId w:val="17"/>
        </w:numPr>
        <w:spacing w:after="0" w:line="360" w:lineRule="auto"/>
        <w:rPr>
          <w:sz w:val="24"/>
          <w:szCs w:val="24"/>
        </w:rPr>
      </w:pPr>
      <w:r w:rsidRPr="00B66296">
        <w:rPr>
          <w:sz w:val="24"/>
          <w:szCs w:val="24"/>
        </w:rPr>
        <w:t xml:space="preserve">system kontroli szczelności w przestrzeni </w:t>
      </w:r>
      <w:proofErr w:type="spellStart"/>
      <w:r w:rsidRPr="00B66296">
        <w:rPr>
          <w:sz w:val="24"/>
          <w:szCs w:val="24"/>
        </w:rPr>
        <w:t>międzypłaszczowej</w:t>
      </w:r>
      <w:proofErr w:type="spellEnd"/>
      <w:r w:rsidRPr="00B66296">
        <w:rPr>
          <w:sz w:val="24"/>
          <w:szCs w:val="24"/>
        </w:rPr>
        <w:t xml:space="preserve"> zbiornika.</w:t>
      </w:r>
    </w:p>
    <w:p w:rsidR="00AC7548" w:rsidRPr="00B66296" w:rsidRDefault="00AC7548" w:rsidP="00B66296">
      <w:pPr>
        <w:pStyle w:val="Akapitzlist"/>
        <w:numPr>
          <w:ilvl w:val="0"/>
          <w:numId w:val="16"/>
        </w:numPr>
        <w:spacing w:after="0" w:line="360" w:lineRule="auto"/>
        <w:rPr>
          <w:sz w:val="24"/>
          <w:szCs w:val="24"/>
        </w:rPr>
      </w:pPr>
      <w:r w:rsidRPr="00B66296">
        <w:rPr>
          <w:sz w:val="24"/>
          <w:szCs w:val="24"/>
        </w:rPr>
        <w:t>Zaprojektować odpowiednie oświetlenie wieży radaru w celu ograniczenia potencjalnych kolizji z przelatującymi ptakami, przez oświetlenie fasady radaru za pomocą migających świateł (a nie świateł stałych), które będą "ostrzegać" przelatujące ptaki przed wysokim obiektem.</w:t>
      </w:r>
    </w:p>
    <w:p w:rsidR="00AC7548" w:rsidRPr="00B66296" w:rsidRDefault="00AC7548" w:rsidP="00B66296">
      <w:pPr>
        <w:pStyle w:val="Akapitzlist"/>
        <w:numPr>
          <w:ilvl w:val="0"/>
          <w:numId w:val="14"/>
        </w:numPr>
        <w:spacing w:after="0" w:line="360" w:lineRule="auto"/>
        <w:rPr>
          <w:sz w:val="24"/>
          <w:szCs w:val="24"/>
        </w:rPr>
      </w:pPr>
      <w:r w:rsidRPr="00B66296">
        <w:rPr>
          <w:sz w:val="24"/>
          <w:szCs w:val="24"/>
        </w:rPr>
        <w:t>Nie nakładam obowiązku:</w:t>
      </w:r>
    </w:p>
    <w:p w:rsidR="00B66296" w:rsidRDefault="00AC7548" w:rsidP="00B66296">
      <w:pPr>
        <w:pStyle w:val="Akapitzlist"/>
        <w:numPr>
          <w:ilvl w:val="0"/>
          <w:numId w:val="19"/>
        </w:numPr>
        <w:spacing w:after="0" w:line="360" w:lineRule="auto"/>
        <w:rPr>
          <w:sz w:val="24"/>
          <w:szCs w:val="24"/>
        </w:rPr>
      </w:pPr>
      <w:r w:rsidRPr="00B66296">
        <w:rPr>
          <w:sz w:val="24"/>
          <w:szCs w:val="24"/>
        </w:rPr>
        <w:t>przeprowadzenia oceny oddziaływania na środowisko w ramach postępowania w</w:t>
      </w:r>
      <w:r w:rsidR="00B66296">
        <w:rPr>
          <w:sz w:val="24"/>
          <w:szCs w:val="24"/>
        </w:rPr>
        <w:t> </w:t>
      </w:r>
      <w:r w:rsidRPr="00B66296">
        <w:rPr>
          <w:sz w:val="24"/>
          <w:szCs w:val="24"/>
        </w:rPr>
        <w:t>sprawie wydania pozwolenia na budowę,</w:t>
      </w:r>
    </w:p>
    <w:p w:rsidR="00AC7548" w:rsidRPr="00B66296" w:rsidRDefault="00AC7548" w:rsidP="00B66296">
      <w:pPr>
        <w:pStyle w:val="Akapitzlist"/>
        <w:numPr>
          <w:ilvl w:val="0"/>
          <w:numId w:val="19"/>
        </w:numPr>
        <w:spacing w:after="0" w:line="360" w:lineRule="auto"/>
        <w:rPr>
          <w:sz w:val="24"/>
          <w:szCs w:val="24"/>
        </w:rPr>
      </w:pPr>
      <w:r w:rsidRPr="00B66296">
        <w:rPr>
          <w:sz w:val="24"/>
          <w:szCs w:val="24"/>
        </w:rPr>
        <w:t>przeprowadzenia postępowania w sprawie transgranicznego oddziaływania na środowisko.</w:t>
      </w:r>
    </w:p>
    <w:p w:rsidR="00AC7548" w:rsidRPr="00B66296" w:rsidRDefault="00AC7548" w:rsidP="00B66296">
      <w:pPr>
        <w:pStyle w:val="Akapitzlist"/>
        <w:numPr>
          <w:ilvl w:val="0"/>
          <w:numId w:val="14"/>
        </w:numPr>
        <w:spacing w:after="0" w:line="360" w:lineRule="auto"/>
        <w:rPr>
          <w:sz w:val="24"/>
          <w:szCs w:val="24"/>
        </w:rPr>
      </w:pPr>
      <w:r w:rsidRPr="00B66296">
        <w:rPr>
          <w:sz w:val="24"/>
          <w:szCs w:val="24"/>
        </w:rPr>
        <w:t>Wymogi  w zakresie przeciwdziałania skutkom awarii przemysłowych, w odniesieniu do przedsięwzięć zaliczanych do zakładów o zwiększonym ryzyku albo zakładu o dużym ryzyku wystąpienia poważnej awarii przemysłowej.</w:t>
      </w:r>
    </w:p>
    <w:p w:rsidR="00B66296" w:rsidRDefault="00AC7548" w:rsidP="00B66296">
      <w:pPr>
        <w:spacing w:after="0" w:line="360" w:lineRule="auto"/>
        <w:rPr>
          <w:sz w:val="24"/>
          <w:szCs w:val="24"/>
        </w:rPr>
      </w:pPr>
      <w:r w:rsidRPr="00B66296">
        <w:rPr>
          <w:sz w:val="24"/>
          <w:szCs w:val="24"/>
        </w:rPr>
        <w:t>Przedsięwzięcie nie jest zaliczane do powyższej grupy za</w:t>
      </w:r>
      <w:r w:rsidR="00B66296">
        <w:rPr>
          <w:sz w:val="24"/>
          <w:szCs w:val="24"/>
        </w:rPr>
        <w:t>kładów.</w:t>
      </w:r>
    </w:p>
    <w:p w:rsidR="00AC7548" w:rsidRPr="00B66296" w:rsidRDefault="00AC7548" w:rsidP="00B66296">
      <w:pPr>
        <w:pStyle w:val="Akapitzlist"/>
        <w:numPr>
          <w:ilvl w:val="0"/>
          <w:numId w:val="14"/>
        </w:numPr>
        <w:spacing w:after="100" w:afterAutospacing="1" w:line="360" w:lineRule="auto"/>
        <w:ind w:left="714" w:hanging="357"/>
        <w:rPr>
          <w:sz w:val="24"/>
          <w:szCs w:val="24"/>
        </w:rPr>
      </w:pPr>
      <w:r w:rsidRPr="00B66296">
        <w:rPr>
          <w:sz w:val="24"/>
          <w:szCs w:val="24"/>
        </w:rPr>
        <w:t>Charakterystyka całego przedsięwzięcia stanowi załącznik do niniejszej decyzji.</w:t>
      </w:r>
    </w:p>
    <w:p w:rsidR="00AA7C36" w:rsidRDefault="00F83E03" w:rsidP="00F83E03">
      <w:pPr>
        <w:pStyle w:val="Nagwek1"/>
        <w:spacing w:before="0" w:after="100" w:afterAutospacing="1" w:line="360" w:lineRule="auto"/>
        <w:rPr>
          <w:rFonts w:asciiTheme="minorHAnsi" w:eastAsia="Lucida Sans Unicode" w:hAnsiTheme="minorHAnsi" w:cstheme="minorHAnsi"/>
          <w:color w:val="auto"/>
          <w:sz w:val="28"/>
          <w:szCs w:val="28"/>
          <w:lang w:eastAsia="zh-CN"/>
        </w:rPr>
      </w:pPr>
      <w:r>
        <w:rPr>
          <w:rFonts w:asciiTheme="minorHAnsi" w:eastAsia="Lucida Sans Unicode" w:hAnsiTheme="minorHAnsi" w:cstheme="minorHAnsi"/>
          <w:color w:val="auto"/>
          <w:sz w:val="28"/>
          <w:szCs w:val="28"/>
          <w:lang w:eastAsia="zh-CN"/>
        </w:rPr>
        <w:t>Uzasadnienie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Przedmiotowa inwestycja, polegająca na budowie wieży radaru meteorologicznego o mocy promieniowanej (EIRP) wynoszącej 436,5 kW kwalifikuje się do przedsięwzięć mogących zawsze znacząco oddziaływać na środowisko, wymienionych w § 2 ust. 1 pkt 7 lit. d rozporządzenia Rady Ministrów z dnia 10 września 2019 r. w sprawie przedsięwzięć mogących znacząco oddziaływać na środowisko (Dz. U. z 2019 r. poz. 1839), tj. instalacje radiokomunikacyjne, radionawigacyjne i</w:t>
      </w:r>
      <w:r w:rsidR="00D405CA">
        <w:rPr>
          <w:rFonts w:cstheme="minorHAnsi"/>
          <w:sz w:val="24"/>
          <w:szCs w:val="24"/>
          <w:lang w:eastAsia="zh-CN"/>
        </w:rPr>
        <w:t> </w:t>
      </w:r>
      <w:r w:rsidRPr="00CC65D9">
        <w:rPr>
          <w:rFonts w:cstheme="minorHAnsi"/>
          <w:sz w:val="24"/>
          <w:szCs w:val="24"/>
          <w:lang w:eastAsia="zh-CN"/>
        </w:rPr>
        <w:t xml:space="preserve">radiolokacyjne, z wyłączeniem radiolinii, emitujące pola elektromagnetyczne </w:t>
      </w:r>
      <w:r w:rsidRPr="00CC65D9">
        <w:rPr>
          <w:rFonts w:cstheme="minorHAnsi"/>
          <w:sz w:val="24"/>
          <w:szCs w:val="24"/>
          <w:lang w:eastAsia="zh-CN"/>
        </w:rPr>
        <w:lastRenderedPageBreak/>
        <w:t>o</w:t>
      </w:r>
      <w:r w:rsidR="00D405CA">
        <w:rPr>
          <w:rFonts w:cstheme="minorHAnsi"/>
          <w:sz w:val="24"/>
          <w:szCs w:val="24"/>
          <w:lang w:eastAsia="zh-CN"/>
        </w:rPr>
        <w:t> </w:t>
      </w:r>
      <w:r w:rsidRPr="00CC65D9">
        <w:rPr>
          <w:rFonts w:cstheme="minorHAnsi"/>
          <w:sz w:val="24"/>
          <w:szCs w:val="24"/>
          <w:lang w:eastAsia="zh-CN"/>
        </w:rPr>
        <w:t xml:space="preserve">częstotliwościach od 0,03 MHz do 300 000 MHz, w których równoważna moc promieniowana izotropowo wyznaczona dla pojedynczej anteny wynosi nie mniej niż 20 000 W. Stosownie do art. 71 ust. 2 pkt 1 ustawy z dnia 3 października 2008 r. o udostępnianiu informacji o środowisku i jego ochronie, udziale społeczeństwa w ochronie środowiska oraz o ocenach oddziaływania na środowisko (Dz.U. z 2021 r., poz. 247, z </w:t>
      </w:r>
      <w:proofErr w:type="spellStart"/>
      <w:r w:rsidRPr="00CC65D9">
        <w:rPr>
          <w:rFonts w:cstheme="minorHAnsi"/>
          <w:sz w:val="24"/>
          <w:szCs w:val="24"/>
          <w:lang w:eastAsia="zh-CN"/>
        </w:rPr>
        <w:t>późn</w:t>
      </w:r>
      <w:proofErr w:type="spellEnd"/>
      <w:r w:rsidRPr="00CC65D9">
        <w:rPr>
          <w:rFonts w:cstheme="minorHAnsi"/>
          <w:sz w:val="24"/>
          <w:szCs w:val="24"/>
          <w:lang w:eastAsia="zh-CN"/>
        </w:rPr>
        <w:t xml:space="preserve">. zm.), zwanej dalej ustawą </w:t>
      </w:r>
      <w:proofErr w:type="spellStart"/>
      <w:r w:rsidRPr="00CC65D9">
        <w:rPr>
          <w:rFonts w:cstheme="minorHAnsi"/>
          <w:sz w:val="24"/>
          <w:szCs w:val="24"/>
          <w:lang w:eastAsia="zh-CN"/>
        </w:rPr>
        <w:t>ooś</w:t>
      </w:r>
      <w:proofErr w:type="spellEnd"/>
      <w:r w:rsidRPr="00CC65D9">
        <w:rPr>
          <w:rFonts w:cstheme="minorHAnsi"/>
          <w:sz w:val="24"/>
          <w:szCs w:val="24"/>
          <w:lang w:eastAsia="zh-CN"/>
        </w:rPr>
        <w:t>, uzyskanie decyzji o</w:t>
      </w:r>
      <w:r w:rsidR="00D405CA">
        <w:rPr>
          <w:rFonts w:cstheme="minorHAnsi"/>
          <w:sz w:val="24"/>
          <w:szCs w:val="24"/>
          <w:lang w:eastAsia="zh-CN"/>
        </w:rPr>
        <w:t> </w:t>
      </w:r>
      <w:r w:rsidRPr="00CC65D9">
        <w:rPr>
          <w:rFonts w:cstheme="minorHAnsi"/>
          <w:sz w:val="24"/>
          <w:szCs w:val="24"/>
          <w:lang w:eastAsia="zh-CN"/>
        </w:rPr>
        <w:t>środowiskowych uwarunkowaniach wymagane jest dla planowanego przedsięwzięcia mogącego zawsze znacząco oddziaływać na środowisko.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Planowane przedsięwzięcie stanowi inwestycję w rozumieniu przepisów ustawy z dnia 8 lipca 2010 r. o szczególnych zasadach przygotowania do realizacji inwestycji w zakresie budowli przeciwpowodziowych, dla której organem właściwym do wydania decyzji o środowiskowych uwarunkowaniach, w myśl art. 75 ust. 1 pkt 1 lit. i, jest regionalny dyrektor ochrony środowiska.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Pismem z 22 kwietnia 2021 r. Instytut Meteorologii i Gospodarki Wodnej - Państwowy Instytut Badawczy ul. Podleśna 61, 01-673 Warszawa, działający przez pełnomocnika, Pana Marcina Waltera, zwrócił się do Regionalnego Dyrektora Ochrony Środowiska w Olsztynie z wnioskiem o</w:t>
      </w:r>
      <w:r w:rsidR="00D405CA">
        <w:rPr>
          <w:rFonts w:cstheme="minorHAnsi"/>
          <w:sz w:val="24"/>
          <w:szCs w:val="24"/>
          <w:lang w:eastAsia="zh-CN"/>
        </w:rPr>
        <w:t> </w:t>
      </w:r>
      <w:r w:rsidRPr="00CC65D9">
        <w:rPr>
          <w:rFonts w:cstheme="minorHAnsi"/>
          <w:sz w:val="24"/>
          <w:szCs w:val="24"/>
          <w:lang w:eastAsia="zh-CN"/>
        </w:rPr>
        <w:t xml:space="preserve">wydanie decyzji o środowiskowych uwarunkowaniach dla przedsięwzięcia polegającego na „Budowie radaru meteorologicznego na działce nr </w:t>
      </w:r>
      <w:proofErr w:type="spellStart"/>
      <w:r w:rsidRPr="00CC65D9">
        <w:rPr>
          <w:rFonts w:cstheme="minorHAnsi"/>
          <w:sz w:val="24"/>
          <w:szCs w:val="24"/>
          <w:lang w:eastAsia="zh-CN"/>
        </w:rPr>
        <w:t>ewid</w:t>
      </w:r>
      <w:proofErr w:type="spellEnd"/>
      <w:r w:rsidRPr="00CC65D9">
        <w:rPr>
          <w:rFonts w:cstheme="minorHAnsi"/>
          <w:sz w:val="24"/>
          <w:szCs w:val="24"/>
          <w:lang w:eastAsia="zh-CN"/>
        </w:rPr>
        <w:t xml:space="preserve">. 330/3, obręb Użranki, gmina Mrągowo, powiat mrągowski, województwo warmińsko-mazurskie”. Do wniosku dołączono: </w:t>
      </w:r>
    </w:p>
    <w:p w:rsid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pełnomocnictwo,</w:t>
      </w:r>
    </w:p>
    <w:p w:rsid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 xml:space="preserve">Raport oceny oddziaływania na środowisko – OVFMP 4A.3.1 Modernizacja sieci radarów meteorologicznych POLRAD. Stacja radarowa Użranki. Lokalizacja: działka nr ewidencyjny 330/3, obręb Użranki, gmina Mrągowo, powiat mrągowski, województwo warmińsko-mazurskie, opracowany 23 kwietnia 2021 r. przez zespół autorski pod kierownictwem mgra inż. Marcina Waltera – Klimas Przedsiębiorstwo Budowlano-Projektowe Ryszard Klimas, ul. </w:t>
      </w:r>
      <w:proofErr w:type="spellStart"/>
      <w:r w:rsidRPr="00D405CA">
        <w:rPr>
          <w:rFonts w:cstheme="minorHAnsi"/>
          <w:sz w:val="24"/>
          <w:szCs w:val="24"/>
          <w:lang w:eastAsia="zh-CN"/>
        </w:rPr>
        <w:t>Zdunowska</w:t>
      </w:r>
      <w:proofErr w:type="spellEnd"/>
      <w:r w:rsidRPr="00D405CA">
        <w:rPr>
          <w:rFonts w:cstheme="minorHAnsi"/>
          <w:sz w:val="24"/>
          <w:szCs w:val="24"/>
          <w:lang w:eastAsia="zh-CN"/>
        </w:rPr>
        <w:t xml:space="preserve"> 116, 63-700 Krotoszyn, </w:t>
      </w:r>
    </w:p>
    <w:p w:rsid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mapę, w postaci papierowej oraz elektronicznej, z zaznaczonym przewidywanym terenem, na którym będzie realizowane przedsięwzięcie, oraz z zaznaczonym przewidywanym obszarem, na który będzie oddziaływać przedsięwzięcie,</w:t>
      </w:r>
    </w:p>
    <w:p w:rsid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uproszczony wypisy z rejestru gruntów obejmujący przewidywany teren, na którym będzie realizowane przedsięwzięcie w postaci elektronicznej,</w:t>
      </w:r>
    </w:p>
    <w:p w:rsid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zaświadczenie Wójta Gminy Mrągowo znak: IPP.6727.35.2021.Z z 22.02.2021 r. w</w:t>
      </w:r>
      <w:r w:rsidR="00D405CA">
        <w:rPr>
          <w:rFonts w:cstheme="minorHAnsi"/>
          <w:sz w:val="24"/>
          <w:szCs w:val="24"/>
          <w:lang w:eastAsia="zh-CN"/>
        </w:rPr>
        <w:t> </w:t>
      </w:r>
      <w:r w:rsidRPr="00D405CA">
        <w:rPr>
          <w:rFonts w:cstheme="minorHAnsi"/>
          <w:sz w:val="24"/>
          <w:szCs w:val="24"/>
          <w:lang w:eastAsia="zh-CN"/>
        </w:rPr>
        <w:t>sprawie miejscowego planu zagospodarowania przestrzennego,</w:t>
      </w:r>
    </w:p>
    <w:p w:rsidR="00CC65D9" w:rsidRPr="00D405CA" w:rsidRDefault="00CC65D9" w:rsidP="00CC65D9">
      <w:pPr>
        <w:pStyle w:val="Akapitzlist"/>
        <w:numPr>
          <w:ilvl w:val="0"/>
          <w:numId w:val="20"/>
        </w:numPr>
        <w:spacing w:after="0" w:line="360" w:lineRule="auto"/>
        <w:rPr>
          <w:rFonts w:cstheme="minorHAnsi"/>
          <w:sz w:val="24"/>
          <w:szCs w:val="24"/>
          <w:lang w:eastAsia="zh-CN"/>
        </w:rPr>
      </w:pPr>
      <w:r w:rsidRPr="00D405CA">
        <w:rPr>
          <w:rFonts w:cstheme="minorHAnsi"/>
          <w:sz w:val="24"/>
          <w:szCs w:val="24"/>
          <w:lang w:eastAsia="zh-CN"/>
        </w:rPr>
        <w:t>potwierdzenie uiszczenia opłaty skarbowej.</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lastRenderedPageBreak/>
        <w:t>Regionalny Dyrektor Ochrony Środowiska w Olsztynie pismem z 05.05.2021 r. zwrócił się do Wnioskodawcy o uzupełnienie dokumentacji w zakresie prawidłowego przedłożenia pełnomocnictwa, przedłożenia wypisów z rejestru gruntów obejmujących obszar, na który będzie oddziaływać przedsięwzięcie oraz poświadczonej przez właściwy organ kopi mapy ewidencyjnej obejmującej przewidywany teren, na którym będzie realizowane przedsięwzięcie oraz obszar, na który będzie oddziaływać przedsięwzięcie. W dniach 24 i 27 maja 2021 r. Wnioskodawca złożył stosowne uzupełnienie, co umożliwiło rozpatrzenie sprawy.</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związku ze złożeniem wymaganej dokumentacji, zawiadomieniem z 01.06.2021 r. Regionalny Dyrektor Ochrony Środowiska w Olsztynie poinformował o wszczęciu postępowania administracyjnego w przedmiocie wydania decyzji o środowiskowych uwarunkowaniach dla ww. przedsięwzięcia. Jednocześnie po analizie przedłożonego raportu o oddziaływaniu planowanego przedsięwzięcia na środowisko, pismem z dnia 01.06.2021 r. tutejszy organ wezwał Wnioskodawcę do jego uzupełnienia w zakresie: analizy wariantów przedsięwzięcia, oddziaływania inwestycji na klimat akustyczny, uzasadnienia braku oddziaływań skumulowanych oraz wskazania daty sporządzenia raportu. Wnioskodawca przy piśmie z 06.07.2021 r. przedłożył uzupełnienie, które nie zostało opatrzone podpisem autora raportu. W związku z powyższym pismem z 12.07.2021 r. tutejszy organ wezwał Wnioskodawcę do uzupełnienia ww. braku. W</w:t>
      </w:r>
      <w:r w:rsidR="00D405CA">
        <w:rPr>
          <w:rFonts w:cstheme="minorHAnsi"/>
          <w:sz w:val="24"/>
          <w:szCs w:val="24"/>
          <w:lang w:eastAsia="zh-CN"/>
        </w:rPr>
        <w:t> </w:t>
      </w:r>
      <w:r w:rsidRPr="00CC65D9">
        <w:rPr>
          <w:rFonts w:cstheme="minorHAnsi"/>
          <w:sz w:val="24"/>
          <w:szCs w:val="24"/>
          <w:lang w:eastAsia="zh-CN"/>
        </w:rPr>
        <w:t xml:space="preserve">dniu 23.07.2021 r. przedłożono stosowne uzupełnienie.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Stosownie do art. 77 ust. 1 pkt 2 i art. 78 ust. 1 pkt 2 oraz art. 77 ust. 1 pkt 4 ustawy </w:t>
      </w:r>
      <w:proofErr w:type="spellStart"/>
      <w:r w:rsidRPr="00CC65D9">
        <w:rPr>
          <w:rFonts w:cstheme="minorHAnsi"/>
          <w:sz w:val="24"/>
          <w:szCs w:val="24"/>
          <w:lang w:eastAsia="zh-CN"/>
        </w:rPr>
        <w:t>ooś</w:t>
      </w:r>
      <w:proofErr w:type="spellEnd"/>
      <w:r w:rsidRPr="00CC65D9">
        <w:rPr>
          <w:rFonts w:cstheme="minorHAnsi"/>
          <w:sz w:val="24"/>
          <w:szCs w:val="24"/>
          <w:lang w:eastAsia="zh-CN"/>
        </w:rPr>
        <w:t>, Regionalny Dyrektor Ochrony Środowiska w Olsztynie wystąpił pismami z 27.07.2021 r. do Warmińsko-Mazurskiego Państwowego Wojewódzkiego Inspektora Sanitarnego o opinię w</w:t>
      </w:r>
      <w:r w:rsidR="00D405CA">
        <w:rPr>
          <w:rFonts w:cstheme="minorHAnsi"/>
          <w:sz w:val="24"/>
          <w:szCs w:val="24"/>
          <w:lang w:eastAsia="zh-CN"/>
        </w:rPr>
        <w:t> </w:t>
      </w:r>
      <w:r w:rsidRPr="00CC65D9">
        <w:rPr>
          <w:rFonts w:cstheme="minorHAnsi"/>
          <w:sz w:val="24"/>
          <w:szCs w:val="24"/>
          <w:lang w:eastAsia="zh-CN"/>
        </w:rPr>
        <w:t>sprawie warunków realizacji przedmiotowego przedsięwzięcia oraz do Państwowego Gospodarstwa Wodnego Wody Polskie Regionalnego Zarządu Gospodarki Wodnej w</w:t>
      </w:r>
      <w:r w:rsidR="00D405CA">
        <w:rPr>
          <w:rFonts w:cstheme="minorHAnsi"/>
          <w:sz w:val="24"/>
          <w:szCs w:val="24"/>
          <w:lang w:eastAsia="zh-CN"/>
        </w:rPr>
        <w:t> </w:t>
      </w:r>
      <w:r w:rsidRPr="00CC65D9">
        <w:rPr>
          <w:rFonts w:cstheme="minorHAnsi"/>
          <w:sz w:val="24"/>
          <w:szCs w:val="24"/>
          <w:lang w:eastAsia="zh-CN"/>
        </w:rPr>
        <w:t xml:space="preserve">Białymstoku o uzgodnienie warunków realizacji przedmiotowego przedsięwzięcia.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dniu 30.08.2021 r. wpłynęło wezwanie Państwowego Gospodarstwa Wodnego Wody Polskie, Regionalnego Zarządu Gospodarki Wodnej w Białymstoku z 25.08.2021 r. znak: BI.RZŚ.4360.32.2021.JK do złożenia wyjaśnień i uzupełnienia raportu oddziaływania przedsięwzięcia na środowisko w zakresie dot. kwalifikacji przedsięwzięcia zgodnie z</w:t>
      </w:r>
      <w:r w:rsidR="00D405CA">
        <w:rPr>
          <w:rFonts w:cstheme="minorHAnsi"/>
          <w:sz w:val="24"/>
          <w:szCs w:val="24"/>
          <w:lang w:eastAsia="zh-CN"/>
        </w:rPr>
        <w:t> </w:t>
      </w:r>
      <w:r w:rsidRPr="00CC65D9">
        <w:rPr>
          <w:rFonts w:cstheme="minorHAnsi"/>
          <w:sz w:val="24"/>
          <w:szCs w:val="24"/>
          <w:lang w:eastAsia="zh-CN"/>
        </w:rPr>
        <w:t>rozporządzeniem w sprawie przedsięwzięć mogących znacząco oddziaływać na środowisko, wskazania sposobu zagospodarowania ścieków bytowych oraz środków minimalizujących odziaływania na środowisko gruntowo-wodne na etapie realizacji inwestycji. W związku z</w:t>
      </w:r>
      <w:r w:rsidR="00D405CA">
        <w:rPr>
          <w:rFonts w:cstheme="minorHAnsi"/>
          <w:sz w:val="24"/>
          <w:szCs w:val="24"/>
          <w:lang w:eastAsia="zh-CN"/>
        </w:rPr>
        <w:t> </w:t>
      </w:r>
      <w:r w:rsidRPr="00CC65D9">
        <w:rPr>
          <w:rFonts w:cstheme="minorHAnsi"/>
          <w:sz w:val="24"/>
          <w:szCs w:val="24"/>
          <w:lang w:eastAsia="zh-CN"/>
        </w:rPr>
        <w:t xml:space="preserve">powyższym, pismem z 01.09.2021 r. wezwano Wnioskodawcę do uzupełnienia raportu  stosownie do treści ww. pisma organu właściwego do wydania oceny wodnoprawnej. W dniu </w:t>
      </w:r>
      <w:r w:rsidRPr="00CC65D9">
        <w:rPr>
          <w:rFonts w:cstheme="minorHAnsi"/>
          <w:sz w:val="24"/>
          <w:szCs w:val="24"/>
          <w:lang w:eastAsia="zh-CN"/>
        </w:rPr>
        <w:lastRenderedPageBreak/>
        <w:t>09.09.2021 r. przedłożono stosowne uzupełnienie, które następnie przesłano przy piśmie z</w:t>
      </w:r>
      <w:r w:rsidR="00D405CA">
        <w:rPr>
          <w:rFonts w:cstheme="minorHAnsi"/>
          <w:sz w:val="24"/>
          <w:szCs w:val="24"/>
          <w:lang w:eastAsia="zh-CN"/>
        </w:rPr>
        <w:t> </w:t>
      </w:r>
      <w:r w:rsidRPr="00CC65D9">
        <w:rPr>
          <w:rFonts w:cstheme="minorHAnsi"/>
          <w:sz w:val="24"/>
          <w:szCs w:val="24"/>
          <w:lang w:eastAsia="zh-CN"/>
        </w:rPr>
        <w:t>13.09.2021 r. do organów uzgadniających/opiniujących, tj. PGWWP Regionalnego Zarządu Gospodarki Wodnej w Białymstoku oraz Warmińsko-Mazurskiego Państwowego Wojewódzkiego Inspektora Sanitarnego.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dniu 29.09.2021 r. wpłynęło postanowienie PGWWP Regionalnego Zarządu Gospodarki Wodnej w Białymstoku znak: BI.RZŚ.4360.32.2021.JK z 23.09.2021 r., w którym ww. organ uzgodnił realizację przedmiotowego przedsięwzięcia oraz określił warunki i wymagania konieczne do uwzględnienia w decyzji o środowiskowych uwarunkowaniach. Powyższe warunki zostały uwzględnione w sentencji niniejszej decyzji.</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Warmińsko-Mazurski Państwowy Wojewódzki Inspektor Sanitarny zawiadomieniem z</w:t>
      </w:r>
      <w:r w:rsidR="00D405CA">
        <w:rPr>
          <w:rFonts w:cstheme="minorHAnsi"/>
          <w:sz w:val="24"/>
          <w:szCs w:val="24"/>
          <w:lang w:eastAsia="zh-CN"/>
        </w:rPr>
        <w:t> </w:t>
      </w:r>
      <w:r w:rsidRPr="00CC65D9">
        <w:rPr>
          <w:rFonts w:cstheme="minorHAnsi"/>
          <w:sz w:val="24"/>
          <w:szCs w:val="24"/>
          <w:lang w:eastAsia="zh-CN"/>
        </w:rPr>
        <w:t>27.08.2021 r., znak: ZNS.9022.2.12.2021.W poinformował o przejęciu zgodnie z właściwością czynności należących do zakresu działania Państwowego Powiatowego Inspektora Sanitarnego w Mrągowie, natomiast zawiadomieniami z dnia 27.08.2021 r. i 20.09.2021 r. poinformował o</w:t>
      </w:r>
      <w:r w:rsidR="007329D8">
        <w:rPr>
          <w:rFonts w:cstheme="minorHAnsi"/>
          <w:sz w:val="24"/>
          <w:szCs w:val="24"/>
          <w:lang w:eastAsia="zh-CN"/>
        </w:rPr>
        <w:t> </w:t>
      </w:r>
      <w:r w:rsidRPr="00CC65D9">
        <w:rPr>
          <w:rFonts w:cstheme="minorHAnsi"/>
          <w:sz w:val="24"/>
          <w:szCs w:val="24"/>
          <w:lang w:eastAsia="zh-CN"/>
        </w:rPr>
        <w:t>wyznaczeniu nowego terminu załatwienia sprawy, najpierw do dnia 20.09.2021 r., następnie do 30.09.2021 r. W dniu 30.09.2021 r. wpłynęło pismo Warmińsko – Mazurskiego Państwowego Wojewódzkiego Inspektora Sanitarnego znak: ZNS.9022.2.12.2021.W, w którym wyrażono pozytywną opinię w sprawie realizacji przedmiotowego przedsięwzięcia. Brak przeciwskazań dla realizacji przedsięwzięcia powyższy organ stwierdził uwzględniając w szczególności: lokalizację stacji radarowej (w tym wysokość zainstalowania anteny, odległości od zabudowań mieszkalnych), charakterystyczne parametry pracy instalacji oraz rodzaje i wielkości przewidywanych oddziaływań na środowisko, a także obowiązek wykonania pomiarów pól elektromagnetycznych bezpośrednio przed rozpoczęciem użytkowania przedmiotowej stacji radarowej, wynikający z art. 122 a ust. 1 ustawy z dnia 27 kwietnia 2001 r. Prawo ochrony środowiska (Dz. U. z 2021 r., poz. 1973), które pozwolą na sprawdzenie dotrzymania poziomów dopuszczalnych.</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Zgodnie z art. 33 ust. 1, w związku z art. 79 ust. 1 ustawy </w:t>
      </w:r>
      <w:proofErr w:type="spellStart"/>
      <w:r w:rsidRPr="00CC65D9">
        <w:rPr>
          <w:rFonts w:cstheme="minorHAnsi"/>
          <w:sz w:val="24"/>
          <w:szCs w:val="24"/>
          <w:lang w:eastAsia="zh-CN"/>
        </w:rPr>
        <w:t>ooś</w:t>
      </w:r>
      <w:proofErr w:type="spellEnd"/>
      <w:r w:rsidRPr="00CC65D9">
        <w:rPr>
          <w:rFonts w:cstheme="minorHAnsi"/>
          <w:sz w:val="24"/>
          <w:szCs w:val="24"/>
          <w:lang w:eastAsia="zh-CN"/>
        </w:rPr>
        <w:t xml:space="preserve">, Regionalny Dyrektor Ochrony Środowiska w Olsztynie dwukrotnie zapewnił udział społeczeństwa w toczącym się postępowaniu, o czym informował kolejno obwieszczeniem z 27.07.2021 r., znak: WOOŚ.420.8.2021.BG.9 oraz obwieszczeniem z 04.10.2021 r., znak: WOOŚ.420.8.2021.BG.13. Powyższe obwieszczenia zamieszczone zostały na stronie RDOŚ w Olsztynie oraz umieszczone na tablicy ogłoszeń tutejszego urzędu, jak również na tablicy ogłoszeń w siedzibie Urzędu Gminy Mrągowo oraz stronie BIP tego Urzędu i na tablicy ogłoszeń sołectwa Użranki, na terenie którego realizowane będzie przedsięwzięcie. Zainteresowani mogli zapoznać się ze złożonym </w:t>
      </w:r>
      <w:r w:rsidRPr="00CC65D9">
        <w:rPr>
          <w:rFonts w:cstheme="minorHAnsi"/>
          <w:sz w:val="24"/>
          <w:szCs w:val="24"/>
          <w:lang w:eastAsia="zh-CN"/>
        </w:rPr>
        <w:lastRenderedPageBreak/>
        <w:t>wnioskiem oraz raportem o oddziaływaniu przedsięwzięcia na środowisko i jego uzupełnieniami w siedzibie Regionalnej Dyrekcji Ochrony Środowiska w Olsztynie, jak również składać uwagi i</w:t>
      </w:r>
      <w:r w:rsidR="007329D8">
        <w:rPr>
          <w:rFonts w:cstheme="minorHAnsi"/>
          <w:sz w:val="24"/>
          <w:szCs w:val="24"/>
          <w:lang w:eastAsia="zh-CN"/>
        </w:rPr>
        <w:t> </w:t>
      </w:r>
      <w:r w:rsidRPr="00CC65D9">
        <w:rPr>
          <w:rFonts w:cstheme="minorHAnsi"/>
          <w:sz w:val="24"/>
          <w:szCs w:val="24"/>
          <w:lang w:eastAsia="zh-CN"/>
        </w:rPr>
        <w:t>wnioski, w formie ustnej i pisemnej oraz za pomocą środków komunikacji elektronicznej, w</w:t>
      </w:r>
      <w:r w:rsidR="007329D8">
        <w:rPr>
          <w:rFonts w:cstheme="minorHAnsi"/>
          <w:sz w:val="24"/>
          <w:szCs w:val="24"/>
          <w:lang w:eastAsia="zh-CN"/>
        </w:rPr>
        <w:t> </w:t>
      </w:r>
      <w:r w:rsidRPr="00CC65D9">
        <w:rPr>
          <w:rFonts w:cstheme="minorHAnsi"/>
          <w:sz w:val="24"/>
          <w:szCs w:val="24"/>
          <w:lang w:eastAsia="zh-CN"/>
        </w:rPr>
        <w:t>terminie 30 dni od dnia podania do wiadomości publicznej (tj. w dniach od 2 do 31 sierpnia 2021 r. oraz od 7 października do 5 listopada 2021 r.). W ww. terminie nie wniesiono żadnych uwag i</w:t>
      </w:r>
      <w:r w:rsidR="007329D8">
        <w:rPr>
          <w:rFonts w:cstheme="minorHAnsi"/>
          <w:sz w:val="24"/>
          <w:szCs w:val="24"/>
          <w:lang w:eastAsia="zh-CN"/>
        </w:rPr>
        <w:t> </w:t>
      </w:r>
      <w:r w:rsidRPr="00CC65D9">
        <w:rPr>
          <w:rFonts w:cstheme="minorHAnsi"/>
          <w:sz w:val="24"/>
          <w:szCs w:val="24"/>
          <w:lang w:eastAsia="zh-CN"/>
        </w:rPr>
        <w:t>wniosków.</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Jednocześnie w dniu 29.10.2021 r., w toku drugiego udziału społeczeństwa w postępowaniu, wpłynęło pismo Wnioskodawcy informujące o zmianie przyznanej częstotliwości radaru z 5 650 MHz na 5 645 MHz i oddziaływaniu tej zmiany na środowisko. W związku z powyższym tutejszy organ wystąpił do organów uzgadniających/opiniujących o ponowne uzgodnienie warunków realizacji przedmiotowego przedsięwzięcia / opinię w sprawie planowanego przedsięwzięcia. W</w:t>
      </w:r>
      <w:r w:rsidR="007329D8">
        <w:rPr>
          <w:rFonts w:cstheme="minorHAnsi"/>
          <w:sz w:val="24"/>
          <w:szCs w:val="24"/>
          <w:lang w:eastAsia="zh-CN"/>
        </w:rPr>
        <w:t> </w:t>
      </w:r>
      <w:r w:rsidRPr="00CC65D9">
        <w:rPr>
          <w:rFonts w:cstheme="minorHAnsi"/>
          <w:sz w:val="24"/>
          <w:szCs w:val="24"/>
          <w:lang w:eastAsia="zh-CN"/>
        </w:rPr>
        <w:t>dniu 16.11.2021 r. wpłynęło postanowienie PGWWP Regionalnego Zarządu Gospodarki Wodnej w Białymstoku znak: BI.RZŚ.4360.53.2021.AB z 10.11.2021 r., w którym ww. organ uzgodnił realizację przedmiotowego przedsięwzięcia oraz podtrzymał wcześniejsze warunki i</w:t>
      </w:r>
      <w:r w:rsidR="007329D8">
        <w:rPr>
          <w:rFonts w:cstheme="minorHAnsi"/>
          <w:sz w:val="24"/>
          <w:szCs w:val="24"/>
          <w:lang w:eastAsia="zh-CN"/>
        </w:rPr>
        <w:t> </w:t>
      </w:r>
      <w:r w:rsidRPr="00CC65D9">
        <w:rPr>
          <w:rFonts w:cstheme="minorHAnsi"/>
          <w:sz w:val="24"/>
          <w:szCs w:val="24"/>
          <w:lang w:eastAsia="zh-CN"/>
        </w:rPr>
        <w:t>wymagania konieczne do uwzględnienia w decyzji o środowiskowych uwarunkowaniach. Natomiast Warmińsko-Mazurski Państwowy Wojewódzki Inspektor Sanitarny pismem z</w:t>
      </w:r>
      <w:r w:rsidR="007329D8">
        <w:rPr>
          <w:rFonts w:cstheme="minorHAnsi"/>
          <w:sz w:val="24"/>
          <w:szCs w:val="24"/>
          <w:lang w:eastAsia="zh-CN"/>
        </w:rPr>
        <w:t> </w:t>
      </w:r>
      <w:r w:rsidRPr="00CC65D9">
        <w:rPr>
          <w:rFonts w:cstheme="minorHAnsi"/>
          <w:sz w:val="24"/>
          <w:szCs w:val="24"/>
          <w:lang w:eastAsia="zh-CN"/>
        </w:rPr>
        <w:t>15.11.2021 r., znak: ZNS.9022.2.12.2021.W podtrzymał swoją wcześniejszą pozytywną opinię argumentując, że wnioskowana zmiana nie powoduje zmiany przewidywanych poziomów pól elektromagnetycznych w środowisku generowanych przez instalację.</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Regionalny Dyrektor Ochrony Środowiska w Olsztynie, zmierzając do wydania decyzji o środowiskowych uwarunkowaniach dla przedmiotowego przedsięwzięcia, zawiadomieniem z</w:t>
      </w:r>
      <w:r w:rsidR="007329D8">
        <w:rPr>
          <w:rFonts w:cstheme="minorHAnsi"/>
          <w:sz w:val="24"/>
          <w:szCs w:val="24"/>
          <w:lang w:eastAsia="zh-CN"/>
        </w:rPr>
        <w:t> </w:t>
      </w:r>
      <w:r w:rsidRPr="00CC65D9">
        <w:rPr>
          <w:rFonts w:cstheme="minorHAnsi"/>
          <w:sz w:val="24"/>
          <w:szCs w:val="24"/>
          <w:lang w:eastAsia="zh-CN"/>
        </w:rPr>
        <w:t>22.11.2021 r. poinformował, że w przedmiotowej sprawie zgromadzony został materiał dowodowy, a stronom postępowania, zgodnie z art. 10 ustawy Kodeks postępowania administracyjnego, przysługuje prawo zapoznania się z aktami, wypowiedzenia się odnośnie do dotychczas zgromadzonych dowodów i materiałów oraz zgłoszonych żądań przed wydaniem decyzji orzekającej co do istoty sprawy. W toku postępowania administracyjnego strony postępowania nie wniosły żadnych uwag odnośnie do planowanego przedsięwzięcia.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Analizując szczegółowo akta sprawy przedmiotowego przedsięwzięcia organ prowadzący postępowanie w przedmiocie wydania niniejszej decyzji stwierdził jak niżej.</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Teren, na którym planowana jest realizacja przedsięwzięcia nie jest objęty ustaleniami aktualnego miejscowego planu zagospodarowania przestrzennego.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Planowane przedsięwzięcie, polegające na budowie radaru meteorologicznego, realizowane będzie na działce o numerze ewidencyjnym 330/3, obręb 0026 Użranki, gmina Mrągowo, powiat </w:t>
      </w:r>
      <w:r w:rsidRPr="00CC65D9">
        <w:rPr>
          <w:rFonts w:cstheme="minorHAnsi"/>
          <w:sz w:val="24"/>
          <w:szCs w:val="24"/>
          <w:lang w:eastAsia="zh-CN"/>
        </w:rPr>
        <w:lastRenderedPageBreak/>
        <w:t xml:space="preserve">mrągowski, województwo warmińsko – mazurskiego. Gmina wiejska Mrągowo ma obszar 295 km², w tym: grunty orne to 61,1% całej powierzchni, a użytki leśne to 20,7%. Gminę zamieszkuje ok. 7 975 osób.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Zgodnie z wypisem z rejestru gruntów powierzchnia działki, na której planowana jest realizacja inwestycji wynosi 0,3002 ha i stanowi ona grunty orne klasy </w:t>
      </w:r>
      <w:proofErr w:type="spellStart"/>
      <w:r w:rsidRPr="00CC65D9">
        <w:rPr>
          <w:rFonts w:cstheme="minorHAnsi"/>
          <w:sz w:val="24"/>
          <w:szCs w:val="24"/>
          <w:lang w:eastAsia="zh-CN"/>
        </w:rPr>
        <w:t>IVa</w:t>
      </w:r>
      <w:proofErr w:type="spellEnd"/>
      <w:r w:rsidRPr="00CC65D9">
        <w:rPr>
          <w:rFonts w:cstheme="minorHAnsi"/>
          <w:sz w:val="24"/>
          <w:szCs w:val="24"/>
          <w:lang w:eastAsia="zh-CN"/>
        </w:rPr>
        <w:t xml:space="preserve"> oraz pastwiska trwałe klasy IV. Aktualnie działka jest niezabudowana, użytkowana rolniczo jako pole uprawne. Na terenie przeznaczonym pod inwestycję nie występują drzewa ani krzewy. Inwestycja wraz z</w:t>
      </w:r>
      <w:r w:rsidR="007329D8">
        <w:rPr>
          <w:rFonts w:cstheme="minorHAnsi"/>
          <w:sz w:val="24"/>
          <w:szCs w:val="24"/>
          <w:lang w:eastAsia="zh-CN"/>
        </w:rPr>
        <w:t> </w:t>
      </w:r>
      <w:r w:rsidRPr="00CC65D9">
        <w:rPr>
          <w:rFonts w:cstheme="minorHAnsi"/>
          <w:sz w:val="24"/>
          <w:szCs w:val="24"/>
          <w:lang w:eastAsia="zh-CN"/>
        </w:rPr>
        <w:t>infrastrukturą towarzyszącą będzie zajmowała powierzchnię 0,03 ha, natomiast reszta terenu będzie stanowiła powierzchnię nieutwardzoną, biologicznie czynną.</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Radar meteorologiczny zlokalizowany będzie po lewej stronie drogi gminnej, z której prowadzona będzie komunikacja na teren przedsięwzięcia. Okolice inwestycji to pola uprawne oraz pastwiska. Wokół działki nr 330/3, na której będzie zlokalizowany radar, nie występuje żadna zwarta zabudowa. W odległości ok. 65 m od granicy działki inwestycyjnej, w kierunku wschodnim, zlokalizowany jest teren zabudowy zagrodowej wraz z terenami użytkowanymi rolniczo. Kolejny teren zabudowy zagrodowej znajduje się na południe, w odległości ok. 200 m od terenu przedsięwzięcia. Natomiast zabudowa zwarta miejscowości Użranki znajduje się w</w:t>
      </w:r>
      <w:r w:rsidR="007329D8">
        <w:rPr>
          <w:rFonts w:cstheme="minorHAnsi"/>
          <w:sz w:val="24"/>
          <w:szCs w:val="24"/>
          <w:lang w:eastAsia="zh-CN"/>
        </w:rPr>
        <w:t> </w:t>
      </w:r>
      <w:r w:rsidRPr="00CC65D9">
        <w:rPr>
          <w:rFonts w:cstheme="minorHAnsi"/>
          <w:sz w:val="24"/>
          <w:szCs w:val="24"/>
          <w:lang w:eastAsia="zh-CN"/>
        </w:rPr>
        <w:t xml:space="preserve">odległości 1,5 km.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Planowane przedsięwzięcie polega na budowie radaru meteorologicznego, który będzie wykorzystywany na potrzeby państwowej służby hydrologiczno- meteorologicznej pełnionej przez IMGW-PIB. Celem inwestycji jest zwiększenie precyzji w monitorowaniu stanu atmosfery pod kątem zjawisk meteorologicznych. Radar będzie włączony do polskiej sieci radarów meteorologicznych POLRAD i będzie zapewniać monitorowanie w czasie rzeczywistym oraz skuteczne ostrzeganie przed groźnymi zjawiskami meteorologicznymi (między innymi: silny wiatr, burza, trąba powietrzna, intensywny opad atmosferyczny, grad).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W ramach planowanej inwestycji ma powstać wieża radaru meteorologicznego na planie koła zwieńczona kopułą mieszczącą antenę radarową. Wieża zostanie wykonana w konstrukcji stalowej, kratownicowej, zamkniętej poszyciem z blachy falistej przytwierdzonej do konstrukcji wieży. Możliwe jest również wykonanie wieży w technologii żelbetowej. Wysokość wieży liczona od podstawy do środka zainstalowanej anteny radarowej ma wynosić 35 m. Pod kopułą znajdzie się pomieszczenie na urządzenia radarowe. Dookoła kopuły oraz na wysokości pomieszczenia radarowego przewidziane zostały pomosty serwisowe z barierkami. Planowany do zastosowania radar meteorologiczny wyposażony będzie w nadajnik magnetronowy o następujących parametrach: </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lastRenderedPageBreak/>
        <w:t>częstotliwość pracy – 5 645 MHz,</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moc szczytowa w impulsie (długi, średni, krótki) przed rozdzieleniem na polaryzacje – co najmniej 400 kW,</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 xml:space="preserve">długość impulsu – możliwość ustawień co najmniej czterech długości impulsów w zakresie 0.5 - 2.0 </w:t>
      </w:r>
      <w:proofErr w:type="spellStart"/>
      <w:r w:rsidRPr="007329D8">
        <w:rPr>
          <w:rFonts w:cstheme="minorHAnsi"/>
          <w:sz w:val="24"/>
          <w:szCs w:val="24"/>
          <w:lang w:eastAsia="zh-CN"/>
        </w:rPr>
        <w:t>μs,</w:t>
      </w:r>
      <w:proofErr w:type="spellEnd"/>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 xml:space="preserve">częstotliwość próbkowania (PRF) co najmniej: długi impuls 250 – 600 </w:t>
      </w:r>
      <w:proofErr w:type="spellStart"/>
      <w:r w:rsidRPr="007329D8">
        <w:rPr>
          <w:rFonts w:cstheme="minorHAnsi"/>
          <w:sz w:val="24"/>
          <w:szCs w:val="24"/>
          <w:lang w:eastAsia="zh-CN"/>
        </w:rPr>
        <w:t>Hz</w:t>
      </w:r>
      <w:proofErr w:type="spellEnd"/>
      <w:r w:rsidRPr="007329D8">
        <w:rPr>
          <w:rFonts w:cstheme="minorHAnsi"/>
          <w:sz w:val="24"/>
          <w:szCs w:val="24"/>
          <w:lang w:eastAsia="zh-CN"/>
        </w:rPr>
        <w:t xml:space="preserve">, krótki impuls 500 - 2 400 </w:t>
      </w:r>
      <w:proofErr w:type="spellStart"/>
      <w:r w:rsidRPr="007329D8">
        <w:rPr>
          <w:rFonts w:cstheme="minorHAnsi"/>
          <w:sz w:val="24"/>
          <w:szCs w:val="24"/>
          <w:lang w:eastAsia="zh-CN"/>
        </w:rPr>
        <w:t>Hz,</w:t>
      </w:r>
      <w:proofErr w:type="spellEnd"/>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możliwość ustawiania naprzemiennej częstotliwości próbkowania (</w:t>
      </w:r>
      <w:proofErr w:type="spellStart"/>
      <w:r w:rsidRPr="007329D8">
        <w:rPr>
          <w:rFonts w:cstheme="minorHAnsi"/>
          <w:sz w:val="24"/>
          <w:szCs w:val="24"/>
          <w:lang w:eastAsia="zh-CN"/>
        </w:rPr>
        <w:t>stagerred</w:t>
      </w:r>
      <w:proofErr w:type="spellEnd"/>
      <w:r w:rsidRPr="007329D8">
        <w:rPr>
          <w:rFonts w:cstheme="minorHAnsi"/>
          <w:sz w:val="24"/>
          <w:szCs w:val="24"/>
          <w:lang w:eastAsia="zh-CN"/>
        </w:rPr>
        <w:t xml:space="preserve"> PRF) co najmniej o stosunkach częstotliwości powtarzania impulsów wyższej do niższej: 3/2; 4/3 i</w:t>
      </w:r>
      <w:r w:rsidR="007329D8">
        <w:rPr>
          <w:rFonts w:cstheme="minorHAnsi"/>
          <w:sz w:val="24"/>
          <w:szCs w:val="24"/>
          <w:lang w:eastAsia="zh-CN"/>
        </w:rPr>
        <w:t> </w:t>
      </w:r>
      <w:r w:rsidRPr="007329D8">
        <w:rPr>
          <w:rFonts w:cstheme="minorHAnsi"/>
          <w:sz w:val="24"/>
          <w:szCs w:val="24"/>
          <w:lang w:eastAsia="zh-CN"/>
        </w:rPr>
        <w:t>5/4; system ma umożliwiać de-</w:t>
      </w:r>
      <w:proofErr w:type="spellStart"/>
      <w:r w:rsidRPr="007329D8">
        <w:rPr>
          <w:rFonts w:cstheme="minorHAnsi"/>
          <w:sz w:val="24"/>
          <w:szCs w:val="24"/>
          <w:lang w:eastAsia="zh-CN"/>
        </w:rPr>
        <w:t>aliasing</w:t>
      </w:r>
      <w:proofErr w:type="spellEnd"/>
      <w:r w:rsidRPr="007329D8">
        <w:rPr>
          <w:rFonts w:cstheme="minorHAnsi"/>
          <w:sz w:val="24"/>
          <w:szCs w:val="24"/>
          <w:lang w:eastAsia="zh-CN"/>
        </w:rPr>
        <w:t xml:space="preserve"> mierzonej prędkości dopplerowskiej;</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 xml:space="preserve">emisje niepożądane radaru – zakres emisji ma stosować się do norm „ITU-R Radio </w:t>
      </w:r>
      <w:proofErr w:type="spellStart"/>
      <w:r w:rsidRPr="007329D8">
        <w:rPr>
          <w:rFonts w:cstheme="minorHAnsi"/>
          <w:sz w:val="24"/>
          <w:szCs w:val="24"/>
          <w:lang w:eastAsia="zh-CN"/>
        </w:rPr>
        <w:t>Regulations</w:t>
      </w:r>
      <w:proofErr w:type="spellEnd"/>
      <w:r w:rsidRPr="007329D8">
        <w:rPr>
          <w:rFonts w:cstheme="minorHAnsi"/>
          <w:sz w:val="24"/>
          <w:szCs w:val="24"/>
          <w:lang w:eastAsia="zh-CN"/>
        </w:rPr>
        <w:t xml:space="preserve"> Appendix 3” oraz CEPT/ERC/Rec. 74-01; radar zostanie wyposażony w układy minimalizujące emisję częstotliwości innych niż główna;</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nadajnik zostanie wyposażony w mierniki mocy, pozwalające na zdalny pomiar mocy przed i po rozdzieleniu na polaryzacje, umożliwiające zdalną kalibrację nadajnika oraz zdalny pomiar VSWR (współczynnika fali stojącej);</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nadajnik zostanie wyposażony w obwody zabezpieczające przed jego uszkodzeniem oraz obwody zabezpieczające nadajnik w razie pojawienia się łuku w falowodzie;</w:t>
      </w:r>
    </w:p>
    <w:p w:rsid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modulator będzie w pełni półprzewodnikowy;</w:t>
      </w:r>
    </w:p>
    <w:p w:rsidR="00CC65D9" w:rsidRPr="007329D8" w:rsidRDefault="00CC65D9" w:rsidP="00CC65D9">
      <w:pPr>
        <w:pStyle w:val="Akapitzlist"/>
        <w:numPr>
          <w:ilvl w:val="0"/>
          <w:numId w:val="21"/>
        </w:numPr>
        <w:spacing w:after="0" w:line="360" w:lineRule="auto"/>
        <w:rPr>
          <w:rFonts w:cstheme="minorHAnsi"/>
          <w:sz w:val="24"/>
          <w:szCs w:val="24"/>
          <w:lang w:eastAsia="zh-CN"/>
        </w:rPr>
      </w:pPr>
      <w:r w:rsidRPr="007329D8">
        <w:rPr>
          <w:rFonts w:cstheme="minorHAnsi"/>
          <w:sz w:val="24"/>
          <w:szCs w:val="24"/>
          <w:lang w:eastAsia="zh-CN"/>
        </w:rPr>
        <w:t xml:space="preserve">koherentność nadajnika będzie zapewniać tłumienie ech stałych, większych niż 40 </w:t>
      </w:r>
      <w:proofErr w:type="spellStart"/>
      <w:r w:rsidRPr="007329D8">
        <w:rPr>
          <w:rFonts w:cstheme="minorHAnsi"/>
          <w:sz w:val="24"/>
          <w:szCs w:val="24"/>
          <w:lang w:eastAsia="zh-CN"/>
        </w:rPr>
        <w:t>dB</w:t>
      </w:r>
      <w:proofErr w:type="spellEnd"/>
      <w:r w:rsidRPr="007329D8">
        <w:rPr>
          <w:rFonts w:cstheme="minorHAnsi"/>
          <w:sz w:val="24"/>
          <w:szCs w:val="24"/>
          <w:lang w:eastAsia="zh-CN"/>
        </w:rPr>
        <w:t>.</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Działanie radaru opiera się na zasadzie odbicia fal elektromagnetycznych od cząstek opadowych i wykorzystaniu zjawiska Dopplera, umożliwiając bieżące monitorowanie stanu atmosfery. Radar wysyła krótki impuls elektromagnetyczny o wysokiej mocy szczytowej. Gdy impuls dotrze do obiektu meteorologicznego rozprasza się. Część sygnału wraca do anteny radaru, gdzie jest odbierana. Na podstawie mocy sygnału powrotnego obliczane jest natężenie zjawiska. Kierunek i prędkość obliczane są na podstawie efektu Dopplera. Częstotliwość sygnału powrotnego odbitego od obiektu, który się porusza jest inna od emitowanej. Na podstawie wielkości przesunięcia oblicza się prędkość obiektu względem radaru.</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W wieży radaru, w strefie przyziemia, zlokalizowane będą także: toaleta, awaryjny agregat prądotwórczy, zbiornik o pojemności 1 000 l paliwa do agregatu, urządzenia UPS oraz urządzenia grzewcze, klimatyzacyjne i wentylacyjne. Wieża wyposażona będzie w urządzenie </w:t>
      </w:r>
      <w:r w:rsidRPr="00CC65D9">
        <w:rPr>
          <w:rFonts w:cstheme="minorHAnsi"/>
          <w:sz w:val="24"/>
          <w:szCs w:val="24"/>
          <w:lang w:eastAsia="zh-CN"/>
        </w:rPr>
        <w:lastRenderedPageBreak/>
        <w:t>dźwigowe – windę towarowo-osobową. Podstawa radaru została odpowiednio zaplanowana, tak aby umieścić w niej całe zaplecze socjalno-techniczne.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Ponadto w ramach przedsięwzięcia planowana jest budowa zjazdu z drogi gminnej i miejsc parkingowych, umożliwiających dojazd do stacji radarowej i parkowanie oraz swobodne manewrowanie dla co najmniej 3 samochodów osobowych. Z parkingu będzie prowadzić chodnik do wejść do stacji radarowej. Planowane przedsięwzięcie będzie funkcjonować praktycznie bezobsługowo. Zastosowana technologia telekomunikacyjna pozwoli na rzadkie przeglądy konserwacyjno-serwisowe.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Planowany obiekt będzie podłączony do istniejącej sieci energetycznej. Dodatkowo obiekt zostanie wyposażony w agregat prądotwórczy oraz awaryjne zasilanie UPS o mocy 10 kW, na wypadek zaistnienia awarii dostawy prądu.</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W ramach przeprowadzonej w raporcie analizy wariantów nie rozpatrywano innej lokalizacji przedsięwzięcia, ponieważ umiejscowienie radaru na działce nr 330/3, obręb Użranki pozwala na uzyskanie jak największego zasięgu skanowania pozbywając się zakłóceń przez wysokie obiekty. Powyższe zostało poparte wielokryterialną analizą ekspertów z zakresu meteorologii, budowy i funkcjonowania radarów, jak również wzięto pod uwagę wartości środowiskowe.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Na etapie planowania przedsięwzięcia rozpatrywano natomiast różne warianty rozmieszczenia obiektów infrastruktury technicznej oraz sposobu ogrzewania pomieszczeń. W wariancie „I” inwestycyjnym założono budowę wieży radarowej ogrzewanej elektrycznie, za pomocą klimatyzatorów. Natomiast w wariancie „II” alternatywnym rozpatrywano wykonanie wieży radaru wraz z budynkiem technicznym, ogrzewanym na gaz. Realizacja inwestycji w wariancie alternatywnym wiązać się będzie z większą zajętością terenu, dodatkowymi pracami związanymi z budową infrastruktury oraz wykonaniem dodatkowych zabezpieczeń na wypadek awarii systemu grzewczego. Posadowienie zbiorników na gaz płynny związane też będzie z</w:t>
      </w:r>
      <w:r w:rsidR="007329D8">
        <w:rPr>
          <w:rFonts w:cstheme="minorHAnsi"/>
          <w:sz w:val="24"/>
          <w:szCs w:val="24"/>
          <w:lang w:eastAsia="zh-CN"/>
        </w:rPr>
        <w:t> </w:t>
      </w:r>
      <w:r w:rsidRPr="00CC65D9">
        <w:rPr>
          <w:rFonts w:cstheme="minorHAnsi"/>
          <w:sz w:val="24"/>
          <w:szCs w:val="24"/>
          <w:lang w:eastAsia="zh-CN"/>
        </w:rPr>
        <w:t>dodatkowymi zabezpieczeniami i wymogami technicznymi obiektu. Ponadto, zmiana ogrzewania z elektrycznego na gaz płynny spowodowuje emisje zanieczyszczeń do powietrza.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Biorąc powyższe po uwagę proponowany przez Wnioskodawcę wariant „I” inwestycyjny realizacji inwestycji będzie korzystniejszy dla środowiska i jako taki został przyjęty do realizacji. Wariant ten uwzględnia optymalne usytuowanie inwestycji względem drogi publicznej, minimalną zabudowę powierzchni działki - brak budynku technicznego i dodatkowej zabudowy pod zbiornik gazu, oraz brak konieczności wykonywania przyłącza gazowego, zachowanie stosownej odległości od terenów zalesionych oraz skupisk ludzkich, jak również lokalizację </w:t>
      </w:r>
      <w:r w:rsidRPr="00CC65D9">
        <w:rPr>
          <w:rFonts w:cstheme="minorHAnsi"/>
          <w:sz w:val="24"/>
          <w:szCs w:val="24"/>
          <w:lang w:eastAsia="zh-CN"/>
        </w:rPr>
        <w:lastRenderedPageBreak/>
        <w:t>najbliżej granicy obszarów chronionych, na terenie których znajduje się przedmiotowe wzniesienie.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Faza realizacji i ewentualnej likwidacji planowanego przedsięwzięcia wiązać się będzie z</w:t>
      </w:r>
      <w:r w:rsidR="007329D8">
        <w:rPr>
          <w:rFonts w:cstheme="minorHAnsi"/>
          <w:sz w:val="24"/>
          <w:szCs w:val="24"/>
          <w:lang w:eastAsia="zh-CN"/>
        </w:rPr>
        <w:t> </w:t>
      </w:r>
      <w:r w:rsidRPr="00CC65D9">
        <w:rPr>
          <w:rFonts w:cstheme="minorHAnsi"/>
          <w:sz w:val="24"/>
          <w:szCs w:val="24"/>
          <w:lang w:eastAsia="zh-CN"/>
        </w:rPr>
        <w:t>okresowym wzrostem emisji spalin, poziomu hałasu oraz zapylenia spowodowanego pracą sprzętu mechanicznego oraz ruchem pojazdów dowożących niezbędne urządzenia i materiały. Charakter emisji będzie niezorganizowany. Dojazd do placu budowy będzie prowadzony drogami publicznymi, z ograniczoną prędkością (30 - 40 km/h, a na drodze nieutwardzonej z</w:t>
      </w:r>
      <w:r w:rsidR="007329D8">
        <w:rPr>
          <w:rFonts w:cstheme="minorHAnsi"/>
          <w:sz w:val="24"/>
          <w:szCs w:val="24"/>
          <w:lang w:eastAsia="zh-CN"/>
        </w:rPr>
        <w:t> </w:t>
      </w:r>
      <w:r w:rsidRPr="00CC65D9">
        <w:rPr>
          <w:rFonts w:cstheme="minorHAnsi"/>
          <w:sz w:val="24"/>
          <w:szCs w:val="24"/>
          <w:lang w:eastAsia="zh-CN"/>
        </w:rPr>
        <w:t>miejscowości Użranki do terenu inwestycji - z szybkością 10 - 20 km/h), ze względu na ciężar i</w:t>
      </w:r>
      <w:r w:rsidR="007329D8">
        <w:rPr>
          <w:rFonts w:cstheme="minorHAnsi"/>
          <w:sz w:val="24"/>
          <w:szCs w:val="24"/>
          <w:lang w:eastAsia="zh-CN"/>
        </w:rPr>
        <w:t> </w:t>
      </w:r>
      <w:r w:rsidRPr="00CC65D9">
        <w:rPr>
          <w:rFonts w:cstheme="minorHAnsi"/>
          <w:sz w:val="24"/>
          <w:szCs w:val="24"/>
          <w:lang w:eastAsia="zh-CN"/>
        </w:rPr>
        <w:t>duże rozmiary pojazdów. Teren przeznaczony pod wieżę radaru zostanie zniwelowany, zdjęta zostanie wierzchnia warstwa gleby, ponadto wykonany zostanie dojazd i parking. Największą uciążliwością na tym etapie będzie wzrost zapylenia o lokalnym zasięgu. W celu zminimalizowania oddziaływań planowane jest ograniczenie czasu trwania prac budowlanych, w</w:t>
      </w:r>
      <w:r w:rsidR="007329D8">
        <w:rPr>
          <w:rFonts w:cstheme="minorHAnsi"/>
          <w:sz w:val="24"/>
          <w:szCs w:val="24"/>
          <w:lang w:eastAsia="zh-CN"/>
        </w:rPr>
        <w:t> </w:t>
      </w:r>
      <w:r w:rsidRPr="00CC65D9">
        <w:rPr>
          <w:rFonts w:cstheme="minorHAnsi"/>
          <w:sz w:val="24"/>
          <w:szCs w:val="24"/>
          <w:lang w:eastAsia="zh-CN"/>
        </w:rPr>
        <w:t>szczególności najbardziej uciążliwych akustycznie, wyłącznie do pory dnia tj. w godz. 6:00 – 22:00. Roboty z wykorzystaniem ciężkiego sprzętu budowlanego prowadzone będą od godziny 7:00 do 19:00, w okresie letnim od II połowy czerwca do końca września. Powyższe prace prowadzone będą również z przerwami, a sprzęt ciężki użytkowany będzie w sposób naprzemienny, celem uniknięcia oddziaływań skumulowanych. Ponadto wszystkie prace budowlane wykonywane będą przy użyciu sprawnego technicznie sprzętu budowlanego, zgodnie z jego przeznaczeniem. Minimalizacja emisji zanieczyszczeń i hałasu na etapie realizacji prac budowlanych będzie zapewniona poprzez ekonomiczne użytkowanie pojazdów i maszyn, w</w:t>
      </w:r>
      <w:r w:rsidR="007329D8">
        <w:rPr>
          <w:rFonts w:cstheme="minorHAnsi"/>
          <w:sz w:val="24"/>
          <w:szCs w:val="24"/>
          <w:lang w:eastAsia="zh-CN"/>
        </w:rPr>
        <w:t> </w:t>
      </w:r>
      <w:r w:rsidRPr="00CC65D9">
        <w:rPr>
          <w:rFonts w:cstheme="minorHAnsi"/>
          <w:sz w:val="24"/>
          <w:szCs w:val="24"/>
          <w:lang w:eastAsia="zh-CN"/>
        </w:rPr>
        <w:t>tym wyłączanie silników podczas załadunku i rozładunku materiałów oraz innych przerw w</w:t>
      </w:r>
      <w:r w:rsidR="007329D8">
        <w:rPr>
          <w:rFonts w:cstheme="minorHAnsi"/>
          <w:sz w:val="24"/>
          <w:szCs w:val="24"/>
          <w:lang w:eastAsia="zh-CN"/>
        </w:rPr>
        <w:t> </w:t>
      </w:r>
      <w:r w:rsidRPr="00CC65D9">
        <w:rPr>
          <w:rFonts w:cstheme="minorHAnsi"/>
          <w:sz w:val="24"/>
          <w:szCs w:val="24"/>
          <w:lang w:eastAsia="zh-CN"/>
        </w:rPr>
        <w:t>pracy, a także ograniczenie pracy maszyn budowlanych na tzw. biegu jałowym. W celu ograniczenia pylenia planowane jest zraszanie wodą terenu budowy w okresach suszy. Materiały budowlane będą wykorzystywane na bieżąco, bez ich długotrwałego składowania na miejscu budowy. Przewiduje się, że zasięg uciążliwości powodowanych w fazie realizacji inwestycji, a</w:t>
      </w:r>
      <w:r w:rsidR="007329D8">
        <w:rPr>
          <w:rFonts w:cstheme="minorHAnsi"/>
          <w:sz w:val="24"/>
          <w:szCs w:val="24"/>
          <w:lang w:eastAsia="zh-CN"/>
        </w:rPr>
        <w:t> </w:t>
      </w:r>
      <w:r w:rsidRPr="00CC65D9">
        <w:rPr>
          <w:rFonts w:cstheme="minorHAnsi"/>
          <w:sz w:val="24"/>
          <w:szCs w:val="24"/>
          <w:lang w:eastAsia="zh-CN"/>
        </w:rPr>
        <w:t>także jej ewentualnej likwidacji ograniczy się do najbliższego otoczenia, a emisja substancji zanieczyszczających oraz hałasu będzie miała charakter krótkoterminowy i ustanie wraz z</w:t>
      </w:r>
      <w:r w:rsidR="007329D8">
        <w:rPr>
          <w:rFonts w:cstheme="minorHAnsi"/>
          <w:sz w:val="24"/>
          <w:szCs w:val="24"/>
          <w:lang w:eastAsia="zh-CN"/>
        </w:rPr>
        <w:t> </w:t>
      </w:r>
      <w:r w:rsidRPr="00CC65D9">
        <w:rPr>
          <w:rFonts w:cstheme="minorHAnsi"/>
          <w:sz w:val="24"/>
          <w:szCs w:val="24"/>
          <w:lang w:eastAsia="zh-CN"/>
        </w:rPr>
        <w:t xml:space="preserve">zakończeniem prac budowlanych. Faza budowy, podobnie jak faza likwidacji trwać może ok. 3 miesięcy. Jednocześnie w raporcie przeprowadzono modelowanie wielkości emisji zanieczyszczeń do powietrza na etapie budowy radaru wraz z oceną ich oddziaływania na czystość powietrza w rejonie inwestycji. Obliczenia prognostyczne nie wykazały możliwości występowania przekroczeń dopuszczalnych standardów jakości powietrza.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lastRenderedPageBreak/>
        <w:t xml:space="preserve">W celu ochrony środowiska gruntowo-wodnego przed zanieczyszczeniem baza materiałowo-sprzętowa oraz park maszyn zlokalizowane zostaną na terenie utwardzonym. Postoje sprzętu mechanicznego niezbędnego do budowy stacji radarowej prowadzone będą w sposób zapewniający wyeliminowanie możliwości zanieczyszczenia gruntu lub wód gruntowych substancjami ropopochodnymi. Plac budowy zostanie wyposażony w środki absorbujące ewentualne wycieki paliwa i innych szkodliwych substancji. W przypadku zaistnienia sytuacji awaryjnej, np. wystąpienia wycieku, zużyty sorbent i ziemia skażona wyciekiem zostaną niezwłocznie zebrane i przekazane uprawnionej firmie do dalszego zagospodarowania. Nie przewiduje się tankowania pojazdów i maszyn budowlanych oraz wykonywania napraw sprzętu, wymiany olejów w maszynach i urządzeniach w trakcie prac budowlanych, na placu budowy. Substancje niebezpieczne dla środowiska gruntowo-wodnego, które potencjalnie mogą znajdować się na terenie prowadzonych prac, przechowywane będą w szczelnych pojemnikach spełniających wymagania ppoż. i ochrony środowiska. Zaplecze socjalne budowy wyposażone zostanie w przenośne toalety typu </w:t>
      </w:r>
      <w:proofErr w:type="spellStart"/>
      <w:r w:rsidRPr="00CC65D9">
        <w:rPr>
          <w:rFonts w:cstheme="minorHAnsi"/>
          <w:sz w:val="24"/>
          <w:szCs w:val="24"/>
          <w:lang w:eastAsia="zh-CN"/>
        </w:rPr>
        <w:t>toi-toi</w:t>
      </w:r>
      <w:proofErr w:type="spellEnd"/>
      <w:r w:rsidRPr="00CC65D9">
        <w:rPr>
          <w:rFonts w:cstheme="minorHAnsi"/>
          <w:sz w:val="24"/>
          <w:szCs w:val="24"/>
          <w:lang w:eastAsia="zh-CN"/>
        </w:rPr>
        <w:t xml:space="preserve">, z zapewnieniem wywozu ścieków bytowych przez uprawnioną firmę do najbliższej oczyszczalni ścieków.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W fazie realizacji przedsięwzięcia oddziaływanie będzie związane również z wykonywaniem wykopów pod fundamenty, przy czym nie przewiduje się potrzeby prowadzenia głębokiego odwodnienia wykopów budowlanych.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Przed przystąpieniem do robót niwelacyjnych zdjęta zostanie wierzchnia warstwa gleby i</w:t>
      </w:r>
      <w:r w:rsidR="007329D8">
        <w:rPr>
          <w:rFonts w:cstheme="minorHAnsi"/>
          <w:sz w:val="24"/>
          <w:szCs w:val="24"/>
          <w:lang w:eastAsia="zh-CN"/>
        </w:rPr>
        <w:t> </w:t>
      </w:r>
      <w:r w:rsidRPr="00CC65D9">
        <w:rPr>
          <w:rFonts w:cstheme="minorHAnsi"/>
          <w:sz w:val="24"/>
          <w:szCs w:val="24"/>
          <w:lang w:eastAsia="zh-CN"/>
        </w:rPr>
        <w:t>zdeponowana w wydzielonych miejscach, w celu późniejszego wykorzystania. Ziemia z wykopów zostanie zagospodarowana przede wszystkim na terenie przedsięwzięcia - na zakończenie prac budowlanych zostanie wykorzystana na przedmiotowym terenie do jego niwelacji.</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Teren budowy zabezpieczony zostanie przed dostępem osób postronnych, a prace budowlane prowadzone będą z zachowaniem zasad ochrony środowiska i należytej staranności. W trakcie realizacji przedsięwzięcia będą powstawały odpady niebezpieczne oraz inne niż niebezpieczne zaliczone do grupy 13 (oleje odpadowe i odpady ciekłych paliw), grupy 15 (odpady opakowaniowe; sorbenty, tkaniny do wycierania, materiały filtracyjne i ubrania ochronne nieujęte w innych grupach), grupy 16 (odpady nieujęte w innych grupach – baterie i</w:t>
      </w:r>
      <w:r w:rsidR="007329D8">
        <w:rPr>
          <w:rFonts w:cstheme="minorHAnsi"/>
          <w:sz w:val="24"/>
          <w:szCs w:val="24"/>
          <w:lang w:eastAsia="zh-CN"/>
        </w:rPr>
        <w:t> </w:t>
      </w:r>
      <w:r w:rsidRPr="00CC65D9">
        <w:rPr>
          <w:rFonts w:cstheme="minorHAnsi"/>
          <w:sz w:val="24"/>
          <w:szCs w:val="24"/>
          <w:lang w:eastAsia="zh-CN"/>
        </w:rPr>
        <w:t xml:space="preserve">akumulatory), grupy 17 (odpady z budowy, remontów i demontażu obiektów budowlanych oraz infrastruktury drogowej), zgodnie z rozporządzeniem Ministra Klimatu z dnia 2 stycznia 2020 r. w sprawie katalogu odpadów (Dz.U. 2020 r. poz. 10). Ponadto będą powstawały odpady komunalne. Największą ilość powstających odpadów będą stanowiły odpady z grupy 17. </w:t>
      </w:r>
      <w:r w:rsidRPr="00CC65D9">
        <w:rPr>
          <w:rFonts w:cstheme="minorHAnsi"/>
          <w:sz w:val="24"/>
          <w:szCs w:val="24"/>
          <w:lang w:eastAsia="zh-CN"/>
        </w:rPr>
        <w:lastRenderedPageBreak/>
        <w:t>Wszystkie odpady będą tymczasowo gromadzone na terenie inwestycji w sposób selektywny w</w:t>
      </w:r>
      <w:r w:rsidR="007329D8">
        <w:rPr>
          <w:rFonts w:cstheme="minorHAnsi"/>
          <w:sz w:val="24"/>
          <w:szCs w:val="24"/>
          <w:lang w:eastAsia="zh-CN"/>
        </w:rPr>
        <w:t> </w:t>
      </w:r>
      <w:r w:rsidRPr="00CC65D9">
        <w:rPr>
          <w:rFonts w:cstheme="minorHAnsi"/>
          <w:sz w:val="24"/>
          <w:szCs w:val="24"/>
          <w:lang w:eastAsia="zh-CN"/>
        </w:rPr>
        <w:t xml:space="preserve">wyznaczonych do tego miejscach oraz pojemnikach, wydzielonych i oznakowanych oraz zabezpieczonych przed dostępem osób postronnych. Po zgromadzeniu odpowiedniej ilości odpady przekazywane będą uprawnionym odbiorcom do dalszego zagospodarowania. Po zakończeniu wszystkich prac budowlanych teren przedsięwzięcia zostanie uporządkowany. Mając powyższe na uwadze należy stwierdzić, że przyjęte rozwiązania techniczne i organizacyjne w zakresie gospodarki wodno-ściekowej i odpadowej na etapie realizacji inwestycji zabezpieczą środowisko przed przedostawaniem się zanieczyszczeń do wód podziemnych oraz gruntu.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trakcie pracy radaru meteorologicznego istotnym rodzajem oddziaływań na środowisko będzie emisja pola elektromagnetycznego, którego źródłem będzie antena. Jest to paraboliczne zwierciadło metalowe o średnicy 4,1 m. W ognisku paraboloidy, która stanowi ten reflektor, umieszczona jest właściwa antena zasilana sygnałem doprowadzonym z nadajnika. Dzięki takiej budowie antena ukierunkowuje emisję w stronę, na którą skierowany jest reflektor anteny.</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Antena radarowa wysyła krótkie impulsy elektromagnetyczne o wysokiej mocy szczytowej. Gdy impuls dotrze do obiektu meteorologicznego, rozprasza się, a część sygnału powraca i jest odbierana przez radar. Na podstawie mocy sygnału powrotnego obliczane jest natężenie zjawiska, natomiast kierunek i prędkość obiektu meteorologicznego obliczane są na podstawie efektu Dopplera. Częstotliwość sygnału powrotnego odbitego od obiektu, który się porusza, jest inna od częstotliwości wyemitowanej – na tej podstawie oblicza się prędkość obiektu względem radaru.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Pomiar wykonywany jest w cyklu 10 minutowym. Najpierw rozpoczyna się skanowanie klasyczne o zasięgu 250 km. Antena ustawiana jest na najniższym kącie elewacji (+ 0,5 stopnia). Wykonuje pełen obrót 360 stopni jednocześnie wysyłając impulsy elektromagnetyczne i odbierając sygnały odbite od obiektów meteorologicznych. Po pełnym obrocie antena podnosi się na wyższy kąt elewacji i powtarza cykl obserwacyjny. W sumie przewiduje się 10 kątów podniesienia anteny. Następnie rozpoczyna się skan dopplerowski o zasięgu 125 km. Procedura jest identyczna, jak w</w:t>
      </w:r>
      <w:r w:rsidR="007329D8">
        <w:rPr>
          <w:rFonts w:cstheme="minorHAnsi"/>
          <w:sz w:val="24"/>
          <w:szCs w:val="24"/>
          <w:lang w:eastAsia="zh-CN"/>
        </w:rPr>
        <w:t> </w:t>
      </w:r>
      <w:r w:rsidRPr="00CC65D9">
        <w:rPr>
          <w:rFonts w:cstheme="minorHAnsi"/>
          <w:sz w:val="24"/>
          <w:szCs w:val="24"/>
          <w:lang w:eastAsia="zh-CN"/>
        </w:rPr>
        <w:t xml:space="preserve">przypadku skanu klasycznego. Organizacja strategii skanowania (np. wybór kątów elewacji) może się zmieniać, jednakże system sterowania anteną radaru zapewniać będzie ruch wiązki antenowej tylko w zakresie górnej półsfery i zagwarantuje jej horyzontalną pracę (bez pochylenia wiązki promieniowania w dół).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Parametry anteny radarowej: </w:t>
      </w:r>
    </w:p>
    <w:p w:rsidR="007329D8" w:rsidRDefault="00CC65D9" w:rsidP="00CC65D9">
      <w:pPr>
        <w:pStyle w:val="Akapitzlist"/>
        <w:numPr>
          <w:ilvl w:val="0"/>
          <w:numId w:val="22"/>
        </w:numPr>
        <w:spacing w:after="0" w:line="360" w:lineRule="auto"/>
        <w:rPr>
          <w:rFonts w:cstheme="minorHAnsi"/>
          <w:sz w:val="24"/>
          <w:szCs w:val="24"/>
          <w:lang w:eastAsia="zh-CN"/>
        </w:rPr>
      </w:pPr>
      <w:r w:rsidRPr="007329D8">
        <w:rPr>
          <w:rFonts w:cstheme="minorHAnsi"/>
          <w:sz w:val="24"/>
          <w:szCs w:val="24"/>
          <w:lang w:eastAsia="zh-CN"/>
        </w:rPr>
        <w:t xml:space="preserve">położenie środka anteny: 35 metrów nad terenem, </w:t>
      </w:r>
    </w:p>
    <w:p w:rsidR="007329D8" w:rsidRDefault="00CC65D9" w:rsidP="00CC65D9">
      <w:pPr>
        <w:pStyle w:val="Akapitzlist"/>
        <w:numPr>
          <w:ilvl w:val="0"/>
          <w:numId w:val="22"/>
        </w:numPr>
        <w:spacing w:after="0" w:line="360" w:lineRule="auto"/>
        <w:rPr>
          <w:rFonts w:cstheme="minorHAnsi"/>
          <w:sz w:val="24"/>
          <w:szCs w:val="24"/>
          <w:lang w:eastAsia="zh-CN"/>
        </w:rPr>
      </w:pPr>
      <w:r w:rsidRPr="007329D8">
        <w:rPr>
          <w:rFonts w:cstheme="minorHAnsi"/>
          <w:sz w:val="24"/>
          <w:szCs w:val="24"/>
          <w:lang w:eastAsia="zh-CN"/>
        </w:rPr>
        <w:t xml:space="preserve">szerokość wiązki szpilkowej (mierzona w punkcie -3 </w:t>
      </w:r>
      <w:proofErr w:type="spellStart"/>
      <w:r w:rsidRPr="007329D8">
        <w:rPr>
          <w:rFonts w:cstheme="minorHAnsi"/>
          <w:sz w:val="24"/>
          <w:szCs w:val="24"/>
          <w:lang w:eastAsia="zh-CN"/>
        </w:rPr>
        <w:t>dB</w:t>
      </w:r>
      <w:proofErr w:type="spellEnd"/>
      <w:r w:rsidRPr="007329D8">
        <w:rPr>
          <w:rFonts w:cstheme="minorHAnsi"/>
          <w:sz w:val="24"/>
          <w:szCs w:val="24"/>
          <w:lang w:eastAsia="zh-CN"/>
        </w:rPr>
        <w:t xml:space="preserve">): poniżej 1°, </w:t>
      </w:r>
    </w:p>
    <w:p w:rsidR="007329D8" w:rsidRDefault="00CC65D9" w:rsidP="00CC65D9">
      <w:pPr>
        <w:pStyle w:val="Akapitzlist"/>
        <w:numPr>
          <w:ilvl w:val="0"/>
          <w:numId w:val="22"/>
        </w:numPr>
        <w:spacing w:after="0" w:line="360" w:lineRule="auto"/>
        <w:rPr>
          <w:rFonts w:cstheme="minorHAnsi"/>
          <w:sz w:val="24"/>
          <w:szCs w:val="24"/>
          <w:lang w:eastAsia="zh-CN"/>
        </w:rPr>
      </w:pPr>
      <w:r w:rsidRPr="007329D8">
        <w:rPr>
          <w:rFonts w:cstheme="minorHAnsi"/>
          <w:sz w:val="24"/>
          <w:szCs w:val="24"/>
          <w:lang w:eastAsia="zh-CN"/>
        </w:rPr>
        <w:lastRenderedPageBreak/>
        <w:t xml:space="preserve">wzmocnienie: co najmniej 45 </w:t>
      </w:r>
      <w:proofErr w:type="spellStart"/>
      <w:r w:rsidRPr="007329D8">
        <w:rPr>
          <w:rFonts w:cstheme="minorHAnsi"/>
          <w:sz w:val="24"/>
          <w:szCs w:val="24"/>
          <w:lang w:eastAsia="zh-CN"/>
        </w:rPr>
        <w:t>dB</w:t>
      </w:r>
      <w:proofErr w:type="spellEnd"/>
      <w:r w:rsidRPr="007329D8">
        <w:rPr>
          <w:rFonts w:cstheme="minorHAnsi"/>
          <w:sz w:val="24"/>
          <w:szCs w:val="24"/>
          <w:lang w:eastAsia="zh-CN"/>
        </w:rPr>
        <w:t xml:space="preserve">, </w:t>
      </w:r>
    </w:p>
    <w:p w:rsidR="007329D8" w:rsidRDefault="00CC65D9" w:rsidP="00CC65D9">
      <w:pPr>
        <w:pStyle w:val="Akapitzlist"/>
        <w:numPr>
          <w:ilvl w:val="0"/>
          <w:numId w:val="22"/>
        </w:numPr>
        <w:spacing w:after="0" w:line="360" w:lineRule="auto"/>
        <w:rPr>
          <w:rFonts w:cstheme="minorHAnsi"/>
          <w:sz w:val="24"/>
          <w:szCs w:val="24"/>
          <w:lang w:eastAsia="zh-CN"/>
        </w:rPr>
      </w:pPr>
      <w:r w:rsidRPr="007329D8">
        <w:rPr>
          <w:rFonts w:cstheme="minorHAnsi"/>
          <w:sz w:val="24"/>
          <w:szCs w:val="24"/>
          <w:lang w:eastAsia="zh-CN"/>
        </w:rPr>
        <w:t xml:space="preserve">dokładność ustawienia anteny w azymucie/elewacji: 0,1° / 0,1°, </w:t>
      </w:r>
    </w:p>
    <w:p w:rsidR="00CC65D9" w:rsidRPr="007329D8" w:rsidRDefault="00CC65D9" w:rsidP="00CC65D9">
      <w:pPr>
        <w:pStyle w:val="Akapitzlist"/>
        <w:numPr>
          <w:ilvl w:val="0"/>
          <w:numId w:val="22"/>
        </w:numPr>
        <w:spacing w:after="0" w:line="360" w:lineRule="auto"/>
        <w:rPr>
          <w:rFonts w:cstheme="minorHAnsi"/>
          <w:sz w:val="24"/>
          <w:szCs w:val="24"/>
          <w:lang w:eastAsia="zh-CN"/>
        </w:rPr>
      </w:pPr>
      <w:r w:rsidRPr="007329D8">
        <w:rPr>
          <w:rFonts w:cstheme="minorHAnsi"/>
          <w:sz w:val="24"/>
          <w:szCs w:val="24"/>
          <w:lang w:eastAsia="zh-CN"/>
        </w:rPr>
        <w:t xml:space="preserve">zakresy prędkości ruchu anteny w azymucie/elewacji: od 0,5°/s do 40°/s – z dokładnością co najmniej 0,2° (dla prędkości do 20°/s) i 0,5° (dla wyższych prędkości).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Parametry nadajnika: </w:t>
      </w:r>
    </w:p>
    <w:p w:rsidR="007329D8" w:rsidRDefault="00CC65D9" w:rsidP="00CC65D9">
      <w:pPr>
        <w:pStyle w:val="Akapitzlist"/>
        <w:numPr>
          <w:ilvl w:val="0"/>
          <w:numId w:val="23"/>
        </w:numPr>
        <w:spacing w:after="0" w:line="360" w:lineRule="auto"/>
        <w:rPr>
          <w:rFonts w:cstheme="minorHAnsi"/>
          <w:sz w:val="24"/>
          <w:szCs w:val="24"/>
          <w:lang w:eastAsia="zh-CN"/>
        </w:rPr>
      </w:pPr>
      <w:r w:rsidRPr="007329D8">
        <w:rPr>
          <w:rFonts w:cstheme="minorHAnsi"/>
          <w:sz w:val="24"/>
          <w:szCs w:val="24"/>
          <w:lang w:eastAsia="zh-CN"/>
        </w:rPr>
        <w:t xml:space="preserve">typ nadajnika: magnetronowy, </w:t>
      </w:r>
    </w:p>
    <w:p w:rsidR="007329D8" w:rsidRDefault="00CC65D9" w:rsidP="00CC65D9">
      <w:pPr>
        <w:pStyle w:val="Akapitzlist"/>
        <w:numPr>
          <w:ilvl w:val="0"/>
          <w:numId w:val="23"/>
        </w:numPr>
        <w:spacing w:after="0" w:line="360" w:lineRule="auto"/>
        <w:rPr>
          <w:rFonts w:cstheme="minorHAnsi"/>
          <w:sz w:val="24"/>
          <w:szCs w:val="24"/>
          <w:lang w:eastAsia="zh-CN"/>
        </w:rPr>
      </w:pPr>
      <w:r w:rsidRPr="007329D8">
        <w:rPr>
          <w:rFonts w:cstheme="minorHAnsi"/>
          <w:sz w:val="24"/>
          <w:szCs w:val="24"/>
          <w:lang w:eastAsia="zh-CN"/>
        </w:rPr>
        <w:t xml:space="preserve">częstotliwość pracy: 5645 MHz, </w:t>
      </w:r>
    </w:p>
    <w:p w:rsidR="007329D8" w:rsidRDefault="00CC65D9" w:rsidP="00CC65D9">
      <w:pPr>
        <w:pStyle w:val="Akapitzlist"/>
        <w:numPr>
          <w:ilvl w:val="0"/>
          <w:numId w:val="23"/>
        </w:numPr>
        <w:spacing w:after="0" w:line="360" w:lineRule="auto"/>
        <w:rPr>
          <w:rFonts w:cstheme="minorHAnsi"/>
          <w:sz w:val="24"/>
          <w:szCs w:val="24"/>
          <w:lang w:eastAsia="zh-CN"/>
        </w:rPr>
      </w:pPr>
      <w:r w:rsidRPr="007329D8">
        <w:rPr>
          <w:rFonts w:cstheme="minorHAnsi"/>
          <w:sz w:val="24"/>
          <w:szCs w:val="24"/>
          <w:lang w:eastAsia="zh-CN"/>
        </w:rPr>
        <w:t xml:space="preserve">stabilność częstotliwości: co najmniej 1 MHz, </w:t>
      </w:r>
    </w:p>
    <w:p w:rsidR="007329D8" w:rsidRDefault="00CC65D9" w:rsidP="00CC65D9">
      <w:pPr>
        <w:pStyle w:val="Akapitzlist"/>
        <w:numPr>
          <w:ilvl w:val="0"/>
          <w:numId w:val="23"/>
        </w:numPr>
        <w:spacing w:after="0" w:line="360" w:lineRule="auto"/>
        <w:rPr>
          <w:rFonts w:cstheme="minorHAnsi"/>
          <w:sz w:val="24"/>
          <w:szCs w:val="24"/>
          <w:lang w:eastAsia="zh-CN"/>
        </w:rPr>
      </w:pPr>
      <w:r w:rsidRPr="007329D8">
        <w:rPr>
          <w:rFonts w:cstheme="minorHAnsi"/>
          <w:sz w:val="24"/>
          <w:szCs w:val="24"/>
          <w:lang w:eastAsia="zh-CN"/>
        </w:rPr>
        <w:t xml:space="preserve">moc szczytowa w impulsie: co najmniej 400 kW, </w:t>
      </w:r>
    </w:p>
    <w:p w:rsidR="00CC65D9" w:rsidRPr="007329D8" w:rsidRDefault="00CC65D9" w:rsidP="00CC65D9">
      <w:pPr>
        <w:pStyle w:val="Akapitzlist"/>
        <w:numPr>
          <w:ilvl w:val="0"/>
          <w:numId w:val="23"/>
        </w:numPr>
        <w:spacing w:after="0" w:line="360" w:lineRule="auto"/>
        <w:rPr>
          <w:rFonts w:cstheme="minorHAnsi"/>
          <w:sz w:val="24"/>
          <w:szCs w:val="24"/>
          <w:lang w:eastAsia="zh-CN"/>
        </w:rPr>
      </w:pPr>
      <w:r w:rsidRPr="007329D8">
        <w:rPr>
          <w:rFonts w:cstheme="minorHAnsi"/>
          <w:sz w:val="24"/>
          <w:szCs w:val="24"/>
          <w:lang w:eastAsia="zh-CN"/>
        </w:rPr>
        <w:t xml:space="preserve">długość impulsu: możliwość ustawień długości impulsu w zakresie co najmniej 0,5 – 2 </w:t>
      </w:r>
      <w:proofErr w:type="spellStart"/>
      <w:r w:rsidRPr="007329D8">
        <w:rPr>
          <w:rFonts w:cstheme="minorHAnsi"/>
          <w:sz w:val="24"/>
          <w:szCs w:val="24"/>
          <w:lang w:eastAsia="zh-CN"/>
        </w:rPr>
        <w:t>μs</w:t>
      </w:r>
      <w:proofErr w:type="spellEnd"/>
      <w:r w:rsidRPr="007329D8">
        <w:rPr>
          <w:rFonts w:cstheme="minorHAnsi"/>
          <w:sz w:val="24"/>
          <w:szCs w:val="24"/>
          <w:lang w:eastAsia="zh-CN"/>
        </w:rPr>
        <w:t xml:space="preserve">.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Zgodnie z załącznikiem do rozporządzenia Ministra Zdrowia z dnia 17 grudnia 2019 r. w sprawie dopuszczalnych poziomów pól elektromagnetycznych w środowisku (Dz. U. z 2019 r., poz. 2448) dla przedmiotowej instalacji, stanowiącej źródło pól elektromagnetycznych o zakresie częstotliwości od 2 GHz do 300 GHz, dopuszczalne poziomy pól elektromagnetycznych (charakteryzowane przez dopuszczalne wartości parametrów fizycznych) wynoszą: gęstość mocy S równa 10 W/m2; składowa elektryczna E równa 61 V/m, składowa magnetyczna H równa 0,16 A/m. W analizach przewidywanego rozkładu pól elektromagnetycznych wystarczające jest sprawdzenie dotrzymania jednego z tych parametrów. Przez miejsca dostępne dla ludności rozumie się, zgodnie z art. 124 ust. 2 ustawy z 27 kwietnia 2001 r. Prawo ochrony środowiska (Dz. U. z 2021 r. poz. 1973) wszelkie miejsca, z wyjątkiem miejsc, do których dostęp ludności jest zabroniony lub niemożliwy bez użycia sprzętu technicznego.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W analizie stanowiącej załącznik do raportu o oddziaływaniu przedmiotowego przedsięwzięcia na środowisko wyznaczono przewidywany zasięg oraz miejsca występowania pól elektromagnetycznych o wartościach przekraczających dopuszczalny poziom promieniowania niejonizującego (10 W/m2). Z przeprowadzonych analiz wynika, że obszar pól elektromagnetycznych o wartości gęstości mocy równej lub większej od 10 W/m2 może występować w maksymalnym zasięgu 59 m od anteny oraz na znacznej wysokości (około 35 m n.p.t. </w:t>
      </w:r>
      <w:r w:rsidRPr="00CC65D9">
        <w:rPr>
          <w:rFonts w:ascii="Cambria Math" w:hAnsi="Cambria Math" w:cs="Cambria Math"/>
          <w:sz w:val="24"/>
          <w:szCs w:val="24"/>
          <w:lang w:eastAsia="zh-CN"/>
        </w:rPr>
        <w:t>≃</w:t>
      </w:r>
      <w:r w:rsidRPr="00CC65D9">
        <w:rPr>
          <w:rFonts w:cstheme="minorHAnsi"/>
          <w:sz w:val="24"/>
          <w:szCs w:val="24"/>
          <w:lang w:eastAsia="zh-CN"/>
        </w:rPr>
        <w:t xml:space="preserve"> 237 m n.p.m.). Brak jest tutaj miejsc dost</w:t>
      </w:r>
      <w:r w:rsidRPr="00CC65D9">
        <w:rPr>
          <w:rFonts w:ascii="Calibri" w:hAnsi="Calibri" w:cs="Calibri"/>
          <w:sz w:val="24"/>
          <w:szCs w:val="24"/>
          <w:lang w:eastAsia="zh-CN"/>
        </w:rPr>
        <w:t>ę</w:t>
      </w:r>
      <w:r w:rsidRPr="00CC65D9">
        <w:rPr>
          <w:rFonts w:cstheme="minorHAnsi"/>
          <w:sz w:val="24"/>
          <w:szCs w:val="24"/>
          <w:lang w:eastAsia="zh-CN"/>
        </w:rPr>
        <w:t xml:space="preserve">pnych dla ludności (powierzchnia terenu przy wieży radaru wynosi ok. 202 m n.p.m.). Teren, wokół planowanego obiektu jest terenem rolniczym i leśnym, nieprzeznaczonym pod zabudowę. Najbliższa zabudowa ma charakter zabudowy zagrodowej i znajduje się w odległości około 65 m od działki inwestycyjnej. Z tego względu przewiduje się, że w przestrzeni zewnętrznej (poza wieżą) obszar pól </w:t>
      </w:r>
      <w:r w:rsidRPr="00CC65D9">
        <w:rPr>
          <w:rFonts w:cstheme="minorHAnsi"/>
          <w:sz w:val="24"/>
          <w:szCs w:val="24"/>
          <w:lang w:eastAsia="zh-CN"/>
        </w:rPr>
        <w:lastRenderedPageBreak/>
        <w:t xml:space="preserve">elektromagnetycznych o wartościach gęstości mocy przekraczającej 10 W/m2 będzie występować tylko w miejscach niedostępnych dla ludzi. Natomiast w miejscach dostępnych dla ludzi (poziom terenu, budynki) gęstość mocy będzie znacznie niższa od wartości dopuszczalnej. Biorąc powyższe pod uwagę należy stwierdzić, że funkcjonowanie stacji radaru meteorologicznego nie spowoduje przekroczenia dopuszczalnych poziomów pól elektromagnetycznych w miejscach dostępnych dla ludności.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Bezpośrednio przed rozpoczęciem użytkowania przedmiotowej stacji radarowej (tj. w czasie testowego włączenia instalacji) obowiązkowe będzie wykonanie pomiarów poziomów pól elektromagnetycznych – na podstawie art. 122 a ust. 1 ustawy z dnia 27 kwietnia 2001 r. Prawo ochrony środowiska, co pozwoli na sprawdzenie dotrzymania poziomów dopuszczalnych.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trakcie eksploatacji przedsięwzięcia nie przewiduje się istotnych oddziaływań w zakresie emisji hałasu, w tym uciążliwości dla zabudowy mieszkalnej. Najbliższe tereny objęte ochroną akustyczną, ustalone w oparciu o faktyczne zagospodarowanie (brak miejscowych planów zagospodarowania przestrzennego dla terenów sąsiadujących z inwestycją) znajdują się w odległości około 65 m od granicy działki inwestycyjnej, w kierunku wschodnim i stanowią tereny zabudowy zagrodowej wraz z terenami użytkowanymi rolniczo, dla których dopuszczalny poziom hałasu, zgodnie z rozporządzeniem Ministra Środowiska z dnia 14 czerwca 2007 r. w</w:t>
      </w:r>
      <w:r w:rsidR="007329D8">
        <w:rPr>
          <w:rFonts w:cstheme="minorHAnsi"/>
          <w:sz w:val="24"/>
          <w:szCs w:val="24"/>
          <w:lang w:eastAsia="zh-CN"/>
        </w:rPr>
        <w:t> </w:t>
      </w:r>
      <w:r w:rsidRPr="00CC65D9">
        <w:rPr>
          <w:rFonts w:cstheme="minorHAnsi"/>
          <w:sz w:val="24"/>
          <w:szCs w:val="24"/>
          <w:lang w:eastAsia="zh-CN"/>
        </w:rPr>
        <w:t xml:space="preserve">sprawie dopuszczalnych poziomów hałasu w środowisku (Dz.U. 2014 r., poz. 112), w ciągu pory dnia wynosi odpowiednio 55 </w:t>
      </w:r>
      <w:proofErr w:type="spellStart"/>
      <w:r w:rsidRPr="00CC65D9">
        <w:rPr>
          <w:rFonts w:cstheme="minorHAnsi"/>
          <w:sz w:val="24"/>
          <w:szCs w:val="24"/>
          <w:lang w:eastAsia="zh-CN"/>
        </w:rPr>
        <w:t>dB</w:t>
      </w:r>
      <w:proofErr w:type="spellEnd"/>
      <w:r w:rsidRPr="00CC65D9">
        <w:rPr>
          <w:rFonts w:cstheme="minorHAnsi"/>
          <w:sz w:val="24"/>
          <w:szCs w:val="24"/>
          <w:lang w:eastAsia="zh-CN"/>
        </w:rPr>
        <w:t xml:space="preserve">.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Funkcjonowanie instalacji powodować będzie emisję hałasu do środowiska, wynikającą z pracy 2 urządzeń klimatyzacyjnych zamontowanych na wieży radarowej, okresowej pracy generatora prądotwórczego oraz z ruchu pojazdów po terenie stacji. Planowane jest zamontowanie dwóch typowych klimatyzatorów ściennych, w których źródłem dźwięków są jednostki zewnętrzne montowane na ścianach budynków,  o poziomie mocy akustycznej około 50 </w:t>
      </w:r>
      <w:proofErr w:type="spellStart"/>
      <w:r w:rsidRPr="00CC65D9">
        <w:rPr>
          <w:rFonts w:cstheme="minorHAnsi"/>
          <w:sz w:val="24"/>
          <w:szCs w:val="24"/>
          <w:lang w:eastAsia="zh-CN"/>
        </w:rPr>
        <w:t>dB</w:t>
      </w:r>
      <w:proofErr w:type="spellEnd"/>
      <w:r w:rsidRPr="00CC65D9">
        <w:rPr>
          <w:rFonts w:cstheme="minorHAnsi"/>
          <w:sz w:val="24"/>
          <w:szCs w:val="24"/>
          <w:lang w:eastAsia="zh-CN"/>
        </w:rPr>
        <w:t>(A). Agregat prądotwórczy będący zasilaniem awaryjnym nie będzie użytkowany w sposób ciągły. Jego zastosowanie będzie miało miejsce tylko w sytuacjach incydentalnych związanych z brakiem prądu. Założono również, że na teren stacji wjeżdżać będzie jeden samochód osobowy pracownika obsługi w ciągu doby, wyłącznie w porze dziennej, kilka razy do roku. Biorąc pod uwagę charakter pracy planowanych źródeł hałasu, niewielki poziom mocy akustycznych klimatyzatorów oraz odległość zabudowy objętej ochroną akustyczną nie przewiduje się możliwości występowania przekroczeń dopuszczalnych poziomów hałasu w związku z</w:t>
      </w:r>
      <w:r w:rsidR="007329D8">
        <w:rPr>
          <w:rFonts w:cstheme="minorHAnsi"/>
          <w:sz w:val="24"/>
          <w:szCs w:val="24"/>
          <w:lang w:eastAsia="zh-CN"/>
        </w:rPr>
        <w:t> </w:t>
      </w:r>
      <w:r w:rsidRPr="00CC65D9">
        <w:rPr>
          <w:rFonts w:cstheme="minorHAnsi"/>
          <w:sz w:val="24"/>
          <w:szCs w:val="24"/>
          <w:lang w:eastAsia="zh-CN"/>
        </w:rPr>
        <w:t>funkcjonowaniem przedsięwzięcia.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lastRenderedPageBreak/>
        <w:t>Etap eksploatacji planowanego przedsięwzięcia nie będzie związany z emisją zanieczyszczeń do powietrza z energetycznego spalania paliw – pomieszczenia ogrzewane będą za pomocą urządzeń elektrycznych w postaci 2 klimatyzatorów. Urządzenia klimatyzacyjne wyposażone będę w czynniki chłodzące niezubażające warstwy ozonowej, działające w obiegu zamkniętym. Jedynym źródłem emisji substancji do powietrza będzie agregat prądotwórczy o mocy znamionowej 40 kVA (30 kW), napędzany olejem napędowym, który będzie włączany w czasie awarii zasilania lub włączeń testowych podczas przeglądów technicznych (konserwacja agregatu będzie prowadzona raz w miesiącu przez maksymalnie 1 godzinę). Źródłem emisji niezorganizowanej zanieczyszczeń do powietrza będzie ruch pojazdów po terenie inwestycji  - szacuje się, że na teren obiektu wjedzie jeden pojazd osobowy na dwa miesiące. Emisja związana z transportem będzie więc marginalna, bez wpływu na jakość powietrza.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raporcie przeprowadzono obliczenia wielkości emisji zanieczyszczeń do powietrza z pracy agregatu prądotwórczego oraz analizę ich wpływu na stan czystości powietrza atmosferycznego. Obliczenia prognostyczne nie wykazały możliwości występowania przekroczeń dopuszczalnych standardów jakości powietrza w wyniku eksploatacji przedsięwzięcia.</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związku z tym, iż inwestycja zlokalizowana jest na terenach użytkowanych rolniczo, oddalonych od zabudowy mieszkalnej, klimat akustyczny na opisywanym terenie kształtowany jest przede wszystkim przez pracujące na polach maszyny rolnicze. Nie ma zatem ryzyka kumulowania się oddziaływań w zakresie emisji hałasu. Nie przewiduje się również możliwości kumulowania oddziaływań w zakresie innych komponentów środowiska. Obszar oddziaływania ogranicza się do terenu nieruchomości, natomiast wiązka promieniowania oddziałuje na otoczenie w promieniu około 60 m na wysokości 35 m n.p.t., gdzie nie występuje inne oddziaływanie w tym zakresie. Efekt kumulacji oddziaływań w zakresie emisji zanieczyszczeń do powietrza uwzględnia przyjęte do obliczeń tło zanieczyszczeń powietrza oraz wyniki tych obliczeń, które nie wykazały możliwości występowania przekroczeń dopuszczalnych stężeń zanieczyszczeń w powietrzu w związku z realizacją inwestycji.</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Planowana inwestycja nie wpłynie negatywnie na zmiany klimatu. Jej eksploatacja nie jest związana z emisją gazów cieplarnianych – niewielkie emisje zanieczyszczeń komunikacyjnych oraz okresowa, niewielka emisja z pracy agregatu prądotwórczego będą miały charakter ściśle lokalny i przemijający. Przewiduje się, że budowa nowego radaru meteorologicznego zwiększy precyzję w monitorowaniu stanu atmosfery pod kątem zjawisk meteorologicznych. Radar zostanie włączony do polskiej sieci radarów meteorologicznych POLRAD, a tym samym będzie zapewniać monitorowanie w czasie rzeczywistym oraz skuteczne ostrzeganie przed groźnymi </w:t>
      </w:r>
      <w:r w:rsidRPr="00CC65D9">
        <w:rPr>
          <w:rFonts w:cstheme="minorHAnsi"/>
          <w:sz w:val="24"/>
          <w:szCs w:val="24"/>
          <w:lang w:eastAsia="zh-CN"/>
        </w:rPr>
        <w:lastRenderedPageBreak/>
        <w:t>zjawiskami meteorologicznymi (między innymi: silny wiatr, burza, trąba powietrzna, intensywny opad atmosferyczny, grad). W rezultacie poprawi się jakość osłony meteorologicznej i</w:t>
      </w:r>
      <w:r w:rsidR="007329D8">
        <w:rPr>
          <w:rFonts w:cstheme="minorHAnsi"/>
          <w:sz w:val="24"/>
          <w:szCs w:val="24"/>
          <w:lang w:eastAsia="zh-CN"/>
        </w:rPr>
        <w:t> </w:t>
      </w:r>
      <w:r w:rsidRPr="00CC65D9">
        <w:rPr>
          <w:rFonts w:cstheme="minorHAnsi"/>
          <w:sz w:val="24"/>
          <w:szCs w:val="24"/>
          <w:lang w:eastAsia="zh-CN"/>
        </w:rPr>
        <w:t>hydrologicznej oraz poziom i skuteczność ochrony przed szkodami wywołanymi przez powódź i</w:t>
      </w:r>
      <w:r w:rsidR="007329D8">
        <w:rPr>
          <w:rFonts w:cstheme="minorHAnsi"/>
          <w:sz w:val="24"/>
          <w:szCs w:val="24"/>
          <w:lang w:eastAsia="zh-CN"/>
        </w:rPr>
        <w:t> </w:t>
      </w:r>
      <w:r w:rsidRPr="00CC65D9">
        <w:rPr>
          <w:rFonts w:cstheme="minorHAnsi"/>
          <w:sz w:val="24"/>
          <w:szCs w:val="24"/>
          <w:lang w:eastAsia="zh-CN"/>
        </w:rPr>
        <w:t>inne groźne zjawiska meteorologiczne. Ponadto zastosowane rozwiązania technologiczne zapewnią odporność przedsięwzięcia na warunki klimatyczne, w tym warunki ekstremalne, takie jak silne i porywiste wiatry. Odpowiednie zabezpieczenia i kopuła uniemożliwią ich zniszczenie podczas opadów (w tym gradu i śniegu), instalacje odgromowe zapewnią bezpieczeństwo podczas burzy i wyładowań atmosferycznych, a odpowiednie izolacje zapewnią bezpieczeństwo podczas bardzo intensywnych opadów. Ryzyko podtopienia na obszarze stacji radarowej nie występuje. Zachowanie bezpiecznej odległości planowanego obiektu od stromych skarp i zboczy oraz zbiorników wodnych i rzek zminimalizuje ryzyko wystąpienia osuwisk.</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Ze względu na charakter planowanej inwestycji oraz przy uwzględnieniu skali przedsięwzięcia, używanych materiałów i substancji, stosowanych technologii i prawidłowej jego eksploatacji nie przewiduje się ryzyka wystąpienia poważnej awarii przemysłowej. Mogą wystąpić awarie techniczne, w czasie których najczęściej dochodzi do wyłączenia urządzeń. W takim przypadku anteny zostają wyłączone i przestają emitować promieniowanie elektromagnetyczne. Inwestycja zostanie poprzedzona wykonaniem stosownego rozpoznania budowy geologicznej przez uprawnionego geologa i zaprojektowana przez uprawnionego projektanta. Nie przewiduje się zatem ryzyka wystąpienia katastrofy budowlanej. Utrzymanie urządzeń w dobrym stanie technicznym i prowadzenie okresowych kontroli zgodnie z wymaganiami prawa w tym zakresie przyczyni się do ograniczenia możliwości wystąpienia sytuacji awaryjnej.</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Planowany obiekt będzie zaopatrywany w wodę z przyłącza wodociągowego. Praca radaru nie będzie źródłem powstawania znaczącej ilości ścieków, jedynie wytwarzane będą ścieki bytowe w</w:t>
      </w:r>
      <w:r w:rsidR="007329D8">
        <w:rPr>
          <w:rFonts w:cstheme="minorHAnsi"/>
          <w:sz w:val="24"/>
          <w:szCs w:val="24"/>
          <w:lang w:eastAsia="zh-CN"/>
        </w:rPr>
        <w:t> </w:t>
      </w:r>
      <w:r w:rsidRPr="00CC65D9">
        <w:rPr>
          <w:rFonts w:cstheme="minorHAnsi"/>
          <w:sz w:val="24"/>
          <w:szCs w:val="24"/>
          <w:lang w:eastAsia="zh-CN"/>
        </w:rPr>
        <w:t>wyniku czasowego przebywania tam pracowników serwisowych (6 razy w roku, dwie osoby). Projektowane jest wykonanie szczelnego zbiornika bezodpływowego na ścieki socjalno-bytowe o pojemności do 10 m3, który będzie opróżniany w zależności od potrzeb. Ścieki będą wywożone do najbliższej oczyszczalni ścieków przez uprawniony podmiot. Wody opadowe będą odprowadzane powierzchniowo do gruntu. Z uwagi na charakter przedsięwzięcia, małą ilość miejsc parkingowych oraz spodziewany nieznaczny ruch samochodów po posesji przewiduje się, że zawartości zawiesin i węglowodorów ropopochodnych nie przekroczą dopuszczalnych norm.</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Aby ograniczyć do minimum możliwość zanieczyszczenia gleby przez związki ropopochodne zastosowany zostanie dwupłaszczowy zbiornik na paliwo do agregatu (olej napędowy), z</w:t>
      </w:r>
      <w:r w:rsidR="007329D8">
        <w:rPr>
          <w:rFonts w:cstheme="minorHAnsi"/>
          <w:sz w:val="24"/>
          <w:szCs w:val="24"/>
          <w:lang w:eastAsia="zh-CN"/>
        </w:rPr>
        <w:t> </w:t>
      </w:r>
      <w:r w:rsidRPr="00CC65D9">
        <w:rPr>
          <w:rFonts w:cstheme="minorHAnsi"/>
          <w:sz w:val="24"/>
          <w:szCs w:val="24"/>
          <w:lang w:eastAsia="zh-CN"/>
        </w:rPr>
        <w:t xml:space="preserve">zabezpieczeniem antykorozyjnym powierzchni zewnętrznej. Zbiornik zostanie wyposażony </w:t>
      </w:r>
      <w:r w:rsidRPr="00CC65D9">
        <w:rPr>
          <w:rFonts w:cstheme="minorHAnsi"/>
          <w:sz w:val="24"/>
          <w:szCs w:val="24"/>
          <w:lang w:eastAsia="zh-CN"/>
        </w:rPr>
        <w:lastRenderedPageBreak/>
        <w:t>w</w:t>
      </w:r>
      <w:r w:rsidR="007329D8">
        <w:rPr>
          <w:rFonts w:cstheme="minorHAnsi"/>
          <w:sz w:val="24"/>
          <w:szCs w:val="24"/>
          <w:lang w:eastAsia="zh-CN"/>
        </w:rPr>
        <w:t> </w:t>
      </w:r>
      <w:r w:rsidRPr="00CC65D9">
        <w:rPr>
          <w:rFonts w:cstheme="minorHAnsi"/>
          <w:sz w:val="24"/>
          <w:szCs w:val="24"/>
          <w:lang w:eastAsia="zh-CN"/>
        </w:rPr>
        <w:t xml:space="preserve">system mechanicznych czujników przepełniania w czasie napełniania zbiornika oraz w system kontroli szczelności w przestrzeni </w:t>
      </w:r>
      <w:proofErr w:type="spellStart"/>
      <w:r w:rsidRPr="00CC65D9">
        <w:rPr>
          <w:rFonts w:cstheme="minorHAnsi"/>
          <w:sz w:val="24"/>
          <w:szCs w:val="24"/>
          <w:lang w:eastAsia="zh-CN"/>
        </w:rPr>
        <w:t>międzypłaszczowej</w:t>
      </w:r>
      <w:proofErr w:type="spellEnd"/>
      <w:r w:rsidRPr="00CC65D9">
        <w:rPr>
          <w:rFonts w:cstheme="minorHAnsi"/>
          <w:sz w:val="24"/>
          <w:szCs w:val="24"/>
          <w:lang w:eastAsia="zh-CN"/>
        </w:rPr>
        <w:t xml:space="preserve"> zbiornika. Ponadto agregat oraz zbiornik na paliwo będą osłonięte od wpływów atmosferycznych i posadowione na misie szczelnej, uniemożliwiającej potencjalne wycieki substancji do środowiska, zarówno na wypadek awarii czy dotankowywania. Obiekt zostanie wyposażony w sorbent, który w przypadku wycieku paliwa w</w:t>
      </w:r>
      <w:r w:rsidR="007329D8">
        <w:rPr>
          <w:rFonts w:cstheme="minorHAnsi"/>
          <w:sz w:val="24"/>
          <w:szCs w:val="24"/>
          <w:lang w:eastAsia="zh-CN"/>
        </w:rPr>
        <w:t> </w:t>
      </w:r>
      <w:r w:rsidRPr="00CC65D9">
        <w:rPr>
          <w:rFonts w:cstheme="minorHAnsi"/>
          <w:sz w:val="24"/>
          <w:szCs w:val="24"/>
          <w:lang w:eastAsia="zh-CN"/>
        </w:rPr>
        <w:t>czasie tankowania pozwoli na sprawne usuniecie rozlanego paliwa. Ponadto planowane jest wyposażenie stacji radarowej w gaśnice oraz czujniki przeciwpożarowe, a także w system monitoringu wizyjnego oraz system alarmowy przed nieuprawnionym dostępem.</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Przedmiotowe zamierzenie zgodnie z Rozporządzeniem Rady Ministrów z dnia 18 października 2016 r. w sprawie Planu gospodarowania wodami na obszarze dorzecza Pregoły (Dz. U. z 2016 r. poz. 1959) zlokalizowane jest (w większej części) w dorzeczu Pregoły w zlewni jednolitej części wód podziemnych (</w:t>
      </w:r>
      <w:proofErr w:type="spellStart"/>
      <w:r w:rsidRPr="00CC65D9">
        <w:rPr>
          <w:rFonts w:cstheme="minorHAnsi"/>
          <w:sz w:val="24"/>
          <w:szCs w:val="24"/>
          <w:lang w:eastAsia="zh-CN"/>
        </w:rPr>
        <w:t>JCWPd</w:t>
      </w:r>
      <w:proofErr w:type="spellEnd"/>
      <w:r w:rsidRPr="00CC65D9">
        <w:rPr>
          <w:rFonts w:cstheme="minorHAnsi"/>
          <w:sz w:val="24"/>
          <w:szCs w:val="24"/>
          <w:lang w:eastAsia="zh-CN"/>
        </w:rPr>
        <w:t>) o kodzie: PLGW700020. Przedmiotowe zamierzenie zgodnie z</w:t>
      </w:r>
      <w:r w:rsidR="007329D8">
        <w:rPr>
          <w:rFonts w:cstheme="minorHAnsi"/>
          <w:sz w:val="24"/>
          <w:szCs w:val="24"/>
          <w:lang w:eastAsia="zh-CN"/>
        </w:rPr>
        <w:t> </w:t>
      </w:r>
      <w:r w:rsidRPr="00CC65D9">
        <w:rPr>
          <w:rFonts w:cstheme="minorHAnsi"/>
          <w:sz w:val="24"/>
          <w:szCs w:val="24"/>
          <w:lang w:eastAsia="zh-CN"/>
        </w:rPr>
        <w:t>Rozporządzeniem Rady Ministrów z dnia 18 października 2016 r. w sprawie Planu gospodarowania wodami na obszarze dorzecza Wisły (Dz. U. z 2016 r. poz. 1911) zlokalizowane jest (w mniejszej części) w dorzeczu Wisły w zlewni jednolitej części wód podziemnych (</w:t>
      </w:r>
      <w:proofErr w:type="spellStart"/>
      <w:r w:rsidRPr="00CC65D9">
        <w:rPr>
          <w:rFonts w:cstheme="minorHAnsi"/>
          <w:sz w:val="24"/>
          <w:szCs w:val="24"/>
          <w:lang w:eastAsia="zh-CN"/>
        </w:rPr>
        <w:t>JCWPd</w:t>
      </w:r>
      <w:proofErr w:type="spellEnd"/>
      <w:r w:rsidRPr="00CC65D9">
        <w:rPr>
          <w:rFonts w:cstheme="minorHAnsi"/>
          <w:sz w:val="24"/>
          <w:szCs w:val="24"/>
          <w:lang w:eastAsia="zh-CN"/>
        </w:rPr>
        <w:t>) o kodzie: PLGW200031. Zgodnie z art. 59 ustawy Prawo wodne celem środowiskowym dla jednolitych części wód podziemnych jest: zapobieganie lub ograniczenie wprowadzania do nich zanieczyszczeń, zapobieganie pogorszeniu oraz poprawa ich stanu oraz ich ochrona i</w:t>
      </w:r>
      <w:r w:rsidR="007329D8">
        <w:rPr>
          <w:rFonts w:cstheme="minorHAnsi"/>
          <w:sz w:val="24"/>
          <w:szCs w:val="24"/>
          <w:lang w:eastAsia="zh-CN"/>
        </w:rPr>
        <w:t> </w:t>
      </w:r>
      <w:r w:rsidRPr="00CC65D9">
        <w:rPr>
          <w:rFonts w:cstheme="minorHAnsi"/>
          <w:sz w:val="24"/>
          <w:szCs w:val="24"/>
          <w:lang w:eastAsia="zh-CN"/>
        </w:rPr>
        <w:t>podejmowanie działań naprawczych, a także zapewnienie równowagi między poborem a</w:t>
      </w:r>
      <w:r w:rsidR="007329D8">
        <w:rPr>
          <w:rFonts w:cstheme="minorHAnsi"/>
          <w:sz w:val="24"/>
          <w:szCs w:val="24"/>
          <w:lang w:eastAsia="zh-CN"/>
        </w:rPr>
        <w:t> </w:t>
      </w:r>
      <w:r w:rsidRPr="00CC65D9">
        <w:rPr>
          <w:rFonts w:cstheme="minorHAnsi"/>
          <w:sz w:val="24"/>
          <w:szCs w:val="24"/>
          <w:lang w:eastAsia="zh-CN"/>
        </w:rPr>
        <w:t xml:space="preserve">zasilaniem tych wód, tak aby osiągnąć ich dobry stan. Według powyższych rozporządzeń dla ww. </w:t>
      </w:r>
      <w:proofErr w:type="spellStart"/>
      <w:r w:rsidRPr="00CC65D9">
        <w:rPr>
          <w:rFonts w:cstheme="minorHAnsi"/>
          <w:sz w:val="24"/>
          <w:szCs w:val="24"/>
          <w:lang w:eastAsia="zh-CN"/>
        </w:rPr>
        <w:t>JCWPd</w:t>
      </w:r>
      <w:proofErr w:type="spellEnd"/>
      <w:r w:rsidRPr="00CC65D9">
        <w:rPr>
          <w:rFonts w:cstheme="minorHAnsi"/>
          <w:sz w:val="24"/>
          <w:szCs w:val="24"/>
          <w:lang w:eastAsia="zh-CN"/>
        </w:rPr>
        <w:t xml:space="preserve"> stan ilościowy i stan chemiczny określono jako dobry, a ryzyko nieosiągnięcia celu środowiskowego jako niezagrożone. Ww. </w:t>
      </w:r>
      <w:proofErr w:type="spellStart"/>
      <w:r w:rsidRPr="00CC65D9">
        <w:rPr>
          <w:rFonts w:cstheme="minorHAnsi"/>
          <w:sz w:val="24"/>
          <w:szCs w:val="24"/>
          <w:lang w:eastAsia="zh-CN"/>
        </w:rPr>
        <w:t>JCWPd</w:t>
      </w:r>
      <w:proofErr w:type="spellEnd"/>
      <w:r w:rsidRPr="00CC65D9">
        <w:rPr>
          <w:rFonts w:cstheme="minorHAnsi"/>
          <w:sz w:val="24"/>
          <w:szCs w:val="24"/>
          <w:lang w:eastAsia="zh-CN"/>
        </w:rPr>
        <w:t xml:space="preserve"> zostały wyznaczone jako przeznaczone do poboru wody na potrzeby zaopatrzenia ludności w wodę przeznaczoną do spożycia przez ludzi.</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Ponadto planowane przedsięwzięcie w wariancie inwestorskim położone jest w zlewniach jednolitych części wód powierzchniowych (JCWP):</w:t>
      </w:r>
    </w:p>
    <w:p w:rsidR="007329D8" w:rsidRDefault="00CC65D9" w:rsidP="00CC65D9">
      <w:pPr>
        <w:pStyle w:val="Akapitzlist"/>
        <w:numPr>
          <w:ilvl w:val="0"/>
          <w:numId w:val="24"/>
        </w:numPr>
        <w:spacing w:after="0" w:line="360" w:lineRule="auto"/>
        <w:rPr>
          <w:rFonts w:cstheme="minorHAnsi"/>
          <w:sz w:val="24"/>
          <w:szCs w:val="24"/>
          <w:lang w:eastAsia="zh-CN"/>
        </w:rPr>
      </w:pPr>
      <w:r w:rsidRPr="007329D8">
        <w:rPr>
          <w:rFonts w:cstheme="minorHAnsi"/>
          <w:sz w:val="24"/>
          <w:szCs w:val="24"/>
          <w:lang w:eastAsia="zh-CN"/>
        </w:rPr>
        <w:t xml:space="preserve">Dejna do wypływu z jeziora </w:t>
      </w:r>
      <w:proofErr w:type="spellStart"/>
      <w:r w:rsidRPr="007329D8">
        <w:rPr>
          <w:rFonts w:cstheme="minorHAnsi"/>
          <w:sz w:val="24"/>
          <w:szCs w:val="24"/>
          <w:lang w:eastAsia="zh-CN"/>
        </w:rPr>
        <w:t>Dejnowa</w:t>
      </w:r>
      <w:proofErr w:type="spellEnd"/>
      <w:r w:rsidRPr="007329D8">
        <w:rPr>
          <w:rFonts w:cstheme="minorHAnsi"/>
          <w:sz w:val="24"/>
          <w:szCs w:val="24"/>
          <w:lang w:eastAsia="zh-CN"/>
        </w:rPr>
        <w:t xml:space="preserve"> o kodzie PLRW70002558482953 jest monitorowaną, naturalną częścią wód, stan wód oceniono jako dobry, a z oceny stanu wynika, iż jest niezagrożona ryzykiem nieosiągnięcia celu środowiskowego,</w:t>
      </w:r>
    </w:p>
    <w:p w:rsidR="00CC65D9" w:rsidRPr="007329D8" w:rsidRDefault="00CC65D9" w:rsidP="00CC65D9">
      <w:pPr>
        <w:pStyle w:val="Akapitzlist"/>
        <w:numPr>
          <w:ilvl w:val="0"/>
          <w:numId w:val="24"/>
        </w:numPr>
        <w:spacing w:after="0" w:line="360" w:lineRule="auto"/>
        <w:rPr>
          <w:rFonts w:cstheme="minorHAnsi"/>
          <w:sz w:val="24"/>
          <w:szCs w:val="24"/>
          <w:lang w:eastAsia="zh-CN"/>
        </w:rPr>
      </w:pPr>
      <w:r w:rsidRPr="007329D8">
        <w:rPr>
          <w:rFonts w:cstheme="minorHAnsi"/>
          <w:sz w:val="24"/>
          <w:szCs w:val="24"/>
          <w:lang w:eastAsia="zh-CN"/>
        </w:rPr>
        <w:t>LW30174 Jezioro Kuc jest monitorowaną, naturalną częścią wód, stan wód oceniono jako dobry, a z oceny stanu wynika, iż jest niezagrożona ryzykiem nieosiągnięcia celu środowiskowego.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Zgodnie z art. 56 ustawy Prawo wodne celem środowiskowym dla jednolitych części wód powierzchniowych niewyznaczonych jako sztuczne lub silnie zmienione jest ochrona oraz </w:t>
      </w:r>
      <w:r w:rsidRPr="00CC65D9">
        <w:rPr>
          <w:rFonts w:cstheme="minorHAnsi"/>
          <w:sz w:val="24"/>
          <w:szCs w:val="24"/>
          <w:lang w:eastAsia="zh-CN"/>
        </w:rPr>
        <w:lastRenderedPageBreak/>
        <w:t>poprawa ich stanu ekologicznego i stanu chemicznego, tak aby osiągnąć co najmniej dobry stan ekologiczny i dobry stan chemiczny wód powierzchniowych, a także zapobieganie pogorszeniu ich stanu ekologicznego i stanu chemicznego.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Planowane przedsięwzięcie położone jest poza obszarami szczególnego zagrożenia powodzią w</w:t>
      </w:r>
      <w:r w:rsidR="0092311E">
        <w:rPr>
          <w:rFonts w:cstheme="minorHAnsi"/>
          <w:sz w:val="24"/>
          <w:szCs w:val="24"/>
          <w:lang w:eastAsia="zh-CN"/>
        </w:rPr>
        <w:t> </w:t>
      </w:r>
      <w:r w:rsidRPr="00CC65D9">
        <w:rPr>
          <w:rFonts w:cstheme="minorHAnsi"/>
          <w:sz w:val="24"/>
          <w:szCs w:val="24"/>
          <w:lang w:eastAsia="zh-CN"/>
        </w:rPr>
        <w:t>rozumieniu art. 16 pkt 34 ustawy Prawo wodne, poza obszarami chronionymi wymienionymi w art. 16 pkt 32 lit. b, e ustawy Prawo wodne. Na terenie przedsięwzięcia oraz w jego najbliższym sąsiedztwie nie stwierdzono występowania obszarów wodno-błotnych, stref ochronnych ujęć wód i obszarów ochronnych zbiorników wód śródlądowych.</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Biorąc pod uwagę powyższe, po przeanalizowaniu wniosku pod kątem wymogów dotyczących ochrony środowiska gruntowo-wodnego oraz przy realizacji określonych w sentencji rozwiązań chroniących środowisko, dotyczących m.in. prawidłowej organizacji placu budowy, odprowadzania ścieków bytowych, a także dbałości o stan techniczny maszyn i urządzeń budowlanych, planowane przedsięwzięcie nie powinno stwarzać zagrożenia dla realizacji celów środowiskowych, o których mowa w art. 56, art. 57, art. 59 i art. 61 ustawy z dnia 20 lipca 2017 r. Prawo wodne.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trakcie eksploatacji przedsięwzięcia będą powstawać odpady w trakcie przeglądów i napraw urządzeń instalacji. Będą to odpady z grupy 13 (mineralne oleje silnikowe, przekładniowe i</w:t>
      </w:r>
      <w:r w:rsidR="0092311E">
        <w:rPr>
          <w:rFonts w:cstheme="minorHAnsi"/>
          <w:sz w:val="24"/>
          <w:szCs w:val="24"/>
          <w:lang w:eastAsia="zh-CN"/>
        </w:rPr>
        <w:t> </w:t>
      </w:r>
      <w:r w:rsidRPr="00CC65D9">
        <w:rPr>
          <w:rFonts w:cstheme="minorHAnsi"/>
          <w:sz w:val="24"/>
          <w:szCs w:val="24"/>
          <w:lang w:eastAsia="zh-CN"/>
        </w:rPr>
        <w:t xml:space="preserve">smarowe niezawierające związków </w:t>
      </w:r>
      <w:proofErr w:type="spellStart"/>
      <w:r w:rsidRPr="00CC65D9">
        <w:rPr>
          <w:rFonts w:cstheme="minorHAnsi"/>
          <w:sz w:val="24"/>
          <w:szCs w:val="24"/>
          <w:lang w:eastAsia="zh-CN"/>
        </w:rPr>
        <w:t>chlorowcoorganicznych</w:t>
      </w:r>
      <w:proofErr w:type="spellEnd"/>
      <w:r w:rsidRPr="00CC65D9">
        <w:rPr>
          <w:rFonts w:cstheme="minorHAnsi"/>
          <w:sz w:val="24"/>
          <w:szCs w:val="24"/>
          <w:lang w:eastAsia="zh-CN"/>
        </w:rPr>
        <w:t>), grupy 15 (odpady opakowaniowe; sorbenty, tkaniny do wycierania, materiały filtracyjne i ubrania ochronne nieujęte w innych grupach) oraz grupy 16 (odpady urządzeń elektrycznych i elektronicznych oraz baterie i</w:t>
      </w:r>
      <w:r w:rsidR="0092311E">
        <w:rPr>
          <w:rFonts w:cstheme="minorHAnsi"/>
          <w:sz w:val="24"/>
          <w:szCs w:val="24"/>
          <w:lang w:eastAsia="zh-CN"/>
        </w:rPr>
        <w:t> </w:t>
      </w:r>
      <w:r w:rsidRPr="00CC65D9">
        <w:rPr>
          <w:rFonts w:cstheme="minorHAnsi"/>
          <w:sz w:val="24"/>
          <w:szCs w:val="24"/>
          <w:lang w:eastAsia="zh-CN"/>
        </w:rPr>
        <w:t>akumulatory), zgodnie z rozporządzeniem Ministra Klimatu z dnia 2 stycznia 2020 r. w sprawie katalogu odpadów (Dz. U. z 2020 r. poz. 10). Będą one zbierane selektywnie przez firmę wykonującą przeglądy i naprawy, bez magazynowania na terenie stacji, a następnie będą przekazywane uprawnionym podmiotom. Radar jest instalacją bezobsługową dlatego nie przewiduje się powstawania odpadów komunalnych wytwarzanych przez pracowników.</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Planowane przedsięwzięcie zostanie zrealizowane w granicach obszaru Natura 2000 Mazurska Ostoja Żółwia Baranowo PLH280055. Dla ww. obszaru ustanowiony został plan zadań ochronnych zarządzeniem Regionalnego Dyrektora Ochrony Środowiska w Olsztynie z dnia 20 marca 2015 r. w sprawie ustanowienia planu zadań ochronnych dla obszaru Natura 2000 Mazurska Ostoja Żółwia Baranowo PLH280055 (Dz. Urz. Woj. </w:t>
      </w:r>
      <w:proofErr w:type="spellStart"/>
      <w:r w:rsidRPr="00CC65D9">
        <w:rPr>
          <w:rFonts w:cstheme="minorHAnsi"/>
          <w:sz w:val="24"/>
          <w:szCs w:val="24"/>
          <w:lang w:eastAsia="zh-CN"/>
        </w:rPr>
        <w:t>Warm</w:t>
      </w:r>
      <w:proofErr w:type="spellEnd"/>
      <w:r w:rsidRPr="00CC65D9">
        <w:rPr>
          <w:rFonts w:cstheme="minorHAnsi"/>
          <w:sz w:val="24"/>
          <w:szCs w:val="24"/>
          <w:lang w:eastAsia="zh-CN"/>
        </w:rPr>
        <w:t>.-</w:t>
      </w:r>
      <w:proofErr w:type="spellStart"/>
      <w:r w:rsidRPr="00CC65D9">
        <w:rPr>
          <w:rFonts w:cstheme="minorHAnsi"/>
          <w:sz w:val="24"/>
          <w:szCs w:val="24"/>
          <w:lang w:eastAsia="zh-CN"/>
        </w:rPr>
        <w:t>Maz</w:t>
      </w:r>
      <w:proofErr w:type="spellEnd"/>
      <w:r w:rsidRPr="00CC65D9">
        <w:rPr>
          <w:rFonts w:cstheme="minorHAnsi"/>
          <w:sz w:val="24"/>
          <w:szCs w:val="24"/>
          <w:lang w:eastAsia="zh-CN"/>
        </w:rPr>
        <w:t xml:space="preserve">. z 2015 r. poz. 1038). Ponadto działka nr 330/3 zlokalizowana jest na Obszarze Chronionego Krajobrazu Jezior </w:t>
      </w:r>
      <w:proofErr w:type="spellStart"/>
      <w:r w:rsidRPr="00CC65D9">
        <w:rPr>
          <w:rFonts w:cstheme="minorHAnsi"/>
          <w:sz w:val="24"/>
          <w:szCs w:val="24"/>
          <w:lang w:eastAsia="zh-CN"/>
        </w:rPr>
        <w:t>Legińsko</w:t>
      </w:r>
      <w:proofErr w:type="spellEnd"/>
      <w:r w:rsidRPr="00CC65D9">
        <w:rPr>
          <w:rFonts w:cstheme="minorHAnsi"/>
          <w:sz w:val="24"/>
          <w:szCs w:val="24"/>
          <w:lang w:eastAsia="zh-CN"/>
        </w:rPr>
        <w:t xml:space="preserve"> - Mrągowskich, wobec którego obowiązującym aktem prawnym jest uchwała nr XXXIII/727/17 Sejmiku Województwa Warmińsko-Mazurskiego z dnia 28 grudnia 2017 r. </w:t>
      </w:r>
      <w:r w:rsidRPr="00CC65D9">
        <w:rPr>
          <w:rFonts w:cstheme="minorHAnsi"/>
          <w:sz w:val="24"/>
          <w:szCs w:val="24"/>
          <w:lang w:eastAsia="zh-CN"/>
        </w:rPr>
        <w:lastRenderedPageBreak/>
        <w:t>w</w:t>
      </w:r>
      <w:r w:rsidR="0092311E">
        <w:rPr>
          <w:rFonts w:cstheme="minorHAnsi"/>
          <w:sz w:val="24"/>
          <w:szCs w:val="24"/>
          <w:lang w:eastAsia="zh-CN"/>
        </w:rPr>
        <w:t> </w:t>
      </w:r>
      <w:r w:rsidRPr="00CC65D9">
        <w:rPr>
          <w:rFonts w:cstheme="minorHAnsi"/>
          <w:sz w:val="24"/>
          <w:szCs w:val="24"/>
          <w:lang w:eastAsia="zh-CN"/>
        </w:rPr>
        <w:t xml:space="preserve">sprawie Obszaru Chronionego Krajobrazu Jezior </w:t>
      </w:r>
      <w:proofErr w:type="spellStart"/>
      <w:r w:rsidRPr="00CC65D9">
        <w:rPr>
          <w:rFonts w:cstheme="minorHAnsi"/>
          <w:sz w:val="24"/>
          <w:szCs w:val="24"/>
          <w:lang w:eastAsia="zh-CN"/>
        </w:rPr>
        <w:t>Legińsko</w:t>
      </w:r>
      <w:proofErr w:type="spellEnd"/>
      <w:r w:rsidRPr="00CC65D9">
        <w:rPr>
          <w:rFonts w:cstheme="minorHAnsi"/>
          <w:sz w:val="24"/>
          <w:szCs w:val="24"/>
          <w:lang w:eastAsia="zh-CN"/>
        </w:rPr>
        <w:t xml:space="preserve"> – Mrągowskich (Dz. Urz. Woj. </w:t>
      </w:r>
      <w:proofErr w:type="spellStart"/>
      <w:r w:rsidRPr="00CC65D9">
        <w:rPr>
          <w:rFonts w:cstheme="minorHAnsi"/>
          <w:sz w:val="24"/>
          <w:szCs w:val="24"/>
          <w:lang w:eastAsia="zh-CN"/>
        </w:rPr>
        <w:t>Warm</w:t>
      </w:r>
      <w:proofErr w:type="spellEnd"/>
      <w:r w:rsidRPr="00CC65D9">
        <w:rPr>
          <w:rFonts w:cstheme="minorHAnsi"/>
          <w:sz w:val="24"/>
          <w:szCs w:val="24"/>
          <w:lang w:eastAsia="zh-CN"/>
        </w:rPr>
        <w:t>.-</w:t>
      </w:r>
      <w:proofErr w:type="spellStart"/>
      <w:r w:rsidRPr="00CC65D9">
        <w:rPr>
          <w:rFonts w:cstheme="minorHAnsi"/>
          <w:sz w:val="24"/>
          <w:szCs w:val="24"/>
          <w:lang w:eastAsia="zh-CN"/>
        </w:rPr>
        <w:t>Maz</w:t>
      </w:r>
      <w:proofErr w:type="spellEnd"/>
      <w:r w:rsidRPr="00CC65D9">
        <w:rPr>
          <w:rFonts w:cstheme="minorHAnsi"/>
          <w:sz w:val="24"/>
          <w:szCs w:val="24"/>
          <w:lang w:eastAsia="zh-CN"/>
        </w:rPr>
        <w:t xml:space="preserve">. z 2018 r. poz. 415). Jak wskazuje § 5 ust. 1 pkt 2 ww. uchwały na terenie obszaru chronionego krajobrazu wprowadza się zakaz realizacji przedsięwzięć mogących znacząco oddziaływać na środowisko w rozumieniu przepisów ustawy </w:t>
      </w:r>
      <w:proofErr w:type="spellStart"/>
      <w:r w:rsidRPr="00CC65D9">
        <w:rPr>
          <w:rFonts w:cstheme="minorHAnsi"/>
          <w:sz w:val="24"/>
          <w:szCs w:val="24"/>
          <w:lang w:eastAsia="zh-CN"/>
        </w:rPr>
        <w:t>ooś</w:t>
      </w:r>
      <w:proofErr w:type="spellEnd"/>
      <w:r w:rsidRPr="00CC65D9">
        <w:rPr>
          <w:rFonts w:cstheme="minorHAnsi"/>
          <w:sz w:val="24"/>
          <w:szCs w:val="24"/>
          <w:lang w:eastAsia="zh-CN"/>
        </w:rPr>
        <w:t>, do których zalicza się planowana inwestycja. Jednak zgodnie z § 5 ust. 3 pkt 1 cytowanej uchwały zakaz, ten nie dotyczy realizacji przedsięwzięć mogących znacząco oddziaływać na środowisko, dla których przeprowadzona ocena oddziaływania na środowisko wykazała brak negatywnego wpływu na ochronę przyrody i ochronę krajobrazu obszaru chronionego krajobrazu. Teren planowanego przedsięwzięcia położony jest poza obszarami korytarzy ekologicznych.</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Zgodnie z planem zadań ochronnych dla ww. obszaru Natura 2000, na działce 330/3 nie ustanowiono działań ochronnych, nie stwierdzono również siedlisk przyrodniczych występujących w obszarze, nie zlokalizowano obszarów kluczowych dla ochrony lęgowisk żółwia błotnego w obszarze. Zgodnie z raportem, rejon inwestycji znajduje się 1,5 km od najbliższego stałego i dobrze udokumentowanego miejsca występowania żółwia błotnego. W odległości 500 m i ok. 800 m od planowanej inwestycji znajdują się rozlewiska, które mogą być miejscem występowania żółwi błotnych. Rozlewiska te są w niewielkiej odległości od innych bardzo korzystnych siedlisk dla żółwia błotnego, które tworzą naturalny korytarz łączący się z miejscem stałego występowania żółwia błotnego – użytkiem ekologicznym Zawady. W związku z tym jest bardzo prawdopodobne, że rozlewiska te mogą być wykorzystywane przez żółwie błotne. Inwestycja ta podczas budowy będzie miała bardzo ograniczony wpływ na środowisko ważne dla żółwi błotnych (teren będzie zabudowany na powierzchni około 0,03 ha) w związku z tym inwestycja w trakcie realizacji nie będzie mieć wpływu na miejscową populację żółwi błotnych. Możliwy wpływ dotyczy transportu sprzętu i materiałów do budowy stacji radarowej.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Położenie działki, jak i opisana w raporcie charakterystyka gruntu oraz sposób jego zagospodarowania świadczą o tym, że nie jest to siedlisko dogodne do występowania gatunków, które zostały uznane za przedmioty ochrony obszaru Natura 2000 Mazurska Ostoja Żółwia Baranowo PLH280055. </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Na terenie pod projektowane przedsięwzięcie nie ma roślinności drzewiastej i krzewiastej, mogących stanowić siedliska ptaków. Opisywana powierzchnia może być jednak czasowym i</w:t>
      </w:r>
      <w:r w:rsidR="0092311E">
        <w:rPr>
          <w:rFonts w:cstheme="minorHAnsi"/>
          <w:sz w:val="24"/>
          <w:szCs w:val="24"/>
          <w:lang w:eastAsia="zh-CN"/>
        </w:rPr>
        <w:t> </w:t>
      </w:r>
      <w:r w:rsidRPr="00CC65D9">
        <w:rPr>
          <w:rFonts w:cstheme="minorHAnsi"/>
          <w:sz w:val="24"/>
          <w:szCs w:val="24"/>
          <w:lang w:eastAsia="zh-CN"/>
        </w:rPr>
        <w:t>przypadkowym miejscem odpoczynku/żerowania ptaków. Nie można jednak wykluczyć możliwości występowania ptaków mogących prowadzić na przedmiotowej powierzchni lęg. W</w:t>
      </w:r>
      <w:r w:rsidR="0092311E">
        <w:rPr>
          <w:rFonts w:cstheme="minorHAnsi"/>
          <w:sz w:val="24"/>
          <w:szCs w:val="24"/>
          <w:lang w:eastAsia="zh-CN"/>
        </w:rPr>
        <w:t> </w:t>
      </w:r>
      <w:r w:rsidRPr="00CC65D9">
        <w:rPr>
          <w:rFonts w:cstheme="minorHAnsi"/>
          <w:sz w:val="24"/>
          <w:szCs w:val="24"/>
          <w:lang w:eastAsia="zh-CN"/>
        </w:rPr>
        <w:t xml:space="preserve">związku z tym, w celu całkowitego wyeliminowania możliwości negatywnego oddziaływania </w:t>
      </w:r>
      <w:r w:rsidRPr="00CC65D9">
        <w:rPr>
          <w:rFonts w:cstheme="minorHAnsi"/>
          <w:sz w:val="24"/>
          <w:szCs w:val="24"/>
          <w:lang w:eastAsia="zh-CN"/>
        </w:rPr>
        <w:lastRenderedPageBreak/>
        <w:t>inwestycji na ptaki, prace powinny zostać rozpoczęte poza sezonem lęgowym trwającym od marca do sierpnia.</w:t>
      </w:r>
      <w:r w:rsidRPr="00CC65D9">
        <w:rPr>
          <w:rFonts w:cstheme="minorHAnsi"/>
          <w:sz w:val="24"/>
          <w:szCs w:val="24"/>
          <w:lang w:eastAsia="zh-CN"/>
        </w:rPr>
        <w:tab/>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Biorąc pod uwagę charakter inwestycji, rodzaj siedlisk podlegających zajęciu, sposób użytkowania gruntów w sąsiedztwie inwestycji (dostępność dogodnych siedlisk żerowania), po uwzględnieniu działań minimalizujących wskazanych w sentencji niniejszej decyzji należy stwierdzić, że realizacja inwestycji nie wpłynie znacząco negatywnie na lokalną i krajową ornitofaunę.</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Ze względu na swoją wysokość (38,35 m) radar będzie dobrze widoczny z pewnej odległości (kilkadziesiąt - kilkaset metrów). Lokalizacja radaru na wysokim wzniesieniu spowoduje, że obiekt może być widziany również z dalszej okolicy (kilka - kilkanaście kilometrów). W celu zminimalizowania wpływu obiektu na krajobraz Inwestor przewiduje odpowiednie pomalowanie wieży radaru w taki sposób by wkomponować ją w krajobraz, a jednocześnie ograniczyć potencjalne zagrożenie zderzania ptaków z tak wysokim obiektem. Przewiduje się, że realizacja przedsięwzięcia pomimo, że wpłynie na krajobraz, to będzie stanowić integralną jego część i</w:t>
      </w:r>
      <w:r w:rsidR="0092311E">
        <w:rPr>
          <w:rFonts w:cstheme="minorHAnsi"/>
          <w:sz w:val="24"/>
          <w:szCs w:val="24"/>
          <w:lang w:eastAsia="zh-CN"/>
        </w:rPr>
        <w:t> </w:t>
      </w:r>
      <w:r w:rsidRPr="00CC65D9">
        <w:rPr>
          <w:rFonts w:cstheme="minorHAnsi"/>
          <w:sz w:val="24"/>
          <w:szCs w:val="24"/>
          <w:lang w:eastAsia="zh-CN"/>
        </w:rPr>
        <w:t>oprócz funkcji meteorologicznej, a tym samym ostrzegawczej, wkomponuje się w krajobraz tego rejonu.</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Z uwagi na skalę, charakter i lokalizację planowanego przedsięwzięcia (140 km od wschodniej granicy, 52 km od północnej, 471 km od zachodniej, 492 km południowej) oraz potencjalne oddziaływania, jakie mogą wystąpić na etapie budowy i eksploatacji, nie przewiduje się możliwości wystąpienia oddziaływań o charakterze transgranicznym.</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Teren przedsięwzięcia nie jest wykorzystywany ani przewidywany pod wykorzystanie jako złoże kopalin.</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Na terenie lokalizacji przedsięwzięcia i w jego bezpośrednim otoczeniu nie występują obiekty wpisane do rejestru zabytków nieruchomych. Planowana Inwestycja nie będzie się znajdować w obrębie strefy ochrony konserwatorskiej, w bezpośrednim otoczeniu nie znajdują się obszary lub obiekty przedstawiające znaczne wartości kulturowe. Ze względu na oddalenie Inwestycji od najbliższych dóbr kultury i architektury planowane zamierzenie inwestycyjne w okresie eksploatacji nie będzie wywierać negatywnego wpływu na ten element otoczenia. Inwestycja może wpływać na ten element otoczenia jedynie poprzez wzmożony ruch pojazdów mechanicznych podczas etapu budowy, jednak będzie to oddziaływanie krótkotrwałe, pomijalne.</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lastRenderedPageBreak/>
        <w:t>Niewielki zakres prac w trakcie realizacji przedsięwzięcia, zawierających się w granicach terenu, do którego Inwestor będzie miał tytuł prawny zapewni, że realizacja przedsięwzięcia nie będzie miała niekorzystnego wpływu na dobra materialne osób trzecich.</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Przedsięwzięcie stanowi inwestycję długoterminową, służącą społeczeństwu, dlatego na obecnym etapie nie planuje się jego likwidacji. W razie konieczności likwidacji inwestycji oddziaływanie tej fazy na środowisko będzie analogicznie do fazy budowy. Uciążliwości będą krótkookresowe, o niewielkim zasięgu i ustąpią po zakończeniu prac likwidacyjnych. Teren przedsięwzięcia zostanie przywrócony do stanu obecnego, tj. przeznaczony do użytkowania rolniczego.</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 xml:space="preserve">Z uwagi na fakt, że posiadane informacje na temat przedsięwzięcia pozwalają wystarczająco ocenić jego wpływ na środowisko, realizacja inwestycji nie spowoduje negatywnych skutków dla obszarów Natura 2000 i innych form ochrony przyrody oraz nie istnieje ryzyko kumulowania się oddziaływań, Regionalny Dyrektor Ochrony Środowiska w Olsztynie stwierdził, że realizacja przedmiotowego przedsięwzięcia nie wymaga ponownego przeprowadzenia oceny oddziaływania na środowisko. Niemniej jednak, zgodnie z art. 88 ust. 1 ustawy </w:t>
      </w:r>
      <w:proofErr w:type="spellStart"/>
      <w:r w:rsidRPr="00CC65D9">
        <w:rPr>
          <w:rFonts w:cstheme="minorHAnsi"/>
          <w:sz w:val="24"/>
          <w:szCs w:val="24"/>
          <w:lang w:eastAsia="zh-CN"/>
        </w:rPr>
        <w:t>ooś</w:t>
      </w:r>
      <w:proofErr w:type="spellEnd"/>
      <w:r w:rsidRPr="00CC65D9">
        <w:rPr>
          <w:rFonts w:cstheme="minorHAnsi"/>
          <w:sz w:val="24"/>
          <w:szCs w:val="24"/>
          <w:lang w:eastAsia="zh-CN"/>
        </w:rPr>
        <w:t xml:space="preserve">, jeżeli organ administracji </w:t>
      </w:r>
      <w:proofErr w:type="spellStart"/>
      <w:r w:rsidRPr="00CC65D9">
        <w:rPr>
          <w:rFonts w:cstheme="minorHAnsi"/>
          <w:sz w:val="24"/>
          <w:szCs w:val="24"/>
          <w:lang w:eastAsia="zh-CN"/>
        </w:rPr>
        <w:t>architektoniczno</w:t>
      </w:r>
      <w:proofErr w:type="spellEnd"/>
      <w:r w:rsidRPr="00CC65D9">
        <w:rPr>
          <w:rFonts w:cstheme="minorHAnsi"/>
          <w:sz w:val="24"/>
          <w:szCs w:val="24"/>
          <w:lang w:eastAsia="zh-CN"/>
        </w:rPr>
        <w:t xml:space="preserve"> – budowlanej uzna, że we wniosku o wydanie pozwolenia na budowę zostały dokonane zmiany w stosunku do wymagań określonych w decyzji o środowiskowych uwarunkowaniach, może stwierdzić o konieczności przeprowadzenia oceny oddziaływania przedsięwzięcia na środowisko i nałożyć na inwestora obowiązek sporządzenia raportu, jednocześnie określając jego zakres.</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Z przeprowadzonej analizy oddziaływania planowanej inwestycji na środowisko w zakresie emisji pól elektromagnetycznych, zanieczyszczeń do powietrza, hałasu, gospodarki wodno-ściekowej i odpadami oraz oddziaływania na środowisko przyrodnicze wynika, że realizacja przedmiotowego przedsięwzięcia nie powinna negatywnie oddziaływać na środowisko, przy prawidłowo wykonanych urządzeniach ochronnych i należytym wypełnieniu warunków realizacji wymienionych w niniejszej decyzji.</w:t>
      </w:r>
    </w:p>
    <w:p w:rsidR="00CC65D9" w:rsidRPr="00CC65D9" w:rsidRDefault="00CC65D9" w:rsidP="00CC65D9">
      <w:pPr>
        <w:spacing w:after="0" w:line="360" w:lineRule="auto"/>
        <w:rPr>
          <w:rFonts w:cstheme="minorHAnsi"/>
          <w:sz w:val="24"/>
          <w:szCs w:val="24"/>
          <w:lang w:eastAsia="zh-CN"/>
        </w:rPr>
      </w:pPr>
      <w:r w:rsidRPr="00CC65D9">
        <w:rPr>
          <w:rFonts w:cstheme="minorHAnsi"/>
          <w:sz w:val="24"/>
          <w:szCs w:val="24"/>
          <w:lang w:eastAsia="zh-CN"/>
        </w:rPr>
        <w:t>W związku z powyższym, orzeczono jak w sentencji.</w:t>
      </w:r>
    </w:p>
    <w:p w:rsidR="00CC65D9" w:rsidRPr="0092311E" w:rsidRDefault="00CC65D9" w:rsidP="0092311E">
      <w:pPr>
        <w:spacing w:after="100" w:afterAutospacing="1" w:line="360" w:lineRule="auto"/>
        <w:rPr>
          <w:rFonts w:cstheme="minorHAnsi"/>
          <w:sz w:val="24"/>
          <w:szCs w:val="24"/>
          <w:lang w:eastAsia="zh-CN"/>
        </w:rPr>
      </w:pPr>
      <w:r w:rsidRPr="00CC65D9">
        <w:rPr>
          <w:rFonts w:cstheme="minorHAnsi"/>
          <w:sz w:val="24"/>
          <w:szCs w:val="24"/>
          <w:lang w:eastAsia="zh-CN"/>
        </w:rPr>
        <w:t>Od niniejszej decyzji służy stronom odwołanie do Generalnego Dyrektora Ochrony Środowiska za pośrednictwem Regionalnego Dyrektora Ochrony Środowiska w Olsztynie w terminie 14 dni od dnia dorę</w:t>
      </w:r>
      <w:r w:rsidR="0092311E">
        <w:rPr>
          <w:rFonts w:cstheme="minorHAnsi"/>
          <w:sz w:val="24"/>
          <w:szCs w:val="24"/>
          <w:lang w:eastAsia="zh-CN"/>
        </w:rPr>
        <w:t>czenia decyzji.</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Regionalny Dyrektor</w:t>
      </w:r>
    </w:p>
    <w:p w:rsidR="00BB7E65"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 xml:space="preserve">Ochrony Środowiska </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w Olsztynie</w:t>
      </w:r>
    </w:p>
    <w:p w:rsidR="00AA7C36" w:rsidRPr="00AA7C36" w:rsidRDefault="001B5B56" w:rsidP="008F64EA">
      <w:pPr>
        <w:widowControl w:val="0"/>
        <w:suppressAutoHyphens/>
        <w:spacing w:after="100" w:afterAutospacing="1" w:line="240" w:lineRule="auto"/>
        <w:jc w:val="both"/>
        <w:rPr>
          <w:rFonts w:eastAsia="Lucida Sans Unicode" w:cstheme="minorHAnsi"/>
          <w:kern w:val="1"/>
          <w:sz w:val="20"/>
          <w:szCs w:val="20"/>
        </w:rPr>
      </w:pPr>
      <w:r w:rsidRPr="007D755D">
        <w:rPr>
          <w:rFonts w:eastAsia="Lucida Sans Unicode" w:cstheme="minorHAnsi"/>
          <w:kern w:val="1"/>
          <w:sz w:val="20"/>
          <w:szCs w:val="20"/>
        </w:rPr>
        <w:t>Agata Moździerz</w:t>
      </w:r>
    </w:p>
    <w:p w:rsidR="00F338A7" w:rsidRPr="00F338A7" w:rsidRDefault="00F338A7" w:rsidP="00F338A7">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p>
    <w:p w:rsidR="00F338A7" w:rsidRPr="00F338A7" w:rsidRDefault="00F338A7" w:rsidP="00F338A7">
      <w:pPr>
        <w:widowControl w:val="0"/>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Otrzymują:</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 xml:space="preserve">Pan Marcin Walter, KLIMAS Przedsiębiorstwo Budowlano-Projektowe, ul. </w:t>
      </w:r>
      <w:proofErr w:type="spellStart"/>
      <w:r w:rsidRPr="00F338A7">
        <w:rPr>
          <w:rFonts w:eastAsia="Lucida Sans Unicode" w:cstheme="minorHAnsi"/>
          <w:color w:val="000000" w:themeColor="text1"/>
          <w:kern w:val="3"/>
          <w:lang w:eastAsia="zh-CN"/>
        </w:rPr>
        <w:t>Zdunowska</w:t>
      </w:r>
      <w:proofErr w:type="spellEnd"/>
      <w:r w:rsidRPr="00F338A7">
        <w:rPr>
          <w:rFonts w:eastAsia="Lucida Sans Unicode" w:cstheme="minorHAnsi"/>
          <w:color w:val="000000" w:themeColor="text1"/>
          <w:kern w:val="3"/>
          <w:lang w:eastAsia="zh-CN"/>
        </w:rPr>
        <w:t xml:space="preserve"> 116, 63-700 Krotoszyn</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 xml:space="preserve">Instytut Meteorologii i Gospodarki Wodnej - Państwowy Instytut Badawczy ul. Podleśna 61, 01-673 Warszawa </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Pan (</w:t>
      </w:r>
      <w:proofErr w:type="spellStart"/>
      <w:r w:rsidRPr="00F338A7">
        <w:rPr>
          <w:rFonts w:eastAsia="Lucida Sans Unicode" w:cstheme="minorHAnsi"/>
          <w:color w:val="000000" w:themeColor="text1"/>
          <w:kern w:val="3"/>
          <w:lang w:eastAsia="zh-CN"/>
        </w:rPr>
        <w:t>anonimizacja</w:t>
      </w:r>
      <w:proofErr w:type="spellEnd"/>
      <w:r w:rsidRPr="00F338A7">
        <w:rPr>
          <w:rFonts w:eastAsia="Lucida Sans Unicode" w:cstheme="minorHAnsi"/>
          <w:color w:val="000000" w:themeColor="text1"/>
          <w:kern w:val="3"/>
          <w:lang w:eastAsia="zh-CN"/>
        </w:rPr>
        <w:t>)</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Pani (</w:t>
      </w:r>
      <w:proofErr w:type="spellStart"/>
      <w:r w:rsidRPr="00F338A7">
        <w:rPr>
          <w:rFonts w:eastAsia="Lucida Sans Unicode" w:cstheme="minorHAnsi"/>
          <w:color w:val="000000" w:themeColor="text1"/>
          <w:kern w:val="3"/>
          <w:lang w:eastAsia="zh-CN"/>
        </w:rPr>
        <w:t>anonimizacja</w:t>
      </w:r>
      <w:proofErr w:type="spellEnd"/>
      <w:r w:rsidRPr="00F338A7">
        <w:rPr>
          <w:rFonts w:eastAsia="Lucida Sans Unicode" w:cstheme="minorHAnsi"/>
          <w:color w:val="000000" w:themeColor="text1"/>
          <w:kern w:val="3"/>
          <w:lang w:eastAsia="zh-CN"/>
        </w:rPr>
        <w:t>)</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Pani (</w:t>
      </w:r>
      <w:proofErr w:type="spellStart"/>
      <w:r w:rsidRPr="00F338A7">
        <w:rPr>
          <w:rFonts w:eastAsia="Lucida Sans Unicode" w:cstheme="minorHAnsi"/>
          <w:color w:val="000000" w:themeColor="text1"/>
          <w:kern w:val="3"/>
          <w:lang w:eastAsia="zh-CN"/>
        </w:rPr>
        <w:t>anonimizacja</w:t>
      </w:r>
      <w:proofErr w:type="spellEnd"/>
      <w:r w:rsidRPr="00F338A7">
        <w:rPr>
          <w:rFonts w:eastAsia="Lucida Sans Unicode" w:cstheme="minorHAnsi"/>
          <w:color w:val="000000" w:themeColor="text1"/>
          <w:kern w:val="3"/>
          <w:lang w:eastAsia="zh-CN"/>
        </w:rPr>
        <w:t>)</w:t>
      </w:r>
    </w:p>
    <w:p w:rsid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Gmina Mrągowo, ul. Królewiecka 60A, 11-700 Mrągowo</w:t>
      </w:r>
    </w:p>
    <w:p w:rsidR="00F338A7" w:rsidRPr="00F338A7" w:rsidRDefault="00F338A7" w:rsidP="00F338A7">
      <w:pPr>
        <w:pStyle w:val="Akapitzlist"/>
        <w:widowControl w:val="0"/>
        <w:numPr>
          <w:ilvl w:val="0"/>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aa</w:t>
      </w:r>
    </w:p>
    <w:p w:rsidR="00F338A7" w:rsidRPr="00F338A7" w:rsidRDefault="00F338A7" w:rsidP="00F338A7">
      <w:pPr>
        <w:widowControl w:val="0"/>
        <w:suppressAutoHyphens/>
        <w:autoSpaceDN w:val="0"/>
        <w:spacing w:after="0" w:line="360" w:lineRule="auto"/>
        <w:textAlignment w:val="baseline"/>
        <w:rPr>
          <w:rFonts w:eastAsia="Lucida Sans Unicode" w:cstheme="minorHAnsi"/>
          <w:color w:val="000000" w:themeColor="text1"/>
          <w:kern w:val="3"/>
          <w:lang w:eastAsia="zh-CN"/>
        </w:rPr>
      </w:pPr>
    </w:p>
    <w:p w:rsidR="00F338A7" w:rsidRPr="00F338A7" w:rsidRDefault="00F338A7" w:rsidP="00F338A7">
      <w:pPr>
        <w:widowControl w:val="0"/>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Do wiadomości:</w:t>
      </w:r>
    </w:p>
    <w:p w:rsidR="00F338A7" w:rsidRDefault="00F338A7" w:rsidP="00F338A7">
      <w:pPr>
        <w:pStyle w:val="Akapitzlist"/>
        <w:widowControl w:val="0"/>
        <w:numPr>
          <w:ilvl w:val="0"/>
          <w:numId w:val="26"/>
        </w:numPr>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Warmińsko-Mazurski Państwowy Wojewódzki Inspektor Sanitarny, ul. Żołnierska 16,10-561 Olsztyn</w:t>
      </w:r>
    </w:p>
    <w:p w:rsidR="00F338A7" w:rsidRPr="00F338A7" w:rsidRDefault="00F338A7" w:rsidP="00F338A7">
      <w:pPr>
        <w:pStyle w:val="Akapitzlist"/>
        <w:widowControl w:val="0"/>
        <w:numPr>
          <w:ilvl w:val="0"/>
          <w:numId w:val="26"/>
        </w:numPr>
        <w:suppressAutoHyphens/>
        <w:autoSpaceDN w:val="0"/>
        <w:spacing w:after="100" w:afterAutospacing="1" w:line="360" w:lineRule="auto"/>
        <w:ind w:left="714" w:hanging="357"/>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Państwowe Gospodarstwo Wodne Wody Polskie Regionalny Zarząd Gospodarki Wodnej w Białymstoku, ul. J. K. Branickiego 17A, 15-085 Białystok</w:t>
      </w:r>
    </w:p>
    <w:p w:rsidR="002E129B" w:rsidRPr="00F338A7" w:rsidRDefault="00F338A7" w:rsidP="00F338A7">
      <w:pPr>
        <w:widowControl w:val="0"/>
        <w:suppressAutoHyphens/>
        <w:autoSpaceDN w:val="0"/>
        <w:spacing w:after="0" w:line="360" w:lineRule="auto"/>
        <w:textAlignment w:val="baseline"/>
        <w:rPr>
          <w:rFonts w:eastAsia="Lucida Sans Unicode" w:cstheme="minorHAnsi"/>
          <w:color w:val="000000" w:themeColor="text1"/>
          <w:kern w:val="3"/>
          <w:lang w:eastAsia="zh-CN"/>
        </w:rPr>
      </w:pPr>
      <w:r w:rsidRPr="00F338A7">
        <w:rPr>
          <w:rFonts w:eastAsia="Lucida Sans Unicode" w:cstheme="minorHAnsi"/>
          <w:color w:val="000000" w:themeColor="text1"/>
          <w:kern w:val="3"/>
          <w:lang w:eastAsia="zh-CN"/>
        </w:rPr>
        <w:t xml:space="preserve">Na podstawie części I ust. 45 oraz części IV załącznika do ustawy z dnia 16 listopada 2006 r. o opłacie skarbowej (Dz. U. z 2021 r. poz. 1923 z </w:t>
      </w:r>
      <w:proofErr w:type="spellStart"/>
      <w:r w:rsidRPr="00F338A7">
        <w:rPr>
          <w:rFonts w:eastAsia="Lucida Sans Unicode" w:cstheme="minorHAnsi"/>
          <w:color w:val="000000" w:themeColor="text1"/>
          <w:kern w:val="3"/>
          <w:lang w:eastAsia="zh-CN"/>
        </w:rPr>
        <w:t>późn</w:t>
      </w:r>
      <w:proofErr w:type="spellEnd"/>
      <w:r w:rsidRPr="00F338A7">
        <w:rPr>
          <w:rFonts w:eastAsia="Lucida Sans Unicode" w:cstheme="minorHAnsi"/>
          <w:color w:val="000000" w:themeColor="text1"/>
          <w:kern w:val="3"/>
          <w:lang w:eastAsia="zh-CN"/>
        </w:rPr>
        <w:t>. zm.) wnioskodawca uiścił opłatę skarbową w wysokości 222,0 zł ( w tym 205 zł za wydanie decyzji o środowiskowych uwarunkowaniach oraz 17 zł za pełnomocnictwo).</w:t>
      </w:r>
      <w:bookmarkStart w:id="1" w:name="_GoBack"/>
      <w:bookmarkEnd w:id="1"/>
    </w:p>
    <w:sectPr w:rsidR="002E129B" w:rsidRPr="00F338A7" w:rsidSect="00544A2B">
      <w:footnotePr>
        <w:pos w:val="beneathText"/>
      </w:footnotePr>
      <w:pgSz w:w="11905" w:h="16837"/>
      <w:pgMar w:top="1191" w:right="1247" w:bottom="1191" w:left="124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Palatino Linotype">
    <w:panose1 w:val="02040502050505030304"/>
    <w:charset w:val="EE"/>
    <w:family w:val="roman"/>
    <w:pitch w:val="variable"/>
    <w:sig w:usb0="E0000287" w:usb1="40000013" w:usb2="00000000" w:usb3="00000000" w:csb0="0000019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073765"/>
    <w:multiLevelType w:val="hybridMultilevel"/>
    <w:tmpl w:val="BBF681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CE43636"/>
    <w:multiLevelType w:val="hybridMultilevel"/>
    <w:tmpl w:val="EB56C77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112D28B9"/>
    <w:multiLevelType w:val="hybridMultilevel"/>
    <w:tmpl w:val="F822E206"/>
    <w:lvl w:ilvl="0" w:tplc="DA3E216C">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 w15:restartNumberingAfterBreak="0">
    <w:nsid w:val="12805CA8"/>
    <w:multiLevelType w:val="hybridMultilevel"/>
    <w:tmpl w:val="B3927DC2"/>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35F4FEE"/>
    <w:multiLevelType w:val="hybridMultilevel"/>
    <w:tmpl w:val="381CD292"/>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15ED5582"/>
    <w:multiLevelType w:val="hybridMultilevel"/>
    <w:tmpl w:val="6BD07E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B0B3B2D"/>
    <w:multiLevelType w:val="hybridMultilevel"/>
    <w:tmpl w:val="EC3C69F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4C431BF"/>
    <w:multiLevelType w:val="hybridMultilevel"/>
    <w:tmpl w:val="650C1DEC"/>
    <w:lvl w:ilvl="0" w:tplc="292255D2">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7982205"/>
    <w:multiLevelType w:val="hybridMultilevel"/>
    <w:tmpl w:val="920A2E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8DB0304"/>
    <w:multiLevelType w:val="hybridMultilevel"/>
    <w:tmpl w:val="C0F052D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314723B6"/>
    <w:multiLevelType w:val="hybridMultilevel"/>
    <w:tmpl w:val="8F6CAFF8"/>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34F97BF8"/>
    <w:multiLevelType w:val="hybridMultilevel"/>
    <w:tmpl w:val="695A3262"/>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37E2223C"/>
    <w:multiLevelType w:val="hybridMultilevel"/>
    <w:tmpl w:val="7D3E4E86"/>
    <w:lvl w:ilvl="0" w:tplc="05F4CAF0">
      <w:start w:val="1"/>
      <w:numFmt w:val="upperRoman"/>
      <w:lvlText w:val="%1."/>
      <w:lvlJc w:val="righ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4274041"/>
    <w:multiLevelType w:val="hybridMultilevel"/>
    <w:tmpl w:val="BAAAA44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4" w15:restartNumberingAfterBreak="0">
    <w:nsid w:val="462C5527"/>
    <w:multiLevelType w:val="hybridMultilevel"/>
    <w:tmpl w:val="011AB790"/>
    <w:lvl w:ilvl="0" w:tplc="04150013">
      <w:start w:val="1"/>
      <w:numFmt w:val="upperRoman"/>
      <w:lvlText w:val="%1."/>
      <w:lvlJc w:val="righ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A0607A1"/>
    <w:multiLevelType w:val="hybridMultilevel"/>
    <w:tmpl w:val="DD9C67AE"/>
    <w:lvl w:ilvl="0" w:tplc="DA3E216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4B37393B"/>
    <w:multiLevelType w:val="hybridMultilevel"/>
    <w:tmpl w:val="900CABCE"/>
    <w:lvl w:ilvl="0" w:tplc="0415000F">
      <w:start w:val="1"/>
      <w:numFmt w:val="decimal"/>
      <w:lvlText w:val="%1."/>
      <w:lvlJc w:val="left"/>
      <w:pPr>
        <w:ind w:left="1428" w:hanging="360"/>
      </w:pPr>
    </w:lvl>
    <w:lvl w:ilvl="1" w:tplc="04150019" w:tentative="1">
      <w:start w:val="1"/>
      <w:numFmt w:val="lowerLetter"/>
      <w:lvlText w:val="%2."/>
      <w:lvlJc w:val="left"/>
      <w:pPr>
        <w:ind w:left="2148" w:hanging="360"/>
      </w:pPr>
    </w:lvl>
    <w:lvl w:ilvl="2" w:tplc="0415001B" w:tentative="1">
      <w:start w:val="1"/>
      <w:numFmt w:val="lowerRoman"/>
      <w:lvlText w:val="%3."/>
      <w:lvlJc w:val="right"/>
      <w:pPr>
        <w:ind w:left="2868" w:hanging="180"/>
      </w:pPr>
    </w:lvl>
    <w:lvl w:ilvl="3" w:tplc="0415000F" w:tentative="1">
      <w:start w:val="1"/>
      <w:numFmt w:val="decimal"/>
      <w:lvlText w:val="%4."/>
      <w:lvlJc w:val="left"/>
      <w:pPr>
        <w:ind w:left="3588" w:hanging="360"/>
      </w:pPr>
    </w:lvl>
    <w:lvl w:ilvl="4" w:tplc="04150019" w:tentative="1">
      <w:start w:val="1"/>
      <w:numFmt w:val="lowerLetter"/>
      <w:lvlText w:val="%5."/>
      <w:lvlJc w:val="left"/>
      <w:pPr>
        <w:ind w:left="4308" w:hanging="360"/>
      </w:pPr>
    </w:lvl>
    <w:lvl w:ilvl="5" w:tplc="0415001B" w:tentative="1">
      <w:start w:val="1"/>
      <w:numFmt w:val="lowerRoman"/>
      <w:lvlText w:val="%6."/>
      <w:lvlJc w:val="right"/>
      <w:pPr>
        <w:ind w:left="5028" w:hanging="180"/>
      </w:pPr>
    </w:lvl>
    <w:lvl w:ilvl="6" w:tplc="0415000F" w:tentative="1">
      <w:start w:val="1"/>
      <w:numFmt w:val="decimal"/>
      <w:lvlText w:val="%7."/>
      <w:lvlJc w:val="left"/>
      <w:pPr>
        <w:ind w:left="5748" w:hanging="360"/>
      </w:pPr>
    </w:lvl>
    <w:lvl w:ilvl="7" w:tplc="04150019" w:tentative="1">
      <w:start w:val="1"/>
      <w:numFmt w:val="lowerLetter"/>
      <w:lvlText w:val="%8."/>
      <w:lvlJc w:val="left"/>
      <w:pPr>
        <w:ind w:left="6468" w:hanging="360"/>
      </w:pPr>
    </w:lvl>
    <w:lvl w:ilvl="8" w:tplc="0415001B" w:tentative="1">
      <w:start w:val="1"/>
      <w:numFmt w:val="lowerRoman"/>
      <w:lvlText w:val="%9."/>
      <w:lvlJc w:val="right"/>
      <w:pPr>
        <w:ind w:left="7188" w:hanging="180"/>
      </w:pPr>
    </w:lvl>
  </w:abstractNum>
  <w:abstractNum w:abstractNumId="17" w15:restartNumberingAfterBreak="0">
    <w:nsid w:val="4EFD03F7"/>
    <w:multiLevelType w:val="hybridMultilevel"/>
    <w:tmpl w:val="821E553A"/>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525E28F2"/>
    <w:multiLevelType w:val="hybridMultilevel"/>
    <w:tmpl w:val="BA92E2FA"/>
    <w:lvl w:ilvl="0" w:tplc="542203C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71D4938"/>
    <w:multiLevelType w:val="hybridMultilevel"/>
    <w:tmpl w:val="BAAAA440"/>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 w15:restartNumberingAfterBreak="0">
    <w:nsid w:val="57DF5BFF"/>
    <w:multiLevelType w:val="hybridMultilevel"/>
    <w:tmpl w:val="41907B94"/>
    <w:lvl w:ilvl="0" w:tplc="3D8C803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1" w15:restartNumberingAfterBreak="0">
    <w:nsid w:val="5A844A78"/>
    <w:multiLevelType w:val="hybridMultilevel"/>
    <w:tmpl w:val="66B4826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2" w15:restartNumberingAfterBreak="0">
    <w:nsid w:val="5D5E2603"/>
    <w:multiLevelType w:val="hybridMultilevel"/>
    <w:tmpl w:val="DC460278"/>
    <w:lvl w:ilvl="0" w:tplc="DA3E216C">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3" w15:restartNumberingAfterBreak="0">
    <w:nsid w:val="6296515E"/>
    <w:multiLevelType w:val="hybridMultilevel"/>
    <w:tmpl w:val="8430CD0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4" w15:restartNumberingAfterBreak="0">
    <w:nsid w:val="66663644"/>
    <w:multiLevelType w:val="hybridMultilevel"/>
    <w:tmpl w:val="187A4364"/>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5" w15:restartNumberingAfterBreak="0">
    <w:nsid w:val="6DE701E6"/>
    <w:multiLevelType w:val="hybridMultilevel"/>
    <w:tmpl w:val="03EA63DC"/>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23"/>
  </w:num>
  <w:num w:numId="4">
    <w:abstractNumId w:val="18"/>
  </w:num>
  <w:num w:numId="5">
    <w:abstractNumId w:val="5"/>
  </w:num>
  <w:num w:numId="6">
    <w:abstractNumId w:val="12"/>
  </w:num>
  <w:num w:numId="7">
    <w:abstractNumId w:val="3"/>
  </w:num>
  <w:num w:numId="8">
    <w:abstractNumId w:val="1"/>
  </w:num>
  <w:num w:numId="9">
    <w:abstractNumId w:val="17"/>
  </w:num>
  <w:num w:numId="10">
    <w:abstractNumId w:val="21"/>
  </w:num>
  <w:num w:numId="11">
    <w:abstractNumId w:val="20"/>
  </w:num>
  <w:num w:numId="12">
    <w:abstractNumId w:val="25"/>
  </w:num>
  <w:num w:numId="13">
    <w:abstractNumId w:val="7"/>
  </w:num>
  <w:num w:numId="14">
    <w:abstractNumId w:val="14"/>
  </w:num>
  <w:num w:numId="15">
    <w:abstractNumId w:val="24"/>
  </w:num>
  <w:num w:numId="16">
    <w:abstractNumId w:val="19"/>
  </w:num>
  <w:num w:numId="17">
    <w:abstractNumId w:val="2"/>
  </w:num>
  <w:num w:numId="18">
    <w:abstractNumId w:val="16"/>
  </w:num>
  <w:num w:numId="19">
    <w:abstractNumId w:val="22"/>
  </w:num>
  <w:num w:numId="20">
    <w:abstractNumId w:val="9"/>
  </w:num>
  <w:num w:numId="21">
    <w:abstractNumId w:val="15"/>
  </w:num>
  <w:num w:numId="22">
    <w:abstractNumId w:val="4"/>
  </w:num>
  <w:num w:numId="23">
    <w:abstractNumId w:val="11"/>
  </w:num>
  <w:num w:numId="24">
    <w:abstractNumId w:val="10"/>
  </w:num>
  <w:num w:numId="25">
    <w:abstractNumId w:val="13"/>
  </w:num>
  <w:num w:numId="2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33D"/>
    <w:rsid w:val="000528E7"/>
    <w:rsid w:val="00080B48"/>
    <w:rsid w:val="000B373D"/>
    <w:rsid w:val="001947A7"/>
    <w:rsid w:val="001B44C4"/>
    <w:rsid w:val="001B5B56"/>
    <w:rsid w:val="0026188F"/>
    <w:rsid w:val="00267220"/>
    <w:rsid w:val="002E129B"/>
    <w:rsid w:val="00384379"/>
    <w:rsid w:val="003A51F9"/>
    <w:rsid w:val="003D0F6B"/>
    <w:rsid w:val="00403DE4"/>
    <w:rsid w:val="00414A88"/>
    <w:rsid w:val="00463EB7"/>
    <w:rsid w:val="004D7E42"/>
    <w:rsid w:val="00565A42"/>
    <w:rsid w:val="005726A9"/>
    <w:rsid w:val="00586F86"/>
    <w:rsid w:val="006021BE"/>
    <w:rsid w:val="00665B79"/>
    <w:rsid w:val="006E0E17"/>
    <w:rsid w:val="007329D8"/>
    <w:rsid w:val="007352DF"/>
    <w:rsid w:val="00753934"/>
    <w:rsid w:val="0077526D"/>
    <w:rsid w:val="007A6994"/>
    <w:rsid w:val="007D755D"/>
    <w:rsid w:val="00810800"/>
    <w:rsid w:val="0081118A"/>
    <w:rsid w:val="00824D9D"/>
    <w:rsid w:val="00825D9D"/>
    <w:rsid w:val="008C033D"/>
    <w:rsid w:val="008E1960"/>
    <w:rsid w:val="008E3B98"/>
    <w:rsid w:val="008F64EA"/>
    <w:rsid w:val="00921D97"/>
    <w:rsid w:val="0092311E"/>
    <w:rsid w:val="009F0EDF"/>
    <w:rsid w:val="00A55D8E"/>
    <w:rsid w:val="00A62753"/>
    <w:rsid w:val="00A77D11"/>
    <w:rsid w:val="00A94971"/>
    <w:rsid w:val="00AA7C36"/>
    <w:rsid w:val="00AC7548"/>
    <w:rsid w:val="00AD624D"/>
    <w:rsid w:val="00B66296"/>
    <w:rsid w:val="00B675D6"/>
    <w:rsid w:val="00BB7E65"/>
    <w:rsid w:val="00C503ED"/>
    <w:rsid w:val="00C576CD"/>
    <w:rsid w:val="00C806FA"/>
    <w:rsid w:val="00C83D6B"/>
    <w:rsid w:val="00CA5A82"/>
    <w:rsid w:val="00CC65D9"/>
    <w:rsid w:val="00D0663F"/>
    <w:rsid w:val="00D233B4"/>
    <w:rsid w:val="00D405CA"/>
    <w:rsid w:val="00D84FB0"/>
    <w:rsid w:val="00DD1A15"/>
    <w:rsid w:val="00E00B34"/>
    <w:rsid w:val="00E74C48"/>
    <w:rsid w:val="00F20082"/>
    <w:rsid w:val="00F338A7"/>
    <w:rsid w:val="00F40174"/>
    <w:rsid w:val="00F432E6"/>
    <w:rsid w:val="00F56E82"/>
    <w:rsid w:val="00F83E03"/>
    <w:rsid w:val="00FA64F5"/>
    <w:rsid w:val="00FB74E7"/>
    <w:rsid w:val="00FC21B9"/>
    <w:rsid w:val="00FF3B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1B9914-588B-4952-91F5-FEBBBADF5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uiPriority w:val="9"/>
    <w:qFormat/>
    <w:rsid w:val="000B373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0B37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0B373D"/>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0B373D"/>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753934"/>
    <w:pPr>
      <w:ind w:left="720"/>
      <w:contextualSpacing/>
    </w:pPr>
  </w:style>
  <w:style w:type="character" w:styleId="Hipercze">
    <w:name w:val="Hyperlink"/>
    <w:basedOn w:val="Domylnaczcionkaakapitu"/>
    <w:uiPriority w:val="99"/>
    <w:unhideWhenUsed/>
    <w:rsid w:val="00753934"/>
    <w:rPr>
      <w:color w:val="0563C1" w:themeColor="hyperlink"/>
      <w:u w:val="single"/>
    </w:rPr>
  </w:style>
  <w:style w:type="paragraph" w:styleId="Tekstdymka">
    <w:name w:val="Balloon Text"/>
    <w:basedOn w:val="Normalny"/>
    <w:link w:val="TekstdymkaZnak"/>
    <w:uiPriority w:val="99"/>
    <w:semiHidden/>
    <w:unhideWhenUsed/>
    <w:rsid w:val="00E74C4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74C4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72</TotalTime>
  <Pages>25</Pages>
  <Words>8800</Words>
  <Characters>52800</Characters>
  <Application>Microsoft Office Word</Application>
  <DocSecurity>0</DocSecurity>
  <Lines>440</Lines>
  <Paragraphs>122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61478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Bobek</dc:creator>
  <cp:keywords/>
  <dc:description/>
  <cp:lastModifiedBy>Kamila Kutryb</cp:lastModifiedBy>
  <cp:revision>68</cp:revision>
  <dcterms:created xsi:type="dcterms:W3CDTF">2020-09-07T10:53:00Z</dcterms:created>
  <dcterms:modified xsi:type="dcterms:W3CDTF">2021-12-15T13:57:00Z</dcterms:modified>
</cp:coreProperties>
</file>