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642" w:rsidRPr="002F0FCF" w:rsidRDefault="000C4642" w:rsidP="00F6634E">
      <w:pPr>
        <w:jc w:val="both"/>
        <w:rPr>
          <w:rFonts w:ascii="Times New Roman" w:hAnsi="Times New Roman" w:cs="Times New Roman"/>
          <w:b/>
          <w:sz w:val="40"/>
          <w:szCs w:val="40"/>
          <w:lang w:val="pl-PL"/>
        </w:rPr>
      </w:pPr>
      <w:r>
        <w:rPr>
          <w:rFonts w:ascii="Times New Roman" w:hAnsi="Times New Roman" w:cs="Times New Roman"/>
          <w:b/>
          <w:bCs/>
          <w:sz w:val="40"/>
          <w:szCs w:val="40"/>
          <w:lang w:val="pl"/>
        </w:rPr>
        <w:t>Wspólna deklaracja ministrów spraw zagranicznych Trójkąta Weimarskiego (Francji, Niemiec i Polski) - Jean-Yves Le Driana, Heiko Maasa i Zbigniewa Raua (Paryż, 15 października 2020 r.)</w:t>
      </w:r>
    </w:p>
    <w:p w:rsidR="000C4642" w:rsidRPr="002F0FCF" w:rsidRDefault="000C4642"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 xml:space="preserve">W czasie gdy </w:t>
      </w:r>
      <w:r w:rsidR="001046EE">
        <w:rPr>
          <w:rFonts w:ascii="Times New Roman" w:hAnsi="Times New Roman" w:cs="Times New Roman"/>
          <w:sz w:val="24"/>
          <w:szCs w:val="24"/>
          <w:lang w:val="pl"/>
        </w:rPr>
        <w:t>sąsiedzi Unii Europejskiej</w:t>
      </w:r>
      <w:r>
        <w:rPr>
          <w:rFonts w:ascii="Times New Roman" w:hAnsi="Times New Roman" w:cs="Times New Roman"/>
          <w:sz w:val="24"/>
          <w:szCs w:val="24"/>
          <w:lang w:val="pl"/>
        </w:rPr>
        <w:t xml:space="preserve"> doświadczają nowych lub trwających poważnych kryzysów i konfliktów, a podstawowe zasady prawa międzynarodowego są łamane, my, ministrowie spraw zagranicznych Francji, Niemiec i Polski, spotykając się w Paryżu dnia 15 października 2020 w formacie Trójkąta Weimarskiego, potwierdzamy stanowisko Unii Europejskiej wzywające do podjęcia działań na rzecz pokoju, bezpieczeństwa, demokracji i praw człowieka oraz do ochrony wartości, na których Unia została </w:t>
      </w:r>
      <w:r w:rsidR="001046EE">
        <w:rPr>
          <w:rFonts w:ascii="Times New Roman" w:hAnsi="Times New Roman" w:cs="Times New Roman"/>
          <w:sz w:val="24"/>
          <w:szCs w:val="24"/>
          <w:lang w:val="pl"/>
        </w:rPr>
        <w:t>ustanowiona</w:t>
      </w:r>
      <w:r>
        <w:rPr>
          <w:rFonts w:ascii="Times New Roman" w:hAnsi="Times New Roman" w:cs="Times New Roman"/>
          <w:sz w:val="24"/>
          <w:szCs w:val="24"/>
          <w:lang w:val="pl"/>
        </w:rPr>
        <w:t xml:space="preserve">, a także jej własnych interesów. </w:t>
      </w:r>
    </w:p>
    <w:p w:rsidR="000C4642" w:rsidRPr="002F0FCF" w:rsidRDefault="000C4642"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 xml:space="preserve">Trójkąt Weimarski pełni ważną rolę nie tylko w uzgadnianiu wspólnego stanowiska, ale także w inicjowaniu wysiłków na rzecz kształtowania Europy o większej solidarności wewnętrznej i połączonej sile na arenie międzynarodowej. Wspólne rozmowy pokazały jak bardzo zbieżne są nasze analizy większości sytuacji kryzysowych i jak bardzo pragniemy zacieśniania współpracy. </w:t>
      </w:r>
    </w:p>
    <w:p w:rsidR="000C4642" w:rsidRPr="002F0FCF" w:rsidRDefault="000C4642"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 xml:space="preserve">Sytuacja na wschodniej flance Unii Europejskiej, wydarzenia na Białorusi, konflikt pomiędzy Armenią i Azerbejdżanem, niegasnący konflikt na Ukrainie, utrzymująca się nielegalna okupacja Krymu oraz zamach na A. Nawalnego z użyciem broni chemicznej są źródłem naszego głębokiego zaniepokojenia. </w:t>
      </w:r>
    </w:p>
    <w:p w:rsidR="00191D9E" w:rsidRPr="002F0FCF" w:rsidRDefault="000C4642"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Nasze trzy kraje zdecydowanie potępiają przemoc ze strony władz białoruskich i arbitralne stosowanie areszt</w:t>
      </w:r>
      <w:r w:rsidR="001046EE">
        <w:rPr>
          <w:rFonts w:ascii="Times New Roman" w:hAnsi="Times New Roman" w:cs="Times New Roman"/>
          <w:sz w:val="24"/>
          <w:szCs w:val="24"/>
          <w:lang w:val="pl"/>
        </w:rPr>
        <w:t>owań</w:t>
      </w:r>
      <w:r>
        <w:rPr>
          <w:rFonts w:ascii="Times New Roman" w:hAnsi="Times New Roman" w:cs="Times New Roman"/>
          <w:sz w:val="24"/>
          <w:szCs w:val="24"/>
          <w:lang w:val="pl"/>
        </w:rPr>
        <w:t xml:space="preserve"> w następstwie wyborów prezydenckich, których wyniku nie uznajemy. Wzywamy do przeprowadzenia nowych, wolnych i uczciwych wyborów, spełniających międzynarodowe standardy, wolnych od wpływów zewnętrznych i w obecności o</w:t>
      </w:r>
      <w:r w:rsidR="005F6693">
        <w:rPr>
          <w:rFonts w:ascii="Times New Roman" w:hAnsi="Times New Roman" w:cs="Times New Roman"/>
          <w:sz w:val="24"/>
          <w:szCs w:val="24"/>
          <w:lang w:val="pl"/>
        </w:rPr>
        <w:t>bserwatorów OBWE/OD</w:t>
      </w:r>
      <w:r>
        <w:rPr>
          <w:rFonts w:ascii="Times New Roman" w:hAnsi="Times New Roman" w:cs="Times New Roman"/>
          <w:sz w:val="24"/>
          <w:szCs w:val="24"/>
          <w:lang w:val="pl"/>
        </w:rPr>
        <w:t>I</w:t>
      </w:r>
      <w:r w:rsidR="005F6693">
        <w:rPr>
          <w:rFonts w:ascii="Times New Roman" w:hAnsi="Times New Roman" w:cs="Times New Roman"/>
          <w:sz w:val="24"/>
          <w:szCs w:val="24"/>
          <w:lang w:val="pl"/>
        </w:rPr>
        <w:t>H</w:t>
      </w:r>
      <w:r>
        <w:rPr>
          <w:rFonts w:ascii="Times New Roman" w:hAnsi="Times New Roman" w:cs="Times New Roman"/>
          <w:sz w:val="24"/>
          <w:szCs w:val="24"/>
          <w:lang w:val="pl"/>
        </w:rPr>
        <w:t xml:space="preserve">R. Popieramy mediacje prowadzone przez OBWE mające na celu wsparcie otwartego dialogu z całym społeczeństwem białoruskim. Ponownie wzywamy władze Białorusi do zwolnienia wszystkich więźniów politycznych i osób arbitralnie aresztowanych, do gruntownego zbadania wszystkich przypadków łamania praw człowieka oraz do podjęcia współpracy w ramach mechanizmu moskiewskiego OBWE. Z zadowoleniem przyjmujemy zdecydowaną reakcję UE polegającą na wprowadzeniu sankcji, których przestrzeganie będzie regularnie monitorowane oraz gotowość do wprowadzenia dalszych restrykcji wymierzonych w podmioty i wysokich urzędników białoruskich, w tym A. Łukaszenkę. Zachęcamy Komisję Europejską do opracowania kompleksowego planu wsparcia gospodarczego dla demokratycznej Białorusi. Francja i Niemcy składają wyrazy solidarności z Polską i Litwą, których ambasadorzy w Mińsku zostali odwołani. Nasze trzy kraje zagwarantują wspólną reakcję Unii Europejskiej w tej sprawie. Ponadto nasze trzy kraje są zdecydowane udzielać wsparcia narodowi białoruskiemu, zarówno w granicach jego ojczyzny, jak i na uchodźctwie, w jego walce o demokrację, postawienie tamy przemocy i prześladowaniom oraz zwolnienie wszystkich więźniów politycznych. Wdrożony zostanie szereg działań mających na celu </w:t>
      </w:r>
      <w:r>
        <w:rPr>
          <w:rFonts w:ascii="Times New Roman" w:hAnsi="Times New Roman" w:cs="Times New Roman"/>
          <w:sz w:val="24"/>
          <w:szCs w:val="24"/>
          <w:lang w:val="pl"/>
        </w:rPr>
        <w:lastRenderedPageBreak/>
        <w:t>wzmocnienie społeczeństwa obywatelskiego, które czynnie wprowadza na Białorusi zasady demokracji, prawa człowieka i praworządność, co stanowi też nasz wspólny cel. Działania te obejmą między innymi wsparcie niezależnych mediów, obrońców praw człowieka i kobiecych</w:t>
      </w:r>
      <w:r w:rsidR="0066660A">
        <w:rPr>
          <w:rFonts w:ascii="Times New Roman" w:hAnsi="Times New Roman" w:cs="Times New Roman"/>
          <w:sz w:val="24"/>
          <w:szCs w:val="24"/>
          <w:lang w:val="pl"/>
        </w:rPr>
        <w:t xml:space="preserve"> </w:t>
      </w:r>
      <w:r w:rsidR="00A7428A">
        <w:rPr>
          <w:rFonts w:ascii="Times New Roman" w:hAnsi="Times New Roman" w:cs="Times New Roman"/>
          <w:sz w:val="24"/>
          <w:szCs w:val="24"/>
          <w:lang w:val="pl"/>
        </w:rPr>
        <w:t>organizacji</w:t>
      </w:r>
      <w:r>
        <w:rPr>
          <w:rFonts w:ascii="Times New Roman" w:hAnsi="Times New Roman" w:cs="Times New Roman"/>
          <w:sz w:val="24"/>
          <w:szCs w:val="24"/>
          <w:lang w:val="pl"/>
        </w:rPr>
        <w:t>. Z zadowoleniem obserwujemy niemiecki program wsparcia dla społeczeństwa obywatelskiego („Poszerzanie współpracy ze społeczeństwem obywatelskim w krajach Partnerstwa Wschodniego i Rosji”), który został otwarty dla podmiotów społeczeństwa obywatelskiego z Polski i Francji. W ramach programu udostępniony zostanie prawie 1 milion euro z przeznaczeniem na wspólne przedsięwzięcia społeczno-obywatelskie w państwach Trójkąta Weimarskiego, co przełoży się na wzrost trójstronnego zaangażowania we wsparcie podmiotów społeczeństwa obywatelskiego na Białorusi.</w:t>
      </w:r>
    </w:p>
    <w:p w:rsidR="00050C48" w:rsidRPr="002F0FCF" w:rsidRDefault="00050C48"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Francja, Niemcy i Polska z zadowoleniem przyjmują humanitarne zawieszenie broni między Armenią i Azerbejdżanem, jakie zostało ustanowione 10 października i wzywają obie strony do jego ścisłego przestrzegania. Potępiamy wszelkie nieustające akty przemocy, niezależnie od ich źródła. Wzywamy strony do podjęcia istotnych negocjacji pod auspicjami współprzewodniczących Grupy Mińskiej OBWE, bez warunków wstępnych i na podstawie uzgodnionych zasad. Potwierdzamy swoje poparcie dla obecnego formatu negocjacji i podtrzymujemy, że ważne jest, aby Unia Europejska w pełni poparła ten dyplomatyczny proces. Wzywamy do współpracy w celu znalezienia rozwiązania tego kryzysu humanitarnego.</w:t>
      </w:r>
    </w:p>
    <w:p w:rsidR="00951C57" w:rsidRPr="002F0FCF" w:rsidRDefault="00951C57"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 xml:space="preserve">Bieżące wydarzenia w tym regionie ukazują, jak istotne znaczenie dla Unii Europejskiej ma Partnerstwo Wschodnie, które powinno pozostać strategicznym elementem polityki i uprzywilejowaną podstawą dialogu z państwami Partnerstwa Wschodniego, jednocześnie zwracając uwagę na zachowanie równowagi między inkluzyjnością a zróżnicowaniem. Bardziej niż kiedykolwiek wcześniej, polityka Partnerstwa Wschodniego powinna koncentrować się na </w:t>
      </w:r>
      <w:r w:rsidR="0066660A">
        <w:rPr>
          <w:rFonts w:ascii="Times New Roman" w:hAnsi="Times New Roman" w:cs="Times New Roman"/>
          <w:sz w:val="24"/>
          <w:szCs w:val="24"/>
          <w:lang w:val="pl"/>
        </w:rPr>
        <w:t>wzmacnianiu</w:t>
      </w:r>
      <w:r>
        <w:rPr>
          <w:rFonts w:ascii="Times New Roman" w:hAnsi="Times New Roman" w:cs="Times New Roman"/>
          <w:sz w:val="24"/>
          <w:szCs w:val="24"/>
          <w:lang w:val="pl"/>
        </w:rPr>
        <w:t xml:space="preserve"> odporności państw Partnerstwa Wschodniego, w tym wdrażaniu reform, praworządności, skutecznych rządów, walki z korupcją i wspieraniu społeczeństwa obywatelskiego. Polityka Partnerstwa Wschodniego powinna także wspierać rozwój gospodarczy krajów partnerskich, zwłaszcza w celu zrównoważenia negatywnych skutków pandemii COVID-19. </w:t>
      </w:r>
    </w:p>
    <w:p w:rsidR="00930669" w:rsidRPr="002F0FCF" w:rsidRDefault="003871DF"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Francja, Niemcy i Polska także uważnie śledzą obecną sytuację w Republice Kirgiskiej po wyborach parlamentarnych, które odbyły się 4 października. Wzywamy wszystkie strony do poszukiwania rozwiązania obecnego kryzysu w drodze dialogu z udziałem wszystkich stron z całego spektrum politycznego oraz poprzez przeprowadzenie nowych, wolnych i uczciwych wyborów zgodnie z międzynarodowymi standardami i obserwowanych przez misje OBWE/ODIHR. Ponownie wyrażamy nasze poparcie dla demokratycznego prawa narodu kirgiskiego do udziału w wyborach wolnych od wszelkich ingerencji lub nadużyć. Zachęcamy do ścisłej współpracy z OBWE/ODIHR i wzywamy władze kirgiskie do poszanowania praworządności i podstawowych wolności, w tym wolności słowa i pokojowych zgromadzeń.</w:t>
      </w:r>
    </w:p>
    <w:p w:rsidR="00951C57" w:rsidRPr="002F0FCF" w:rsidRDefault="00951C57"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 xml:space="preserve">Nasze trzy kraje ponownie podkreślają, iż istotne jest utrzymanie zdecydowanego stanowiska wobec Rosji we wszystkich kwestiach zagrażających pokojowi na kontynencie europejskim. Potwierdzamy, iż pięć zasad przewodnich uzgodnionych przez Unię Europejską stanowi ramy obecnych i przyszłych stosunków UE-Rosja. Przypominamy znaczenie realistycznego i </w:t>
      </w:r>
      <w:r>
        <w:rPr>
          <w:rFonts w:ascii="Times New Roman" w:hAnsi="Times New Roman" w:cs="Times New Roman"/>
          <w:sz w:val="24"/>
          <w:szCs w:val="24"/>
          <w:lang w:val="pl"/>
        </w:rPr>
        <w:lastRenderedPageBreak/>
        <w:t xml:space="preserve">wymagającego dialogu z władzami rosyjskimi, zwłaszcza aby zapobiec niezamierzonej eskalacji i wzmocnić porządek oparty na zasadach oraz europejskie bezpieczeństwo i stabilność. W odniesieniu do otrucia A. Nawalnego, nasze trzy kraje niezmiennie wzywają Rosję, by w sposób jasny i wyczerpujący ustaliła okoliczności tej próby zamachu na członka rosyjskiej opozycji politycznej przy użyciu środka bojowego, co jest surowo zabronione na mocy Konwencji o zakazie broni chemicznej, w celu zidentyfikowania osób które dokonały tego ataku i podstawienia ich przed sądem. W międzyczasie, nasze trzy kraje z zadowoleniem przyjmują wprowadzenie indywidualnych restrykcji wobec osób, które wspólnie ponoszą odpowiedzialność za ten zamach. Ponownie wyrażamy zaniepokojenie sytuacją organizacji na rzecz praw człowieka i społeczeństwa obywatelskiego w Rosji i potwierdzamy nasze wsparcie dla obrońców praw człowieka i organizacji społeczeństwa obywatelskiego oraz dla współpracy w tym zakresie, w ramach piątej zasady przewodniej. </w:t>
      </w:r>
    </w:p>
    <w:p w:rsidR="007E685B" w:rsidRPr="002F0FCF" w:rsidRDefault="007E685B"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Francja, Niemcy i Polska ponawiają bezwarunkowe poparcie dla suwerenności i integralności terytorialnej Ukrainy i zdecydowanie potępiają nielegalną aneksję Krymu i Sewastopola przez Federację Rosyjską. Potępiamy działania destabilizacyjne prowadzone przez Rosję od lutego 2014 r. i przypominamy, że jedyną podstawą rozwiązania konfliktu na wschodzie Ukrainy pozostają porozumienia mińskie. Podkreślamy potrzebę pełnego wdrożenia środków uzgodnionych przez strony z okazji szczytu normandzkiego w Paryżu w grudniu 2019 r.</w:t>
      </w:r>
    </w:p>
    <w:p w:rsidR="007E685B" w:rsidRPr="002F0FCF" w:rsidRDefault="007E685B"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 xml:space="preserve">Francja, Niemcy i Polska w ramach Partnerstwa Wschodniego ponownie zobowiązują się do wspierania procesu reform na Ukrainie, w szczególności praworządności, sądownictwa i walki z korupcją. </w:t>
      </w:r>
    </w:p>
    <w:p w:rsidR="00A65FCB" w:rsidRPr="002F0FCF" w:rsidRDefault="00951C57"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 xml:space="preserve">Jeżeli chodzi o południową flankę Unii Europejskiej, Francja, Niemcy i Polska, zgodnie z konkluzjami Rady Europejskiej z 1 i 2 października, podkreślają, że w strategicznym interesie UE leży stabilne i bezpieczne środowisko we wschodnim regionie Morza Śródziemnego oraz rozwijanie wspólnych i obopólnie korzystnych stosunków z Turcją. Nasze trzy kraje wzywają Turcję do powstrzymania się od wszelkich jednostronnych działań we wschodnim regionie Morza Śródziemnego oraz do wykazania gotowości do zaangażowania się w dialog w dobrej wierze. Wzywamy do kontynuacji gestów deeskalacji w regionie i potwierdzamy w tym względzie konkluzje przyjęte przez Radę Europejską w dniach 1 i 2 października. Popieramy również szybkie wznowienie negocjacji pod auspicjami ONZ w sprawie kompleksowego rozwiązania problemu cypryjskiego, w ramach ONZ i zgodnie z odpowiednimi rezolucjami Rady Bezpieczeństwa ONZ, w tym rezolucjami RBONZ nr 550 i 789, oraz zgodnie z zasadami, na których opiera się UE, jak również propozycję wielostronnej konferencji na temat wschodniego regionu Morza Śródziemnego.  </w:t>
      </w:r>
    </w:p>
    <w:p w:rsidR="001117C1" w:rsidRPr="002F0FCF" w:rsidRDefault="00CC5E22"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 xml:space="preserve">Jeżeli chodzi o Libię, nasze trzy kraje z zadowoleniem przyjmują znaczące postępy osiągnięte w ramach procesu berlińskiego i Międzynarodowego Komitetu Monitorującego, wspierających wysiłki ONZ w zakresie mediacji. Zwracamy również uwagę na niestabilność sytuacji w Libii i ciągłe ryzyko eskalacji. Uważamy, że kryzysu nie można rozwiązać drogą militarną i że wszelkie ingerencje zewnętrzne muszą się skończyć. W szczególności wzywamy do pełnego egzekwowania embarga ONZ na broń.  Pod tym względem niedawne przyjęcie sankcji unijnych wobec podmiotów naruszających to embargo jest pozytywnym krokiem. UE powinna w </w:t>
      </w:r>
      <w:r>
        <w:rPr>
          <w:rFonts w:ascii="Times New Roman" w:hAnsi="Times New Roman" w:cs="Times New Roman"/>
          <w:sz w:val="24"/>
          <w:szCs w:val="24"/>
          <w:lang w:val="pl"/>
        </w:rPr>
        <w:lastRenderedPageBreak/>
        <w:t>dalszym ciągu stosować sankcje za łamanie embarga, nielegalny wywóz ropy naftowej, naruszanie praw człowieka oraz sankcje przeciwko podmiotom podważającym proces polityczny rozwijający się pod auspicjami ONZ. UE jest również mocno zaangażowana we wdrażanie embarga poprzez operację Irini. Priorytetem powinno być trwałe zaprzestanie walk na miejscu oraz, na tej podstawie, wspieranie Libijskiego Forum Dialogu Politycznego pod auspicjami ONZ, aby doprowadzić do szybkiego zawarcia trwałego zawieszenia broni pod auspicjami ONZ, w ramach Wspólnej Komisji Wojskowej (5+5). Wyjście z kryzysu libijskiego wymaga znalezienia rozwiązania politycznego prowadzącego do wyborów, w ramach dialogu międzylibijskiego opartego na konkluzjach konferencji berlińskiej i pod auspicjami ONZ.</w:t>
      </w:r>
    </w:p>
    <w:p w:rsidR="00951C57" w:rsidRPr="002F0FCF" w:rsidRDefault="00951C57"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Nasze spotkanie było również okazją do omówienia przyszłości stosunków UE-Chiny. Istnieje potrzeba przywrócenia równowagi w stosunkach gospodarczych z Chinami w duchu wzajemności i obopólnego interesu, aby rozwiązać problem obecnych asymetrii w dostępie do rynku, co przyczyni się do zapewnienia równych szans. Naszym celem jest również osiągnięcie wymiernych celów w sferze zrównoważonego rozwoju, bioróżnorodności oraz klimatu, zgodnie z założeniami porozumienia paryskiego. Nasze trzy państwa są przekonane, że jedność europejska jest podstawą uzyskania konkretnych rezultatów. Ponadto w dalszym ciągu wyrażamy głębokie zaniepokojenie stanem praw człowieka w Chinach, w tym rozwojem sytuacji w Hong Kongu, a także traktowaniem osób należących do mniejszości etnicznych i religijnych, zwłaszcza na obszarze autonomicznego regionu Sinkiang i Tybetu.</w:t>
      </w:r>
    </w:p>
    <w:p w:rsidR="007B41B0" w:rsidRPr="002F0FCF" w:rsidRDefault="000C4642"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Unia Europejska powinna przyjąć ambitną strategię wobec Indo-Pacyfiku w odpowiedzi na rodzący się tam unilateralizm oraz brak stabilności w regionie. Mając na uwadze powyższe, Francja, Niemcy i Polska przypominają o swoim zobowiązaniu do przyjęcia szczególnej europejskiej strategii wobec Indo-Pacyfiku w celu propagowania wspólnego stanowiska wobec tego regionu, we współpracy w innymi państwami reprezentującymi podobne stanowiska, włączając partnerów transatlantyckich, oraz ze szczególnym uwzględnieniem promocji wielostronności, otwartości, globalności i współdziałania, także w celu wzmocnienia spójności w ramach UE.</w:t>
      </w:r>
    </w:p>
    <w:p w:rsidR="00E35393" w:rsidRPr="002F0FCF" w:rsidRDefault="00E35393" w:rsidP="0043249C">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
        </w:rPr>
        <w:t>Potwierdzając rolę NATO jako fundamentu zbiorowej obrony Sojuszników w przestrzeni euroatlantyckiej, nasze trzy państwa podkreślają wagę dalszego budowania silnej Wspólnej Polityki Bezpieczeństwa i Obrony UE. Unia Europejska, która promuje pokój i bezpieczeństwo oraz chroni swoich obywateli to Unia, która jednocześnie wzmacnia zaangażowanie państw członkowskich na rzecz obrony oraz sprzyja bliższej współpracy między nimi w tym zakresie, w szczególności poprzez inicjatywy na rzecz obronności, a także mocniejszą europejską bazę technologiczno-przemysłową sektora obronnego. Silna Europa to Europa zdolna w większym stopniu do zapewnienia własnego bezpieczeństwa, a także do wzmocnienia swojego zaangażowania w działania Sojuszu.</w:t>
      </w:r>
    </w:p>
    <w:p w:rsidR="007B41B0" w:rsidRPr="002F0FCF" w:rsidRDefault="007B41B0" w:rsidP="0043249C">
      <w:pPr>
        <w:jc w:val="both"/>
        <w:rPr>
          <w:rFonts w:ascii="Times New Roman" w:hAnsi="Times New Roman" w:cs="Times New Roman"/>
          <w:strike/>
          <w:sz w:val="24"/>
          <w:szCs w:val="24"/>
          <w:lang w:val="pl-PL"/>
        </w:rPr>
      </w:pPr>
    </w:p>
    <w:p w:rsidR="00F977DA" w:rsidRPr="002F0FCF" w:rsidRDefault="00F977DA"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Trójkąt Weimarski jest przekonany, że nowe Wieloletnie Ramy Finansowe na lata 2021-2027, a także Plan Odbudowy powinny zostać przyjęte najszybciej jak to będzie możliwe, tak by mogły zacząć obowiązywać z dniem 1 stycznia 2021 roku.</w:t>
      </w:r>
    </w:p>
    <w:p w:rsidR="00480D92" w:rsidRPr="002F0FCF" w:rsidRDefault="00EF2325"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lastRenderedPageBreak/>
        <w:t xml:space="preserve">Francja, Niemcy i Polska wyrażają </w:t>
      </w:r>
      <w:r w:rsidRPr="00A7428A">
        <w:rPr>
          <w:rFonts w:ascii="Times New Roman" w:hAnsi="Times New Roman" w:cs="Times New Roman"/>
          <w:sz w:val="24"/>
          <w:szCs w:val="24"/>
          <w:lang w:val="pl"/>
        </w:rPr>
        <w:t>gotowość</w:t>
      </w:r>
      <w:r w:rsidR="002F0FCF" w:rsidRPr="00A7428A">
        <w:rPr>
          <w:rFonts w:ascii="Times New Roman" w:hAnsi="Times New Roman" w:cs="Times New Roman"/>
          <w:sz w:val="24"/>
          <w:szCs w:val="24"/>
          <w:lang w:val="pl"/>
        </w:rPr>
        <w:t xml:space="preserve"> do przyjęcia tak szybko, jak to możliwe</w:t>
      </w:r>
      <w:r w:rsidR="002F0FCF">
        <w:rPr>
          <w:rFonts w:ascii="Times New Roman" w:hAnsi="Times New Roman" w:cs="Times New Roman"/>
          <w:sz w:val="24"/>
          <w:szCs w:val="24"/>
          <w:lang w:val="pl"/>
        </w:rPr>
        <w:t xml:space="preserve"> </w:t>
      </w:r>
      <w:r>
        <w:rPr>
          <w:rFonts w:ascii="Times New Roman" w:hAnsi="Times New Roman" w:cs="Times New Roman"/>
          <w:sz w:val="24"/>
          <w:szCs w:val="24"/>
          <w:lang w:val="pl"/>
        </w:rPr>
        <w:t xml:space="preserve">nowego paktu UE w sprawie migracji i azylu, którego celem jest ustanowienie odpowiednich proporcji pomiędzy odpowiedzialnością i solidarnością, zgodnie z Konkluzjami Rady Europejskiej z czerwca 2018 roku. </w:t>
      </w:r>
    </w:p>
    <w:p w:rsidR="000C4642" w:rsidRPr="002F0FCF" w:rsidRDefault="00DC1F2D"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Francja, Niemcy i Polska popierają intensyfikację wysiłków na rzecz skoordynowania zarządzania kryzysem wywołanym pandemią COVID-19, w szczególności w kwestii akceleratora dostępu do narzędzi walki z COVID-19 (ACT-A) oraz prac nad powstaniem i rozpowszechnieniem szczepionki na poziomie UE. Francja, Niemcy i Polska wzywają, by uczynić przyszłą szczepionkę przeciwko COVID-19 globalnym ogólnodostępnym dobrem, do którego ludzie na całym świecie będą mieli równy i sprawiedliwy dostęp. Bez upowszechnienia szczepionki, nasza walka z pandemią będzie nadal trwać. Zapewniamy także o naszej woli dalszego wspierania wszystkich państw Partnerstwa Wschodniego w walce z niekorzystnymi skutkami pandemii COVID-19.</w:t>
      </w:r>
    </w:p>
    <w:p w:rsidR="000C4642" w:rsidRPr="002F0FCF" w:rsidRDefault="000C4642"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Wspólne wartości stanowiące fundament naszych demokratycznych i społecznych modeli są podstawą wolności, bezpieczeństwa i dobrobytu w Europie. Trójkąt Weimarski podkreśla wspólne zaangażowanie na rzecz wzmocnienia praworządności we wszystkich państwach członkowskich.</w:t>
      </w:r>
    </w:p>
    <w:p w:rsidR="00951C57" w:rsidRPr="002F0FCF" w:rsidRDefault="00AC42FA"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Francja, Niemcy i Polska przywiązują znaczną wagę do intensyfikacji kontaktów oraz pogłębienia wzajemnej wiedzy pomiędzy społeczeństwami obywatelskimi tych krajów. Naszym zamiarem jest współdziałanie na rzecz wzmocnienia współpracy akademickiej, wymiany naukowej oraz programów stypendialnych, a także podejmowanie inicjatyw mających na celu rozwijanie trójstronnej współpracy w sferze kultury.</w:t>
      </w:r>
      <w:bookmarkStart w:id="0" w:name="_GoBack"/>
      <w:bookmarkEnd w:id="0"/>
    </w:p>
    <w:p w:rsidR="00951C57" w:rsidRPr="002F0FCF" w:rsidRDefault="00951C57" w:rsidP="0043249C">
      <w:pPr>
        <w:jc w:val="both"/>
        <w:rPr>
          <w:rFonts w:ascii="Times New Roman" w:hAnsi="Times New Roman" w:cs="Times New Roman"/>
          <w:sz w:val="24"/>
          <w:szCs w:val="24"/>
          <w:lang w:val="pl-PL"/>
        </w:rPr>
      </w:pPr>
    </w:p>
    <w:p w:rsidR="00951C57" w:rsidRPr="002F0FCF" w:rsidRDefault="00C8355D" w:rsidP="0043249C">
      <w:pPr>
        <w:jc w:val="both"/>
        <w:rPr>
          <w:rFonts w:ascii="Times New Roman" w:hAnsi="Times New Roman" w:cs="Times New Roman"/>
          <w:sz w:val="24"/>
          <w:szCs w:val="24"/>
          <w:lang w:val="pl-PL"/>
        </w:rPr>
      </w:pPr>
      <w:r>
        <w:rPr>
          <w:rFonts w:ascii="Times New Roman" w:hAnsi="Times New Roman" w:cs="Times New Roman"/>
          <w:sz w:val="24"/>
          <w:szCs w:val="24"/>
          <w:lang w:val="pl"/>
        </w:rPr>
        <w:t xml:space="preserve"> </w:t>
      </w:r>
    </w:p>
    <w:p w:rsidR="00951C57" w:rsidRPr="002F0FCF" w:rsidRDefault="00951C57" w:rsidP="0043249C">
      <w:pPr>
        <w:jc w:val="both"/>
        <w:rPr>
          <w:rFonts w:ascii="Times New Roman" w:hAnsi="Times New Roman" w:cs="Times New Roman"/>
          <w:sz w:val="24"/>
          <w:szCs w:val="24"/>
          <w:lang w:val="pl-PL"/>
        </w:rPr>
      </w:pPr>
    </w:p>
    <w:p w:rsidR="00951C57" w:rsidRPr="002F0FCF" w:rsidRDefault="00951C57" w:rsidP="0043249C">
      <w:pPr>
        <w:jc w:val="both"/>
        <w:rPr>
          <w:rFonts w:ascii="Times New Roman" w:hAnsi="Times New Roman" w:cs="Times New Roman"/>
          <w:sz w:val="24"/>
          <w:szCs w:val="24"/>
          <w:lang w:val="pl-PL"/>
        </w:rPr>
      </w:pPr>
    </w:p>
    <w:p w:rsidR="00951C57" w:rsidRPr="002F0FCF" w:rsidRDefault="00951C57" w:rsidP="0043249C">
      <w:pPr>
        <w:jc w:val="both"/>
        <w:rPr>
          <w:rFonts w:ascii="Times New Roman" w:hAnsi="Times New Roman" w:cs="Times New Roman"/>
          <w:sz w:val="24"/>
          <w:szCs w:val="24"/>
          <w:lang w:val="pl-PL"/>
        </w:rPr>
      </w:pPr>
    </w:p>
    <w:p w:rsidR="000C4642" w:rsidRPr="002F0FCF" w:rsidRDefault="000C4642" w:rsidP="0043249C">
      <w:pPr>
        <w:jc w:val="both"/>
        <w:rPr>
          <w:rFonts w:ascii="Times New Roman" w:hAnsi="Times New Roman" w:cs="Times New Roman"/>
          <w:sz w:val="24"/>
          <w:szCs w:val="24"/>
          <w:lang w:val="pl-PL"/>
        </w:rPr>
      </w:pPr>
    </w:p>
    <w:p w:rsidR="00460267" w:rsidRPr="002F0FCF" w:rsidRDefault="00460267" w:rsidP="0043249C">
      <w:pPr>
        <w:jc w:val="both"/>
        <w:rPr>
          <w:rFonts w:ascii="Times New Roman" w:hAnsi="Times New Roman" w:cs="Times New Roman"/>
          <w:sz w:val="24"/>
          <w:szCs w:val="24"/>
          <w:lang w:val="pl-PL"/>
        </w:rPr>
      </w:pPr>
    </w:p>
    <w:sectPr w:rsidR="00460267" w:rsidRPr="002F0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E7540"/>
    <w:multiLevelType w:val="hybridMultilevel"/>
    <w:tmpl w:val="CFBAA1A8"/>
    <w:lvl w:ilvl="0" w:tplc="FFC2807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42"/>
    <w:rsid w:val="000370B0"/>
    <w:rsid w:val="00050C48"/>
    <w:rsid w:val="00052BBC"/>
    <w:rsid w:val="00060E65"/>
    <w:rsid w:val="000767A7"/>
    <w:rsid w:val="000979DE"/>
    <w:rsid w:val="000B22FB"/>
    <w:rsid w:val="000C2EFE"/>
    <w:rsid w:val="000C4642"/>
    <w:rsid w:val="000C656D"/>
    <w:rsid w:val="001000C4"/>
    <w:rsid w:val="00103F3E"/>
    <w:rsid w:val="001046EE"/>
    <w:rsid w:val="001117C1"/>
    <w:rsid w:val="0012520D"/>
    <w:rsid w:val="001375CD"/>
    <w:rsid w:val="001471ED"/>
    <w:rsid w:val="00151F62"/>
    <w:rsid w:val="00180C35"/>
    <w:rsid w:val="00191D9E"/>
    <w:rsid w:val="00194A3B"/>
    <w:rsid w:val="001A4053"/>
    <w:rsid w:val="0024082D"/>
    <w:rsid w:val="00246BB6"/>
    <w:rsid w:val="00255CCB"/>
    <w:rsid w:val="00256353"/>
    <w:rsid w:val="002602CA"/>
    <w:rsid w:val="00283E8C"/>
    <w:rsid w:val="00296523"/>
    <w:rsid w:val="00297CD9"/>
    <w:rsid w:val="002A7707"/>
    <w:rsid w:val="002C44DA"/>
    <w:rsid w:val="002F0FCF"/>
    <w:rsid w:val="003057D6"/>
    <w:rsid w:val="0032084A"/>
    <w:rsid w:val="00355A5D"/>
    <w:rsid w:val="00376A30"/>
    <w:rsid w:val="00376D36"/>
    <w:rsid w:val="003871DF"/>
    <w:rsid w:val="00394722"/>
    <w:rsid w:val="00397F07"/>
    <w:rsid w:val="003C256A"/>
    <w:rsid w:val="003E1E9C"/>
    <w:rsid w:val="003F29E8"/>
    <w:rsid w:val="003F7395"/>
    <w:rsid w:val="0041183A"/>
    <w:rsid w:val="0042503D"/>
    <w:rsid w:val="0043249C"/>
    <w:rsid w:val="00446F2F"/>
    <w:rsid w:val="00460267"/>
    <w:rsid w:val="004663B9"/>
    <w:rsid w:val="00474737"/>
    <w:rsid w:val="00480D92"/>
    <w:rsid w:val="0048422F"/>
    <w:rsid w:val="004B0714"/>
    <w:rsid w:val="004D08CE"/>
    <w:rsid w:val="004D1729"/>
    <w:rsid w:val="004D59B6"/>
    <w:rsid w:val="004E2917"/>
    <w:rsid w:val="00517FEB"/>
    <w:rsid w:val="00535EB7"/>
    <w:rsid w:val="00581C23"/>
    <w:rsid w:val="005B12F2"/>
    <w:rsid w:val="005B7854"/>
    <w:rsid w:val="005D6DA1"/>
    <w:rsid w:val="005F6693"/>
    <w:rsid w:val="00602A97"/>
    <w:rsid w:val="00613DEB"/>
    <w:rsid w:val="00627B8F"/>
    <w:rsid w:val="00635F00"/>
    <w:rsid w:val="0066376C"/>
    <w:rsid w:val="00663A9B"/>
    <w:rsid w:val="0066660A"/>
    <w:rsid w:val="00695826"/>
    <w:rsid w:val="006C0F13"/>
    <w:rsid w:val="006C48F1"/>
    <w:rsid w:val="006F1FB4"/>
    <w:rsid w:val="006F7B09"/>
    <w:rsid w:val="007036BD"/>
    <w:rsid w:val="00703C47"/>
    <w:rsid w:val="00726716"/>
    <w:rsid w:val="0074050E"/>
    <w:rsid w:val="007567B8"/>
    <w:rsid w:val="007637B0"/>
    <w:rsid w:val="007A54E3"/>
    <w:rsid w:val="007B287A"/>
    <w:rsid w:val="007B41B0"/>
    <w:rsid w:val="007B6802"/>
    <w:rsid w:val="007E685B"/>
    <w:rsid w:val="007F5FFE"/>
    <w:rsid w:val="008156DF"/>
    <w:rsid w:val="00864E4A"/>
    <w:rsid w:val="00871C5E"/>
    <w:rsid w:val="00877F92"/>
    <w:rsid w:val="008B240A"/>
    <w:rsid w:val="008D3B97"/>
    <w:rsid w:val="008F2CD0"/>
    <w:rsid w:val="0090157F"/>
    <w:rsid w:val="00901B63"/>
    <w:rsid w:val="00930669"/>
    <w:rsid w:val="0093618C"/>
    <w:rsid w:val="009511B1"/>
    <w:rsid w:val="00951C57"/>
    <w:rsid w:val="0095594B"/>
    <w:rsid w:val="009831B3"/>
    <w:rsid w:val="009977EE"/>
    <w:rsid w:val="009A2452"/>
    <w:rsid w:val="009C73D0"/>
    <w:rsid w:val="00A03347"/>
    <w:rsid w:val="00A10285"/>
    <w:rsid w:val="00A335FC"/>
    <w:rsid w:val="00A3426E"/>
    <w:rsid w:val="00A57EBE"/>
    <w:rsid w:val="00A65FCB"/>
    <w:rsid w:val="00A7428A"/>
    <w:rsid w:val="00A81E1E"/>
    <w:rsid w:val="00AC3168"/>
    <w:rsid w:val="00AC42FA"/>
    <w:rsid w:val="00B04737"/>
    <w:rsid w:val="00BA484E"/>
    <w:rsid w:val="00BC32E2"/>
    <w:rsid w:val="00BE1981"/>
    <w:rsid w:val="00BE4EF3"/>
    <w:rsid w:val="00BE5223"/>
    <w:rsid w:val="00C27BC3"/>
    <w:rsid w:val="00C362E1"/>
    <w:rsid w:val="00C8355D"/>
    <w:rsid w:val="00C83904"/>
    <w:rsid w:val="00C870D6"/>
    <w:rsid w:val="00C950BE"/>
    <w:rsid w:val="00C9780E"/>
    <w:rsid w:val="00CA1411"/>
    <w:rsid w:val="00CA374B"/>
    <w:rsid w:val="00CC5E22"/>
    <w:rsid w:val="00CD36E0"/>
    <w:rsid w:val="00D45352"/>
    <w:rsid w:val="00D54904"/>
    <w:rsid w:val="00D552FB"/>
    <w:rsid w:val="00D86F64"/>
    <w:rsid w:val="00DA7EC3"/>
    <w:rsid w:val="00DC1F2D"/>
    <w:rsid w:val="00DD2820"/>
    <w:rsid w:val="00DE7A58"/>
    <w:rsid w:val="00E13D27"/>
    <w:rsid w:val="00E30E8C"/>
    <w:rsid w:val="00E35393"/>
    <w:rsid w:val="00E52255"/>
    <w:rsid w:val="00E55A2B"/>
    <w:rsid w:val="00E740A9"/>
    <w:rsid w:val="00E85356"/>
    <w:rsid w:val="00EA4FE4"/>
    <w:rsid w:val="00EE782B"/>
    <w:rsid w:val="00EF2325"/>
    <w:rsid w:val="00F12E62"/>
    <w:rsid w:val="00F142A1"/>
    <w:rsid w:val="00F231CF"/>
    <w:rsid w:val="00F25F5C"/>
    <w:rsid w:val="00F35269"/>
    <w:rsid w:val="00F54BA6"/>
    <w:rsid w:val="00F6634E"/>
    <w:rsid w:val="00F82817"/>
    <w:rsid w:val="00F91E1C"/>
    <w:rsid w:val="00F977DA"/>
    <w:rsid w:val="00FA6F6A"/>
    <w:rsid w:val="00FE70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F38F"/>
  <w15:docId w15:val="{1E51114A-D24F-4F82-9FB5-85A3E79F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C5E22"/>
    <w:rPr>
      <w:sz w:val="16"/>
      <w:szCs w:val="16"/>
    </w:rPr>
  </w:style>
  <w:style w:type="paragraph" w:styleId="Tekstkomentarza">
    <w:name w:val="annotation text"/>
    <w:basedOn w:val="Normalny"/>
    <w:link w:val="TekstkomentarzaZnak"/>
    <w:uiPriority w:val="99"/>
    <w:semiHidden/>
    <w:unhideWhenUsed/>
    <w:rsid w:val="00CC5E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E22"/>
    <w:rPr>
      <w:sz w:val="20"/>
      <w:szCs w:val="20"/>
    </w:rPr>
  </w:style>
  <w:style w:type="paragraph" w:styleId="Tematkomentarza">
    <w:name w:val="annotation subject"/>
    <w:basedOn w:val="Tekstkomentarza"/>
    <w:next w:val="Tekstkomentarza"/>
    <w:link w:val="TematkomentarzaZnak"/>
    <w:uiPriority w:val="99"/>
    <w:semiHidden/>
    <w:unhideWhenUsed/>
    <w:rsid w:val="00CC5E22"/>
    <w:rPr>
      <w:b/>
      <w:bCs/>
    </w:rPr>
  </w:style>
  <w:style w:type="character" w:customStyle="1" w:styleId="TematkomentarzaZnak">
    <w:name w:val="Temat komentarza Znak"/>
    <w:basedOn w:val="TekstkomentarzaZnak"/>
    <w:link w:val="Tematkomentarza"/>
    <w:uiPriority w:val="99"/>
    <w:semiHidden/>
    <w:rsid w:val="00CC5E22"/>
    <w:rPr>
      <w:b/>
      <w:bCs/>
      <w:sz w:val="20"/>
      <w:szCs w:val="20"/>
    </w:rPr>
  </w:style>
  <w:style w:type="paragraph" w:styleId="Tekstdymka">
    <w:name w:val="Balloon Text"/>
    <w:basedOn w:val="Normalny"/>
    <w:link w:val="TekstdymkaZnak"/>
    <w:uiPriority w:val="99"/>
    <w:semiHidden/>
    <w:unhideWhenUsed/>
    <w:rsid w:val="00CC5E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5E22"/>
    <w:rPr>
      <w:rFonts w:ascii="Segoe UI" w:hAnsi="Segoe UI" w:cs="Segoe UI"/>
      <w:sz w:val="18"/>
      <w:szCs w:val="18"/>
    </w:rPr>
  </w:style>
  <w:style w:type="character" w:styleId="Hipercze">
    <w:name w:val="Hyperlink"/>
    <w:basedOn w:val="Domylnaczcionkaakapitu"/>
    <w:uiPriority w:val="99"/>
    <w:unhideWhenUsed/>
    <w:rsid w:val="007567B8"/>
    <w:rPr>
      <w:color w:val="0000FF" w:themeColor="hyperlink"/>
      <w:u w:val="single"/>
    </w:rPr>
  </w:style>
  <w:style w:type="character" w:customStyle="1" w:styleId="bumpedfont15">
    <w:name w:val="bumpedfont15"/>
    <w:basedOn w:val="Domylnaczcionkaakapitu"/>
    <w:rsid w:val="00F1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18957">
      <w:bodyDiv w:val="1"/>
      <w:marLeft w:val="0"/>
      <w:marRight w:val="0"/>
      <w:marTop w:val="0"/>
      <w:marBottom w:val="0"/>
      <w:divBdr>
        <w:top w:val="none" w:sz="0" w:space="0" w:color="auto"/>
        <w:left w:val="none" w:sz="0" w:space="0" w:color="auto"/>
        <w:bottom w:val="none" w:sz="0" w:space="0" w:color="auto"/>
        <w:right w:val="none" w:sz="0" w:space="0" w:color="auto"/>
      </w:divBdr>
    </w:div>
    <w:div w:id="1664360595">
      <w:bodyDiv w:val="1"/>
      <w:marLeft w:val="0"/>
      <w:marRight w:val="0"/>
      <w:marTop w:val="0"/>
      <w:marBottom w:val="0"/>
      <w:divBdr>
        <w:top w:val="none" w:sz="0" w:space="0" w:color="auto"/>
        <w:left w:val="none" w:sz="0" w:space="0" w:color="auto"/>
        <w:bottom w:val="none" w:sz="0" w:space="0" w:color="auto"/>
        <w:right w:val="none" w:sz="0" w:space="0" w:color="auto"/>
      </w:divBdr>
    </w:div>
    <w:div w:id="1872914736">
      <w:bodyDiv w:val="1"/>
      <w:marLeft w:val="0"/>
      <w:marRight w:val="0"/>
      <w:marTop w:val="0"/>
      <w:marBottom w:val="0"/>
      <w:divBdr>
        <w:top w:val="none" w:sz="0" w:space="0" w:color="auto"/>
        <w:left w:val="none" w:sz="0" w:space="0" w:color="auto"/>
        <w:bottom w:val="none" w:sz="0" w:space="0" w:color="auto"/>
        <w:right w:val="none" w:sz="0" w:space="0" w:color="auto"/>
      </w:divBdr>
    </w:div>
    <w:div w:id="21141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CB749-7F2D-42F7-BBEE-3BA362DC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2099</Words>
  <Characters>12595</Characters>
  <Application>Microsoft Office Word</Application>
  <DocSecurity>0</DocSecurity>
  <Lines>104</Lines>
  <Paragraphs>29</Paragraphs>
  <ScaleCrop>false</ScaleCrop>
  <HeadingPairs>
    <vt:vector size="6" baseType="variant">
      <vt:variant>
        <vt:lpstr>Tytuł</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M.A.E.E</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Xavier</dc:creator>
  <cp:lastModifiedBy>Braniecki Piotr</cp:lastModifiedBy>
  <cp:revision>3</cp:revision>
  <cp:lastPrinted>2020-10-15T09:58:00Z</cp:lastPrinted>
  <dcterms:created xsi:type="dcterms:W3CDTF">2020-10-22T08:00:00Z</dcterms:created>
  <dcterms:modified xsi:type="dcterms:W3CDTF">2020-10-22T08:24:00Z</dcterms:modified>
</cp:coreProperties>
</file>