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7976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A6E47">
        <w:rPr>
          <w:rFonts w:asciiTheme="minorHAnsi" w:hAnsiTheme="minorHAnsi" w:cstheme="minorHAnsi"/>
          <w:bCs/>
          <w:sz w:val="24"/>
          <w:szCs w:val="24"/>
        </w:rPr>
        <w:t>14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A6E47" w:rsidRDefault="008A6E47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8A6E4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DOOŚ-WDŚZOO.420.1.2020.mko/SP.19 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8A6E47">
        <w:rPr>
          <w:rFonts w:asciiTheme="minorHAnsi" w:hAnsiTheme="minorHAnsi" w:cstheme="minorHAnsi"/>
          <w:bCs/>
          <w:sz w:val="24"/>
          <w:szCs w:val="24"/>
          <w:lang w:eastAsia="pl-PL"/>
        </w:rPr>
        <w:t>(Poprzedni znak sprawy: DOOŚ-WDŚ/ZOO.420.4.2020)</w:t>
      </w:r>
    </w:p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A6E47" w:rsidRPr="008A6E47" w:rsidRDefault="008A6E47" w:rsidP="008A6E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6E4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8A6E47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zawiadamiam, że postępowanie odwoławcze od decyzji Regionalnego Dyrektora Ochrony Środowiska w Katowicach z dnia 29 listopada 2019 r., znak: WOOŚ.420.48.2018.JKS.21, odmawiającej uchylenia decyzji Wójta Gminy Pietrowice Wielkie z dnia 1 grudnia 2009 r., znak: IGR 7632/D13/2009, określającej środowiskowe uwarunkowania realizacji przedsięwzięcia pod nazwą: Budowa dwóch tur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bin wiatrowych o mocy 1,5 MW każda w miejscowości Cyprz</w:t>
      </w:r>
      <w:r w:rsidRPr="008A6E47">
        <w:rPr>
          <w:rFonts w:asciiTheme="minorHAnsi" w:hAnsiTheme="minorHAnsi" w:cstheme="minorHAnsi"/>
          <w:bCs/>
          <w:color w:val="000000"/>
          <w:sz w:val="24"/>
          <w:szCs w:val="24"/>
        </w:rPr>
        <w:t>anów, nie mogło być zakończone w ustawowym terminie. Przyczyną zwłoki jest skomplikowany charakter sprawy.</w:t>
      </w:r>
    </w:p>
    <w:p w:rsidR="008A6E47" w:rsidRPr="008A6E47" w:rsidRDefault="008A6E47" w:rsidP="008A6E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6E47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 18 kwietnia</w:t>
      </w:r>
    </w:p>
    <w:p w:rsidR="0054399D" w:rsidRDefault="008A6E47" w:rsidP="008A6E4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A6E47">
        <w:rPr>
          <w:rFonts w:asciiTheme="minorHAnsi" w:hAnsiTheme="minorHAnsi" w:cstheme="minorHAnsi"/>
          <w:bCs/>
          <w:color w:val="000000"/>
          <w:sz w:val="24"/>
          <w:szCs w:val="24"/>
        </w:rPr>
        <w:t>2022 r.</w:t>
      </w:r>
    </w:p>
    <w:p w:rsidR="008A6E47" w:rsidRDefault="008A6E47" w:rsidP="008A6E4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A6E47" w:rsidRP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t xml:space="preserve">Art. 36 Kpa O każdym przypadku </w:t>
      </w:r>
      <w:r w:rsidRPr="008A6E47">
        <w:rPr>
          <w:rFonts w:asciiTheme="minorHAnsi" w:hAnsiTheme="minorHAnsi" w:cstheme="minorHAnsi"/>
          <w:bCs/>
        </w:rPr>
        <w:t>niezałatwienia</w:t>
      </w:r>
      <w:r w:rsidRPr="008A6E47">
        <w:rPr>
          <w:rFonts w:asciiTheme="minorHAnsi" w:hAnsiTheme="minorHAnsi" w:cstheme="minorHAnsi"/>
          <w:bCs/>
        </w:rPr>
        <w:t xml:space="preserve"> sprawy w terminie określonym w art. 35 lub w przepisach szczególnych organ administracji publicznej jest obowiązany zawiadomić strony, podając przyczyny zwłoki i wskazując nowy termin załatwienia sprawy (§ 1). 'len sam obowiązek ciąży na organie administracji publicznej również w przypadku Zwłoki w załatwieniu sprawy z przyczyn niezależnych od organu (§ 2).</w:t>
      </w:r>
    </w:p>
    <w:p w:rsidR="008A6E47" w:rsidRP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8A6E47" w:rsidRP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t>Art. 16 ustawy z dnia 7 kwietnia 2017 r. o zmianie ustawy —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8A6E47">
        <w:rPr>
          <w:rFonts w:asciiTheme="minorHAnsi" w:hAnsiTheme="minorHAnsi" w:cstheme="minorHAnsi"/>
          <w:bCs/>
        </w:rPr>
        <w:t>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8A6E47" w:rsidRP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8A6E47" w:rsidRP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8A6E47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8A6E4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8A6E47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A6E4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A6E4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A6E4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A6E4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A6E4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4399D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A6E47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DD05-0BF2-433C-AE20-3894A663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2023-07-03T06:56:00Z</dcterms:created>
  <dcterms:modified xsi:type="dcterms:W3CDTF">2023-07-03T06:56:00Z</dcterms:modified>
</cp:coreProperties>
</file>