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B2" w:rsidRPr="00E05587" w:rsidRDefault="005E63B2" w:rsidP="005E63B2">
      <w:pPr>
        <w:tabs>
          <w:tab w:val="left" w:pos="0"/>
          <w:tab w:val="right" w:leader="hyphen" w:pos="9072"/>
        </w:tabs>
        <w:rPr>
          <w:spacing w:val="4"/>
          <w:sz w:val="26"/>
          <w:szCs w:val="26"/>
        </w:rPr>
      </w:pPr>
      <w:bookmarkStart w:id="0" w:name="_GoBack"/>
      <w:bookmarkEnd w:id="0"/>
    </w:p>
    <w:p w:rsidR="005E63B2" w:rsidRPr="00E05587" w:rsidRDefault="005E63B2" w:rsidP="005E63B2">
      <w:pPr>
        <w:keepNext/>
        <w:tabs>
          <w:tab w:val="left" w:pos="0"/>
          <w:tab w:val="right" w:leader="hyphen" w:pos="9072"/>
        </w:tabs>
        <w:jc w:val="center"/>
        <w:outlineLvl w:val="6"/>
        <w:rPr>
          <w:b/>
          <w:spacing w:val="4"/>
          <w:sz w:val="26"/>
          <w:szCs w:val="20"/>
        </w:rPr>
      </w:pPr>
      <w:r w:rsidRPr="00E05587">
        <w:rPr>
          <w:b/>
          <w:spacing w:val="4"/>
          <w:sz w:val="26"/>
          <w:szCs w:val="20"/>
        </w:rPr>
        <w:t>Uchwała nr 3</w:t>
      </w:r>
    </w:p>
    <w:p w:rsidR="005E63B2" w:rsidRPr="00E05587" w:rsidRDefault="005E63B2" w:rsidP="005E63B2">
      <w:pPr>
        <w:keepNext/>
        <w:tabs>
          <w:tab w:val="left" w:pos="0"/>
          <w:tab w:val="right" w:leader="hyphen" w:pos="9072"/>
        </w:tabs>
        <w:jc w:val="center"/>
        <w:outlineLvl w:val="6"/>
        <w:rPr>
          <w:b/>
          <w:spacing w:val="4"/>
          <w:sz w:val="26"/>
          <w:szCs w:val="20"/>
        </w:rPr>
      </w:pPr>
      <w:r w:rsidRPr="00E05587">
        <w:rPr>
          <w:b/>
          <w:spacing w:val="4"/>
          <w:sz w:val="26"/>
          <w:szCs w:val="20"/>
        </w:rPr>
        <w:t xml:space="preserve">Zwyczajnego Walnego Zgromadzenia </w:t>
      </w:r>
    </w:p>
    <w:p w:rsidR="005E63B2" w:rsidRPr="00E05587" w:rsidRDefault="005E63B2" w:rsidP="005E63B2">
      <w:pPr>
        <w:keepNext/>
        <w:tabs>
          <w:tab w:val="left" w:pos="0"/>
          <w:tab w:val="right" w:leader="hyphen" w:pos="9072"/>
        </w:tabs>
        <w:jc w:val="center"/>
        <w:outlineLvl w:val="6"/>
        <w:rPr>
          <w:b/>
          <w:smallCaps/>
          <w:spacing w:val="4"/>
          <w:sz w:val="26"/>
          <w:szCs w:val="26"/>
        </w:rPr>
      </w:pPr>
      <w:r w:rsidRPr="00E05587">
        <w:rPr>
          <w:b/>
          <w:spacing w:val="4"/>
          <w:sz w:val="26"/>
          <w:szCs w:val="20"/>
        </w:rPr>
        <w:t>Spółki pod firmą Polska Agencja Inwestycji i Handlu Spółka Akcyjna</w:t>
      </w:r>
      <w:r w:rsidRPr="00E05587">
        <w:rPr>
          <w:b/>
          <w:smallCaps/>
          <w:spacing w:val="4"/>
          <w:sz w:val="26"/>
          <w:szCs w:val="26"/>
        </w:rPr>
        <w:t xml:space="preserve"> </w:t>
      </w:r>
    </w:p>
    <w:p w:rsidR="005E63B2" w:rsidRPr="00E05587" w:rsidRDefault="005E63B2" w:rsidP="005E63B2">
      <w:pPr>
        <w:keepNext/>
        <w:tabs>
          <w:tab w:val="left" w:pos="0"/>
          <w:tab w:val="right" w:leader="hyphen" w:pos="9072"/>
        </w:tabs>
        <w:jc w:val="center"/>
        <w:outlineLvl w:val="6"/>
        <w:rPr>
          <w:b/>
          <w:spacing w:val="4"/>
          <w:sz w:val="26"/>
          <w:szCs w:val="20"/>
        </w:rPr>
      </w:pPr>
      <w:r w:rsidRPr="00E05587">
        <w:rPr>
          <w:b/>
          <w:spacing w:val="4"/>
          <w:sz w:val="26"/>
          <w:szCs w:val="20"/>
        </w:rPr>
        <w:t>z siedzibą w Warszawie</w:t>
      </w:r>
    </w:p>
    <w:p w:rsidR="005E63B2" w:rsidRPr="00E05587" w:rsidRDefault="005E63B2" w:rsidP="005E63B2">
      <w:pPr>
        <w:keepNext/>
        <w:tabs>
          <w:tab w:val="left" w:pos="0"/>
          <w:tab w:val="right" w:leader="hyphen" w:pos="9072"/>
        </w:tabs>
        <w:jc w:val="center"/>
        <w:outlineLvl w:val="6"/>
        <w:rPr>
          <w:b/>
          <w:spacing w:val="4"/>
          <w:sz w:val="26"/>
          <w:szCs w:val="20"/>
        </w:rPr>
      </w:pPr>
      <w:r w:rsidRPr="00E05587">
        <w:rPr>
          <w:b/>
          <w:spacing w:val="4"/>
          <w:sz w:val="26"/>
          <w:szCs w:val="20"/>
        </w:rPr>
        <w:t>z dnia 28.06.2019 r.</w:t>
      </w:r>
    </w:p>
    <w:p w:rsidR="005E63B2" w:rsidRPr="00E05587" w:rsidRDefault="005E63B2" w:rsidP="005E63B2">
      <w:pPr>
        <w:pStyle w:val="Style1"/>
        <w:tabs>
          <w:tab w:val="left" w:pos="0"/>
          <w:tab w:val="right" w:leader="hyphen" w:pos="9072"/>
        </w:tabs>
        <w:kinsoku w:val="0"/>
        <w:autoSpaceDE/>
        <w:autoSpaceDN/>
        <w:spacing w:after="120"/>
        <w:contextualSpacing/>
        <w:jc w:val="center"/>
        <w:rPr>
          <w:spacing w:val="4"/>
          <w:sz w:val="26"/>
          <w:szCs w:val="26"/>
        </w:rPr>
      </w:pPr>
      <w:r w:rsidRPr="00E05587">
        <w:rPr>
          <w:rStyle w:val="CharacterStyle1"/>
          <w:rFonts w:eastAsia="ヒラギノ角ゴ Pro W3"/>
          <w:i/>
          <w:spacing w:val="4"/>
          <w:sz w:val="26"/>
          <w:szCs w:val="26"/>
        </w:rPr>
        <w:t xml:space="preserve">w sprawie </w:t>
      </w:r>
      <w:r w:rsidRPr="00E05587">
        <w:rPr>
          <w:i/>
          <w:spacing w:val="4"/>
          <w:sz w:val="26"/>
          <w:szCs w:val="26"/>
        </w:rPr>
        <w:t>zasad kształtowania wynagrodzeń członków Rady Nadzorczej PAIH S.A.</w:t>
      </w:r>
      <w:r w:rsidRPr="00E05587">
        <w:rPr>
          <w:spacing w:val="4"/>
          <w:sz w:val="26"/>
          <w:szCs w:val="26"/>
        </w:rPr>
        <w:t xml:space="preserve"> </w:t>
      </w:r>
    </w:p>
    <w:p w:rsidR="005E63B2" w:rsidRPr="00E05587" w:rsidRDefault="005E63B2" w:rsidP="005E63B2">
      <w:pPr>
        <w:pStyle w:val="Style1"/>
        <w:tabs>
          <w:tab w:val="left" w:pos="0"/>
          <w:tab w:val="right" w:leader="hyphen" w:pos="9072"/>
        </w:tabs>
        <w:kinsoku w:val="0"/>
        <w:autoSpaceDE/>
        <w:autoSpaceDN/>
        <w:spacing w:after="120"/>
        <w:contextualSpacing/>
        <w:jc w:val="center"/>
        <w:rPr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both"/>
        <w:rPr>
          <w:bCs/>
          <w:spacing w:val="4"/>
          <w:sz w:val="26"/>
          <w:szCs w:val="26"/>
        </w:rPr>
      </w:pPr>
      <w:r w:rsidRPr="00E05587">
        <w:rPr>
          <w:bCs/>
          <w:spacing w:val="4"/>
          <w:sz w:val="26"/>
          <w:szCs w:val="26"/>
        </w:rPr>
        <w:t xml:space="preserve">Działając na podstawie art. 392 § 1 Kodeksu spółek handlowych, Zwyczajne Walne Zgromadzenie uchwala, co następuje: </w:t>
      </w:r>
      <w:r w:rsidRPr="00E05587">
        <w:rPr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Cs/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/>
          <w:spacing w:val="4"/>
          <w:sz w:val="26"/>
          <w:szCs w:val="26"/>
        </w:rPr>
      </w:pPr>
      <w:r w:rsidRPr="00E05587">
        <w:rPr>
          <w:b/>
          <w:spacing w:val="4"/>
          <w:sz w:val="26"/>
          <w:szCs w:val="26"/>
        </w:rPr>
        <w:t>§ 1.</w:t>
      </w:r>
    </w:p>
    <w:p w:rsidR="005E63B2" w:rsidRPr="00E05587" w:rsidRDefault="005E63B2" w:rsidP="005E63B2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  <w:tab w:val="right" w:leader="hyphen" w:pos="9072"/>
        </w:tabs>
        <w:spacing w:line="240" w:lineRule="auto"/>
        <w:ind w:hanging="560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Ustala się miesięczne wynagrodzenie członków Rady Nadzorczej, jako iloczyn </w:t>
      </w:r>
      <w:r w:rsidRPr="00E05587">
        <w:rPr>
          <w:rFonts w:ascii="Times New Roman" w:eastAsia="Calibri" w:hAnsi="Times New Roman" w:cs="Times New Roman"/>
          <w:spacing w:val="4"/>
          <w:sz w:val="26"/>
          <w:szCs w:val="26"/>
        </w:rPr>
        <w:t xml:space="preserve">podstawy wymiaru, o której mowa w art. 1 ust. 3 pkt 11 ustawy z dnia 9 czerwca 2016 r. o zasadach kształtowania wynagrodzeń osób kierujących niektórymi spółkami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oraz mnożnika: 1,00.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  <w:tab w:val="right" w:leader="hyphen" w:pos="9072"/>
        </w:tabs>
        <w:spacing w:before="100" w:beforeAutospacing="1" w:after="100" w:afterAutospacing="1" w:line="240" w:lineRule="auto"/>
        <w:ind w:hanging="560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Dla Przewodniczącego Rady Nadzorczej podwyższa się o 10% miesięczne wynagrodzenie określone w ust. 1.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  <w:tab w:val="right" w:leader="hyphen" w:pos="9072"/>
        </w:tabs>
        <w:spacing w:before="100" w:beforeAutospacing="1" w:after="100" w:afterAutospacing="1" w:line="240" w:lineRule="auto"/>
        <w:ind w:hanging="560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Dla Wiceprzewodniczącego Rady Nadzorczej podwyższa się o 5% miesięczne wynagrodzenie określone w ust. 1.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  <w:tab w:val="right" w:leader="hyphen" w:pos="9072"/>
        </w:tabs>
        <w:spacing w:before="100" w:beforeAutospacing="1" w:after="100" w:afterAutospacing="1" w:line="240" w:lineRule="auto"/>
        <w:ind w:hanging="560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Dla  Przewodniczących  funkcjonujących  w  Radzie  Nadzorczej  komitetów podwyższa się o 5 % wynagrodzenie określone w ust. 1.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Teksttreci0"/>
        <w:numPr>
          <w:ilvl w:val="0"/>
          <w:numId w:val="2"/>
        </w:numPr>
        <w:shd w:val="clear" w:color="auto" w:fill="auto"/>
        <w:tabs>
          <w:tab w:val="left" w:pos="0"/>
          <w:tab w:val="right" w:leader="hyphen" w:pos="9072"/>
        </w:tabs>
        <w:spacing w:line="240" w:lineRule="auto"/>
        <w:ind w:hanging="560"/>
        <w:rPr>
          <w:rFonts w:ascii="Times New Roman" w:hAnsi="Times New Roman" w:cs="Times New Roman"/>
          <w:bCs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 xml:space="preserve">Dodatkowe wynagrodzenia, o których mowa w ust. 2 - 4 nie sumują się. </w:t>
      </w:r>
      <w:r w:rsidRPr="00E05587">
        <w:rPr>
          <w:rFonts w:ascii="Times New Roman" w:hAnsi="Times New Roman" w:cs="Times New Roman"/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Cs/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/>
          <w:spacing w:val="4"/>
          <w:sz w:val="26"/>
          <w:szCs w:val="26"/>
        </w:rPr>
      </w:pPr>
      <w:r w:rsidRPr="00E05587">
        <w:rPr>
          <w:b/>
          <w:spacing w:val="4"/>
          <w:sz w:val="26"/>
          <w:szCs w:val="26"/>
        </w:rPr>
        <w:t>§ 2.</w:t>
      </w:r>
    </w:p>
    <w:p w:rsidR="005E63B2" w:rsidRPr="00E05587" w:rsidRDefault="005E63B2" w:rsidP="005E63B2">
      <w:pPr>
        <w:pStyle w:val="Default"/>
        <w:numPr>
          <w:ilvl w:val="0"/>
          <w:numId w:val="1"/>
        </w:numPr>
        <w:tabs>
          <w:tab w:val="left" w:pos="0"/>
          <w:tab w:val="right" w:leader="hyphen" w:pos="9072"/>
        </w:tabs>
        <w:spacing w:after="13"/>
        <w:ind w:left="0" w:hanging="567"/>
        <w:jc w:val="both"/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 xml:space="preserve">Członkom Rady Nadzorczej przysługuje wynagrodzenie, o którym mowa w § 1, bez względu na częstotliwość zwołanych posiedzeń. </w:t>
      </w: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Default"/>
        <w:numPr>
          <w:ilvl w:val="0"/>
          <w:numId w:val="1"/>
        </w:numPr>
        <w:tabs>
          <w:tab w:val="left" w:pos="0"/>
          <w:tab w:val="right" w:leader="hyphen" w:pos="9072"/>
        </w:tabs>
        <w:spacing w:after="13"/>
        <w:ind w:left="0" w:hanging="567"/>
        <w:jc w:val="both"/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 xml:space="preserve">Wynagrodzenie nie przysługuje za ten miesiąc, w którym członek Rady Nadzorczej nie był obecny na posiedzeniu z powodów nieusprawiedliwionych. O usprawiedliwieniu lub nieusprawiedliwieniu nieobecności członka Rady Nadzorczej na jej posiedzeniu decyduje Rada Nadzorcza. </w:t>
      </w: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ab/>
      </w:r>
    </w:p>
    <w:p w:rsidR="005E63B2" w:rsidRPr="00E05587" w:rsidRDefault="005E63B2" w:rsidP="005E63B2">
      <w:pPr>
        <w:pStyle w:val="Default"/>
        <w:numPr>
          <w:ilvl w:val="0"/>
          <w:numId w:val="1"/>
        </w:numPr>
        <w:tabs>
          <w:tab w:val="left" w:pos="0"/>
          <w:tab w:val="right" w:leader="hyphen" w:pos="9072"/>
        </w:tabs>
        <w:spacing w:after="13"/>
        <w:ind w:left="0" w:hanging="567"/>
        <w:jc w:val="both"/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</w:pP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 xml:space="preserve">Wynagrodzenie, o którym mowa w § 1, obliczane jest proporcjonalnie do ilości dni pełnienia funkcji w przypadku, gdy powołanie, odwołanie lub złożenie rezygnacji nastąpiło w czasie trwania miesiąca. </w:t>
      </w:r>
      <w:r w:rsidRPr="00E05587">
        <w:rPr>
          <w:rFonts w:ascii="Times New Roman" w:hAnsi="Times New Roman" w:cs="Times New Roman"/>
          <w:bCs/>
          <w:color w:val="auto"/>
          <w:spacing w:val="4"/>
          <w:sz w:val="26"/>
          <w:szCs w:val="26"/>
        </w:rPr>
        <w:tab/>
      </w: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Cs/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Cs/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/>
          <w:spacing w:val="4"/>
          <w:sz w:val="26"/>
          <w:szCs w:val="26"/>
        </w:rPr>
      </w:pPr>
      <w:r w:rsidRPr="00E05587">
        <w:rPr>
          <w:b/>
          <w:spacing w:val="4"/>
          <w:sz w:val="26"/>
          <w:szCs w:val="26"/>
        </w:rPr>
        <w:t>§ 3.</w:t>
      </w: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both"/>
        <w:rPr>
          <w:spacing w:val="4"/>
          <w:sz w:val="26"/>
          <w:szCs w:val="26"/>
        </w:rPr>
      </w:pPr>
      <w:r w:rsidRPr="00E05587">
        <w:rPr>
          <w:bCs/>
          <w:spacing w:val="4"/>
          <w:sz w:val="26"/>
          <w:szCs w:val="26"/>
        </w:rPr>
        <w:t xml:space="preserve">Uchyla się uchwalę nr 12 Zwyczajnego Walnego Zgromadzenia Spółki pod firmą Polska Agencja Inwestycji i Handlu Spółka Akcyjna z siedzibą w Warszawie z dnia 23 czerwca 2017 roku w sprawie zasad kształtowania wynagrodzeń członków Rady Nadzorczej PAIH S.A. oraz uchwałę nr 19 Zwyczajnego Walnego Zgromadzenia Spółki pod firmą Polska Agencja Inwestycji i Handlu Spółka Akcyjna z siedzibą w Warszawie z dnia 27 lipca 2018 roku w sprawie zmiany Uchwały nr 12 Zwyczajnego Walnego Zgromadzenia Spółki z dnia 23 czerwca 2017 roku w sprawie zasad kształtowania wynagrodzeń członków Rady Nadzorczej PAIH S.A. </w:t>
      </w:r>
      <w:r w:rsidRPr="00E05587">
        <w:rPr>
          <w:bCs/>
          <w:spacing w:val="4"/>
          <w:sz w:val="26"/>
          <w:szCs w:val="26"/>
        </w:rPr>
        <w:tab/>
      </w: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Cs/>
          <w:spacing w:val="4"/>
          <w:sz w:val="26"/>
          <w:szCs w:val="26"/>
        </w:rPr>
      </w:pPr>
    </w:p>
    <w:p w:rsidR="005E63B2" w:rsidRPr="00E05587" w:rsidRDefault="005E63B2" w:rsidP="005E63B2">
      <w:pPr>
        <w:tabs>
          <w:tab w:val="left" w:pos="0"/>
          <w:tab w:val="right" w:leader="hyphen" w:pos="9072"/>
        </w:tabs>
        <w:autoSpaceDE w:val="0"/>
        <w:autoSpaceDN w:val="0"/>
        <w:adjustRightInd w:val="0"/>
        <w:jc w:val="center"/>
        <w:rPr>
          <w:b/>
          <w:spacing w:val="4"/>
          <w:sz w:val="26"/>
          <w:szCs w:val="26"/>
        </w:rPr>
      </w:pPr>
      <w:r w:rsidRPr="00E05587">
        <w:rPr>
          <w:b/>
          <w:spacing w:val="4"/>
          <w:sz w:val="26"/>
          <w:szCs w:val="26"/>
        </w:rPr>
        <w:lastRenderedPageBreak/>
        <w:t>§ 4.</w:t>
      </w:r>
    </w:p>
    <w:p w:rsidR="005E63B2" w:rsidRPr="00E05587" w:rsidRDefault="005E63B2" w:rsidP="005E63B2">
      <w:pPr>
        <w:pStyle w:val="Tekstpodstawowywcity3"/>
        <w:tabs>
          <w:tab w:val="left" w:pos="0"/>
          <w:tab w:val="right" w:leader="hyphen" w:pos="9072"/>
        </w:tabs>
        <w:ind w:left="0"/>
        <w:rPr>
          <w:spacing w:val="4"/>
          <w:szCs w:val="26"/>
        </w:rPr>
      </w:pPr>
      <w:r w:rsidRPr="00E05587">
        <w:rPr>
          <w:spacing w:val="4"/>
          <w:szCs w:val="26"/>
        </w:rPr>
        <w:t xml:space="preserve">Uchwała wchodzi w życie z dniem podjęcia. </w:t>
      </w:r>
      <w:r w:rsidRPr="00E05587">
        <w:rPr>
          <w:spacing w:val="4"/>
          <w:szCs w:val="26"/>
        </w:rPr>
        <w:tab/>
      </w:r>
    </w:p>
    <w:p w:rsidR="005E63B2" w:rsidRPr="00E05587" w:rsidRDefault="005E63B2" w:rsidP="005E63B2">
      <w:pPr>
        <w:pStyle w:val="Tekstpodstawowywcity3"/>
        <w:tabs>
          <w:tab w:val="left" w:pos="0"/>
          <w:tab w:val="right" w:leader="hyphen" w:pos="9072"/>
        </w:tabs>
        <w:ind w:left="0"/>
        <w:rPr>
          <w:b/>
          <w:spacing w:val="4"/>
          <w:szCs w:val="26"/>
        </w:rPr>
      </w:pPr>
    </w:p>
    <w:sectPr w:rsidR="005E63B2" w:rsidRPr="00E0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890"/>
    <w:multiLevelType w:val="multilevel"/>
    <w:tmpl w:val="E5D0E1DA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709BF"/>
    <w:multiLevelType w:val="hybridMultilevel"/>
    <w:tmpl w:val="1F2AD516"/>
    <w:lvl w:ilvl="0" w:tplc="A9220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04A1"/>
    <w:multiLevelType w:val="hybridMultilevel"/>
    <w:tmpl w:val="6184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167D"/>
    <w:multiLevelType w:val="hybridMultilevel"/>
    <w:tmpl w:val="CF908018"/>
    <w:lvl w:ilvl="0" w:tplc="A9220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B2"/>
    <w:rsid w:val="00445C3D"/>
    <w:rsid w:val="005E63B2"/>
    <w:rsid w:val="00947D58"/>
    <w:rsid w:val="00D65F91"/>
    <w:rsid w:val="00D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5583-C0AD-43EC-A0FF-0780952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5E63B2"/>
    <w:pPr>
      <w:widowControl w:val="0"/>
      <w:tabs>
        <w:tab w:val="left" w:pos="357"/>
        <w:tab w:val="left" w:pos="397"/>
        <w:tab w:val="left" w:pos="454"/>
      </w:tabs>
      <w:snapToGrid w:val="0"/>
      <w:ind w:left="720"/>
      <w:jc w:val="both"/>
    </w:pPr>
    <w:rPr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E63B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E63B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E63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5E63B2"/>
    <w:rPr>
      <w:sz w:val="24"/>
      <w:szCs w:val="24"/>
    </w:rPr>
  </w:style>
  <w:style w:type="paragraph" w:customStyle="1" w:styleId="Style1">
    <w:name w:val="Style 1"/>
    <w:uiPriority w:val="99"/>
    <w:rsid w:val="005E6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E6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E63B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63B2"/>
    <w:pPr>
      <w:widowControl w:val="0"/>
      <w:shd w:val="clear" w:color="auto" w:fill="FFFFFF"/>
      <w:spacing w:line="372" w:lineRule="auto"/>
      <w:jc w:val="both"/>
    </w:pPr>
    <w:rPr>
      <w:rFonts w:ascii="Tahoma" w:eastAsia="Tahoma" w:hAnsi="Tahoma" w:cs="Tahoma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Najdyhor Magdalena</dc:creator>
  <cp:keywords/>
  <dc:description/>
  <cp:lastModifiedBy>Sierpińska Aleksandra</cp:lastModifiedBy>
  <cp:revision>2</cp:revision>
  <dcterms:created xsi:type="dcterms:W3CDTF">2020-05-04T08:23:00Z</dcterms:created>
  <dcterms:modified xsi:type="dcterms:W3CDTF">2020-05-04T08:23:00Z</dcterms:modified>
</cp:coreProperties>
</file>